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9AF60" w14:textId="77777777" w:rsidR="00DF0B2D" w:rsidRPr="00AC5F91" w:rsidRDefault="00DF0B2D" w:rsidP="00DF0B2D">
      <w:pPr>
        <w:pStyle w:val="IntenseQuote"/>
        <w:rPr>
          <w:b/>
          <w:bCs/>
          <w:sz w:val="36"/>
          <w:szCs w:val="36"/>
        </w:rPr>
      </w:pPr>
      <w:r w:rsidRPr="00AC5F91">
        <w:rPr>
          <w:b/>
          <w:bCs/>
          <w:sz w:val="36"/>
          <w:szCs w:val="36"/>
        </w:rPr>
        <w:t>The zero-based</w:t>
      </w:r>
      <w:r w:rsidR="00A53F34" w:rsidRPr="00AC5F91">
        <w:rPr>
          <w:b/>
          <w:bCs/>
          <w:sz w:val="36"/>
          <w:szCs w:val="36"/>
        </w:rPr>
        <w:t xml:space="preserve"> </w:t>
      </w:r>
      <w:r w:rsidRPr="00AC5F91">
        <w:rPr>
          <w:b/>
          <w:bCs/>
          <w:sz w:val="36"/>
          <w:szCs w:val="36"/>
        </w:rPr>
        <w:t>budgeting process for a Sustainable Business:</w:t>
      </w:r>
    </w:p>
    <w:p w14:paraId="66409FA3" w14:textId="7E72935D" w:rsidR="00830089" w:rsidRPr="00AC5F91" w:rsidRDefault="00DF0B2D" w:rsidP="00DF0B2D">
      <w:pPr>
        <w:pStyle w:val="IntenseQuote"/>
        <w:rPr>
          <w:b/>
          <w:bCs/>
          <w:sz w:val="36"/>
          <w:szCs w:val="36"/>
        </w:rPr>
      </w:pPr>
      <w:r w:rsidRPr="00AC5F91">
        <w:rPr>
          <w:b/>
          <w:bCs/>
          <w:sz w:val="36"/>
          <w:szCs w:val="36"/>
        </w:rPr>
        <w:t xml:space="preserve"> A report on the Zero-based budgeting process &amp; implementation</w:t>
      </w:r>
    </w:p>
    <w:p w14:paraId="0C8C51BF" w14:textId="182B3554" w:rsidR="0087218E" w:rsidRDefault="0087218E" w:rsidP="0087218E">
      <w:pPr>
        <w:rPr>
          <w:i/>
          <w:iCs/>
          <w:color w:val="4472C4" w:themeColor="accent1"/>
          <w:sz w:val="36"/>
          <w:szCs w:val="36"/>
        </w:rPr>
      </w:pPr>
    </w:p>
    <w:p w14:paraId="4CA9A584" w14:textId="77777777" w:rsidR="00AC5F91" w:rsidRDefault="00AC5F91" w:rsidP="0087218E">
      <w:pPr>
        <w:rPr>
          <w:i/>
          <w:iCs/>
          <w:color w:val="4472C4" w:themeColor="accent1"/>
          <w:sz w:val="36"/>
          <w:szCs w:val="36"/>
        </w:rPr>
      </w:pPr>
    </w:p>
    <w:p w14:paraId="05AE2337" w14:textId="05D52E87" w:rsidR="00AC5F91" w:rsidRPr="00AC5F91" w:rsidRDefault="00AC5F91" w:rsidP="00AC5F91">
      <w:pPr>
        <w:jc w:val="center"/>
        <w:rPr>
          <w:color w:val="4472C4" w:themeColor="accent1"/>
          <w:sz w:val="28"/>
          <w:szCs w:val="28"/>
        </w:rPr>
      </w:pPr>
      <w:r w:rsidRPr="00AC5F91">
        <w:rPr>
          <w:color w:val="4472C4" w:themeColor="accent1"/>
          <w:sz w:val="28"/>
          <w:szCs w:val="28"/>
        </w:rPr>
        <w:t xml:space="preserve">Student Name: </w:t>
      </w:r>
      <w:proofErr w:type="spellStart"/>
      <w:r w:rsidRPr="00AC5F91">
        <w:rPr>
          <w:color w:val="4472C4" w:themeColor="accent1"/>
          <w:sz w:val="28"/>
          <w:szCs w:val="28"/>
        </w:rPr>
        <w:t>Suhel</w:t>
      </w:r>
      <w:proofErr w:type="spellEnd"/>
      <w:r w:rsidRPr="00AC5F91">
        <w:rPr>
          <w:color w:val="4472C4" w:themeColor="accent1"/>
          <w:sz w:val="28"/>
          <w:szCs w:val="28"/>
        </w:rPr>
        <w:t xml:space="preserve"> Miah</w:t>
      </w:r>
    </w:p>
    <w:p w14:paraId="3AB3EBA4" w14:textId="77777777" w:rsidR="00AC5F91" w:rsidRPr="00AC5F91" w:rsidRDefault="00AC5F91" w:rsidP="00AC5F91">
      <w:pPr>
        <w:jc w:val="center"/>
        <w:rPr>
          <w:color w:val="4472C4" w:themeColor="accent1"/>
          <w:sz w:val="28"/>
          <w:szCs w:val="28"/>
        </w:rPr>
      </w:pPr>
      <w:r w:rsidRPr="00AC5F91">
        <w:rPr>
          <w:color w:val="4472C4" w:themeColor="accent1"/>
          <w:sz w:val="28"/>
          <w:szCs w:val="28"/>
        </w:rPr>
        <w:t>Student ID: 2017367</w:t>
      </w:r>
    </w:p>
    <w:p w14:paraId="46415B12" w14:textId="09ABA976" w:rsidR="00AC5F91" w:rsidRPr="00AC5F91" w:rsidRDefault="00AC5F91" w:rsidP="00AC5F91">
      <w:pPr>
        <w:jc w:val="center"/>
        <w:rPr>
          <w:color w:val="4472C4" w:themeColor="accent1"/>
          <w:sz w:val="28"/>
          <w:szCs w:val="28"/>
        </w:rPr>
      </w:pPr>
      <w:r w:rsidRPr="00AC5F91">
        <w:rPr>
          <w:color w:val="4472C4" w:themeColor="accent1"/>
          <w:sz w:val="28"/>
          <w:szCs w:val="28"/>
        </w:rPr>
        <w:t>Module Code: BMIH5007</w:t>
      </w:r>
    </w:p>
    <w:p w14:paraId="1990B972" w14:textId="5887F1DE" w:rsidR="00AC5F91" w:rsidRDefault="00AC5F91" w:rsidP="00AC5F91">
      <w:pPr>
        <w:jc w:val="center"/>
        <w:rPr>
          <w:color w:val="4472C4" w:themeColor="accent1"/>
          <w:sz w:val="28"/>
          <w:szCs w:val="28"/>
        </w:rPr>
      </w:pPr>
      <w:r w:rsidRPr="00AC5F91">
        <w:rPr>
          <w:color w:val="4472C4" w:themeColor="accent1"/>
          <w:sz w:val="28"/>
          <w:szCs w:val="28"/>
        </w:rPr>
        <w:t xml:space="preserve">Module Title: </w:t>
      </w:r>
      <w:r w:rsidRPr="00AC5F91">
        <w:rPr>
          <w:color w:val="4472C4" w:themeColor="accent1"/>
          <w:sz w:val="28"/>
          <w:szCs w:val="28"/>
        </w:rPr>
        <w:t>Financial Management for the Hotel industry</w:t>
      </w:r>
    </w:p>
    <w:p w14:paraId="7256C256" w14:textId="54FFC840" w:rsidR="00ED7795" w:rsidRPr="00AC5F91" w:rsidRDefault="00ED7795" w:rsidP="00AC5F91">
      <w:pPr>
        <w:jc w:val="center"/>
        <w:rPr>
          <w:color w:val="4472C4" w:themeColor="accent1"/>
          <w:sz w:val="28"/>
          <w:szCs w:val="28"/>
        </w:rPr>
      </w:pPr>
      <w:r>
        <w:rPr>
          <w:color w:val="4472C4" w:themeColor="accent1"/>
          <w:sz w:val="28"/>
          <w:szCs w:val="28"/>
        </w:rPr>
        <w:t xml:space="preserve">Lecturer: Dale </w:t>
      </w:r>
      <w:r w:rsidR="005F0F65">
        <w:rPr>
          <w:color w:val="4472C4" w:themeColor="accent1"/>
          <w:sz w:val="28"/>
          <w:szCs w:val="28"/>
        </w:rPr>
        <w:t>Clark</w:t>
      </w:r>
    </w:p>
    <w:p w14:paraId="5B86AC2C" w14:textId="77777777" w:rsidR="00AC5F91" w:rsidRDefault="00AC5F91" w:rsidP="0087218E"/>
    <w:p w14:paraId="7E32A53B" w14:textId="2E931483" w:rsidR="00ED7795" w:rsidRDefault="00ED7795" w:rsidP="00ED7795">
      <w:pPr>
        <w:jc w:val="center"/>
        <w:sectPr w:rsidR="00ED7795">
          <w:footerReference w:type="default" r:id="rId8"/>
          <w:pgSz w:w="12240" w:h="15840"/>
          <w:pgMar w:top="1440" w:right="1440" w:bottom="1440" w:left="1440" w:header="720" w:footer="720" w:gutter="0"/>
          <w:cols w:space="720"/>
          <w:docGrid w:linePitch="360"/>
        </w:sectPr>
      </w:pPr>
    </w:p>
    <w:p w14:paraId="456D5D22" w14:textId="39F7B1BB" w:rsidR="0087218E" w:rsidRPr="00AC5F91" w:rsidRDefault="00AC5F91" w:rsidP="00AC5F91">
      <w:pPr>
        <w:jc w:val="center"/>
        <w:rPr>
          <w:b/>
          <w:bCs/>
          <w:color w:val="4472C4" w:themeColor="accent1"/>
          <w:sz w:val="32"/>
          <w:szCs w:val="32"/>
        </w:rPr>
      </w:pPr>
      <w:r w:rsidRPr="00ED7795">
        <w:rPr>
          <w:b/>
          <w:bCs/>
          <w:color w:val="4472C4" w:themeColor="accent1"/>
          <w:sz w:val="32"/>
          <w:szCs w:val="32"/>
        </w:rPr>
        <w:lastRenderedPageBreak/>
        <w:t>TASK</w:t>
      </w:r>
      <w:r w:rsidRPr="00AC5F91">
        <w:rPr>
          <w:b/>
          <w:bCs/>
          <w:color w:val="4472C4" w:themeColor="accent1"/>
          <w:sz w:val="32"/>
          <w:szCs w:val="32"/>
        </w:rPr>
        <w:t xml:space="preserve"> 1</w:t>
      </w:r>
    </w:p>
    <w:p w14:paraId="016BA486" w14:textId="04B1CCB6" w:rsidR="00443493" w:rsidRDefault="00AC5F91" w:rsidP="00443493">
      <w:pPr>
        <w:rPr>
          <w:b/>
          <w:bCs/>
          <w:color w:val="2F5496" w:themeColor="accent1" w:themeShade="BF"/>
          <w:sz w:val="32"/>
          <w:szCs w:val="32"/>
        </w:rPr>
      </w:pPr>
      <w:bookmarkStart w:id="0" w:name="_Hlk107966302"/>
      <w:r>
        <w:rPr>
          <w:b/>
          <w:bCs/>
          <w:color w:val="2F5496" w:themeColor="accent1" w:themeShade="BF"/>
          <w:sz w:val="32"/>
          <w:szCs w:val="32"/>
        </w:rPr>
        <w:t>Introduction</w:t>
      </w:r>
    </w:p>
    <w:bookmarkEnd w:id="0"/>
    <w:p w14:paraId="64EA2A65" w14:textId="77777777" w:rsidR="007B4E6B" w:rsidRDefault="007B4E6B" w:rsidP="00443493">
      <w:pPr>
        <w:rPr>
          <w:color w:val="000000" w:themeColor="text1"/>
        </w:rPr>
      </w:pPr>
      <w:r w:rsidRPr="00EB3224">
        <w:t>Zero-based budgeting is a budgeting strategy in which all budgeting decisions are analyzed and all funding and spending components are started from zero</w:t>
      </w:r>
      <w:r>
        <w:t xml:space="preserve">. </w:t>
      </w:r>
      <w:r w:rsidRPr="007B4E6B">
        <w:rPr>
          <w:color w:val="000000" w:themeColor="text1"/>
        </w:rPr>
        <w:t> The knowledge of traditional budgeting and Zero-based budgeting are discussed in this article along with the competitive edge of ZBB over traditional approach. This article outlines the steps required to establish ZBB in a business. Finally, this report explains how financial discipline can support business sustainability.</w:t>
      </w:r>
    </w:p>
    <w:p w14:paraId="12482E46" w14:textId="77777777" w:rsidR="00AC5F91" w:rsidRDefault="00AC5F91" w:rsidP="00443493">
      <w:pPr>
        <w:rPr>
          <w:color w:val="000000" w:themeColor="text1"/>
        </w:rPr>
      </w:pPr>
    </w:p>
    <w:p w14:paraId="5CD9675F" w14:textId="77777777" w:rsidR="00AC5F91" w:rsidRDefault="00AC5F91" w:rsidP="00443493">
      <w:pPr>
        <w:rPr>
          <w:color w:val="000000" w:themeColor="text1"/>
        </w:rPr>
      </w:pPr>
    </w:p>
    <w:p w14:paraId="3B621AD0" w14:textId="77777777" w:rsidR="00AC5F91" w:rsidRDefault="00AC5F91" w:rsidP="00443493">
      <w:pPr>
        <w:rPr>
          <w:color w:val="000000" w:themeColor="text1"/>
        </w:rPr>
      </w:pPr>
    </w:p>
    <w:p w14:paraId="776F2C4F" w14:textId="77777777" w:rsidR="00AC5F91" w:rsidRDefault="00AC5F91" w:rsidP="00443493">
      <w:pPr>
        <w:rPr>
          <w:color w:val="000000" w:themeColor="text1"/>
        </w:rPr>
      </w:pPr>
    </w:p>
    <w:p w14:paraId="5012416C" w14:textId="77777777" w:rsidR="00AC5F91" w:rsidRDefault="00AC5F91" w:rsidP="00443493">
      <w:pPr>
        <w:rPr>
          <w:color w:val="000000" w:themeColor="text1"/>
        </w:rPr>
      </w:pPr>
    </w:p>
    <w:p w14:paraId="1ED04FB6" w14:textId="77777777" w:rsidR="00AC5F91" w:rsidRDefault="00AC5F91" w:rsidP="00443493">
      <w:pPr>
        <w:rPr>
          <w:color w:val="000000" w:themeColor="text1"/>
        </w:rPr>
      </w:pPr>
    </w:p>
    <w:p w14:paraId="54BF520B" w14:textId="77777777" w:rsidR="00AC5F91" w:rsidRDefault="00AC5F91" w:rsidP="00443493">
      <w:pPr>
        <w:rPr>
          <w:color w:val="000000" w:themeColor="text1"/>
        </w:rPr>
      </w:pPr>
    </w:p>
    <w:p w14:paraId="11A43F08" w14:textId="77777777" w:rsidR="00AC5F91" w:rsidRDefault="00AC5F91" w:rsidP="00443493">
      <w:pPr>
        <w:rPr>
          <w:color w:val="000000" w:themeColor="text1"/>
        </w:rPr>
      </w:pPr>
    </w:p>
    <w:p w14:paraId="204B1DAB" w14:textId="77777777" w:rsidR="00AC5F91" w:rsidRDefault="00AC5F91" w:rsidP="00443493">
      <w:pPr>
        <w:rPr>
          <w:color w:val="000000" w:themeColor="text1"/>
        </w:rPr>
      </w:pPr>
    </w:p>
    <w:p w14:paraId="1C401A2F" w14:textId="77777777" w:rsidR="00AC5F91" w:rsidRDefault="00AC5F91" w:rsidP="00443493">
      <w:pPr>
        <w:rPr>
          <w:color w:val="000000" w:themeColor="text1"/>
        </w:rPr>
      </w:pPr>
    </w:p>
    <w:p w14:paraId="4BB42D18" w14:textId="77777777" w:rsidR="00AC5F91" w:rsidRDefault="00AC5F91" w:rsidP="00443493">
      <w:pPr>
        <w:rPr>
          <w:color w:val="000000" w:themeColor="text1"/>
        </w:rPr>
      </w:pPr>
    </w:p>
    <w:p w14:paraId="6B72AAB4" w14:textId="77777777" w:rsidR="00AC5F91" w:rsidRDefault="00AC5F91" w:rsidP="00443493">
      <w:pPr>
        <w:rPr>
          <w:color w:val="000000" w:themeColor="text1"/>
        </w:rPr>
      </w:pPr>
    </w:p>
    <w:p w14:paraId="3EF82CB2" w14:textId="77777777" w:rsidR="00AC5F91" w:rsidRDefault="00AC5F91" w:rsidP="00443493">
      <w:pPr>
        <w:rPr>
          <w:color w:val="000000" w:themeColor="text1"/>
        </w:rPr>
      </w:pPr>
    </w:p>
    <w:p w14:paraId="51DC15E0" w14:textId="77777777" w:rsidR="00AC5F91" w:rsidRDefault="00AC5F91" w:rsidP="00443493">
      <w:pPr>
        <w:rPr>
          <w:color w:val="000000" w:themeColor="text1"/>
        </w:rPr>
      </w:pPr>
    </w:p>
    <w:p w14:paraId="497ADEAA" w14:textId="77777777" w:rsidR="00AC5F91" w:rsidRDefault="00AC5F91" w:rsidP="00443493">
      <w:pPr>
        <w:rPr>
          <w:color w:val="000000" w:themeColor="text1"/>
        </w:rPr>
      </w:pPr>
    </w:p>
    <w:p w14:paraId="791F2ECF" w14:textId="77777777" w:rsidR="00AC5F91" w:rsidRDefault="00AC5F91" w:rsidP="00AC5F91">
      <w:pPr>
        <w:rPr>
          <w:color w:val="000000" w:themeColor="text1"/>
        </w:rPr>
      </w:pPr>
    </w:p>
    <w:p w14:paraId="5010839C" w14:textId="77777777" w:rsidR="00ED7795" w:rsidRDefault="00AC5F91" w:rsidP="00ED7795">
      <w:pPr>
        <w:jc w:val="center"/>
        <w:rPr>
          <w:b/>
          <w:bCs/>
          <w:color w:val="2F5496" w:themeColor="accent1" w:themeShade="BF"/>
          <w:sz w:val="32"/>
          <w:szCs w:val="32"/>
        </w:rPr>
      </w:pPr>
      <w:r w:rsidRPr="00097DEE">
        <w:rPr>
          <w:noProof/>
          <w:lang w:val="en-GB" w:eastAsia="en-GB"/>
        </w:rPr>
        <w:lastRenderedPageBreak/>
        <w:drawing>
          <wp:anchor distT="0" distB="0" distL="114300" distR="114300" simplePos="0" relativeHeight="251659264" behindDoc="0" locked="0" layoutInCell="1" allowOverlap="1" wp14:anchorId="4FBC69C9" wp14:editId="51017E4E">
            <wp:simplePos x="0" y="0"/>
            <wp:positionH relativeFrom="margin">
              <wp:align>center</wp:align>
            </wp:positionH>
            <wp:positionV relativeFrom="margin">
              <wp:posOffset>520065</wp:posOffset>
            </wp:positionV>
            <wp:extent cx="7315200" cy="82931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315200" cy="82931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color w:val="2F5496" w:themeColor="accent1" w:themeShade="BF"/>
          <w:sz w:val="32"/>
          <w:szCs w:val="32"/>
        </w:rPr>
        <w:t>Month-by-Month Cash Budget (January 2023 – December</w:t>
      </w:r>
      <w:r w:rsidR="00ED7795">
        <w:rPr>
          <w:b/>
          <w:bCs/>
          <w:color w:val="2F5496" w:themeColor="accent1" w:themeShade="BF"/>
          <w:sz w:val="32"/>
          <w:szCs w:val="32"/>
        </w:rPr>
        <w:t xml:space="preserve"> 2023)</w:t>
      </w:r>
    </w:p>
    <w:p w14:paraId="6A43DA9E" w14:textId="59D91B88" w:rsidR="00ED7795" w:rsidRPr="00ED7795" w:rsidRDefault="00ED7795" w:rsidP="00ED7795">
      <w:pPr>
        <w:jc w:val="center"/>
        <w:rPr>
          <w:b/>
          <w:bCs/>
          <w:color w:val="4472C4" w:themeColor="accent1"/>
          <w:sz w:val="32"/>
          <w:szCs w:val="32"/>
        </w:rPr>
      </w:pPr>
      <w:r w:rsidRPr="00ED7795">
        <w:rPr>
          <w:b/>
          <w:bCs/>
          <w:color w:val="4472C4" w:themeColor="accent1"/>
          <w:sz w:val="32"/>
          <w:szCs w:val="32"/>
        </w:rPr>
        <w:lastRenderedPageBreak/>
        <w:t>TASK 2</w:t>
      </w:r>
    </w:p>
    <w:sdt>
      <w:sdtPr>
        <w:rPr>
          <w:rFonts w:ascii="Times New Roman" w:eastAsiaTheme="minorHAnsi" w:hAnsi="Times New Roman" w:cs="Times New Roman"/>
          <w:color w:val="auto"/>
          <w:sz w:val="24"/>
          <w:szCs w:val="24"/>
        </w:rPr>
        <w:id w:val="944965866"/>
        <w:docPartObj>
          <w:docPartGallery w:val="Table of Contents"/>
          <w:docPartUnique/>
        </w:docPartObj>
      </w:sdtPr>
      <w:sdtEndPr>
        <w:rPr>
          <w:b/>
          <w:bCs/>
          <w:noProof/>
        </w:rPr>
      </w:sdtEndPr>
      <w:sdtContent>
        <w:p w14:paraId="21850B42" w14:textId="77777777" w:rsidR="00ED7795" w:rsidRDefault="00ED7795" w:rsidP="00ED7795">
          <w:pPr>
            <w:pStyle w:val="TOCHeading"/>
          </w:pPr>
          <w:r>
            <w:t>Contents</w:t>
          </w:r>
        </w:p>
        <w:p w14:paraId="080DA5E4" w14:textId="77777777" w:rsidR="00ED7795" w:rsidRDefault="00ED7795" w:rsidP="00ED7795">
          <w:pPr>
            <w:pStyle w:val="TOC1"/>
            <w:rPr>
              <w:rFonts w:asciiTheme="minorHAnsi" w:eastAsiaTheme="minorEastAsia" w:hAnsiTheme="minorHAnsi" w:cstheme="minorBidi"/>
              <w:b w:val="0"/>
              <w:bCs w:val="0"/>
              <w:sz w:val="22"/>
              <w:szCs w:val="22"/>
            </w:rPr>
          </w:pPr>
          <w:r>
            <w:fldChar w:fldCharType="begin"/>
          </w:r>
          <w:r>
            <w:instrText xml:space="preserve"> TOC \o "1-3" \h \z \u </w:instrText>
          </w:r>
          <w:r>
            <w:fldChar w:fldCharType="separate"/>
          </w:r>
          <w:hyperlink w:anchor="_Toc106859684" w:history="1">
            <w:r w:rsidRPr="0049596A">
              <w:rPr>
                <w:rStyle w:val="Hyperlink"/>
                <w:rFonts w:ascii="Times New Roman" w:hAnsi="Times New Roman"/>
              </w:rPr>
              <w:t>Introduction</w:t>
            </w:r>
            <w:r>
              <w:rPr>
                <w:webHidden/>
              </w:rPr>
              <w:tab/>
            </w:r>
            <w:r>
              <w:rPr>
                <w:webHidden/>
              </w:rPr>
              <w:fldChar w:fldCharType="begin"/>
            </w:r>
            <w:r>
              <w:rPr>
                <w:webHidden/>
              </w:rPr>
              <w:instrText xml:space="preserve"> PAGEREF _Toc106859684 \h </w:instrText>
            </w:r>
            <w:r>
              <w:rPr>
                <w:webHidden/>
              </w:rPr>
            </w:r>
            <w:r>
              <w:rPr>
                <w:webHidden/>
              </w:rPr>
              <w:fldChar w:fldCharType="separate"/>
            </w:r>
            <w:r>
              <w:rPr>
                <w:webHidden/>
              </w:rPr>
              <w:t>1</w:t>
            </w:r>
            <w:r>
              <w:rPr>
                <w:webHidden/>
              </w:rPr>
              <w:fldChar w:fldCharType="end"/>
            </w:r>
          </w:hyperlink>
        </w:p>
        <w:p w14:paraId="0EA1D72D" w14:textId="77777777" w:rsidR="00ED7795" w:rsidRDefault="00ED7795" w:rsidP="00ED7795">
          <w:pPr>
            <w:pStyle w:val="TOC1"/>
            <w:rPr>
              <w:rFonts w:asciiTheme="minorHAnsi" w:eastAsiaTheme="minorEastAsia" w:hAnsiTheme="minorHAnsi" w:cstheme="minorBidi"/>
              <w:b w:val="0"/>
              <w:bCs w:val="0"/>
              <w:sz w:val="22"/>
              <w:szCs w:val="22"/>
            </w:rPr>
          </w:pPr>
          <w:hyperlink w:anchor="_Toc106859685" w:history="1">
            <w:r w:rsidRPr="0049596A">
              <w:rPr>
                <w:rStyle w:val="Hyperlink"/>
                <w:rFonts w:ascii="Times New Roman" w:hAnsi="Times New Roman"/>
              </w:rPr>
              <w:t>The zero-based budgeting process and its implementation in a business</w:t>
            </w:r>
            <w:r>
              <w:rPr>
                <w:webHidden/>
              </w:rPr>
              <w:tab/>
            </w:r>
            <w:r>
              <w:rPr>
                <w:webHidden/>
              </w:rPr>
              <w:fldChar w:fldCharType="begin"/>
            </w:r>
            <w:r>
              <w:rPr>
                <w:webHidden/>
              </w:rPr>
              <w:instrText xml:space="preserve"> PAGEREF _Toc106859685 \h </w:instrText>
            </w:r>
            <w:r>
              <w:rPr>
                <w:webHidden/>
              </w:rPr>
            </w:r>
            <w:r>
              <w:rPr>
                <w:webHidden/>
              </w:rPr>
              <w:fldChar w:fldCharType="separate"/>
            </w:r>
            <w:r>
              <w:rPr>
                <w:webHidden/>
              </w:rPr>
              <w:t>2</w:t>
            </w:r>
            <w:r>
              <w:rPr>
                <w:webHidden/>
              </w:rPr>
              <w:fldChar w:fldCharType="end"/>
            </w:r>
          </w:hyperlink>
        </w:p>
        <w:p w14:paraId="71C8876D" w14:textId="77777777" w:rsidR="00ED7795" w:rsidRDefault="00ED7795" w:rsidP="00ED7795">
          <w:pPr>
            <w:pStyle w:val="TOC1"/>
            <w:rPr>
              <w:rFonts w:asciiTheme="minorHAnsi" w:eastAsiaTheme="minorEastAsia" w:hAnsiTheme="minorHAnsi" w:cstheme="minorBidi"/>
              <w:b w:val="0"/>
              <w:bCs w:val="0"/>
              <w:sz w:val="22"/>
              <w:szCs w:val="22"/>
            </w:rPr>
          </w:pPr>
          <w:hyperlink w:anchor="_Toc106859686" w:history="1">
            <w:r w:rsidRPr="0049596A">
              <w:rPr>
                <w:rStyle w:val="Hyperlink"/>
                <w:rFonts w:ascii="Times New Roman" w:hAnsi="Times New Roman"/>
              </w:rPr>
              <w:t>The process of Implementing Zero-based budgeting in an organization</w:t>
            </w:r>
            <w:r>
              <w:rPr>
                <w:webHidden/>
              </w:rPr>
              <w:tab/>
            </w:r>
            <w:r>
              <w:rPr>
                <w:webHidden/>
              </w:rPr>
              <w:fldChar w:fldCharType="begin"/>
            </w:r>
            <w:r>
              <w:rPr>
                <w:webHidden/>
              </w:rPr>
              <w:instrText xml:space="preserve"> PAGEREF _Toc106859686 \h </w:instrText>
            </w:r>
            <w:r>
              <w:rPr>
                <w:webHidden/>
              </w:rPr>
            </w:r>
            <w:r>
              <w:rPr>
                <w:webHidden/>
              </w:rPr>
              <w:fldChar w:fldCharType="separate"/>
            </w:r>
            <w:r>
              <w:rPr>
                <w:webHidden/>
              </w:rPr>
              <w:t>4</w:t>
            </w:r>
            <w:r>
              <w:rPr>
                <w:webHidden/>
              </w:rPr>
              <w:fldChar w:fldCharType="end"/>
            </w:r>
          </w:hyperlink>
        </w:p>
        <w:p w14:paraId="350055A3" w14:textId="77777777" w:rsidR="00ED7795" w:rsidRDefault="00ED7795" w:rsidP="00ED7795">
          <w:pPr>
            <w:pStyle w:val="TOC1"/>
            <w:rPr>
              <w:rFonts w:asciiTheme="minorHAnsi" w:eastAsiaTheme="minorEastAsia" w:hAnsiTheme="minorHAnsi" w:cstheme="minorBidi"/>
              <w:b w:val="0"/>
              <w:bCs w:val="0"/>
              <w:sz w:val="22"/>
              <w:szCs w:val="22"/>
            </w:rPr>
          </w:pPr>
          <w:hyperlink w:anchor="_Toc106859687" w:history="1">
            <w:r w:rsidRPr="0049596A">
              <w:rPr>
                <w:rStyle w:val="Hyperlink"/>
                <w:rFonts w:ascii="Times New Roman" w:hAnsi="Times New Roman"/>
              </w:rPr>
              <w:t>The importance of budgetary control for supporting Business Sustainability</w:t>
            </w:r>
            <w:r>
              <w:rPr>
                <w:webHidden/>
              </w:rPr>
              <w:tab/>
            </w:r>
            <w:r>
              <w:rPr>
                <w:webHidden/>
              </w:rPr>
              <w:fldChar w:fldCharType="begin"/>
            </w:r>
            <w:r>
              <w:rPr>
                <w:webHidden/>
              </w:rPr>
              <w:instrText xml:space="preserve"> PAGEREF _Toc106859687 \h </w:instrText>
            </w:r>
            <w:r>
              <w:rPr>
                <w:webHidden/>
              </w:rPr>
            </w:r>
            <w:r>
              <w:rPr>
                <w:webHidden/>
              </w:rPr>
              <w:fldChar w:fldCharType="separate"/>
            </w:r>
            <w:r>
              <w:rPr>
                <w:webHidden/>
              </w:rPr>
              <w:t>6</w:t>
            </w:r>
            <w:r>
              <w:rPr>
                <w:webHidden/>
              </w:rPr>
              <w:fldChar w:fldCharType="end"/>
            </w:r>
          </w:hyperlink>
        </w:p>
        <w:p w14:paraId="68E21D90" w14:textId="77777777" w:rsidR="00ED7795" w:rsidRDefault="00ED7795" w:rsidP="00ED7795">
          <w:pPr>
            <w:pStyle w:val="TOC1"/>
            <w:rPr>
              <w:rFonts w:asciiTheme="minorHAnsi" w:eastAsiaTheme="minorEastAsia" w:hAnsiTheme="minorHAnsi" w:cstheme="minorBidi"/>
              <w:b w:val="0"/>
              <w:bCs w:val="0"/>
              <w:sz w:val="22"/>
              <w:szCs w:val="22"/>
            </w:rPr>
          </w:pPr>
          <w:hyperlink w:anchor="_Toc106859688" w:history="1">
            <w:r w:rsidRPr="0049596A">
              <w:rPr>
                <w:rStyle w:val="Hyperlink"/>
                <w:rFonts w:ascii="Times New Roman" w:hAnsi="Times New Roman"/>
              </w:rPr>
              <w:t>Recommendation and Conclusion</w:t>
            </w:r>
            <w:r>
              <w:rPr>
                <w:webHidden/>
              </w:rPr>
              <w:tab/>
            </w:r>
            <w:r>
              <w:rPr>
                <w:webHidden/>
              </w:rPr>
              <w:fldChar w:fldCharType="begin"/>
            </w:r>
            <w:r>
              <w:rPr>
                <w:webHidden/>
              </w:rPr>
              <w:instrText xml:space="preserve"> PAGEREF _Toc106859688 \h </w:instrText>
            </w:r>
            <w:r>
              <w:rPr>
                <w:webHidden/>
              </w:rPr>
            </w:r>
            <w:r>
              <w:rPr>
                <w:webHidden/>
              </w:rPr>
              <w:fldChar w:fldCharType="separate"/>
            </w:r>
            <w:r>
              <w:rPr>
                <w:webHidden/>
              </w:rPr>
              <w:t>7</w:t>
            </w:r>
            <w:r>
              <w:rPr>
                <w:webHidden/>
              </w:rPr>
              <w:fldChar w:fldCharType="end"/>
            </w:r>
          </w:hyperlink>
        </w:p>
        <w:p w14:paraId="459504DD" w14:textId="77777777" w:rsidR="00ED7795" w:rsidRDefault="00ED7795" w:rsidP="00ED7795">
          <w:pPr>
            <w:pStyle w:val="TOC1"/>
            <w:rPr>
              <w:rFonts w:asciiTheme="minorHAnsi" w:eastAsiaTheme="minorEastAsia" w:hAnsiTheme="minorHAnsi" w:cstheme="minorBidi"/>
              <w:b w:val="0"/>
              <w:bCs w:val="0"/>
              <w:sz w:val="22"/>
              <w:szCs w:val="22"/>
            </w:rPr>
          </w:pPr>
          <w:hyperlink w:anchor="_Toc106859689" w:history="1">
            <w:r w:rsidRPr="0049596A">
              <w:rPr>
                <w:rStyle w:val="Hyperlink"/>
              </w:rPr>
              <w:t>References</w:t>
            </w:r>
            <w:r>
              <w:rPr>
                <w:webHidden/>
              </w:rPr>
              <w:tab/>
            </w:r>
            <w:r>
              <w:rPr>
                <w:webHidden/>
              </w:rPr>
              <w:fldChar w:fldCharType="begin"/>
            </w:r>
            <w:r>
              <w:rPr>
                <w:webHidden/>
              </w:rPr>
              <w:instrText xml:space="preserve"> PAGEREF _Toc106859689 \h </w:instrText>
            </w:r>
            <w:r>
              <w:rPr>
                <w:webHidden/>
              </w:rPr>
            </w:r>
            <w:r>
              <w:rPr>
                <w:webHidden/>
              </w:rPr>
              <w:fldChar w:fldCharType="separate"/>
            </w:r>
            <w:r>
              <w:rPr>
                <w:webHidden/>
              </w:rPr>
              <w:t>8</w:t>
            </w:r>
            <w:r>
              <w:rPr>
                <w:webHidden/>
              </w:rPr>
              <w:fldChar w:fldCharType="end"/>
            </w:r>
          </w:hyperlink>
        </w:p>
        <w:p w14:paraId="00E86D2D" w14:textId="77777777" w:rsidR="00ED7795" w:rsidRDefault="00ED7795" w:rsidP="00ED7795">
          <w:pPr>
            <w:pStyle w:val="TOC1"/>
            <w:rPr>
              <w:rFonts w:asciiTheme="minorHAnsi" w:eastAsiaTheme="minorEastAsia" w:hAnsiTheme="minorHAnsi" w:cstheme="minorBidi"/>
              <w:b w:val="0"/>
              <w:bCs w:val="0"/>
              <w:sz w:val="22"/>
              <w:szCs w:val="22"/>
            </w:rPr>
          </w:pPr>
          <w:hyperlink w:anchor="_Toc106859690" w:history="1">
            <w:r w:rsidRPr="0049596A">
              <w:rPr>
                <w:rStyle w:val="Hyperlink"/>
                <w:rFonts w:ascii="Times New Roman" w:eastAsia="Calibri" w:hAnsi="Times New Roman"/>
              </w:rPr>
              <w:t>Appendix 1</w:t>
            </w:r>
            <w:r>
              <w:rPr>
                <w:webHidden/>
              </w:rPr>
              <w:tab/>
            </w:r>
            <w:r>
              <w:rPr>
                <w:webHidden/>
              </w:rPr>
              <w:fldChar w:fldCharType="begin"/>
            </w:r>
            <w:r>
              <w:rPr>
                <w:webHidden/>
              </w:rPr>
              <w:instrText xml:space="preserve"> PAGEREF _Toc106859690 \h </w:instrText>
            </w:r>
            <w:r>
              <w:rPr>
                <w:webHidden/>
              </w:rPr>
            </w:r>
            <w:r>
              <w:rPr>
                <w:webHidden/>
              </w:rPr>
              <w:fldChar w:fldCharType="separate"/>
            </w:r>
            <w:r>
              <w:rPr>
                <w:webHidden/>
              </w:rPr>
              <w:t>10</w:t>
            </w:r>
            <w:r>
              <w:rPr>
                <w:webHidden/>
              </w:rPr>
              <w:fldChar w:fldCharType="end"/>
            </w:r>
          </w:hyperlink>
        </w:p>
        <w:p w14:paraId="58CB6C64" w14:textId="588E21F6" w:rsidR="00ED7795" w:rsidRPr="00ED7795" w:rsidRDefault="00ED7795" w:rsidP="00ED7795">
          <w:pPr>
            <w:rPr>
              <w:b/>
              <w:bCs/>
              <w:noProof/>
            </w:rPr>
            <w:sectPr w:rsidR="00ED7795" w:rsidRPr="00ED7795">
              <w:pgSz w:w="12240" w:h="15840"/>
              <w:pgMar w:top="1440" w:right="1440" w:bottom="1440" w:left="1440" w:header="720" w:footer="720" w:gutter="0"/>
              <w:cols w:space="720"/>
              <w:docGrid w:linePitch="360"/>
            </w:sectPr>
          </w:pPr>
          <w:r>
            <w:rPr>
              <w:b/>
              <w:bCs/>
              <w:noProof/>
            </w:rPr>
            <w:fldChar w:fldCharType="end"/>
          </w:r>
        </w:p>
      </w:sdtContent>
    </w:sdt>
    <w:p w14:paraId="4DD19759" w14:textId="77777777" w:rsidR="00ED7795" w:rsidRDefault="00ED7795" w:rsidP="00ED7795">
      <w:pPr>
        <w:rPr>
          <w:sz w:val="32"/>
          <w:szCs w:val="32"/>
        </w:rPr>
      </w:pPr>
    </w:p>
    <w:p w14:paraId="7CC28E0A" w14:textId="11095874" w:rsidR="0087218E" w:rsidRPr="00ED7795" w:rsidRDefault="00ED7795" w:rsidP="00ED7795">
      <w:pPr>
        <w:rPr>
          <w:b/>
          <w:bCs/>
          <w:color w:val="2F5496" w:themeColor="accent1" w:themeShade="BF"/>
          <w:sz w:val="32"/>
          <w:szCs w:val="32"/>
        </w:rPr>
      </w:pPr>
      <w:r>
        <w:rPr>
          <w:b/>
          <w:bCs/>
          <w:color w:val="2F5496" w:themeColor="accent1" w:themeShade="BF"/>
          <w:sz w:val="32"/>
          <w:szCs w:val="32"/>
        </w:rPr>
        <w:t>Executive summary</w:t>
      </w:r>
    </w:p>
    <w:p w14:paraId="31249CF5" w14:textId="2C3BA4A6" w:rsidR="0087218E" w:rsidRDefault="009C7CFA" w:rsidP="0087218E">
      <w:r w:rsidRPr="009C7CFA">
        <w:t xml:space="preserve">Budgeting is an essential part of every business. A company's costs and income figures must be consistent </w:t>
      </w:r>
      <w:r w:rsidR="00AD71FC">
        <w:t>for</w:t>
      </w:r>
      <w:r w:rsidRPr="009C7CFA">
        <w:t xml:space="preserve"> it to survive in the long run. In today's world, several various budgeting approaches are used in this process</w:t>
      </w:r>
      <w:r w:rsidR="00B87D31" w:rsidRPr="00B87D31">
        <w:t xml:space="preserve"> </w:t>
      </w:r>
      <w:r w:rsidR="00B87D31">
        <w:t>(</w:t>
      </w:r>
      <w:proofErr w:type="spellStart"/>
      <w:proofErr w:type="gramStart"/>
      <w:r w:rsidR="00B87D31" w:rsidRPr="00B87D31">
        <w:t>B</w:t>
      </w:r>
      <w:r w:rsidR="00B87D31">
        <w:t>oglan</w:t>
      </w:r>
      <w:proofErr w:type="spellEnd"/>
      <w:r w:rsidR="00B87D31" w:rsidRPr="00B87D31">
        <w:t>,</w:t>
      </w:r>
      <w:r w:rsidR="00B87D31">
        <w:t xml:space="preserve"> </w:t>
      </w:r>
      <w:r w:rsidR="00B87D31" w:rsidRPr="00B87D31">
        <w:t xml:space="preserve"> 2011</w:t>
      </w:r>
      <w:proofErr w:type="gramEnd"/>
      <w:r w:rsidR="00B87D31">
        <w:t>)</w:t>
      </w:r>
      <w:r w:rsidRPr="009C7CFA">
        <w:t>. The zero-base budgeting strategy is one of these strategies. Budgeting is the last resort in modern business, but with the introduction of zero-base budgeting, keeping track of business spending has become more efficient. Zero-based Budgeting ensures that business expenses are adequately managed and eliminates the shortcomings of other budgeting methods such as traditional budgeting</w:t>
      </w:r>
      <w:r w:rsidR="00AF2A16" w:rsidRPr="00AF2A16">
        <w:rPr>
          <w:rFonts w:eastAsia="Calibri"/>
        </w:rPr>
        <w:t xml:space="preserve"> </w:t>
      </w:r>
      <w:r w:rsidR="00AF2A16">
        <w:rPr>
          <w:rFonts w:eastAsia="Calibri"/>
        </w:rPr>
        <w:t>(</w:t>
      </w:r>
      <w:r w:rsidR="00AF2A16" w:rsidRPr="00B87D31">
        <w:t>Penning, 2012</w:t>
      </w:r>
      <w:r w:rsidR="00AF2A16">
        <w:t>)</w:t>
      </w:r>
      <w:r w:rsidRPr="009C7CFA">
        <w:t>.</w:t>
      </w:r>
      <w:r>
        <w:t xml:space="preserve"> </w:t>
      </w:r>
    </w:p>
    <w:p w14:paraId="1B4CC175" w14:textId="77777777" w:rsidR="00B17732" w:rsidRDefault="00B17732" w:rsidP="0087218E">
      <w:pPr>
        <w:sectPr w:rsidR="00B17732" w:rsidSect="00443493">
          <w:footerReference w:type="default" r:id="rId10"/>
          <w:pgSz w:w="12240" w:h="15840"/>
          <w:pgMar w:top="1440" w:right="1440" w:bottom="1440" w:left="1440" w:header="720" w:footer="720" w:gutter="0"/>
          <w:pgNumType w:start="1"/>
          <w:cols w:space="720"/>
          <w:docGrid w:linePitch="360"/>
        </w:sectPr>
      </w:pPr>
      <w:r w:rsidRPr="00B17732">
        <w:t>The purpose of this research is to demonstrate the understanding of zero-based budgeting and traditional budgeting. The advantages of zero-base budgeting vs incremental or traditional budgeting are compared and contrasted in this study. This research also explains how to implement zero-based budgeting in the workplace. Finally, the importance of budget control in ensuring a corporation's long-term viability is investigated in this study.</w:t>
      </w:r>
    </w:p>
    <w:p w14:paraId="3E4CA00C" w14:textId="2D7EF2DA" w:rsidR="009C7CFA" w:rsidRDefault="00B17732" w:rsidP="00CC3307">
      <w:pPr>
        <w:pStyle w:val="Heading1"/>
        <w:rPr>
          <w:rFonts w:ascii="Times New Roman" w:hAnsi="Times New Roman" w:cs="Times New Roman"/>
          <w:b/>
          <w:bCs/>
        </w:rPr>
      </w:pPr>
      <w:bookmarkStart w:id="1" w:name="_Toc106859685"/>
      <w:r w:rsidRPr="00CC3307">
        <w:rPr>
          <w:rFonts w:ascii="Times New Roman" w:hAnsi="Times New Roman" w:cs="Times New Roman"/>
          <w:b/>
          <w:bCs/>
        </w:rPr>
        <w:lastRenderedPageBreak/>
        <w:t>The zero-based budgeti</w:t>
      </w:r>
      <w:r w:rsidR="00CC3307" w:rsidRPr="00CC3307">
        <w:rPr>
          <w:rFonts w:ascii="Times New Roman" w:hAnsi="Times New Roman" w:cs="Times New Roman"/>
          <w:b/>
          <w:bCs/>
        </w:rPr>
        <w:t>ng process and its implementation in a business</w:t>
      </w:r>
      <w:bookmarkEnd w:id="1"/>
    </w:p>
    <w:p w14:paraId="7A3767FD" w14:textId="6AC43C9D" w:rsidR="00CC3307" w:rsidRDefault="00EB3224" w:rsidP="00CC3307">
      <w:r w:rsidRPr="00EB3224">
        <w:t>Zero-based budgeting is a budgeting strategy in which all budgeting decisions are analyzed and all funding and spending components are started from zero</w:t>
      </w:r>
      <w:r w:rsidR="00CB0C4A" w:rsidRPr="00CB0C4A">
        <w:rPr>
          <w:rFonts w:eastAsia="Calibri"/>
        </w:rPr>
        <w:t xml:space="preserve"> </w:t>
      </w:r>
      <w:r w:rsidR="00CB0C4A">
        <w:rPr>
          <w:rFonts w:eastAsia="Calibri"/>
        </w:rPr>
        <w:t>(</w:t>
      </w:r>
      <w:r w:rsidR="00CB0C4A" w:rsidRPr="00B87D31">
        <w:t>Vadapalli, 2021</w:t>
      </w:r>
      <w:r w:rsidR="00CB0C4A">
        <w:t>)</w:t>
      </w:r>
      <w:r w:rsidRPr="00EB3224">
        <w:t>. The decision package refers to the reviewed actions and programs. And it is from these decision packages that all future session plans are derived.</w:t>
      </w:r>
      <w:r w:rsidR="00304613">
        <w:t xml:space="preserve"> </w:t>
      </w:r>
      <w:r w:rsidR="00304613" w:rsidRPr="00304613">
        <w:t>When companies take the time to question assumptions that have defined budgets in the past, they can determine if expenditures are justified given the current environment and the organization's projected trajectory. Zero-based budgeting can be used in both the private and public sectors. According to studies, ZBB is best suited for established enterprises with stalled growth and a need for cost savings</w:t>
      </w:r>
      <w:r w:rsidR="000F308B" w:rsidRPr="000F308B">
        <w:rPr>
          <w:rFonts w:eastAsia="Calibri"/>
        </w:rPr>
        <w:t xml:space="preserve"> </w:t>
      </w:r>
      <w:r w:rsidR="000F308B">
        <w:rPr>
          <w:rFonts w:eastAsia="Calibri"/>
        </w:rPr>
        <w:t>(</w:t>
      </w:r>
      <w:r w:rsidR="000F308B" w:rsidRPr="00B87D31">
        <w:t>MIKESELL, and MULLINS, 2011</w:t>
      </w:r>
      <w:r w:rsidR="000F308B">
        <w:t>)</w:t>
      </w:r>
      <w:r w:rsidR="00304613" w:rsidRPr="00304613">
        <w:t xml:space="preserve">. </w:t>
      </w:r>
      <w:r w:rsidR="0027614D" w:rsidRPr="00304613">
        <w:t xml:space="preserve">FMCG, </w:t>
      </w:r>
      <w:r w:rsidR="0027614D">
        <w:t>m</w:t>
      </w:r>
      <w:r w:rsidR="0027614D" w:rsidRPr="00304613">
        <w:t>arketing</w:t>
      </w:r>
      <w:r w:rsidR="00304613" w:rsidRPr="00304613">
        <w:t xml:space="preserve"> agencies, financial services, the service sector, hospitality, internet merchants, and the healthcare business are all public and private industries that can benefit from ZBB.</w:t>
      </w:r>
      <w:r w:rsidR="0027614D">
        <w:t xml:space="preserve"> </w:t>
      </w:r>
      <w:r w:rsidR="007C428A">
        <w:t xml:space="preserve">For example, </w:t>
      </w:r>
      <w:r w:rsidR="00AF479F" w:rsidRPr="00AF479F">
        <w:t>Zero-based budgeting is used by multinational firms such as Philip Morris International Inc., General Motors, Walgreen Boots Alliance Inc., Unilever PLC, Kraft Heinz Co., Diageo PLC, Mondelez International Inc., and many others</w:t>
      </w:r>
      <w:r w:rsidR="006E3B86" w:rsidRPr="006E3B86">
        <w:rPr>
          <w:rFonts w:eastAsia="Calibri"/>
        </w:rPr>
        <w:t xml:space="preserve"> </w:t>
      </w:r>
      <w:r w:rsidR="006E3B86">
        <w:rPr>
          <w:rFonts w:eastAsia="Calibri"/>
        </w:rPr>
        <w:t>(</w:t>
      </w:r>
      <w:r w:rsidR="006E3B86" w:rsidRPr="00B87D31">
        <w:t>C</w:t>
      </w:r>
      <w:r w:rsidR="006E3B86" w:rsidRPr="006E3B86">
        <w:t>hristopher</w:t>
      </w:r>
      <w:r w:rsidR="006E3B86" w:rsidRPr="00B87D31">
        <w:t>, 2018</w:t>
      </w:r>
      <w:r w:rsidR="006E3B86">
        <w:t>)</w:t>
      </w:r>
      <w:r w:rsidR="00AF479F" w:rsidRPr="00AF479F">
        <w:t>.</w:t>
      </w:r>
    </w:p>
    <w:p w14:paraId="61D3A1AC" w14:textId="4350FE0C" w:rsidR="00244ED3" w:rsidRDefault="000E4B35" w:rsidP="006E3B86">
      <w:r w:rsidRPr="000E4B35">
        <w:t xml:space="preserve">Traditional budgeting, on the other hand, is one of the </w:t>
      </w:r>
      <w:r w:rsidR="00EB4BE4">
        <w:t>popular methods</w:t>
      </w:r>
      <w:r w:rsidRPr="000E4B35">
        <w:t xml:space="preserve"> for a company's budget preparation for a certain period under consideration</w:t>
      </w:r>
      <w:r w:rsidR="00EB4BE4">
        <w:t xml:space="preserve"> </w:t>
      </w:r>
      <w:r w:rsidR="00EB4BE4" w:rsidRPr="00EB4BE4">
        <w:t>in which the new year's budget is created using the budget from the preceding year as a guide</w:t>
      </w:r>
      <w:r w:rsidR="00AF2A16" w:rsidRPr="00AF2A16">
        <w:rPr>
          <w:rFonts w:eastAsia="Calibri"/>
        </w:rPr>
        <w:t xml:space="preserve"> </w:t>
      </w:r>
      <w:r w:rsidR="00AF2A16">
        <w:rPr>
          <w:rFonts w:eastAsia="Calibri"/>
        </w:rPr>
        <w:t>(</w:t>
      </w:r>
      <w:proofErr w:type="spellStart"/>
      <w:r w:rsidR="00AF2A16" w:rsidRPr="00B87D31">
        <w:t>Pyhrr</w:t>
      </w:r>
      <w:proofErr w:type="spellEnd"/>
      <w:r w:rsidR="00AF2A16" w:rsidRPr="00B87D31">
        <w:t>,</w:t>
      </w:r>
      <w:r w:rsidR="00AF2A16">
        <w:t xml:space="preserve"> </w:t>
      </w:r>
      <w:r w:rsidR="00AF2A16" w:rsidRPr="00B87D31">
        <w:t>2019</w:t>
      </w:r>
      <w:r w:rsidR="00AF2A16">
        <w:t>)</w:t>
      </w:r>
      <w:r w:rsidR="00EB4BE4" w:rsidRPr="00EB4BE4">
        <w:t xml:space="preserve">. In this instance, the budget for the present year is produced by charging the budget for the prior </w:t>
      </w:r>
      <w:r w:rsidR="00FA5465" w:rsidRPr="00EB4BE4">
        <w:t>year.</w:t>
      </w:r>
      <w:r w:rsidR="00FA5465">
        <w:t xml:space="preserve"> In this case, the benefit is the simplicity of the method</w:t>
      </w:r>
      <w:r w:rsidRPr="000E4B35">
        <w:t xml:space="preserve">. If a corporation uses this method of budgeting, it won't have to </w:t>
      </w:r>
      <w:r w:rsidR="00FA5465">
        <w:t xml:space="preserve">prepare </w:t>
      </w:r>
      <w:r w:rsidRPr="000E4B35">
        <w:t>the list</w:t>
      </w:r>
      <w:r w:rsidR="00FA5465">
        <w:t xml:space="preserve"> from the beginning</w:t>
      </w:r>
      <w:r w:rsidRPr="000E4B35">
        <w:t>. Instead, the</w:t>
      </w:r>
      <w:r w:rsidR="00FA5465">
        <w:t xml:space="preserve"> company</w:t>
      </w:r>
      <w:r w:rsidRPr="000E4B35">
        <w:t xml:space="preserve"> can look at last year's </w:t>
      </w:r>
      <w:r w:rsidR="00FA5465">
        <w:t xml:space="preserve">expenditure </w:t>
      </w:r>
      <w:r w:rsidRPr="000E4B35">
        <w:t xml:space="preserve">and then </w:t>
      </w:r>
      <w:r w:rsidR="00FA5465">
        <w:t xml:space="preserve">calculate the budget </w:t>
      </w:r>
      <w:r w:rsidRPr="000E4B35">
        <w:t>based on inflation, client demand, market conditions, and so on.</w:t>
      </w:r>
      <w:r w:rsidR="000D5BE0">
        <w:t xml:space="preserve"> But the traditional budgeting approach has </w:t>
      </w:r>
      <w:r w:rsidR="00244ED3">
        <w:t>many</w:t>
      </w:r>
      <w:r w:rsidR="000D5BE0">
        <w:t xml:space="preserve"> shortcomings that zero-based budgeting considers. </w:t>
      </w:r>
      <w:r w:rsidR="00244ED3">
        <w:t>Due to market and corporate policy shifts, budgeting decisions might change dramatically</w:t>
      </w:r>
      <w:r w:rsidR="006E3B86" w:rsidRPr="006E3B86">
        <w:rPr>
          <w:rFonts w:eastAsia="Calibri"/>
        </w:rPr>
        <w:t xml:space="preserve"> </w:t>
      </w:r>
      <w:r w:rsidR="006E3B86">
        <w:rPr>
          <w:rFonts w:eastAsia="Calibri"/>
        </w:rPr>
        <w:t>(</w:t>
      </w:r>
      <w:r w:rsidR="006E3B86" w:rsidRPr="00B87D31">
        <w:t>Heath, 2014</w:t>
      </w:r>
      <w:r w:rsidR="006E3B86">
        <w:t>)</w:t>
      </w:r>
      <w:r w:rsidR="00244ED3">
        <w:t>. Zero-base budgeting creates a budget from the ground up, with no help from previous budgets. The traditional, on the other hand, begins by following the previous budget.</w:t>
      </w:r>
    </w:p>
    <w:p w14:paraId="65C2EAA3" w14:textId="24B8BA37" w:rsidR="00AF479F" w:rsidRDefault="00244ED3" w:rsidP="00244ED3">
      <w:r>
        <w:t>The following are some of the reasons why zero-base budgeting is better than traditional budgeting:</w:t>
      </w:r>
    </w:p>
    <w:p w14:paraId="5DCCA28D" w14:textId="460454DD" w:rsidR="00244ED3" w:rsidRDefault="009F35F8" w:rsidP="00244ED3">
      <w:pPr>
        <w:pStyle w:val="ListParagraph"/>
        <w:numPr>
          <w:ilvl w:val="0"/>
          <w:numId w:val="1"/>
        </w:numPr>
      </w:pPr>
      <w:r w:rsidRPr="009F35F8">
        <w:lastRenderedPageBreak/>
        <w:t>There is no tendency in traditional budgeting for checking the cost decisions to be made, and there is no review of checking. Only the budget is based on the acts of the preceding period. Zero-based budgeting, on the other hand, tracks and evaluates every running cost and determines whether or not to go over budget. As a result, ZBB assists in reducing unnecessary costs and increasing company savings</w:t>
      </w:r>
      <w:r w:rsidR="00AF2A16" w:rsidRPr="00AF2A16">
        <w:rPr>
          <w:rFonts w:eastAsia="Calibri"/>
        </w:rPr>
        <w:t xml:space="preserve"> </w:t>
      </w:r>
      <w:r w:rsidR="00AF2A16">
        <w:rPr>
          <w:rFonts w:eastAsia="Calibri"/>
        </w:rPr>
        <w:t>(</w:t>
      </w:r>
      <w:r w:rsidR="00AF2A16" w:rsidRPr="00B87D31">
        <w:t>O'Brien, 2020</w:t>
      </w:r>
      <w:r w:rsidR="00AF2A16">
        <w:t>)</w:t>
      </w:r>
      <w:r w:rsidRPr="009F35F8">
        <w:t>.</w:t>
      </w:r>
    </w:p>
    <w:p w14:paraId="1762CBDE" w14:textId="23A8960B" w:rsidR="009F35F8" w:rsidRDefault="003F5589" w:rsidP="00244ED3">
      <w:pPr>
        <w:pStyle w:val="ListParagraph"/>
        <w:numPr>
          <w:ilvl w:val="0"/>
          <w:numId w:val="1"/>
        </w:numPr>
      </w:pPr>
      <w:r w:rsidRPr="003F5589">
        <w:t>The traditional definition of budgeting does not promote expected behavior. A company should provide more resources to divisions where employees regularly innovate and put company objectives first if it wants to foster creative and devoted behavior</w:t>
      </w:r>
      <w:r w:rsidR="00CB0C4A" w:rsidRPr="00CB0C4A">
        <w:rPr>
          <w:rFonts w:eastAsia="Calibri"/>
        </w:rPr>
        <w:t xml:space="preserve"> </w:t>
      </w:r>
      <w:r w:rsidR="00CB0C4A">
        <w:rPr>
          <w:rFonts w:eastAsia="Calibri"/>
        </w:rPr>
        <w:t>(</w:t>
      </w:r>
      <w:proofErr w:type="spellStart"/>
      <w:r w:rsidR="00CB0C4A" w:rsidRPr="00B87D31">
        <w:t>Westerfield</w:t>
      </w:r>
      <w:proofErr w:type="spellEnd"/>
      <w:r w:rsidR="00CB0C4A" w:rsidRPr="00B87D31">
        <w:t>, 2011</w:t>
      </w:r>
      <w:r w:rsidR="00CB0C4A">
        <w:t>)</w:t>
      </w:r>
      <w:r w:rsidRPr="003F5589">
        <w:t>. The intended behaviors, however, cannot be emphasized because this planning is based on expenditure from the previous year.</w:t>
      </w:r>
      <w:r>
        <w:t xml:space="preserve"> </w:t>
      </w:r>
      <w:r w:rsidR="00D736FC" w:rsidRPr="00D736FC">
        <w:t xml:space="preserve">Zero-based budgeting, on the other hand, fosters expected behaviors by starting budget planning from </w:t>
      </w:r>
      <w:r w:rsidR="00D736FC">
        <w:t xml:space="preserve">the </w:t>
      </w:r>
      <w:r w:rsidR="00D736FC" w:rsidRPr="00D736FC">
        <w:t>beginning.</w:t>
      </w:r>
      <w:r w:rsidR="007C428A">
        <w:t xml:space="preserve"> </w:t>
      </w:r>
      <w:r w:rsidR="007C428A" w:rsidRPr="007C428A">
        <w:t>A flourishing family business, for example, wants to hire a delivery driver for the new fiscal year. New costs include the purchase of a vehicle, insurance, and the hiring of a salaried staff with benefits</w:t>
      </w:r>
      <w:r w:rsidR="00CB0C4A" w:rsidRPr="00CB0C4A">
        <w:rPr>
          <w:rFonts w:eastAsia="Calibri"/>
        </w:rPr>
        <w:t xml:space="preserve"> </w:t>
      </w:r>
      <w:r w:rsidR="00CB0C4A">
        <w:rPr>
          <w:rFonts w:eastAsia="Calibri"/>
        </w:rPr>
        <w:t>(</w:t>
      </w:r>
      <w:proofErr w:type="spellStart"/>
      <w:r w:rsidR="00CB0C4A" w:rsidRPr="00B87D31">
        <w:t>Surianti</w:t>
      </w:r>
      <w:proofErr w:type="spellEnd"/>
      <w:r w:rsidR="00CB0C4A" w:rsidRPr="00B87D31">
        <w:t>, 2016</w:t>
      </w:r>
      <w:r w:rsidR="00CB0C4A">
        <w:t>)</w:t>
      </w:r>
      <w:r w:rsidR="007C428A" w:rsidRPr="007C428A">
        <w:t>. They will begin estimating the budget for the following year by starting with a zero. Based on last year's budget and revenue, the company can then forecast how much money they'll make and where they'll spend it so they may hire a delivery driver</w:t>
      </w:r>
      <w:r w:rsidR="000F308B" w:rsidRPr="000F308B">
        <w:rPr>
          <w:rFonts w:eastAsia="Calibri"/>
        </w:rPr>
        <w:t xml:space="preserve"> </w:t>
      </w:r>
      <w:r w:rsidR="000F308B">
        <w:rPr>
          <w:rFonts w:eastAsia="Calibri"/>
        </w:rPr>
        <w:t>(</w:t>
      </w:r>
      <w:r w:rsidR="000F308B" w:rsidRPr="00B87D31">
        <w:t>Ibrahim, 2013</w:t>
      </w:r>
      <w:r w:rsidR="000F308B">
        <w:t>)</w:t>
      </w:r>
      <w:r w:rsidR="007C428A" w:rsidRPr="007C428A">
        <w:t>.</w:t>
      </w:r>
    </w:p>
    <w:p w14:paraId="68541652" w14:textId="5123D09B" w:rsidR="00D736FC" w:rsidRDefault="00351440" w:rsidP="00244ED3">
      <w:pPr>
        <w:pStyle w:val="ListParagraph"/>
        <w:numPr>
          <w:ilvl w:val="0"/>
          <w:numId w:val="1"/>
        </w:numPr>
      </w:pPr>
      <w:r w:rsidRPr="00351440">
        <w:t xml:space="preserve">Traditional budgeting has the flaw of not ensuring that spending and strategy are in sync. Every year's plan differs in the real world because every company aims </w:t>
      </w:r>
      <w:r w:rsidR="00AD71FC">
        <w:t>for</w:t>
      </w:r>
      <w:r w:rsidRPr="00351440">
        <w:t xml:space="preserve"> higher success </w:t>
      </w:r>
      <w:r w:rsidR="000D0057" w:rsidRPr="00351440">
        <w:t>with</w:t>
      </w:r>
      <w:r w:rsidRPr="00351440">
        <w:t xml:space="preserve"> a comparable expenditure scenario, it would be </w:t>
      </w:r>
      <w:r w:rsidR="003F5589">
        <w:t>not possible</w:t>
      </w:r>
      <w:r w:rsidRPr="00351440">
        <w:t xml:space="preserve"> for a corporation to be a year-to-year profit and growth strategist. This is a weakness in traditional budgeting that zero-based planning helps to prevent.</w:t>
      </w:r>
    </w:p>
    <w:p w14:paraId="1D9711E0" w14:textId="22EDCAF8" w:rsidR="00281311" w:rsidRDefault="000D0057" w:rsidP="006E3B86">
      <w:pPr>
        <w:pStyle w:val="ListParagraph"/>
        <w:numPr>
          <w:ilvl w:val="0"/>
          <w:numId w:val="1"/>
        </w:numPr>
        <w:spacing w:before="240"/>
        <w:sectPr w:rsidR="00281311">
          <w:pgSz w:w="12240" w:h="15840"/>
          <w:pgMar w:top="1440" w:right="1440" w:bottom="1440" w:left="1440" w:header="720" w:footer="720" w:gutter="0"/>
          <w:cols w:space="720"/>
          <w:docGrid w:linePitch="360"/>
        </w:sectPr>
      </w:pPr>
      <w:r w:rsidRPr="000D0057">
        <w:t>Because typical planning uses the previous year's data points as a starting point, budget estimates for the following year will be inaccurate. This is because assuring correctness is very difficult without proper reasoning and strategy. ZBB, on the other hand, delivers nearly precise projections as users examine the factors, look at future strategic plans, and then budget the spending for the next year from fresh</w:t>
      </w:r>
      <w:r w:rsidR="006E3B86" w:rsidRPr="006E3B86">
        <w:rPr>
          <w:rFonts w:eastAsia="Calibri"/>
        </w:rPr>
        <w:t xml:space="preserve"> </w:t>
      </w:r>
      <w:r w:rsidR="00AF2A16">
        <w:rPr>
          <w:rFonts w:eastAsia="Calibri"/>
        </w:rPr>
        <w:t>(</w:t>
      </w:r>
      <w:r w:rsidR="006E3B86" w:rsidRPr="00B87D31">
        <w:t>Ekanem, 2017</w:t>
      </w:r>
      <w:r w:rsidR="00AF2A16">
        <w:t>)</w:t>
      </w:r>
      <w:r w:rsidRPr="000D0057">
        <w:t>.</w:t>
      </w:r>
    </w:p>
    <w:p w14:paraId="110E1F0F" w14:textId="2B5087CB" w:rsidR="00351440" w:rsidRDefault="00AD71FC" w:rsidP="00AD71FC">
      <w:pPr>
        <w:pStyle w:val="Heading1"/>
        <w:rPr>
          <w:rFonts w:ascii="Times New Roman" w:hAnsi="Times New Roman" w:cs="Times New Roman"/>
          <w:b/>
          <w:bCs/>
        </w:rPr>
      </w:pPr>
      <w:bookmarkStart w:id="2" w:name="_Toc106859686"/>
      <w:r w:rsidRPr="00AD71FC">
        <w:rPr>
          <w:rFonts w:ascii="Times New Roman" w:hAnsi="Times New Roman" w:cs="Times New Roman"/>
          <w:b/>
          <w:bCs/>
        </w:rPr>
        <w:lastRenderedPageBreak/>
        <w:t>The process of Implementing Zero-based budgeting in an organization</w:t>
      </w:r>
      <w:bookmarkEnd w:id="2"/>
    </w:p>
    <w:p w14:paraId="4B76480B" w14:textId="1318117A" w:rsidR="00AD71FC" w:rsidRDefault="003505E5" w:rsidP="00AD71FC">
      <w:r w:rsidRPr="003505E5">
        <w:t>Shifting to the ZBB approach entails starting the budgeting process from the beginning. Some businesses do this to connect their business strategy with their financial planning</w:t>
      </w:r>
      <w:r w:rsidR="00B87D31" w:rsidRPr="00B87D31">
        <w:rPr>
          <w:rFonts w:eastAsia="Calibri"/>
        </w:rPr>
        <w:t xml:space="preserve"> </w:t>
      </w:r>
      <w:r w:rsidR="00B87D31">
        <w:rPr>
          <w:rFonts w:eastAsia="Calibri"/>
        </w:rPr>
        <w:t>(</w:t>
      </w:r>
      <w:r w:rsidR="00B87D31" w:rsidRPr="00B87D31">
        <w:t>Broughton, 2020</w:t>
      </w:r>
      <w:r w:rsidR="00B87D31">
        <w:t>)</w:t>
      </w:r>
      <w:r w:rsidRPr="003505E5">
        <w:t>. The steps for implementing the ZBB process in a corporation are outlined below.</w:t>
      </w:r>
    </w:p>
    <w:p w14:paraId="1D634319" w14:textId="3080FD80" w:rsidR="00752C81" w:rsidRDefault="00752C81" w:rsidP="00AD71FC">
      <w:r>
        <w:rPr>
          <w:noProof/>
        </w:rPr>
        <w:drawing>
          <wp:inline distT="0" distB="0" distL="0" distR="0" wp14:anchorId="16C25EC2" wp14:editId="780D7D90">
            <wp:extent cx="5486400" cy="3200400"/>
            <wp:effectExtent l="57150" t="57150" r="3810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F89DB29" w14:textId="6B5AA803" w:rsidR="00752C81" w:rsidRDefault="00752C81" w:rsidP="00AD71FC">
      <w:r>
        <w:t xml:space="preserve">Figure 1: The process of implementing ZBB </w:t>
      </w:r>
      <w:r>
        <w:rPr>
          <w:rFonts w:eastAsia="Calibri"/>
        </w:rPr>
        <w:t>(</w:t>
      </w:r>
      <w:proofErr w:type="spellStart"/>
      <w:r w:rsidRPr="00B87D31">
        <w:t>Drokina</w:t>
      </w:r>
      <w:proofErr w:type="spellEnd"/>
      <w:r w:rsidRPr="00B87D31">
        <w:t>, 2020</w:t>
      </w:r>
      <w:r>
        <w:t>).</w:t>
      </w:r>
    </w:p>
    <w:p w14:paraId="72CA6F6E" w14:textId="34CB8991" w:rsidR="003505E5" w:rsidRDefault="003505E5" w:rsidP="003505E5">
      <w:pPr>
        <w:pStyle w:val="ListParagraph"/>
        <w:numPr>
          <w:ilvl w:val="0"/>
          <w:numId w:val="2"/>
        </w:numPr>
      </w:pPr>
      <w:r w:rsidRPr="003505E5">
        <w:rPr>
          <w:b/>
          <w:bCs/>
        </w:rPr>
        <w:t>Identifying company goals and objectives</w:t>
      </w:r>
      <w:r w:rsidRPr="003505E5">
        <w:t xml:space="preserve">: Before shifting or beginning the ZBB process, it is necessary to identify the primary goals and objectives. Managers can readily move their budgeting decisions to their individual business units if business goals and objectives are provided. For instance, when </w:t>
      </w:r>
      <w:r w:rsidR="00AD1663">
        <w:t xml:space="preserve">Tesco </w:t>
      </w:r>
      <w:r w:rsidRPr="003505E5">
        <w:t xml:space="preserve">chose to go online, </w:t>
      </w:r>
      <w:r>
        <w:t>it</w:t>
      </w:r>
      <w:r w:rsidRPr="003505E5">
        <w:t xml:space="preserve"> began spending money on marketing. because the business unit is focused on the company's goals</w:t>
      </w:r>
      <w:r w:rsidR="006E3B86" w:rsidRPr="006E3B86">
        <w:rPr>
          <w:rFonts w:eastAsia="Calibri"/>
        </w:rPr>
        <w:t xml:space="preserve"> </w:t>
      </w:r>
      <w:bookmarkStart w:id="3" w:name="_Hlk106779031"/>
      <w:r w:rsidR="006E3B86">
        <w:rPr>
          <w:rFonts w:eastAsia="Calibri"/>
        </w:rPr>
        <w:t>(</w:t>
      </w:r>
      <w:proofErr w:type="spellStart"/>
      <w:r w:rsidR="006E3B86" w:rsidRPr="00B87D31">
        <w:t>Drokina</w:t>
      </w:r>
      <w:proofErr w:type="spellEnd"/>
      <w:r w:rsidR="006E3B86" w:rsidRPr="00B87D31">
        <w:t>, 2020</w:t>
      </w:r>
      <w:r w:rsidR="006E3B86">
        <w:t>)</w:t>
      </w:r>
      <w:r>
        <w:t>.</w:t>
      </w:r>
      <w:bookmarkEnd w:id="3"/>
    </w:p>
    <w:p w14:paraId="4E92AA99" w14:textId="7367874D" w:rsidR="003505E5" w:rsidRDefault="00AD1663" w:rsidP="003505E5">
      <w:pPr>
        <w:pStyle w:val="ListParagraph"/>
        <w:numPr>
          <w:ilvl w:val="0"/>
          <w:numId w:val="2"/>
        </w:numPr>
      </w:pPr>
      <w:r w:rsidRPr="00AD1663">
        <w:rPr>
          <w:b/>
          <w:bCs/>
        </w:rPr>
        <w:t xml:space="preserve"> Locating business units</w:t>
      </w:r>
      <w:r w:rsidRPr="00AD1663">
        <w:t xml:space="preserve">: While conducting business, business units might make decisions that can affect the balance. In ZBB, the process begins with individual business units selecting whether or not they should take on a project. The business unit weighs the benefits and drawbacks of each project and </w:t>
      </w:r>
      <w:r>
        <w:t>program</w:t>
      </w:r>
      <w:r w:rsidRPr="00AD1663">
        <w:t xml:space="preserve"> before deciding whether or not to implement </w:t>
      </w:r>
      <w:r w:rsidRPr="00AD1663">
        <w:lastRenderedPageBreak/>
        <w:t>it</w:t>
      </w:r>
      <w:r w:rsidR="006E3B86" w:rsidRPr="006E3B86">
        <w:rPr>
          <w:rFonts w:eastAsia="Calibri"/>
        </w:rPr>
        <w:t xml:space="preserve"> </w:t>
      </w:r>
      <w:r w:rsidR="006E3B86">
        <w:rPr>
          <w:rFonts w:eastAsia="Calibri"/>
        </w:rPr>
        <w:t>(</w:t>
      </w:r>
      <w:r w:rsidR="006E3B86" w:rsidRPr="00B87D31">
        <w:t>Dickson, 2019</w:t>
      </w:r>
      <w:r w:rsidR="006E3B86">
        <w:t>)</w:t>
      </w:r>
      <w:r w:rsidRPr="00AD1663">
        <w:t xml:space="preserve">. For example, when </w:t>
      </w:r>
      <w:r>
        <w:t xml:space="preserve">Tesco </w:t>
      </w:r>
      <w:r w:rsidRPr="00AD1663">
        <w:t xml:space="preserve">began advertising its internet commerce, </w:t>
      </w:r>
      <w:r>
        <w:t>it</w:t>
      </w:r>
      <w:r w:rsidRPr="00AD1663">
        <w:t xml:space="preserve"> focused on the marketing unit's efforts.</w:t>
      </w:r>
    </w:p>
    <w:p w14:paraId="0BEA7760" w14:textId="4DFAE860" w:rsidR="00AD1663" w:rsidRDefault="00AD1663" w:rsidP="003505E5">
      <w:pPr>
        <w:pStyle w:val="ListParagraph"/>
        <w:numPr>
          <w:ilvl w:val="0"/>
          <w:numId w:val="2"/>
        </w:numPr>
      </w:pPr>
      <w:r w:rsidRPr="00AD1663">
        <w:rPr>
          <w:b/>
          <w:bCs/>
        </w:rPr>
        <w:t xml:space="preserve"> Emphasizing the decision packages</w:t>
      </w:r>
      <w:r w:rsidRPr="00AD1663">
        <w:t>: after examining the activities of each decision unit, it is split down into smaller phases to eliminate defects. Following that, account directors must rank the decision packages available in order of profitability and importance. Because there is no link to the previous budget in ZBB, each activity must be prioritized based on its outcomes and earnings. They will then be ranked</w:t>
      </w:r>
      <w:r w:rsidR="006E3B86" w:rsidRPr="006E3B86">
        <w:rPr>
          <w:rFonts w:eastAsia="Calibri"/>
        </w:rPr>
        <w:t xml:space="preserve"> </w:t>
      </w:r>
      <w:r w:rsidR="006E3B86">
        <w:rPr>
          <w:rFonts w:eastAsia="Calibri"/>
        </w:rPr>
        <w:t>(</w:t>
      </w:r>
      <w:r w:rsidR="006E3B86" w:rsidRPr="00B87D31">
        <w:t>Chan, 2013</w:t>
      </w:r>
      <w:r w:rsidR="006E3B86">
        <w:t>)</w:t>
      </w:r>
      <w:r w:rsidRPr="00AD1663">
        <w:t>.</w:t>
      </w:r>
    </w:p>
    <w:p w14:paraId="581E8231" w14:textId="33F5A1F4" w:rsidR="00AD1663" w:rsidRDefault="00AD1663" w:rsidP="003505E5">
      <w:pPr>
        <w:pStyle w:val="ListParagraph"/>
        <w:numPr>
          <w:ilvl w:val="0"/>
          <w:numId w:val="2"/>
        </w:numPr>
      </w:pPr>
      <w:r w:rsidRPr="00AD1663">
        <w:rPr>
          <w:b/>
          <w:bCs/>
        </w:rPr>
        <w:t>Assigning the resources available</w:t>
      </w:r>
      <w:r w:rsidRPr="00AD1663">
        <w:t xml:space="preserve">: the funds must be disbursed after sufficient financing has been gathered and aligned with their designated decision packages. They'll be dispersed in a method that </w:t>
      </w:r>
      <w:r>
        <w:t>maximizes</w:t>
      </w:r>
      <w:r w:rsidRPr="00AD1663">
        <w:t xml:space="preserve"> the profits from the results and consequences.</w:t>
      </w:r>
    </w:p>
    <w:p w14:paraId="6AAB7760" w14:textId="39998C3A" w:rsidR="00A0797D" w:rsidRDefault="002E0326" w:rsidP="00AF2A16">
      <w:pPr>
        <w:pStyle w:val="ListParagraph"/>
        <w:numPr>
          <w:ilvl w:val="0"/>
          <w:numId w:val="2"/>
        </w:numPr>
        <w:spacing w:before="240"/>
        <w:sectPr w:rsidR="00A0797D">
          <w:pgSz w:w="12240" w:h="15840"/>
          <w:pgMar w:top="1440" w:right="1440" w:bottom="1440" w:left="1440" w:header="720" w:footer="720" w:gutter="0"/>
          <w:cols w:space="720"/>
          <w:docGrid w:linePitch="360"/>
        </w:sectPr>
      </w:pPr>
      <w:r w:rsidRPr="002E0326">
        <w:rPr>
          <w:b/>
          <w:bCs/>
        </w:rPr>
        <w:t xml:space="preserve"> Controlling and supervising: </w:t>
      </w:r>
      <w:r w:rsidRPr="002E0326">
        <w:t>once the funds have been distributed based on their relevance and efficacy, the only thing left is to control and check their directions and output</w:t>
      </w:r>
      <w:r w:rsidR="00AF2A16" w:rsidRPr="00AF2A16">
        <w:rPr>
          <w:rFonts w:eastAsia="Calibri"/>
        </w:rPr>
        <w:t xml:space="preserve"> </w:t>
      </w:r>
      <w:r w:rsidR="00AF2A16">
        <w:rPr>
          <w:rFonts w:eastAsia="Calibri"/>
        </w:rPr>
        <w:t>(</w:t>
      </w:r>
      <w:r w:rsidR="00AF2A16" w:rsidRPr="00B87D31">
        <w:t>Spohr, and Clark, 2019</w:t>
      </w:r>
      <w:r w:rsidR="00AF2A16">
        <w:t>)</w:t>
      </w:r>
      <w:r w:rsidRPr="002E0326">
        <w:t>.</w:t>
      </w:r>
    </w:p>
    <w:p w14:paraId="7152E48E" w14:textId="6723AC19" w:rsidR="00AD1663" w:rsidRDefault="00A0797D" w:rsidP="00A0797D">
      <w:pPr>
        <w:pStyle w:val="Heading1"/>
        <w:rPr>
          <w:rFonts w:ascii="Times New Roman" w:hAnsi="Times New Roman" w:cs="Times New Roman"/>
          <w:b/>
          <w:bCs/>
        </w:rPr>
      </w:pPr>
      <w:bookmarkStart w:id="4" w:name="_Toc106859687"/>
      <w:r w:rsidRPr="00A0797D">
        <w:rPr>
          <w:rFonts w:ascii="Times New Roman" w:hAnsi="Times New Roman" w:cs="Times New Roman"/>
          <w:b/>
          <w:bCs/>
        </w:rPr>
        <w:lastRenderedPageBreak/>
        <w:t>The importance of budgetary control for supporting Business Sustainability</w:t>
      </w:r>
      <w:bookmarkEnd w:id="4"/>
    </w:p>
    <w:p w14:paraId="5E8E3A4F" w14:textId="7B52F3D0" w:rsidR="00A0797D" w:rsidRDefault="002624C5" w:rsidP="00A0797D">
      <w:r w:rsidRPr="002624C5">
        <w:t xml:space="preserve">The management and synchronization of financial, environmental, and social needs </w:t>
      </w:r>
      <w:r w:rsidR="00467342">
        <w:t>are</w:t>
      </w:r>
      <w:r w:rsidRPr="002624C5">
        <w:t xml:space="preserve"> known as business sustainability, often known as corporate sustainability, and it aims to assure success that is moral, responsible, and ethical</w:t>
      </w:r>
      <w:r w:rsidR="00B87D31" w:rsidRPr="00B87D31">
        <w:rPr>
          <w:rFonts w:eastAsia="Calibri"/>
        </w:rPr>
        <w:t xml:space="preserve"> </w:t>
      </w:r>
      <w:r w:rsidR="00B87D31">
        <w:rPr>
          <w:rFonts w:eastAsia="Calibri"/>
        </w:rPr>
        <w:t>(</w:t>
      </w:r>
      <w:r w:rsidR="00B87D31" w:rsidRPr="00B87D31">
        <w:t>Callaghan, 2017</w:t>
      </w:r>
      <w:r w:rsidR="00B87D31">
        <w:t>)</w:t>
      </w:r>
      <w:r w:rsidRPr="002624C5">
        <w:t xml:space="preserve">. On the other side, budgetary control is extremely important for preserving business viability. The company's capital and resource allocation remain effective </w:t>
      </w:r>
      <w:r>
        <w:t xml:space="preserve">because of </w:t>
      </w:r>
      <w:r w:rsidRPr="002624C5">
        <w:t>budget</w:t>
      </w:r>
      <w:r>
        <w:t>ary control</w:t>
      </w:r>
      <w:r w:rsidRPr="002624C5">
        <w:t>.</w:t>
      </w:r>
    </w:p>
    <w:p w14:paraId="5249E1F8" w14:textId="3C769CB5" w:rsidR="00467342" w:rsidRDefault="00831340" w:rsidP="00A0797D">
      <w:pPr>
        <w:sectPr w:rsidR="00467342">
          <w:pgSz w:w="12240" w:h="15840"/>
          <w:pgMar w:top="1440" w:right="1440" w:bottom="1440" w:left="1440" w:header="720" w:footer="720" w:gutter="0"/>
          <w:cols w:space="720"/>
          <w:docGrid w:linePitch="360"/>
        </w:sectPr>
      </w:pPr>
      <w:r>
        <w:t xml:space="preserve">First of all, </w:t>
      </w:r>
      <w:r w:rsidRPr="00831340">
        <w:t>to ensure long-term sustainability, a company's social and environmental obligations must be given top priority. A business that does not value social justice while having an expanding environmental footprint is almost certainly unsustainable</w:t>
      </w:r>
      <w:r w:rsidR="000F308B" w:rsidRPr="000F308B">
        <w:rPr>
          <w:rFonts w:eastAsia="Calibri"/>
        </w:rPr>
        <w:t xml:space="preserve"> </w:t>
      </w:r>
      <w:r w:rsidR="000F308B">
        <w:rPr>
          <w:rFonts w:eastAsia="Calibri"/>
        </w:rPr>
        <w:t>(</w:t>
      </w:r>
      <w:r w:rsidR="000F308B" w:rsidRPr="00B87D31">
        <w:t>Hoang, 2019</w:t>
      </w:r>
      <w:r w:rsidR="000F308B">
        <w:t>)</w:t>
      </w:r>
      <w:r w:rsidRPr="00831340">
        <w:t>. In this case, a sustainable business advances social justice while safeguarding the environment. To achieve these objectives and efforts, the business must be aware of its resource limitations and capacity. Businesses must review their budgeting strategy and adjust it as necessary. Therefore, budgetary management promotes an organization's sustainability.</w:t>
      </w:r>
      <w:r w:rsidR="00191995">
        <w:t xml:space="preserve"> Secondly, </w:t>
      </w:r>
      <w:r w:rsidR="00191995" w:rsidRPr="00191995">
        <w:t xml:space="preserve">the financial health of a corporation is aided by budgetary control. </w:t>
      </w:r>
      <w:r w:rsidR="00467342">
        <w:t>For example, b</w:t>
      </w:r>
      <w:r w:rsidR="00191995" w:rsidRPr="00191995">
        <w:t>udgetary control includes regular reviews of financial performance so that management can see if more or less money is coming in or leaving the company than anticipated. A company can use the zero-based budgeting method to exercise budgetary management, which results in economic efficiency by thinking about where expenditures can be reduced or revenue can be increased before things get out of hand</w:t>
      </w:r>
      <w:r w:rsidR="000F308B" w:rsidRPr="000F308B">
        <w:rPr>
          <w:rFonts w:eastAsia="Calibri"/>
        </w:rPr>
        <w:t xml:space="preserve"> </w:t>
      </w:r>
      <w:r w:rsidR="000F308B">
        <w:rPr>
          <w:rFonts w:eastAsia="Calibri"/>
        </w:rPr>
        <w:t>(</w:t>
      </w:r>
      <w:r w:rsidR="000F308B" w:rsidRPr="00B87D31">
        <w:t>Heath, 2014</w:t>
      </w:r>
      <w:r w:rsidR="000F308B">
        <w:t>)</w:t>
      </w:r>
      <w:r w:rsidR="00191995" w:rsidRPr="00191995">
        <w:t>.</w:t>
      </w:r>
    </w:p>
    <w:p w14:paraId="7B4C9AF3" w14:textId="52C1183E" w:rsidR="002624C5" w:rsidRDefault="00467342" w:rsidP="00467342">
      <w:pPr>
        <w:pStyle w:val="Heading1"/>
        <w:rPr>
          <w:rFonts w:ascii="Times New Roman" w:hAnsi="Times New Roman" w:cs="Times New Roman"/>
          <w:b/>
          <w:bCs/>
        </w:rPr>
      </w:pPr>
      <w:bookmarkStart w:id="5" w:name="_Toc106859688"/>
      <w:r w:rsidRPr="00467342">
        <w:rPr>
          <w:rFonts w:ascii="Times New Roman" w:hAnsi="Times New Roman" w:cs="Times New Roman"/>
          <w:b/>
          <w:bCs/>
        </w:rPr>
        <w:lastRenderedPageBreak/>
        <w:t>Recommendation and Conclusion</w:t>
      </w:r>
      <w:bookmarkEnd w:id="5"/>
    </w:p>
    <w:p w14:paraId="0FBF988C" w14:textId="4B1D7AC6" w:rsidR="00B87D31" w:rsidRDefault="00467342" w:rsidP="00467342">
      <w:pPr>
        <w:sectPr w:rsidR="00B87D31">
          <w:pgSz w:w="12240" w:h="15840"/>
          <w:pgMar w:top="1440" w:right="1440" w:bottom="1440" w:left="1440" w:header="720" w:footer="720" w:gutter="0"/>
          <w:cols w:space="720"/>
          <w:docGrid w:linePitch="360"/>
        </w:sectPr>
      </w:pPr>
      <w:r w:rsidRPr="00467342">
        <w:t xml:space="preserve">ZBB's </w:t>
      </w:r>
      <w:r w:rsidR="00CB0C4A">
        <w:t>lower-cost</w:t>
      </w:r>
      <w:r w:rsidRPr="00467342">
        <w:t xml:space="preserve"> reduces resource misallocation, which can happen over time as budgets grow gradually</w:t>
      </w:r>
      <w:r w:rsidR="00CB0C4A" w:rsidRPr="00CB0C4A">
        <w:rPr>
          <w:rFonts w:eastAsia="Calibri"/>
        </w:rPr>
        <w:t xml:space="preserve"> </w:t>
      </w:r>
      <w:r w:rsidR="00CB0C4A">
        <w:rPr>
          <w:rFonts w:eastAsia="Calibri"/>
        </w:rPr>
        <w:t>(</w:t>
      </w:r>
      <w:r w:rsidR="00CB0C4A" w:rsidRPr="00B87D31">
        <w:t>W</w:t>
      </w:r>
      <w:r w:rsidR="00CB0C4A" w:rsidRPr="00CB0C4A">
        <w:t>oo</w:t>
      </w:r>
      <w:r w:rsidR="00CB0C4A" w:rsidRPr="00B87D31">
        <w:t>, 2019</w:t>
      </w:r>
      <w:r w:rsidR="00CB0C4A">
        <w:t>)</w:t>
      </w:r>
      <w:r w:rsidRPr="00467342">
        <w:t>. Because of this, companies should adopt zero-based budgeting and prioritize budgetary control. The advantages of incremental or traditional budgeting versus zero-base budgeting are compared and contrasted in this study. Additionally, this study covered zero-based budgeting's use in businesses. Finally, this study looks at the importance of budget control in ensuring a corporation's long-term sustainability.</w:t>
      </w:r>
      <w:r>
        <w:t xml:space="preserve"> </w:t>
      </w:r>
    </w:p>
    <w:p w14:paraId="38909CC5" w14:textId="77777777" w:rsidR="00B87D31" w:rsidRPr="00B87D31" w:rsidRDefault="00B87D31" w:rsidP="00B87D31">
      <w:pPr>
        <w:keepNext/>
        <w:keepLines/>
        <w:spacing w:before="240" w:after="0"/>
        <w:outlineLvl w:val="0"/>
        <w:rPr>
          <w:rFonts w:ascii="Calibri Light" w:eastAsia="Times New Roman" w:hAnsi="Calibri Light"/>
          <w:color w:val="2F5496" w:themeColor="accent1" w:themeShade="BF"/>
          <w:sz w:val="32"/>
          <w:szCs w:val="32"/>
        </w:rPr>
      </w:pPr>
      <w:bookmarkStart w:id="6" w:name="_Toc98111231"/>
      <w:bookmarkStart w:id="7" w:name="_Toc106859689"/>
      <w:r w:rsidRPr="00B87D31">
        <w:rPr>
          <w:rFonts w:ascii="Calibri Light" w:eastAsia="Times New Roman" w:hAnsi="Calibri Light"/>
          <w:color w:val="2F5496" w:themeColor="accent1" w:themeShade="BF"/>
          <w:sz w:val="32"/>
          <w:szCs w:val="32"/>
        </w:rPr>
        <w:lastRenderedPageBreak/>
        <w:t>References</w:t>
      </w:r>
      <w:bookmarkEnd w:id="6"/>
      <w:bookmarkEnd w:id="7"/>
    </w:p>
    <w:p w14:paraId="1EDB0EB4" w14:textId="1BD81BDA" w:rsidR="00B87D31" w:rsidRPr="00B87D31" w:rsidRDefault="00B87D31" w:rsidP="00B87D31">
      <w:pPr>
        <w:rPr>
          <w:rFonts w:eastAsia="Calibri"/>
        </w:rPr>
      </w:pPr>
      <w:bookmarkStart w:id="8" w:name="_Hlk98108878"/>
      <w:proofErr w:type="spellStart"/>
      <w:r w:rsidRPr="00B87D31">
        <w:rPr>
          <w:rFonts w:eastAsia="Calibri"/>
        </w:rPr>
        <w:t>B</w:t>
      </w:r>
      <w:r>
        <w:rPr>
          <w:rFonts w:eastAsia="Calibri"/>
        </w:rPr>
        <w:t>oglan</w:t>
      </w:r>
      <w:proofErr w:type="spellEnd"/>
      <w:r w:rsidRPr="00B87D31">
        <w:rPr>
          <w:rFonts w:eastAsia="Calibri"/>
        </w:rPr>
        <w:t>, D., 2011</w:t>
      </w:r>
      <w:bookmarkEnd w:id="8"/>
      <w:r w:rsidRPr="00B87D31">
        <w:rPr>
          <w:rFonts w:eastAsia="Calibri"/>
          <w:i/>
          <w:iCs/>
        </w:rPr>
        <w:t>. HOW SERVICE MARKETERS CAN IDENTIFY VALUE‐ENHANCING SERVICE ELEMENTS</w:t>
      </w:r>
      <w:r w:rsidRPr="00B87D31">
        <w:rPr>
          <w:rFonts w:eastAsia="Calibri"/>
        </w:rPr>
        <w:t>. Journal of Services Marketing, 2(3), pp.35-41.</w:t>
      </w:r>
    </w:p>
    <w:p w14:paraId="54CFE0C3" w14:textId="77777777" w:rsidR="00B87D31" w:rsidRPr="00B87D31" w:rsidRDefault="00B87D31" w:rsidP="00B87D31">
      <w:pPr>
        <w:rPr>
          <w:rFonts w:eastAsia="Calibri"/>
        </w:rPr>
      </w:pPr>
      <w:bookmarkStart w:id="9" w:name="_Hlk98108975"/>
      <w:r w:rsidRPr="00B87D31">
        <w:rPr>
          <w:rFonts w:eastAsia="Calibri"/>
        </w:rPr>
        <w:t>Broughton, K., 2020</w:t>
      </w:r>
      <w:bookmarkEnd w:id="9"/>
      <w:r w:rsidRPr="00B87D31">
        <w:rPr>
          <w:rFonts w:eastAsia="Calibri"/>
        </w:rPr>
        <w:t>. </w:t>
      </w:r>
      <w:r w:rsidRPr="00B87D31">
        <w:rPr>
          <w:rFonts w:eastAsia="Calibri"/>
          <w:i/>
          <w:iCs/>
        </w:rPr>
        <w:t>Companies Turn to Zero-Based Budgeting to Cut Costs During the Pandemic</w:t>
      </w:r>
      <w:r w:rsidRPr="00B87D31">
        <w:rPr>
          <w:rFonts w:eastAsia="Calibri"/>
        </w:rPr>
        <w:t>. [online] WSJ. Available at: &lt;https://www.wsj.com/articles/companies-turn-to-zero-based-budgeting-to-cut-costs-during-the-pandemic-11592431029&gt; [Accessed 13 March 2022].</w:t>
      </w:r>
    </w:p>
    <w:p w14:paraId="45EE7CB8" w14:textId="77777777" w:rsidR="00B87D31" w:rsidRPr="00B87D31" w:rsidRDefault="00B87D31" w:rsidP="00B87D31">
      <w:pPr>
        <w:rPr>
          <w:rFonts w:eastAsia="Calibri"/>
        </w:rPr>
      </w:pPr>
      <w:bookmarkStart w:id="10" w:name="_Hlk98109066"/>
      <w:r w:rsidRPr="00B87D31">
        <w:rPr>
          <w:rFonts w:eastAsia="Calibri"/>
        </w:rPr>
        <w:t>Callaghan, S., 2017</w:t>
      </w:r>
      <w:bookmarkEnd w:id="10"/>
      <w:r w:rsidRPr="00B87D31">
        <w:rPr>
          <w:rFonts w:eastAsia="Calibri"/>
        </w:rPr>
        <w:t>. </w:t>
      </w:r>
      <w:r w:rsidRPr="00B87D31">
        <w:rPr>
          <w:rFonts w:eastAsia="Calibri"/>
          <w:i/>
          <w:iCs/>
        </w:rPr>
        <w:t xml:space="preserve">Zero-Based Budget Calculator - </w:t>
      </w:r>
      <w:proofErr w:type="spellStart"/>
      <w:r w:rsidRPr="00B87D31">
        <w:rPr>
          <w:rFonts w:eastAsia="Calibri"/>
          <w:i/>
          <w:iCs/>
        </w:rPr>
        <w:t>DollarSprout</w:t>
      </w:r>
      <w:proofErr w:type="spellEnd"/>
      <w:r w:rsidRPr="00B87D31">
        <w:rPr>
          <w:rFonts w:eastAsia="Calibri"/>
        </w:rPr>
        <w:t xml:space="preserve">. [online] </w:t>
      </w:r>
      <w:proofErr w:type="spellStart"/>
      <w:r w:rsidRPr="00B87D31">
        <w:rPr>
          <w:rFonts w:eastAsia="Calibri"/>
        </w:rPr>
        <w:t>DollarSprout</w:t>
      </w:r>
      <w:proofErr w:type="spellEnd"/>
      <w:r w:rsidRPr="00B87D31">
        <w:rPr>
          <w:rFonts w:eastAsia="Calibri"/>
        </w:rPr>
        <w:t>. Available at: &lt;https://dollarsprout.com/zero-based-budget-calculator/&gt; [Accessed 11 March 2022].</w:t>
      </w:r>
    </w:p>
    <w:p w14:paraId="69337D8D" w14:textId="63314089" w:rsidR="00B87D31" w:rsidRPr="00B87D31" w:rsidRDefault="00B87D31" w:rsidP="00B87D31">
      <w:pPr>
        <w:rPr>
          <w:rFonts w:eastAsia="Calibri"/>
        </w:rPr>
      </w:pPr>
      <w:bookmarkStart w:id="11" w:name="_Hlk98109931"/>
      <w:r w:rsidRPr="00B87D31">
        <w:rPr>
          <w:rFonts w:eastAsia="Calibri"/>
        </w:rPr>
        <w:t>C</w:t>
      </w:r>
      <w:r>
        <w:rPr>
          <w:rFonts w:eastAsia="Calibri"/>
        </w:rPr>
        <w:t>hristopher</w:t>
      </w:r>
      <w:r w:rsidRPr="00B87D31">
        <w:rPr>
          <w:rFonts w:eastAsia="Calibri"/>
        </w:rPr>
        <w:t>, C., 2018</w:t>
      </w:r>
      <w:bookmarkEnd w:id="11"/>
      <w:r w:rsidRPr="00B87D31">
        <w:rPr>
          <w:rFonts w:eastAsia="Calibri"/>
        </w:rPr>
        <w:t>. Kellogg (K) Cost-Saving</w:t>
      </w:r>
      <w:r>
        <w:rPr>
          <w:rFonts w:eastAsia="Calibri"/>
        </w:rPr>
        <w:t xml:space="preserve"> strategies</w:t>
      </w:r>
      <w:r w:rsidRPr="00B87D31">
        <w:rPr>
          <w:rFonts w:eastAsia="Calibri"/>
        </w:rPr>
        <w:t>, Sales Weak. [online] Nasdaq. Available at: &lt;https://www.nasdaq.com/articles/kellogg-k-gains-from-cost-saving-initiatives-sales-weak-2018-03-08&gt; [Accessed 9 March 2022].</w:t>
      </w:r>
    </w:p>
    <w:p w14:paraId="77647AD6" w14:textId="77777777" w:rsidR="00B87D31" w:rsidRPr="00B87D31" w:rsidRDefault="00B87D31" w:rsidP="00B87D31">
      <w:pPr>
        <w:rPr>
          <w:rFonts w:eastAsia="Calibri"/>
        </w:rPr>
      </w:pPr>
      <w:bookmarkStart w:id="12" w:name="_Hlk98109143"/>
      <w:proofErr w:type="spellStart"/>
      <w:r w:rsidRPr="00B87D31">
        <w:rPr>
          <w:rFonts w:eastAsia="Calibri"/>
        </w:rPr>
        <w:t>Drokina</w:t>
      </w:r>
      <w:proofErr w:type="spellEnd"/>
      <w:r w:rsidRPr="00B87D31">
        <w:rPr>
          <w:rFonts w:eastAsia="Calibri"/>
        </w:rPr>
        <w:t>, Y., 2020</w:t>
      </w:r>
      <w:bookmarkEnd w:id="12"/>
      <w:r w:rsidRPr="00B87D31">
        <w:rPr>
          <w:rFonts w:eastAsia="Calibri"/>
        </w:rPr>
        <w:t>. OPERATIONAL BUDGETING SYSTEM IN TRADE COMPANIES. Chronos Journal, 4(1(40).</w:t>
      </w:r>
    </w:p>
    <w:p w14:paraId="64C9642B" w14:textId="77777777" w:rsidR="00B87D31" w:rsidRPr="00B87D31" w:rsidRDefault="00B87D31" w:rsidP="00B87D31">
      <w:pPr>
        <w:rPr>
          <w:rFonts w:eastAsia="Calibri"/>
        </w:rPr>
      </w:pPr>
      <w:bookmarkStart w:id="13" w:name="_Hlk98109195"/>
      <w:r w:rsidRPr="00B87D31">
        <w:rPr>
          <w:rFonts w:eastAsia="Calibri"/>
        </w:rPr>
        <w:t>Chan, G., 2013</w:t>
      </w:r>
      <w:bookmarkEnd w:id="13"/>
      <w:r w:rsidRPr="00B87D31">
        <w:rPr>
          <w:rFonts w:eastAsia="Calibri"/>
        </w:rPr>
        <w:t>. </w:t>
      </w:r>
      <w:r w:rsidRPr="00B87D31">
        <w:rPr>
          <w:rFonts w:eastAsia="Calibri"/>
          <w:i/>
          <w:iCs/>
        </w:rPr>
        <w:t>Aligning collections budget with program priorities: A modified zero-based approach</w:t>
      </w:r>
      <w:r w:rsidRPr="00B87D31">
        <w:rPr>
          <w:rFonts w:eastAsia="Calibri"/>
        </w:rPr>
        <w:t>. New York: Library Collections, Acquisitions, and Technical Services, pp.46-53.</w:t>
      </w:r>
    </w:p>
    <w:p w14:paraId="1D14AC5A" w14:textId="77777777" w:rsidR="00B87D31" w:rsidRPr="00B87D31" w:rsidRDefault="00B87D31" w:rsidP="00B87D31">
      <w:pPr>
        <w:rPr>
          <w:rFonts w:eastAsia="Calibri"/>
        </w:rPr>
      </w:pPr>
      <w:bookmarkStart w:id="14" w:name="_Hlk98109232"/>
      <w:r w:rsidRPr="00B87D31">
        <w:rPr>
          <w:rFonts w:eastAsia="Calibri"/>
        </w:rPr>
        <w:t>Dickson, G., 2019</w:t>
      </w:r>
      <w:bookmarkEnd w:id="14"/>
      <w:r w:rsidRPr="00B87D31">
        <w:rPr>
          <w:rFonts w:eastAsia="Calibri"/>
        </w:rPr>
        <w:t>. </w:t>
      </w:r>
      <w:r w:rsidRPr="00B87D31">
        <w:rPr>
          <w:rFonts w:eastAsia="Calibri"/>
          <w:i/>
          <w:iCs/>
        </w:rPr>
        <w:t>Zero-Based Budgeting Is Not a Wonder Diet for Companies</w:t>
      </w:r>
      <w:r w:rsidRPr="00B87D31">
        <w:rPr>
          <w:rFonts w:eastAsia="Calibri"/>
        </w:rPr>
        <w:t>. [online] Harvard Business Review. Available at: &lt;https://hbr.org/2016/06/zero-based-budgeting-is-not-a-wonder-diet-for-companies&gt; [Accessed 13 March 2022].</w:t>
      </w:r>
    </w:p>
    <w:p w14:paraId="3D24AD4C" w14:textId="77777777" w:rsidR="00B87D31" w:rsidRPr="00B87D31" w:rsidRDefault="00B87D31" w:rsidP="00B87D31">
      <w:pPr>
        <w:rPr>
          <w:rFonts w:eastAsia="Calibri"/>
        </w:rPr>
      </w:pPr>
      <w:bookmarkStart w:id="15" w:name="_Hlk98109326"/>
      <w:r w:rsidRPr="00B87D31">
        <w:rPr>
          <w:rFonts w:eastAsia="Calibri"/>
        </w:rPr>
        <w:t>Ekanem, F., 2017</w:t>
      </w:r>
      <w:bookmarkEnd w:id="15"/>
      <w:r w:rsidRPr="00B87D31">
        <w:rPr>
          <w:rFonts w:eastAsia="Calibri"/>
        </w:rPr>
        <w:t>. </w:t>
      </w:r>
      <w:r w:rsidRPr="00B87D31">
        <w:rPr>
          <w:rFonts w:eastAsia="Calibri"/>
          <w:i/>
          <w:iCs/>
        </w:rPr>
        <w:t>How budgeting works for companies</w:t>
      </w:r>
      <w:r w:rsidRPr="00B87D31">
        <w:rPr>
          <w:rFonts w:eastAsia="Calibri"/>
        </w:rPr>
        <w:t>. [online] Investopedia. Available at: &lt;https://www.investopedia.com/articles/07/budgetingforcompanies.asp&gt; [Accessed 9 March 2022].</w:t>
      </w:r>
    </w:p>
    <w:p w14:paraId="431903B7" w14:textId="77777777" w:rsidR="00B87D31" w:rsidRPr="00B87D31" w:rsidRDefault="00B87D31" w:rsidP="00B87D31">
      <w:pPr>
        <w:rPr>
          <w:rFonts w:eastAsia="Calibri"/>
        </w:rPr>
      </w:pPr>
      <w:bookmarkStart w:id="16" w:name="_Hlk98109377"/>
      <w:r w:rsidRPr="00B87D31">
        <w:rPr>
          <w:rFonts w:eastAsia="Calibri"/>
        </w:rPr>
        <w:t>Heath, M., 2014</w:t>
      </w:r>
      <w:bookmarkEnd w:id="16"/>
      <w:r w:rsidRPr="00B87D31">
        <w:rPr>
          <w:rFonts w:eastAsia="Calibri"/>
        </w:rPr>
        <w:t>. </w:t>
      </w:r>
      <w:r w:rsidRPr="00B87D31">
        <w:rPr>
          <w:rFonts w:eastAsia="Calibri"/>
          <w:i/>
          <w:iCs/>
        </w:rPr>
        <w:t>Zero-Based Budgeting: Pros, Cons &amp; What to Know Before Getting Started</w:t>
      </w:r>
      <w:r w:rsidRPr="00B87D31">
        <w:rPr>
          <w:rFonts w:eastAsia="Calibri"/>
        </w:rPr>
        <w:t>. [online] Us-analytics.com. Available at: &lt;https://www.us-analytics.com/finance-leaders-blog/zero-based-budgeting&gt; [Accessed 14 March 2022].</w:t>
      </w:r>
    </w:p>
    <w:p w14:paraId="31B06BC8" w14:textId="77777777" w:rsidR="00B87D31" w:rsidRPr="00B87D31" w:rsidRDefault="00B87D31" w:rsidP="00B87D31">
      <w:pPr>
        <w:rPr>
          <w:rFonts w:eastAsia="Calibri"/>
        </w:rPr>
      </w:pPr>
      <w:bookmarkStart w:id="17" w:name="_Hlk97936081"/>
      <w:bookmarkStart w:id="18" w:name="_Hlk98109420"/>
      <w:r w:rsidRPr="00B87D31">
        <w:rPr>
          <w:rFonts w:eastAsia="Calibri"/>
        </w:rPr>
        <w:t>Hoang, P., 2019</w:t>
      </w:r>
      <w:bookmarkEnd w:id="17"/>
      <w:r w:rsidRPr="00B87D31">
        <w:rPr>
          <w:rFonts w:eastAsia="Calibri"/>
        </w:rPr>
        <w:t>.</w:t>
      </w:r>
      <w:bookmarkEnd w:id="18"/>
      <w:r w:rsidRPr="00B87D31">
        <w:rPr>
          <w:rFonts w:eastAsia="Calibri"/>
        </w:rPr>
        <w:t xml:space="preserve"> </w:t>
      </w:r>
      <w:r w:rsidRPr="00B87D31">
        <w:rPr>
          <w:rFonts w:eastAsia="Calibri"/>
          <w:i/>
          <w:iCs/>
        </w:rPr>
        <w:t>Does the Cost‐Cutting Strategy of Closing Public Schools Provide Financial Benefits? Evidence From Ohio</w:t>
      </w:r>
      <w:r w:rsidRPr="00B87D31">
        <w:rPr>
          <w:rFonts w:eastAsia="Calibri"/>
        </w:rPr>
        <w:t>. Public Budgeting &amp; Finance, 39(3), pp.3-21.</w:t>
      </w:r>
    </w:p>
    <w:p w14:paraId="5823AB80" w14:textId="77777777" w:rsidR="00B87D31" w:rsidRPr="00B87D31" w:rsidRDefault="00B87D31" w:rsidP="00B87D31">
      <w:pPr>
        <w:rPr>
          <w:rFonts w:eastAsia="Calibri"/>
        </w:rPr>
      </w:pPr>
      <w:bookmarkStart w:id="19" w:name="_Hlk98109510"/>
      <w:r w:rsidRPr="00B87D31">
        <w:rPr>
          <w:rFonts w:eastAsia="Calibri"/>
        </w:rPr>
        <w:lastRenderedPageBreak/>
        <w:t>Ibrahim, M., 2013</w:t>
      </w:r>
      <w:bookmarkEnd w:id="19"/>
      <w:r w:rsidRPr="00B87D31">
        <w:rPr>
          <w:rFonts w:eastAsia="Calibri"/>
        </w:rPr>
        <w:t>. </w:t>
      </w:r>
      <w:r w:rsidRPr="00B87D31">
        <w:rPr>
          <w:rFonts w:eastAsia="Calibri"/>
          <w:i/>
          <w:iCs/>
        </w:rPr>
        <w:t>Zero-based budgeting for government agencies</w:t>
      </w:r>
      <w:r w:rsidRPr="00B87D31">
        <w:rPr>
          <w:rFonts w:eastAsia="Calibri"/>
        </w:rPr>
        <w:t xml:space="preserve">. [online] </w:t>
      </w:r>
      <w:proofErr w:type="spellStart"/>
      <w:r w:rsidRPr="00B87D31">
        <w:rPr>
          <w:rFonts w:eastAsia="Calibri"/>
        </w:rPr>
        <w:t>Questica</w:t>
      </w:r>
      <w:proofErr w:type="spellEnd"/>
      <w:r w:rsidRPr="00B87D31">
        <w:rPr>
          <w:rFonts w:eastAsia="Calibri"/>
        </w:rPr>
        <w:t>. Available at: &lt;https://www.questica.com/news/zero-based-budgeting-for-government-agencies/&gt; [Accessed 8 March 2022].</w:t>
      </w:r>
    </w:p>
    <w:p w14:paraId="6B773127" w14:textId="77777777" w:rsidR="00B87D31" w:rsidRPr="00B87D31" w:rsidRDefault="00B87D31" w:rsidP="00B87D31">
      <w:pPr>
        <w:rPr>
          <w:rFonts w:eastAsia="Calibri"/>
        </w:rPr>
      </w:pPr>
      <w:bookmarkStart w:id="20" w:name="_Hlk98109570"/>
      <w:r w:rsidRPr="00B87D31">
        <w:rPr>
          <w:rFonts w:eastAsia="Calibri"/>
        </w:rPr>
        <w:t>MIKESELL, J. and MULLINS, D., 2011</w:t>
      </w:r>
      <w:bookmarkEnd w:id="20"/>
      <w:r w:rsidRPr="00B87D31">
        <w:rPr>
          <w:rFonts w:eastAsia="Calibri"/>
        </w:rPr>
        <w:t>. Reforms for Improved Efficiency in Public Budgeting and Finance: Improvements, Disappointments, and Work-in-Progress. </w:t>
      </w:r>
      <w:r w:rsidRPr="00B87D31">
        <w:rPr>
          <w:rFonts w:eastAsia="Calibri"/>
          <w:i/>
          <w:iCs/>
        </w:rPr>
        <w:t>Public Budgeting &amp; Finance</w:t>
      </w:r>
      <w:r w:rsidRPr="00B87D31">
        <w:rPr>
          <w:rFonts w:eastAsia="Calibri"/>
        </w:rPr>
        <w:t>, 31(4), pp.1-30.</w:t>
      </w:r>
    </w:p>
    <w:p w14:paraId="56A59556" w14:textId="77777777" w:rsidR="00B87D31" w:rsidRPr="00B87D31" w:rsidRDefault="00B87D31" w:rsidP="00B87D31">
      <w:pPr>
        <w:rPr>
          <w:rFonts w:eastAsia="Calibri"/>
        </w:rPr>
      </w:pPr>
      <w:bookmarkStart w:id="21" w:name="_Hlk97936385"/>
      <w:r w:rsidRPr="00B87D31">
        <w:rPr>
          <w:rFonts w:eastAsia="Calibri"/>
        </w:rPr>
        <w:t>O'Brien, M., 2020</w:t>
      </w:r>
      <w:bookmarkEnd w:id="21"/>
      <w:r w:rsidRPr="00B87D31">
        <w:rPr>
          <w:rFonts w:eastAsia="Calibri"/>
        </w:rPr>
        <w:t>. Zero-Based Budgeting Revisited: A Practical Guide for 2021. [online] NetSuite. Available at: &lt;https://www.netsuite.com/portal/business-benchmark-brainyard/industries/articles/cfo-central/zero-based-budgeting.shtml&gt; [Accessed 10 March 2022].</w:t>
      </w:r>
    </w:p>
    <w:p w14:paraId="295EDAF0" w14:textId="77777777" w:rsidR="00B87D31" w:rsidRPr="00B87D31" w:rsidRDefault="00B87D31" w:rsidP="00B87D31">
      <w:pPr>
        <w:rPr>
          <w:rFonts w:eastAsia="Calibri"/>
        </w:rPr>
      </w:pPr>
      <w:bookmarkStart w:id="22" w:name="_Hlk98109706"/>
      <w:r w:rsidRPr="00B87D31">
        <w:rPr>
          <w:rFonts w:eastAsia="Calibri"/>
        </w:rPr>
        <w:t>Penning, A., 2012</w:t>
      </w:r>
      <w:bookmarkEnd w:id="22"/>
      <w:r w:rsidRPr="00B87D31">
        <w:rPr>
          <w:rFonts w:eastAsia="Calibri"/>
        </w:rPr>
        <w:t>. </w:t>
      </w:r>
      <w:r w:rsidRPr="00B87D31">
        <w:rPr>
          <w:rFonts w:eastAsia="Calibri"/>
          <w:i/>
          <w:iCs/>
        </w:rPr>
        <w:t>Budgeting and Money Management</w:t>
      </w:r>
      <w:r w:rsidRPr="00B87D31">
        <w:rPr>
          <w:rFonts w:eastAsia="Calibri"/>
        </w:rPr>
        <w:t>. 2nd ed. London: Osborne.</w:t>
      </w:r>
    </w:p>
    <w:p w14:paraId="3701E2BC" w14:textId="77777777" w:rsidR="00B87D31" w:rsidRPr="00B87D31" w:rsidRDefault="00B87D31" w:rsidP="00B87D31">
      <w:pPr>
        <w:rPr>
          <w:rFonts w:eastAsia="Calibri"/>
        </w:rPr>
      </w:pPr>
      <w:bookmarkStart w:id="23" w:name="_Hlk98109756"/>
      <w:proofErr w:type="spellStart"/>
      <w:r w:rsidRPr="00B87D31">
        <w:rPr>
          <w:rFonts w:eastAsia="Calibri"/>
        </w:rPr>
        <w:t>Pyhrr</w:t>
      </w:r>
      <w:proofErr w:type="spellEnd"/>
      <w:r w:rsidRPr="00B87D31">
        <w:rPr>
          <w:rFonts w:eastAsia="Calibri"/>
        </w:rPr>
        <w:t>, P., 2019</w:t>
      </w:r>
      <w:bookmarkEnd w:id="23"/>
      <w:r w:rsidRPr="00B87D31">
        <w:rPr>
          <w:rFonts w:eastAsia="Calibri"/>
        </w:rPr>
        <w:t>. </w:t>
      </w:r>
      <w:r w:rsidRPr="00B87D31">
        <w:rPr>
          <w:rFonts w:eastAsia="Calibri"/>
          <w:i/>
          <w:iCs/>
        </w:rPr>
        <w:t>Zero-Based Budgeting: Benefits and Drawbacks</w:t>
      </w:r>
      <w:r w:rsidRPr="00B87D31">
        <w:rPr>
          <w:rFonts w:eastAsia="Calibri"/>
        </w:rPr>
        <w:t>. [online] Investopedia. Available at: &lt;https://www.investopedia.com/ask/answers/051515/what-are-advantages-and-disadvantages-zerobased-budgeting-accounting.asp&gt; [Accessed 13 March 2022].</w:t>
      </w:r>
    </w:p>
    <w:p w14:paraId="5E640CF4" w14:textId="77777777" w:rsidR="00B87D31" w:rsidRPr="00B87D31" w:rsidRDefault="00B87D31" w:rsidP="00B87D31">
      <w:pPr>
        <w:rPr>
          <w:rFonts w:eastAsia="Calibri"/>
        </w:rPr>
      </w:pPr>
      <w:bookmarkStart w:id="24" w:name="_Hlk98110005"/>
      <w:r w:rsidRPr="00B87D31">
        <w:rPr>
          <w:rFonts w:eastAsia="Calibri"/>
        </w:rPr>
        <w:t>Spohr, S. and Clark, B., 2019</w:t>
      </w:r>
      <w:bookmarkEnd w:id="24"/>
      <w:r w:rsidRPr="00B87D31">
        <w:rPr>
          <w:rFonts w:eastAsia="Calibri"/>
        </w:rPr>
        <w:t>. </w:t>
      </w:r>
      <w:r w:rsidRPr="00B87D31">
        <w:rPr>
          <w:rFonts w:eastAsia="Calibri"/>
          <w:i/>
          <w:iCs/>
        </w:rPr>
        <w:t>The Guide to Managing Postproduction for Film, TV, and Digital Distribution</w:t>
      </w:r>
      <w:r w:rsidRPr="00B87D31">
        <w:rPr>
          <w:rFonts w:eastAsia="Calibri"/>
        </w:rPr>
        <w:t>. Milton: Routledge.</w:t>
      </w:r>
    </w:p>
    <w:p w14:paraId="3F51D17F" w14:textId="77777777" w:rsidR="00B87D31" w:rsidRPr="00B87D31" w:rsidRDefault="00B87D31" w:rsidP="00B87D31">
      <w:pPr>
        <w:rPr>
          <w:rFonts w:eastAsia="Calibri"/>
        </w:rPr>
      </w:pPr>
      <w:bookmarkStart w:id="25" w:name="_Hlk98110058"/>
      <w:proofErr w:type="spellStart"/>
      <w:r w:rsidRPr="00B87D31">
        <w:rPr>
          <w:rFonts w:eastAsia="Calibri"/>
        </w:rPr>
        <w:t>Surianti</w:t>
      </w:r>
      <w:proofErr w:type="spellEnd"/>
      <w:r w:rsidRPr="00B87D31">
        <w:rPr>
          <w:rFonts w:eastAsia="Calibri"/>
        </w:rPr>
        <w:t>, M., 2016</w:t>
      </w:r>
      <w:bookmarkEnd w:id="25"/>
      <w:r w:rsidRPr="00B87D31">
        <w:rPr>
          <w:rFonts w:eastAsia="Calibri"/>
        </w:rPr>
        <w:t>. </w:t>
      </w:r>
      <w:r w:rsidRPr="00B87D31">
        <w:rPr>
          <w:rFonts w:eastAsia="Calibri"/>
          <w:i/>
          <w:iCs/>
        </w:rPr>
        <w:t xml:space="preserve">Zero-Based Budgeting: What, </w:t>
      </w:r>
      <w:proofErr w:type="gramStart"/>
      <w:r w:rsidRPr="00B87D31">
        <w:rPr>
          <w:rFonts w:eastAsia="Calibri"/>
          <w:i/>
          <w:iCs/>
        </w:rPr>
        <w:t>Why</w:t>
      </w:r>
      <w:proofErr w:type="gramEnd"/>
      <w:r w:rsidRPr="00B87D31">
        <w:rPr>
          <w:rFonts w:eastAsia="Calibri"/>
          <w:i/>
          <w:iCs/>
        </w:rPr>
        <w:t>, and How</w:t>
      </w:r>
      <w:r w:rsidRPr="00B87D31">
        <w:rPr>
          <w:rFonts w:eastAsia="Calibri"/>
        </w:rPr>
        <w:t>. [online] Blog.prophix.com. Available at: &lt;https://blog.prophix.com/zero-based-budgeting-what-why-and-how/&gt; [Accessed 7 March 2022].</w:t>
      </w:r>
    </w:p>
    <w:p w14:paraId="40DEBB58" w14:textId="77777777" w:rsidR="00B87D31" w:rsidRPr="00B87D31" w:rsidRDefault="00B87D31" w:rsidP="00B87D31">
      <w:pPr>
        <w:rPr>
          <w:rFonts w:eastAsia="Calibri"/>
        </w:rPr>
      </w:pPr>
      <w:bookmarkStart w:id="26" w:name="_Hlk98110113"/>
      <w:r w:rsidRPr="00B87D31">
        <w:rPr>
          <w:rFonts w:eastAsia="Calibri"/>
        </w:rPr>
        <w:t>Vadapalli, R., 2021</w:t>
      </w:r>
      <w:bookmarkEnd w:id="26"/>
      <w:r w:rsidRPr="00B87D31">
        <w:rPr>
          <w:rFonts w:eastAsia="Calibri"/>
        </w:rPr>
        <w:t xml:space="preserve">. A Study on the Cases of Abrupt Shifting from Conventional Budgeting to Zero-Based Budgeting (ZBB) under Covid 19 Pandemic Situation in the </w:t>
      </w:r>
      <w:proofErr w:type="gramStart"/>
      <w:r w:rsidRPr="00B87D31">
        <w:rPr>
          <w:rFonts w:eastAsia="Calibri"/>
        </w:rPr>
        <w:t>Small Scale</w:t>
      </w:r>
      <w:proofErr w:type="gramEnd"/>
      <w:r w:rsidRPr="00B87D31">
        <w:rPr>
          <w:rFonts w:eastAsia="Calibri"/>
        </w:rPr>
        <w:t xml:space="preserve"> Packaged Food Industry and Small Scale Natural Resource Industry in India. </w:t>
      </w:r>
      <w:r w:rsidRPr="00B87D31">
        <w:rPr>
          <w:rFonts w:eastAsia="Calibri"/>
          <w:i/>
          <w:iCs/>
        </w:rPr>
        <w:t>The Management Accountant Journal</w:t>
      </w:r>
      <w:r w:rsidRPr="00B87D31">
        <w:rPr>
          <w:rFonts w:eastAsia="Calibri"/>
        </w:rPr>
        <w:t>, 56(6), p.30.</w:t>
      </w:r>
    </w:p>
    <w:p w14:paraId="3BC60060" w14:textId="77777777" w:rsidR="00B87D31" w:rsidRPr="00B87D31" w:rsidRDefault="00B87D31" w:rsidP="00B87D31">
      <w:pPr>
        <w:rPr>
          <w:rFonts w:eastAsia="Calibri"/>
        </w:rPr>
      </w:pPr>
      <w:bookmarkStart w:id="27" w:name="_Hlk98110191"/>
      <w:proofErr w:type="spellStart"/>
      <w:r w:rsidRPr="00B87D31">
        <w:rPr>
          <w:rFonts w:eastAsia="Calibri"/>
        </w:rPr>
        <w:t>Westerfield</w:t>
      </w:r>
      <w:proofErr w:type="spellEnd"/>
      <w:r w:rsidRPr="00B87D31">
        <w:rPr>
          <w:rFonts w:eastAsia="Calibri"/>
        </w:rPr>
        <w:t>, R., 2011</w:t>
      </w:r>
      <w:bookmarkEnd w:id="27"/>
      <w:r w:rsidRPr="00B87D31">
        <w:rPr>
          <w:rFonts w:eastAsia="Calibri"/>
        </w:rPr>
        <w:t>. </w:t>
      </w:r>
      <w:r w:rsidRPr="00B87D31">
        <w:rPr>
          <w:rFonts w:eastAsia="Calibri"/>
          <w:i/>
          <w:iCs/>
        </w:rPr>
        <w:t>The essentials of finance and budgeting</w:t>
      </w:r>
      <w:r w:rsidRPr="00B87D31">
        <w:rPr>
          <w:rFonts w:eastAsia="Calibri"/>
        </w:rPr>
        <w:t>. Boston: Harvard Business School Press.</w:t>
      </w:r>
    </w:p>
    <w:p w14:paraId="6D355444" w14:textId="77777777" w:rsidR="00EE2044" w:rsidRDefault="00B87D31" w:rsidP="00B87D31">
      <w:pPr>
        <w:rPr>
          <w:rFonts w:eastAsia="Calibri"/>
        </w:rPr>
        <w:sectPr w:rsidR="00EE2044">
          <w:pgSz w:w="12240" w:h="15840"/>
          <w:pgMar w:top="1440" w:right="1440" w:bottom="1440" w:left="1440" w:header="720" w:footer="720" w:gutter="0"/>
          <w:cols w:space="720"/>
          <w:docGrid w:linePitch="360"/>
        </w:sectPr>
      </w:pPr>
      <w:bookmarkStart w:id="28" w:name="_Hlk98110236"/>
      <w:r w:rsidRPr="00B87D31">
        <w:rPr>
          <w:rFonts w:eastAsia="Calibri"/>
        </w:rPr>
        <w:t>W</w:t>
      </w:r>
      <w:r w:rsidR="00CB0C4A">
        <w:rPr>
          <w:rFonts w:eastAsia="Calibri"/>
        </w:rPr>
        <w:t>oo</w:t>
      </w:r>
      <w:r w:rsidRPr="00B87D31">
        <w:rPr>
          <w:rFonts w:eastAsia="Calibri"/>
        </w:rPr>
        <w:t>, W., 2019</w:t>
      </w:r>
      <w:bookmarkEnd w:id="28"/>
      <w:r w:rsidRPr="00B87D31">
        <w:rPr>
          <w:rFonts w:eastAsia="Calibri"/>
        </w:rPr>
        <w:t>. A Revisit to Zero Based Budgeting. </w:t>
      </w:r>
      <w:r w:rsidRPr="00B87D31">
        <w:rPr>
          <w:rFonts w:eastAsia="Calibri"/>
          <w:i/>
          <w:iCs/>
        </w:rPr>
        <w:t>The International Journal of Business &amp; Management</w:t>
      </w:r>
      <w:r w:rsidRPr="00B87D31">
        <w:rPr>
          <w:rFonts w:eastAsia="Calibri"/>
        </w:rPr>
        <w:t>, 7(5).</w:t>
      </w:r>
    </w:p>
    <w:p w14:paraId="360941CF" w14:textId="6A164535" w:rsidR="00B87D31" w:rsidRDefault="00EE2044" w:rsidP="00EE2044">
      <w:pPr>
        <w:pStyle w:val="Heading1"/>
        <w:rPr>
          <w:rFonts w:ascii="Times New Roman" w:eastAsia="Calibri" w:hAnsi="Times New Roman" w:cs="Times New Roman"/>
          <w:b/>
          <w:bCs/>
        </w:rPr>
      </w:pPr>
      <w:bookmarkStart w:id="29" w:name="_Toc106859690"/>
      <w:r w:rsidRPr="00EE2044">
        <w:rPr>
          <w:rFonts w:ascii="Times New Roman" w:eastAsia="Calibri" w:hAnsi="Times New Roman" w:cs="Times New Roman"/>
          <w:b/>
          <w:bCs/>
        </w:rPr>
        <w:lastRenderedPageBreak/>
        <w:t>Appendix 1</w:t>
      </w:r>
      <w:bookmarkEnd w:id="29"/>
    </w:p>
    <w:p w14:paraId="736A047A" w14:textId="32A36F4E" w:rsidR="00EE2044" w:rsidRDefault="00EE2044" w:rsidP="00EE2044">
      <w:r>
        <w:t>Zero-based budgeting: Budget calculation</w:t>
      </w:r>
    </w:p>
    <w:p w14:paraId="42F1C8DF" w14:textId="700EC4C8" w:rsidR="00EE2044" w:rsidRPr="00EE2044" w:rsidRDefault="00DD233A" w:rsidP="00EE2044">
      <w:r>
        <w:rPr>
          <w:noProof/>
        </w:rPr>
        <w:drawing>
          <wp:inline distT="0" distB="0" distL="0" distR="0" wp14:anchorId="01A02106" wp14:editId="73020692">
            <wp:extent cx="6260931" cy="3186545"/>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6">
                      <a:extLst>
                        <a:ext uri="{28A0092B-C50C-407E-A947-70E740481C1C}">
                          <a14:useLocalDpi xmlns:a14="http://schemas.microsoft.com/office/drawing/2010/main" val="0"/>
                        </a:ext>
                      </a:extLst>
                    </a:blip>
                    <a:srcRect l="8861" t="23221" r="9999" b="14581"/>
                    <a:stretch/>
                  </pic:blipFill>
                  <pic:spPr bwMode="auto">
                    <a:xfrm>
                      <a:off x="0" y="0"/>
                      <a:ext cx="6292532" cy="3202629"/>
                    </a:xfrm>
                    <a:prstGeom prst="rect">
                      <a:avLst/>
                    </a:prstGeom>
                    <a:ln>
                      <a:noFill/>
                    </a:ln>
                    <a:extLst>
                      <a:ext uri="{53640926-AAD7-44D8-BBD7-CCE9431645EC}">
                        <a14:shadowObscured xmlns:a14="http://schemas.microsoft.com/office/drawing/2010/main"/>
                      </a:ext>
                    </a:extLst>
                  </pic:spPr>
                </pic:pic>
              </a:graphicData>
            </a:graphic>
          </wp:inline>
        </w:drawing>
      </w:r>
    </w:p>
    <w:p w14:paraId="54CBDA1D" w14:textId="5792582A" w:rsidR="00467342" w:rsidRPr="00467342" w:rsidRDefault="00467342" w:rsidP="00467342"/>
    <w:sectPr w:rsidR="00467342" w:rsidRPr="004673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5B8F9" w14:textId="77777777" w:rsidR="00394FDC" w:rsidRDefault="00394FDC" w:rsidP="00443493">
      <w:pPr>
        <w:spacing w:after="0" w:line="240" w:lineRule="auto"/>
      </w:pPr>
      <w:r>
        <w:separator/>
      </w:r>
    </w:p>
  </w:endnote>
  <w:endnote w:type="continuationSeparator" w:id="0">
    <w:p w14:paraId="70FAB73E" w14:textId="77777777" w:rsidR="00394FDC" w:rsidRDefault="00394FDC" w:rsidP="00443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BD469" w14:textId="79362E9C" w:rsidR="00443493" w:rsidRDefault="00443493">
    <w:pPr>
      <w:pStyle w:val="Footer"/>
      <w:jc w:val="center"/>
    </w:pPr>
  </w:p>
  <w:p w14:paraId="724DACCF" w14:textId="77777777" w:rsidR="00443493" w:rsidRDefault="004434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9080526"/>
      <w:docPartObj>
        <w:docPartGallery w:val="Page Numbers (Bottom of Page)"/>
        <w:docPartUnique/>
      </w:docPartObj>
    </w:sdtPr>
    <w:sdtEndPr>
      <w:rPr>
        <w:noProof/>
      </w:rPr>
    </w:sdtEndPr>
    <w:sdtContent>
      <w:p w14:paraId="0EB00446" w14:textId="77777777" w:rsidR="00443493" w:rsidRDefault="004434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A0AFEC" w14:textId="77777777" w:rsidR="00443493" w:rsidRDefault="00443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D8576" w14:textId="77777777" w:rsidR="00394FDC" w:rsidRDefault="00394FDC" w:rsidP="00443493">
      <w:pPr>
        <w:spacing w:after="0" w:line="240" w:lineRule="auto"/>
      </w:pPr>
      <w:r>
        <w:separator/>
      </w:r>
    </w:p>
  </w:footnote>
  <w:footnote w:type="continuationSeparator" w:id="0">
    <w:p w14:paraId="16E8534E" w14:textId="77777777" w:rsidR="00394FDC" w:rsidRDefault="00394FDC" w:rsidP="00443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35D0C"/>
    <w:multiLevelType w:val="hybridMultilevel"/>
    <w:tmpl w:val="447846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250916"/>
    <w:multiLevelType w:val="hybridMultilevel"/>
    <w:tmpl w:val="045EDB48"/>
    <w:lvl w:ilvl="0" w:tplc="09401CC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43538405">
    <w:abstractNumId w:val="0"/>
  </w:num>
  <w:num w:numId="2" w16cid:durableId="91903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75E"/>
    <w:rsid w:val="000D0057"/>
    <w:rsid w:val="000D5BE0"/>
    <w:rsid w:val="000E4B35"/>
    <w:rsid w:val="000F308B"/>
    <w:rsid w:val="0010452D"/>
    <w:rsid w:val="00191995"/>
    <w:rsid w:val="00201A27"/>
    <w:rsid w:val="00244ED3"/>
    <w:rsid w:val="002624C5"/>
    <w:rsid w:val="0027614D"/>
    <w:rsid w:val="00281311"/>
    <w:rsid w:val="002E0326"/>
    <w:rsid w:val="0030075E"/>
    <w:rsid w:val="00304613"/>
    <w:rsid w:val="003505E5"/>
    <w:rsid w:val="00351440"/>
    <w:rsid w:val="00394FDC"/>
    <w:rsid w:val="003F5589"/>
    <w:rsid w:val="00443493"/>
    <w:rsid w:val="00467342"/>
    <w:rsid w:val="005719F7"/>
    <w:rsid w:val="005F0F65"/>
    <w:rsid w:val="006E3B86"/>
    <w:rsid w:val="00752C81"/>
    <w:rsid w:val="007B4E6B"/>
    <w:rsid w:val="007C428A"/>
    <w:rsid w:val="00830089"/>
    <w:rsid w:val="00831340"/>
    <w:rsid w:val="0087218E"/>
    <w:rsid w:val="009C7CFA"/>
    <w:rsid w:val="009F35F8"/>
    <w:rsid w:val="00A0797D"/>
    <w:rsid w:val="00A53F34"/>
    <w:rsid w:val="00AC5F91"/>
    <w:rsid w:val="00AD1663"/>
    <w:rsid w:val="00AD71FC"/>
    <w:rsid w:val="00AF2A16"/>
    <w:rsid w:val="00AF479F"/>
    <w:rsid w:val="00B17732"/>
    <w:rsid w:val="00B87D31"/>
    <w:rsid w:val="00CB0C4A"/>
    <w:rsid w:val="00CB69D2"/>
    <w:rsid w:val="00CC3307"/>
    <w:rsid w:val="00D736FC"/>
    <w:rsid w:val="00DB1AF6"/>
    <w:rsid w:val="00DD233A"/>
    <w:rsid w:val="00DF0B2D"/>
    <w:rsid w:val="00EB3224"/>
    <w:rsid w:val="00EB4BE4"/>
    <w:rsid w:val="00ED7795"/>
    <w:rsid w:val="00EE2044"/>
    <w:rsid w:val="00F73792"/>
    <w:rsid w:val="00FA54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B081B"/>
  <w15:chartTrackingRefBased/>
  <w15:docId w15:val="{C463C221-BDF2-4329-B253-31614CA57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795"/>
  </w:style>
  <w:style w:type="paragraph" w:styleId="Heading1">
    <w:name w:val="heading 1"/>
    <w:basedOn w:val="Normal"/>
    <w:next w:val="Normal"/>
    <w:link w:val="Heading1Char"/>
    <w:uiPriority w:val="9"/>
    <w:qFormat/>
    <w:rsid w:val="008721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DF0B2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F0B2D"/>
    <w:rPr>
      <w:i/>
      <w:iCs/>
      <w:color w:val="4472C4" w:themeColor="accent1"/>
    </w:rPr>
  </w:style>
  <w:style w:type="character" w:customStyle="1" w:styleId="Heading1Char">
    <w:name w:val="Heading 1 Char"/>
    <w:basedOn w:val="DefaultParagraphFont"/>
    <w:link w:val="Heading1"/>
    <w:uiPriority w:val="9"/>
    <w:rsid w:val="0087218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44ED3"/>
    <w:pPr>
      <w:ind w:left="720"/>
      <w:contextualSpacing/>
    </w:pPr>
  </w:style>
  <w:style w:type="paragraph" w:styleId="Header">
    <w:name w:val="header"/>
    <w:basedOn w:val="Normal"/>
    <w:link w:val="HeaderChar"/>
    <w:uiPriority w:val="99"/>
    <w:unhideWhenUsed/>
    <w:rsid w:val="004434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3493"/>
  </w:style>
  <w:style w:type="paragraph" w:styleId="Footer">
    <w:name w:val="footer"/>
    <w:basedOn w:val="Normal"/>
    <w:link w:val="FooterChar"/>
    <w:uiPriority w:val="99"/>
    <w:unhideWhenUsed/>
    <w:rsid w:val="004434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493"/>
  </w:style>
  <w:style w:type="paragraph" w:styleId="TOCHeading">
    <w:name w:val="TOC Heading"/>
    <w:basedOn w:val="Heading1"/>
    <w:next w:val="Normal"/>
    <w:uiPriority w:val="39"/>
    <w:unhideWhenUsed/>
    <w:qFormat/>
    <w:rsid w:val="007B4E6B"/>
    <w:pPr>
      <w:spacing w:line="259" w:lineRule="auto"/>
      <w:jc w:val="left"/>
      <w:outlineLvl w:val="9"/>
    </w:pPr>
  </w:style>
  <w:style w:type="paragraph" w:styleId="TOC1">
    <w:name w:val="toc 1"/>
    <w:basedOn w:val="Normal"/>
    <w:next w:val="Normal"/>
    <w:autoRedefine/>
    <w:uiPriority w:val="39"/>
    <w:unhideWhenUsed/>
    <w:rsid w:val="007B4E6B"/>
    <w:pPr>
      <w:tabs>
        <w:tab w:val="right" w:leader="dot" w:pos="9350"/>
      </w:tabs>
      <w:spacing w:after="100"/>
    </w:pPr>
    <w:rPr>
      <w:rFonts w:ascii="Calibri Light" w:eastAsia="Times New Roman" w:hAnsi="Calibri Light"/>
      <w:b/>
      <w:bCs/>
      <w:noProof/>
    </w:rPr>
  </w:style>
  <w:style w:type="character" w:styleId="Hyperlink">
    <w:name w:val="Hyperlink"/>
    <w:basedOn w:val="DefaultParagraphFont"/>
    <w:uiPriority w:val="99"/>
    <w:unhideWhenUsed/>
    <w:rsid w:val="007B4E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991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235199-A601-4C32-B914-84008D2BFAF2}" type="doc">
      <dgm:prSet loTypeId="urn:microsoft.com/office/officeart/2005/8/layout/vProcess5" loCatId="process" qsTypeId="urn:microsoft.com/office/officeart/2005/8/quickstyle/3d1" qsCatId="3D" csTypeId="urn:microsoft.com/office/officeart/2005/8/colors/colorful3" csCatId="colorful" phldr="1"/>
      <dgm:spPr/>
      <dgm:t>
        <a:bodyPr/>
        <a:lstStyle/>
        <a:p>
          <a:endParaRPr lang="en-US"/>
        </a:p>
      </dgm:t>
    </dgm:pt>
    <dgm:pt modelId="{EE997F82-A858-45B5-B48D-1C46170488F8}">
      <dgm:prSet phldrT="[Text]"/>
      <dgm:spPr/>
      <dgm:t>
        <a:bodyPr/>
        <a:lstStyle/>
        <a:p>
          <a:r>
            <a:rPr lang="en-US"/>
            <a:t>Identifying company goals and objectives</a:t>
          </a:r>
        </a:p>
      </dgm:t>
    </dgm:pt>
    <dgm:pt modelId="{77AA7461-C214-47B2-8484-3A7F4FC0415E}" type="parTrans" cxnId="{76D2CDC5-42D5-4117-872B-50E7BE1B676A}">
      <dgm:prSet/>
      <dgm:spPr/>
      <dgm:t>
        <a:bodyPr/>
        <a:lstStyle/>
        <a:p>
          <a:endParaRPr lang="en-US"/>
        </a:p>
      </dgm:t>
    </dgm:pt>
    <dgm:pt modelId="{DC447311-B147-4DA0-812B-BC27BD8BAD00}" type="sibTrans" cxnId="{76D2CDC5-42D5-4117-872B-50E7BE1B676A}">
      <dgm:prSet/>
      <dgm:spPr/>
      <dgm:t>
        <a:bodyPr/>
        <a:lstStyle/>
        <a:p>
          <a:endParaRPr lang="en-US"/>
        </a:p>
      </dgm:t>
    </dgm:pt>
    <dgm:pt modelId="{9016E0EC-2FCA-46FE-BCA0-5A5FE5942265}">
      <dgm:prSet phldrT="[Text]"/>
      <dgm:spPr/>
      <dgm:t>
        <a:bodyPr/>
        <a:lstStyle/>
        <a:p>
          <a:r>
            <a:rPr lang="en-US"/>
            <a:t>Locating business units</a:t>
          </a:r>
        </a:p>
      </dgm:t>
    </dgm:pt>
    <dgm:pt modelId="{D6F59A1F-35A8-4B46-8ABB-D9B9E7F3A9D8}" type="parTrans" cxnId="{B784CD5E-AC46-42B3-A3DB-C719752EC8D1}">
      <dgm:prSet/>
      <dgm:spPr/>
      <dgm:t>
        <a:bodyPr/>
        <a:lstStyle/>
        <a:p>
          <a:endParaRPr lang="en-US"/>
        </a:p>
      </dgm:t>
    </dgm:pt>
    <dgm:pt modelId="{3FBF0B97-A477-43C1-94D8-DC632512D8E7}" type="sibTrans" cxnId="{B784CD5E-AC46-42B3-A3DB-C719752EC8D1}">
      <dgm:prSet/>
      <dgm:spPr/>
      <dgm:t>
        <a:bodyPr/>
        <a:lstStyle/>
        <a:p>
          <a:endParaRPr lang="en-US"/>
        </a:p>
      </dgm:t>
    </dgm:pt>
    <dgm:pt modelId="{D4D44188-99CA-4831-85DA-F7BA2DAEF657}">
      <dgm:prSet phldrT="[Text]"/>
      <dgm:spPr/>
      <dgm:t>
        <a:bodyPr/>
        <a:lstStyle/>
        <a:p>
          <a:r>
            <a:rPr lang="en-US"/>
            <a:t>Emphasizing the decision packages</a:t>
          </a:r>
        </a:p>
      </dgm:t>
    </dgm:pt>
    <dgm:pt modelId="{5689E897-8B8E-4E63-AB1B-40F085A80A7C}" type="parTrans" cxnId="{9D4DB7EF-AD94-41A4-9CD6-4747BE0D462D}">
      <dgm:prSet/>
      <dgm:spPr/>
      <dgm:t>
        <a:bodyPr/>
        <a:lstStyle/>
        <a:p>
          <a:endParaRPr lang="en-US"/>
        </a:p>
      </dgm:t>
    </dgm:pt>
    <dgm:pt modelId="{0B043EB9-30DF-4CE4-A1F7-DA6200241511}" type="sibTrans" cxnId="{9D4DB7EF-AD94-41A4-9CD6-4747BE0D462D}">
      <dgm:prSet/>
      <dgm:spPr/>
      <dgm:t>
        <a:bodyPr/>
        <a:lstStyle/>
        <a:p>
          <a:endParaRPr lang="en-US"/>
        </a:p>
      </dgm:t>
    </dgm:pt>
    <dgm:pt modelId="{9296A436-B3D4-4B59-ADAC-0DF871A19863}">
      <dgm:prSet phldrT="[Text]"/>
      <dgm:spPr/>
      <dgm:t>
        <a:bodyPr/>
        <a:lstStyle/>
        <a:p>
          <a:r>
            <a:rPr lang="en-US"/>
            <a:t>Assigning resource available</a:t>
          </a:r>
        </a:p>
      </dgm:t>
    </dgm:pt>
    <dgm:pt modelId="{99925658-54CB-4F16-834D-0EFD3DCD9F71}" type="parTrans" cxnId="{B617A497-BDA0-4143-87FD-A34E0AA17434}">
      <dgm:prSet/>
      <dgm:spPr/>
    </dgm:pt>
    <dgm:pt modelId="{CB687410-82DC-4EBA-9096-EC71DB0530C4}" type="sibTrans" cxnId="{B617A497-BDA0-4143-87FD-A34E0AA17434}">
      <dgm:prSet/>
      <dgm:spPr/>
      <dgm:t>
        <a:bodyPr/>
        <a:lstStyle/>
        <a:p>
          <a:endParaRPr lang="en-US"/>
        </a:p>
      </dgm:t>
    </dgm:pt>
    <dgm:pt modelId="{3AB9380B-20D9-4214-AA15-E556AE0CCECD}">
      <dgm:prSet phldrT="[Text]"/>
      <dgm:spPr/>
      <dgm:t>
        <a:bodyPr/>
        <a:lstStyle/>
        <a:p>
          <a:r>
            <a:rPr lang="en-US"/>
            <a:t> Controlling and supervising</a:t>
          </a:r>
        </a:p>
      </dgm:t>
    </dgm:pt>
    <dgm:pt modelId="{C0C4E280-FC99-45CD-A88F-31A01D4E4714}" type="parTrans" cxnId="{57F5B39A-4CD4-4488-A715-B02FF147F264}">
      <dgm:prSet/>
      <dgm:spPr/>
    </dgm:pt>
    <dgm:pt modelId="{FF118C1E-C55B-4E5C-92AE-0A11FF611D9D}" type="sibTrans" cxnId="{57F5B39A-4CD4-4488-A715-B02FF147F264}">
      <dgm:prSet/>
      <dgm:spPr/>
    </dgm:pt>
    <dgm:pt modelId="{5CAEE7C2-1881-4BBC-8514-06429ACE823F}" type="pres">
      <dgm:prSet presAssocID="{9C235199-A601-4C32-B914-84008D2BFAF2}" presName="outerComposite" presStyleCnt="0">
        <dgm:presLayoutVars>
          <dgm:chMax val="5"/>
          <dgm:dir/>
          <dgm:resizeHandles val="exact"/>
        </dgm:presLayoutVars>
      </dgm:prSet>
      <dgm:spPr/>
    </dgm:pt>
    <dgm:pt modelId="{19D47B14-0D24-405D-97D5-9C65793E472D}" type="pres">
      <dgm:prSet presAssocID="{9C235199-A601-4C32-B914-84008D2BFAF2}" presName="dummyMaxCanvas" presStyleCnt="0">
        <dgm:presLayoutVars/>
      </dgm:prSet>
      <dgm:spPr/>
    </dgm:pt>
    <dgm:pt modelId="{E8EE882F-95E0-4915-8326-19FD7D58F98F}" type="pres">
      <dgm:prSet presAssocID="{9C235199-A601-4C32-B914-84008D2BFAF2}" presName="FiveNodes_1" presStyleLbl="node1" presStyleIdx="0" presStyleCnt="5">
        <dgm:presLayoutVars>
          <dgm:bulletEnabled val="1"/>
        </dgm:presLayoutVars>
      </dgm:prSet>
      <dgm:spPr/>
    </dgm:pt>
    <dgm:pt modelId="{ED4A0D39-6325-468F-91F2-710D57DAE6DD}" type="pres">
      <dgm:prSet presAssocID="{9C235199-A601-4C32-B914-84008D2BFAF2}" presName="FiveNodes_2" presStyleLbl="node1" presStyleIdx="1" presStyleCnt="5">
        <dgm:presLayoutVars>
          <dgm:bulletEnabled val="1"/>
        </dgm:presLayoutVars>
      </dgm:prSet>
      <dgm:spPr/>
    </dgm:pt>
    <dgm:pt modelId="{8BEEA39E-2DAB-4403-8A46-7D05E5A48028}" type="pres">
      <dgm:prSet presAssocID="{9C235199-A601-4C32-B914-84008D2BFAF2}" presName="FiveNodes_3" presStyleLbl="node1" presStyleIdx="2" presStyleCnt="5">
        <dgm:presLayoutVars>
          <dgm:bulletEnabled val="1"/>
        </dgm:presLayoutVars>
      </dgm:prSet>
      <dgm:spPr/>
    </dgm:pt>
    <dgm:pt modelId="{21651CD3-C889-4FA6-8B9F-F583D23C294F}" type="pres">
      <dgm:prSet presAssocID="{9C235199-A601-4C32-B914-84008D2BFAF2}" presName="FiveNodes_4" presStyleLbl="node1" presStyleIdx="3" presStyleCnt="5">
        <dgm:presLayoutVars>
          <dgm:bulletEnabled val="1"/>
        </dgm:presLayoutVars>
      </dgm:prSet>
      <dgm:spPr/>
    </dgm:pt>
    <dgm:pt modelId="{DB1C17EC-4677-459A-B7A9-8EE404596519}" type="pres">
      <dgm:prSet presAssocID="{9C235199-A601-4C32-B914-84008D2BFAF2}" presName="FiveNodes_5" presStyleLbl="node1" presStyleIdx="4" presStyleCnt="5">
        <dgm:presLayoutVars>
          <dgm:bulletEnabled val="1"/>
        </dgm:presLayoutVars>
      </dgm:prSet>
      <dgm:spPr/>
    </dgm:pt>
    <dgm:pt modelId="{D954A23C-9129-4A07-BCDE-CD7FD63A4769}" type="pres">
      <dgm:prSet presAssocID="{9C235199-A601-4C32-B914-84008D2BFAF2}" presName="FiveConn_1-2" presStyleLbl="fgAccFollowNode1" presStyleIdx="0" presStyleCnt="4">
        <dgm:presLayoutVars>
          <dgm:bulletEnabled val="1"/>
        </dgm:presLayoutVars>
      </dgm:prSet>
      <dgm:spPr/>
    </dgm:pt>
    <dgm:pt modelId="{C23006BA-37DF-48C6-8FB1-97C8CD4E6538}" type="pres">
      <dgm:prSet presAssocID="{9C235199-A601-4C32-B914-84008D2BFAF2}" presName="FiveConn_2-3" presStyleLbl="fgAccFollowNode1" presStyleIdx="1" presStyleCnt="4">
        <dgm:presLayoutVars>
          <dgm:bulletEnabled val="1"/>
        </dgm:presLayoutVars>
      </dgm:prSet>
      <dgm:spPr/>
    </dgm:pt>
    <dgm:pt modelId="{F04116EC-3652-4115-A9AB-929FC221F451}" type="pres">
      <dgm:prSet presAssocID="{9C235199-A601-4C32-B914-84008D2BFAF2}" presName="FiveConn_3-4" presStyleLbl="fgAccFollowNode1" presStyleIdx="2" presStyleCnt="4">
        <dgm:presLayoutVars>
          <dgm:bulletEnabled val="1"/>
        </dgm:presLayoutVars>
      </dgm:prSet>
      <dgm:spPr/>
    </dgm:pt>
    <dgm:pt modelId="{B23BA35D-CCE2-4899-AFC0-283BCF7CFC4D}" type="pres">
      <dgm:prSet presAssocID="{9C235199-A601-4C32-B914-84008D2BFAF2}" presName="FiveConn_4-5" presStyleLbl="fgAccFollowNode1" presStyleIdx="3" presStyleCnt="4">
        <dgm:presLayoutVars>
          <dgm:bulletEnabled val="1"/>
        </dgm:presLayoutVars>
      </dgm:prSet>
      <dgm:spPr/>
    </dgm:pt>
    <dgm:pt modelId="{FC5074A7-6751-47F7-B1A0-19341DF0C13D}" type="pres">
      <dgm:prSet presAssocID="{9C235199-A601-4C32-B914-84008D2BFAF2}" presName="FiveNodes_1_text" presStyleLbl="node1" presStyleIdx="4" presStyleCnt="5">
        <dgm:presLayoutVars>
          <dgm:bulletEnabled val="1"/>
        </dgm:presLayoutVars>
      </dgm:prSet>
      <dgm:spPr/>
    </dgm:pt>
    <dgm:pt modelId="{88E25141-5F6B-40B7-9E11-B35925EE279C}" type="pres">
      <dgm:prSet presAssocID="{9C235199-A601-4C32-B914-84008D2BFAF2}" presName="FiveNodes_2_text" presStyleLbl="node1" presStyleIdx="4" presStyleCnt="5">
        <dgm:presLayoutVars>
          <dgm:bulletEnabled val="1"/>
        </dgm:presLayoutVars>
      </dgm:prSet>
      <dgm:spPr/>
    </dgm:pt>
    <dgm:pt modelId="{DB80B459-3784-4D40-A344-5F65B1ED7FA5}" type="pres">
      <dgm:prSet presAssocID="{9C235199-A601-4C32-B914-84008D2BFAF2}" presName="FiveNodes_3_text" presStyleLbl="node1" presStyleIdx="4" presStyleCnt="5">
        <dgm:presLayoutVars>
          <dgm:bulletEnabled val="1"/>
        </dgm:presLayoutVars>
      </dgm:prSet>
      <dgm:spPr/>
    </dgm:pt>
    <dgm:pt modelId="{27C804CA-DAAD-4714-AC32-C11320FD0698}" type="pres">
      <dgm:prSet presAssocID="{9C235199-A601-4C32-B914-84008D2BFAF2}" presName="FiveNodes_4_text" presStyleLbl="node1" presStyleIdx="4" presStyleCnt="5">
        <dgm:presLayoutVars>
          <dgm:bulletEnabled val="1"/>
        </dgm:presLayoutVars>
      </dgm:prSet>
      <dgm:spPr/>
    </dgm:pt>
    <dgm:pt modelId="{EBED7F61-C5D7-4465-9EBA-8A8BBA77492A}" type="pres">
      <dgm:prSet presAssocID="{9C235199-A601-4C32-B914-84008D2BFAF2}" presName="FiveNodes_5_text" presStyleLbl="node1" presStyleIdx="4" presStyleCnt="5">
        <dgm:presLayoutVars>
          <dgm:bulletEnabled val="1"/>
        </dgm:presLayoutVars>
      </dgm:prSet>
      <dgm:spPr/>
    </dgm:pt>
  </dgm:ptLst>
  <dgm:cxnLst>
    <dgm:cxn modelId="{441E9018-E17D-45B1-90DF-E32EF0FFF5A4}" type="presOf" srcId="{0B043EB9-30DF-4CE4-A1F7-DA6200241511}" destId="{F04116EC-3652-4115-A9AB-929FC221F451}" srcOrd="0" destOrd="0" presId="urn:microsoft.com/office/officeart/2005/8/layout/vProcess5"/>
    <dgm:cxn modelId="{2B4DD240-AAC9-4BFA-A59E-0DB056A6DEE5}" type="presOf" srcId="{9296A436-B3D4-4B59-ADAC-0DF871A19863}" destId="{21651CD3-C889-4FA6-8B9F-F583D23C294F}" srcOrd="0" destOrd="0" presId="urn:microsoft.com/office/officeart/2005/8/layout/vProcess5"/>
    <dgm:cxn modelId="{B784CD5E-AC46-42B3-A3DB-C719752EC8D1}" srcId="{9C235199-A601-4C32-B914-84008D2BFAF2}" destId="{9016E0EC-2FCA-46FE-BCA0-5A5FE5942265}" srcOrd="1" destOrd="0" parTransId="{D6F59A1F-35A8-4B46-8ABB-D9B9E7F3A9D8}" sibTransId="{3FBF0B97-A477-43C1-94D8-DC632512D8E7}"/>
    <dgm:cxn modelId="{CED05260-33AD-480D-BFAC-69A5BF4E0091}" type="presOf" srcId="{9016E0EC-2FCA-46FE-BCA0-5A5FE5942265}" destId="{88E25141-5F6B-40B7-9E11-B35925EE279C}" srcOrd="1" destOrd="0" presId="urn:microsoft.com/office/officeart/2005/8/layout/vProcess5"/>
    <dgm:cxn modelId="{764AC964-A8A8-4042-98D9-EBF0F1C1C005}" type="presOf" srcId="{EE997F82-A858-45B5-B48D-1C46170488F8}" destId="{FC5074A7-6751-47F7-B1A0-19341DF0C13D}" srcOrd="1" destOrd="0" presId="urn:microsoft.com/office/officeart/2005/8/layout/vProcess5"/>
    <dgm:cxn modelId="{7985D144-C951-4292-BCC1-C092EDCE82E7}" type="presOf" srcId="{EE997F82-A858-45B5-B48D-1C46170488F8}" destId="{E8EE882F-95E0-4915-8326-19FD7D58F98F}" srcOrd="0" destOrd="0" presId="urn:microsoft.com/office/officeart/2005/8/layout/vProcess5"/>
    <dgm:cxn modelId="{6E1A1B65-9F1D-4C4B-A02A-05465D78C658}" type="presOf" srcId="{3AB9380B-20D9-4214-AA15-E556AE0CCECD}" destId="{DB1C17EC-4677-459A-B7A9-8EE404596519}" srcOrd="0" destOrd="0" presId="urn:microsoft.com/office/officeart/2005/8/layout/vProcess5"/>
    <dgm:cxn modelId="{71338C4D-E95F-44E9-B128-B7E2459BBF84}" type="presOf" srcId="{9C235199-A601-4C32-B914-84008D2BFAF2}" destId="{5CAEE7C2-1881-4BBC-8514-06429ACE823F}" srcOrd="0" destOrd="0" presId="urn:microsoft.com/office/officeart/2005/8/layout/vProcess5"/>
    <dgm:cxn modelId="{FDC64F75-6AB5-4295-9F06-73E6B5D6E0AB}" type="presOf" srcId="{D4D44188-99CA-4831-85DA-F7BA2DAEF657}" destId="{8BEEA39E-2DAB-4403-8A46-7D05E5A48028}" srcOrd="0" destOrd="0" presId="urn:microsoft.com/office/officeart/2005/8/layout/vProcess5"/>
    <dgm:cxn modelId="{39EB1759-30DA-4281-8A8E-95582E0FD141}" type="presOf" srcId="{DC447311-B147-4DA0-812B-BC27BD8BAD00}" destId="{D954A23C-9129-4A07-BCDE-CD7FD63A4769}" srcOrd="0" destOrd="0" presId="urn:microsoft.com/office/officeart/2005/8/layout/vProcess5"/>
    <dgm:cxn modelId="{F4164793-C118-40D8-A39B-B8D09BD128F6}" type="presOf" srcId="{3FBF0B97-A477-43C1-94D8-DC632512D8E7}" destId="{C23006BA-37DF-48C6-8FB1-97C8CD4E6538}" srcOrd="0" destOrd="0" presId="urn:microsoft.com/office/officeart/2005/8/layout/vProcess5"/>
    <dgm:cxn modelId="{B617A497-BDA0-4143-87FD-A34E0AA17434}" srcId="{9C235199-A601-4C32-B914-84008D2BFAF2}" destId="{9296A436-B3D4-4B59-ADAC-0DF871A19863}" srcOrd="3" destOrd="0" parTransId="{99925658-54CB-4F16-834D-0EFD3DCD9F71}" sibTransId="{CB687410-82DC-4EBA-9096-EC71DB0530C4}"/>
    <dgm:cxn modelId="{6F0B5299-28A7-4055-A02E-42312DB9132E}" type="presOf" srcId="{9016E0EC-2FCA-46FE-BCA0-5A5FE5942265}" destId="{ED4A0D39-6325-468F-91F2-710D57DAE6DD}" srcOrd="0" destOrd="0" presId="urn:microsoft.com/office/officeart/2005/8/layout/vProcess5"/>
    <dgm:cxn modelId="{57F5B39A-4CD4-4488-A715-B02FF147F264}" srcId="{9C235199-A601-4C32-B914-84008D2BFAF2}" destId="{3AB9380B-20D9-4214-AA15-E556AE0CCECD}" srcOrd="4" destOrd="0" parTransId="{C0C4E280-FC99-45CD-A88F-31A01D4E4714}" sibTransId="{FF118C1E-C55B-4E5C-92AE-0A11FF611D9D}"/>
    <dgm:cxn modelId="{28D2C9A8-7763-4E3A-9C7A-ADA8B032E95F}" type="presOf" srcId="{9296A436-B3D4-4B59-ADAC-0DF871A19863}" destId="{27C804CA-DAAD-4714-AC32-C11320FD0698}" srcOrd="1" destOrd="0" presId="urn:microsoft.com/office/officeart/2005/8/layout/vProcess5"/>
    <dgm:cxn modelId="{ED9770BB-EFFF-4D1F-B09B-0EE6545E4EA0}" type="presOf" srcId="{D4D44188-99CA-4831-85DA-F7BA2DAEF657}" destId="{DB80B459-3784-4D40-A344-5F65B1ED7FA5}" srcOrd="1" destOrd="0" presId="urn:microsoft.com/office/officeart/2005/8/layout/vProcess5"/>
    <dgm:cxn modelId="{76D2CDC5-42D5-4117-872B-50E7BE1B676A}" srcId="{9C235199-A601-4C32-B914-84008D2BFAF2}" destId="{EE997F82-A858-45B5-B48D-1C46170488F8}" srcOrd="0" destOrd="0" parTransId="{77AA7461-C214-47B2-8484-3A7F4FC0415E}" sibTransId="{DC447311-B147-4DA0-812B-BC27BD8BAD00}"/>
    <dgm:cxn modelId="{811118CA-6189-4001-8C77-2B03C110E335}" type="presOf" srcId="{3AB9380B-20D9-4214-AA15-E556AE0CCECD}" destId="{EBED7F61-C5D7-4465-9EBA-8A8BBA77492A}" srcOrd="1" destOrd="0" presId="urn:microsoft.com/office/officeart/2005/8/layout/vProcess5"/>
    <dgm:cxn modelId="{6FF8A9D7-B303-4B96-B1A6-D55CFC90751D}" type="presOf" srcId="{CB687410-82DC-4EBA-9096-EC71DB0530C4}" destId="{B23BA35D-CCE2-4899-AFC0-283BCF7CFC4D}" srcOrd="0" destOrd="0" presId="urn:microsoft.com/office/officeart/2005/8/layout/vProcess5"/>
    <dgm:cxn modelId="{9D4DB7EF-AD94-41A4-9CD6-4747BE0D462D}" srcId="{9C235199-A601-4C32-B914-84008D2BFAF2}" destId="{D4D44188-99CA-4831-85DA-F7BA2DAEF657}" srcOrd="2" destOrd="0" parTransId="{5689E897-8B8E-4E63-AB1B-40F085A80A7C}" sibTransId="{0B043EB9-30DF-4CE4-A1F7-DA6200241511}"/>
    <dgm:cxn modelId="{78D2C226-D9D8-4AF1-8EA5-0CF6CED27D08}" type="presParOf" srcId="{5CAEE7C2-1881-4BBC-8514-06429ACE823F}" destId="{19D47B14-0D24-405D-97D5-9C65793E472D}" srcOrd="0" destOrd="0" presId="urn:microsoft.com/office/officeart/2005/8/layout/vProcess5"/>
    <dgm:cxn modelId="{9422F8D2-962F-4453-8C35-E5CB5AFD978D}" type="presParOf" srcId="{5CAEE7C2-1881-4BBC-8514-06429ACE823F}" destId="{E8EE882F-95E0-4915-8326-19FD7D58F98F}" srcOrd="1" destOrd="0" presId="urn:microsoft.com/office/officeart/2005/8/layout/vProcess5"/>
    <dgm:cxn modelId="{2FFC5A15-90EF-41EB-8DDD-E09CBAAC7C39}" type="presParOf" srcId="{5CAEE7C2-1881-4BBC-8514-06429ACE823F}" destId="{ED4A0D39-6325-468F-91F2-710D57DAE6DD}" srcOrd="2" destOrd="0" presId="urn:microsoft.com/office/officeart/2005/8/layout/vProcess5"/>
    <dgm:cxn modelId="{E47C5E4A-468A-4C7E-BEBA-E9A11015D6E4}" type="presParOf" srcId="{5CAEE7C2-1881-4BBC-8514-06429ACE823F}" destId="{8BEEA39E-2DAB-4403-8A46-7D05E5A48028}" srcOrd="3" destOrd="0" presId="urn:microsoft.com/office/officeart/2005/8/layout/vProcess5"/>
    <dgm:cxn modelId="{138F0EAB-0756-45A9-836A-A8D6354F29D2}" type="presParOf" srcId="{5CAEE7C2-1881-4BBC-8514-06429ACE823F}" destId="{21651CD3-C889-4FA6-8B9F-F583D23C294F}" srcOrd="4" destOrd="0" presId="urn:microsoft.com/office/officeart/2005/8/layout/vProcess5"/>
    <dgm:cxn modelId="{6F590E90-60DF-428A-95E3-249A09EFADF9}" type="presParOf" srcId="{5CAEE7C2-1881-4BBC-8514-06429ACE823F}" destId="{DB1C17EC-4677-459A-B7A9-8EE404596519}" srcOrd="5" destOrd="0" presId="urn:microsoft.com/office/officeart/2005/8/layout/vProcess5"/>
    <dgm:cxn modelId="{581DF6CE-1369-4F42-BACA-D2E9A52A60ED}" type="presParOf" srcId="{5CAEE7C2-1881-4BBC-8514-06429ACE823F}" destId="{D954A23C-9129-4A07-BCDE-CD7FD63A4769}" srcOrd="6" destOrd="0" presId="urn:microsoft.com/office/officeart/2005/8/layout/vProcess5"/>
    <dgm:cxn modelId="{EECD33A7-BB5D-4BE7-A7FF-CCEF6E26C46A}" type="presParOf" srcId="{5CAEE7C2-1881-4BBC-8514-06429ACE823F}" destId="{C23006BA-37DF-48C6-8FB1-97C8CD4E6538}" srcOrd="7" destOrd="0" presId="urn:microsoft.com/office/officeart/2005/8/layout/vProcess5"/>
    <dgm:cxn modelId="{B402E457-A36E-45B7-A002-FD7B48D9E1B9}" type="presParOf" srcId="{5CAEE7C2-1881-4BBC-8514-06429ACE823F}" destId="{F04116EC-3652-4115-A9AB-929FC221F451}" srcOrd="8" destOrd="0" presId="urn:microsoft.com/office/officeart/2005/8/layout/vProcess5"/>
    <dgm:cxn modelId="{540E10E4-83D9-4CD3-A0A8-2D3C28CB7252}" type="presParOf" srcId="{5CAEE7C2-1881-4BBC-8514-06429ACE823F}" destId="{B23BA35D-CCE2-4899-AFC0-283BCF7CFC4D}" srcOrd="9" destOrd="0" presId="urn:microsoft.com/office/officeart/2005/8/layout/vProcess5"/>
    <dgm:cxn modelId="{4DA3E18D-8755-4F5C-8F3E-F6AC38983A6A}" type="presParOf" srcId="{5CAEE7C2-1881-4BBC-8514-06429ACE823F}" destId="{FC5074A7-6751-47F7-B1A0-19341DF0C13D}" srcOrd="10" destOrd="0" presId="urn:microsoft.com/office/officeart/2005/8/layout/vProcess5"/>
    <dgm:cxn modelId="{3A7514D2-5822-422D-B56C-4CC4E4AACB5B}" type="presParOf" srcId="{5CAEE7C2-1881-4BBC-8514-06429ACE823F}" destId="{88E25141-5F6B-40B7-9E11-B35925EE279C}" srcOrd="11" destOrd="0" presId="urn:microsoft.com/office/officeart/2005/8/layout/vProcess5"/>
    <dgm:cxn modelId="{75B5B351-8626-430A-B365-64A952FB38DA}" type="presParOf" srcId="{5CAEE7C2-1881-4BBC-8514-06429ACE823F}" destId="{DB80B459-3784-4D40-A344-5F65B1ED7FA5}" srcOrd="12" destOrd="0" presId="urn:microsoft.com/office/officeart/2005/8/layout/vProcess5"/>
    <dgm:cxn modelId="{D5D3D7CE-0C25-4F2B-8861-773709499C28}" type="presParOf" srcId="{5CAEE7C2-1881-4BBC-8514-06429ACE823F}" destId="{27C804CA-DAAD-4714-AC32-C11320FD0698}" srcOrd="13" destOrd="0" presId="urn:microsoft.com/office/officeart/2005/8/layout/vProcess5"/>
    <dgm:cxn modelId="{94882093-274C-471B-9B8C-D5D0BCD6400A}" type="presParOf" srcId="{5CAEE7C2-1881-4BBC-8514-06429ACE823F}" destId="{EBED7F61-C5D7-4465-9EBA-8A8BBA77492A}" srcOrd="14" destOrd="0" presId="urn:microsoft.com/office/officeart/2005/8/layout/vProcess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EE882F-95E0-4915-8326-19FD7D58F98F}">
      <dsp:nvSpPr>
        <dsp:cNvPr id="0" name=""/>
        <dsp:cNvSpPr/>
      </dsp:nvSpPr>
      <dsp:spPr>
        <a:xfrm>
          <a:off x="0" y="0"/>
          <a:ext cx="4224528" cy="576072"/>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Identifying company goals and objectives</a:t>
          </a:r>
        </a:p>
      </dsp:txBody>
      <dsp:txXfrm>
        <a:off x="16873" y="16873"/>
        <a:ext cx="3535500" cy="542326"/>
      </dsp:txXfrm>
    </dsp:sp>
    <dsp:sp modelId="{ED4A0D39-6325-468F-91F2-710D57DAE6DD}">
      <dsp:nvSpPr>
        <dsp:cNvPr id="0" name=""/>
        <dsp:cNvSpPr/>
      </dsp:nvSpPr>
      <dsp:spPr>
        <a:xfrm>
          <a:off x="315468" y="656082"/>
          <a:ext cx="4224528" cy="576072"/>
        </a:xfrm>
        <a:prstGeom prst="roundRect">
          <a:avLst>
            <a:gd name="adj" fmla="val 10000"/>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Locating business units</a:t>
          </a:r>
        </a:p>
      </dsp:txBody>
      <dsp:txXfrm>
        <a:off x="332341" y="672955"/>
        <a:ext cx="3500867" cy="542326"/>
      </dsp:txXfrm>
    </dsp:sp>
    <dsp:sp modelId="{8BEEA39E-2DAB-4403-8A46-7D05E5A48028}">
      <dsp:nvSpPr>
        <dsp:cNvPr id="0" name=""/>
        <dsp:cNvSpPr/>
      </dsp:nvSpPr>
      <dsp:spPr>
        <a:xfrm>
          <a:off x="630935" y="1312164"/>
          <a:ext cx="4224528" cy="576072"/>
        </a:xfrm>
        <a:prstGeom prst="roundRect">
          <a:avLst>
            <a:gd name="adj" fmla="val 1000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Emphasizing the decision packages</a:t>
          </a:r>
        </a:p>
      </dsp:txBody>
      <dsp:txXfrm>
        <a:off x="647808" y="1329037"/>
        <a:ext cx="3500867" cy="542326"/>
      </dsp:txXfrm>
    </dsp:sp>
    <dsp:sp modelId="{21651CD3-C889-4FA6-8B9F-F583D23C294F}">
      <dsp:nvSpPr>
        <dsp:cNvPr id="0" name=""/>
        <dsp:cNvSpPr/>
      </dsp:nvSpPr>
      <dsp:spPr>
        <a:xfrm>
          <a:off x="946404" y="1968246"/>
          <a:ext cx="4224528" cy="576072"/>
        </a:xfrm>
        <a:prstGeom prst="roundRect">
          <a:avLst>
            <a:gd name="adj" fmla="val 10000"/>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Assigning resource available</a:t>
          </a:r>
        </a:p>
      </dsp:txBody>
      <dsp:txXfrm>
        <a:off x="963277" y="1985119"/>
        <a:ext cx="3500867" cy="542326"/>
      </dsp:txXfrm>
    </dsp:sp>
    <dsp:sp modelId="{DB1C17EC-4677-459A-B7A9-8EE404596519}">
      <dsp:nvSpPr>
        <dsp:cNvPr id="0" name=""/>
        <dsp:cNvSpPr/>
      </dsp:nvSpPr>
      <dsp:spPr>
        <a:xfrm>
          <a:off x="1261871" y="2624328"/>
          <a:ext cx="4224528" cy="576072"/>
        </a:xfrm>
        <a:prstGeom prst="roundRect">
          <a:avLst>
            <a:gd name="adj" fmla="val 1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 Controlling and supervising</a:t>
          </a:r>
        </a:p>
      </dsp:txBody>
      <dsp:txXfrm>
        <a:off x="1278744" y="2641201"/>
        <a:ext cx="3500867" cy="542326"/>
      </dsp:txXfrm>
    </dsp:sp>
    <dsp:sp modelId="{D954A23C-9129-4A07-BCDE-CD7FD63A4769}">
      <dsp:nvSpPr>
        <dsp:cNvPr id="0" name=""/>
        <dsp:cNvSpPr/>
      </dsp:nvSpPr>
      <dsp:spPr>
        <a:xfrm>
          <a:off x="3850081" y="420852"/>
          <a:ext cx="374446" cy="374446"/>
        </a:xfrm>
        <a:prstGeom prst="downArrow">
          <a:avLst>
            <a:gd name="adj1" fmla="val 55000"/>
            <a:gd name="adj2" fmla="val 45000"/>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3934331" y="420852"/>
        <a:ext cx="205946" cy="281771"/>
      </dsp:txXfrm>
    </dsp:sp>
    <dsp:sp modelId="{C23006BA-37DF-48C6-8FB1-97C8CD4E6538}">
      <dsp:nvSpPr>
        <dsp:cNvPr id="0" name=""/>
        <dsp:cNvSpPr/>
      </dsp:nvSpPr>
      <dsp:spPr>
        <a:xfrm>
          <a:off x="4165549" y="1076934"/>
          <a:ext cx="374446" cy="374446"/>
        </a:xfrm>
        <a:prstGeom prst="downArrow">
          <a:avLst>
            <a:gd name="adj1" fmla="val 55000"/>
            <a:gd name="adj2" fmla="val 45000"/>
          </a:avLst>
        </a:prstGeom>
        <a:solidFill>
          <a:schemeClr val="accent3">
            <a:tint val="40000"/>
            <a:alpha val="90000"/>
            <a:hueOff val="676380"/>
            <a:satOff val="33333"/>
            <a:lumOff val="593"/>
            <a:alphaOff val="0"/>
          </a:schemeClr>
        </a:solidFill>
        <a:ln w="6350" cap="flat" cmpd="sng" algn="ctr">
          <a:solidFill>
            <a:schemeClr val="accent3">
              <a:tint val="40000"/>
              <a:alpha val="90000"/>
              <a:hueOff val="676380"/>
              <a:satOff val="33333"/>
              <a:lumOff val="593"/>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4249799" y="1076934"/>
        <a:ext cx="205946" cy="281771"/>
      </dsp:txXfrm>
    </dsp:sp>
    <dsp:sp modelId="{F04116EC-3652-4115-A9AB-929FC221F451}">
      <dsp:nvSpPr>
        <dsp:cNvPr id="0" name=""/>
        <dsp:cNvSpPr/>
      </dsp:nvSpPr>
      <dsp:spPr>
        <a:xfrm>
          <a:off x="4481017" y="1723415"/>
          <a:ext cx="374446" cy="374446"/>
        </a:xfrm>
        <a:prstGeom prst="downArrow">
          <a:avLst>
            <a:gd name="adj1" fmla="val 55000"/>
            <a:gd name="adj2" fmla="val 45000"/>
          </a:avLst>
        </a:prstGeom>
        <a:solidFill>
          <a:schemeClr val="accent3">
            <a:tint val="40000"/>
            <a:alpha val="90000"/>
            <a:hueOff val="1352761"/>
            <a:satOff val="66667"/>
            <a:lumOff val="1186"/>
            <a:alphaOff val="0"/>
          </a:schemeClr>
        </a:solidFill>
        <a:ln w="6350" cap="flat" cmpd="sng" algn="ctr">
          <a:solidFill>
            <a:schemeClr val="accent3">
              <a:tint val="40000"/>
              <a:alpha val="90000"/>
              <a:hueOff val="1352761"/>
              <a:satOff val="66667"/>
              <a:lumOff val="1186"/>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4565267" y="1723415"/>
        <a:ext cx="205946" cy="281771"/>
      </dsp:txXfrm>
    </dsp:sp>
    <dsp:sp modelId="{B23BA35D-CCE2-4899-AFC0-283BCF7CFC4D}">
      <dsp:nvSpPr>
        <dsp:cNvPr id="0" name=""/>
        <dsp:cNvSpPr/>
      </dsp:nvSpPr>
      <dsp:spPr>
        <a:xfrm>
          <a:off x="4796485" y="2385898"/>
          <a:ext cx="374446" cy="374446"/>
        </a:xfrm>
        <a:prstGeom prst="downArrow">
          <a:avLst>
            <a:gd name="adj1" fmla="val 55000"/>
            <a:gd name="adj2" fmla="val 45000"/>
          </a:avLst>
        </a:prstGeom>
        <a:solidFill>
          <a:schemeClr val="accent3">
            <a:tint val="40000"/>
            <a:alpha val="90000"/>
            <a:hueOff val="2029141"/>
            <a:satOff val="100000"/>
            <a:lumOff val="1779"/>
            <a:alphaOff val="0"/>
          </a:schemeClr>
        </a:solidFill>
        <a:ln w="6350" cap="flat" cmpd="sng" algn="ctr">
          <a:solidFill>
            <a:schemeClr val="accent3">
              <a:tint val="40000"/>
              <a:alpha val="90000"/>
              <a:hueOff val="2029141"/>
              <a:satOff val="100000"/>
              <a:lumOff val="1779"/>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4880735" y="2385898"/>
        <a:ext cx="205946" cy="281771"/>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C2613-9A20-41C9-A431-0F4F0AA37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2330</Words>
  <Characters>13283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khadijah</cp:lastModifiedBy>
  <cp:revision>2</cp:revision>
  <dcterms:created xsi:type="dcterms:W3CDTF">2022-07-06T01:19:00Z</dcterms:created>
  <dcterms:modified xsi:type="dcterms:W3CDTF">2022-07-06T01:19:00Z</dcterms:modified>
</cp:coreProperties>
</file>