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82AEAB" w14:textId="77777777" w:rsidR="009C6B76" w:rsidRPr="00D93DEC" w:rsidRDefault="009C6B76" w:rsidP="008B1E62">
      <w:pPr>
        <w:jc w:val="both"/>
        <w:rPr>
          <w:rFonts w:cstheme="minorHAnsi"/>
          <w:b/>
          <w:bCs/>
          <w:color w:val="373A3C"/>
          <w:u w:val="single"/>
          <w:shd w:val="clear" w:color="auto" w:fill="FFFFFF"/>
        </w:rPr>
      </w:pPr>
      <w:r w:rsidRPr="00D93DEC">
        <w:rPr>
          <w:rFonts w:cstheme="minorHAnsi"/>
          <w:b/>
          <w:bCs/>
          <w:color w:val="373A3C"/>
          <w:u w:val="single"/>
          <w:shd w:val="clear" w:color="auto" w:fill="FFFFFF"/>
        </w:rPr>
        <w:t>Myths Made Modern: Assignment 1</w:t>
      </w:r>
    </w:p>
    <w:p w14:paraId="6FFF06E6" w14:textId="64C267F3" w:rsidR="009C6B76" w:rsidRDefault="00FE6DB1" w:rsidP="008B1E62">
      <w:pPr>
        <w:jc w:val="both"/>
        <w:rPr>
          <w:rFonts w:cstheme="minorHAnsi"/>
          <w:b/>
          <w:bCs/>
          <w:color w:val="373A3C"/>
          <w:shd w:val="clear" w:color="auto" w:fill="FFFFFF"/>
        </w:rPr>
      </w:pPr>
      <w:r w:rsidRPr="00D93DEC">
        <w:rPr>
          <w:rFonts w:cstheme="minorHAnsi"/>
          <w:b/>
          <w:bCs/>
          <w:color w:val="373A3C"/>
          <w:shd w:val="clear" w:color="auto" w:fill="FFFFFF"/>
        </w:rPr>
        <w:t>Write a critical evaluation of the influence of any one character from the original Mabinogion texts on the work of one or more modern-day authors of your choice.</w:t>
      </w:r>
    </w:p>
    <w:p w14:paraId="3E57B7E9" w14:textId="593CBD03" w:rsidR="004B117B" w:rsidRPr="004B117B" w:rsidRDefault="004B117B" w:rsidP="008B1E62">
      <w:pPr>
        <w:jc w:val="both"/>
        <w:rPr>
          <w:rFonts w:cstheme="minorHAnsi"/>
          <w:i/>
          <w:iCs/>
          <w:color w:val="373A3C"/>
          <w:shd w:val="clear" w:color="auto" w:fill="FFFFFF"/>
        </w:rPr>
      </w:pPr>
      <w:r>
        <w:rPr>
          <w:rFonts w:cstheme="minorHAnsi"/>
          <w:i/>
          <w:iCs/>
          <w:color w:val="373A3C"/>
          <w:shd w:val="clear" w:color="auto" w:fill="FFFFFF"/>
        </w:rPr>
        <w:t>Content warning: references to gendered violence, coercive control</w:t>
      </w:r>
    </w:p>
    <w:p w14:paraId="1CAE502F" w14:textId="77777777" w:rsidR="009C6B76" w:rsidRPr="00D93DEC" w:rsidRDefault="009C6B76" w:rsidP="008B1E62">
      <w:pPr>
        <w:jc w:val="both"/>
        <w:rPr>
          <w:rFonts w:cstheme="minorHAnsi"/>
          <w:b/>
          <w:bCs/>
          <w:color w:val="373A3C"/>
          <w:sz w:val="2"/>
          <w:szCs w:val="2"/>
          <w:shd w:val="clear" w:color="auto" w:fill="FFFFFF"/>
        </w:rPr>
      </w:pPr>
    </w:p>
    <w:p w14:paraId="24126504" w14:textId="6A739A9A" w:rsidR="00FE6DB1" w:rsidRPr="001A4862" w:rsidRDefault="007C0203" w:rsidP="008B1E62">
      <w:pPr>
        <w:jc w:val="both"/>
        <w:rPr>
          <w:b/>
          <w:bCs/>
          <w:i/>
          <w:iCs/>
        </w:rPr>
      </w:pPr>
      <w:r w:rsidRPr="001A4862">
        <w:rPr>
          <w:b/>
          <w:bCs/>
        </w:rPr>
        <w:t>“A myth [is] an event which, in some sense, has happened once, but which also happen[s] all the time</w:t>
      </w:r>
      <w:r w:rsidR="008112AA" w:rsidRPr="001A4862">
        <w:rPr>
          <w:b/>
          <w:bCs/>
        </w:rPr>
        <w:t xml:space="preserve">.” </w:t>
      </w:r>
      <w:r w:rsidRPr="001A4862">
        <w:rPr>
          <w:rStyle w:val="FootnoteReference"/>
          <w:b/>
          <w:bCs/>
        </w:rPr>
        <w:footnoteReference w:id="1"/>
      </w:r>
      <w:r w:rsidR="008112AA" w:rsidRPr="001A4862">
        <w:rPr>
          <w:b/>
          <w:bCs/>
        </w:rPr>
        <w:t xml:space="preserve"> </w:t>
      </w:r>
      <w:r w:rsidR="008112AA" w:rsidRPr="001A4862">
        <w:rPr>
          <w:b/>
          <w:bCs/>
          <w:i/>
          <w:iCs/>
        </w:rPr>
        <w:t xml:space="preserve">Karen Armstrong – A Short History of Myth </w:t>
      </w:r>
    </w:p>
    <w:p w14:paraId="4B22DA1C" w14:textId="6DB4F4D6" w:rsidR="008E7279" w:rsidRDefault="008E7279" w:rsidP="008B1E62">
      <w:pPr>
        <w:jc w:val="both"/>
      </w:pPr>
      <w:r>
        <w:t xml:space="preserve">While trying to write this piece, something interesting happened. It started out as a more straightforward survey of the ‘footprints’ of Gwydion through Alan Garner’s </w:t>
      </w:r>
      <w:r w:rsidRPr="001A4862">
        <w:rPr>
          <w:i/>
          <w:iCs/>
        </w:rPr>
        <w:t>The Owl Service</w:t>
      </w:r>
      <w:r w:rsidR="00AD2731">
        <w:rPr>
          <w:i/>
          <w:iCs/>
        </w:rPr>
        <w:t>,</w:t>
      </w:r>
      <w:r>
        <w:t xml:space="preserve"> </w:t>
      </w:r>
      <w:r w:rsidR="00AD2731">
        <w:t xml:space="preserve">the objective being </w:t>
      </w:r>
      <w:r>
        <w:t xml:space="preserve">to demonstrate that he </w:t>
      </w:r>
      <w:r w:rsidR="00E7609F">
        <w:t xml:space="preserve">is not a character </w:t>
      </w:r>
      <w:r>
        <w:t xml:space="preserve">adapted into a new form, </w:t>
      </w:r>
      <w:r w:rsidR="003D58A7">
        <w:t>but</w:t>
      </w:r>
      <w:r>
        <w:t xml:space="preserve"> </w:t>
      </w:r>
      <w:r w:rsidR="00E7609F">
        <w:t>an element, or elements, of</w:t>
      </w:r>
      <w:r>
        <w:t xml:space="preserve"> story pushing through </w:t>
      </w:r>
      <w:r w:rsidR="00E7609F">
        <w:t>into the</w:t>
      </w:r>
      <w:r w:rsidR="00AD2731">
        <w:t xml:space="preserve"> novel</w:t>
      </w:r>
      <w:r w:rsidR="00E7609F">
        <w:t xml:space="preserve"> and insisting upon</w:t>
      </w:r>
      <w:r w:rsidR="00AD2731">
        <w:t xml:space="preserve"> </w:t>
      </w:r>
      <w:r w:rsidR="00E7609F">
        <w:t>its characters and events</w:t>
      </w:r>
      <w:r>
        <w:t xml:space="preserve">. But </w:t>
      </w:r>
      <w:r w:rsidR="00AD2731">
        <w:t xml:space="preserve">a deeper contemplation of </w:t>
      </w:r>
      <w:r w:rsidR="00934A57">
        <w:rPr>
          <w:i/>
          <w:iCs/>
        </w:rPr>
        <w:t>m</w:t>
      </w:r>
      <w:r>
        <w:rPr>
          <w:i/>
          <w:iCs/>
        </w:rPr>
        <w:t xml:space="preserve">yth </w:t>
      </w:r>
      <w:r>
        <w:t xml:space="preserve">itself kept </w:t>
      </w:r>
      <w:r w:rsidR="00F2021A">
        <w:t>demanding attention:</w:t>
      </w:r>
      <w:r w:rsidR="00DF12B9">
        <w:t xml:space="preserve"> how </w:t>
      </w:r>
      <w:r w:rsidR="00F2021A">
        <w:t>myth</w:t>
      </w:r>
      <w:r>
        <w:t xml:space="preserve"> functions, what it even </w:t>
      </w:r>
      <w:r>
        <w:rPr>
          <w:i/>
          <w:iCs/>
        </w:rPr>
        <w:t xml:space="preserve">is, </w:t>
      </w:r>
      <w:r>
        <w:t xml:space="preserve">and especially what it is for. Embracing that </w:t>
      </w:r>
      <w:r w:rsidR="00A9679A">
        <w:t>invitation</w:t>
      </w:r>
      <w:r>
        <w:t xml:space="preserve">, this piece explores how The Owl Service </w:t>
      </w:r>
      <w:r w:rsidR="00A9679A">
        <w:t>is potentially</w:t>
      </w:r>
      <w:r>
        <w:t xml:space="preserve"> less </w:t>
      </w:r>
      <w:r w:rsidR="00A9679A">
        <w:t>of</w:t>
      </w:r>
      <w:r>
        <w:t xml:space="preserve"> a</w:t>
      </w:r>
      <w:r w:rsidR="00AC165A">
        <w:t xml:space="preserve"> modern</w:t>
      </w:r>
      <w:r>
        <w:t xml:space="preserve"> adaptation of medieval literature and more </w:t>
      </w:r>
      <w:r w:rsidR="008C20EE">
        <w:t>of</w:t>
      </w:r>
      <w:r>
        <w:t xml:space="preserve"> an application of mythology in precisely the way it is intended to be used, both in form and purpose. It will explore myth as a process of </w:t>
      </w:r>
      <w:r>
        <w:rPr>
          <w:i/>
          <w:iCs/>
        </w:rPr>
        <w:t xml:space="preserve">remembering </w:t>
      </w:r>
      <w:r>
        <w:t xml:space="preserve">and </w:t>
      </w:r>
      <w:r>
        <w:rPr>
          <w:i/>
          <w:iCs/>
        </w:rPr>
        <w:t xml:space="preserve">re-enactment, </w:t>
      </w:r>
      <w:r>
        <w:t xml:space="preserve">and its psychological, even therapeutic </w:t>
      </w:r>
      <w:r w:rsidR="008C20EE">
        <w:t>value</w:t>
      </w:r>
      <w:r w:rsidR="001528BA">
        <w:t xml:space="preserve">, as well as </w:t>
      </w:r>
      <w:r w:rsidR="00F708FB">
        <w:t>the</w:t>
      </w:r>
      <w:r w:rsidR="001528BA">
        <w:t xml:space="preserve"> sense of timelessness</w:t>
      </w:r>
      <w:r w:rsidR="00F708FB">
        <w:t xml:space="preserve"> referred to by Karen Armstrong in the quote above</w:t>
      </w:r>
      <w:r w:rsidR="001528BA">
        <w:t>.</w:t>
      </w:r>
      <w:r>
        <w:t xml:space="preserve"> Gwydion shall remain our guide in thi</w:t>
      </w:r>
      <w:r w:rsidR="00901162">
        <w:t>s, but act more as a conduit to deeper and broader themes, as – it shall be argued – is his function</w:t>
      </w:r>
      <w:r>
        <w:t>.</w:t>
      </w:r>
    </w:p>
    <w:p w14:paraId="49F5B664" w14:textId="2A5248AD" w:rsidR="005A34FD" w:rsidRPr="00EE3016" w:rsidRDefault="005A34FD" w:rsidP="008B1E62">
      <w:pPr>
        <w:jc w:val="both"/>
      </w:pPr>
      <w:r w:rsidRPr="00EE3016">
        <w:rPr>
          <w:b/>
          <w:bCs/>
        </w:rPr>
        <w:t xml:space="preserve">‘there was this wizard, or something, I forget his name, and he made a woman out of flowers…’ </w:t>
      </w:r>
      <w:r w:rsidRPr="00EE3016">
        <w:rPr>
          <w:rStyle w:val="FootnoteReference"/>
          <w:b/>
          <w:bCs/>
        </w:rPr>
        <w:footnoteReference w:id="2"/>
      </w:r>
    </w:p>
    <w:p w14:paraId="7372B7C5" w14:textId="552015C2" w:rsidR="00DF1EF6" w:rsidRPr="00571EDB" w:rsidRDefault="00165132" w:rsidP="008B1E62">
      <w:pPr>
        <w:jc w:val="both"/>
        <w:rPr>
          <w:b/>
          <w:bCs/>
        </w:rPr>
      </w:pPr>
      <w:r w:rsidRPr="00571EDB">
        <w:rPr>
          <w:b/>
          <w:bCs/>
        </w:rPr>
        <w:t>Remembering</w:t>
      </w:r>
    </w:p>
    <w:p w14:paraId="194A42FD" w14:textId="4D8DB056" w:rsidR="00C25355" w:rsidRDefault="00C25355" w:rsidP="008B1E62">
      <w:pPr>
        <w:jc w:val="both"/>
      </w:pPr>
      <w:r>
        <w:t>The making and telling of myth is</w:t>
      </w:r>
      <w:r w:rsidR="007E3AC7">
        <w:t>, perhaps,</w:t>
      </w:r>
      <w:r>
        <w:t xml:space="preserve"> an act of remembering, but also of forgetting. As it is </w:t>
      </w:r>
      <w:r w:rsidR="00B65A55">
        <w:t xml:space="preserve">used by storytellers </w:t>
      </w:r>
      <w:r>
        <w:t xml:space="preserve">to speak to </w:t>
      </w:r>
      <w:r w:rsidR="00B65A55">
        <w:t xml:space="preserve">their </w:t>
      </w:r>
      <w:r>
        <w:t xml:space="preserve">contemporary experiences of the human condition, parts of </w:t>
      </w:r>
      <w:r w:rsidR="00B65A55">
        <w:t>these tales</w:t>
      </w:r>
      <w:r>
        <w:t xml:space="preserve"> are necessarily discarded or forgotten.</w:t>
      </w:r>
    </w:p>
    <w:p w14:paraId="0A804E68" w14:textId="3DC4647A" w:rsidR="00D93EBC" w:rsidRDefault="00D93EBC" w:rsidP="008B1E62">
      <w:pPr>
        <w:jc w:val="both"/>
      </w:pPr>
      <w:r>
        <w:t xml:space="preserve">Gwydion enters </w:t>
      </w:r>
      <w:r w:rsidR="00982836">
        <w:t>The Owl Service</w:t>
      </w:r>
      <w:r>
        <w:t xml:space="preserve"> </w:t>
      </w:r>
      <w:r w:rsidR="003D58A7">
        <w:t>not as a</w:t>
      </w:r>
      <w:r>
        <w:t xml:space="preserve"> character</w:t>
      </w:r>
      <w:r w:rsidR="003D58A7">
        <w:t xml:space="preserve">, either in </w:t>
      </w:r>
      <w:r w:rsidR="002430B1">
        <w:t>its</w:t>
      </w:r>
      <w:r w:rsidR="003D58A7">
        <w:t xml:space="preserve"> past or present,</w:t>
      </w:r>
      <w:r>
        <w:t xml:space="preserve"> </w:t>
      </w:r>
      <w:r w:rsidR="003D58A7">
        <w:t xml:space="preserve">but as </w:t>
      </w:r>
      <w:r>
        <w:t xml:space="preserve">a series of fragments and memories that get pieced back together over time. At first, his name is forgotten, even as his role in the story of Blodeuwedd, Lleu and Gronw is revealed. Huw’s nickname - Hannerhob, Halfbacon –  contains a whispered memory of the old tale and Gwydion’s association with pigs. Then, his own voice is present in the torn pages of the Mabinogi that Gwyn gathers up to read, though he is not named yet. </w:t>
      </w:r>
    </w:p>
    <w:p w14:paraId="5C4B70AD" w14:textId="131B9BC2" w:rsidR="00D93EBC" w:rsidRDefault="00D93EBC" w:rsidP="008B1E62">
      <w:pPr>
        <w:jc w:val="both"/>
      </w:pPr>
      <w:r>
        <w:t>While he remains nameless and fragmented, it is as if he has no power</w:t>
      </w:r>
      <w:r w:rsidR="00B670A7">
        <w:t xml:space="preserve"> o</w:t>
      </w:r>
      <w:r w:rsidR="007F0D7B">
        <w:t>ver the fate</w:t>
      </w:r>
      <w:r w:rsidR="00B670A7">
        <w:t xml:space="preserve"> </w:t>
      </w:r>
      <w:r w:rsidR="007F0D7B">
        <w:t>of Garner’s</w:t>
      </w:r>
      <w:r w:rsidR="00B670A7">
        <w:t xml:space="preserve"> characters</w:t>
      </w:r>
      <w:r w:rsidR="007F0D7B">
        <w:t xml:space="preserve"> or story</w:t>
      </w:r>
      <w:r>
        <w:t xml:space="preserve">. </w:t>
      </w:r>
      <w:r w:rsidR="00360B81">
        <w:t>Gwyn’s efforts to collect the scattered pages from the book feel like a good metaphor; ‘he gathered more fragments, but he could do nothing with them.’</w:t>
      </w:r>
      <w:r w:rsidR="00360B81">
        <w:rPr>
          <w:rStyle w:val="FootnoteReference"/>
        </w:rPr>
        <w:footnoteReference w:id="3"/>
      </w:r>
      <w:r w:rsidR="00360B81" w:rsidRPr="008029FB">
        <w:t xml:space="preserve"> </w:t>
      </w:r>
      <w:r w:rsidR="00B670A7">
        <w:t>At this point in the novel</w:t>
      </w:r>
      <w:r w:rsidR="00BA789B">
        <w:t>,</w:t>
      </w:r>
      <w:r w:rsidR="00B670A7">
        <w:t xml:space="preserve"> the characters – and indeed the reader – are unaware of the full story they will be</w:t>
      </w:r>
      <w:r w:rsidR="00BA789B">
        <w:t>come</w:t>
      </w:r>
      <w:r w:rsidR="00B670A7">
        <w:t xml:space="preserve"> doomed to </w:t>
      </w:r>
      <w:r w:rsidR="00CF4480">
        <w:t>retell</w:t>
      </w:r>
      <w:r w:rsidR="00B670A7">
        <w:t>.</w:t>
      </w:r>
      <w:r w:rsidR="007F0D7B">
        <w:t xml:space="preserve"> It could also relate to the sometimes literal fragmentation of myth: ancient or historic textual sources are often incomplete, discarded or lost; therefore, myth is something only partially preserved or remembered, accidentally or deliberately. </w:t>
      </w:r>
    </w:p>
    <w:p w14:paraId="3077E2D7" w14:textId="0C68BDB7" w:rsidR="00EE5DC4" w:rsidRDefault="00032782" w:rsidP="008B1E62">
      <w:pPr>
        <w:jc w:val="both"/>
      </w:pPr>
      <w:r>
        <w:lastRenderedPageBreak/>
        <w:t>After</w:t>
      </w:r>
      <w:r w:rsidR="00D93EBC">
        <w:t xml:space="preserve"> Gwyn </w:t>
      </w:r>
      <w:r w:rsidR="00D93EBC" w:rsidRPr="001A2F4B">
        <w:rPr>
          <w:i/>
          <w:iCs/>
        </w:rPr>
        <w:t>remembers</w:t>
      </w:r>
      <w:r w:rsidR="00D93EBC">
        <w:t xml:space="preserve"> him </w:t>
      </w:r>
      <w:r>
        <w:t>(</w:t>
      </w:r>
      <w:r w:rsidR="00D93EBC">
        <w:t>‘ “Gwydion... That’s him….He was the wizard</w:t>
      </w:r>
      <w:r w:rsidR="00D40C0B">
        <w:t>…It’s coming back to me.”</w:t>
      </w:r>
      <w:r w:rsidR="00D93EBC">
        <w:t xml:space="preserve"> ’</w:t>
      </w:r>
      <w:r>
        <w:t>)</w:t>
      </w:r>
      <w:r w:rsidR="00D93EBC">
        <w:t xml:space="preserve"> </w:t>
      </w:r>
      <w:r w:rsidR="00B670A7">
        <w:rPr>
          <w:rStyle w:val="FootnoteReference"/>
        </w:rPr>
        <w:footnoteReference w:id="4"/>
      </w:r>
      <w:r>
        <w:t>, it is as if he gains more substance</w:t>
      </w:r>
      <w:r w:rsidR="00D40C0B">
        <w:t xml:space="preserve">, becomes more real </w:t>
      </w:r>
      <w:r w:rsidR="00106E51">
        <w:t>for</w:t>
      </w:r>
      <w:r w:rsidR="00D40C0B">
        <w:t xml:space="preserve"> the characters that will enact the same story he began. </w:t>
      </w:r>
      <w:r w:rsidR="00EE5DC4">
        <w:t>In this light, t</w:t>
      </w:r>
      <w:r w:rsidR="00D40C0B">
        <w:t>he second part of Gwyn’s statement becomes all the more ominous; Gwydion is ‘coming back’</w:t>
      </w:r>
      <w:r w:rsidR="008C766A">
        <w:t xml:space="preserve"> in more than a figurative sense (although not in a fully physical one)</w:t>
      </w:r>
      <w:r w:rsidR="00D40C0B">
        <w:t xml:space="preserve"> and bringing the </w:t>
      </w:r>
      <w:r w:rsidR="00C20C86">
        <w:t>story</w:t>
      </w:r>
      <w:r w:rsidR="00D40C0B">
        <w:t xml:space="preserve"> with him.</w:t>
      </w:r>
      <w:r w:rsidR="004F6B09">
        <w:t xml:space="preserve"> </w:t>
      </w:r>
    </w:p>
    <w:p w14:paraId="7213550A" w14:textId="2BEA0005" w:rsidR="00D93EBC" w:rsidRDefault="00032782" w:rsidP="008B1E62">
      <w:pPr>
        <w:jc w:val="both"/>
      </w:pPr>
      <w:r>
        <w:t>It is</w:t>
      </w:r>
      <w:r w:rsidR="00EE5DC4">
        <w:t xml:space="preserve"> also</w:t>
      </w:r>
      <w:r>
        <w:t xml:space="preserve"> only </w:t>
      </w:r>
      <w:r w:rsidR="00EE5DC4">
        <w:t>after this</w:t>
      </w:r>
      <w:r>
        <w:t xml:space="preserve"> that we are presented with the </w:t>
      </w:r>
      <w:r w:rsidR="000813C7">
        <w:t xml:space="preserve">full </w:t>
      </w:r>
      <w:r>
        <w:t>story behind Huw’s nickname. Interestingly</w:t>
      </w:r>
      <w:r w:rsidR="00936C97">
        <w:t xml:space="preserve"> this account </w:t>
      </w:r>
      <w:r w:rsidR="007301CB">
        <w:t>is not analogous with Gwydion’s theft of Pryderi’s pigs in the Fourth Branch.</w:t>
      </w:r>
      <w:r w:rsidR="00936C97">
        <w:t xml:space="preserve"> It is as if Gwydion’s story has imperfectly mapped itself onto Huw’s life, merging with its events. This could be said for the Blodeuwedd story as a whole (</w:t>
      </w:r>
      <w:r w:rsidR="00F7192B">
        <w:t>‘ “S</w:t>
      </w:r>
      <w:r w:rsidR="00936C97">
        <w:t>he</w:t>
      </w:r>
      <w:r w:rsidR="00F7192B">
        <w:t>…will</w:t>
      </w:r>
      <w:r w:rsidR="00936C97">
        <w:t xml:space="preserve"> use what she finds</w:t>
      </w:r>
      <w:r w:rsidR="00F7192B">
        <w:t>” ’</w:t>
      </w:r>
      <w:r w:rsidR="00936C97">
        <w:t>).</w:t>
      </w:r>
      <w:r w:rsidR="00F7192B">
        <w:rPr>
          <w:rStyle w:val="FootnoteReference"/>
        </w:rPr>
        <w:footnoteReference w:id="5"/>
      </w:r>
    </w:p>
    <w:p w14:paraId="065E20D3" w14:textId="494C5409" w:rsidR="00157827" w:rsidRDefault="00D93EBC" w:rsidP="008B1E62">
      <w:pPr>
        <w:jc w:val="both"/>
      </w:pPr>
      <w:r>
        <w:t>Memory</w:t>
      </w:r>
      <w:r w:rsidR="00022646">
        <w:t xml:space="preserve">, secrets, repression; these are </w:t>
      </w:r>
      <w:r>
        <w:t>extremely important</w:t>
      </w:r>
      <w:r w:rsidR="00022646">
        <w:t xml:space="preserve"> themes</w:t>
      </w:r>
      <w:r>
        <w:t xml:space="preserve"> in The Owl Service. Nancy suppress</w:t>
      </w:r>
      <w:r w:rsidR="00022646">
        <w:t xml:space="preserve">es </w:t>
      </w:r>
      <w:r w:rsidR="00467346">
        <w:t>her own memories,</w:t>
      </w:r>
      <w:r>
        <w:t xml:space="preserve"> reacting violently to </w:t>
      </w:r>
      <w:r w:rsidR="00022646">
        <w:t xml:space="preserve">Gwyn </w:t>
      </w:r>
      <w:r>
        <w:t xml:space="preserve">bringing </w:t>
      </w:r>
      <w:r w:rsidR="003B4518">
        <w:t>them</w:t>
      </w:r>
      <w:r w:rsidR="00022646">
        <w:t xml:space="preserve"> back </w:t>
      </w:r>
      <w:r>
        <w:t>up,</w:t>
      </w:r>
      <w:r w:rsidR="00022646">
        <w:t xml:space="preserve"> and</w:t>
      </w:r>
      <w:r>
        <w:t xml:space="preserve"> prohibiting </w:t>
      </w:r>
      <w:r w:rsidR="00022646">
        <w:t>him</w:t>
      </w:r>
      <w:r>
        <w:t xml:space="preserve"> from talking to Huw</w:t>
      </w:r>
      <w:r w:rsidR="00022646">
        <w:t>. She</w:t>
      </w:r>
      <w:r>
        <w:t xml:space="preserve"> </w:t>
      </w:r>
      <w:r w:rsidR="00022646">
        <w:t>is the one who locked</w:t>
      </w:r>
      <w:r>
        <w:t xml:space="preserve"> the plates away, </w:t>
      </w:r>
      <w:r w:rsidR="00022646">
        <w:t xml:space="preserve">and discarded </w:t>
      </w:r>
      <w:r>
        <w:t xml:space="preserve">the key </w:t>
      </w:r>
      <w:r w:rsidR="00022646">
        <w:t xml:space="preserve">to the mysterious room. </w:t>
      </w:r>
      <w:r>
        <w:t>Roger and Alison us</w:t>
      </w:r>
      <w:r w:rsidR="00022646">
        <w:t>e</w:t>
      </w:r>
      <w:r>
        <w:t xml:space="preserve"> the memor</w:t>
      </w:r>
      <w:r w:rsidR="00022646">
        <w:t>ies</w:t>
      </w:r>
      <w:r>
        <w:t xml:space="preserve"> of their absent parents to hurt each other</w:t>
      </w:r>
      <w:r w:rsidR="00022646">
        <w:t xml:space="preserve">; </w:t>
      </w:r>
      <w:r w:rsidR="004A7EEE">
        <w:t>then</w:t>
      </w:r>
      <w:r w:rsidR="00022646">
        <w:t xml:space="preserve"> there is</w:t>
      </w:r>
      <w:r>
        <w:t xml:space="preserve"> the mystery of Alison’s uncle</w:t>
      </w:r>
      <w:r w:rsidR="00022646">
        <w:t xml:space="preserve"> and how he died</w:t>
      </w:r>
      <w:r>
        <w:t>. Huw pebble-dash</w:t>
      </w:r>
      <w:r w:rsidR="00022646">
        <w:t>ed</w:t>
      </w:r>
      <w:r>
        <w:t xml:space="preserve"> the mural</w:t>
      </w:r>
      <w:r w:rsidR="00022646">
        <w:t xml:space="preserve"> of Blodeuwedd in the billiard room</w:t>
      </w:r>
      <w:r w:rsidR="00EB1B2A">
        <w:t xml:space="preserve"> to try and escape his past</w:t>
      </w:r>
      <w:r w:rsidR="00022646">
        <w:t xml:space="preserve">. </w:t>
      </w:r>
    </w:p>
    <w:p w14:paraId="5A327263" w14:textId="76014517" w:rsidR="003B7210" w:rsidRDefault="00157827" w:rsidP="008B1E62">
      <w:pPr>
        <w:jc w:val="both"/>
      </w:pPr>
      <w:r>
        <w:t xml:space="preserve">According to Karen Armstrong: ‘[Myth] was an early form of psychology. The stories of gods or heroes…brought to light the mysterious workings of the psyche, showing people how to cope with their own interior crises.’ </w:t>
      </w:r>
      <w:r>
        <w:rPr>
          <w:rStyle w:val="FootnoteReference"/>
        </w:rPr>
        <w:footnoteReference w:id="6"/>
      </w:r>
      <w:r>
        <w:t xml:space="preserve"> </w:t>
      </w:r>
      <w:r w:rsidR="00022646">
        <w:t>Throughout</w:t>
      </w:r>
      <w:r>
        <w:t xml:space="preserve"> the Owl Service</w:t>
      </w:r>
      <w:r w:rsidR="00022646">
        <w:t xml:space="preserve"> </w:t>
      </w:r>
      <w:r w:rsidR="008C2084">
        <w:t xml:space="preserve">the </w:t>
      </w:r>
      <w:r w:rsidR="00D93EBC">
        <w:t xml:space="preserve">violence and harm </w:t>
      </w:r>
      <w:r w:rsidR="00044872">
        <w:t xml:space="preserve">that </w:t>
      </w:r>
      <w:r w:rsidR="00D93EBC">
        <w:t>repressed trauma and memor</w:t>
      </w:r>
      <w:r>
        <w:t>ies</w:t>
      </w:r>
      <w:r w:rsidR="00D93EBC">
        <w:t xml:space="preserve"> can cause</w:t>
      </w:r>
      <w:r>
        <w:t xml:space="preserve"> is </w:t>
      </w:r>
      <w:r w:rsidR="00044872">
        <w:t xml:space="preserve">processed through a retelling – and a </w:t>
      </w:r>
      <w:r w:rsidR="00044872">
        <w:rPr>
          <w:i/>
          <w:iCs/>
        </w:rPr>
        <w:t xml:space="preserve">re-enacting </w:t>
      </w:r>
      <w:r w:rsidR="00044872">
        <w:t>– of this timeless, mythological story. It is to re-enactment that we will now turn.</w:t>
      </w:r>
    </w:p>
    <w:p w14:paraId="6B1F366A" w14:textId="2A3B7499" w:rsidR="00B45AE4" w:rsidRPr="00B45AE4" w:rsidRDefault="00B45AE4" w:rsidP="008B1E62">
      <w:pPr>
        <w:jc w:val="both"/>
        <w:rPr>
          <w:b/>
          <w:bCs/>
        </w:rPr>
      </w:pPr>
      <w:r w:rsidRPr="002C50DB">
        <w:rPr>
          <w:b/>
          <w:bCs/>
        </w:rPr>
        <w:t>‘We come here,’ said Huw. ‘It is the place.’</w:t>
      </w:r>
      <w:r>
        <w:rPr>
          <w:b/>
          <w:bCs/>
        </w:rPr>
        <w:t xml:space="preserve"> </w:t>
      </w:r>
      <w:r>
        <w:rPr>
          <w:rStyle w:val="FootnoteReference"/>
          <w:b/>
          <w:bCs/>
        </w:rPr>
        <w:footnoteReference w:id="7"/>
      </w:r>
    </w:p>
    <w:p w14:paraId="6EB725A2" w14:textId="032BB968" w:rsidR="00DF1EF6" w:rsidRPr="00DF1EF6" w:rsidRDefault="00165132" w:rsidP="008B1E62">
      <w:pPr>
        <w:jc w:val="both"/>
        <w:rPr>
          <w:b/>
          <w:bCs/>
        </w:rPr>
      </w:pPr>
      <w:r w:rsidRPr="00A260F8">
        <w:rPr>
          <w:b/>
          <w:bCs/>
        </w:rPr>
        <w:t>Re-enacting</w:t>
      </w:r>
    </w:p>
    <w:p w14:paraId="0C420216" w14:textId="3F1AEF7E" w:rsidR="00965538" w:rsidRDefault="00D429C3" w:rsidP="008B1E62">
      <w:pPr>
        <w:jc w:val="both"/>
      </w:pPr>
      <w:r>
        <w:t>In the Fourth Branch, Lleu is in a state of deathly limbo after Gronw’s mortal blow</w:t>
      </w:r>
      <w:r w:rsidR="000A547C">
        <w:t xml:space="preserve">, roosting in an oak as a rotting Eagle. Gwydion </w:t>
      </w:r>
      <w:r w:rsidR="00287352">
        <w:t xml:space="preserve">finds him, led by a sow, and </w:t>
      </w:r>
      <w:r w:rsidR="000A547C">
        <w:t>calls him down to restore him, setting up the showdown between Lleu and Gronw and the cursing of Blodeuwedd.</w:t>
      </w:r>
      <w:r w:rsidR="00466AAA">
        <w:t xml:space="preserve"> </w:t>
      </w:r>
      <w:r w:rsidR="00D34FD9">
        <w:t xml:space="preserve">In Chapter 24 of The Owl Service, Huw and Gwyn </w:t>
      </w:r>
      <w:r w:rsidR="00A3743B">
        <w:t xml:space="preserve">(and Gareth Pugh’s sow!) </w:t>
      </w:r>
      <w:r w:rsidR="00D34FD9">
        <w:t>re-enact this scene</w:t>
      </w:r>
      <w:r w:rsidR="009F4874">
        <w:t>.</w:t>
      </w:r>
      <w:r w:rsidR="00D34FD9">
        <w:t xml:space="preserve"> </w:t>
      </w:r>
    </w:p>
    <w:p w14:paraId="0E6C6E83" w14:textId="4455D0F2" w:rsidR="00D34FD9" w:rsidRDefault="005C1880" w:rsidP="008B1E62">
      <w:pPr>
        <w:jc w:val="both"/>
      </w:pPr>
      <w:r>
        <w:t xml:space="preserve">For </w:t>
      </w:r>
      <w:r w:rsidR="004A394B">
        <w:t>Huw</w:t>
      </w:r>
      <w:r>
        <w:t>,</w:t>
      </w:r>
      <w:r w:rsidR="004A394B">
        <w:t xml:space="preserve"> Gwyn</w:t>
      </w:r>
      <w:r>
        <w:t xml:space="preserve"> needs to be retrieved </w:t>
      </w:r>
      <w:r w:rsidR="004A394B">
        <w:t>so that he can see his part in the story through to its en</w:t>
      </w:r>
      <w:r>
        <w:t>d, where Gronw is slain and Blodeuwedd is cursed once more</w:t>
      </w:r>
      <w:r w:rsidR="00FB2A77">
        <w:t xml:space="preserve"> (‘ “</w:t>
      </w:r>
      <w:r w:rsidR="000932C9">
        <w:t>Y</w:t>
      </w:r>
      <w:r w:rsidR="00FB2A77">
        <w:t>ou are needed…</w:t>
      </w:r>
      <w:r w:rsidR="000932C9">
        <w:t>I</w:t>
      </w:r>
      <w:r w:rsidR="00FB2A77">
        <w:t>t is nearly time” ’)</w:t>
      </w:r>
      <w:r w:rsidR="004A394B">
        <w:t>.</w:t>
      </w:r>
      <w:r w:rsidR="00FB2A77">
        <w:rPr>
          <w:rStyle w:val="FootnoteReference"/>
        </w:rPr>
        <w:footnoteReference w:id="8"/>
      </w:r>
      <w:r w:rsidR="009F4874">
        <w:t xml:space="preserve"> But </w:t>
      </w:r>
      <w:r>
        <w:t>Huw</w:t>
      </w:r>
      <w:r w:rsidR="009F4874">
        <w:t xml:space="preserve"> also gives Gwyn a truth he didn’t know – or at least confirms what he</w:t>
      </w:r>
      <w:r w:rsidR="00701E36">
        <w:t xml:space="preserve"> – and we – </w:t>
      </w:r>
      <w:r w:rsidR="009F4874">
        <w:t xml:space="preserve"> may have suspected</w:t>
      </w:r>
      <w:r w:rsidR="00A55BCC">
        <w:t>:</w:t>
      </w:r>
      <w:r w:rsidR="009F4874">
        <w:t xml:space="preserve"> that he is his father. Thus, </w:t>
      </w:r>
      <w:r w:rsidR="002A45F4">
        <w:t>although</w:t>
      </w:r>
      <w:r w:rsidR="009F4874">
        <w:t xml:space="preserve"> by this point the characters are trapped inside the story and cannot escape it (Gwyn tries, but fails</w:t>
      </w:r>
      <w:r w:rsidR="00F612EA">
        <w:t xml:space="preserve">; </w:t>
      </w:r>
      <w:r w:rsidR="009F4874">
        <w:t xml:space="preserve">this re-enactment seeming less like </w:t>
      </w:r>
      <w:r w:rsidR="00F612EA">
        <w:t>a</w:t>
      </w:r>
      <w:r w:rsidR="009F4874">
        <w:t xml:space="preserve"> rescue and more like the re-capturing of a fugitive!)</w:t>
      </w:r>
      <w:r>
        <w:t xml:space="preserve">, </w:t>
      </w:r>
      <w:r w:rsidR="00F612EA">
        <w:t xml:space="preserve">nonetheless </w:t>
      </w:r>
      <w:r>
        <w:t>th</w:t>
      </w:r>
      <w:r w:rsidR="00EB0F96">
        <w:t>is</w:t>
      </w:r>
      <w:r>
        <w:t xml:space="preserve"> re-enactment provides a </w:t>
      </w:r>
      <w:r w:rsidR="00785B60">
        <w:t xml:space="preserve">point </w:t>
      </w:r>
      <w:r>
        <w:t xml:space="preserve">of closure </w:t>
      </w:r>
      <w:r w:rsidR="002A45F4">
        <w:t>for</w:t>
      </w:r>
      <w:r>
        <w:t xml:space="preserve"> Gwyn, a mystery solved, something hidden revealed. The re-enactment of myth as a form of psychology, therefore, feels at least partially true here</w:t>
      </w:r>
      <w:r w:rsidR="00925435">
        <w:t>, because it allows Gwyn to understand some of the things that had tortured him thus far, especially relating to his mother</w:t>
      </w:r>
      <w:r w:rsidR="007A29EB">
        <w:t xml:space="preserve">’s </w:t>
      </w:r>
      <w:r w:rsidR="00925435">
        <w:t>attitude to Huw and the events unfolding.</w:t>
      </w:r>
      <w:r w:rsidR="00251A91">
        <w:t xml:space="preserve"> In some way, then, Huw</w:t>
      </w:r>
      <w:r w:rsidR="00A21B16">
        <w:t xml:space="preserve"> -</w:t>
      </w:r>
      <w:r w:rsidR="00251A91">
        <w:t xml:space="preserve"> like Gwydion</w:t>
      </w:r>
      <w:r w:rsidR="00EC2171">
        <w:t xml:space="preserve"> with Lleu</w:t>
      </w:r>
      <w:r w:rsidR="00A21B16">
        <w:t xml:space="preserve"> - </w:t>
      </w:r>
      <w:r w:rsidR="00251A91">
        <w:t xml:space="preserve"> does</w:t>
      </w:r>
      <w:r w:rsidR="002A45F4">
        <w:t>, perhaps,</w:t>
      </w:r>
      <w:r w:rsidR="00251A91">
        <w:t xml:space="preserve"> ‘save’ Gwyn.</w:t>
      </w:r>
    </w:p>
    <w:p w14:paraId="1B1C17DD" w14:textId="384A07EF" w:rsidR="00C20CF9" w:rsidRDefault="00287352" w:rsidP="008B1E62">
      <w:pPr>
        <w:jc w:val="both"/>
      </w:pPr>
      <w:r>
        <w:t>It is worth noting Huw’s statemen</w:t>
      </w:r>
      <w:r w:rsidR="008F7889">
        <w:t>t about this being ‘the place’</w:t>
      </w:r>
      <w:r>
        <w:t>.</w:t>
      </w:r>
      <w:r w:rsidR="008F7889">
        <w:t xml:space="preserve"> </w:t>
      </w:r>
      <w:r w:rsidR="00952C78">
        <w:t>H</w:t>
      </w:r>
      <w:r w:rsidR="00965538">
        <w:t>is</w:t>
      </w:r>
      <w:r w:rsidR="00952C78">
        <w:t xml:space="preserve"> way of talking, the ambiguity of his tenses, lends </w:t>
      </w:r>
      <w:r w:rsidR="008F7889">
        <w:t xml:space="preserve">weight to the </w:t>
      </w:r>
      <w:r w:rsidR="00952C78">
        <w:t>suggesti</w:t>
      </w:r>
      <w:r>
        <w:t>on</w:t>
      </w:r>
      <w:r w:rsidR="00952C78">
        <w:t xml:space="preserve"> that events are doomed to repeat themselves over and over </w:t>
      </w:r>
      <w:r w:rsidR="00952C78">
        <w:lastRenderedPageBreak/>
        <w:t xml:space="preserve">throughout time, as they always have. The tree is the one to which they always come to re-enact the original story (whether it is actually the tree Gwydion rescued Lleu from or not, if it ever </w:t>
      </w:r>
      <w:r>
        <w:t xml:space="preserve">even </w:t>
      </w:r>
      <w:r w:rsidR="00952C78">
        <w:t>happened)</w:t>
      </w:r>
      <w:r w:rsidR="004506BB">
        <w:t>.</w:t>
      </w:r>
      <w:r w:rsidR="00965538">
        <w:t xml:space="preserve"> </w:t>
      </w:r>
    </w:p>
    <w:p w14:paraId="57339C2C" w14:textId="15226063" w:rsidR="00BE37CA" w:rsidRDefault="008F7889" w:rsidP="008B1E62">
      <w:pPr>
        <w:jc w:val="both"/>
      </w:pPr>
      <w:r>
        <w:t>The</w:t>
      </w:r>
      <w:r w:rsidR="00C437D5">
        <w:t xml:space="preserve"> tree </w:t>
      </w:r>
      <w:r>
        <w:t>takes on the significance of</w:t>
      </w:r>
      <w:r w:rsidR="00C437D5">
        <w:t xml:space="preserve"> an altar of sorts, for offerings to the power in the valley that dri</w:t>
      </w:r>
      <w:r w:rsidR="00C20CF9">
        <w:t>ves</w:t>
      </w:r>
      <w:r w:rsidR="00C437D5">
        <w:t xml:space="preserve"> </w:t>
      </w:r>
      <w:r w:rsidR="00C20CF9">
        <w:t>the events that unfold</w:t>
      </w:r>
      <w:r w:rsidR="00C437D5">
        <w:t xml:space="preserve">. </w:t>
      </w:r>
      <w:r>
        <w:t>Gwyn finds in a hollow of the tree relics of past re-enactors – including Huw - and he leaves his own trinket there (‘ “…we bring here what we have” ’)</w:t>
      </w:r>
      <w:r>
        <w:rPr>
          <w:rStyle w:val="FootnoteReference"/>
        </w:rPr>
        <w:footnoteReference w:id="9"/>
      </w:r>
      <w:r>
        <w:t xml:space="preserve">. </w:t>
      </w:r>
      <w:r w:rsidR="00C437D5">
        <w:t>Th</w:t>
      </w:r>
      <w:r w:rsidR="00EB04FB">
        <w:t>is repetition of</w:t>
      </w:r>
      <w:r w:rsidR="00C437D5">
        <w:t xml:space="preserve"> depositing </w:t>
      </w:r>
      <w:r w:rsidR="00EB04FB">
        <w:t xml:space="preserve">items in special places </w:t>
      </w:r>
      <w:r w:rsidR="00C437D5">
        <w:t>(especially trees) throughout time is potentially one of the</w:t>
      </w:r>
      <w:r w:rsidR="00EB04FB">
        <w:t xml:space="preserve"> most fundamental</w:t>
      </w:r>
      <w:r w:rsidR="00C437D5">
        <w:t xml:space="preserve"> mythological or proto-religious </w:t>
      </w:r>
      <w:r w:rsidR="00EB04FB">
        <w:t>behaviours</w:t>
      </w:r>
      <w:r w:rsidR="00C437D5">
        <w:t xml:space="preserve">, observed even in some Ape species. </w:t>
      </w:r>
      <w:r w:rsidR="00C437D5">
        <w:rPr>
          <w:rStyle w:val="FootnoteReference"/>
        </w:rPr>
        <w:footnoteReference w:id="10"/>
      </w:r>
      <w:r w:rsidR="001F5C69">
        <w:t xml:space="preserve"> ‘Mythology is usually inseparable from ritual’ claims Armstrong</w:t>
      </w:r>
      <w:r w:rsidR="001835BD">
        <w:t xml:space="preserve">. It is a </w:t>
      </w:r>
      <w:r w:rsidR="001F5C69">
        <w:t xml:space="preserve">‘liturgical drama… incomprehensible in a mundane setting.’ </w:t>
      </w:r>
      <w:r w:rsidR="001F5C69">
        <w:rPr>
          <w:rStyle w:val="FootnoteReference"/>
        </w:rPr>
        <w:footnoteReference w:id="11"/>
      </w:r>
      <w:r w:rsidR="001F5C69">
        <w:t xml:space="preserve"> </w:t>
      </w:r>
      <w:r w:rsidR="001835BD">
        <w:t>If the retelling and re-enactment of Blodeuwedd’s story is a liturgical drama, then perhaps Gwydion can be seen almost as the celebrant or Priest of th</w:t>
      </w:r>
      <w:r w:rsidR="009527C8">
        <w:t>is</w:t>
      </w:r>
      <w:r w:rsidR="001835BD">
        <w:t xml:space="preserve"> liturgy. It is interesting to </w:t>
      </w:r>
      <w:r w:rsidR="00237C1B">
        <w:t xml:space="preserve">compare </w:t>
      </w:r>
      <w:r w:rsidR="001835BD">
        <w:t>the social function of Bards</w:t>
      </w:r>
      <w:r w:rsidR="005377B1">
        <w:t xml:space="preserve"> or storytellers</w:t>
      </w:r>
      <w:r w:rsidR="001835BD">
        <w:t xml:space="preserve"> (which Gwydion had </w:t>
      </w:r>
      <w:r w:rsidR="00793845">
        <w:t>some skill</w:t>
      </w:r>
      <w:r w:rsidR="001835BD">
        <w:t xml:space="preserve"> in, according to the Fourth Branch)</w:t>
      </w:r>
      <w:r w:rsidR="007715D4">
        <w:t xml:space="preserve"> </w:t>
      </w:r>
      <w:r w:rsidR="00237C1B">
        <w:t>and</w:t>
      </w:r>
      <w:r w:rsidR="007715D4">
        <w:t xml:space="preserve"> Priests</w:t>
      </w:r>
      <w:r w:rsidR="00237C1B">
        <w:t>; both use</w:t>
      </w:r>
      <w:r w:rsidR="007715D4">
        <w:t xml:space="preserve"> symbolic</w:t>
      </w:r>
      <w:r w:rsidR="00237C1B">
        <w:t>, performative</w:t>
      </w:r>
      <w:r w:rsidR="007715D4">
        <w:t xml:space="preserve"> storytelling</w:t>
      </w:r>
      <w:r w:rsidR="00237C1B">
        <w:t xml:space="preserve"> </w:t>
      </w:r>
      <w:r w:rsidR="007715D4">
        <w:t xml:space="preserve">to help people make meaning out of the human condition and process their wonder and fear </w:t>
      </w:r>
      <w:r w:rsidR="004C5CBB">
        <w:t>of time and space.</w:t>
      </w:r>
      <w:r w:rsidR="007A0F4D" w:rsidRPr="007A0F4D">
        <w:t xml:space="preserve"> </w:t>
      </w:r>
      <w:r w:rsidR="007A0F4D">
        <w:t>Huw certainly could be said to be trying to preside in a priestly way over the</w:t>
      </w:r>
      <w:r w:rsidR="007A0F4D">
        <w:t xml:space="preserve"> exorcism</w:t>
      </w:r>
      <w:r w:rsidR="007A0F4D">
        <w:t>-like</w:t>
      </w:r>
      <w:r w:rsidR="007A0F4D">
        <w:t xml:space="preserve"> climax</w:t>
      </w:r>
      <w:r w:rsidR="007A0F4D">
        <w:t xml:space="preserve"> of the book, even if he is ultimately ineffective.</w:t>
      </w:r>
      <w:r w:rsidR="00CF19BC">
        <w:t xml:space="preserve"> </w:t>
      </w:r>
    </w:p>
    <w:p w14:paraId="67E70FEA" w14:textId="41DB24C7" w:rsidR="00165132" w:rsidRPr="00283777" w:rsidRDefault="00D156D7" w:rsidP="008B1E62">
      <w:pPr>
        <w:jc w:val="both"/>
        <w:rPr>
          <w:b/>
          <w:bCs/>
        </w:rPr>
      </w:pPr>
      <w:r w:rsidRPr="003E09FF">
        <w:rPr>
          <w:b/>
          <w:bCs/>
        </w:rPr>
        <w:t>‘</w:t>
      </w:r>
      <w:r w:rsidR="003E09FF" w:rsidRPr="003E09FF">
        <w:rPr>
          <w:b/>
          <w:bCs/>
        </w:rPr>
        <w:t>‘She wants to be flowers</w:t>
      </w:r>
      <w:r w:rsidR="00C53939">
        <w:rPr>
          <w:b/>
          <w:bCs/>
        </w:rPr>
        <w:t>…</w:t>
      </w:r>
      <w:r w:rsidR="003E09FF" w:rsidRPr="003E09FF">
        <w:rPr>
          <w:b/>
          <w:bCs/>
        </w:rPr>
        <w:t>but you make her owls. Why do we destroy ourselves?’</w:t>
      </w:r>
      <w:r w:rsidRPr="002C50DB">
        <w:rPr>
          <w:b/>
          <w:bCs/>
        </w:rPr>
        <w:t>’</w:t>
      </w:r>
      <w:r>
        <w:rPr>
          <w:b/>
          <w:bCs/>
        </w:rPr>
        <w:t xml:space="preserve"> </w:t>
      </w:r>
      <w:r>
        <w:rPr>
          <w:rStyle w:val="FootnoteReference"/>
          <w:b/>
          <w:bCs/>
        </w:rPr>
        <w:footnoteReference w:id="12"/>
      </w:r>
    </w:p>
    <w:p w14:paraId="62DC5485" w14:textId="665CD010" w:rsidR="00547B61" w:rsidRPr="00CD392E" w:rsidRDefault="00547B61" w:rsidP="008B1E62">
      <w:pPr>
        <w:jc w:val="both"/>
        <w:rPr>
          <w:b/>
          <w:bCs/>
        </w:rPr>
      </w:pPr>
      <w:r w:rsidRPr="00CD392E">
        <w:rPr>
          <w:b/>
          <w:bCs/>
        </w:rPr>
        <w:t>Re</w:t>
      </w:r>
      <w:r w:rsidRPr="00CD392E">
        <w:rPr>
          <w:b/>
          <w:bCs/>
        </w:rPr>
        <w:t>solution</w:t>
      </w:r>
    </w:p>
    <w:p w14:paraId="4BCBF13A" w14:textId="7945C108" w:rsidR="00B73C73" w:rsidRDefault="00B73C73" w:rsidP="008B1E62">
      <w:pPr>
        <w:jc w:val="both"/>
      </w:pPr>
      <w:r>
        <w:t xml:space="preserve">This ritualistic </w:t>
      </w:r>
      <w:r w:rsidR="00CD392E">
        <w:t>finale</w:t>
      </w:r>
      <w:r>
        <w:t xml:space="preserve"> </w:t>
      </w:r>
      <w:r w:rsidR="005B76FA">
        <w:t xml:space="preserve">is resolved by Roger interrupting </w:t>
      </w:r>
      <w:r w:rsidR="00523511">
        <w:t>its logic</w:t>
      </w:r>
      <w:r w:rsidR="001B528B">
        <w:t xml:space="preserve"> (</w:t>
      </w:r>
      <w:r w:rsidR="008C3599">
        <w:t>‘ “You’re flowers. You’ve never been anything else.” ’</w:t>
      </w:r>
      <w:r w:rsidR="001B528B">
        <w:t>)</w:t>
      </w:r>
      <w:r w:rsidR="00BD7C4A">
        <w:t>,</w:t>
      </w:r>
      <w:r w:rsidR="001B528B">
        <w:rPr>
          <w:rStyle w:val="FootnoteReference"/>
        </w:rPr>
        <w:footnoteReference w:id="13"/>
      </w:r>
      <w:r w:rsidR="00BD7C4A">
        <w:t xml:space="preserve"> b</w:t>
      </w:r>
      <w:r w:rsidR="005B76FA">
        <w:t xml:space="preserve">reaking the </w:t>
      </w:r>
      <w:r w:rsidR="00523511">
        <w:t>re-enactment</w:t>
      </w:r>
      <w:r w:rsidR="005B76FA">
        <w:t>, perhaps</w:t>
      </w:r>
      <w:r w:rsidR="000F74A5">
        <w:t>,</w:t>
      </w:r>
      <w:r w:rsidR="005B76FA">
        <w:t xml:space="preserve"> but also </w:t>
      </w:r>
      <w:r w:rsidR="00BD7C4A">
        <w:t>finally manifesting</w:t>
      </w:r>
      <w:r w:rsidR="005B76FA">
        <w:t xml:space="preserve"> the sentiment of Huw and others</w:t>
      </w:r>
      <w:r w:rsidR="00523511">
        <w:t xml:space="preserve"> expressed</w:t>
      </w:r>
      <w:r w:rsidR="005B76FA">
        <w:t xml:space="preserve"> through</w:t>
      </w:r>
      <w:r w:rsidR="00523511">
        <w:t>out the</w:t>
      </w:r>
      <w:r w:rsidR="005B76FA">
        <w:t xml:space="preserve"> book</w:t>
      </w:r>
      <w:r w:rsidR="00BC3B50">
        <w:t>:</w:t>
      </w:r>
      <w:r w:rsidR="005B76FA">
        <w:t xml:space="preserve"> that the very creation of Blodeuwedd was a sort of original sin that has to be made right for the cycle to be truly broken.</w:t>
      </w:r>
      <w:r w:rsidR="00B3474C">
        <w:t xml:space="preserve"> </w:t>
      </w:r>
    </w:p>
    <w:p w14:paraId="79D96CDF" w14:textId="06FD81FE" w:rsidR="00BB362E" w:rsidRDefault="00B3474C" w:rsidP="008B1E62">
      <w:pPr>
        <w:jc w:val="both"/>
      </w:pPr>
      <w:r>
        <w:t xml:space="preserve">Garner innovates </w:t>
      </w:r>
      <w:r w:rsidR="00BC3B50">
        <w:t>in this area</w:t>
      </w:r>
      <w:r>
        <w:t xml:space="preserve">, introducing an element not engaged with in the Fourth Branch: </w:t>
      </w:r>
      <w:r>
        <w:t>Gwydion’s guilt and retroactive regret</w:t>
      </w:r>
      <w:r>
        <w:t>. This is expressed through Huw</w:t>
      </w:r>
      <w:r w:rsidR="00482489">
        <w:t>:</w:t>
      </w:r>
      <w:r>
        <w:t xml:space="preserve"> </w:t>
      </w:r>
      <w:r>
        <w:t>‘</w:t>
      </w:r>
      <w:r>
        <w:t xml:space="preserve"> “</w:t>
      </w:r>
      <w:r>
        <w:t>She will be the worse for my fault</w:t>
      </w:r>
      <w:r>
        <w:t>” ’</w:t>
      </w:r>
      <w:r w:rsidR="00093D92">
        <w:t>;</w:t>
      </w:r>
      <w:r>
        <w:rPr>
          <w:rStyle w:val="FootnoteReference"/>
        </w:rPr>
        <w:footnoteReference w:id="14"/>
      </w:r>
      <w:r>
        <w:t xml:space="preserve"> </w:t>
      </w:r>
      <w:r w:rsidR="00482489">
        <w:t xml:space="preserve">and through others: </w:t>
      </w:r>
      <w:r w:rsidR="00482489">
        <w:t>‘</w:t>
      </w:r>
      <w:r w:rsidR="00EC5651">
        <w:t xml:space="preserve"> “</w:t>
      </w:r>
      <w:r w:rsidR="00482489">
        <w:t>I wonder how he felt when he saw what he’d done</w:t>
      </w:r>
      <w:r w:rsidR="00482489">
        <w:t>.</w:t>
      </w:r>
      <w:r w:rsidR="00EC5651">
        <w:t xml:space="preserve">” </w:t>
      </w:r>
      <w:r w:rsidR="00482489">
        <w:t>’</w:t>
      </w:r>
      <w:r w:rsidR="00482489">
        <w:rPr>
          <w:rStyle w:val="FootnoteReference"/>
        </w:rPr>
        <w:footnoteReference w:id="15"/>
      </w:r>
      <w:r w:rsidR="00482489">
        <w:t xml:space="preserve"> </w:t>
      </w:r>
      <w:r w:rsidR="00BB362E">
        <w:t xml:space="preserve">Garner </w:t>
      </w:r>
      <w:r w:rsidR="00900992">
        <w:t xml:space="preserve">casts </w:t>
      </w:r>
      <w:r w:rsidR="00BB362E">
        <w:t xml:space="preserve">this </w:t>
      </w:r>
      <w:r w:rsidR="00900992">
        <w:t xml:space="preserve">regret backwards through time for Gwydion’s creative and violative act and the events it triggers. </w:t>
      </w:r>
      <w:r w:rsidR="00BB362E">
        <w:t xml:space="preserve">This is just another example of myth being applied in a modern context – a Gwydion free from regret in the modern age </w:t>
      </w:r>
      <w:r w:rsidR="00F94336">
        <w:t>might be more of</w:t>
      </w:r>
      <w:r w:rsidR="00BB362E">
        <w:t xml:space="preserve"> an antagonist, not a hero.</w:t>
      </w:r>
      <w:r w:rsidR="0050577A" w:rsidRPr="0050577A">
        <w:t xml:space="preserve"> </w:t>
      </w:r>
    </w:p>
    <w:p w14:paraId="4FBE7D59" w14:textId="6B97EDA1" w:rsidR="00900992" w:rsidRDefault="00292AD0" w:rsidP="008B1E62">
      <w:pPr>
        <w:jc w:val="both"/>
      </w:pPr>
      <w:r>
        <w:t>In taking responsibility for the events that unfold after the creation of Blodeuwedd</w:t>
      </w:r>
      <w:r w:rsidR="00900992">
        <w:t>,</w:t>
      </w:r>
      <w:r>
        <w:t xml:space="preserve"> Huw </w:t>
      </w:r>
      <w:r w:rsidR="00B64B0E">
        <w:t>(</w:t>
      </w:r>
      <w:r>
        <w:t>or Gwydion</w:t>
      </w:r>
      <w:r w:rsidR="00B64B0E">
        <w:t>,</w:t>
      </w:r>
      <w:r w:rsidR="00900992">
        <w:t xml:space="preserve"> </w:t>
      </w:r>
      <w:r>
        <w:t>or perhaps even Garner</w:t>
      </w:r>
      <w:r w:rsidR="00B64B0E">
        <w:t>)</w:t>
      </w:r>
      <w:r>
        <w:t xml:space="preserve"> </w:t>
      </w:r>
      <w:r w:rsidR="00900992">
        <w:t>somewhat exonerates Lleu and Gronw for their part</w:t>
      </w:r>
      <w:r>
        <w:t xml:space="preserve"> in the story</w:t>
      </w:r>
      <w:r w:rsidR="00900992">
        <w:t>, while also ascribing some blame to Blodeuwedd – and that the train of events he kicked off doomed them to always come together and destroy each other</w:t>
      </w:r>
      <w:r>
        <w:t>:</w:t>
      </w:r>
      <w:r w:rsidR="00900992">
        <w:t xml:space="preserve"> ‘</w:t>
      </w:r>
      <w:r w:rsidR="00B66447">
        <w:t xml:space="preserve"> “</w:t>
      </w:r>
      <w:r w:rsidR="00900992">
        <w:t>But none of them is all to blame,</w:t>
      </w:r>
      <w:r w:rsidR="00B66447">
        <w:t>”</w:t>
      </w:r>
      <w:r w:rsidR="00900992">
        <w:t xml:space="preserve"> said Huw. </w:t>
      </w:r>
      <w:r w:rsidR="00B66447">
        <w:t>“</w:t>
      </w:r>
      <w:r w:rsidR="00900992">
        <w:t>It is only together they are destroying each other.</w:t>
      </w:r>
      <w:r w:rsidR="00B66447">
        <w:t>”</w:t>
      </w:r>
      <w:r w:rsidR="00B66447">
        <w:rPr>
          <w:rStyle w:val="FootnoteReference"/>
        </w:rPr>
        <w:footnoteReference w:id="16"/>
      </w:r>
    </w:p>
    <w:p w14:paraId="26782BF8" w14:textId="5278E25D" w:rsidR="00440877" w:rsidRDefault="00690071" w:rsidP="008B1E62">
      <w:pPr>
        <w:jc w:val="both"/>
      </w:pPr>
      <w:r>
        <w:t>I</w:t>
      </w:r>
      <w:r w:rsidR="00EA018C">
        <w:t xml:space="preserve">t is interesting to ask whether </w:t>
      </w:r>
      <w:r w:rsidR="005A6E72">
        <w:t>the psychological value of myth arguably breaks down</w:t>
      </w:r>
      <w:r>
        <w:t xml:space="preserve"> here,</w:t>
      </w:r>
      <w:r w:rsidR="005A6E72">
        <w:t xml:space="preserve"> or is found inadequate</w:t>
      </w:r>
      <w:r w:rsidR="00EA018C">
        <w:t>.</w:t>
      </w:r>
      <w:r w:rsidR="00066693">
        <w:t xml:space="preserve"> </w:t>
      </w:r>
      <w:r>
        <w:t>I</w:t>
      </w:r>
      <w:r w:rsidR="00066693">
        <w:t xml:space="preserve">t could be argued that even as </w:t>
      </w:r>
      <w:r>
        <w:t>Garner</w:t>
      </w:r>
      <w:r w:rsidR="00066693">
        <w:t xml:space="preserve"> adds layers of regret, guilt and reconciliation to a </w:t>
      </w:r>
      <w:r w:rsidR="00066693">
        <w:lastRenderedPageBreak/>
        <w:t>mythological tale that has understandably become a focus for feminist criticism and adaptation, still he does not go far enough. It is suggested, for example, that p</w:t>
      </w:r>
      <w:r w:rsidR="00337133">
        <w:t>sychologising male violence</w:t>
      </w:r>
      <w:r w:rsidR="00066693">
        <w:t xml:space="preserve"> (as in, ascribing repressed trauma and memory to </w:t>
      </w:r>
      <w:r w:rsidR="00093D92">
        <w:t>men’s actions rather than any sort of lucid agency</w:t>
      </w:r>
      <w:r w:rsidR="00066693">
        <w:t xml:space="preserve">) </w:t>
      </w:r>
      <w:r w:rsidR="00337133">
        <w:t>does</w:t>
      </w:r>
      <w:r w:rsidR="00066693">
        <w:t xml:space="preserve"> not</w:t>
      </w:r>
      <w:r w:rsidR="00337133">
        <w:t xml:space="preserve"> break the cycle as much as </w:t>
      </w:r>
      <w:r w:rsidR="002F0390">
        <w:t>plain</w:t>
      </w:r>
      <w:r w:rsidR="00337133">
        <w:t xml:space="preserve"> accountability</w:t>
      </w:r>
      <w:r w:rsidR="00066693">
        <w:t>, and even sometimes gives me</w:t>
      </w:r>
      <w:r w:rsidR="002F0390">
        <w:t>n</w:t>
      </w:r>
      <w:r w:rsidR="00066693">
        <w:t xml:space="preserve"> more tools with which to exert coercive control and abuse. </w:t>
      </w:r>
      <w:r>
        <w:t xml:space="preserve"> </w:t>
      </w:r>
      <w:r w:rsidR="00066693">
        <w:t>Chuck Derry of the Gender Violence Institute argues that,</w:t>
      </w:r>
      <w:r w:rsidR="00D93EBC">
        <w:t xml:space="preserve"> ‘</w:t>
      </w:r>
      <w:r w:rsidR="00C62D1B" w:rsidRPr="00C62D1B">
        <w:t>psychologizing oppression assists the oppressor, and harms the oppressed. I would suggest it is collusiv</w:t>
      </w:r>
      <w:r w:rsidR="00C62D1B">
        <w:t xml:space="preserve">e. </w:t>
      </w:r>
      <w:r w:rsidR="00C62D1B" w:rsidRPr="00C62D1B">
        <w:t>It does not attend to the intents and outcomes that motivate individual and systemic sexist oppression</w:t>
      </w:r>
      <w:r w:rsidR="00C62D1B">
        <w:t>’</w:t>
      </w:r>
      <w:r w:rsidR="00337133">
        <w:t>.</w:t>
      </w:r>
      <w:r w:rsidR="002B7122">
        <w:rPr>
          <w:rStyle w:val="FootnoteReference"/>
        </w:rPr>
        <w:footnoteReference w:id="17"/>
      </w:r>
      <w:r w:rsidR="00066693">
        <w:t xml:space="preserve"> Rather than therapeutic approaches to interrupting male violent behaviour, he s</w:t>
      </w:r>
      <w:r w:rsidR="00D00158">
        <w:t>ays</w:t>
      </w:r>
      <w:r w:rsidR="00066693">
        <w:t>, only by making men confront the fact that they made choices can cycles like this be broken.</w:t>
      </w:r>
      <w:r w:rsidR="008E21F6">
        <w:t xml:space="preserve"> It would be interesting to sit with Huw in sessions such as these, and walk with him as he wrestles with whether he had more agency in the events that unfolded than he perhaps claimed. After all, he did recommend Gwyn and Nancy as house</w:t>
      </w:r>
      <w:r w:rsidR="002F0390">
        <w:t xml:space="preserve">keeping staff </w:t>
      </w:r>
      <w:r w:rsidR="008E21F6">
        <w:t>to Clive in the first place</w:t>
      </w:r>
      <w:r w:rsidR="005C0560">
        <w:t xml:space="preserve">, bringing them back to the Valley for </w:t>
      </w:r>
      <w:r w:rsidR="00945220">
        <w:t>motivations</w:t>
      </w:r>
      <w:r w:rsidR="005C0560">
        <w:t xml:space="preserve"> that </w:t>
      </w:r>
      <w:r w:rsidR="00945220">
        <w:t>lived in him</w:t>
      </w:r>
      <w:r w:rsidR="005C0560">
        <w:t xml:space="preserve">, whether he believed they came from him or from </w:t>
      </w:r>
      <w:r w:rsidR="00945220">
        <w:t>an ancient and eternal power</w:t>
      </w:r>
      <w:r w:rsidR="005C0560">
        <w:t>.</w:t>
      </w:r>
    </w:p>
    <w:p w14:paraId="41FF75EB" w14:textId="74AAF614" w:rsidR="00283777" w:rsidRPr="00BC5841" w:rsidRDefault="00283777" w:rsidP="008B1E62">
      <w:pPr>
        <w:jc w:val="both"/>
        <w:rPr>
          <w:b/>
          <w:bCs/>
        </w:rPr>
      </w:pPr>
      <w:r w:rsidRPr="00BC5841">
        <w:rPr>
          <w:b/>
          <w:bCs/>
        </w:rPr>
        <w:t xml:space="preserve">Conclusion </w:t>
      </w:r>
    </w:p>
    <w:p w14:paraId="4944D995" w14:textId="0B159E1C" w:rsidR="00BC5841" w:rsidRDefault="00BC5841" w:rsidP="008B1E62">
      <w:pPr>
        <w:jc w:val="both"/>
      </w:pPr>
      <w:r>
        <w:t>It would be easy to imagine a</w:t>
      </w:r>
      <w:r w:rsidR="007264B5">
        <w:t xml:space="preserve"> literary</w:t>
      </w:r>
      <w:r>
        <w:t xml:space="preserve"> adaptation where </w:t>
      </w:r>
      <w:r w:rsidR="00FD12D8">
        <w:t xml:space="preserve">the actual </w:t>
      </w:r>
      <w:r>
        <w:t xml:space="preserve">Gwydion </w:t>
      </w:r>
      <w:r w:rsidR="00FD12D8">
        <w:t xml:space="preserve">of the Fourth Branch </w:t>
      </w:r>
      <w:r>
        <w:t>is doomed to live, eternally watching</w:t>
      </w:r>
      <w:r w:rsidR="007264B5">
        <w:t xml:space="preserve">, but unable </w:t>
      </w:r>
      <w:r>
        <w:t xml:space="preserve">to prevent, new characters re-enacting the tragedy of his son/nephew and the wife he made </w:t>
      </w:r>
      <w:r w:rsidR="007264B5">
        <w:t xml:space="preserve">for </w:t>
      </w:r>
      <w:r>
        <w:t>him; or</w:t>
      </w:r>
      <w:r w:rsidR="007264B5">
        <w:t>,</w:t>
      </w:r>
      <w:r>
        <w:t xml:space="preserve"> at least</w:t>
      </w:r>
      <w:r w:rsidR="007264B5">
        <w:t>,</w:t>
      </w:r>
      <w:r>
        <w:t xml:space="preserve"> where the shade of Gwydion, a force of guilt or regret, possesses someone to be his vessel in the story as it gets re-enacted. But neither of these things feel</w:t>
      </w:r>
      <w:r w:rsidR="008F09D3">
        <w:t xml:space="preserve"> completely</w:t>
      </w:r>
      <w:r>
        <w:t xml:space="preserve"> true to The Owl Service. This old, tired wizard </w:t>
      </w:r>
      <w:r w:rsidR="007264B5">
        <w:t>alive in</w:t>
      </w:r>
      <w:r>
        <w:t xml:space="preserve"> the modern world trope is especially common, particularly with Merlin, and doubtless Gwydion is treated this way in other adaptations</w:t>
      </w:r>
      <w:r w:rsidR="007264B5">
        <w:t>, but</w:t>
      </w:r>
      <w:r>
        <w:t xml:space="preserve"> not here. Here he is disembodied and emptied of distinct character – he is pure story, a happening only, a forward marching force of ritualistic re-enactment that the novel’s characters become less and less able to escape, in the words of Gwyn, a ‘still happening’</w:t>
      </w:r>
      <w:r w:rsidR="007624E9">
        <w:t>.</w:t>
      </w:r>
      <w:r>
        <w:t xml:space="preserve"> </w:t>
      </w:r>
      <w:r w:rsidR="007624E9">
        <w:rPr>
          <w:rStyle w:val="FootnoteReference"/>
        </w:rPr>
        <w:footnoteReference w:id="18"/>
      </w:r>
    </w:p>
    <w:p w14:paraId="598C616D" w14:textId="17FA74E4" w:rsidR="00283777" w:rsidRDefault="002F7713" w:rsidP="008B1E62">
      <w:pPr>
        <w:jc w:val="both"/>
      </w:pPr>
      <w:r>
        <w:t>Moreover, t</w:t>
      </w:r>
      <w:r w:rsidR="00283777">
        <w:t>hinking about the title of this module, ‘Myths made modern’</w:t>
      </w:r>
      <w:r w:rsidR="00E05C2E">
        <w:t>:</w:t>
      </w:r>
      <w:r w:rsidR="00283777">
        <w:t xml:space="preserve"> Garner’s adaptation of the Fourth Branch challenges the idea that a myth retold in our time is being ‘made modern’</w:t>
      </w:r>
      <w:r w:rsidR="00E05C2E">
        <w:t xml:space="preserve"> at all</w:t>
      </w:r>
      <w:r w:rsidR="00283777">
        <w:t xml:space="preserve">. If </w:t>
      </w:r>
      <w:r>
        <w:t xml:space="preserve">a myth, as Armstrong suggests, </w:t>
      </w:r>
      <w:r w:rsidR="00283777">
        <w:t xml:space="preserve">does indeed happen </w:t>
      </w:r>
      <w:r w:rsidR="00283777" w:rsidRPr="002F7713">
        <w:rPr>
          <w:i/>
          <w:iCs/>
        </w:rPr>
        <w:t>all the time</w:t>
      </w:r>
      <w:r w:rsidR="00283777">
        <w:t>, then it simply manifests in ways particular to its time</w:t>
      </w:r>
      <w:r>
        <w:t>.</w:t>
      </w:r>
      <w:r w:rsidR="00283777">
        <w:t xml:space="preserve"> </w:t>
      </w:r>
      <w:r>
        <w:t>I</w:t>
      </w:r>
      <w:r w:rsidR="00283777">
        <w:t>t</w:t>
      </w:r>
      <w:r>
        <w:t xml:space="preserve"> is</w:t>
      </w:r>
      <w:r w:rsidR="00283777">
        <w:t xml:space="preserve"> not ancient, or modern, but timeless.</w:t>
      </w:r>
      <w:r w:rsidR="009A0A52">
        <w:t xml:space="preserve"> </w:t>
      </w:r>
    </w:p>
    <w:p w14:paraId="43DE5EF5" w14:textId="709DF499" w:rsidR="00BE37CA" w:rsidRDefault="00BB7C62" w:rsidP="008B1E62">
      <w:pPr>
        <w:jc w:val="both"/>
      </w:pPr>
      <w:r>
        <w:t>We have established that myth can be a tool for processing the human condition and the things that we do to each other, a psychological way of working through repression and its potentially violent consequences and, in this case, a way of exploring the seemingly eternal suffering of women at the hands of men’s machinations.</w:t>
      </w:r>
      <w:r w:rsidR="00F81DB5">
        <w:t xml:space="preserve"> We have also reflected on the limits of this approach, and perhaps the limits of the storyteller. In any case, as with the stone spear-head Gwyn finds in the tree, which seems too old to be the one Gronw fashioned</w:t>
      </w:r>
      <w:r w:rsidR="009A0A52">
        <w:t>;</w:t>
      </w:r>
      <w:r w:rsidR="00F81DB5">
        <w:t xml:space="preserve"> the motifs, characters and events of myth serve the meanings we give them and which we apply them to. </w:t>
      </w:r>
      <w:r w:rsidR="00BE37CA">
        <w:t>It seems just that the last words on this be Alison’</w:t>
      </w:r>
      <w:r w:rsidR="009A0A52">
        <w:t>s. H</w:t>
      </w:r>
      <w:r w:rsidR="00440877">
        <w:t>er comments on the strange marsh gas phenomenon and whether it is natural or supernatural apply, perhaps</w:t>
      </w:r>
      <w:r w:rsidR="009A0A52">
        <w:t>,</w:t>
      </w:r>
      <w:r w:rsidR="00440877">
        <w:t xml:space="preserve"> to all the devices and events that</w:t>
      </w:r>
      <w:r w:rsidR="009A0A52">
        <w:t xml:space="preserve"> are deployed in </w:t>
      </w:r>
      <w:r w:rsidR="00440877">
        <w:t xml:space="preserve">the application of myth, </w:t>
      </w:r>
      <w:r w:rsidR="009A0A52">
        <w:t>or even in</w:t>
      </w:r>
      <w:r w:rsidR="00440877">
        <w:t xml:space="preserve"> storytelling</w:t>
      </w:r>
      <w:r w:rsidR="009A0A52">
        <w:t xml:space="preserve"> more broadly</w:t>
      </w:r>
      <w:r w:rsidR="00440877">
        <w:t>:</w:t>
      </w:r>
      <w:r w:rsidR="00BE37CA">
        <w:t xml:space="preserve"> ‘It doesn’t matter what it is. Can’t you see? It’s being used’.</w:t>
      </w:r>
      <w:r w:rsidR="001551B0">
        <w:rPr>
          <w:rStyle w:val="FootnoteReference"/>
        </w:rPr>
        <w:footnoteReference w:id="19"/>
      </w:r>
    </w:p>
    <w:p w14:paraId="0E256405" w14:textId="77777777" w:rsidR="00690071" w:rsidRDefault="00690071" w:rsidP="008B1E62">
      <w:pPr>
        <w:jc w:val="both"/>
        <w:rPr>
          <w:b/>
          <w:bCs/>
        </w:rPr>
      </w:pPr>
    </w:p>
    <w:p w14:paraId="792C871A" w14:textId="0290F576" w:rsidR="009644CB" w:rsidRPr="00F81DB5" w:rsidRDefault="00F81DB5" w:rsidP="008B1E62">
      <w:pPr>
        <w:jc w:val="both"/>
        <w:rPr>
          <w:b/>
          <w:bCs/>
        </w:rPr>
      </w:pPr>
      <w:r w:rsidRPr="00F81DB5">
        <w:rPr>
          <w:b/>
          <w:bCs/>
        </w:rPr>
        <w:lastRenderedPageBreak/>
        <w:t>Bibliography</w:t>
      </w:r>
    </w:p>
    <w:p w14:paraId="75C6476F" w14:textId="75EED9EB" w:rsidR="00121016" w:rsidRPr="00121016" w:rsidRDefault="00121016" w:rsidP="008B1E62">
      <w:pPr>
        <w:jc w:val="both"/>
      </w:pPr>
      <w:r>
        <w:t xml:space="preserve">Armstrong, K. </w:t>
      </w:r>
      <w:r>
        <w:rPr>
          <w:i/>
          <w:iCs/>
        </w:rPr>
        <w:t>A Short History of Myth</w:t>
      </w:r>
      <w:r w:rsidR="00803DE5">
        <w:rPr>
          <w:i/>
          <w:iCs/>
        </w:rPr>
        <w:t>,</w:t>
      </w:r>
      <w:r>
        <w:rPr>
          <w:i/>
          <w:iCs/>
        </w:rPr>
        <w:t xml:space="preserve"> </w:t>
      </w:r>
      <w:r>
        <w:t>(</w:t>
      </w:r>
      <w:r w:rsidR="00842BDD">
        <w:t>Edinburgh, Canongate, 2006</w:t>
      </w:r>
      <w:r>
        <w:t>)</w:t>
      </w:r>
      <w:r w:rsidR="00803DE5">
        <w:t>.</w:t>
      </w:r>
    </w:p>
    <w:p w14:paraId="39B8CE7D" w14:textId="59C1D376" w:rsidR="00A275C2" w:rsidRPr="00A275C2" w:rsidRDefault="00A275C2" w:rsidP="00E94277">
      <w:pPr>
        <w:ind w:left="284" w:hanging="284"/>
        <w:jc w:val="both"/>
      </w:pPr>
      <w:bookmarkStart w:id="0" w:name="_Hlk67693655"/>
      <w:r>
        <w:t xml:space="preserve">Davies, S (translator), </w:t>
      </w:r>
      <w:r>
        <w:rPr>
          <w:i/>
          <w:iCs/>
        </w:rPr>
        <w:t xml:space="preserve">The Mabinogion, </w:t>
      </w:r>
      <w:r w:rsidR="00E94277">
        <w:t xml:space="preserve">Oxford World Classics Edition, </w:t>
      </w:r>
      <w:r>
        <w:t>(Oxford, Oxford University Press, 2007).</w:t>
      </w:r>
    </w:p>
    <w:p w14:paraId="156CC3AF" w14:textId="77D4CC91" w:rsidR="00BF73F7" w:rsidRDefault="0091729A" w:rsidP="003D552C">
      <w:pPr>
        <w:ind w:left="284" w:hanging="284"/>
        <w:jc w:val="both"/>
      </w:pPr>
      <w:r>
        <w:t xml:space="preserve">Derry, C. </w:t>
      </w:r>
      <w:r w:rsidR="00BF73F7" w:rsidRPr="00A45654">
        <w:rPr>
          <w:i/>
          <w:iCs/>
        </w:rPr>
        <w:t>Psychologizing Oppression</w:t>
      </w:r>
      <w:r w:rsidR="00BF73F7">
        <w:t xml:space="preserve"> </w:t>
      </w:r>
      <w:r w:rsidR="00A45654">
        <w:t>(online article on author’s own website</w:t>
      </w:r>
      <w:r w:rsidR="00BA313B">
        <w:t>)</w:t>
      </w:r>
      <w:r w:rsidR="00A45654">
        <w:t xml:space="preserve">, </w:t>
      </w:r>
      <w:r w:rsidR="00A45654" w:rsidRPr="00BA313B">
        <w:rPr>
          <w:i/>
          <w:iCs/>
        </w:rPr>
        <w:t>Gender Violence Institute</w:t>
      </w:r>
      <w:r w:rsidR="00BA313B">
        <w:rPr>
          <w:i/>
          <w:iCs/>
        </w:rPr>
        <w:t xml:space="preserve"> </w:t>
      </w:r>
      <w:r w:rsidR="00BA313B">
        <w:t>&lt;</w:t>
      </w:r>
      <w:hyperlink r:id="rId7" w:history="1">
        <w:r w:rsidR="00BA313B" w:rsidRPr="00F31E4B">
          <w:rPr>
            <w:rStyle w:val="Hyperlink"/>
          </w:rPr>
          <w:t>https://www.genderviole</w:t>
        </w:r>
        <w:r w:rsidR="00BA313B" w:rsidRPr="00F31E4B">
          <w:rPr>
            <w:rStyle w:val="Hyperlink"/>
          </w:rPr>
          <w:t>n</w:t>
        </w:r>
        <w:r w:rsidR="00BA313B" w:rsidRPr="00F31E4B">
          <w:rPr>
            <w:rStyle w:val="Hyperlink"/>
          </w:rPr>
          <w:t>ceinstitute.org/news/2020/5/8/psychologizing-oppression</w:t>
        </w:r>
      </w:hyperlink>
      <w:r w:rsidR="00BA313B">
        <w:t xml:space="preserve">&gt; (May 2020) </w:t>
      </w:r>
      <w:r w:rsidR="00A45654">
        <w:t>[</w:t>
      </w:r>
      <w:r w:rsidR="00BF73F7">
        <w:t>accessed</w:t>
      </w:r>
      <w:r w:rsidR="00A45654">
        <w:t>:</w:t>
      </w:r>
      <w:r w:rsidR="00BF73F7">
        <w:t xml:space="preserve"> March 20</w:t>
      </w:r>
      <w:r w:rsidR="00BF73F7" w:rsidRPr="00BF73F7">
        <w:rPr>
          <w:vertAlign w:val="superscript"/>
        </w:rPr>
        <w:t>th</w:t>
      </w:r>
      <w:proofErr w:type="gramStart"/>
      <w:r w:rsidR="00BF73F7">
        <w:t xml:space="preserve"> 2021</w:t>
      </w:r>
      <w:proofErr w:type="gramEnd"/>
      <w:r w:rsidR="00A45654">
        <w:t>].</w:t>
      </w:r>
    </w:p>
    <w:bookmarkEnd w:id="0"/>
    <w:p w14:paraId="415B12F8" w14:textId="5109838C" w:rsidR="002376C1" w:rsidRDefault="0091729A" w:rsidP="002376C1">
      <w:pPr>
        <w:ind w:left="284" w:hanging="284"/>
        <w:jc w:val="both"/>
      </w:pPr>
      <w:r>
        <w:t xml:space="preserve">Garner, A. </w:t>
      </w:r>
      <w:r>
        <w:rPr>
          <w:i/>
          <w:iCs/>
        </w:rPr>
        <w:t xml:space="preserve">The Owl Service, </w:t>
      </w:r>
      <w:r>
        <w:t>HarperCollins Children’s Books Edition (London, HarperCollins, 2017</w:t>
      </w:r>
      <w:r w:rsidR="00517E21">
        <w:t>).</w:t>
      </w:r>
    </w:p>
    <w:p w14:paraId="61C170B4" w14:textId="4505FB18" w:rsidR="002376C1" w:rsidRDefault="002376C1" w:rsidP="003D552C">
      <w:pPr>
        <w:ind w:left="284" w:hanging="284"/>
        <w:jc w:val="both"/>
      </w:pPr>
      <w:r w:rsidRPr="002376C1">
        <w:rPr>
          <w:i/>
          <w:iCs/>
        </w:rPr>
        <w:t>Additional material:</w:t>
      </w:r>
      <w:r>
        <w:t xml:space="preserve"> </w:t>
      </w:r>
      <w:hyperlink r:id="rId8" w:history="1">
        <w:r w:rsidRPr="00270284">
          <w:rPr>
            <w:rStyle w:val="Hyperlink"/>
          </w:rPr>
          <w:t>https://www.newscient</w:t>
        </w:r>
        <w:r w:rsidRPr="00270284">
          <w:rPr>
            <w:rStyle w:val="Hyperlink"/>
          </w:rPr>
          <w:t>i</w:t>
        </w:r>
        <w:r w:rsidRPr="00270284">
          <w:rPr>
            <w:rStyle w:val="Hyperlink"/>
          </w:rPr>
          <w:t>st.com/article/2079630-what-do-chimp-temples-tell-us-about-the-evolution-of-religion/</w:t>
        </w:r>
      </w:hyperlink>
    </w:p>
    <w:p w14:paraId="7C930B5C" w14:textId="77777777" w:rsidR="002376C1" w:rsidRPr="0091729A" w:rsidRDefault="002376C1" w:rsidP="003D552C">
      <w:pPr>
        <w:ind w:left="284" w:hanging="284"/>
        <w:jc w:val="both"/>
      </w:pPr>
    </w:p>
    <w:sectPr w:rsidR="002376C1" w:rsidRPr="009172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FD994E" w14:textId="77777777" w:rsidR="00D97188" w:rsidRDefault="00D97188" w:rsidP="007C0203">
      <w:pPr>
        <w:spacing w:after="0" w:line="240" w:lineRule="auto"/>
      </w:pPr>
      <w:r>
        <w:separator/>
      </w:r>
    </w:p>
  </w:endnote>
  <w:endnote w:type="continuationSeparator" w:id="0">
    <w:p w14:paraId="246E3AC4" w14:textId="77777777" w:rsidR="00D97188" w:rsidRDefault="00D97188" w:rsidP="007C0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1F361A" w14:textId="77777777" w:rsidR="00D97188" w:rsidRDefault="00D97188" w:rsidP="007C0203">
      <w:pPr>
        <w:spacing w:after="0" w:line="240" w:lineRule="auto"/>
      </w:pPr>
      <w:r>
        <w:separator/>
      </w:r>
    </w:p>
  </w:footnote>
  <w:footnote w:type="continuationSeparator" w:id="0">
    <w:p w14:paraId="754E5D8D" w14:textId="77777777" w:rsidR="00D97188" w:rsidRDefault="00D97188" w:rsidP="007C0203">
      <w:pPr>
        <w:spacing w:after="0" w:line="240" w:lineRule="auto"/>
      </w:pPr>
      <w:r>
        <w:continuationSeparator/>
      </w:r>
    </w:p>
  </w:footnote>
  <w:footnote w:id="1">
    <w:p w14:paraId="379745C7" w14:textId="6EED5234" w:rsidR="007C0203" w:rsidRDefault="007C0203">
      <w:pPr>
        <w:pStyle w:val="FootnoteText"/>
      </w:pPr>
      <w:r>
        <w:rPr>
          <w:rStyle w:val="FootnoteReference"/>
        </w:rPr>
        <w:footnoteRef/>
      </w:r>
      <w:r>
        <w:t xml:space="preserve"> </w:t>
      </w:r>
      <w:r w:rsidR="00801C69">
        <w:t xml:space="preserve">Karen </w:t>
      </w:r>
      <w:r>
        <w:t xml:space="preserve">Armstrong, </w:t>
      </w:r>
      <w:r w:rsidRPr="00801C69">
        <w:rPr>
          <w:i/>
          <w:iCs/>
        </w:rPr>
        <w:t xml:space="preserve">A Short History of </w:t>
      </w:r>
      <w:r>
        <w:t xml:space="preserve">Myth </w:t>
      </w:r>
      <w:r w:rsidR="00801C69" w:rsidRPr="00801C69">
        <w:t>(Edinburgh, Canongate, 2006)</w:t>
      </w:r>
      <w:r>
        <w:t xml:space="preserve"> p. 7</w:t>
      </w:r>
      <w:r w:rsidR="00165132">
        <w:t>.</w:t>
      </w:r>
    </w:p>
  </w:footnote>
  <w:footnote w:id="2">
    <w:p w14:paraId="06CDDF27" w14:textId="1F0D4288" w:rsidR="005A34FD" w:rsidRDefault="005A34FD">
      <w:pPr>
        <w:pStyle w:val="FootnoteText"/>
      </w:pPr>
      <w:r>
        <w:rPr>
          <w:rStyle w:val="FootnoteReference"/>
        </w:rPr>
        <w:footnoteRef/>
      </w:r>
      <w:r>
        <w:t xml:space="preserve"> </w:t>
      </w:r>
      <w:r w:rsidR="00801C69">
        <w:t xml:space="preserve">Alan </w:t>
      </w:r>
      <w:r>
        <w:t xml:space="preserve">Garner, </w:t>
      </w:r>
      <w:r w:rsidRPr="00801C69">
        <w:rPr>
          <w:i/>
          <w:iCs/>
        </w:rPr>
        <w:t>The Owl Service</w:t>
      </w:r>
      <w:r>
        <w:t xml:space="preserve">, </w:t>
      </w:r>
      <w:r w:rsidR="00801C69" w:rsidRPr="00801C69">
        <w:t>HarperCollins Children’s Books Edition (London, HarperCollins, 2017)</w:t>
      </w:r>
      <w:r>
        <w:t xml:space="preserve"> p. 55.</w:t>
      </w:r>
    </w:p>
  </w:footnote>
  <w:footnote w:id="3">
    <w:p w14:paraId="4C54F74B" w14:textId="77777777" w:rsidR="00360B81" w:rsidRDefault="00360B81" w:rsidP="00360B81">
      <w:pPr>
        <w:pStyle w:val="FootnoteText"/>
      </w:pPr>
      <w:r>
        <w:rPr>
          <w:rStyle w:val="FootnoteReference"/>
        </w:rPr>
        <w:footnoteRef/>
      </w:r>
      <w:r>
        <w:t xml:space="preserve"> Garner, </w:t>
      </w:r>
      <w:r w:rsidRPr="00801C69">
        <w:rPr>
          <w:i/>
          <w:iCs/>
        </w:rPr>
        <w:t>The Owl Service</w:t>
      </w:r>
      <w:r>
        <w:t xml:space="preserve">, p. 53. </w:t>
      </w:r>
    </w:p>
  </w:footnote>
  <w:footnote w:id="4">
    <w:p w14:paraId="3403A27F" w14:textId="3C18B6E9" w:rsidR="00B670A7" w:rsidRDefault="00B670A7">
      <w:pPr>
        <w:pStyle w:val="FootnoteText"/>
      </w:pPr>
      <w:r>
        <w:rPr>
          <w:rStyle w:val="FootnoteReference"/>
        </w:rPr>
        <w:footnoteRef/>
      </w:r>
      <w:r>
        <w:t xml:space="preserve"> Garner, </w:t>
      </w:r>
      <w:r w:rsidRPr="00801C69">
        <w:rPr>
          <w:i/>
          <w:iCs/>
        </w:rPr>
        <w:t>The Owl Service</w:t>
      </w:r>
      <w:r>
        <w:t>, p. 64.</w:t>
      </w:r>
    </w:p>
  </w:footnote>
  <w:footnote w:id="5">
    <w:p w14:paraId="4B0F7C0F" w14:textId="0D527345" w:rsidR="00F7192B" w:rsidRDefault="00F7192B">
      <w:pPr>
        <w:pStyle w:val="FootnoteText"/>
      </w:pPr>
      <w:r>
        <w:rPr>
          <w:rStyle w:val="FootnoteReference"/>
        </w:rPr>
        <w:footnoteRef/>
      </w:r>
      <w:r>
        <w:t xml:space="preserve"> </w:t>
      </w:r>
      <w:r>
        <w:t xml:space="preserve">Garner, </w:t>
      </w:r>
      <w:r w:rsidRPr="00801C69">
        <w:rPr>
          <w:i/>
          <w:iCs/>
        </w:rPr>
        <w:t>The Owl Service</w:t>
      </w:r>
      <w:r>
        <w:t>,</w:t>
      </w:r>
      <w:r>
        <w:t xml:space="preserve"> p. 211.</w:t>
      </w:r>
    </w:p>
  </w:footnote>
  <w:footnote w:id="6">
    <w:p w14:paraId="0931158A" w14:textId="77777777" w:rsidR="00157827" w:rsidRDefault="00157827" w:rsidP="00157827">
      <w:pPr>
        <w:pStyle w:val="FootnoteText"/>
      </w:pPr>
      <w:r>
        <w:rPr>
          <w:rStyle w:val="FootnoteReference"/>
        </w:rPr>
        <w:footnoteRef/>
      </w:r>
      <w:r>
        <w:t xml:space="preserve"> Armstrong, </w:t>
      </w:r>
      <w:r>
        <w:rPr>
          <w:i/>
          <w:iCs/>
        </w:rPr>
        <w:t>A Short History,</w:t>
      </w:r>
      <w:r>
        <w:t xml:space="preserve"> p. 11.</w:t>
      </w:r>
    </w:p>
  </w:footnote>
  <w:footnote w:id="7">
    <w:p w14:paraId="1665B67D" w14:textId="66D04227" w:rsidR="00B45AE4" w:rsidRDefault="00B45AE4">
      <w:pPr>
        <w:pStyle w:val="FootnoteText"/>
      </w:pPr>
      <w:r>
        <w:rPr>
          <w:rStyle w:val="FootnoteReference"/>
        </w:rPr>
        <w:footnoteRef/>
      </w:r>
      <w:r>
        <w:t xml:space="preserve"> Garner, </w:t>
      </w:r>
      <w:r w:rsidR="00EE5DC4" w:rsidRPr="00D94CEE">
        <w:rPr>
          <w:i/>
          <w:iCs/>
        </w:rPr>
        <w:t>The Owl Service</w:t>
      </w:r>
      <w:r w:rsidR="00EE5DC4">
        <w:t xml:space="preserve">, p. </w:t>
      </w:r>
      <w:r>
        <w:t>181.</w:t>
      </w:r>
    </w:p>
  </w:footnote>
  <w:footnote w:id="8">
    <w:p w14:paraId="6CC3DA73" w14:textId="76DF6CD2" w:rsidR="00FB2A77" w:rsidRDefault="00FB2A77">
      <w:pPr>
        <w:pStyle w:val="FootnoteText"/>
      </w:pPr>
      <w:r>
        <w:rPr>
          <w:rStyle w:val="FootnoteReference"/>
        </w:rPr>
        <w:footnoteRef/>
      </w:r>
      <w:r>
        <w:t xml:space="preserve"> </w:t>
      </w:r>
      <w:r>
        <w:t xml:space="preserve">Garner, </w:t>
      </w:r>
      <w:r w:rsidRPr="00D94CEE">
        <w:rPr>
          <w:i/>
          <w:iCs/>
        </w:rPr>
        <w:t>The Owl Service</w:t>
      </w:r>
      <w:r>
        <w:t>, p.</w:t>
      </w:r>
      <w:r>
        <w:t xml:space="preserve"> 180.</w:t>
      </w:r>
    </w:p>
  </w:footnote>
  <w:footnote w:id="9">
    <w:p w14:paraId="62253DEA" w14:textId="77777777" w:rsidR="008F7889" w:rsidRDefault="008F7889" w:rsidP="008F7889">
      <w:pPr>
        <w:pStyle w:val="FootnoteText"/>
      </w:pPr>
      <w:r>
        <w:rPr>
          <w:rStyle w:val="FootnoteReference"/>
        </w:rPr>
        <w:footnoteRef/>
      </w:r>
      <w:r>
        <w:t xml:space="preserve"> Garner, </w:t>
      </w:r>
      <w:r w:rsidRPr="008468E1">
        <w:rPr>
          <w:i/>
          <w:iCs/>
        </w:rPr>
        <w:t>The Owl Service</w:t>
      </w:r>
      <w:r>
        <w:t>, p. 182.</w:t>
      </w:r>
    </w:p>
  </w:footnote>
  <w:footnote w:id="10">
    <w:p w14:paraId="127B6346" w14:textId="7A98D5CD" w:rsidR="00C437D5" w:rsidRDefault="00C437D5">
      <w:pPr>
        <w:pStyle w:val="FootnoteText"/>
      </w:pPr>
      <w:r>
        <w:rPr>
          <w:rStyle w:val="FootnoteReference"/>
        </w:rPr>
        <w:footnoteRef/>
      </w:r>
      <w:r>
        <w:t xml:space="preserve"> </w:t>
      </w:r>
      <w:r w:rsidRPr="00C437D5">
        <w:t>https://www.newscientist.com/article/2079630-what-do-chimp-temples-tell-us-about-the-evolution-of-religion/</w:t>
      </w:r>
    </w:p>
  </w:footnote>
  <w:footnote w:id="11">
    <w:p w14:paraId="5F0B83EB" w14:textId="77777777" w:rsidR="001F5C69" w:rsidRDefault="001F5C69" w:rsidP="001F5C69">
      <w:pPr>
        <w:pStyle w:val="FootnoteText"/>
      </w:pPr>
      <w:r>
        <w:rPr>
          <w:rStyle w:val="FootnoteReference"/>
        </w:rPr>
        <w:footnoteRef/>
      </w:r>
      <w:r>
        <w:t xml:space="preserve"> Armstrong, </w:t>
      </w:r>
      <w:r>
        <w:rPr>
          <w:i/>
          <w:iCs/>
        </w:rPr>
        <w:t>A Short History,</w:t>
      </w:r>
      <w:r>
        <w:t xml:space="preserve"> p. 3.</w:t>
      </w:r>
    </w:p>
  </w:footnote>
  <w:footnote w:id="12">
    <w:p w14:paraId="6B47CD76" w14:textId="6930D9FC" w:rsidR="00D156D7" w:rsidRDefault="00D156D7">
      <w:pPr>
        <w:pStyle w:val="FootnoteText"/>
      </w:pPr>
      <w:r>
        <w:rPr>
          <w:rStyle w:val="FootnoteReference"/>
        </w:rPr>
        <w:footnoteRef/>
      </w:r>
      <w:r>
        <w:t xml:space="preserve"> Garner, </w:t>
      </w:r>
      <w:r w:rsidRPr="008468E1">
        <w:rPr>
          <w:i/>
          <w:iCs/>
        </w:rPr>
        <w:t>The Owl Service</w:t>
      </w:r>
      <w:r>
        <w:t>, p. 9</w:t>
      </w:r>
      <w:r w:rsidR="003E09FF">
        <w:t>1</w:t>
      </w:r>
      <w:r>
        <w:t>.</w:t>
      </w:r>
    </w:p>
  </w:footnote>
  <w:footnote w:id="13">
    <w:p w14:paraId="145E2D8C" w14:textId="14F033FF" w:rsidR="001B528B" w:rsidRDefault="001B528B">
      <w:pPr>
        <w:pStyle w:val="FootnoteText"/>
      </w:pPr>
      <w:r>
        <w:rPr>
          <w:rStyle w:val="FootnoteReference"/>
        </w:rPr>
        <w:footnoteRef/>
      </w:r>
      <w:r>
        <w:t xml:space="preserve"> </w:t>
      </w:r>
      <w:r>
        <w:t xml:space="preserve">Garner, </w:t>
      </w:r>
      <w:r w:rsidRPr="008468E1">
        <w:rPr>
          <w:i/>
          <w:iCs/>
        </w:rPr>
        <w:t>The Owl Service</w:t>
      </w:r>
      <w:r>
        <w:t>, p</w:t>
      </w:r>
      <w:r>
        <w:t>p</w:t>
      </w:r>
      <w:r>
        <w:t>.</w:t>
      </w:r>
      <w:r>
        <w:t xml:space="preserve"> 213-214.</w:t>
      </w:r>
    </w:p>
  </w:footnote>
  <w:footnote w:id="14">
    <w:p w14:paraId="192A0366" w14:textId="707EDB25" w:rsidR="00B3474C" w:rsidRDefault="00B3474C">
      <w:pPr>
        <w:pStyle w:val="FootnoteText"/>
      </w:pPr>
      <w:r>
        <w:rPr>
          <w:rStyle w:val="FootnoteReference"/>
        </w:rPr>
        <w:footnoteRef/>
      </w:r>
      <w:r>
        <w:t xml:space="preserve"> </w:t>
      </w:r>
      <w:r>
        <w:t xml:space="preserve">Garner, </w:t>
      </w:r>
      <w:r w:rsidRPr="008468E1">
        <w:rPr>
          <w:i/>
          <w:iCs/>
        </w:rPr>
        <w:t>The Owl Service</w:t>
      </w:r>
      <w:r>
        <w:t>, p.</w:t>
      </w:r>
      <w:r>
        <w:t xml:space="preserve"> 183</w:t>
      </w:r>
      <w:r w:rsidR="00482489">
        <w:t>.</w:t>
      </w:r>
    </w:p>
  </w:footnote>
  <w:footnote w:id="15">
    <w:p w14:paraId="19A66AF8" w14:textId="2350DEC4" w:rsidR="00482489" w:rsidRDefault="00482489">
      <w:pPr>
        <w:pStyle w:val="FootnoteText"/>
      </w:pPr>
      <w:r>
        <w:rPr>
          <w:rStyle w:val="FootnoteReference"/>
        </w:rPr>
        <w:footnoteRef/>
      </w:r>
      <w:r>
        <w:t xml:space="preserve"> </w:t>
      </w:r>
      <w:r>
        <w:t xml:space="preserve">Garner, </w:t>
      </w:r>
      <w:r w:rsidRPr="008468E1">
        <w:rPr>
          <w:i/>
          <w:iCs/>
        </w:rPr>
        <w:t>The Owl Service</w:t>
      </w:r>
      <w:r>
        <w:t>,</w:t>
      </w:r>
      <w:r>
        <w:t xml:space="preserve"> p. 132.</w:t>
      </w:r>
    </w:p>
  </w:footnote>
  <w:footnote w:id="16">
    <w:p w14:paraId="582E35E6" w14:textId="471A3A65" w:rsidR="00B66447" w:rsidRDefault="00B66447">
      <w:pPr>
        <w:pStyle w:val="FootnoteText"/>
      </w:pPr>
      <w:r>
        <w:rPr>
          <w:rStyle w:val="FootnoteReference"/>
        </w:rPr>
        <w:footnoteRef/>
      </w:r>
      <w:r>
        <w:t xml:space="preserve"> </w:t>
      </w:r>
      <w:r>
        <w:t xml:space="preserve">Garner, </w:t>
      </w:r>
      <w:r w:rsidRPr="008468E1">
        <w:rPr>
          <w:i/>
          <w:iCs/>
        </w:rPr>
        <w:t>The Owl Service</w:t>
      </w:r>
      <w:r>
        <w:t>, p</w:t>
      </w:r>
      <w:r>
        <w:t>. 67.</w:t>
      </w:r>
    </w:p>
  </w:footnote>
  <w:footnote w:id="17">
    <w:p w14:paraId="05CD55CD" w14:textId="417E9FEC" w:rsidR="002B7122" w:rsidRDefault="002B7122">
      <w:pPr>
        <w:pStyle w:val="FootnoteText"/>
      </w:pPr>
      <w:r>
        <w:rPr>
          <w:rStyle w:val="FootnoteReference"/>
        </w:rPr>
        <w:footnoteRef/>
      </w:r>
      <w:r>
        <w:t xml:space="preserve"> C. </w:t>
      </w:r>
      <w:r w:rsidRPr="002B7122">
        <w:t>Derry</w:t>
      </w:r>
      <w:r w:rsidR="00257F70">
        <w:t>,</w:t>
      </w:r>
      <w:r w:rsidRPr="002B7122">
        <w:t xml:space="preserve"> Psychologizing Oppression (online article on author’s own website), Gender Violence Institute &lt;https://www.genderviolenceinstitute.org/news/2020/5/8/psychologizing-oppression&gt; (May 2020) [accessed: March 20th</w:t>
      </w:r>
      <w:proofErr w:type="gramStart"/>
      <w:r w:rsidRPr="002B7122">
        <w:t xml:space="preserve"> 2021</w:t>
      </w:r>
      <w:proofErr w:type="gramEnd"/>
      <w:r w:rsidRPr="002B7122">
        <w:t>].</w:t>
      </w:r>
    </w:p>
  </w:footnote>
  <w:footnote w:id="18">
    <w:p w14:paraId="794AD97B" w14:textId="5E59EF8A" w:rsidR="007624E9" w:rsidRDefault="007624E9">
      <w:pPr>
        <w:pStyle w:val="FootnoteText"/>
      </w:pPr>
      <w:r>
        <w:rPr>
          <w:rStyle w:val="FootnoteReference"/>
        </w:rPr>
        <w:footnoteRef/>
      </w:r>
      <w:r>
        <w:t xml:space="preserve"> </w:t>
      </w:r>
      <w:r>
        <w:t xml:space="preserve">Garner, </w:t>
      </w:r>
      <w:r w:rsidRPr="008468E1">
        <w:rPr>
          <w:i/>
          <w:iCs/>
        </w:rPr>
        <w:t>The Owl Service</w:t>
      </w:r>
      <w:r>
        <w:t>,</w:t>
      </w:r>
      <w:r>
        <w:t xml:space="preserve"> p. 63.</w:t>
      </w:r>
    </w:p>
  </w:footnote>
  <w:footnote w:id="19">
    <w:p w14:paraId="373EF977" w14:textId="42653DBA" w:rsidR="001551B0" w:rsidRDefault="001551B0">
      <w:pPr>
        <w:pStyle w:val="FootnoteText"/>
      </w:pPr>
      <w:r>
        <w:rPr>
          <w:rStyle w:val="FootnoteReference"/>
        </w:rPr>
        <w:footnoteRef/>
      </w:r>
      <w:r>
        <w:t xml:space="preserve"> </w:t>
      </w:r>
      <w:r>
        <w:t xml:space="preserve">Garner, </w:t>
      </w:r>
      <w:r w:rsidRPr="008468E1">
        <w:rPr>
          <w:i/>
          <w:iCs/>
        </w:rPr>
        <w:t>The Owl Service</w:t>
      </w:r>
      <w:r>
        <w:t>,</w:t>
      </w:r>
      <w:r>
        <w:t xml:space="preserve"> p. 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DB1"/>
    <w:rsid w:val="00017606"/>
    <w:rsid w:val="00022646"/>
    <w:rsid w:val="00026079"/>
    <w:rsid w:val="00030684"/>
    <w:rsid w:val="00032782"/>
    <w:rsid w:val="00044872"/>
    <w:rsid w:val="00057394"/>
    <w:rsid w:val="00062746"/>
    <w:rsid w:val="000636E5"/>
    <w:rsid w:val="00066693"/>
    <w:rsid w:val="000813C7"/>
    <w:rsid w:val="0008764B"/>
    <w:rsid w:val="000932C9"/>
    <w:rsid w:val="00093D92"/>
    <w:rsid w:val="00095E77"/>
    <w:rsid w:val="000A547C"/>
    <w:rsid w:val="000B17C5"/>
    <w:rsid w:val="000C39CF"/>
    <w:rsid w:val="000F2B48"/>
    <w:rsid w:val="000F74A5"/>
    <w:rsid w:val="00106E51"/>
    <w:rsid w:val="00111080"/>
    <w:rsid w:val="00121016"/>
    <w:rsid w:val="001528BA"/>
    <w:rsid w:val="001551B0"/>
    <w:rsid w:val="00157827"/>
    <w:rsid w:val="00165132"/>
    <w:rsid w:val="00165B03"/>
    <w:rsid w:val="00167269"/>
    <w:rsid w:val="001835BD"/>
    <w:rsid w:val="0018740D"/>
    <w:rsid w:val="001A2F4B"/>
    <w:rsid w:val="001A4862"/>
    <w:rsid w:val="001B250F"/>
    <w:rsid w:val="001B2C43"/>
    <w:rsid w:val="001B2F3A"/>
    <w:rsid w:val="001B528B"/>
    <w:rsid w:val="001C6350"/>
    <w:rsid w:val="001C6C46"/>
    <w:rsid w:val="001E6785"/>
    <w:rsid w:val="001F3DCF"/>
    <w:rsid w:val="001F5C69"/>
    <w:rsid w:val="001F6382"/>
    <w:rsid w:val="002070F3"/>
    <w:rsid w:val="002079E4"/>
    <w:rsid w:val="0023633B"/>
    <w:rsid w:val="002376C1"/>
    <w:rsid w:val="00237C1B"/>
    <w:rsid w:val="002430B1"/>
    <w:rsid w:val="00251A91"/>
    <w:rsid w:val="00254B4E"/>
    <w:rsid w:val="00257F70"/>
    <w:rsid w:val="00283777"/>
    <w:rsid w:val="00287352"/>
    <w:rsid w:val="00292AD0"/>
    <w:rsid w:val="002A4176"/>
    <w:rsid w:val="002A45F4"/>
    <w:rsid w:val="002B7122"/>
    <w:rsid w:val="002F0390"/>
    <w:rsid w:val="002F7713"/>
    <w:rsid w:val="003122C2"/>
    <w:rsid w:val="003206B9"/>
    <w:rsid w:val="00336857"/>
    <w:rsid w:val="00337133"/>
    <w:rsid w:val="00350530"/>
    <w:rsid w:val="00360B81"/>
    <w:rsid w:val="00377241"/>
    <w:rsid w:val="003A544C"/>
    <w:rsid w:val="003B4518"/>
    <w:rsid w:val="003B7210"/>
    <w:rsid w:val="003C3A99"/>
    <w:rsid w:val="003D552C"/>
    <w:rsid w:val="003D58A7"/>
    <w:rsid w:val="003E09FF"/>
    <w:rsid w:val="003F65AE"/>
    <w:rsid w:val="00406198"/>
    <w:rsid w:val="00425F3F"/>
    <w:rsid w:val="0044072A"/>
    <w:rsid w:val="00440877"/>
    <w:rsid w:val="004506BB"/>
    <w:rsid w:val="0046115C"/>
    <w:rsid w:val="004617A8"/>
    <w:rsid w:val="00466AAA"/>
    <w:rsid w:val="00467346"/>
    <w:rsid w:val="00482489"/>
    <w:rsid w:val="00496CAB"/>
    <w:rsid w:val="004A394B"/>
    <w:rsid w:val="004A7EEE"/>
    <w:rsid w:val="004B117B"/>
    <w:rsid w:val="004C5CBB"/>
    <w:rsid w:val="004F0DF4"/>
    <w:rsid w:val="004F6B09"/>
    <w:rsid w:val="00502F35"/>
    <w:rsid w:val="0050577A"/>
    <w:rsid w:val="00517E21"/>
    <w:rsid w:val="00523511"/>
    <w:rsid w:val="005377B1"/>
    <w:rsid w:val="00547B61"/>
    <w:rsid w:val="00566577"/>
    <w:rsid w:val="00571EDB"/>
    <w:rsid w:val="00574113"/>
    <w:rsid w:val="00590D32"/>
    <w:rsid w:val="005A1027"/>
    <w:rsid w:val="005A34FD"/>
    <w:rsid w:val="005A6E72"/>
    <w:rsid w:val="005B0392"/>
    <w:rsid w:val="005B06C3"/>
    <w:rsid w:val="005B76FA"/>
    <w:rsid w:val="005C0560"/>
    <w:rsid w:val="005C1880"/>
    <w:rsid w:val="005D350E"/>
    <w:rsid w:val="005D6B44"/>
    <w:rsid w:val="005E1D73"/>
    <w:rsid w:val="005F0164"/>
    <w:rsid w:val="00601155"/>
    <w:rsid w:val="00623AC5"/>
    <w:rsid w:val="0064574A"/>
    <w:rsid w:val="00651C30"/>
    <w:rsid w:val="00652C93"/>
    <w:rsid w:val="00682E96"/>
    <w:rsid w:val="00690071"/>
    <w:rsid w:val="00696F9C"/>
    <w:rsid w:val="006C0606"/>
    <w:rsid w:val="006C1EEA"/>
    <w:rsid w:val="006E0B08"/>
    <w:rsid w:val="006F1F8F"/>
    <w:rsid w:val="00701E36"/>
    <w:rsid w:val="007039DA"/>
    <w:rsid w:val="007264B5"/>
    <w:rsid w:val="007301CB"/>
    <w:rsid w:val="0076100B"/>
    <w:rsid w:val="007624E9"/>
    <w:rsid w:val="007715D4"/>
    <w:rsid w:val="00781FB1"/>
    <w:rsid w:val="00785B60"/>
    <w:rsid w:val="00793845"/>
    <w:rsid w:val="007A0F4D"/>
    <w:rsid w:val="007A29EB"/>
    <w:rsid w:val="007C0203"/>
    <w:rsid w:val="007E126D"/>
    <w:rsid w:val="007E3AC7"/>
    <w:rsid w:val="007F0D7B"/>
    <w:rsid w:val="007F3647"/>
    <w:rsid w:val="00801C69"/>
    <w:rsid w:val="008029FB"/>
    <w:rsid w:val="00803DE5"/>
    <w:rsid w:val="008112AA"/>
    <w:rsid w:val="00820B62"/>
    <w:rsid w:val="00827658"/>
    <w:rsid w:val="008426B9"/>
    <w:rsid w:val="00842BDD"/>
    <w:rsid w:val="008468E1"/>
    <w:rsid w:val="00854722"/>
    <w:rsid w:val="00870FF8"/>
    <w:rsid w:val="00873998"/>
    <w:rsid w:val="00892B7F"/>
    <w:rsid w:val="00897622"/>
    <w:rsid w:val="008B1E62"/>
    <w:rsid w:val="008C2084"/>
    <w:rsid w:val="008C20EE"/>
    <w:rsid w:val="008C2FF4"/>
    <w:rsid w:val="008C3599"/>
    <w:rsid w:val="008C766A"/>
    <w:rsid w:val="008E14CB"/>
    <w:rsid w:val="008E21F6"/>
    <w:rsid w:val="008E7279"/>
    <w:rsid w:val="008F09D3"/>
    <w:rsid w:val="008F39FF"/>
    <w:rsid w:val="008F7889"/>
    <w:rsid w:val="00900992"/>
    <w:rsid w:val="00901162"/>
    <w:rsid w:val="0090790D"/>
    <w:rsid w:val="00912742"/>
    <w:rsid w:val="0091729A"/>
    <w:rsid w:val="00925435"/>
    <w:rsid w:val="00934A57"/>
    <w:rsid w:val="00936C97"/>
    <w:rsid w:val="00945220"/>
    <w:rsid w:val="009460D3"/>
    <w:rsid w:val="009527C8"/>
    <w:rsid w:val="00952C78"/>
    <w:rsid w:val="0095345E"/>
    <w:rsid w:val="009644CB"/>
    <w:rsid w:val="00965538"/>
    <w:rsid w:val="00982836"/>
    <w:rsid w:val="00984206"/>
    <w:rsid w:val="00992434"/>
    <w:rsid w:val="009A0A52"/>
    <w:rsid w:val="009C05AC"/>
    <w:rsid w:val="009C6B76"/>
    <w:rsid w:val="009D6367"/>
    <w:rsid w:val="009E2868"/>
    <w:rsid w:val="009F4874"/>
    <w:rsid w:val="00A10969"/>
    <w:rsid w:val="00A1520E"/>
    <w:rsid w:val="00A20D90"/>
    <w:rsid w:val="00A21B16"/>
    <w:rsid w:val="00A260F8"/>
    <w:rsid w:val="00A275C2"/>
    <w:rsid w:val="00A3743B"/>
    <w:rsid w:val="00A45654"/>
    <w:rsid w:val="00A508A1"/>
    <w:rsid w:val="00A55BCC"/>
    <w:rsid w:val="00A72952"/>
    <w:rsid w:val="00A838C7"/>
    <w:rsid w:val="00A9679A"/>
    <w:rsid w:val="00AA298A"/>
    <w:rsid w:val="00AB0A38"/>
    <w:rsid w:val="00AC165A"/>
    <w:rsid w:val="00AC5A16"/>
    <w:rsid w:val="00AD2731"/>
    <w:rsid w:val="00AE1D6B"/>
    <w:rsid w:val="00AF4E17"/>
    <w:rsid w:val="00B04CFB"/>
    <w:rsid w:val="00B32993"/>
    <w:rsid w:val="00B3474C"/>
    <w:rsid w:val="00B45AE4"/>
    <w:rsid w:val="00B633A3"/>
    <w:rsid w:val="00B64B0E"/>
    <w:rsid w:val="00B65A55"/>
    <w:rsid w:val="00B662FD"/>
    <w:rsid w:val="00B66447"/>
    <w:rsid w:val="00B670A7"/>
    <w:rsid w:val="00B671FB"/>
    <w:rsid w:val="00B73C73"/>
    <w:rsid w:val="00BA313B"/>
    <w:rsid w:val="00BA789B"/>
    <w:rsid w:val="00BB07FE"/>
    <w:rsid w:val="00BB362E"/>
    <w:rsid w:val="00BB7C62"/>
    <w:rsid w:val="00BC3B50"/>
    <w:rsid w:val="00BC5841"/>
    <w:rsid w:val="00BD7C4A"/>
    <w:rsid w:val="00BE37CA"/>
    <w:rsid w:val="00BF3A4D"/>
    <w:rsid w:val="00BF73F7"/>
    <w:rsid w:val="00C20C86"/>
    <w:rsid w:val="00C20CF9"/>
    <w:rsid w:val="00C25355"/>
    <w:rsid w:val="00C333F1"/>
    <w:rsid w:val="00C41D20"/>
    <w:rsid w:val="00C437D5"/>
    <w:rsid w:val="00C444B2"/>
    <w:rsid w:val="00C53939"/>
    <w:rsid w:val="00C62D1B"/>
    <w:rsid w:val="00C7122E"/>
    <w:rsid w:val="00C74FF8"/>
    <w:rsid w:val="00C94358"/>
    <w:rsid w:val="00CA5F81"/>
    <w:rsid w:val="00CA62A6"/>
    <w:rsid w:val="00CD392E"/>
    <w:rsid w:val="00CF19BC"/>
    <w:rsid w:val="00CF4480"/>
    <w:rsid w:val="00D00158"/>
    <w:rsid w:val="00D156D7"/>
    <w:rsid w:val="00D3222D"/>
    <w:rsid w:val="00D34FD9"/>
    <w:rsid w:val="00D40C0B"/>
    <w:rsid w:val="00D41810"/>
    <w:rsid w:val="00D429C3"/>
    <w:rsid w:val="00D71F7B"/>
    <w:rsid w:val="00D85671"/>
    <w:rsid w:val="00D93DEC"/>
    <w:rsid w:val="00D93EBC"/>
    <w:rsid w:val="00D94CEE"/>
    <w:rsid w:val="00D97188"/>
    <w:rsid w:val="00DD41B3"/>
    <w:rsid w:val="00DD759C"/>
    <w:rsid w:val="00DF12B9"/>
    <w:rsid w:val="00DF1EF6"/>
    <w:rsid w:val="00E019C8"/>
    <w:rsid w:val="00E05C2E"/>
    <w:rsid w:val="00E207D8"/>
    <w:rsid w:val="00E22ABF"/>
    <w:rsid w:val="00E243B8"/>
    <w:rsid w:val="00E47A04"/>
    <w:rsid w:val="00E7609F"/>
    <w:rsid w:val="00E819A0"/>
    <w:rsid w:val="00E85121"/>
    <w:rsid w:val="00E91C53"/>
    <w:rsid w:val="00E93116"/>
    <w:rsid w:val="00E94277"/>
    <w:rsid w:val="00EA018C"/>
    <w:rsid w:val="00EB04FB"/>
    <w:rsid w:val="00EB0F96"/>
    <w:rsid w:val="00EB1B2A"/>
    <w:rsid w:val="00EC2171"/>
    <w:rsid w:val="00EC5651"/>
    <w:rsid w:val="00ED2662"/>
    <w:rsid w:val="00EE2F69"/>
    <w:rsid w:val="00EE3016"/>
    <w:rsid w:val="00EE3C6A"/>
    <w:rsid w:val="00EE5DC4"/>
    <w:rsid w:val="00EF5AD6"/>
    <w:rsid w:val="00F2021A"/>
    <w:rsid w:val="00F306BE"/>
    <w:rsid w:val="00F5127D"/>
    <w:rsid w:val="00F60148"/>
    <w:rsid w:val="00F612EA"/>
    <w:rsid w:val="00F67A86"/>
    <w:rsid w:val="00F708FB"/>
    <w:rsid w:val="00F7192B"/>
    <w:rsid w:val="00F81DB5"/>
    <w:rsid w:val="00F94336"/>
    <w:rsid w:val="00FB2A77"/>
    <w:rsid w:val="00FB6AFD"/>
    <w:rsid w:val="00FD12D8"/>
    <w:rsid w:val="00FD679F"/>
    <w:rsid w:val="00FE6DB1"/>
    <w:rsid w:val="00FF6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FF1AA"/>
  <w15:chartTrackingRefBased/>
  <w15:docId w15:val="{22858827-652A-40F5-BAFF-3F48004CB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C02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C0203"/>
    <w:rPr>
      <w:sz w:val="20"/>
      <w:szCs w:val="20"/>
    </w:rPr>
  </w:style>
  <w:style w:type="character" w:styleId="FootnoteReference">
    <w:name w:val="footnote reference"/>
    <w:basedOn w:val="DefaultParagraphFont"/>
    <w:uiPriority w:val="99"/>
    <w:semiHidden/>
    <w:unhideWhenUsed/>
    <w:rsid w:val="007C0203"/>
    <w:rPr>
      <w:vertAlign w:val="superscript"/>
    </w:rPr>
  </w:style>
  <w:style w:type="character" w:styleId="HTMLCite">
    <w:name w:val="HTML Cite"/>
    <w:basedOn w:val="DefaultParagraphFont"/>
    <w:uiPriority w:val="99"/>
    <w:semiHidden/>
    <w:unhideWhenUsed/>
    <w:rsid w:val="00AE1D6B"/>
    <w:rPr>
      <w:i/>
      <w:iCs/>
    </w:rPr>
  </w:style>
  <w:style w:type="character" w:styleId="Hyperlink">
    <w:name w:val="Hyperlink"/>
    <w:basedOn w:val="DefaultParagraphFont"/>
    <w:uiPriority w:val="99"/>
    <w:unhideWhenUsed/>
    <w:rsid w:val="0091729A"/>
    <w:rPr>
      <w:color w:val="0563C1" w:themeColor="hyperlink"/>
      <w:u w:val="single"/>
    </w:rPr>
  </w:style>
  <w:style w:type="character" w:styleId="UnresolvedMention">
    <w:name w:val="Unresolved Mention"/>
    <w:basedOn w:val="DefaultParagraphFont"/>
    <w:uiPriority w:val="99"/>
    <w:semiHidden/>
    <w:unhideWhenUsed/>
    <w:rsid w:val="0091729A"/>
    <w:rPr>
      <w:color w:val="605E5C"/>
      <w:shd w:val="clear" w:color="auto" w:fill="E1DFDD"/>
    </w:rPr>
  </w:style>
  <w:style w:type="character" w:styleId="FollowedHyperlink">
    <w:name w:val="FollowedHyperlink"/>
    <w:basedOn w:val="DefaultParagraphFont"/>
    <w:uiPriority w:val="99"/>
    <w:semiHidden/>
    <w:unhideWhenUsed/>
    <w:rsid w:val="000666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cientist.com/article/2079630-what-do-chimp-temples-tell-us-about-the-evolution-of-religion/" TargetMode="External"/><Relationship Id="rId3" Type="http://schemas.openxmlformats.org/officeDocument/2006/relationships/settings" Target="settings.xml"/><Relationship Id="rId7" Type="http://schemas.openxmlformats.org/officeDocument/2006/relationships/hyperlink" Target="https://www.genderviolenceinstitute.org/news/2020/5/8/psychologizing-oppress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0752C-0CBA-4974-8001-F08FB4D2F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5</Pages>
  <Words>2386</Words>
  <Characters>11671</Characters>
  <Application>Microsoft Office Word</Application>
  <DocSecurity>0</DocSecurity>
  <Lines>162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MattYoude</dc:creator>
  <cp:keywords/>
  <dc:description/>
  <cp:lastModifiedBy>MattYoude</cp:lastModifiedBy>
  <cp:revision>295</cp:revision>
  <dcterms:created xsi:type="dcterms:W3CDTF">2021-03-24T21:47:00Z</dcterms:created>
  <dcterms:modified xsi:type="dcterms:W3CDTF">2021-03-26T23:50:00Z</dcterms:modified>
</cp:coreProperties>
</file>