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52E63D" w14:textId="48FCB8EC" w:rsidR="00DE15FA" w:rsidRPr="001B59A0" w:rsidRDefault="001B59A0" w:rsidP="00DE15FA">
      <w:pPr>
        <w:pStyle w:val="Heading3"/>
        <w:rPr>
          <w:rFonts w:ascii="Perpetua Titling MT" w:hAnsi="Perpetua Titling MT"/>
          <w:szCs w:val="36"/>
        </w:rPr>
      </w:pPr>
      <w:r>
        <w:rPr>
          <w:rFonts w:ascii="Felix Titling" w:hAnsi="Felix Titling"/>
          <w:szCs w:val="44"/>
        </w:rPr>
        <w:t xml:space="preserve">HPEN6008/5008: </w:t>
      </w:r>
      <w:r w:rsidR="00DE15FA" w:rsidRPr="001B59A0">
        <w:rPr>
          <w:rFonts w:ascii="Felix Titling" w:hAnsi="Felix Titling"/>
          <w:szCs w:val="36"/>
        </w:rPr>
        <w:t>MODERNISM &amp; MODERNISMS</w:t>
      </w:r>
      <w:r w:rsidR="00DE15FA" w:rsidRPr="001B59A0">
        <w:rPr>
          <w:rFonts w:ascii="Perpetua Titling MT" w:hAnsi="Perpetua Titling MT"/>
          <w:szCs w:val="36"/>
        </w:rPr>
        <w:t xml:space="preserve"> </w:t>
      </w:r>
    </w:p>
    <w:p w14:paraId="7657797D" w14:textId="77777777" w:rsidR="00B4465F" w:rsidRDefault="00B4465F">
      <w:pPr>
        <w:rPr>
          <w:rFonts w:ascii="Garamond" w:hAnsi="Garamond"/>
          <w:b/>
          <w:sz w:val="28"/>
          <w:szCs w:val="28"/>
        </w:rPr>
      </w:pPr>
      <w:r>
        <w:rPr>
          <w:rFonts w:ascii="Garamond" w:hAnsi="Garamond"/>
          <w:b/>
          <w:i/>
          <w:sz w:val="28"/>
          <w:szCs w:val="28"/>
        </w:rPr>
        <w:t xml:space="preserve">Heart of </w:t>
      </w:r>
      <w:proofErr w:type="gramStart"/>
      <w:r>
        <w:rPr>
          <w:rFonts w:ascii="Garamond" w:hAnsi="Garamond"/>
          <w:b/>
          <w:i/>
          <w:sz w:val="28"/>
          <w:szCs w:val="28"/>
        </w:rPr>
        <w:t>Darkness</w:t>
      </w:r>
      <w:r>
        <w:rPr>
          <w:rFonts w:ascii="Garamond" w:hAnsi="Garamond"/>
          <w:b/>
          <w:sz w:val="28"/>
          <w:szCs w:val="28"/>
        </w:rPr>
        <w:t xml:space="preserve"> :</w:t>
      </w:r>
      <w:proofErr w:type="gramEnd"/>
      <w:r>
        <w:rPr>
          <w:rFonts w:ascii="Garamond" w:hAnsi="Garamond"/>
          <w:b/>
          <w:sz w:val="28"/>
          <w:szCs w:val="28"/>
        </w:rPr>
        <w:t xml:space="preserve"> questions of perception</w:t>
      </w:r>
    </w:p>
    <w:p w14:paraId="14DCAD9E" w14:textId="77777777" w:rsidR="00B4465F" w:rsidRDefault="00B4465F">
      <w:pPr>
        <w:rPr>
          <w:rFonts w:ascii="Garamond" w:hAnsi="Garamond"/>
        </w:rPr>
      </w:pPr>
    </w:p>
    <w:p w14:paraId="70FD4DF4" w14:textId="77777777" w:rsidR="00B4465F" w:rsidRDefault="00B4465F">
      <w:pPr>
        <w:rPr>
          <w:rFonts w:ascii="Garamond" w:hAnsi="Garamond"/>
          <w:b/>
        </w:rPr>
      </w:pPr>
      <w:r>
        <w:rPr>
          <w:rFonts w:ascii="Garamond" w:hAnsi="Garamond"/>
          <w:b/>
        </w:rPr>
        <w:t>Lecture Outline</w:t>
      </w:r>
      <w:bookmarkStart w:id="0" w:name="_GoBack"/>
      <w:bookmarkEnd w:id="0"/>
    </w:p>
    <w:p w14:paraId="40A47563" w14:textId="77777777" w:rsidR="00B4465F" w:rsidRDefault="00B4465F">
      <w:pPr>
        <w:rPr>
          <w:rFonts w:ascii="Garamond" w:hAnsi="Garamond"/>
        </w:rPr>
      </w:pPr>
    </w:p>
    <w:p w14:paraId="0038389A" w14:textId="77777777" w:rsidR="00B4465F" w:rsidRDefault="00B4465F">
      <w:pPr>
        <w:numPr>
          <w:ilvl w:val="0"/>
          <w:numId w:val="1"/>
        </w:numPr>
        <w:rPr>
          <w:rFonts w:ascii="Garamond" w:hAnsi="Garamond"/>
        </w:rPr>
      </w:pPr>
      <w:r>
        <w:rPr>
          <w:rFonts w:ascii="Garamond" w:hAnsi="Garamond"/>
        </w:rPr>
        <w:t>The Threshold of Modernity: Victorianism to Modernism</w:t>
      </w:r>
    </w:p>
    <w:p w14:paraId="07E01310" w14:textId="77777777" w:rsidR="00B4465F" w:rsidRDefault="00B4465F">
      <w:pPr>
        <w:numPr>
          <w:ilvl w:val="0"/>
          <w:numId w:val="1"/>
        </w:numPr>
        <w:rPr>
          <w:rFonts w:ascii="Garamond" w:hAnsi="Garamond"/>
        </w:rPr>
      </w:pPr>
      <w:r>
        <w:rPr>
          <w:rFonts w:ascii="Garamond" w:hAnsi="Garamond"/>
        </w:rPr>
        <w:t>Formal and Generic Ambiguities: Novel, Novella, Tale</w:t>
      </w:r>
    </w:p>
    <w:p w14:paraId="3A47F93F" w14:textId="77777777" w:rsidR="00B4465F" w:rsidRDefault="00B4465F">
      <w:pPr>
        <w:numPr>
          <w:ilvl w:val="0"/>
          <w:numId w:val="1"/>
        </w:numPr>
        <w:rPr>
          <w:rFonts w:ascii="Garamond" w:hAnsi="Garamond"/>
        </w:rPr>
      </w:pPr>
      <w:r>
        <w:rPr>
          <w:rFonts w:ascii="Garamond" w:hAnsi="Garamond"/>
        </w:rPr>
        <w:t>Tales within Tales: Multiple Narrators and Embedded Narrative Frames</w:t>
      </w:r>
    </w:p>
    <w:p w14:paraId="7631C316" w14:textId="77777777" w:rsidR="00B4465F" w:rsidRDefault="00B4465F">
      <w:pPr>
        <w:numPr>
          <w:ilvl w:val="0"/>
          <w:numId w:val="1"/>
        </w:numPr>
        <w:rPr>
          <w:rFonts w:ascii="Garamond" w:hAnsi="Garamond"/>
        </w:rPr>
      </w:pPr>
      <w:r>
        <w:rPr>
          <w:rFonts w:ascii="Garamond" w:hAnsi="Garamond"/>
        </w:rPr>
        <w:t>Self-reflexivity and the Metaphor of Voice</w:t>
      </w:r>
    </w:p>
    <w:p w14:paraId="6E161268" w14:textId="77777777" w:rsidR="00B4465F" w:rsidRDefault="00B4465F">
      <w:pPr>
        <w:numPr>
          <w:ilvl w:val="0"/>
          <w:numId w:val="1"/>
        </w:numPr>
        <w:rPr>
          <w:rFonts w:ascii="Garamond" w:hAnsi="Garamond"/>
        </w:rPr>
      </w:pPr>
      <w:r>
        <w:rPr>
          <w:rFonts w:ascii="Garamond" w:hAnsi="Garamond"/>
        </w:rPr>
        <w:t xml:space="preserve">‘The horror! The horror!’: </w:t>
      </w:r>
      <w:r>
        <w:rPr>
          <w:rFonts w:ascii="Garamond" w:hAnsi="Garamond"/>
          <w:i/>
        </w:rPr>
        <w:t>Heart of Darkness</w:t>
      </w:r>
      <w:r>
        <w:rPr>
          <w:rFonts w:ascii="Garamond" w:hAnsi="Garamond"/>
        </w:rPr>
        <w:t xml:space="preserve"> and the Indeterminacy of Meaning</w:t>
      </w:r>
    </w:p>
    <w:p w14:paraId="5FCD23E1" w14:textId="77777777" w:rsidR="00B4465F" w:rsidRDefault="00B4465F">
      <w:pPr>
        <w:numPr>
          <w:ilvl w:val="0"/>
          <w:numId w:val="1"/>
        </w:numPr>
        <w:rPr>
          <w:rFonts w:ascii="Garamond" w:hAnsi="Garamond"/>
        </w:rPr>
      </w:pPr>
      <w:r>
        <w:rPr>
          <w:rFonts w:ascii="Garamond" w:hAnsi="Garamond"/>
        </w:rPr>
        <w:t>Speech, Silence, and the ‘Unsayable’</w:t>
      </w:r>
    </w:p>
    <w:p w14:paraId="5BE65191" w14:textId="77777777" w:rsidR="00B4465F" w:rsidRDefault="00B4465F">
      <w:pPr>
        <w:numPr>
          <w:ilvl w:val="0"/>
          <w:numId w:val="1"/>
        </w:numPr>
        <w:rPr>
          <w:rFonts w:ascii="Garamond" w:hAnsi="Garamond"/>
        </w:rPr>
      </w:pPr>
      <w:r>
        <w:rPr>
          <w:rFonts w:ascii="Garamond" w:hAnsi="Garamond"/>
        </w:rPr>
        <w:t>Marlow, Kurtz, and Transgression</w:t>
      </w:r>
    </w:p>
    <w:p w14:paraId="2DD417EB" w14:textId="77777777" w:rsidR="00B4465F" w:rsidRDefault="00B4465F">
      <w:pPr>
        <w:rPr>
          <w:rFonts w:ascii="Garamond" w:hAnsi="Garamond"/>
        </w:rPr>
      </w:pPr>
    </w:p>
    <w:p w14:paraId="3CA66FF5" w14:textId="77777777" w:rsidR="00B4465F" w:rsidRDefault="00B4465F">
      <w:pPr>
        <w:rPr>
          <w:rFonts w:ascii="Garamond" w:hAnsi="Garamond"/>
          <w:b/>
        </w:rPr>
      </w:pPr>
      <w:r>
        <w:rPr>
          <w:rFonts w:ascii="Garamond" w:hAnsi="Garamond"/>
          <w:b/>
        </w:rPr>
        <w:t>Key Quotations</w:t>
      </w:r>
    </w:p>
    <w:p w14:paraId="5821DED2" w14:textId="77777777" w:rsidR="00B4465F" w:rsidRDefault="00B4465F">
      <w:pPr>
        <w:rPr>
          <w:rFonts w:ascii="Garamond" w:hAnsi="Garamond"/>
        </w:rPr>
      </w:pPr>
    </w:p>
    <w:p w14:paraId="266E0FCF" w14:textId="77777777" w:rsidR="00B4465F" w:rsidRDefault="00B4465F">
      <w:pPr>
        <w:rPr>
          <w:rFonts w:ascii="Garamond" w:hAnsi="Garamond"/>
        </w:rPr>
      </w:pPr>
      <w:r>
        <w:rPr>
          <w:rFonts w:ascii="Garamond" w:hAnsi="Garamond"/>
        </w:rPr>
        <w:t xml:space="preserve">1. ‘Between Conrad’s arrival in England in 1878, and the writing of </w:t>
      </w:r>
      <w:r>
        <w:rPr>
          <w:rFonts w:ascii="Garamond" w:hAnsi="Garamond"/>
          <w:i/>
        </w:rPr>
        <w:t>Heart of Darkness</w:t>
      </w:r>
      <w:r>
        <w:rPr>
          <w:rFonts w:ascii="Garamond" w:hAnsi="Garamond"/>
        </w:rPr>
        <w:t xml:space="preserve"> twenty years later, it had become increasingly evident that the Victorian world order was collapsing. […] </w:t>
      </w:r>
      <w:r>
        <w:rPr>
          <w:rFonts w:ascii="Garamond" w:hAnsi="Garamond"/>
          <w:i/>
        </w:rPr>
        <w:t>Heart of Darkness</w:t>
      </w:r>
      <w:r>
        <w:rPr>
          <w:rFonts w:ascii="Garamond" w:hAnsi="Garamond"/>
        </w:rPr>
        <w:t xml:space="preserve"> is but one of many late nineteenth-</w:t>
      </w:r>
      <w:proofErr w:type="gramStart"/>
      <w:r>
        <w:rPr>
          <w:rFonts w:ascii="Garamond" w:hAnsi="Garamond"/>
        </w:rPr>
        <w:t>century</w:t>
      </w:r>
      <w:proofErr w:type="gramEnd"/>
      <w:r>
        <w:rPr>
          <w:rFonts w:ascii="Garamond" w:hAnsi="Garamond"/>
        </w:rPr>
        <w:t xml:space="preserve"> works which, in different ways, implied the coming destruction of existing civilisation.’ </w:t>
      </w:r>
    </w:p>
    <w:p w14:paraId="676132CB" w14:textId="77777777" w:rsidR="00B4465F" w:rsidRDefault="00B4465F">
      <w:pPr>
        <w:ind w:left="720"/>
        <w:rPr>
          <w:rFonts w:ascii="Garamond" w:hAnsi="Garamond"/>
        </w:rPr>
      </w:pPr>
      <w:r>
        <w:rPr>
          <w:rFonts w:ascii="Garamond" w:hAnsi="Garamond"/>
        </w:rPr>
        <w:t xml:space="preserve">Ian Watt, ‘Ideological Perspectives: Kurtz and the Fate of Victorian Progress,’ Elaine Jordan, ed., </w:t>
      </w:r>
      <w:r>
        <w:rPr>
          <w:rFonts w:ascii="Garamond" w:hAnsi="Garamond"/>
          <w:i/>
        </w:rPr>
        <w:t>Joseph Conrad</w:t>
      </w:r>
      <w:r>
        <w:rPr>
          <w:rFonts w:ascii="Garamond" w:hAnsi="Garamond"/>
        </w:rPr>
        <w:t xml:space="preserve"> (</w:t>
      </w:r>
      <w:proofErr w:type="spellStart"/>
      <w:r>
        <w:rPr>
          <w:rFonts w:ascii="Garamond" w:hAnsi="Garamond"/>
        </w:rPr>
        <w:t>Houndsmills</w:t>
      </w:r>
      <w:proofErr w:type="spellEnd"/>
      <w:r>
        <w:rPr>
          <w:rFonts w:ascii="Garamond" w:hAnsi="Garamond"/>
        </w:rPr>
        <w:t>: Macmillan, 1996), p. 38.</w:t>
      </w:r>
    </w:p>
    <w:p w14:paraId="16E6713D" w14:textId="77777777" w:rsidR="00B4465F" w:rsidRDefault="00B4465F">
      <w:pPr>
        <w:rPr>
          <w:rFonts w:ascii="Garamond" w:hAnsi="Garamond"/>
        </w:rPr>
      </w:pPr>
    </w:p>
    <w:p w14:paraId="2192DC52" w14:textId="77777777" w:rsidR="00DA5D0C" w:rsidRPr="00DA5D0C" w:rsidRDefault="00DA5D0C" w:rsidP="00DA5D0C">
      <w:pPr>
        <w:rPr>
          <w:rFonts w:ascii="Garamond" w:hAnsi="Garamond"/>
        </w:rPr>
      </w:pPr>
      <w:r w:rsidRPr="00DA5D0C">
        <w:rPr>
          <w:rFonts w:ascii="Garamond" w:hAnsi="Garamond"/>
        </w:rPr>
        <w:t xml:space="preserve">Hence, empathy with the victor invariably benefits the rulers. Historical materialists know what that means. Whoever has emerged victorious participates to this day in the triumphal procession in which the present </w:t>
      </w:r>
      <w:proofErr w:type="gramStart"/>
      <w:r w:rsidRPr="00DA5D0C">
        <w:rPr>
          <w:rFonts w:ascii="Garamond" w:hAnsi="Garamond"/>
        </w:rPr>
        <w:t>rulers</w:t>
      </w:r>
      <w:proofErr w:type="gramEnd"/>
      <w:r w:rsidRPr="00DA5D0C">
        <w:rPr>
          <w:rFonts w:ascii="Garamond" w:hAnsi="Garamond"/>
        </w:rPr>
        <w:t xml:space="preserve"> step over those who are lying prostrate. According to traditional practice, the spoils are carried along in the procession. They are called cultural treasures, and a historical materialist views them with cautious detachment. For without exception the cultural treasures he surveys have an origin which he cannot contemplate without horror. ... </w:t>
      </w:r>
      <w:r w:rsidRPr="00DA5D0C">
        <w:rPr>
          <w:rFonts w:ascii="Garamond" w:hAnsi="Garamond"/>
          <w:u w:val="single"/>
        </w:rPr>
        <w:t>There is no document of civilization which is not at the same time a document of barbarism. And just as such a document is not free of barbarism, barbarism taints also the manner in which it was transmitted from one owner to another.</w:t>
      </w:r>
      <w:r w:rsidRPr="00DA5D0C">
        <w:rPr>
          <w:rFonts w:ascii="Garamond" w:hAnsi="Garamond"/>
        </w:rPr>
        <w:t xml:space="preserve"> A historical materialist therefore dissociates himself from it as far as possible. He regards it as his task to brush history against the grain.  </w:t>
      </w:r>
      <w:r w:rsidRPr="00DA5D0C">
        <w:rPr>
          <w:rFonts w:ascii="Garamond" w:hAnsi="Garamond"/>
        </w:rPr>
        <w:tab/>
      </w:r>
      <w:r w:rsidRPr="00DA5D0C">
        <w:rPr>
          <w:rFonts w:ascii="Garamond" w:hAnsi="Garamond"/>
        </w:rPr>
        <w:tab/>
      </w:r>
      <w:hyperlink r:id="rId5" w:history="1">
        <w:r w:rsidRPr="00DA5D0C">
          <w:rPr>
            <w:rStyle w:val="Hyperlink"/>
            <w:rFonts w:ascii="Garamond" w:hAnsi="Garamond"/>
          </w:rPr>
          <w:t>http://www.sfu.ca/~andrewf/CONCEPT2.html</w:t>
        </w:r>
      </w:hyperlink>
      <w:r w:rsidRPr="00DA5D0C">
        <w:rPr>
          <w:rFonts w:ascii="Garamond" w:hAnsi="Garamond"/>
        </w:rPr>
        <w:t xml:space="preserve"> </w:t>
      </w:r>
    </w:p>
    <w:p w14:paraId="1A1B013F" w14:textId="77777777" w:rsidR="00DA5D0C" w:rsidRDefault="00DA5D0C">
      <w:pPr>
        <w:rPr>
          <w:rFonts w:ascii="Garamond" w:hAnsi="Garamond"/>
        </w:rPr>
      </w:pPr>
    </w:p>
    <w:p w14:paraId="190B7DFE" w14:textId="77777777" w:rsidR="00B4465F" w:rsidRDefault="00B4465F">
      <w:pPr>
        <w:rPr>
          <w:rFonts w:ascii="Garamond" w:hAnsi="Garamond"/>
        </w:rPr>
      </w:pPr>
      <w:r>
        <w:rPr>
          <w:rFonts w:ascii="Garamond" w:hAnsi="Garamond"/>
        </w:rPr>
        <w:t xml:space="preserve">2. ‘A voice. He was very little more than a voice. And I heard – him – it – this voice – other voices – all of them were so little more than voices – and the memory of that time itself lingers around me, impalpable, like a dying vibration of one immense jabber, silly, atrocious, sordid, savage, or simply mean, without any kind of sense.’ </w:t>
      </w:r>
    </w:p>
    <w:p w14:paraId="68ED4446" w14:textId="77777777" w:rsidR="00B4465F" w:rsidRDefault="00B4465F">
      <w:pPr>
        <w:rPr>
          <w:rFonts w:ascii="Garamond" w:hAnsi="Garamond"/>
        </w:rPr>
      </w:pPr>
      <w:r>
        <w:rPr>
          <w:rFonts w:ascii="Garamond" w:hAnsi="Garamond"/>
        </w:rPr>
        <w:tab/>
        <w:t xml:space="preserve">Joseph Conrad, </w:t>
      </w:r>
      <w:r>
        <w:rPr>
          <w:rFonts w:ascii="Garamond" w:hAnsi="Garamond"/>
          <w:i/>
        </w:rPr>
        <w:t>Heart of Darkness</w:t>
      </w:r>
      <w:r>
        <w:rPr>
          <w:rFonts w:ascii="Garamond" w:hAnsi="Garamond"/>
        </w:rPr>
        <w:t xml:space="preserve"> (Harmondsworth: Penguin, 2000 [1902]), p. 80.</w:t>
      </w:r>
    </w:p>
    <w:p w14:paraId="71612AD0" w14:textId="77777777" w:rsidR="00B4465F" w:rsidRDefault="00B4465F">
      <w:pPr>
        <w:rPr>
          <w:rFonts w:ascii="Garamond" w:hAnsi="Garamond"/>
        </w:rPr>
      </w:pPr>
    </w:p>
    <w:p w14:paraId="37B4514B" w14:textId="77777777" w:rsidR="00B4465F" w:rsidRDefault="00B4465F">
      <w:pPr>
        <w:rPr>
          <w:rFonts w:ascii="Garamond" w:hAnsi="Garamond"/>
        </w:rPr>
      </w:pPr>
      <w:r>
        <w:rPr>
          <w:rFonts w:ascii="Garamond" w:hAnsi="Garamond"/>
        </w:rPr>
        <w:t xml:space="preserve">3. ‘Conrad’s novel is a parable because, although it is based on what Marx called “real conditions”, its narrator attempts through his tale to reveal some as-yet-unseen reality. […] [However,] </w:t>
      </w:r>
      <w:r>
        <w:rPr>
          <w:rFonts w:ascii="Garamond" w:hAnsi="Garamond"/>
          <w:i/>
        </w:rPr>
        <w:t>Heart of Darkness</w:t>
      </w:r>
      <w:r>
        <w:rPr>
          <w:rFonts w:ascii="Garamond" w:hAnsi="Garamond"/>
        </w:rPr>
        <w:t xml:space="preserve"> is posited on the impossibility of achieving its goal of revelation, or, to put this another way, the way it is a revelation of the impossibility of revelation.’ </w:t>
      </w:r>
    </w:p>
    <w:p w14:paraId="1B9F7B19" w14:textId="77777777" w:rsidR="00B4465F" w:rsidRDefault="00B4465F">
      <w:pPr>
        <w:ind w:left="720"/>
        <w:rPr>
          <w:rFonts w:ascii="Garamond" w:hAnsi="Garamond"/>
        </w:rPr>
      </w:pPr>
      <w:r>
        <w:rPr>
          <w:rFonts w:ascii="Garamond" w:hAnsi="Garamond"/>
        </w:rPr>
        <w:t>J. Hillis Miller, ‘</w:t>
      </w:r>
      <w:r>
        <w:rPr>
          <w:rFonts w:ascii="Garamond" w:hAnsi="Garamond"/>
          <w:i/>
        </w:rPr>
        <w:t>Heart of Darkness</w:t>
      </w:r>
      <w:r>
        <w:rPr>
          <w:rFonts w:ascii="Garamond" w:hAnsi="Garamond"/>
        </w:rPr>
        <w:t xml:space="preserve"> Revisited,’ in </w:t>
      </w:r>
      <w:r>
        <w:rPr>
          <w:rFonts w:ascii="Garamond" w:hAnsi="Garamond"/>
          <w:i/>
        </w:rPr>
        <w:t>Joseph Conrad: Heart of Darkness</w:t>
      </w:r>
      <w:r>
        <w:rPr>
          <w:rFonts w:ascii="Garamond" w:hAnsi="Garamond"/>
        </w:rPr>
        <w:t xml:space="preserve"> ed. Ross C. </w:t>
      </w:r>
      <w:proofErr w:type="spellStart"/>
      <w:r>
        <w:rPr>
          <w:rFonts w:ascii="Garamond" w:hAnsi="Garamond"/>
        </w:rPr>
        <w:t>Murfin</w:t>
      </w:r>
      <w:proofErr w:type="spellEnd"/>
      <w:r>
        <w:rPr>
          <w:rFonts w:ascii="Garamond" w:hAnsi="Garamond"/>
        </w:rPr>
        <w:t>, (Boston; New York: Bedford/St Martin’s, 1996), p. 207, 212.</w:t>
      </w:r>
    </w:p>
    <w:p w14:paraId="5042212F" w14:textId="77777777" w:rsidR="00B4465F" w:rsidRDefault="00B4465F">
      <w:pPr>
        <w:rPr>
          <w:rFonts w:ascii="Garamond" w:hAnsi="Garamond"/>
        </w:rPr>
      </w:pPr>
    </w:p>
    <w:p w14:paraId="13FFDD45" w14:textId="77777777" w:rsidR="00B4465F" w:rsidRDefault="00B4465F">
      <w:pPr>
        <w:rPr>
          <w:rFonts w:ascii="Garamond" w:hAnsi="Garamond"/>
        </w:rPr>
      </w:pPr>
      <w:r>
        <w:rPr>
          <w:rFonts w:ascii="Garamond" w:hAnsi="Garamond"/>
        </w:rPr>
        <w:t xml:space="preserve">4. ‘Actually, it is half the art of storytelling to keep a story free from explanation as one produces it. […] The most extraordinary things, marvellous things, are related with the greatest accuracy, but the psychological connection of the events is not forced on the reader. It is left up to him to interpret things the way he understands them, and thus the narrative achieves an amplitude that information lacks.’ </w:t>
      </w:r>
    </w:p>
    <w:p w14:paraId="59D867B2" w14:textId="77777777" w:rsidR="00B4465F" w:rsidRDefault="00B4465F" w:rsidP="00DA5D0C">
      <w:pPr>
        <w:ind w:left="142"/>
        <w:rPr>
          <w:rFonts w:ascii="Garamond" w:hAnsi="Garamond"/>
        </w:rPr>
      </w:pPr>
      <w:r>
        <w:rPr>
          <w:rFonts w:ascii="Garamond" w:hAnsi="Garamond"/>
        </w:rPr>
        <w:t xml:space="preserve">Walter Benjamin, ‘The Storyteller,’ in </w:t>
      </w:r>
      <w:r>
        <w:rPr>
          <w:rFonts w:ascii="Garamond" w:hAnsi="Garamond"/>
          <w:i/>
        </w:rPr>
        <w:t>Illuminations</w:t>
      </w:r>
      <w:r>
        <w:rPr>
          <w:rFonts w:ascii="Garamond" w:hAnsi="Garamond"/>
        </w:rPr>
        <w:t xml:space="preserve"> ed., Hannah Arendt (London: Pimlico, 1999), p. 89</w:t>
      </w:r>
    </w:p>
    <w:p w14:paraId="5E0F0A61" w14:textId="77777777" w:rsidR="00B4465F" w:rsidRDefault="00B4465F">
      <w:pPr>
        <w:rPr>
          <w:rFonts w:ascii="Garamond" w:hAnsi="Garamond"/>
        </w:rPr>
      </w:pPr>
    </w:p>
    <w:p w14:paraId="020E089A" w14:textId="77777777" w:rsidR="00B4465F" w:rsidRDefault="00B4465F">
      <w:pPr>
        <w:rPr>
          <w:rFonts w:ascii="Garamond" w:hAnsi="Garamond"/>
        </w:rPr>
      </w:pPr>
      <w:r>
        <w:rPr>
          <w:rFonts w:ascii="Garamond" w:hAnsi="Garamond"/>
        </w:rPr>
        <w:t>5. ‘He cried out in a whisper at some image, at some vision, - he cried out twice, a cry that was no more than a breath –</w:t>
      </w:r>
    </w:p>
    <w:p w14:paraId="6F6CBBDB" w14:textId="77777777" w:rsidR="00B4465F" w:rsidRDefault="00B4465F">
      <w:pPr>
        <w:rPr>
          <w:rFonts w:ascii="Garamond" w:hAnsi="Garamond"/>
        </w:rPr>
      </w:pPr>
      <w:r>
        <w:rPr>
          <w:rFonts w:ascii="Garamond" w:hAnsi="Garamond"/>
        </w:rPr>
        <w:tab/>
        <w:t>‘“The horror! The horror!”’</w:t>
      </w:r>
    </w:p>
    <w:p w14:paraId="396FBE71" w14:textId="77777777" w:rsidR="00B4465F" w:rsidRDefault="00B4465F">
      <w:pPr>
        <w:rPr>
          <w:rFonts w:ascii="Garamond" w:hAnsi="Garamond"/>
          <w:sz w:val="12"/>
        </w:rPr>
      </w:pPr>
    </w:p>
    <w:p w14:paraId="0EE9C59A" w14:textId="77777777" w:rsidR="00B4465F" w:rsidRDefault="00B4465F">
      <w:pPr>
        <w:rPr>
          <w:rFonts w:ascii="Garamond" w:hAnsi="Garamond"/>
        </w:rPr>
      </w:pPr>
      <w:r>
        <w:rPr>
          <w:rFonts w:ascii="Garamond" w:hAnsi="Garamond"/>
        </w:rPr>
        <w:t>‘There was nothing either above or below him, and I knew it. He had kicked himself loose of the earth. Confound the man! He had kicked the very earth to pieces. He was alone, and I before him did not know whether I stood on the ground or floated in the air. […] No eloquence could have been so withering to one’s belief in mankind as his final burst of sincerity.’</w:t>
      </w:r>
    </w:p>
    <w:p w14:paraId="394E6289" w14:textId="77777777" w:rsidR="00B4465F" w:rsidRDefault="00B4465F">
      <w:pPr>
        <w:rPr>
          <w:rFonts w:ascii="Garamond" w:hAnsi="Garamond"/>
          <w:sz w:val="12"/>
        </w:rPr>
      </w:pPr>
    </w:p>
    <w:p w14:paraId="0F270773" w14:textId="77777777" w:rsidR="00B4465F" w:rsidRDefault="00B4465F">
      <w:pPr>
        <w:rPr>
          <w:rFonts w:ascii="Garamond" w:hAnsi="Garamond"/>
        </w:rPr>
      </w:pPr>
      <w:r>
        <w:rPr>
          <w:rFonts w:ascii="Garamond" w:hAnsi="Garamond"/>
        </w:rPr>
        <w:t>‘I went no more near the remarkable man who had pronounced a judgement upon the adventures of his soul on this earth. The voice was gone. What else had there been?’</w:t>
      </w:r>
    </w:p>
    <w:p w14:paraId="67558CE8" w14:textId="77777777" w:rsidR="00B4465F" w:rsidRDefault="00B4465F">
      <w:pPr>
        <w:rPr>
          <w:rFonts w:ascii="Garamond" w:hAnsi="Garamond"/>
          <w:sz w:val="12"/>
        </w:rPr>
      </w:pPr>
    </w:p>
    <w:p w14:paraId="580BA115" w14:textId="77777777" w:rsidR="00B4465F" w:rsidRDefault="00B4465F">
      <w:pPr>
        <w:rPr>
          <w:rFonts w:ascii="Garamond" w:hAnsi="Garamond"/>
        </w:rPr>
      </w:pPr>
      <w:r>
        <w:rPr>
          <w:rFonts w:ascii="Garamond" w:hAnsi="Garamond"/>
        </w:rPr>
        <w:t xml:space="preserve"> ‘He had summed up – he had judged. “The horror!” He was a remarkable man. After all, this was the expression of some sort of belief; it had candour, it had conviction, it had a vibrating note of revolt in its whisper, it had the appalling face of a glimpsed truth – the strange commingling of desire and hate.’</w:t>
      </w:r>
    </w:p>
    <w:p w14:paraId="512F85AF" w14:textId="77777777" w:rsidR="00B4465F" w:rsidRDefault="00B4465F">
      <w:pPr>
        <w:rPr>
          <w:rFonts w:ascii="Garamond" w:hAnsi="Garamond"/>
          <w:sz w:val="12"/>
        </w:rPr>
      </w:pPr>
    </w:p>
    <w:p w14:paraId="2728695C" w14:textId="77777777" w:rsidR="00B4465F" w:rsidRDefault="00B4465F">
      <w:pPr>
        <w:rPr>
          <w:rFonts w:ascii="Garamond" w:hAnsi="Garamond"/>
        </w:rPr>
      </w:pPr>
      <w:r>
        <w:rPr>
          <w:rFonts w:ascii="Garamond" w:hAnsi="Garamond"/>
        </w:rPr>
        <w:t xml:space="preserve"> ‘Better his cry – much better. It was an affirmation, a moral victory paid for by innumerable defeats, by abominable terrors, by abominable satisfactions. But it was a victory!’</w:t>
      </w:r>
    </w:p>
    <w:p w14:paraId="545EBFA5" w14:textId="77777777" w:rsidR="00B4465F" w:rsidRDefault="00B4465F">
      <w:pPr>
        <w:rPr>
          <w:rFonts w:ascii="Garamond" w:hAnsi="Garamond"/>
          <w:sz w:val="12"/>
        </w:rPr>
      </w:pPr>
    </w:p>
    <w:p w14:paraId="51EAF2E2" w14:textId="77777777" w:rsidR="00B4465F" w:rsidRDefault="00B4465F">
      <w:pPr>
        <w:rPr>
          <w:rFonts w:ascii="Garamond" w:hAnsi="Garamond"/>
        </w:rPr>
      </w:pPr>
      <w:r>
        <w:rPr>
          <w:rFonts w:ascii="Garamond" w:hAnsi="Garamond"/>
        </w:rPr>
        <w:t xml:space="preserve"> ‘I rang the bell before a mahogany door on the first floor, and while I </w:t>
      </w:r>
      <w:proofErr w:type="gramStart"/>
      <w:r>
        <w:rPr>
          <w:rFonts w:ascii="Garamond" w:hAnsi="Garamond"/>
        </w:rPr>
        <w:t>waited</w:t>
      </w:r>
      <w:proofErr w:type="gramEnd"/>
      <w:r>
        <w:rPr>
          <w:rFonts w:ascii="Garamond" w:hAnsi="Garamond"/>
        </w:rPr>
        <w:t xml:space="preserve"> he seemed to stare at me out of the glassy panel – stare with that wide and immense stare embracing, condemning, loathing all the universe. I seemed to hear the whispered cry, “The horror! The horror!”’</w:t>
      </w:r>
    </w:p>
    <w:p w14:paraId="3D74AF0E" w14:textId="77777777" w:rsidR="00B4465F" w:rsidRDefault="00B4465F">
      <w:pPr>
        <w:ind w:left="720"/>
        <w:rPr>
          <w:rFonts w:ascii="Garamond" w:hAnsi="Garamond"/>
        </w:rPr>
      </w:pPr>
      <w:r>
        <w:rPr>
          <w:rFonts w:ascii="Garamond" w:hAnsi="Garamond"/>
        </w:rPr>
        <w:t xml:space="preserve">Joseph Conrad, </w:t>
      </w:r>
      <w:r>
        <w:rPr>
          <w:rFonts w:ascii="Garamond" w:hAnsi="Garamond"/>
          <w:i/>
        </w:rPr>
        <w:t>Heart of Darkness</w:t>
      </w:r>
      <w:r>
        <w:rPr>
          <w:rFonts w:ascii="Garamond" w:hAnsi="Garamond"/>
        </w:rPr>
        <w:t xml:space="preserve"> (Harmondsworth: Penguin, 2000), p. 112; 107-8; 112; 113; 114; 118.</w:t>
      </w:r>
    </w:p>
    <w:p w14:paraId="406C7597" w14:textId="77777777" w:rsidR="00B4465F" w:rsidRDefault="00B4465F">
      <w:pPr>
        <w:rPr>
          <w:rFonts w:ascii="Garamond" w:hAnsi="Garamond"/>
        </w:rPr>
      </w:pPr>
    </w:p>
    <w:p w14:paraId="1BE802F7" w14:textId="77777777" w:rsidR="00B4465F" w:rsidRDefault="00B4465F">
      <w:pPr>
        <w:rPr>
          <w:rFonts w:ascii="Garamond" w:hAnsi="Garamond"/>
        </w:rPr>
      </w:pPr>
      <w:r>
        <w:rPr>
          <w:rFonts w:ascii="Garamond" w:hAnsi="Garamond"/>
        </w:rPr>
        <w:t>6. ‘He was just a word for me. I did not see the man in the name any more than you do. Do you see him? Do you see anything? It seems to me I am trying to tell you a dream – making a vain attempt, because no relation of a dream can convey the dream-sensation, that commingling of absurdity, surprise, and bewilderment in a tremor of struggling revolt, that notion of being captured by the incredible which is of the very essence of dreams ….</w:t>
      </w:r>
    </w:p>
    <w:p w14:paraId="2EC680CB" w14:textId="77777777" w:rsidR="00B4465F" w:rsidRDefault="00B4465F">
      <w:pPr>
        <w:rPr>
          <w:rFonts w:ascii="Garamond" w:hAnsi="Garamond"/>
        </w:rPr>
      </w:pPr>
      <w:r>
        <w:rPr>
          <w:rFonts w:ascii="Garamond" w:hAnsi="Garamond"/>
        </w:rPr>
        <w:tab/>
        <w:t>He was silent for a while</w:t>
      </w:r>
    </w:p>
    <w:p w14:paraId="1047B507" w14:textId="77777777" w:rsidR="00B4465F" w:rsidRDefault="00B4465F">
      <w:pPr>
        <w:rPr>
          <w:rFonts w:ascii="Garamond" w:hAnsi="Garamond"/>
        </w:rPr>
      </w:pPr>
      <w:r>
        <w:rPr>
          <w:rFonts w:ascii="Garamond" w:hAnsi="Garamond"/>
        </w:rPr>
        <w:tab/>
        <w:t>… No, it is impossible; it is impossible to convey the life-sensation of any given epoch of one’s existence, - that which makes its truth, its meaning – its subtle and penetrating essence. It is impossible. We live, as we dream – alone ….’</w:t>
      </w:r>
    </w:p>
    <w:p w14:paraId="29F899BF" w14:textId="77777777" w:rsidR="00B4465F" w:rsidRDefault="00B4465F">
      <w:pPr>
        <w:rPr>
          <w:rFonts w:ascii="Garamond" w:hAnsi="Garamond"/>
        </w:rPr>
      </w:pPr>
      <w:r>
        <w:rPr>
          <w:rFonts w:ascii="Garamond" w:hAnsi="Garamond"/>
        </w:rPr>
        <w:tab/>
        <w:t xml:space="preserve">Joseph Conrad, </w:t>
      </w:r>
      <w:r>
        <w:rPr>
          <w:rFonts w:ascii="Garamond" w:hAnsi="Garamond"/>
          <w:i/>
        </w:rPr>
        <w:t>Heart of Darkness</w:t>
      </w:r>
      <w:r>
        <w:rPr>
          <w:rFonts w:ascii="Garamond" w:hAnsi="Garamond"/>
        </w:rPr>
        <w:t xml:space="preserve"> (Harmondsworth: Penguin, 2000), p. 50.</w:t>
      </w:r>
    </w:p>
    <w:p w14:paraId="412F03D0" w14:textId="77777777" w:rsidR="00B4465F" w:rsidRDefault="00B4465F">
      <w:pPr>
        <w:rPr>
          <w:rFonts w:ascii="Garamond" w:hAnsi="Garamond"/>
        </w:rPr>
      </w:pPr>
    </w:p>
    <w:p w14:paraId="43B20AB8" w14:textId="77777777" w:rsidR="00B4465F" w:rsidRDefault="00B4465F">
      <w:pPr>
        <w:rPr>
          <w:rFonts w:ascii="Garamond" w:hAnsi="Garamond"/>
        </w:rPr>
      </w:pPr>
      <w:r>
        <w:rPr>
          <w:rFonts w:ascii="Garamond" w:hAnsi="Garamond"/>
        </w:rPr>
        <w:t xml:space="preserve">7. ‘Transgression is an action that involves the limit, that narrow zone of a line where it displays the flash of its passage, but perhaps also its entire trajectory, even its origin; it is likely that transgression has its entire space in the line that it crosses. […] The limit and transgression depend on each other for whatever density of being they possess: a limit could not exist if it were absolutely uncrossable and reciprocally, transgression would be pointless if it merely crossed a limit composed of illusions and shadows.’ </w:t>
      </w:r>
    </w:p>
    <w:p w14:paraId="20520B9D" w14:textId="77777777" w:rsidR="00B4465F" w:rsidRDefault="00B4465F">
      <w:pPr>
        <w:ind w:left="720"/>
        <w:rPr>
          <w:rFonts w:ascii="Garamond" w:hAnsi="Garamond"/>
        </w:rPr>
      </w:pPr>
      <w:r>
        <w:rPr>
          <w:rFonts w:ascii="Garamond" w:hAnsi="Garamond"/>
        </w:rPr>
        <w:t xml:space="preserve">Michel Foucault, ‘Preface to Transgression,’ in </w:t>
      </w:r>
      <w:r>
        <w:rPr>
          <w:rFonts w:ascii="Garamond" w:hAnsi="Garamond"/>
          <w:i/>
        </w:rPr>
        <w:t>Aesthetics, Method and Epistemology</w:t>
      </w:r>
      <w:r>
        <w:rPr>
          <w:rFonts w:ascii="Garamond" w:hAnsi="Garamond"/>
        </w:rPr>
        <w:t xml:space="preserve"> ed., James. D. </w:t>
      </w:r>
      <w:proofErr w:type="spellStart"/>
      <w:r>
        <w:rPr>
          <w:rFonts w:ascii="Garamond" w:hAnsi="Garamond"/>
        </w:rPr>
        <w:t>Faubion</w:t>
      </w:r>
      <w:proofErr w:type="spellEnd"/>
      <w:r>
        <w:rPr>
          <w:rFonts w:ascii="Garamond" w:hAnsi="Garamond"/>
        </w:rPr>
        <w:t xml:space="preserve"> (Harmondsworth: Penguin, 2000), p. 73.</w:t>
      </w:r>
    </w:p>
    <w:p w14:paraId="0694468D" w14:textId="77777777" w:rsidR="00B4465F" w:rsidRDefault="00B4465F">
      <w:pPr>
        <w:rPr>
          <w:rFonts w:ascii="Garamond" w:hAnsi="Garamond"/>
        </w:rPr>
      </w:pPr>
    </w:p>
    <w:p w14:paraId="016351C3" w14:textId="77777777" w:rsidR="00B4465F" w:rsidRDefault="00B4465F">
      <w:pPr>
        <w:rPr>
          <w:rFonts w:ascii="Garamond" w:hAnsi="Garamond"/>
          <w:b/>
        </w:rPr>
      </w:pPr>
      <w:r>
        <w:rPr>
          <w:rFonts w:ascii="Garamond" w:hAnsi="Garamond"/>
          <w:b/>
        </w:rPr>
        <w:t>Further Reading</w:t>
      </w:r>
    </w:p>
    <w:p w14:paraId="5A4464B4" w14:textId="77777777" w:rsidR="00DA5D0C" w:rsidRDefault="00DA5D0C">
      <w:pPr>
        <w:rPr>
          <w:rFonts w:ascii="Garamond" w:hAnsi="Garamond"/>
        </w:rPr>
      </w:pPr>
    </w:p>
    <w:p w14:paraId="0CD83672" w14:textId="77777777" w:rsidR="00B4465F" w:rsidRDefault="00B4465F">
      <w:pPr>
        <w:rPr>
          <w:rFonts w:ascii="Garamond" w:hAnsi="Garamond"/>
        </w:rPr>
      </w:pPr>
      <w:r>
        <w:rPr>
          <w:rFonts w:ascii="Garamond" w:hAnsi="Garamond"/>
        </w:rPr>
        <w:t xml:space="preserve">Greaney, Michael, </w:t>
      </w:r>
      <w:r>
        <w:rPr>
          <w:rFonts w:ascii="Garamond" w:hAnsi="Garamond"/>
          <w:i/>
        </w:rPr>
        <w:t>Conrad, Language and Narrative</w:t>
      </w:r>
      <w:r>
        <w:rPr>
          <w:rFonts w:ascii="Garamond" w:hAnsi="Garamond"/>
        </w:rPr>
        <w:t xml:space="preserve"> (Cambridge: Cambridge University Press, 2002).</w:t>
      </w:r>
    </w:p>
    <w:p w14:paraId="5DAD6551" w14:textId="77777777" w:rsidR="00B4465F" w:rsidRDefault="00B4465F">
      <w:pPr>
        <w:rPr>
          <w:rFonts w:ascii="Garamond" w:hAnsi="Garamond"/>
        </w:rPr>
      </w:pPr>
      <w:r>
        <w:rPr>
          <w:rFonts w:ascii="Garamond" w:hAnsi="Garamond"/>
        </w:rPr>
        <w:t xml:space="preserve">Jordan, Elaine, ed., </w:t>
      </w:r>
      <w:r>
        <w:rPr>
          <w:rFonts w:ascii="Garamond" w:hAnsi="Garamond"/>
          <w:i/>
        </w:rPr>
        <w:t>Joseph Conrad</w:t>
      </w:r>
      <w:r>
        <w:rPr>
          <w:rFonts w:ascii="Garamond" w:hAnsi="Garamond"/>
        </w:rPr>
        <w:t xml:space="preserve"> (</w:t>
      </w:r>
      <w:proofErr w:type="spellStart"/>
      <w:r>
        <w:rPr>
          <w:rFonts w:ascii="Garamond" w:hAnsi="Garamond"/>
        </w:rPr>
        <w:t>Houndmills</w:t>
      </w:r>
      <w:proofErr w:type="spellEnd"/>
      <w:r>
        <w:rPr>
          <w:rFonts w:ascii="Garamond" w:hAnsi="Garamond"/>
        </w:rPr>
        <w:t>: Macmillan, 1996).</w:t>
      </w:r>
    </w:p>
    <w:p w14:paraId="6014AD37" w14:textId="77777777" w:rsidR="00B4465F" w:rsidRDefault="00B4465F">
      <w:pPr>
        <w:rPr>
          <w:rFonts w:ascii="Garamond" w:hAnsi="Garamond"/>
        </w:rPr>
      </w:pPr>
      <w:r>
        <w:rPr>
          <w:rFonts w:ascii="Garamond" w:hAnsi="Garamond"/>
        </w:rPr>
        <w:t xml:space="preserve">Peters, John, </w:t>
      </w:r>
      <w:r>
        <w:rPr>
          <w:rFonts w:ascii="Garamond" w:hAnsi="Garamond"/>
          <w:i/>
        </w:rPr>
        <w:t>The Cambridge Introduction to Joseph Conrad</w:t>
      </w:r>
      <w:r>
        <w:rPr>
          <w:rFonts w:ascii="Garamond" w:hAnsi="Garamond"/>
        </w:rPr>
        <w:t xml:space="preserve"> (Cambridge: Cambridge University Press, 2006).</w:t>
      </w:r>
    </w:p>
    <w:p w14:paraId="1445FA30" w14:textId="77777777" w:rsidR="00B4465F" w:rsidRDefault="00B4465F">
      <w:pPr>
        <w:rPr>
          <w:rFonts w:ascii="Garamond" w:hAnsi="Garamond"/>
        </w:rPr>
      </w:pPr>
      <w:proofErr w:type="spellStart"/>
      <w:r>
        <w:rPr>
          <w:rFonts w:ascii="Garamond" w:hAnsi="Garamond"/>
        </w:rPr>
        <w:t>Stape</w:t>
      </w:r>
      <w:proofErr w:type="spellEnd"/>
      <w:r>
        <w:rPr>
          <w:rFonts w:ascii="Garamond" w:hAnsi="Garamond"/>
        </w:rPr>
        <w:t xml:space="preserve">, J.H., ed., </w:t>
      </w:r>
      <w:r>
        <w:rPr>
          <w:rFonts w:ascii="Garamond" w:hAnsi="Garamond"/>
          <w:i/>
        </w:rPr>
        <w:t>The Cambridge Companion to Joseph Conrad</w:t>
      </w:r>
      <w:r>
        <w:rPr>
          <w:rFonts w:ascii="Garamond" w:hAnsi="Garamond"/>
        </w:rPr>
        <w:t xml:space="preserve"> (Cambridge: Cambridge University Press, 1996).</w:t>
      </w:r>
    </w:p>
    <w:p w14:paraId="5B9BC9CB" w14:textId="77777777" w:rsidR="00B4465F" w:rsidRDefault="00B4465F">
      <w:pPr>
        <w:rPr>
          <w:rFonts w:ascii="Garamond" w:hAnsi="Garamond"/>
        </w:rPr>
      </w:pPr>
      <w:r>
        <w:rPr>
          <w:rFonts w:ascii="Garamond" w:hAnsi="Garamond"/>
        </w:rPr>
        <w:t xml:space="preserve">Watts, Cedric, </w:t>
      </w:r>
      <w:r>
        <w:rPr>
          <w:rFonts w:ascii="Garamond" w:hAnsi="Garamond"/>
          <w:i/>
        </w:rPr>
        <w:t>Joseph Conrad</w:t>
      </w:r>
      <w:r>
        <w:rPr>
          <w:rFonts w:ascii="Garamond" w:hAnsi="Garamond"/>
        </w:rPr>
        <w:t xml:space="preserve"> (Plymouth: Northcote House, 1994).</w:t>
      </w:r>
    </w:p>
    <w:sectPr w:rsidR="00B4465F" w:rsidSect="00DA5D0C">
      <w:pgSz w:w="11906" w:h="16838"/>
      <w:pgMar w:top="993"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Perpetua Titling MT">
    <w:panose1 w:val="02020502060505020804"/>
    <w:charset w:val="00"/>
    <w:family w:val="roman"/>
    <w:pitch w:val="variable"/>
    <w:sig w:usb0="00000003" w:usb1="00000000" w:usb2="00000000" w:usb3="00000000" w:csb0="00000001" w:csb1="00000000"/>
  </w:font>
  <w:font w:name="Felix Titling">
    <w:panose1 w:val="04060505060202020A04"/>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A67897"/>
    <w:multiLevelType w:val="hybridMultilevel"/>
    <w:tmpl w:val="22C2B1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25840"/>
    <w:rsid w:val="001B59A0"/>
    <w:rsid w:val="00532A55"/>
    <w:rsid w:val="009C58D7"/>
    <w:rsid w:val="00B4465F"/>
    <w:rsid w:val="00C25840"/>
    <w:rsid w:val="00C30320"/>
    <w:rsid w:val="00C55EC7"/>
    <w:rsid w:val="00DA5D0C"/>
    <w:rsid w:val="00DE1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08290C"/>
  <w15:chartTrackingRefBased/>
  <w15:docId w15:val="{4FB082B6-5C3A-424A-A9EA-16501BEF3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3">
    <w:name w:val="heading 3"/>
    <w:basedOn w:val="Normal"/>
    <w:next w:val="Normal"/>
    <w:link w:val="Heading3Char"/>
    <w:semiHidden/>
    <w:unhideWhenUsed/>
    <w:qFormat/>
    <w:rsid w:val="00DE15FA"/>
    <w:pPr>
      <w:keepNext/>
      <w:outlineLvl w:val="2"/>
    </w:pPr>
    <w:rPr>
      <w:rFonts w:ascii="Garamond" w:hAnsi="Garamond"/>
      <w:sz w:val="40"/>
      <w:szCs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3Char">
    <w:name w:val="Heading 3 Char"/>
    <w:link w:val="Heading3"/>
    <w:semiHidden/>
    <w:rsid w:val="00DE15FA"/>
    <w:rPr>
      <w:rFonts w:ascii="Garamond" w:hAnsi="Garamond"/>
      <w:sz w:val="40"/>
      <w:szCs w:val="40"/>
    </w:rPr>
  </w:style>
  <w:style w:type="character" w:styleId="Hyperlink">
    <w:name w:val="Hyperlink"/>
    <w:uiPriority w:val="99"/>
    <w:unhideWhenUsed/>
    <w:rsid w:val="00DA5D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8283038">
      <w:bodyDiv w:val="1"/>
      <w:marLeft w:val="0"/>
      <w:marRight w:val="0"/>
      <w:marTop w:val="0"/>
      <w:marBottom w:val="0"/>
      <w:divBdr>
        <w:top w:val="none" w:sz="0" w:space="0" w:color="auto"/>
        <w:left w:val="none" w:sz="0" w:space="0" w:color="auto"/>
        <w:bottom w:val="none" w:sz="0" w:space="0" w:color="auto"/>
        <w:right w:val="none" w:sz="0" w:space="0" w:color="auto"/>
      </w:divBdr>
    </w:div>
    <w:div w:id="1929998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fu.ca/~andrewf/CONCEPT2.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1044</Words>
  <Characters>5954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CAH 666 Modernism</vt:lpstr>
    </vt:vector>
  </TitlesOfParts>
  <Company> </Company>
  <LinksUpToDate>false</LinksUpToDate>
  <CharactersWithSpaces>6985</CharactersWithSpaces>
  <SharedDoc>false</SharedDoc>
  <HLinks>
    <vt:vector size="6" baseType="variant">
      <vt:variant>
        <vt:i4>5046280</vt:i4>
      </vt:variant>
      <vt:variant>
        <vt:i4>0</vt:i4>
      </vt:variant>
      <vt:variant>
        <vt:i4>0</vt:i4>
      </vt:variant>
      <vt:variant>
        <vt:i4>5</vt:i4>
      </vt:variant>
      <vt:variant>
        <vt:lpwstr>http://www.sfu.ca/~andrewf/CONCEPT2.html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CAH 666 Modernism</dc:title>
  <dc:subject/>
  <dc:creator>Neal Alexander</dc:creator>
  <cp:keywords/>
  <cp:lastModifiedBy>Jeni Williams</cp:lastModifiedBy>
  <cp:revision>2</cp:revision>
  <cp:lastPrinted>2014-10-09T12:31:00Z</cp:lastPrinted>
  <dcterms:created xsi:type="dcterms:W3CDTF">2020-03-08T01:25:00Z</dcterms:created>
  <dcterms:modified xsi:type="dcterms:W3CDTF">2020-03-08T01:25:00Z</dcterms:modified>
</cp:coreProperties>
</file>