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567EF" w14:textId="77777777" w:rsidR="008375B5" w:rsidRDefault="00A14E35" w:rsidP="008375B5">
      <w:pPr>
        <w:spacing w:line="360" w:lineRule="auto"/>
      </w:pPr>
      <w:r>
        <w:rPr>
          <w:noProof/>
        </w:rPr>
        <w:drawing>
          <wp:inline distT="0" distB="0" distL="0" distR="0" wp14:anchorId="68C1C651" wp14:editId="6CE2021E">
            <wp:extent cx="3340735" cy="134112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0735" cy="1341120"/>
                    </a:xfrm>
                    <a:prstGeom prst="rect">
                      <a:avLst/>
                    </a:prstGeom>
                    <a:noFill/>
                    <a:ln>
                      <a:noFill/>
                    </a:ln>
                  </pic:spPr>
                </pic:pic>
              </a:graphicData>
            </a:graphic>
          </wp:inline>
        </w:drawing>
      </w:r>
    </w:p>
    <w:p w14:paraId="4BB115E3" w14:textId="77777777" w:rsidR="008375B5" w:rsidRDefault="008375B5" w:rsidP="008375B5">
      <w:pPr>
        <w:spacing w:line="360" w:lineRule="auto"/>
        <w:rPr>
          <w:rStyle w:val="Strong"/>
          <w:rFonts w:ascii="Segoe UI" w:hAnsi="Segoe UI" w:cs="Segoe UI"/>
          <w:color w:val="1D2125"/>
        </w:rPr>
      </w:pPr>
    </w:p>
    <w:p w14:paraId="63A18C0A" w14:textId="77777777" w:rsidR="008375B5" w:rsidRDefault="008375B5" w:rsidP="008375B5">
      <w:pPr>
        <w:spacing w:line="360" w:lineRule="auto"/>
        <w:rPr>
          <w:rStyle w:val="Strong"/>
          <w:rFonts w:ascii="Arial" w:hAnsi="Arial" w:cs="Arial"/>
          <w:color w:val="1D2125"/>
          <w:sz w:val="36"/>
          <w:szCs w:val="36"/>
        </w:rPr>
      </w:pPr>
    </w:p>
    <w:p w14:paraId="47864F06" w14:textId="77777777" w:rsidR="00871C29" w:rsidRDefault="00871C29" w:rsidP="008375B5">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06926888"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sidR="00871C29">
        <w:rPr>
          <w:rStyle w:val="Strong"/>
          <w:rFonts w:ascii="Arial" w:hAnsi="Arial" w:cs="Arial"/>
          <w:color w:val="1D2125"/>
          <w:sz w:val="36"/>
          <w:szCs w:val="36"/>
        </w:rPr>
        <w:t>5014</w:t>
      </w:r>
      <w:r>
        <w:rPr>
          <w:rStyle w:val="Strong"/>
          <w:rFonts w:ascii="Arial" w:hAnsi="Arial" w:cs="Arial"/>
          <w:color w:val="1D2125"/>
          <w:sz w:val="36"/>
          <w:szCs w:val="36"/>
        </w:rPr>
        <w:t>)</w:t>
      </w:r>
    </w:p>
    <w:p w14:paraId="39C0EA98" w14:textId="77777777" w:rsidR="008375B5" w:rsidRDefault="008375B5" w:rsidP="008375B5">
      <w:pPr>
        <w:spacing w:line="360" w:lineRule="auto"/>
        <w:jc w:val="center"/>
        <w:rPr>
          <w:rStyle w:val="Strong"/>
          <w:rFonts w:ascii="Arial" w:hAnsi="Arial" w:cs="Arial"/>
          <w:color w:val="1D2125"/>
          <w:sz w:val="36"/>
          <w:szCs w:val="36"/>
        </w:rPr>
      </w:pPr>
    </w:p>
    <w:p w14:paraId="38F4A41C" w14:textId="77777777" w:rsidR="008375B5" w:rsidRDefault="008375B5" w:rsidP="008375B5">
      <w:pPr>
        <w:spacing w:line="360" w:lineRule="auto"/>
        <w:jc w:val="center"/>
        <w:rPr>
          <w:rStyle w:val="Strong"/>
          <w:rFonts w:ascii="Arial" w:hAnsi="Arial" w:cs="Arial"/>
          <w:color w:val="1D2125"/>
          <w:sz w:val="36"/>
          <w:szCs w:val="36"/>
        </w:rPr>
      </w:pPr>
    </w:p>
    <w:p w14:paraId="1C488650" w14:textId="7AF96C4F"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 xml:space="preserve">Component </w:t>
      </w:r>
      <w:r w:rsidR="00A14E35">
        <w:rPr>
          <w:rFonts w:ascii="Arial" w:hAnsi="Arial" w:cs="Arial"/>
          <w:b/>
          <w:bCs/>
          <w:color w:val="000000"/>
          <w:sz w:val="32"/>
          <w:szCs w:val="32"/>
        </w:rPr>
        <w:t>2</w:t>
      </w:r>
      <w:r>
        <w:rPr>
          <w:rFonts w:ascii="Arial" w:hAnsi="Arial" w:cs="Arial"/>
          <w:b/>
          <w:bCs/>
          <w:color w:val="000000"/>
          <w:sz w:val="32"/>
          <w:szCs w:val="32"/>
        </w:rPr>
        <w:t>:</w:t>
      </w:r>
      <w:r w:rsidR="00871C29" w:rsidRPr="00871C29">
        <w:t xml:space="preserve"> </w:t>
      </w:r>
      <w:r w:rsidR="00A14E35">
        <w:rPr>
          <w:rFonts w:ascii="Arial" w:hAnsi="Arial" w:cs="Arial"/>
          <w:b/>
          <w:bCs/>
          <w:color w:val="000000"/>
          <w:sz w:val="32"/>
          <w:szCs w:val="32"/>
        </w:rPr>
        <w:t>Poster and Pitch</w:t>
      </w:r>
    </w:p>
    <w:p w14:paraId="2555711F" w14:textId="77777777" w:rsidR="008375B5" w:rsidRDefault="008375B5" w:rsidP="008375B5">
      <w:pPr>
        <w:spacing w:line="360" w:lineRule="auto"/>
        <w:rPr>
          <w:rStyle w:val="Strong"/>
          <w:rFonts w:ascii="Arial" w:hAnsi="Arial" w:cs="Arial"/>
          <w:color w:val="1D2125"/>
          <w:sz w:val="32"/>
          <w:szCs w:val="32"/>
        </w:rPr>
      </w:pPr>
    </w:p>
    <w:p w14:paraId="59E185BB" w14:textId="3C45F4C4"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A14E35">
        <w:rPr>
          <w:rStyle w:val="Strong"/>
          <w:rFonts w:ascii="Arial" w:hAnsi="Arial" w:cs="Arial"/>
          <w:color w:val="1D2125"/>
          <w:sz w:val="32"/>
          <w:szCs w:val="32"/>
        </w:rPr>
        <w:t xml:space="preserve"> Ioan-Ciprian Tanase</w:t>
      </w:r>
    </w:p>
    <w:p w14:paraId="3BD43E1C" w14:textId="0F9D7E42"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A14E35">
        <w:rPr>
          <w:rStyle w:val="Strong"/>
          <w:rFonts w:ascii="Arial" w:hAnsi="Arial" w:cs="Arial"/>
          <w:color w:val="1D2125"/>
          <w:sz w:val="32"/>
          <w:szCs w:val="32"/>
        </w:rPr>
        <w:t>2414116</w:t>
      </w:r>
    </w:p>
    <w:p w14:paraId="585F9695" w14:textId="183C7FE9"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A14E35">
        <w:rPr>
          <w:rStyle w:val="Strong"/>
          <w:rFonts w:ascii="Arial" w:hAnsi="Arial" w:cs="Arial"/>
          <w:color w:val="1D2125"/>
          <w:sz w:val="32"/>
          <w:szCs w:val="32"/>
        </w:rPr>
        <w:t xml:space="preserve"> Caroline Salami</w:t>
      </w:r>
    </w:p>
    <w:p w14:paraId="6620A6DF" w14:textId="77777777" w:rsidR="008375B5" w:rsidRDefault="008375B5" w:rsidP="008375B5">
      <w:pPr>
        <w:spacing w:line="360" w:lineRule="auto"/>
        <w:rPr>
          <w:sz w:val="36"/>
          <w:szCs w:val="36"/>
        </w:rPr>
      </w:pPr>
    </w:p>
    <w:p w14:paraId="0DAEA390" w14:textId="77777777" w:rsidR="008375B5" w:rsidRDefault="008375B5" w:rsidP="008375B5">
      <w:pPr>
        <w:spacing w:line="360" w:lineRule="auto"/>
        <w:rPr>
          <w:rFonts w:ascii="Arial" w:hAnsi="Arial" w:cs="Arial"/>
          <w:sz w:val="36"/>
          <w:szCs w:val="36"/>
        </w:rPr>
      </w:pPr>
    </w:p>
    <w:p w14:paraId="7FC58A06" w14:textId="77777777" w:rsidR="008375B5" w:rsidRDefault="008375B5" w:rsidP="008375B5">
      <w:pPr>
        <w:spacing w:line="360" w:lineRule="auto"/>
        <w:rPr>
          <w:rFonts w:ascii="Arial" w:hAnsi="Arial" w:cs="Arial"/>
          <w:sz w:val="36"/>
          <w:szCs w:val="36"/>
        </w:rPr>
      </w:pPr>
    </w:p>
    <w:p w14:paraId="584D09A8" w14:textId="77777777" w:rsidR="008375B5" w:rsidRDefault="008375B5" w:rsidP="008375B5">
      <w:pPr>
        <w:spacing w:line="360" w:lineRule="auto"/>
        <w:rPr>
          <w:rFonts w:ascii="Arial" w:hAnsi="Arial" w:cs="Arial"/>
          <w:sz w:val="36"/>
          <w:szCs w:val="36"/>
        </w:rPr>
      </w:pPr>
    </w:p>
    <w:p w14:paraId="1E784714" w14:textId="4DDABD48" w:rsidR="008375B5" w:rsidRDefault="00A14E35" w:rsidP="008375B5">
      <w:pPr>
        <w:pStyle w:val="NormalWeb"/>
        <w:spacing w:line="360" w:lineRule="auto"/>
        <w:rPr>
          <w:rFonts w:ascii="Arial" w:hAnsi="Arial" w:cs="Arial"/>
          <w:b/>
          <w:bCs/>
          <w:color w:val="000000"/>
          <w:sz w:val="32"/>
          <w:szCs w:val="32"/>
        </w:rPr>
      </w:pPr>
      <w:r w:rsidRPr="00A14E35">
        <w:rPr>
          <w:rFonts w:ascii="Arial" w:hAnsi="Arial" w:cs="Arial"/>
          <w:b/>
          <w:bCs/>
          <w:color w:val="000000"/>
          <w:sz w:val="32"/>
          <w:szCs w:val="32"/>
        </w:rPr>
        <w:lastRenderedPageBreak/>
        <w:t xml:space="preserve">Task </w:t>
      </w:r>
      <w:r w:rsidR="00221338" w:rsidRPr="00A14E35">
        <w:rPr>
          <w:rFonts w:ascii="Arial" w:hAnsi="Arial" w:cs="Arial"/>
          <w:b/>
          <w:bCs/>
          <w:color w:val="000000"/>
          <w:sz w:val="32"/>
          <w:szCs w:val="32"/>
        </w:rPr>
        <w:t>1: Poster</w:t>
      </w:r>
    </w:p>
    <w:p w14:paraId="71B68D46" w14:textId="77777777" w:rsidR="00A14E35" w:rsidRDefault="00A14E35" w:rsidP="008375B5">
      <w:pPr>
        <w:pStyle w:val="NormalWeb"/>
        <w:spacing w:line="360" w:lineRule="auto"/>
        <w:rPr>
          <w:rFonts w:ascii="Arial" w:hAnsi="Arial" w:cs="Arial"/>
          <w:b/>
          <w:bCs/>
          <w:color w:val="000000"/>
          <w:sz w:val="32"/>
          <w:szCs w:val="32"/>
        </w:rPr>
      </w:pPr>
    </w:p>
    <w:p w14:paraId="3169CE02" w14:textId="5D322B4D" w:rsidR="00A14E35" w:rsidRPr="00A14E35" w:rsidRDefault="00A14E35" w:rsidP="008375B5">
      <w:pPr>
        <w:pStyle w:val="NormalWeb"/>
        <w:spacing w:line="360" w:lineRule="auto"/>
        <w:rPr>
          <w:rFonts w:ascii="Arial" w:hAnsi="Arial" w:cs="Arial"/>
          <w:b/>
          <w:bCs/>
          <w:color w:val="000000"/>
          <w:sz w:val="32"/>
          <w:szCs w:val="32"/>
        </w:rPr>
      </w:pPr>
      <w:r>
        <w:rPr>
          <w:rFonts w:ascii="Arial" w:hAnsi="Arial" w:cs="Arial"/>
          <w:b/>
          <w:bCs/>
          <w:noProof/>
          <w:color w:val="000000"/>
          <w:sz w:val="32"/>
          <w:szCs w:val="32"/>
        </w:rPr>
        <w:drawing>
          <wp:inline distT="0" distB="0" distL="0" distR="0" wp14:anchorId="68B4055B" wp14:editId="3E8D4413">
            <wp:extent cx="6039671" cy="4924204"/>
            <wp:effectExtent l="0" t="0" r="5715" b="3810"/>
            <wp:docPr id="684463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463504" name="Picture 684463504"/>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90786" cy="4965879"/>
                    </a:xfrm>
                    <a:prstGeom prst="rect">
                      <a:avLst/>
                    </a:prstGeom>
                  </pic:spPr>
                </pic:pic>
              </a:graphicData>
            </a:graphic>
          </wp:inline>
        </w:drawing>
      </w:r>
    </w:p>
    <w:p w14:paraId="5159453B" w14:textId="4B36039E" w:rsidR="008375B5" w:rsidRPr="00805436" w:rsidRDefault="008375B5" w:rsidP="008375B5">
      <w:pPr>
        <w:spacing w:line="360" w:lineRule="auto"/>
        <w:rPr>
          <w:rFonts w:ascii="Arial" w:hAnsi="Arial" w:cs="Arial"/>
          <w:b/>
          <w:bCs/>
          <w:sz w:val="28"/>
          <w:szCs w:val="28"/>
        </w:rPr>
      </w:pPr>
      <w:r w:rsidRPr="00805436">
        <w:rPr>
          <w:rFonts w:ascii="Arial" w:hAnsi="Arial" w:cs="Arial"/>
          <w:b/>
          <w:bCs/>
          <w:sz w:val="28"/>
          <w:szCs w:val="28"/>
        </w:rPr>
        <w:t>References</w:t>
      </w:r>
      <w:r w:rsidR="00805436">
        <w:rPr>
          <w:rFonts w:ascii="Arial" w:hAnsi="Arial" w:cs="Arial"/>
          <w:b/>
          <w:bCs/>
          <w:sz w:val="28"/>
          <w:szCs w:val="28"/>
        </w:rPr>
        <w:t xml:space="preserve"> for Task 1</w:t>
      </w:r>
    </w:p>
    <w:p w14:paraId="3E206802" w14:textId="77777777" w:rsidR="00A14E35" w:rsidRPr="00A14E35" w:rsidRDefault="00A14E35" w:rsidP="00A14E35">
      <w:pPr>
        <w:pStyle w:val="NormalWeb"/>
        <w:rPr>
          <w:rFonts w:ascii="Arial" w:hAnsi="Arial" w:cs="Arial"/>
          <w:color w:val="000000"/>
        </w:rPr>
      </w:pPr>
      <w:r w:rsidRPr="00A14E35">
        <w:rPr>
          <w:rFonts w:ascii="Arial" w:hAnsi="Arial" w:cs="Arial"/>
          <w:color w:val="000000"/>
        </w:rPr>
        <w:t>Care Quality Commission (2023)</w:t>
      </w:r>
      <w:r w:rsidRPr="00A14E35">
        <w:rPr>
          <w:rStyle w:val="apple-converted-space"/>
          <w:rFonts w:ascii="Arial" w:hAnsi="Arial" w:cs="Arial"/>
          <w:color w:val="000000"/>
        </w:rPr>
        <w:t> </w:t>
      </w:r>
      <w:r w:rsidRPr="00A14E35">
        <w:rPr>
          <w:rStyle w:val="Emphasis"/>
          <w:rFonts w:ascii="Arial" w:hAnsi="Arial" w:cs="Arial"/>
          <w:color w:val="000000"/>
        </w:rPr>
        <w:t>Medicines optimisation in care homes</w:t>
      </w:r>
      <w:r w:rsidRPr="00A14E35">
        <w:rPr>
          <w:rFonts w:ascii="Arial" w:hAnsi="Arial" w:cs="Arial"/>
          <w:color w:val="000000"/>
        </w:rPr>
        <w:t>. Available at:</w:t>
      </w:r>
      <w:r w:rsidRPr="00A14E35">
        <w:rPr>
          <w:rFonts w:ascii="Arial" w:hAnsi="Arial" w:cs="Arial"/>
          <w:color w:val="000000"/>
        </w:rPr>
        <w:br/>
        <w:t>https://www.cqc.org.uk/guidance-providers/adult-social-care/medicines-optimisation-care-homes</w:t>
      </w:r>
      <w:r w:rsidRPr="00A14E35">
        <w:rPr>
          <w:rFonts w:ascii="Arial" w:hAnsi="Arial" w:cs="Arial"/>
          <w:color w:val="000000"/>
        </w:rPr>
        <w:br/>
        <w:t>(Accessed: 20 March 2026).</w:t>
      </w:r>
    </w:p>
    <w:p w14:paraId="7C42F621" w14:textId="77777777" w:rsidR="00A14E35" w:rsidRPr="00A14E35" w:rsidRDefault="00A14E35" w:rsidP="00A14E35">
      <w:pPr>
        <w:pStyle w:val="NormalWeb"/>
        <w:rPr>
          <w:rFonts w:ascii="Arial" w:hAnsi="Arial" w:cs="Arial"/>
          <w:color w:val="000000"/>
        </w:rPr>
      </w:pPr>
      <w:r w:rsidRPr="00A14E35">
        <w:rPr>
          <w:rFonts w:ascii="Arial" w:hAnsi="Arial" w:cs="Arial"/>
          <w:color w:val="000000"/>
        </w:rPr>
        <w:t xml:space="preserve">Elliott, R.A., Camacho, E., Jankovic, D., </w:t>
      </w:r>
      <w:proofErr w:type="spellStart"/>
      <w:r w:rsidRPr="00A14E35">
        <w:rPr>
          <w:rFonts w:ascii="Arial" w:hAnsi="Arial" w:cs="Arial"/>
          <w:color w:val="000000"/>
        </w:rPr>
        <w:t>Sculpher</w:t>
      </w:r>
      <w:proofErr w:type="spellEnd"/>
      <w:r w:rsidRPr="00A14E35">
        <w:rPr>
          <w:rFonts w:ascii="Arial" w:hAnsi="Arial" w:cs="Arial"/>
          <w:color w:val="000000"/>
        </w:rPr>
        <w:t>, M.J. and Faria, R. (2018)</w:t>
      </w:r>
      <w:r w:rsidRPr="00A14E35">
        <w:rPr>
          <w:rStyle w:val="apple-converted-space"/>
          <w:rFonts w:ascii="Arial" w:hAnsi="Arial" w:cs="Arial"/>
          <w:color w:val="000000"/>
        </w:rPr>
        <w:t> </w:t>
      </w:r>
      <w:r w:rsidRPr="00A14E35">
        <w:rPr>
          <w:rStyle w:val="Emphasis"/>
          <w:rFonts w:ascii="Arial" w:hAnsi="Arial" w:cs="Arial"/>
          <w:color w:val="000000"/>
        </w:rPr>
        <w:t>Prevalence and economic burden of medication errors in the NHS in England</w:t>
      </w:r>
      <w:r w:rsidRPr="00A14E35">
        <w:rPr>
          <w:rFonts w:ascii="Arial" w:hAnsi="Arial" w:cs="Arial"/>
          <w:color w:val="000000"/>
        </w:rPr>
        <w:t>. Available at:</w:t>
      </w:r>
      <w:r w:rsidRPr="00A14E35">
        <w:rPr>
          <w:rFonts w:ascii="Arial" w:hAnsi="Arial" w:cs="Arial"/>
          <w:color w:val="000000"/>
        </w:rPr>
        <w:br/>
        <w:t>https://www.york.ac.uk/media/che/documents/papers/researchpapers/CHERP180_medication_errors.pdf</w:t>
      </w:r>
      <w:r w:rsidRPr="00A14E35">
        <w:rPr>
          <w:rFonts w:ascii="Arial" w:hAnsi="Arial" w:cs="Arial"/>
          <w:color w:val="000000"/>
        </w:rPr>
        <w:br/>
        <w:t>(Accessed: 20 March 2026).</w:t>
      </w:r>
    </w:p>
    <w:p w14:paraId="2FE95549" w14:textId="77777777" w:rsidR="00A14E35" w:rsidRPr="00A14E35" w:rsidRDefault="00A14E35" w:rsidP="00A14E35">
      <w:pPr>
        <w:pStyle w:val="NormalWeb"/>
        <w:rPr>
          <w:rFonts w:ascii="Arial" w:hAnsi="Arial" w:cs="Arial"/>
          <w:color w:val="000000"/>
        </w:rPr>
      </w:pPr>
      <w:r w:rsidRPr="00A14E35">
        <w:rPr>
          <w:rFonts w:ascii="Arial" w:hAnsi="Arial" w:cs="Arial"/>
          <w:color w:val="000000"/>
        </w:rPr>
        <w:lastRenderedPageBreak/>
        <w:t>Glasby, J. and Dickinson, H. (2014)</w:t>
      </w:r>
      <w:r w:rsidRPr="00A14E35">
        <w:rPr>
          <w:rStyle w:val="apple-converted-space"/>
          <w:rFonts w:ascii="Arial" w:hAnsi="Arial" w:cs="Arial"/>
          <w:color w:val="000000"/>
        </w:rPr>
        <w:t> </w:t>
      </w:r>
      <w:r w:rsidRPr="00A14E35">
        <w:rPr>
          <w:rStyle w:val="Emphasis"/>
          <w:rFonts w:ascii="Arial" w:hAnsi="Arial" w:cs="Arial"/>
          <w:color w:val="000000"/>
        </w:rPr>
        <w:t>Partnership Working in Health and Social Care</w:t>
      </w:r>
      <w:r w:rsidRPr="00A14E35">
        <w:rPr>
          <w:rFonts w:ascii="Arial" w:hAnsi="Arial" w:cs="Arial"/>
          <w:color w:val="000000"/>
        </w:rPr>
        <w:t>. Available at:</w:t>
      </w:r>
      <w:r w:rsidRPr="00A14E35">
        <w:rPr>
          <w:rFonts w:ascii="Arial" w:hAnsi="Arial" w:cs="Arial"/>
          <w:color w:val="000000"/>
        </w:rPr>
        <w:br/>
        <w:t>https://policy.bristoluniversitypress.co.uk/partnership-working-in-health-and-social-care</w:t>
      </w:r>
      <w:r w:rsidRPr="00A14E35">
        <w:rPr>
          <w:rFonts w:ascii="Arial" w:hAnsi="Arial" w:cs="Arial"/>
          <w:color w:val="000000"/>
        </w:rPr>
        <w:br/>
        <w:t>(Accessed: 20 March 2026).</w:t>
      </w:r>
    </w:p>
    <w:p w14:paraId="2579B0C1" w14:textId="77777777" w:rsidR="00A14E35" w:rsidRPr="00A14E35" w:rsidRDefault="00A14E35" w:rsidP="00A14E35">
      <w:pPr>
        <w:pStyle w:val="NormalWeb"/>
        <w:rPr>
          <w:rFonts w:ascii="Arial" w:hAnsi="Arial" w:cs="Arial"/>
          <w:color w:val="000000"/>
        </w:rPr>
      </w:pPr>
      <w:r w:rsidRPr="00A14E35">
        <w:rPr>
          <w:rFonts w:ascii="Arial" w:hAnsi="Arial" w:cs="Arial"/>
          <w:color w:val="000000"/>
        </w:rPr>
        <w:t>Greenhalgh, T. et al. (2004)</w:t>
      </w:r>
      <w:r w:rsidRPr="00A14E35">
        <w:rPr>
          <w:rStyle w:val="apple-converted-space"/>
          <w:rFonts w:ascii="Arial" w:hAnsi="Arial" w:cs="Arial"/>
          <w:color w:val="000000"/>
        </w:rPr>
        <w:t> </w:t>
      </w:r>
      <w:r w:rsidRPr="00A14E35">
        <w:rPr>
          <w:rStyle w:val="Emphasis"/>
          <w:rFonts w:ascii="Arial" w:hAnsi="Arial" w:cs="Arial"/>
          <w:color w:val="000000"/>
        </w:rPr>
        <w:t>Diffusion of Innovations in Service Organizations</w:t>
      </w:r>
      <w:r w:rsidRPr="00A14E35">
        <w:rPr>
          <w:rFonts w:ascii="Arial" w:hAnsi="Arial" w:cs="Arial"/>
          <w:color w:val="000000"/>
        </w:rPr>
        <w:t>. Available at:</w:t>
      </w:r>
      <w:r w:rsidRPr="00A14E35">
        <w:rPr>
          <w:rFonts w:ascii="Arial" w:hAnsi="Arial" w:cs="Arial"/>
          <w:color w:val="000000"/>
        </w:rPr>
        <w:br/>
      </w:r>
      <w:hyperlink r:id="rId9" w:tgtFrame="_new" w:history="1">
        <w:r w:rsidRPr="00A14E35">
          <w:rPr>
            <w:rStyle w:val="Hyperlink"/>
            <w:rFonts w:ascii="Arial" w:hAnsi="Arial" w:cs="Arial"/>
          </w:rPr>
          <w:t>https://onlinelibrary.wiley.com/doi/book/10.1002/9780470987407</w:t>
        </w:r>
      </w:hyperlink>
      <w:r w:rsidRPr="00A14E35">
        <w:rPr>
          <w:rFonts w:ascii="Arial" w:hAnsi="Arial" w:cs="Arial"/>
          <w:color w:val="000000"/>
        </w:rPr>
        <w:br/>
        <w:t>(Accessed: 20 March 2026).</w:t>
      </w:r>
    </w:p>
    <w:p w14:paraId="487EB0C8" w14:textId="77777777" w:rsidR="00A14E35" w:rsidRPr="00A14E35" w:rsidRDefault="00A14E35" w:rsidP="00A14E35">
      <w:pPr>
        <w:pStyle w:val="NormalWeb"/>
        <w:rPr>
          <w:rFonts w:ascii="Arial" w:hAnsi="Arial" w:cs="Arial"/>
          <w:color w:val="000000"/>
        </w:rPr>
      </w:pPr>
      <w:proofErr w:type="spellStart"/>
      <w:r w:rsidRPr="00A14E35">
        <w:rPr>
          <w:rFonts w:ascii="Arial" w:hAnsi="Arial" w:cs="Arial"/>
          <w:color w:val="000000"/>
        </w:rPr>
        <w:t>Kitwood</w:t>
      </w:r>
      <w:proofErr w:type="spellEnd"/>
      <w:r w:rsidRPr="00A14E35">
        <w:rPr>
          <w:rFonts w:ascii="Arial" w:hAnsi="Arial" w:cs="Arial"/>
          <w:color w:val="000000"/>
        </w:rPr>
        <w:t>, T. (1997)</w:t>
      </w:r>
      <w:r w:rsidRPr="00A14E35">
        <w:rPr>
          <w:rStyle w:val="apple-converted-space"/>
          <w:rFonts w:ascii="Arial" w:hAnsi="Arial" w:cs="Arial"/>
          <w:color w:val="000000"/>
        </w:rPr>
        <w:t> </w:t>
      </w:r>
      <w:r w:rsidRPr="00A14E35">
        <w:rPr>
          <w:rStyle w:val="Emphasis"/>
          <w:rFonts w:ascii="Arial" w:hAnsi="Arial" w:cs="Arial"/>
          <w:color w:val="000000"/>
        </w:rPr>
        <w:t>Dementia Reconsidered: The Person Comes First</w:t>
      </w:r>
      <w:r w:rsidRPr="00A14E35">
        <w:rPr>
          <w:rFonts w:ascii="Arial" w:hAnsi="Arial" w:cs="Arial"/>
          <w:color w:val="000000"/>
        </w:rPr>
        <w:t>. Available at:</w:t>
      </w:r>
      <w:r w:rsidRPr="00A14E35">
        <w:rPr>
          <w:rFonts w:ascii="Arial" w:hAnsi="Arial" w:cs="Arial"/>
          <w:color w:val="000000"/>
        </w:rPr>
        <w:br/>
        <w:t>https://www.mheducation.co.uk/dementia-reconsidered-9780335198559-emea</w:t>
      </w:r>
      <w:r w:rsidRPr="00A14E35">
        <w:rPr>
          <w:rFonts w:ascii="Arial" w:hAnsi="Arial" w:cs="Arial"/>
          <w:color w:val="000000"/>
        </w:rPr>
        <w:br/>
        <w:t>(Accessed: 20 March 2026).</w:t>
      </w:r>
    </w:p>
    <w:p w14:paraId="3F50CC3C" w14:textId="77777777" w:rsidR="00A14E35" w:rsidRPr="00A14E35" w:rsidRDefault="00A14E35" w:rsidP="00A14E35">
      <w:pPr>
        <w:pStyle w:val="NormalWeb"/>
        <w:rPr>
          <w:rFonts w:ascii="Arial" w:hAnsi="Arial" w:cs="Arial"/>
          <w:color w:val="000000"/>
        </w:rPr>
      </w:pPr>
      <w:r w:rsidRPr="00A14E35">
        <w:rPr>
          <w:rFonts w:ascii="Arial" w:hAnsi="Arial" w:cs="Arial"/>
          <w:color w:val="000000"/>
        </w:rPr>
        <w:t>National Institute for Health and Care Excellence (2014)</w:t>
      </w:r>
      <w:r w:rsidRPr="00A14E35">
        <w:rPr>
          <w:rStyle w:val="apple-converted-space"/>
          <w:rFonts w:ascii="Arial" w:hAnsi="Arial" w:cs="Arial"/>
          <w:color w:val="000000"/>
        </w:rPr>
        <w:t> </w:t>
      </w:r>
      <w:r w:rsidRPr="00A14E35">
        <w:rPr>
          <w:rStyle w:val="Emphasis"/>
          <w:rFonts w:ascii="Arial" w:hAnsi="Arial" w:cs="Arial"/>
          <w:color w:val="000000"/>
        </w:rPr>
        <w:t>Managing medicines in care homes (SC1)</w:t>
      </w:r>
      <w:r w:rsidRPr="00A14E35">
        <w:rPr>
          <w:rFonts w:ascii="Arial" w:hAnsi="Arial" w:cs="Arial"/>
          <w:color w:val="000000"/>
        </w:rPr>
        <w:t>. Available at:</w:t>
      </w:r>
      <w:r w:rsidRPr="00A14E35">
        <w:rPr>
          <w:rFonts w:ascii="Arial" w:hAnsi="Arial" w:cs="Arial"/>
          <w:color w:val="000000"/>
        </w:rPr>
        <w:br/>
      </w:r>
      <w:hyperlink r:id="rId10" w:tgtFrame="_new" w:history="1">
        <w:r w:rsidRPr="00A14E35">
          <w:rPr>
            <w:rStyle w:val="Hyperlink"/>
            <w:rFonts w:ascii="Arial" w:hAnsi="Arial" w:cs="Arial"/>
          </w:rPr>
          <w:t>https://www.nice.org.uk/guidance/sc1</w:t>
        </w:r>
      </w:hyperlink>
      <w:r w:rsidRPr="00A14E35">
        <w:rPr>
          <w:rFonts w:ascii="Arial" w:hAnsi="Arial" w:cs="Arial"/>
          <w:color w:val="000000"/>
        </w:rPr>
        <w:br/>
        <w:t>(Accessed: 20 March 2026).</w:t>
      </w:r>
    </w:p>
    <w:p w14:paraId="19B80300" w14:textId="77777777" w:rsidR="00A14E35" w:rsidRPr="00A14E35" w:rsidRDefault="00A14E35" w:rsidP="00A14E35">
      <w:pPr>
        <w:pStyle w:val="NormalWeb"/>
        <w:rPr>
          <w:rFonts w:ascii="Arial" w:hAnsi="Arial" w:cs="Arial"/>
          <w:color w:val="000000"/>
        </w:rPr>
      </w:pPr>
      <w:r w:rsidRPr="00A14E35">
        <w:rPr>
          <w:rFonts w:ascii="Arial" w:hAnsi="Arial" w:cs="Arial"/>
          <w:color w:val="000000"/>
        </w:rPr>
        <w:t>Topol, E. (2019)</w:t>
      </w:r>
      <w:r w:rsidRPr="00A14E35">
        <w:rPr>
          <w:rStyle w:val="apple-converted-space"/>
          <w:rFonts w:ascii="Arial" w:hAnsi="Arial" w:cs="Arial"/>
          <w:color w:val="000000"/>
        </w:rPr>
        <w:t> </w:t>
      </w:r>
      <w:r w:rsidRPr="00A14E35">
        <w:rPr>
          <w:rStyle w:val="Emphasis"/>
          <w:rFonts w:ascii="Arial" w:hAnsi="Arial" w:cs="Arial"/>
          <w:color w:val="000000"/>
        </w:rPr>
        <w:t>Deep Medicine: How Artificial Intelligence Can Make Healthcare Human Again</w:t>
      </w:r>
      <w:r w:rsidRPr="00A14E35">
        <w:rPr>
          <w:rFonts w:ascii="Arial" w:hAnsi="Arial" w:cs="Arial"/>
          <w:color w:val="000000"/>
        </w:rPr>
        <w:t>. Available at:</w:t>
      </w:r>
      <w:r w:rsidRPr="00A14E35">
        <w:rPr>
          <w:rFonts w:ascii="Arial" w:hAnsi="Arial" w:cs="Arial"/>
          <w:color w:val="000000"/>
        </w:rPr>
        <w:br/>
      </w:r>
      <w:hyperlink r:id="rId11" w:tgtFrame="_new" w:history="1">
        <w:r w:rsidRPr="00A14E35">
          <w:rPr>
            <w:rStyle w:val="Hyperlink"/>
            <w:rFonts w:ascii="Arial" w:hAnsi="Arial" w:cs="Arial"/>
          </w:rPr>
          <w:t>https://www.basicbooks.com/titles/eric-topol/deep-medicine/9781541644632/</w:t>
        </w:r>
      </w:hyperlink>
      <w:r w:rsidRPr="00A14E35">
        <w:rPr>
          <w:rFonts w:ascii="Arial" w:hAnsi="Arial" w:cs="Arial"/>
          <w:color w:val="000000"/>
        </w:rPr>
        <w:br/>
        <w:t>(Accessed: 20 March 2026).</w:t>
      </w:r>
    </w:p>
    <w:p w14:paraId="4357CB60" w14:textId="77777777" w:rsidR="00A14E35" w:rsidRPr="00A14E35" w:rsidRDefault="00A14E35" w:rsidP="00A14E35">
      <w:pPr>
        <w:pStyle w:val="NormalWeb"/>
        <w:rPr>
          <w:rFonts w:ascii="Arial" w:hAnsi="Arial" w:cs="Arial"/>
          <w:color w:val="000000"/>
        </w:rPr>
      </w:pPr>
      <w:r w:rsidRPr="00A14E35">
        <w:rPr>
          <w:rFonts w:ascii="Arial" w:hAnsi="Arial" w:cs="Arial"/>
          <w:color w:val="000000"/>
        </w:rPr>
        <w:t>West, M.A. and Farr, J.L. (1990)</w:t>
      </w:r>
      <w:r w:rsidRPr="00A14E35">
        <w:rPr>
          <w:rStyle w:val="apple-converted-space"/>
          <w:rFonts w:ascii="Arial" w:hAnsi="Arial" w:cs="Arial"/>
          <w:color w:val="000000"/>
        </w:rPr>
        <w:t> </w:t>
      </w:r>
      <w:r w:rsidRPr="00A14E35">
        <w:rPr>
          <w:rStyle w:val="Emphasis"/>
          <w:rFonts w:ascii="Arial" w:hAnsi="Arial" w:cs="Arial"/>
          <w:color w:val="000000"/>
        </w:rPr>
        <w:t>Innovation and Creativity at Work</w:t>
      </w:r>
      <w:r w:rsidRPr="00A14E35">
        <w:rPr>
          <w:rFonts w:ascii="Arial" w:hAnsi="Arial" w:cs="Arial"/>
          <w:color w:val="000000"/>
        </w:rPr>
        <w:t>. Available at:</w:t>
      </w:r>
      <w:r w:rsidRPr="00A14E35">
        <w:rPr>
          <w:rFonts w:ascii="Arial" w:hAnsi="Arial" w:cs="Arial"/>
          <w:color w:val="000000"/>
        </w:rPr>
        <w:br/>
        <w:t>https://onlinelibrary.wiley.com/doi/book/10.1002/9780470696736</w:t>
      </w:r>
      <w:r w:rsidRPr="00A14E35">
        <w:rPr>
          <w:rFonts w:ascii="Arial" w:hAnsi="Arial" w:cs="Arial"/>
          <w:color w:val="000000"/>
        </w:rPr>
        <w:br/>
        <w:t>(Accessed: 20 March 2026).</w:t>
      </w:r>
    </w:p>
    <w:p w14:paraId="1A21FA71" w14:textId="77777777" w:rsidR="00A14E35" w:rsidRPr="00A14E35" w:rsidRDefault="00A14E35" w:rsidP="00A14E35">
      <w:pPr>
        <w:pStyle w:val="NormalWeb"/>
        <w:rPr>
          <w:rFonts w:ascii="Arial" w:hAnsi="Arial" w:cs="Arial"/>
          <w:color w:val="000000"/>
        </w:rPr>
      </w:pPr>
      <w:r w:rsidRPr="00A14E35">
        <w:rPr>
          <w:rFonts w:ascii="Arial" w:hAnsi="Arial" w:cs="Arial"/>
          <w:color w:val="000000"/>
        </w:rPr>
        <w:t>World Health Organization (2017)</w:t>
      </w:r>
      <w:r w:rsidRPr="00A14E35">
        <w:rPr>
          <w:rStyle w:val="apple-converted-space"/>
          <w:rFonts w:ascii="Arial" w:hAnsi="Arial" w:cs="Arial"/>
          <w:color w:val="000000"/>
        </w:rPr>
        <w:t> </w:t>
      </w:r>
      <w:r w:rsidRPr="00A14E35">
        <w:rPr>
          <w:rStyle w:val="Emphasis"/>
          <w:rFonts w:ascii="Arial" w:hAnsi="Arial" w:cs="Arial"/>
          <w:color w:val="000000"/>
        </w:rPr>
        <w:t>Medication Without Harm</w:t>
      </w:r>
      <w:r w:rsidRPr="00A14E35">
        <w:rPr>
          <w:rFonts w:ascii="Arial" w:hAnsi="Arial" w:cs="Arial"/>
          <w:color w:val="000000"/>
        </w:rPr>
        <w:t>. Available at:</w:t>
      </w:r>
      <w:r w:rsidRPr="00A14E35">
        <w:rPr>
          <w:rFonts w:ascii="Arial" w:hAnsi="Arial" w:cs="Arial"/>
          <w:color w:val="000000"/>
        </w:rPr>
        <w:br/>
      </w:r>
      <w:hyperlink r:id="rId12" w:tgtFrame="_new" w:history="1">
        <w:r w:rsidRPr="00A14E35">
          <w:rPr>
            <w:rStyle w:val="Hyperlink"/>
            <w:rFonts w:ascii="Arial" w:hAnsi="Arial" w:cs="Arial"/>
          </w:rPr>
          <w:t>https://www.who.int/initiatives/medication-without-harm</w:t>
        </w:r>
      </w:hyperlink>
      <w:r w:rsidRPr="00A14E35">
        <w:rPr>
          <w:rFonts w:ascii="Arial" w:hAnsi="Arial" w:cs="Arial"/>
          <w:color w:val="000000"/>
        </w:rPr>
        <w:br/>
        <w:t>(Accessed: 20 March 2026).</w:t>
      </w:r>
    </w:p>
    <w:p w14:paraId="24918F5A" w14:textId="77777777" w:rsidR="00A14E35" w:rsidRPr="00A14E35" w:rsidRDefault="00A14E35" w:rsidP="00A14E35">
      <w:pPr>
        <w:pStyle w:val="NormalWeb"/>
        <w:rPr>
          <w:rFonts w:ascii="Arial" w:hAnsi="Arial" w:cs="Arial"/>
          <w:color w:val="000000"/>
        </w:rPr>
      </w:pPr>
      <w:r w:rsidRPr="00A14E35">
        <w:rPr>
          <w:rFonts w:ascii="Arial" w:hAnsi="Arial" w:cs="Arial"/>
          <w:color w:val="000000"/>
        </w:rPr>
        <w:t>UK Government (2018)</w:t>
      </w:r>
      <w:r w:rsidRPr="00A14E35">
        <w:rPr>
          <w:rStyle w:val="apple-converted-space"/>
          <w:rFonts w:ascii="Arial" w:hAnsi="Arial" w:cs="Arial"/>
          <w:color w:val="000000"/>
        </w:rPr>
        <w:t> </w:t>
      </w:r>
      <w:r w:rsidRPr="00A14E35">
        <w:rPr>
          <w:rStyle w:val="Emphasis"/>
          <w:rFonts w:ascii="Arial" w:hAnsi="Arial" w:cs="Arial"/>
          <w:color w:val="000000"/>
        </w:rPr>
        <w:t>Data Protection Act 2018</w:t>
      </w:r>
      <w:r w:rsidRPr="00A14E35">
        <w:rPr>
          <w:rFonts w:ascii="Arial" w:hAnsi="Arial" w:cs="Arial"/>
          <w:color w:val="000000"/>
        </w:rPr>
        <w:t>. Available at:</w:t>
      </w:r>
      <w:r w:rsidRPr="00A14E35">
        <w:rPr>
          <w:rFonts w:ascii="Arial" w:hAnsi="Arial" w:cs="Arial"/>
          <w:color w:val="000000"/>
        </w:rPr>
        <w:br/>
      </w:r>
      <w:hyperlink r:id="rId13" w:tgtFrame="_new" w:history="1">
        <w:r w:rsidRPr="00A14E35">
          <w:rPr>
            <w:rStyle w:val="Hyperlink"/>
            <w:rFonts w:ascii="Arial" w:hAnsi="Arial" w:cs="Arial"/>
          </w:rPr>
          <w:t>https://www.legislation.gov.uk/ukpga/2018/12/contents/enacted</w:t>
        </w:r>
      </w:hyperlink>
      <w:r w:rsidRPr="00A14E35">
        <w:rPr>
          <w:rFonts w:ascii="Arial" w:hAnsi="Arial" w:cs="Arial"/>
          <w:color w:val="000000"/>
        </w:rPr>
        <w:br/>
        <w:t>(Accessed: 20 March 2026).</w:t>
      </w:r>
    </w:p>
    <w:p w14:paraId="7FCCB9AC" w14:textId="77777777" w:rsidR="00A14E35" w:rsidRDefault="00A14E35" w:rsidP="008375B5">
      <w:pPr>
        <w:spacing w:line="360" w:lineRule="auto"/>
        <w:rPr>
          <w:rFonts w:ascii="Times New Roman" w:hAnsi="Times New Roman"/>
          <w:sz w:val="28"/>
          <w:szCs w:val="28"/>
        </w:rPr>
      </w:pPr>
    </w:p>
    <w:p w14:paraId="10182F60" w14:textId="77777777" w:rsidR="00221338" w:rsidRDefault="00221338" w:rsidP="008375B5">
      <w:pPr>
        <w:spacing w:line="360" w:lineRule="auto"/>
        <w:rPr>
          <w:rFonts w:ascii="Times New Roman" w:hAnsi="Times New Roman"/>
          <w:sz w:val="28"/>
          <w:szCs w:val="28"/>
        </w:rPr>
      </w:pPr>
    </w:p>
    <w:p w14:paraId="08A2EAD6" w14:textId="77777777" w:rsidR="00221338" w:rsidRDefault="00221338" w:rsidP="008375B5">
      <w:pPr>
        <w:spacing w:line="360" w:lineRule="auto"/>
        <w:rPr>
          <w:rFonts w:ascii="Times New Roman" w:hAnsi="Times New Roman"/>
          <w:sz w:val="28"/>
          <w:szCs w:val="28"/>
        </w:rPr>
      </w:pPr>
    </w:p>
    <w:p w14:paraId="43AD07BE" w14:textId="77777777" w:rsidR="00221338" w:rsidRDefault="00221338" w:rsidP="008375B5">
      <w:pPr>
        <w:spacing w:line="360" w:lineRule="auto"/>
        <w:rPr>
          <w:rFonts w:ascii="Times New Roman" w:hAnsi="Times New Roman"/>
          <w:sz w:val="28"/>
          <w:szCs w:val="28"/>
        </w:rPr>
      </w:pPr>
    </w:p>
    <w:p w14:paraId="08FB32D1" w14:textId="77777777" w:rsidR="00221338" w:rsidRDefault="00221338" w:rsidP="008375B5">
      <w:pPr>
        <w:spacing w:line="360" w:lineRule="auto"/>
        <w:rPr>
          <w:rFonts w:ascii="Times New Roman" w:hAnsi="Times New Roman"/>
          <w:sz w:val="28"/>
          <w:szCs w:val="28"/>
        </w:rPr>
      </w:pPr>
    </w:p>
    <w:p w14:paraId="4FE5AC25" w14:textId="05A70858" w:rsidR="00221338" w:rsidRPr="00221338" w:rsidRDefault="00221338" w:rsidP="008375B5">
      <w:pPr>
        <w:spacing w:line="360" w:lineRule="auto"/>
        <w:rPr>
          <w:rFonts w:ascii="Arial" w:hAnsi="Arial" w:cs="Arial"/>
        </w:rPr>
      </w:pPr>
      <w:r w:rsidRPr="00221338">
        <w:rPr>
          <w:rFonts w:ascii="Arial" w:hAnsi="Arial" w:cs="Arial"/>
        </w:rPr>
        <w:lastRenderedPageBreak/>
        <w:t xml:space="preserve">Task 2: Pitch </w:t>
      </w:r>
      <w:proofErr w:type="spellStart"/>
      <w:r w:rsidRPr="00221338">
        <w:rPr>
          <w:rFonts w:ascii="Arial" w:hAnsi="Arial" w:cs="Arial"/>
          <w:color w:val="000000"/>
        </w:rPr>
        <w:t>SmartMed</w:t>
      </w:r>
      <w:proofErr w:type="spellEnd"/>
      <w:r w:rsidRPr="00221338">
        <w:rPr>
          <w:rFonts w:ascii="Arial" w:hAnsi="Arial" w:cs="Arial"/>
          <w:color w:val="000000"/>
        </w:rPr>
        <w:t xml:space="preserve"> Care – Improving Medication Safety in UK Care Homes</w:t>
      </w:r>
    </w:p>
    <w:p w14:paraId="16EF1C8D" w14:textId="77777777" w:rsidR="00221338" w:rsidRDefault="00221338" w:rsidP="008375B5">
      <w:pPr>
        <w:spacing w:line="360" w:lineRule="auto"/>
        <w:rPr>
          <w:rFonts w:ascii="Arial" w:hAnsi="Arial" w:cs="Arial"/>
          <w:sz w:val="28"/>
          <w:szCs w:val="28"/>
        </w:rPr>
      </w:pPr>
    </w:p>
    <w:p w14:paraId="6C71C0BF" w14:textId="7DF39173" w:rsidR="00221338" w:rsidRPr="00805436" w:rsidRDefault="00221338" w:rsidP="008375B5">
      <w:pPr>
        <w:spacing w:line="360" w:lineRule="auto"/>
        <w:rPr>
          <w:rFonts w:ascii="Arial" w:hAnsi="Arial" w:cs="Arial"/>
          <w:color w:val="000000"/>
          <w:sz w:val="22"/>
          <w:szCs w:val="22"/>
        </w:rPr>
      </w:pPr>
      <w:r w:rsidRPr="00805436">
        <w:rPr>
          <w:rFonts w:ascii="Arial" w:hAnsi="Arial" w:cs="Arial"/>
          <w:color w:val="000000"/>
          <w:sz w:val="22"/>
          <w:szCs w:val="22"/>
        </w:rPr>
        <w:t xml:space="preserve">Medication safety continues to be a critical concern within UK health and social care services, particularly in residential care settings where service users often present with complex health needs and require multiple prescribed medicines. This pitch aims to present </w:t>
      </w:r>
      <w:proofErr w:type="spellStart"/>
      <w:r w:rsidRPr="00805436">
        <w:rPr>
          <w:rFonts w:ascii="Arial" w:hAnsi="Arial" w:cs="Arial"/>
          <w:color w:val="000000"/>
          <w:sz w:val="22"/>
          <w:szCs w:val="22"/>
        </w:rPr>
        <w:t>SmartMed</w:t>
      </w:r>
      <w:proofErr w:type="spellEnd"/>
      <w:r w:rsidRPr="00805436">
        <w:rPr>
          <w:rFonts w:ascii="Arial" w:hAnsi="Arial" w:cs="Arial"/>
          <w:color w:val="000000"/>
          <w:sz w:val="22"/>
          <w:szCs w:val="22"/>
        </w:rPr>
        <w:t xml:space="preserve"> Care as an innovative digital solution that can significantly improve medication management practices in care homes while promoting safer outcomes for vulnerable populations.</w:t>
      </w:r>
    </w:p>
    <w:p w14:paraId="0D8B14D3" w14:textId="5DF0F5F2" w:rsidR="00221338" w:rsidRPr="00805436" w:rsidRDefault="00805436" w:rsidP="008375B5">
      <w:pPr>
        <w:spacing w:line="360" w:lineRule="auto"/>
        <w:rPr>
          <w:rFonts w:ascii="Arial" w:hAnsi="Arial" w:cs="Arial"/>
          <w:sz w:val="22"/>
          <w:szCs w:val="22"/>
        </w:rPr>
      </w:pPr>
      <w:r w:rsidRPr="00805436">
        <w:rPr>
          <w:rFonts w:ascii="Arial" w:hAnsi="Arial" w:cs="Arial"/>
          <w:sz w:val="22"/>
          <w:szCs w:val="22"/>
        </w:rPr>
        <w:t xml:space="preserve">To make it easier to assist caretakers during medication rounds, </w:t>
      </w:r>
      <w:proofErr w:type="spellStart"/>
      <w:r w:rsidRPr="00805436">
        <w:rPr>
          <w:rFonts w:ascii="Arial" w:hAnsi="Arial" w:cs="Arial"/>
          <w:sz w:val="22"/>
          <w:szCs w:val="22"/>
        </w:rPr>
        <w:t>SmartMed</w:t>
      </w:r>
      <w:proofErr w:type="spellEnd"/>
      <w:r w:rsidRPr="00805436">
        <w:rPr>
          <w:rFonts w:ascii="Arial" w:hAnsi="Arial" w:cs="Arial"/>
          <w:sz w:val="22"/>
          <w:szCs w:val="22"/>
        </w:rPr>
        <w:t xml:space="preserve"> Care is a digital drug safety system that incorporates barcode verification, electronic medication administration records (</w:t>
      </w:r>
      <w:proofErr w:type="spellStart"/>
      <w:r w:rsidRPr="00805436">
        <w:rPr>
          <w:rFonts w:ascii="Arial" w:hAnsi="Arial" w:cs="Arial"/>
          <w:sz w:val="22"/>
          <w:szCs w:val="22"/>
        </w:rPr>
        <w:t>eMAR</w:t>
      </w:r>
      <w:proofErr w:type="spellEnd"/>
      <w:r w:rsidRPr="00805436">
        <w:rPr>
          <w:rFonts w:ascii="Arial" w:hAnsi="Arial" w:cs="Arial"/>
          <w:sz w:val="22"/>
          <w:szCs w:val="22"/>
        </w:rPr>
        <w:t>), and automatic risk alarms. This invention lowers the possibility of human error and increases accountability in medicine processes by offering real-time instruction and documentation support, in contrast to conventional paper-based solutions. Innovation in healthcare encompasses not only the development of new technologies but also the improvement of patient safety and service quality through workable solutions that address actual problems encountered by frontline staff (West and Farr, 1990).</w:t>
      </w:r>
    </w:p>
    <w:p w14:paraId="155501FF" w14:textId="44A2ABE3" w:rsidR="00221338" w:rsidRPr="00805436" w:rsidRDefault="00805436" w:rsidP="008375B5">
      <w:pPr>
        <w:spacing w:line="360" w:lineRule="auto"/>
        <w:rPr>
          <w:rFonts w:ascii="Arial" w:hAnsi="Arial" w:cs="Arial"/>
          <w:sz w:val="22"/>
          <w:szCs w:val="22"/>
        </w:rPr>
      </w:pPr>
      <w:r w:rsidRPr="00805436">
        <w:rPr>
          <w:rFonts w:ascii="Arial" w:hAnsi="Arial" w:cs="Arial"/>
          <w:sz w:val="22"/>
          <w:szCs w:val="22"/>
        </w:rPr>
        <w:t>The increasing frequency of medication errors in assisted living facilities is one of the primary reasons this innovation is required. Many locals have several chronic ailments that necessitate complicated prescription schedules, such as diabetes, heart disease, dementia, or respiratory disorders. According to research, prescription mistakes are still frequently made in assisted living facilities, which can result in needless hospital stays, declining health, and a lower standard of living (Elliott et al., 2018). Additionally, inadequate documentation, poor professional communication, and disruptions during medicine administration rounds are frequently linked to manual medication systems.</w:t>
      </w:r>
    </w:p>
    <w:p w14:paraId="7F752C3A" w14:textId="77777777" w:rsidR="00805436" w:rsidRPr="00805436" w:rsidRDefault="00805436" w:rsidP="00805436">
      <w:pPr>
        <w:pStyle w:val="NormalWeb"/>
        <w:rPr>
          <w:rFonts w:ascii="Arial" w:hAnsi="Arial" w:cs="Arial"/>
          <w:color w:val="000000"/>
          <w:sz w:val="22"/>
          <w:szCs w:val="22"/>
        </w:rPr>
      </w:pPr>
      <w:r w:rsidRPr="00805436">
        <w:rPr>
          <w:rFonts w:ascii="Arial" w:hAnsi="Arial" w:cs="Arial"/>
          <w:color w:val="000000"/>
          <w:sz w:val="22"/>
          <w:szCs w:val="22"/>
        </w:rPr>
        <w:t xml:space="preserve">The World Health Organization has identified medication safety as a global priority, estimating that medication-related harm causes substantial economic and social burden worldwide (WHO, 2017). Therefore, introducing digital systems such as </w:t>
      </w:r>
      <w:proofErr w:type="spellStart"/>
      <w:r w:rsidRPr="00805436">
        <w:rPr>
          <w:rFonts w:ascii="Arial" w:hAnsi="Arial" w:cs="Arial"/>
          <w:color w:val="000000"/>
          <w:sz w:val="22"/>
          <w:szCs w:val="22"/>
        </w:rPr>
        <w:t>SmartMed</w:t>
      </w:r>
      <w:proofErr w:type="spellEnd"/>
      <w:r w:rsidRPr="00805436">
        <w:rPr>
          <w:rFonts w:ascii="Arial" w:hAnsi="Arial" w:cs="Arial"/>
          <w:color w:val="000000"/>
          <w:sz w:val="22"/>
          <w:szCs w:val="22"/>
        </w:rPr>
        <w:t xml:space="preserve"> Care can contribute to wider patient safety initiatives and support national strategies aimed at improving healthcare quality.</w:t>
      </w:r>
    </w:p>
    <w:p w14:paraId="4D2EA657" w14:textId="77777777" w:rsidR="00805436" w:rsidRPr="00805436" w:rsidRDefault="00805436" w:rsidP="00805436">
      <w:pPr>
        <w:pStyle w:val="NormalWeb"/>
        <w:rPr>
          <w:rFonts w:ascii="Arial" w:hAnsi="Arial" w:cs="Arial"/>
          <w:color w:val="000000"/>
          <w:sz w:val="22"/>
          <w:szCs w:val="22"/>
        </w:rPr>
      </w:pPr>
      <w:r w:rsidRPr="00805436">
        <w:rPr>
          <w:rFonts w:ascii="Arial" w:hAnsi="Arial" w:cs="Arial"/>
          <w:color w:val="000000"/>
          <w:sz w:val="22"/>
          <w:szCs w:val="22"/>
        </w:rPr>
        <w:t xml:space="preserve">This innovation is particularly relevant for older adults living in residential and nursing homes, as well as adults with learning disabilities who rely on staff support for medication administration. These groups may experience increased vulnerability due to cognitive impairment, reduced physical independence, or communication barriers. By introducing digital reminders, safety alerts, and barcode scanning verification, </w:t>
      </w:r>
      <w:proofErr w:type="spellStart"/>
      <w:r w:rsidRPr="00805436">
        <w:rPr>
          <w:rFonts w:ascii="Arial" w:hAnsi="Arial" w:cs="Arial"/>
          <w:color w:val="000000"/>
          <w:sz w:val="22"/>
          <w:szCs w:val="22"/>
        </w:rPr>
        <w:t>SmartMed</w:t>
      </w:r>
      <w:proofErr w:type="spellEnd"/>
      <w:r w:rsidRPr="00805436">
        <w:rPr>
          <w:rFonts w:ascii="Arial" w:hAnsi="Arial" w:cs="Arial"/>
          <w:color w:val="000000"/>
          <w:sz w:val="22"/>
          <w:szCs w:val="22"/>
        </w:rPr>
        <w:t xml:space="preserve"> Care supports accurate medication delivery while also promoting a more person-centred approach to care. Person-centred care frameworks emphasise the importance of respecting individuals’ </w:t>
      </w:r>
      <w:r w:rsidRPr="00805436">
        <w:rPr>
          <w:rFonts w:ascii="Arial" w:hAnsi="Arial" w:cs="Arial"/>
          <w:color w:val="000000"/>
          <w:sz w:val="22"/>
          <w:szCs w:val="22"/>
        </w:rPr>
        <w:lastRenderedPageBreak/>
        <w:t>preferences, promoting dignity, and involving service users in decisions that affect their health (</w:t>
      </w:r>
      <w:proofErr w:type="spellStart"/>
      <w:r w:rsidRPr="00805436">
        <w:rPr>
          <w:rFonts w:ascii="Arial" w:hAnsi="Arial" w:cs="Arial"/>
          <w:color w:val="000000"/>
          <w:sz w:val="22"/>
          <w:szCs w:val="22"/>
        </w:rPr>
        <w:t>Kitwood</w:t>
      </w:r>
      <w:proofErr w:type="spellEnd"/>
      <w:r w:rsidRPr="00805436">
        <w:rPr>
          <w:rFonts w:ascii="Arial" w:hAnsi="Arial" w:cs="Arial"/>
          <w:color w:val="000000"/>
          <w:sz w:val="22"/>
          <w:szCs w:val="22"/>
        </w:rPr>
        <w:t>, 1997).</w:t>
      </w:r>
    </w:p>
    <w:p w14:paraId="11B0442E" w14:textId="77777777" w:rsidR="00805436" w:rsidRPr="00805436" w:rsidRDefault="00805436" w:rsidP="00805436">
      <w:pPr>
        <w:pStyle w:val="NormalWeb"/>
        <w:rPr>
          <w:rFonts w:ascii="Arial" w:hAnsi="Arial" w:cs="Arial"/>
          <w:color w:val="000000"/>
          <w:sz w:val="22"/>
          <w:szCs w:val="22"/>
        </w:rPr>
      </w:pPr>
      <w:r w:rsidRPr="00805436">
        <w:rPr>
          <w:rFonts w:ascii="Arial" w:hAnsi="Arial" w:cs="Arial"/>
          <w:color w:val="000000"/>
          <w:sz w:val="22"/>
          <w:szCs w:val="22"/>
        </w:rPr>
        <w:t xml:space="preserve">The impact of </w:t>
      </w:r>
      <w:proofErr w:type="spellStart"/>
      <w:r w:rsidRPr="00805436">
        <w:rPr>
          <w:rFonts w:ascii="Arial" w:hAnsi="Arial" w:cs="Arial"/>
          <w:color w:val="000000"/>
          <w:sz w:val="22"/>
          <w:szCs w:val="22"/>
        </w:rPr>
        <w:t>SmartMed</w:t>
      </w:r>
      <w:proofErr w:type="spellEnd"/>
      <w:r w:rsidRPr="00805436">
        <w:rPr>
          <w:rFonts w:ascii="Arial" w:hAnsi="Arial" w:cs="Arial"/>
          <w:color w:val="000000"/>
          <w:sz w:val="22"/>
          <w:szCs w:val="22"/>
        </w:rPr>
        <w:t xml:space="preserve"> Care extends beyond individual residents. For care staff, the innovation provides increased confidence and structured support during medication administration. Staff working in social care settings often experience high workloads and emotional stress, which may increase the risk of clinical mistakes. Providing digital tools that guide safe practice can reduce anxiety, improve job satisfaction, and support professional accountability. Additionally, improved medication safety may reduce safeguarding concerns and contribute to stronger organisational governance.</w:t>
      </w:r>
    </w:p>
    <w:p w14:paraId="323453C1" w14:textId="77777777" w:rsidR="00805436" w:rsidRPr="00805436" w:rsidRDefault="00805436" w:rsidP="00805436">
      <w:pPr>
        <w:pStyle w:val="NormalWeb"/>
        <w:rPr>
          <w:rFonts w:ascii="Arial" w:hAnsi="Arial" w:cs="Arial"/>
          <w:color w:val="000000"/>
          <w:sz w:val="22"/>
          <w:szCs w:val="22"/>
        </w:rPr>
      </w:pPr>
      <w:r w:rsidRPr="00805436">
        <w:rPr>
          <w:rFonts w:ascii="Arial" w:hAnsi="Arial" w:cs="Arial"/>
          <w:color w:val="000000"/>
          <w:sz w:val="22"/>
          <w:szCs w:val="22"/>
        </w:rPr>
        <w:t xml:space="preserve">Implementation of </w:t>
      </w:r>
      <w:proofErr w:type="spellStart"/>
      <w:r w:rsidRPr="00805436">
        <w:rPr>
          <w:rFonts w:ascii="Arial" w:hAnsi="Arial" w:cs="Arial"/>
          <w:color w:val="000000"/>
          <w:sz w:val="22"/>
          <w:szCs w:val="22"/>
        </w:rPr>
        <w:t>SmartMed</w:t>
      </w:r>
      <w:proofErr w:type="spellEnd"/>
      <w:r w:rsidRPr="00805436">
        <w:rPr>
          <w:rFonts w:ascii="Arial" w:hAnsi="Arial" w:cs="Arial"/>
          <w:color w:val="000000"/>
          <w:sz w:val="22"/>
          <w:szCs w:val="22"/>
        </w:rPr>
        <w:t xml:space="preserve"> Care would require collaboration between multiple stakeholders including care home managers, pharmacists, general practitioners, IT specialists, and regulatory bodies. Partnership working is recognised as an essential component of effective health and social care delivery because it promotes coordinated support and shared responsibility for patient outcomes (Glasby and Dickinson, 2014). Training programmes would need to be developed to ensure staff competence in using digital systems, alongside regular audits to monitor effectiveness.</w:t>
      </w:r>
    </w:p>
    <w:p w14:paraId="1C7DF20D" w14:textId="77777777" w:rsidR="00805436" w:rsidRPr="00805436" w:rsidRDefault="00805436" w:rsidP="00805436">
      <w:pPr>
        <w:pStyle w:val="NormalWeb"/>
        <w:rPr>
          <w:rFonts w:ascii="Arial" w:hAnsi="Arial" w:cs="Arial"/>
          <w:color w:val="000000"/>
          <w:sz w:val="22"/>
          <w:szCs w:val="22"/>
        </w:rPr>
      </w:pPr>
      <w:r w:rsidRPr="00805436">
        <w:rPr>
          <w:rFonts w:ascii="Arial" w:hAnsi="Arial" w:cs="Arial"/>
          <w:color w:val="000000"/>
          <w:sz w:val="22"/>
          <w:szCs w:val="22"/>
        </w:rPr>
        <w:t>From a legal and ethical perspective, the innovation must comply with UK regulatory frameworks such as the Care Quality Commission standards for medicines management and the Health and Social Care Act regulations. Ensuring compliance with the Data Protection Act 2018 and UK GDPR is also essential, as digital medication systems involve the processing and storage of sensitive personal health data. Maintaining confidentiality, transparency, and informed consent will be critical to gaining trust from service users and their families.</w:t>
      </w:r>
    </w:p>
    <w:p w14:paraId="26BB9585" w14:textId="77777777" w:rsidR="00805436" w:rsidRPr="00805436" w:rsidRDefault="00805436" w:rsidP="00805436">
      <w:pPr>
        <w:pStyle w:val="NormalWeb"/>
        <w:rPr>
          <w:rFonts w:ascii="Arial" w:hAnsi="Arial" w:cs="Arial"/>
          <w:color w:val="000000"/>
          <w:sz w:val="22"/>
          <w:szCs w:val="22"/>
        </w:rPr>
      </w:pPr>
      <w:r w:rsidRPr="00805436">
        <w:rPr>
          <w:rFonts w:ascii="Arial" w:hAnsi="Arial" w:cs="Arial"/>
          <w:color w:val="000000"/>
          <w:sz w:val="22"/>
          <w:szCs w:val="22"/>
        </w:rPr>
        <w:t xml:space="preserve">Technology integration plays a key role in enhancing the effectiveness of </w:t>
      </w:r>
      <w:proofErr w:type="spellStart"/>
      <w:r w:rsidRPr="00805436">
        <w:rPr>
          <w:rFonts w:ascii="Arial" w:hAnsi="Arial" w:cs="Arial"/>
          <w:color w:val="000000"/>
          <w:sz w:val="22"/>
          <w:szCs w:val="22"/>
        </w:rPr>
        <w:t>SmartMed</w:t>
      </w:r>
      <w:proofErr w:type="spellEnd"/>
      <w:r w:rsidRPr="00805436">
        <w:rPr>
          <w:rFonts w:ascii="Arial" w:hAnsi="Arial" w:cs="Arial"/>
          <w:color w:val="000000"/>
          <w:sz w:val="22"/>
          <w:szCs w:val="22"/>
        </w:rPr>
        <w:t xml:space="preserve"> Care. Artificial intelligence features can help identify patterns of medication risk, while cloud-based documentation enables authorised healthcare professionals to access real-time information. Digital transformation within healthcare has been shown to support clinical decision-making and improve service efficiency when implemented responsibly (Topol, 2019). However, it is also important to recognise potential barriers such as resistance to change, digital literacy challenges among staff, and financial costs associated with system adoption.</w:t>
      </w:r>
    </w:p>
    <w:p w14:paraId="0563DD05" w14:textId="77777777" w:rsidR="00805436" w:rsidRPr="00805436" w:rsidRDefault="00805436" w:rsidP="00805436">
      <w:pPr>
        <w:pStyle w:val="NormalWeb"/>
        <w:rPr>
          <w:rFonts w:ascii="Arial" w:hAnsi="Arial" w:cs="Arial"/>
          <w:color w:val="000000"/>
          <w:sz w:val="22"/>
          <w:szCs w:val="22"/>
        </w:rPr>
      </w:pPr>
      <w:proofErr w:type="gramStart"/>
      <w:r w:rsidRPr="00805436">
        <w:rPr>
          <w:rFonts w:ascii="Arial" w:hAnsi="Arial" w:cs="Arial"/>
          <w:color w:val="000000"/>
          <w:sz w:val="22"/>
          <w:szCs w:val="22"/>
        </w:rPr>
        <w:t>In order to</w:t>
      </w:r>
      <w:proofErr w:type="gramEnd"/>
      <w:r w:rsidRPr="00805436">
        <w:rPr>
          <w:rFonts w:ascii="Arial" w:hAnsi="Arial" w:cs="Arial"/>
          <w:color w:val="000000"/>
          <w:sz w:val="22"/>
          <w:szCs w:val="22"/>
        </w:rPr>
        <w:t xml:space="preserve"> promote </w:t>
      </w:r>
      <w:proofErr w:type="spellStart"/>
      <w:r w:rsidRPr="00805436">
        <w:rPr>
          <w:rFonts w:ascii="Arial" w:hAnsi="Arial" w:cs="Arial"/>
          <w:color w:val="000000"/>
          <w:sz w:val="22"/>
          <w:szCs w:val="22"/>
        </w:rPr>
        <w:t>SmartMed</w:t>
      </w:r>
      <w:proofErr w:type="spellEnd"/>
      <w:r w:rsidRPr="00805436">
        <w:rPr>
          <w:rFonts w:ascii="Arial" w:hAnsi="Arial" w:cs="Arial"/>
          <w:color w:val="000000"/>
          <w:sz w:val="22"/>
          <w:szCs w:val="22"/>
        </w:rPr>
        <w:t xml:space="preserve"> Care successfully, dissemination strategies must target both professional and public audiences. Awareness campaigns can be delivered through healthcare conferences, training workshops, social media platforms, and community engagement events. Encouraging the </w:t>
      </w:r>
      <w:proofErr w:type="gramStart"/>
      <w:r w:rsidRPr="00805436">
        <w:rPr>
          <w:rFonts w:ascii="Arial" w:hAnsi="Arial" w:cs="Arial"/>
          <w:color w:val="000000"/>
          <w:sz w:val="22"/>
          <w:szCs w:val="22"/>
        </w:rPr>
        <w:t>general public</w:t>
      </w:r>
      <w:proofErr w:type="gramEnd"/>
      <w:r w:rsidRPr="00805436">
        <w:rPr>
          <w:rFonts w:ascii="Arial" w:hAnsi="Arial" w:cs="Arial"/>
          <w:color w:val="000000"/>
          <w:sz w:val="22"/>
          <w:szCs w:val="22"/>
        </w:rPr>
        <w:t xml:space="preserve"> to understand the importance of medication safety can strengthen support for innovation and increase transparency within social care services. Research on innovation adoption highlights that effective communication and stakeholder involvement are essential for embedding new practices into routine service delivery (Greenhalgh et al., 2004).</w:t>
      </w:r>
    </w:p>
    <w:p w14:paraId="6322CA27" w14:textId="77777777" w:rsidR="00805436" w:rsidRDefault="00805436" w:rsidP="00805436">
      <w:pPr>
        <w:pStyle w:val="NormalWeb"/>
        <w:rPr>
          <w:rFonts w:ascii="Arial" w:hAnsi="Arial" w:cs="Arial"/>
          <w:color w:val="000000"/>
          <w:sz w:val="22"/>
          <w:szCs w:val="22"/>
        </w:rPr>
      </w:pPr>
      <w:r w:rsidRPr="00805436">
        <w:rPr>
          <w:rFonts w:ascii="Arial" w:hAnsi="Arial" w:cs="Arial"/>
          <w:color w:val="000000"/>
          <w:sz w:val="22"/>
          <w:szCs w:val="22"/>
        </w:rPr>
        <w:t xml:space="preserve">Ultimately, </w:t>
      </w:r>
      <w:proofErr w:type="spellStart"/>
      <w:r w:rsidRPr="00805436">
        <w:rPr>
          <w:rFonts w:ascii="Arial" w:hAnsi="Arial" w:cs="Arial"/>
          <w:color w:val="000000"/>
          <w:sz w:val="22"/>
          <w:szCs w:val="22"/>
        </w:rPr>
        <w:t>SmartMed</w:t>
      </w:r>
      <w:proofErr w:type="spellEnd"/>
      <w:r w:rsidRPr="00805436">
        <w:rPr>
          <w:rFonts w:ascii="Arial" w:hAnsi="Arial" w:cs="Arial"/>
          <w:color w:val="000000"/>
          <w:sz w:val="22"/>
          <w:szCs w:val="22"/>
        </w:rPr>
        <w:t xml:space="preserve"> Care represents a proactive approach to improving medication safety and supporting the wellbeing of vulnerable populations. By combining digital technology, staff education, and collaborative working, the innovation has the potential to reduce medication errors, improve residents’ quality of life, and strengthen public confidence in care services. As the UK population continues to age and healthcare needs become more complex, adopting innovative strategies such as </w:t>
      </w:r>
      <w:proofErr w:type="spellStart"/>
      <w:r w:rsidRPr="00805436">
        <w:rPr>
          <w:rFonts w:ascii="Arial" w:hAnsi="Arial" w:cs="Arial"/>
          <w:color w:val="000000"/>
          <w:sz w:val="22"/>
          <w:szCs w:val="22"/>
        </w:rPr>
        <w:t>SmartMed</w:t>
      </w:r>
      <w:proofErr w:type="spellEnd"/>
      <w:r w:rsidRPr="00805436">
        <w:rPr>
          <w:rFonts w:ascii="Arial" w:hAnsi="Arial" w:cs="Arial"/>
          <w:color w:val="000000"/>
          <w:sz w:val="22"/>
          <w:szCs w:val="22"/>
        </w:rPr>
        <w:t xml:space="preserve"> Care will be essential for ensuring sustainable, safe, and person-centred health and social care provision.</w:t>
      </w:r>
    </w:p>
    <w:p w14:paraId="42A0C29A" w14:textId="77777777" w:rsidR="00805436" w:rsidRPr="00805436" w:rsidRDefault="00805436" w:rsidP="00805436">
      <w:pPr>
        <w:pStyle w:val="NormalWeb"/>
        <w:rPr>
          <w:rFonts w:ascii="Arial" w:hAnsi="Arial" w:cs="Arial"/>
          <w:color w:val="000000"/>
          <w:sz w:val="22"/>
          <w:szCs w:val="22"/>
        </w:rPr>
      </w:pPr>
    </w:p>
    <w:p w14:paraId="03A26D23" w14:textId="43A158A6" w:rsidR="00805436" w:rsidRDefault="00805436" w:rsidP="008375B5">
      <w:pPr>
        <w:spacing w:line="360" w:lineRule="auto"/>
        <w:rPr>
          <w:rFonts w:ascii="Arial" w:hAnsi="Arial" w:cs="Arial"/>
          <w:sz w:val="28"/>
          <w:szCs w:val="28"/>
        </w:rPr>
      </w:pPr>
      <w:r>
        <w:rPr>
          <w:rFonts w:ascii="Arial" w:hAnsi="Arial" w:cs="Arial"/>
          <w:sz w:val="28"/>
          <w:szCs w:val="28"/>
        </w:rPr>
        <w:lastRenderedPageBreak/>
        <w:t>Reference for Task 2</w:t>
      </w:r>
    </w:p>
    <w:p w14:paraId="08B7E141" w14:textId="77777777" w:rsidR="00805436" w:rsidRPr="00805436" w:rsidRDefault="00805436" w:rsidP="00805436">
      <w:pPr>
        <w:pStyle w:val="NormalWeb"/>
        <w:rPr>
          <w:rFonts w:ascii="Arial" w:hAnsi="Arial" w:cs="Arial"/>
          <w:color w:val="000000"/>
          <w:sz w:val="22"/>
          <w:szCs w:val="22"/>
        </w:rPr>
      </w:pPr>
      <w:r w:rsidRPr="00805436">
        <w:rPr>
          <w:rFonts w:ascii="Arial" w:hAnsi="Arial" w:cs="Arial"/>
          <w:color w:val="000000"/>
          <w:sz w:val="22"/>
          <w:szCs w:val="22"/>
        </w:rPr>
        <w:t xml:space="preserve">Elliott, R.A., Camacho, E., Jankovic, D., </w:t>
      </w:r>
      <w:proofErr w:type="spellStart"/>
      <w:r w:rsidRPr="00805436">
        <w:rPr>
          <w:rFonts w:ascii="Arial" w:hAnsi="Arial" w:cs="Arial"/>
          <w:color w:val="000000"/>
          <w:sz w:val="22"/>
          <w:szCs w:val="22"/>
        </w:rPr>
        <w:t>Sculpher</w:t>
      </w:r>
      <w:proofErr w:type="spellEnd"/>
      <w:r w:rsidRPr="00805436">
        <w:rPr>
          <w:rFonts w:ascii="Arial" w:hAnsi="Arial" w:cs="Arial"/>
          <w:color w:val="000000"/>
          <w:sz w:val="22"/>
          <w:szCs w:val="22"/>
        </w:rPr>
        <w:t>, M.J. and Faria, R. (2018)</w:t>
      </w:r>
      <w:r w:rsidRPr="00805436">
        <w:rPr>
          <w:rStyle w:val="apple-converted-space"/>
          <w:rFonts w:ascii="Arial" w:hAnsi="Arial" w:cs="Arial"/>
          <w:color w:val="000000"/>
          <w:sz w:val="22"/>
          <w:szCs w:val="22"/>
        </w:rPr>
        <w:t> </w:t>
      </w:r>
      <w:r w:rsidRPr="00805436">
        <w:rPr>
          <w:rStyle w:val="Emphasis"/>
          <w:rFonts w:ascii="Arial" w:hAnsi="Arial" w:cs="Arial"/>
          <w:color w:val="000000"/>
          <w:sz w:val="22"/>
          <w:szCs w:val="22"/>
        </w:rPr>
        <w:t>Prevalence and economic burden of medication errors in the NHS in England</w:t>
      </w:r>
      <w:r w:rsidRPr="00805436">
        <w:rPr>
          <w:rFonts w:ascii="Arial" w:hAnsi="Arial" w:cs="Arial"/>
          <w:color w:val="000000"/>
          <w:sz w:val="22"/>
          <w:szCs w:val="22"/>
        </w:rPr>
        <w:t>. York: Policy Research Unit in Economic Evaluation of Health and Care Interventions, University of York. Available at:</w:t>
      </w:r>
      <w:r w:rsidRPr="00805436">
        <w:rPr>
          <w:rStyle w:val="apple-converted-space"/>
          <w:rFonts w:ascii="Arial" w:hAnsi="Arial" w:cs="Arial"/>
          <w:color w:val="000000"/>
          <w:sz w:val="22"/>
          <w:szCs w:val="22"/>
        </w:rPr>
        <w:t> </w:t>
      </w:r>
      <w:r w:rsidRPr="00805436">
        <w:rPr>
          <w:rFonts w:ascii="Arial" w:hAnsi="Arial" w:cs="Arial"/>
          <w:color w:val="000000"/>
          <w:sz w:val="22"/>
          <w:szCs w:val="22"/>
        </w:rPr>
        <w:t>https://www.york.ac.uk/media/che/documents/papers/researchpapers/CHERP180_medication_errors.pdf</w:t>
      </w:r>
      <w:r w:rsidRPr="00805436">
        <w:rPr>
          <w:rStyle w:val="apple-converted-space"/>
          <w:rFonts w:ascii="Arial" w:hAnsi="Arial" w:cs="Arial"/>
          <w:color w:val="000000"/>
          <w:sz w:val="22"/>
          <w:szCs w:val="22"/>
        </w:rPr>
        <w:t> </w:t>
      </w:r>
      <w:r w:rsidRPr="00805436">
        <w:rPr>
          <w:rFonts w:ascii="Arial" w:hAnsi="Arial" w:cs="Arial"/>
          <w:color w:val="000000"/>
          <w:sz w:val="22"/>
          <w:szCs w:val="22"/>
        </w:rPr>
        <w:t>(Accessed: 20 March 2026).</w:t>
      </w:r>
    </w:p>
    <w:p w14:paraId="11493E47" w14:textId="77777777" w:rsidR="00805436" w:rsidRPr="00805436" w:rsidRDefault="00805436" w:rsidP="00805436">
      <w:pPr>
        <w:pStyle w:val="NormalWeb"/>
        <w:rPr>
          <w:rFonts w:ascii="Arial" w:hAnsi="Arial" w:cs="Arial"/>
          <w:color w:val="000000"/>
          <w:sz w:val="22"/>
          <w:szCs w:val="22"/>
        </w:rPr>
      </w:pPr>
      <w:r w:rsidRPr="00805436">
        <w:rPr>
          <w:rFonts w:ascii="Arial" w:hAnsi="Arial" w:cs="Arial"/>
          <w:color w:val="000000"/>
          <w:sz w:val="22"/>
          <w:szCs w:val="22"/>
        </w:rPr>
        <w:t>Glasby, J. and Dickinson, H. (2014)</w:t>
      </w:r>
      <w:r w:rsidRPr="00805436">
        <w:rPr>
          <w:rStyle w:val="apple-converted-space"/>
          <w:rFonts w:ascii="Arial" w:hAnsi="Arial" w:cs="Arial"/>
          <w:color w:val="000000"/>
          <w:sz w:val="22"/>
          <w:szCs w:val="22"/>
        </w:rPr>
        <w:t> </w:t>
      </w:r>
      <w:r w:rsidRPr="00805436">
        <w:rPr>
          <w:rStyle w:val="Emphasis"/>
          <w:rFonts w:ascii="Arial" w:hAnsi="Arial" w:cs="Arial"/>
          <w:color w:val="000000"/>
          <w:sz w:val="22"/>
          <w:szCs w:val="22"/>
        </w:rPr>
        <w:t>Partnership Working in Health and Social Care: What is Integrated Care and How Can We Deliver It?</w:t>
      </w:r>
      <w:r w:rsidRPr="00805436">
        <w:rPr>
          <w:rStyle w:val="apple-converted-space"/>
          <w:rFonts w:ascii="Arial" w:hAnsi="Arial" w:cs="Arial"/>
          <w:color w:val="000000"/>
          <w:sz w:val="22"/>
          <w:szCs w:val="22"/>
        </w:rPr>
        <w:t> </w:t>
      </w:r>
      <w:r w:rsidRPr="00805436">
        <w:rPr>
          <w:rFonts w:ascii="Arial" w:hAnsi="Arial" w:cs="Arial"/>
          <w:color w:val="000000"/>
          <w:sz w:val="22"/>
          <w:szCs w:val="22"/>
        </w:rPr>
        <w:t xml:space="preserve">2nd </w:t>
      </w:r>
      <w:proofErr w:type="spellStart"/>
      <w:r w:rsidRPr="00805436">
        <w:rPr>
          <w:rFonts w:ascii="Arial" w:hAnsi="Arial" w:cs="Arial"/>
          <w:color w:val="000000"/>
          <w:sz w:val="22"/>
          <w:szCs w:val="22"/>
        </w:rPr>
        <w:t>edn</w:t>
      </w:r>
      <w:proofErr w:type="spellEnd"/>
      <w:r w:rsidRPr="00805436">
        <w:rPr>
          <w:rFonts w:ascii="Arial" w:hAnsi="Arial" w:cs="Arial"/>
          <w:color w:val="000000"/>
          <w:sz w:val="22"/>
          <w:szCs w:val="22"/>
        </w:rPr>
        <w:t>. Bristol: Policy Press. Available at:</w:t>
      </w:r>
      <w:r w:rsidRPr="00805436">
        <w:rPr>
          <w:rStyle w:val="apple-converted-space"/>
          <w:rFonts w:ascii="Arial" w:hAnsi="Arial" w:cs="Arial"/>
          <w:color w:val="000000"/>
          <w:sz w:val="22"/>
          <w:szCs w:val="22"/>
        </w:rPr>
        <w:t> </w:t>
      </w:r>
      <w:hyperlink r:id="rId14" w:tgtFrame="_new" w:history="1">
        <w:r w:rsidRPr="00805436">
          <w:rPr>
            <w:rStyle w:val="Hyperlink"/>
            <w:rFonts w:ascii="Arial" w:hAnsi="Arial" w:cs="Arial"/>
            <w:sz w:val="22"/>
            <w:szCs w:val="22"/>
          </w:rPr>
          <w:t>https://policy.bristoluniversitypress.co.uk/partnership-working-in-health-and-social-care-second-edition</w:t>
        </w:r>
      </w:hyperlink>
      <w:r w:rsidRPr="00805436">
        <w:rPr>
          <w:rStyle w:val="apple-converted-space"/>
          <w:rFonts w:ascii="Arial" w:hAnsi="Arial" w:cs="Arial"/>
          <w:color w:val="000000"/>
          <w:sz w:val="22"/>
          <w:szCs w:val="22"/>
        </w:rPr>
        <w:t> </w:t>
      </w:r>
      <w:r w:rsidRPr="00805436">
        <w:rPr>
          <w:rFonts w:ascii="Arial" w:hAnsi="Arial" w:cs="Arial"/>
          <w:color w:val="000000"/>
          <w:sz w:val="22"/>
          <w:szCs w:val="22"/>
        </w:rPr>
        <w:t>(Accessed: 20 March 2026).</w:t>
      </w:r>
      <w:r w:rsidRPr="00805436">
        <w:rPr>
          <w:rStyle w:val="apple-converted-space"/>
          <w:rFonts w:ascii="Arial" w:hAnsi="Arial" w:cs="Arial"/>
          <w:color w:val="000000"/>
          <w:sz w:val="22"/>
          <w:szCs w:val="22"/>
        </w:rPr>
        <w:t> </w:t>
      </w:r>
    </w:p>
    <w:p w14:paraId="41E6DE18" w14:textId="77777777" w:rsidR="00805436" w:rsidRPr="00805436" w:rsidRDefault="00805436" w:rsidP="00805436">
      <w:pPr>
        <w:pStyle w:val="NormalWeb"/>
        <w:rPr>
          <w:rFonts w:ascii="Arial" w:hAnsi="Arial" w:cs="Arial"/>
          <w:color w:val="000000"/>
          <w:sz w:val="22"/>
          <w:szCs w:val="22"/>
        </w:rPr>
      </w:pPr>
      <w:r w:rsidRPr="00805436">
        <w:rPr>
          <w:rFonts w:ascii="Arial" w:hAnsi="Arial" w:cs="Arial"/>
          <w:color w:val="000000"/>
          <w:sz w:val="22"/>
          <w:szCs w:val="22"/>
        </w:rPr>
        <w:t>Greenhalgh, T., Robert, G., Macfarlane, F., Bate, P. and Kyriakidou, O. (2004)</w:t>
      </w:r>
      <w:r w:rsidRPr="00805436">
        <w:rPr>
          <w:rStyle w:val="apple-converted-space"/>
          <w:rFonts w:ascii="Arial" w:hAnsi="Arial" w:cs="Arial"/>
          <w:color w:val="000000"/>
          <w:sz w:val="22"/>
          <w:szCs w:val="22"/>
        </w:rPr>
        <w:t> </w:t>
      </w:r>
      <w:r w:rsidRPr="00805436">
        <w:rPr>
          <w:rStyle w:val="Emphasis"/>
          <w:rFonts w:ascii="Arial" w:hAnsi="Arial" w:cs="Arial"/>
          <w:color w:val="000000"/>
          <w:sz w:val="22"/>
          <w:szCs w:val="22"/>
        </w:rPr>
        <w:t>Diffusion of Innovations in Service Organizations: Systematic Review and Recommendations</w:t>
      </w:r>
      <w:r w:rsidRPr="00805436">
        <w:rPr>
          <w:rFonts w:ascii="Arial" w:hAnsi="Arial" w:cs="Arial"/>
          <w:color w:val="000000"/>
          <w:sz w:val="22"/>
          <w:szCs w:val="22"/>
        </w:rPr>
        <w:t>. Oxford: Blackwell Publishing. Available at:</w:t>
      </w:r>
      <w:r w:rsidRPr="00805436">
        <w:rPr>
          <w:rStyle w:val="apple-converted-space"/>
          <w:rFonts w:ascii="Arial" w:hAnsi="Arial" w:cs="Arial"/>
          <w:color w:val="000000"/>
          <w:sz w:val="22"/>
          <w:szCs w:val="22"/>
        </w:rPr>
        <w:t> </w:t>
      </w:r>
      <w:hyperlink r:id="rId15" w:tgtFrame="_new" w:history="1">
        <w:r w:rsidRPr="00805436">
          <w:rPr>
            <w:rStyle w:val="Hyperlink"/>
            <w:rFonts w:ascii="Arial" w:hAnsi="Arial" w:cs="Arial"/>
            <w:sz w:val="22"/>
            <w:szCs w:val="22"/>
          </w:rPr>
          <w:t>https://onlinelibrary.wiley.com/doi/book/10.1002/9780470987407</w:t>
        </w:r>
      </w:hyperlink>
      <w:r w:rsidRPr="00805436">
        <w:rPr>
          <w:rStyle w:val="apple-converted-space"/>
          <w:rFonts w:ascii="Arial" w:hAnsi="Arial" w:cs="Arial"/>
          <w:color w:val="000000"/>
          <w:sz w:val="22"/>
          <w:szCs w:val="22"/>
        </w:rPr>
        <w:t> </w:t>
      </w:r>
      <w:r w:rsidRPr="00805436">
        <w:rPr>
          <w:rFonts w:ascii="Arial" w:hAnsi="Arial" w:cs="Arial"/>
          <w:color w:val="000000"/>
          <w:sz w:val="22"/>
          <w:szCs w:val="22"/>
        </w:rPr>
        <w:t>(Accessed: 20 March 2026).</w:t>
      </w:r>
    </w:p>
    <w:p w14:paraId="50E31051" w14:textId="77777777" w:rsidR="00805436" w:rsidRPr="00805436" w:rsidRDefault="00805436" w:rsidP="00805436">
      <w:pPr>
        <w:pStyle w:val="NormalWeb"/>
        <w:rPr>
          <w:rFonts w:ascii="Arial" w:hAnsi="Arial" w:cs="Arial"/>
          <w:color w:val="000000"/>
          <w:sz w:val="22"/>
          <w:szCs w:val="22"/>
        </w:rPr>
      </w:pPr>
      <w:proofErr w:type="spellStart"/>
      <w:r w:rsidRPr="00805436">
        <w:rPr>
          <w:rFonts w:ascii="Arial" w:hAnsi="Arial" w:cs="Arial"/>
          <w:color w:val="000000"/>
          <w:sz w:val="22"/>
          <w:szCs w:val="22"/>
        </w:rPr>
        <w:t>Kitwood</w:t>
      </w:r>
      <w:proofErr w:type="spellEnd"/>
      <w:r w:rsidRPr="00805436">
        <w:rPr>
          <w:rFonts w:ascii="Arial" w:hAnsi="Arial" w:cs="Arial"/>
          <w:color w:val="000000"/>
          <w:sz w:val="22"/>
          <w:szCs w:val="22"/>
        </w:rPr>
        <w:t>, T. (1997)</w:t>
      </w:r>
      <w:r w:rsidRPr="00805436">
        <w:rPr>
          <w:rStyle w:val="apple-converted-space"/>
          <w:rFonts w:ascii="Arial" w:hAnsi="Arial" w:cs="Arial"/>
          <w:color w:val="000000"/>
          <w:sz w:val="22"/>
          <w:szCs w:val="22"/>
        </w:rPr>
        <w:t> </w:t>
      </w:r>
      <w:r w:rsidRPr="00805436">
        <w:rPr>
          <w:rStyle w:val="Emphasis"/>
          <w:rFonts w:ascii="Arial" w:hAnsi="Arial" w:cs="Arial"/>
          <w:color w:val="000000"/>
          <w:sz w:val="22"/>
          <w:szCs w:val="22"/>
        </w:rPr>
        <w:t>Dementia Reconsidered: The Person Comes First</w:t>
      </w:r>
      <w:r w:rsidRPr="00805436">
        <w:rPr>
          <w:rFonts w:ascii="Arial" w:hAnsi="Arial" w:cs="Arial"/>
          <w:color w:val="000000"/>
          <w:sz w:val="22"/>
          <w:szCs w:val="22"/>
        </w:rPr>
        <w:t>. Buckingham: Open University Press. Available at:</w:t>
      </w:r>
      <w:r w:rsidRPr="00805436">
        <w:rPr>
          <w:rStyle w:val="apple-converted-space"/>
          <w:rFonts w:ascii="Arial" w:hAnsi="Arial" w:cs="Arial"/>
          <w:color w:val="000000"/>
          <w:sz w:val="22"/>
          <w:szCs w:val="22"/>
        </w:rPr>
        <w:t> </w:t>
      </w:r>
      <w:hyperlink r:id="rId16" w:tgtFrame="_new" w:history="1">
        <w:r w:rsidRPr="00805436">
          <w:rPr>
            <w:rStyle w:val="Hyperlink"/>
            <w:rFonts w:ascii="Arial" w:hAnsi="Arial" w:cs="Arial"/>
            <w:sz w:val="22"/>
            <w:szCs w:val="22"/>
          </w:rPr>
          <w:t>https://openlibrary.org/books/OL1011528M/Dementia_reconsidered</w:t>
        </w:r>
      </w:hyperlink>
      <w:r w:rsidRPr="00805436">
        <w:rPr>
          <w:rStyle w:val="apple-converted-space"/>
          <w:rFonts w:ascii="Arial" w:hAnsi="Arial" w:cs="Arial"/>
          <w:color w:val="000000"/>
          <w:sz w:val="22"/>
          <w:szCs w:val="22"/>
        </w:rPr>
        <w:t> </w:t>
      </w:r>
      <w:r w:rsidRPr="00805436">
        <w:rPr>
          <w:rFonts w:ascii="Arial" w:hAnsi="Arial" w:cs="Arial"/>
          <w:color w:val="000000"/>
          <w:sz w:val="22"/>
          <w:szCs w:val="22"/>
        </w:rPr>
        <w:t>(Accessed: 20 March 2026).</w:t>
      </w:r>
      <w:r w:rsidRPr="00805436">
        <w:rPr>
          <w:rStyle w:val="apple-converted-space"/>
          <w:rFonts w:ascii="Arial" w:hAnsi="Arial" w:cs="Arial"/>
          <w:color w:val="000000"/>
          <w:sz w:val="22"/>
          <w:szCs w:val="22"/>
        </w:rPr>
        <w:t> </w:t>
      </w:r>
    </w:p>
    <w:p w14:paraId="31F5C5D9" w14:textId="77777777" w:rsidR="00805436" w:rsidRPr="00805436" w:rsidRDefault="00805436" w:rsidP="00805436">
      <w:pPr>
        <w:pStyle w:val="NormalWeb"/>
        <w:rPr>
          <w:rFonts w:ascii="Arial" w:hAnsi="Arial" w:cs="Arial"/>
          <w:color w:val="000000"/>
          <w:sz w:val="22"/>
          <w:szCs w:val="22"/>
        </w:rPr>
      </w:pPr>
      <w:r w:rsidRPr="00805436">
        <w:rPr>
          <w:rFonts w:ascii="Arial" w:hAnsi="Arial" w:cs="Arial"/>
          <w:color w:val="000000"/>
          <w:sz w:val="22"/>
          <w:szCs w:val="22"/>
        </w:rPr>
        <w:t>National Institute for Health and Care Excellence (2014)</w:t>
      </w:r>
      <w:r w:rsidRPr="00805436">
        <w:rPr>
          <w:rStyle w:val="apple-converted-space"/>
          <w:rFonts w:ascii="Arial" w:hAnsi="Arial" w:cs="Arial"/>
          <w:color w:val="000000"/>
          <w:sz w:val="22"/>
          <w:szCs w:val="22"/>
        </w:rPr>
        <w:t> </w:t>
      </w:r>
      <w:r w:rsidRPr="00805436">
        <w:rPr>
          <w:rStyle w:val="Emphasis"/>
          <w:rFonts w:ascii="Arial" w:hAnsi="Arial" w:cs="Arial"/>
          <w:color w:val="000000"/>
          <w:sz w:val="22"/>
          <w:szCs w:val="22"/>
        </w:rPr>
        <w:t>Managing medicines in care homes (SC1)</w:t>
      </w:r>
      <w:r w:rsidRPr="00805436">
        <w:rPr>
          <w:rFonts w:ascii="Arial" w:hAnsi="Arial" w:cs="Arial"/>
          <w:color w:val="000000"/>
          <w:sz w:val="22"/>
          <w:szCs w:val="22"/>
        </w:rPr>
        <w:t>. London: NICE. Available at:</w:t>
      </w:r>
      <w:r w:rsidRPr="00805436">
        <w:rPr>
          <w:rStyle w:val="apple-converted-space"/>
          <w:rFonts w:ascii="Arial" w:hAnsi="Arial" w:cs="Arial"/>
          <w:color w:val="000000"/>
          <w:sz w:val="22"/>
          <w:szCs w:val="22"/>
        </w:rPr>
        <w:t> </w:t>
      </w:r>
      <w:hyperlink r:id="rId17" w:tgtFrame="_new" w:history="1">
        <w:r w:rsidRPr="00805436">
          <w:rPr>
            <w:rStyle w:val="Hyperlink"/>
            <w:rFonts w:ascii="Arial" w:hAnsi="Arial" w:cs="Arial"/>
            <w:sz w:val="22"/>
            <w:szCs w:val="22"/>
          </w:rPr>
          <w:t>https://www.nice.org.uk/guidance/sc1</w:t>
        </w:r>
      </w:hyperlink>
      <w:r w:rsidRPr="00805436">
        <w:rPr>
          <w:rStyle w:val="apple-converted-space"/>
          <w:rFonts w:ascii="Arial" w:hAnsi="Arial" w:cs="Arial"/>
          <w:color w:val="000000"/>
          <w:sz w:val="22"/>
          <w:szCs w:val="22"/>
        </w:rPr>
        <w:t> </w:t>
      </w:r>
      <w:r w:rsidRPr="00805436">
        <w:rPr>
          <w:rFonts w:ascii="Arial" w:hAnsi="Arial" w:cs="Arial"/>
          <w:color w:val="000000"/>
          <w:sz w:val="22"/>
          <w:szCs w:val="22"/>
        </w:rPr>
        <w:t>(Accessed: 20 March 2026).</w:t>
      </w:r>
      <w:r w:rsidRPr="00805436">
        <w:rPr>
          <w:rStyle w:val="apple-converted-space"/>
          <w:rFonts w:ascii="Arial" w:hAnsi="Arial" w:cs="Arial"/>
          <w:color w:val="000000"/>
          <w:sz w:val="22"/>
          <w:szCs w:val="22"/>
        </w:rPr>
        <w:t> </w:t>
      </w:r>
    </w:p>
    <w:p w14:paraId="3CB3E82E" w14:textId="77777777" w:rsidR="00805436" w:rsidRPr="00805436" w:rsidRDefault="00805436" w:rsidP="00805436">
      <w:pPr>
        <w:pStyle w:val="NormalWeb"/>
        <w:rPr>
          <w:rFonts w:ascii="Arial" w:hAnsi="Arial" w:cs="Arial"/>
          <w:color w:val="000000"/>
          <w:sz w:val="22"/>
          <w:szCs w:val="22"/>
        </w:rPr>
      </w:pPr>
      <w:r w:rsidRPr="00805436">
        <w:rPr>
          <w:rFonts w:ascii="Arial" w:hAnsi="Arial" w:cs="Arial"/>
          <w:color w:val="000000"/>
          <w:sz w:val="22"/>
          <w:szCs w:val="22"/>
        </w:rPr>
        <w:t>Topol, E. (2019)</w:t>
      </w:r>
      <w:r w:rsidRPr="00805436">
        <w:rPr>
          <w:rStyle w:val="apple-converted-space"/>
          <w:rFonts w:ascii="Arial" w:hAnsi="Arial" w:cs="Arial"/>
          <w:color w:val="000000"/>
          <w:sz w:val="22"/>
          <w:szCs w:val="22"/>
        </w:rPr>
        <w:t> </w:t>
      </w:r>
      <w:r w:rsidRPr="00805436">
        <w:rPr>
          <w:rStyle w:val="Emphasis"/>
          <w:rFonts w:ascii="Arial" w:hAnsi="Arial" w:cs="Arial"/>
          <w:color w:val="000000"/>
          <w:sz w:val="22"/>
          <w:szCs w:val="22"/>
        </w:rPr>
        <w:t>Deep Medicine: How Artificial Intelligence Can Make Healthcare Human Again</w:t>
      </w:r>
      <w:r w:rsidRPr="00805436">
        <w:rPr>
          <w:rFonts w:ascii="Arial" w:hAnsi="Arial" w:cs="Arial"/>
          <w:color w:val="000000"/>
          <w:sz w:val="22"/>
          <w:szCs w:val="22"/>
        </w:rPr>
        <w:t>. New York: Basic Books. Available at:</w:t>
      </w:r>
      <w:r w:rsidRPr="00805436">
        <w:rPr>
          <w:rStyle w:val="apple-converted-space"/>
          <w:rFonts w:ascii="Arial" w:hAnsi="Arial" w:cs="Arial"/>
          <w:color w:val="000000"/>
          <w:sz w:val="22"/>
          <w:szCs w:val="22"/>
        </w:rPr>
        <w:t> </w:t>
      </w:r>
      <w:hyperlink r:id="rId18" w:tgtFrame="_new" w:history="1">
        <w:r w:rsidRPr="00805436">
          <w:rPr>
            <w:rStyle w:val="Hyperlink"/>
            <w:rFonts w:ascii="Arial" w:hAnsi="Arial" w:cs="Arial"/>
            <w:sz w:val="22"/>
            <w:szCs w:val="22"/>
          </w:rPr>
          <w:t>https://www.basicbooks.com/titles/eric-topol-2/deep-medicine/9781541644632/</w:t>
        </w:r>
      </w:hyperlink>
      <w:r w:rsidRPr="00805436">
        <w:rPr>
          <w:rStyle w:val="apple-converted-space"/>
          <w:rFonts w:ascii="Arial" w:hAnsi="Arial" w:cs="Arial"/>
          <w:color w:val="000000"/>
          <w:sz w:val="22"/>
          <w:szCs w:val="22"/>
        </w:rPr>
        <w:t> </w:t>
      </w:r>
      <w:r w:rsidRPr="00805436">
        <w:rPr>
          <w:rFonts w:ascii="Arial" w:hAnsi="Arial" w:cs="Arial"/>
          <w:color w:val="000000"/>
          <w:sz w:val="22"/>
          <w:szCs w:val="22"/>
        </w:rPr>
        <w:t>(Accessed: 20 March 2026).</w:t>
      </w:r>
      <w:r w:rsidRPr="00805436">
        <w:rPr>
          <w:rStyle w:val="apple-converted-space"/>
          <w:rFonts w:ascii="Arial" w:hAnsi="Arial" w:cs="Arial"/>
          <w:color w:val="000000"/>
          <w:sz w:val="22"/>
          <w:szCs w:val="22"/>
        </w:rPr>
        <w:t> </w:t>
      </w:r>
    </w:p>
    <w:p w14:paraId="5CDEF816" w14:textId="77777777" w:rsidR="00805436" w:rsidRPr="00805436" w:rsidRDefault="00805436" w:rsidP="00805436">
      <w:pPr>
        <w:pStyle w:val="NormalWeb"/>
        <w:rPr>
          <w:rFonts w:ascii="Arial" w:hAnsi="Arial" w:cs="Arial"/>
          <w:color w:val="000000"/>
          <w:sz w:val="22"/>
          <w:szCs w:val="22"/>
        </w:rPr>
      </w:pPr>
      <w:r w:rsidRPr="00805436">
        <w:rPr>
          <w:rFonts w:ascii="Arial" w:hAnsi="Arial" w:cs="Arial"/>
          <w:color w:val="000000"/>
          <w:sz w:val="22"/>
          <w:szCs w:val="22"/>
        </w:rPr>
        <w:t>West, M.A. and Farr, J.L. (eds.) (1990)</w:t>
      </w:r>
      <w:r w:rsidRPr="00805436">
        <w:rPr>
          <w:rStyle w:val="apple-converted-space"/>
          <w:rFonts w:ascii="Arial" w:hAnsi="Arial" w:cs="Arial"/>
          <w:color w:val="000000"/>
          <w:sz w:val="22"/>
          <w:szCs w:val="22"/>
        </w:rPr>
        <w:t> </w:t>
      </w:r>
      <w:r w:rsidRPr="00805436">
        <w:rPr>
          <w:rStyle w:val="Emphasis"/>
          <w:rFonts w:ascii="Arial" w:hAnsi="Arial" w:cs="Arial"/>
          <w:color w:val="000000"/>
          <w:sz w:val="22"/>
          <w:szCs w:val="22"/>
        </w:rPr>
        <w:t>Innovation and Creativity at Work: Psychological and Organizational Strategies</w:t>
      </w:r>
      <w:r w:rsidRPr="00805436">
        <w:rPr>
          <w:rFonts w:ascii="Arial" w:hAnsi="Arial" w:cs="Arial"/>
          <w:color w:val="000000"/>
          <w:sz w:val="22"/>
          <w:szCs w:val="22"/>
        </w:rPr>
        <w:t>. Chichester: Wiley. Available at:</w:t>
      </w:r>
      <w:r w:rsidRPr="00805436">
        <w:rPr>
          <w:rStyle w:val="apple-converted-space"/>
          <w:rFonts w:ascii="Arial" w:hAnsi="Arial" w:cs="Arial"/>
          <w:color w:val="000000"/>
          <w:sz w:val="22"/>
          <w:szCs w:val="22"/>
        </w:rPr>
        <w:t> </w:t>
      </w:r>
      <w:r w:rsidRPr="00805436">
        <w:rPr>
          <w:rFonts w:ascii="Arial" w:hAnsi="Arial" w:cs="Arial"/>
          <w:color w:val="000000"/>
          <w:sz w:val="22"/>
          <w:szCs w:val="22"/>
        </w:rPr>
        <w:t>https://onlinelibrary.wiley.com/doi/book/10.1002/9780470696736</w:t>
      </w:r>
      <w:r w:rsidRPr="00805436">
        <w:rPr>
          <w:rStyle w:val="apple-converted-space"/>
          <w:rFonts w:ascii="Arial" w:hAnsi="Arial" w:cs="Arial"/>
          <w:color w:val="000000"/>
          <w:sz w:val="22"/>
          <w:szCs w:val="22"/>
        </w:rPr>
        <w:t> </w:t>
      </w:r>
      <w:r w:rsidRPr="00805436">
        <w:rPr>
          <w:rFonts w:ascii="Arial" w:hAnsi="Arial" w:cs="Arial"/>
          <w:color w:val="000000"/>
          <w:sz w:val="22"/>
          <w:szCs w:val="22"/>
        </w:rPr>
        <w:t>(Accessed: 20 March 2026).</w:t>
      </w:r>
    </w:p>
    <w:p w14:paraId="70E059DA" w14:textId="77777777" w:rsidR="00805436" w:rsidRPr="00805436" w:rsidRDefault="00805436" w:rsidP="00805436">
      <w:pPr>
        <w:pStyle w:val="NormalWeb"/>
        <w:rPr>
          <w:rFonts w:ascii="Arial" w:hAnsi="Arial" w:cs="Arial"/>
          <w:color w:val="000000"/>
          <w:sz w:val="22"/>
          <w:szCs w:val="22"/>
        </w:rPr>
      </w:pPr>
      <w:r w:rsidRPr="00805436">
        <w:rPr>
          <w:rFonts w:ascii="Arial" w:hAnsi="Arial" w:cs="Arial"/>
          <w:color w:val="000000"/>
          <w:sz w:val="22"/>
          <w:szCs w:val="22"/>
        </w:rPr>
        <w:t>World Health Organization (2017)</w:t>
      </w:r>
      <w:r w:rsidRPr="00805436">
        <w:rPr>
          <w:rStyle w:val="apple-converted-space"/>
          <w:rFonts w:ascii="Arial" w:hAnsi="Arial" w:cs="Arial"/>
          <w:color w:val="000000"/>
          <w:sz w:val="22"/>
          <w:szCs w:val="22"/>
        </w:rPr>
        <w:t> </w:t>
      </w:r>
      <w:r w:rsidRPr="00805436">
        <w:rPr>
          <w:rStyle w:val="Emphasis"/>
          <w:rFonts w:ascii="Arial" w:hAnsi="Arial" w:cs="Arial"/>
          <w:color w:val="000000"/>
          <w:sz w:val="22"/>
          <w:szCs w:val="22"/>
        </w:rPr>
        <w:t>Medication Without Harm</w:t>
      </w:r>
      <w:r w:rsidRPr="00805436">
        <w:rPr>
          <w:rFonts w:ascii="Arial" w:hAnsi="Arial" w:cs="Arial"/>
          <w:color w:val="000000"/>
          <w:sz w:val="22"/>
          <w:szCs w:val="22"/>
        </w:rPr>
        <w:t>. Geneva: World Health Organization. Available at:</w:t>
      </w:r>
      <w:r w:rsidRPr="00805436">
        <w:rPr>
          <w:rStyle w:val="apple-converted-space"/>
          <w:rFonts w:ascii="Arial" w:hAnsi="Arial" w:cs="Arial"/>
          <w:color w:val="000000"/>
          <w:sz w:val="22"/>
          <w:szCs w:val="22"/>
        </w:rPr>
        <w:t> </w:t>
      </w:r>
      <w:hyperlink r:id="rId19" w:tgtFrame="_new" w:history="1">
        <w:r w:rsidRPr="00805436">
          <w:rPr>
            <w:rStyle w:val="Hyperlink"/>
            <w:rFonts w:ascii="Arial" w:hAnsi="Arial" w:cs="Arial"/>
            <w:sz w:val="22"/>
            <w:szCs w:val="22"/>
          </w:rPr>
          <w:t>https://www.who.int/publications/i/item/WHO-HIS-SDS-2017.6</w:t>
        </w:r>
      </w:hyperlink>
      <w:r w:rsidRPr="00805436">
        <w:rPr>
          <w:rStyle w:val="apple-converted-space"/>
          <w:rFonts w:ascii="Arial" w:hAnsi="Arial" w:cs="Arial"/>
          <w:color w:val="000000"/>
          <w:sz w:val="22"/>
          <w:szCs w:val="22"/>
        </w:rPr>
        <w:t> </w:t>
      </w:r>
      <w:r w:rsidRPr="00805436">
        <w:rPr>
          <w:rFonts w:ascii="Arial" w:hAnsi="Arial" w:cs="Arial"/>
          <w:color w:val="000000"/>
          <w:sz w:val="22"/>
          <w:szCs w:val="22"/>
        </w:rPr>
        <w:t>(Accessed: 20 March 2026).</w:t>
      </w:r>
      <w:r w:rsidRPr="00805436">
        <w:rPr>
          <w:rStyle w:val="apple-converted-space"/>
          <w:rFonts w:ascii="Arial" w:hAnsi="Arial" w:cs="Arial"/>
          <w:color w:val="000000"/>
          <w:sz w:val="22"/>
          <w:szCs w:val="22"/>
        </w:rPr>
        <w:t> </w:t>
      </w:r>
    </w:p>
    <w:p w14:paraId="69E3F5AE" w14:textId="77777777" w:rsidR="00805436" w:rsidRPr="00805436" w:rsidRDefault="00805436" w:rsidP="00805436">
      <w:pPr>
        <w:pStyle w:val="NormalWeb"/>
        <w:rPr>
          <w:rFonts w:ascii="Arial" w:hAnsi="Arial" w:cs="Arial"/>
          <w:color w:val="000000"/>
          <w:sz w:val="22"/>
          <w:szCs w:val="22"/>
        </w:rPr>
      </w:pPr>
      <w:r w:rsidRPr="00805436">
        <w:rPr>
          <w:rFonts w:ascii="Arial" w:hAnsi="Arial" w:cs="Arial"/>
          <w:color w:val="000000"/>
          <w:sz w:val="22"/>
          <w:szCs w:val="22"/>
        </w:rPr>
        <w:t>Care Quality Commission (2024)</w:t>
      </w:r>
      <w:r w:rsidRPr="00805436">
        <w:rPr>
          <w:rStyle w:val="apple-converted-space"/>
          <w:rFonts w:ascii="Arial" w:hAnsi="Arial" w:cs="Arial"/>
          <w:color w:val="000000"/>
          <w:sz w:val="22"/>
          <w:szCs w:val="22"/>
        </w:rPr>
        <w:t> </w:t>
      </w:r>
      <w:r w:rsidRPr="00805436">
        <w:rPr>
          <w:rStyle w:val="Emphasis"/>
          <w:rFonts w:ascii="Arial" w:hAnsi="Arial" w:cs="Arial"/>
          <w:color w:val="000000"/>
          <w:sz w:val="22"/>
          <w:szCs w:val="22"/>
        </w:rPr>
        <w:t>Medicines optimisation</w:t>
      </w:r>
      <w:r w:rsidRPr="00805436">
        <w:rPr>
          <w:rFonts w:ascii="Arial" w:hAnsi="Arial" w:cs="Arial"/>
          <w:color w:val="000000"/>
          <w:sz w:val="22"/>
          <w:szCs w:val="22"/>
        </w:rPr>
        <w:t>. London: CQC. Available at:</w:t>
      </w:r>
      <w:r w:rsidRPr="00805436">
        <w:rPr>
          <w:rStyle w:val="apple-converted-space"/>
          <w:rFonts w:ascii="Arial" w:hAnsi="Arial" w:cs="Arial"/>
          <w:color w:val="000000"/>
          <w:sz w:val="22"/>
          <w:szCs w:val="22"/>
        </w:rPr>
        <w:t> </w:t>
      </w:r>
      <w:hyperlink r:id="rId20" w:tgtFrame="_new" w:history="1">
        <w:r w:rsidRPr="00805436">
          <w:rPr>
            <w:rStyle w:val="Hyperlink"/>
            <w:rFonts w:ascii="Arial" w:hAnsi="Arial" w:cs="Arial"/>
            <w:sz w:val="22"/>
            <w:szCs w:val="22"/>
          </w:rPr>
          <w:t>https://www.cqc.org.uk/guidance-regulation/providers/assessment/single-assessment-framework/safe/medicines-optimisation</w:t>
        </w:r>
      </w:hyperlink>
      <w:r w:rsidRPr="00805436">
        <w:rPr>
          <w:rStyle w:val="apple-converted-space"/>
          <w:rFonts w:ascii="Arial" w:hAnsi="Arial" w:cs="Arial"/>
          <w:color w:val="000000"/>
          <w:sz w:val="22"/>
          <w:szCs w:val="22"/>
        </w:rPr>
        <w:t> </w:t>
      </w:r>
      <w:r w:rsidRPr="00805436">
        <w:rPr>
          <w:rFonts w:ascii="Arial" w:hAnsi="Arial" w:cs="Arial"/>
          <w:color w:val="000000"/>
          <w:sz w:val="22"/>
          <w:szCs w:val="22"/>
        </w:rPr>
        <w:t>(Accessed: 20 March 2026).</w:t>
      </w:r>
      <w:r w:rsidRPr="00805436">
        <w:rPr>
          <w:rStyle w:val="apple-converted-space"/>
          <w:rFonts w:ascii="Arial" w:hAnsi="Arial" w:cs="Arial"/>
          <w:color w:val="000000"/>
          <w:sz w:val="22"/>
          <w:szCs w:val="22"/>
        </w:rPr>
        <w:t> </w:t>
      </w:r>
    </w:p>
    <w:p w14:paraId="69550D38" w14:textId="77777777" w:rsidR="00805436" w:rsidRPr="00805436" w:rsidRDefault="00805436" w:rsidP="00805436">
      <w:pPr>
        <w:pStyle w:val="NormalWeb"/>
        <w:rPr>
          <w:rFonts w:ascii="Arial" w:hAnsi="Arial" w:cs="Arial"/>
          <w:color w:val="000000"/>
          <w:sz w:val="22"/>
          <w:szCs w:val="22"/>
        </w:rPr>
      </w:pPr>
      <w:r w:rsidRPr="00805436">
        <w:rPr>
          <w:rFonts w:ascii="Arial" w:hAnsi="Arial" w:cs="Arial"/>
          <w:color w:val="000000"/>
          <w:sz w:val="22"/>
          <w:szCs w:val="22"/>
        </w:rPr>
        <w:t>UK Government (2018)</w:t>
      </w:r>
      <w:r w:rsidRPr="00805436">
        <w:rPr>
          <w:rStyle w:val="apple-converted-space"/>
          <w:rFonts w:ascii="Arial" w:hAnsi="Arial" w:cs="Arial"/>
          <w:color w:val="000000"/>
          <w:sz w:val="22"/>
          <w:szCs w:val="22"/>
        </w:rPr>
        <w:t> </w:t>
      </w:r>
      <w:r w:rsidRPr="00805436">
        <w:rPr>
          <w:rStyle w:val="Emphasis"/>
          <w:rFonts w:ascii="Arial" w:hAnsi="Arial" w:cs="Arial"/>
          <w:color w:val="000000"/>
          <w:sz w:val="22"/>
          <w:szCs w:val="22"/>
        </w:rPr>
        <w:t>Data Protection Act 2018</w:t>
      </w:r>
      <w:r w:rsidRPr="00805436">
        <w:rPr>
          <w:rFonts w:ascii="Arial" w:hAnsi="Arial" w:cs="Arial"/>
          <w:color w:val="000000"/>
          <w:sz w:val="22"/>
          <w:szCs w:val="22"/>
        </w:rPr>
        <w:t>. London: The Stationery Office. Available at:</w:t>
      </w:r>
      <w:r w:rsidRPr="00805436">
        <w:rPr>
          <w:rStyle w:val="apple-converted-space"/>
          <w:rFonts w:ascii="Arial" w:hAnsi="Arial" w:cs="Arial"/>
          <w:color w:val="000000"/>
          <w:sz w:val="22"/>
          <w:szCs w:val="22"/>
        </w:rPr>
        <w:t> </w:t>
      </w:r>
      <w:hyperlink r:id="rId21" w:tgtFrame="_new" w:history="1">
        <w:r w:rsidRPr="00805436">
          <w:rPr>
            <w:rStyle w:val="Hyperlink"/>
            <w:rFonts w:ascii="Arial" w:hAnsi="Arial" w:cs="Arial"/>
            <w:sz w:val="22"/>
            <w:szCs w:val="22"/>
          </w:rPr>
          <w:t>https://www.legislation.gov.uk/ukpga/2018/12/contents/enacted</w:t>
        </w:r>
      </w:hyperlink>
      <w:r w:rsidRPr="00805436">
        <w:rPr>
          <w:rStyle w:val="apple-converted-space"/>
          <w:rFonts w:ascii="Arial" w:hAnsi="Arial" w:cs="Arial"/>
          <w:color w:val="000000"/>
          <w:sz w:val="22"/>
          <w:szCs w:val="22"/>
        </w:rPr>
        <w:t> </w:t>
      </w:r>
      <w:r w:rsidRPr="00805436">
        <w:rPr>
          <w:rFonts w:ascii="Arial" w:hAnsi="Arial" w:cs="Arial"/>
          <w:color w:val="000000"/>
          <w:sz w:val="22"/>
          <w:szCs w:val="22"/>
        </w:rPr>
        <w:t>(Accessed: 20 March 2026).</w:t>
      </w:r>
    </w:p>
    <w:p w14:paraId="079C63D1" w14:textId="77777777" w:rsidR="00805436" w:rsidRPr="00221338" w:rsidRDefault="00805436" w:rsidP="008375B5">
      <w:pPr>
        <w:spacing w:line="360" w:lineRule="auto"/>
        <w:rPr>
          <w:rFonts w:ascii="Arial" w:hAnsi="Arial" w:cs="Arial"/>
          <w:sz w:val="28"/>
          <w:szCs w:val="28"/>
        </w:rPr>
      </w:pPr>
    </w:p>
    <w:sectPr w:rsidR="00805436" w:rsidRPr="00221338" w:rsidSect="008375B5">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EB67C" w14:textId="77777777" w:rsidR="000A24F1" w:rsidRDefault="000A24F1" w:rsidP="008375B5">
      <w:pPr>
        <w:spacing w:after="0" w:line="240" w:lineRule="auto"/>
      </w:pPr>
      <w:r>
        <w:separator/>
      </w:r>
    </w:p>
  </w:endnote>
  <w:endnote w:type="continuationSeparator" w:id="0">
    <w:p w14:paraId="344D9854" w14:textId="77777777" w:rsidR="000A24F1" w:rsidRDefault="000A24F1"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4F332"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55629EC7"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34CEC" w14:textId="77777777" w:rsidR="000A24F1" w:rsidRDefault="000A24F1" w:rsidP="008375B5">
      <w:pPr>
        <w:spacing w:after="0" w:line="240" w:lineRule="auto"/>
      </w:pPr>
      <w:r>
        <w:separator/>
      </w:r>
    </w:p>
  </w:footnote>
  <w:footnote w:type="continuationSeparator" w:id="0">
    <w:p w14:paraId="77E840E7" w14:textId="77777777" w:rsidR="000A24F1" w:rsidRDefault="000A24F1"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0360727">
    <w:abstractNumId w:val="2"/>
  </w:num>
  <w:num w:numId="2" w16cid:durableId="1395162727">
    <w:abstractNumId w:val="3"/>
  </w:num>
  <w:num w:numId="3" w16cid:durableId="475949690">
    <w:abstractNumId w:val="4"/>
  </w:num>
  <w:num w:numId="4" w16cid:durableId="390806349">
    <w:abstractNumId w:val="0"/>
  </w:num>
  <w:num w:numId="5" w16cid:durableId="1080835119">
    <w:abstractNumId w:val="1"/>
  </w:num>
  <w:num w:numId="6" w16cid:durableId="140509850">
    <w:abstractNumId w:val="5"/>
  </w:num>
  <w:num w:numId="7" w16cid:durableId="50619607">
    <w:abstractNumId w:val="6"/>
  </w:num>
  <w:num w:numId="8" w16cid:durableId="12960577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A24F1"/>
    <w:rsid w:val="00125285"/>
    <w:rsid w:val="00221338"/>
    <w:rsid w:val="00255D51"/>
    <w:rsid w:val="00427065"/>
    <w:rsid w:val="004E53DD"/>
    <w:rsid w:val="0058254B"/>
    <w:rsid w:val="00805436"/>
    <w:rsid w:val="008265EC"/>
    <w:rsid w:val="008375B5"/>
    <w:rsid w:val="00871C29"/>
    <w:rsid w:val="008E31E6"/>
    <w:rsid w:val="008F1C3F"/>
    <w:rsid w:val="009334D8"/>
    <w:rsid w:val="00987802"/>
    <w:rsid w:val="009B63F6"/>
    <w:rsid w:val="00A14E35"/>
    <w:rsid w:val="00A875D4"/>
    <w:rsid w:val="00A9474F"/>
    <w:rsid w:val="00AC2DCE"/>
    <w:rsid w:val="00AC3FDE"/>
    <w:rsid w:val="00C80D0F"/>
    <w:rsid w:val="00D40915"/>
    <w:rsid w:val="00E51FC0"/>
    <w:rsid w:val="00F80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EFF68"/>
  <w15:chartTrackingRefBased/>
  <w15:docId w15:val="{268FB069-A719-B04D-B6F2-25FEB1721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Emphasis">
    <w:name w:val="Emphasis"/>
    <w:basedOn w:val="DefaultParagraphFont"/>
    <w:uiPriority w:val="20"/>
    <w:qFormat/>
    <w:rsid w:val="00A14E35"/>
    <w:rPr>
      <w:i/>
      <w:iCs/>
    </w:rPr>
  </w:style>
  <w:style w:type="character" w:styleId="Hyperlink">
    <w:name w:val="Hyperlink"/>
    <w:basedOn w:val="DefaultParagraphFont"/>
    <w:uiPriority w:val="99"/>
    <w:semiHidden/>
    <w:unhideWhenUsed/>
    <w:rsid w:val="00A14E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egislation.gov.uk/ukpga/2018/12/contents/enacted" TargetMode="External"/><Relationship Id="rId18" Type="http://schemas.openxmlformats.org/officeDocument/2006/relationships/hyperlink" Target="https://www.basicbooks.com/titles/eric-topol-2/deep-medicine/9781541644632/?utm_source=chatgpt.com" TargetMode="External"/><Relationship Id="rId3" Type="http://schemas.openxmlformats.org/officeDocument/2006/relationships/settings" Target="settings.xml"/><Relationship Id="rId21" Type="http://schemas.openxmlformats.org/officeDocument/2006/relationships/hyperlink" Target="https://www.legislation.gov.uk/ukpga/2018/12/contents/enacted" TargetMode="External"/><Relationship Id="rId7" Type="http://schemas.openxmlformats.org/officeDocument/2006/relationships/image" Target="media/image1.jpeg"/><Relationship Id="rId12" Type="http://schemas.openxmlformats.org/officeDocument/2006/relationships/hyperlink" Target="https://www.who.int/initiatives/medication-without-harm" TargetMode="External"/><Relationship Id="rId17" Type="http://schemas.openxmlformats.org/officeDocument/2006/relationships/hyperlink" Target="https://www.nice.org.uk/guidance/sc1?utm_source=chatgpt.com" TargetMode="External"/><Relationship Id="rId2" Type="http://schemas.openxmlformats.org/officeDocument/2006/relationships/styles" Target="styles.xml"/><Relationship Id="rId16" Type="http://schemas.openxmlformats.org/officeDocument/2006/relationships/hyperlink" Target="https://openlibrary.org/books/OL1011528M/Dementia_reconsidered?utm_source=chatgpt.com" TargetMode="External"/><Relationship Id="rId20" Type="http://schemas.openxmlformats.org/officeDocument/2006/relationships/hyperlink" Target="https://www.cqc.org.uk/guidance-regulation/providers/assessment/single-assessment-framework/safe/medicines-optimisation?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asicbooks.com/titles/eric-topol/deep-medicine/978154164463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onlinelibrary.wiley.com/doi/book/10.1002/9780470987407" TargetMode="External"/><Relationship Id="rId23" Type="http://schemas.openxmlformats.org/officeDocument/2006/relationships/fontTable" Target="fontTable.xml"/><Relationship Id="rId10" Type="http://schemas.openxmlformats.org/officeDocument/2006/relationships/hyperlink" Target="https://www.nice.org.uk/guidance/sc1" TargetMode="External"/><Relationship Id="rId19" Type="http://schemas.openxmlformats.org/officeDocument/2006/relationships/hyperlink" Target="https://www.who.int/publications/i/item/WHO-HIS-SDS-2017.6?utm_source=chatgpt.com" TargetMode="External"/><Relationship Id="rId4" Type="http://schemas.openxmlformats.org/officeDocument/2006/relationships/webSettings" Target="webSettings.xml"/><Relationship Id="rId9" Type="http://schemas.openxmlformats.org/officeDocument/2006/relationships/hyperlink" Target="https://onlinelibrary.wiley.com/doi/book/10.1002/9780470987407" TargetMode="External"/><Relationship Id="rId14" Type="http://schemas.openxmlformats.org/officeDocument/2006/relationships/hyperlink" Target="https://policy.bristoluniversitypress.co.uk/partnership-working-in-health-and-social-care-second-edition?utm_source=chatgpt.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1912</Words>
  <Characters>10899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Ioan Ciprian Tanase (2414116)</cp:lastModifiedBy>
  <cp:revision>2</cp:revision>
  <dcterms:created xsi:type="dcterms:W3CDTF">2026-03-20T23:52:00Z</dcterms:created>
  <dcterms:modified xsi:type="dcterms:W3CDTF">2026-03-20T23:52:00Z</dcterms:modified>
</cp:coreProperties>
</file>