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59C603" w14:textId="77777777" w:rsidR="00CF6566" w:rsidRPr="00CF6566" w:rsidRDefault="00CF6566" w:rsidP="00CF6566">
      <w:pPr>
        <w:jc w:val="center"/>
        <w:rPr>
          <w:b/>
          <w:sz w:val="32"/>
        </w:rPr>
      </w:pPr>
      <w:r w:rsidRPr="00CF6566">
        <w:rPr>
          <w:b/>
          <w:sz w:val="32"/>
        </w:rPr>
        <w:t>HPHI6015</w:t>
      </w:r>
    </w:p>
    <w:p w14:paraId="210E3CE1" w14:textId="77777777" w:rsidR="00CF6566" w:rsidRPr="00CF6566" w:rsidRDefault="00CF6566" w:rsidP="00CF6566">
      <w:pPr>
        <w:jc w:val="center"/>
        <w:rPr>
          <w:b/>
          <w:sz w:val="32"/>
        </w:rPr>
      </w:pPr>
      <w:r w:rsidRPr="00CF6566">
        <w:rPr>
          <w:b/>
          <w:sz w:val="32"/>
        </w:rPr>
        <w:t>Medieval Prose in Wales</w:t>
      </w:r>
    </w:p>
    <w:p w14:paraId="3A424AC5" w14:textId="77777777" w:rsidR="00CF6566" w:rsidRPr="00CF6566" w:rsidRDefault="00CF6566" w:rsidP="00CF6566">
      <w:pPr>
        <w:jc w:val="center"/>
        <w:rPr>
          <w:b/>
          <w:sz w:val="28"/>
        </w:rPr>
      </w:pPr>
      <w:r w:rsidRPr="00CF6566">
        <w:rPr>
          <w:b/>
          <w:sz w:val="28"/>
        </w:rPr>
        <w:t>Assessment Component 2 - Essay</w:t>
      </w:r>
    </w:p>
    <w:p w14:paraId="1C3B48E7" w14:textId="2D78E0FB" w:rsidR="00CF6566" w:rsidRDefault="00CF6566"/>
    <w:p w14:paraId="29687786" w14:textId="77777777" w:rsidR="00963C7E" w:rsidRDefault="00CF6566" w:rsidP="00EF6967">
      <w:pPr>
        <w:rPr>
          <w:sz w:val="28"/>
        </w:rPr>
      </w:pPr>
      <w:r w:rsidRPr="00CF6566">
        <w:rPr>
          <w:sz w:val="28"/>
        </w:rPr>
        <w:t>Critically analyse some of the main hypotheses that have been proposed regarding the authorship of the Four Branches of the Mabinogi.</w:t>
      </w:r>
    </w:p>
    <w:p w14:paraId="27BE0C99" w14:textId="77777777" w:rsidR="00CF6566" w:rsidRDefault="00CF6566">
      <w:pPr>
        <w:rPr>
          <w:sz w:val="24"/>
        </w:rPr>
      </w:pPr>
    </w:p>
    <w:p w14:paraId="3BD9AD81" w14:textId="24528B6D" w:rsidR="004310C2" w:rsidRDefault="00661405">
      <w:pPr>
        <w:rPr>
          <w:sz w:val="24"/>
        </w:rPr>
      </w:pPr>
      <w:r>
        <w:rPr>
          <w:sz w:val="24"/>
        </w:rPr>
        <w:t xml:space="preserve">Within this essay the different hypotheses regarding the author of the Four Branches will be discussed and critically analysed. </w:t>
      </w:r>
      <w:r w:rsidR="004C2862">
        <w:rPr>
          <w:sz w:val="24"/>
        </w:rPr>
        <w:t>Brynley Roberts states that the author of the Four Branches of the Mabinogi would have a knowledge of laws,</w:t>
      </w:r>
      <w:r w:rsidR="000E0451">
        <w:rPr>
          <w:sz w:val="24"/>
        </w:rPr>
        <w:t xml:space="preserve"> the inner workings of a court and a knowledge of the geography of Wales, he describes that the author presents the view of a personal but traditional view of society filled with chivalry and heroism.</w:t>
      </w:r>
      <w:r w:rsidR="000E0451">
        <w:rPr>
          <w:rStyle w:val="FootnoteReference"/>
          <w:sz w:val="24"/>
        </w:rPr>
        <w:footnoteReference w:id="1"/>
      </w:r>
      <w:r w:rsidR="000E0451">
        <w:rPr>
          <w:sz w:val="24"/>
        </w:rPr>
        <w:t xml:space="preserve"> From these beliefs that other scholars share, i</w:t>
      </w:r>
      <w:r w:rsidR="00B72EA9">
        <w:rPr>
          <w:sz w:val="24"/>
        </w:rPr>
        <w:t>t</w:t>
      </w:r>
      <w:r w:rsidR="000E0451">
        <w:rPr>
          <w:sz w:val="24"/>
        </w:rPr>
        <w:t xml:space="preserve"> influences the belief of authorship to possibly a woman of high status, a monk due to the knowledge that they would have a</w:t>
      </w:r>
      <w:r w:rsidR="00B72EA9">
        <w:rPr>
          <w:sz w:val="24"/>
        </w:rPr>
        <w:t>cc</w:t>
      </w:r>
      <w:r w:rsidR="000E0451">
        <w:rPr>
          <w:sz w:val="24"/>
        </w:rPr>
        <w:t>ess to or a lawyer due to the author’s knowledge of the law.</w:t>
      </w:r>
    </w:p>
    <w:p w14:paraId="1D74E148" w14:textId="0A62E436" w:rsidR="000E0451" w:rsidRDefault="000E0451">
      <w:pPr>
        <w:rPr>
          <w:sz w:val="24"/>
        </w:rPr>
      </w:pPr>
    </w:p>
    <w:p w14:paraId="0ED9B2A7" w14:textId="4BA46B4F" w:rsidR="000E0451" w:rsidRDefault="000E0451">
      <w:pPr>
        <w:rPr>
          <w:sz w:val="24"/>
        </w:rPr>
      </w:pPr>
      <w:r>
        <w:rPr>
          <w:sz w:val="24"/>
        </w:rPr>
        <w:t>The Four Branches of the Mabinogi are the first four stories from the collection of tales known today as the Mabinogion. The first branch tells the story of Pwyll and is based in Dyfed</w:t>
      </w:r>
      <w:r w:rsidR="00B72EA9">
        <w:rPr>
          <w:sz w:val="24"/>
        </w:rPr>
        <w:t>.</w:t>
      </w:r>
      <w:r w:rsidR="00B72EA9">
        <w:rPr>
          <w:rStyle w:val="FootnoteReference"/>
          <w:sz w:val="24"/>
        </w:rPr>
        <w:footnoteReference w:id="2"/>
      </w:r>
      <w:r w:rsidR="00B72EA9">
        <w:rPr>
          <w:sz w:val="24"/>
        </w:rPr>
        <w:t xml:space="preserve"> The second branch tells the story of Branwen which begins in Wales but travels to Ireland.</w:t>
      </w:r>
      <w:r w:rsidR="00B72EA9">
        <w:rPr>
          <w:rStyle w:val="FootnoteReference"/>
          <w:sz w:val="24"/>
        </w:rPr>
        <w:footnoteReference w:id="3"/>
      </w:r>
      <w:r w:rsidR="00B72EA9">
        <w:rPr>
          <w:sz w:val="24"/>
        </w:rPr>
        <w:t xml:space="preserve"> The third branch is known as the branch of Manawydan where the location for the story is split between Wales and England.</w:t>
      </w:r>
      <w:r w:rsidR="00B72EA9">
        <w:rPr>
          <w:rStyle w:val="FootnoteReference"/>
          <w:sz w:val="24"/>
        </w:rPr>
        <w:footnoteReference w:id="4"/>
      </w:r>
      <w:r w:rsidR="00B72EA9">
        <w:rPr>
          <w:sz w:val="24"/>
        </w:rPr>
        <w:t xml:space="preserve"> The fourth branch is located in </w:t>
      </w:r>
      <w:r w:rsidR="00B72EA9" w:rsidRPr="00B72EA9">
        <w:rPr>
          <w:sz w:val="24"/>
        </w:rPr>
        <w:t>Gwynedd</w:t>
      </w:r>
      <w:r w:rsidR="00B72EA9">
        <w:rPr>
          <w:sz w:val="24"/>
        </w:rPr>
        <w:t xml:space="preserve"> and is known as the tale of Math.</w:t>
      </w:r>
      <w:r w:rsidR="00B72EA9">
        <w:rPr>
          <w:rStyle w:val="FootnoteReference"/>
          <w:sz w:val="24"/>
        </w:rPr>
        <w:footnoteReference w:id="5"/>
      </w:r>
      <w:r w:rsidR="00E25985">
        <w:rPr>
          <w:sz w:val="24"/>
        </w:rPr>
        <w:t xml:space="preserve"> The most recent translation is by Sioned Davie but was originally translated into English by Lady Charlotte Guest.</w:t>
      </w:r>
    </w:p>
    <w:p w14:paraId="1DDD3A51" w14:textId="77777777" w:rsidR="00735543" w:rsidRDefault="00735543">
      <w:pPr>
        <w:rPr>
          <w:sz w:val="24"/>
        </w:rPr>
      </w:pPr>
    </w:p>
    <w:p w14:paraId="28E204EF" w14:textId="637D948F" w:rsidR="00CF6566" w:rsidRDefault="00F765DD">
      <w:pPr>
        <w:rPr>
          <w:sz w:val="24"/>
        </w:rPr>
      </w:pPr>
      <w:r>
        <w:rPr>
          <w:sz w:val="24"/>
        </w:rPr>
        <w:t>Before analysing the hypotheses regarding the authorship of the Mabinogi, it must be first decided what is authorship.</w:t>
      </w:r>
      <w:r w:rsidR="006A3EA2">
        <w:rPr>
          <w:sz w:val="24"/>
        </w:rPr>
        <w:t xml:space="preserve"> There </w:t>
      </w:r>
      <w:r w:rsidR="003644F7">
        <w:rPr>
          <w:sz w:val="24"/>
        </w:rPr>
        <w:t>are</w:t>
      </w:r>
      <w:r w:rsidR="006A3EA2">
        <w:rPr>
          <w:sz w:val="24"/>
        </w:rPr>
        <w:t xml:space="preserve"> questions on how an author is defined</w:t>
      </w:r>
      <w:r w:rsidR="003644F7">
        <w:rPr>
          <w:sz w:val="24"/>
        </w:rPr>
        <w:t>. Is an author the person who created the tales or is it the person who first orally recounted the branches? Or could it be the person who devised the characters originally, or perhaps the scribe who dictated the four branches on to parchment for the first time? Or do we take the author to be the person who is responsible for the oldest existing manuscripts that we have access to of the branch</w:t>
      </w:r>
      <w:r w:rsidR="00E25985">
        <w:rPr>
          <w:sz w:val="24"/>
        </w:rPr>
        <w:t>es</w:t>
      </w:r>
      <w:r w:rsidR="003644F7">
        <w:rPr>
          <w:sz w:val="24"/>
        </w:rPr>
        <w:t xml:space="preserve">. Using these options for determining what authorship is, it </w:t>
      </w:r>
      <w:r w:rsidR="004310C2">
        <w:rPr>
          <w:sz w:val="24"/>
        </w:rPr>
        <w:t>is best to use more than one</w:t>
      </w:r>
      <w:r w:rsidR="00E25985">
        <w:rPr>
          <w:sz w:val="24"/>
        </w:rPr>
        <w:t>, due to it being</w:t>
      </w:r>
      <w:r w:rsidR="004310C2">
        <w:rPr>
          <w:sz w:val="24"/>
        </w:rPr>
        <w:t xml:space="preserve"> more than likely the authorship can be attributed to the </w:t>
      </w:r>
      <w:r w:rsidR="004310C2">
        <w:rPr>
          <w:sz w:val="24"/>
        </w:rPr>
        <w:lastRenderedPageBreak/>
        <w:t>person who envisioned the characters, thus creating the tales to be a part of</w:t>
      </w:r>
      <w:r w:rsidR="00E25985">
        <w:rPr>
          <w:sz w:val="24"/>
        </w:rPr>
        <w:t>. Thus,</w:t>
      </w:r>
      <w:r w:rsidR="004310C2">
        <w:rPr>
          <w:sz w:val="24"/>
        </w:rPr>
        <w:t xml:space="preserve"> this person would also be the person who first narrated them orally, due to most tales being passed on through oral tradition. Therefore, defining what is meant by authorship.</w:t>
      </w:r>
      <w:r w:rsidR="009847C5">
        <w:rPr>
          <w:sz w:val="24"/>
        </w:rPr>
        <w:t xml:space="preserve"> Through this definition of authorship, most scholars believe that the </w:t>
      </w:r>
      <w:r w:rsidR="00D75586">
        <w:rPr>
          <w:sz w:val="24"/>
        </w:rPr>
        <w:t>F</w:t>
      </w:r>
      <w:r w:rsidR="009847C5">
        <w:rPr>
          <w:sz w:val="24"/>
        </w:rPr>
        <w:t xml:space="preserve">our </w:t>
      </w:r>
      <w:r w:rsidR="00D75586">
        <w:rPr>
          <w:sz w:val="24"/>
        </w:rPr>
        <w:t>B</w:t>
      </w:r>
      <w:r w:rsidR="009847C5">
        <w:rPr>
          <w:sz w:val="24"/>
        </w:rPr>
        <w:t>ranches</w:t>
      </w:r>
      <w:r w:rsidR="00D75586">
        <w:rPr>
          <w:sz w:val="24"/>
        </w:rPr>
        <w:t xml:space="preserve"> of the Mabinogi</w:t>
      </w:r>
      <w:r w:rsidR="009847C5">
        <w:rPr>
          <w:sz w:val="24"/>
        </w:rPr>
        <w:t xml:space="preserve"> were the collective work of one person due to the unity of style and characterisation within all four branches.</w:t>
      </w:r>
      <w:r w:rsidR="009847C5">
        <w:rPr>
          <w:rStyle w:val="FootnoteReference"/>
          <w:sz w:val="24"/>
        </w:rPr>
        <w:footnoteReference w:id="6"/>
      </w:r>
    </w:p>
    <w:p w14:paraId="01E3FADA" w14:textId="77777777" w:rsidR="00CF6566" w:rsidRDefault="00CF6566">
      <w:pPr>
        <w:rPr>
          <w:sz w:val="24"/>
        </w:rPr>
      </w:pPr>
    </w:p>
    <w:p w14:paraId="7CC5FE51" w14:textId="2FCD131B" w:rsidR="004C2862" w:rsidRDefault="00463CB3">
      <w:pPr>
        <w:rPr>
          <w:sz w:val="24"/>
        </w:rPr>
      </w:pPr>
      <w:r>
        <w:rPr>
          <w:sz w:val="24"/>
        </w:rPr>
        <w:t>One of the most recent and controversial hypotheses around the authorship of the Four Branches of the Mabinogi was presented by Andrew Breeze</w:t>
      </w:r>
      <w:r w:rsidR="00E25985">
        <w:rPr>
          <w:sz w:val="24"/>
        </w:rPr>
        <w:t>.</w:t>
      </w:r>
      <w:r>
        <w:rPr>
          <w:sz w:val="24"/>
        </w:rPr>
        <w:t xml:space="preserve"> </w:t>
      </w:r>
      <w:r w:rsidR="00E25985">
        <w:rPr>
          <w:sz w:val="24"/>
        </w:rPr>
        <w:t>W</w:t>
      </w:r>
      <w:r>
        <w:rPr>
          <w:sz w:val="24"/>
        </w:rPr>
        <w:t xml:space="preserve">ho put forward the idea that the Welsh Princess Gwenllian the daughter of </w:t>
      </w:r>
      <w:r w:rsidR="000B7500">
        <w:rPr>
          <w:sz w:val="24"/>
        </w:rPr>
        <w:t>Gruffudd ap Cynan, the king of Gw</w:t>
      </w:r>
      <w:r w:rsidR="00DF4783">
        <w:rPr>
          <w:sz w:val="24"/>
        </w:rPr>
        <w:t>y</w:t>
      </w:r>
      <w:r w:rsidR="00476D16">
        <w:rPr>
          <w:sz w:val="24"/>
        </w:rPr>
        <w:t>n</w:t>
      </w:r>
      <w:r w:rsidR="000B7500">
        <w:rPr>
          <w:sz w:val="24"/>
        </w:rPr>
        <w:t>edd and the wife of Gruffydd ap Rhys, prince of Deheubarth in South Wales.</w:t>
      </w:r>
      <w:r w:rsidR="00476D16">
        <w:rPr>
          <w:rStyle w:val="FootnoteReference"/>
          <w:sz w:val="24"/>
        </w:rPr>
        <w:footnoteReference w:id="7"/>
      </w:r>
      <w:r w:rsidR="0095216E">
        <w:rPr>
          <w:sz w:val="24"/>
        </w:rPr>
        <w:t xml:space="preserve"> </w:t>
      </w:r>
      <w:r w:rsidR="00476D16">
        <w:rPr>
          <w:sz w:val="24"/>
        </w:rPr>
        <w:t xml:space="preserve"> She was also the mother of Lord Rhys who during the late 12</w:t>
      </w:r>
      <w:r w:rsidR="00476D16" w:rsidRPr="00476D16">
        <w:rPr>
          <w:sz w:val="24"/>
          <w:vertAlign w:val="superscript"/>
        </w:rPr>
        <w:t>th</w:t>
      </w:r>
      <w:r w:rsidR="00476D16">
        <w:rPr>
          <w:sz w:val="24"/>
        </w:rPr>
        <w:t xml:space="preserve"> century dominated West Welsh politics.</w:t>
      </w:r>
      <w:r w:rsidR="00476D16">
        <w:rPr>
          <w:rStyle w:val="FootnoteReference"/>
          <w:sz w:val="24"/>
        </w:rPr>
        <w:footnoteReference w:id="8"/>
      </w:r>
      <w:r w:rsidR="00B47C40">
        <w:rPr>
          <w:sz w:val="24"/>
        </w:rPr>
        <w:t xml:space="preserve"> </w:t>
      </w:r>
      <w:r w:rsidR="00ED035B">
        <w:rPr>
          <w:sz w:val="24"/>
        </w:rPr>
        <w:t>If Andrew Breeze is correct with his thesis about Gwenllian being the author of the Four Branches of the Mabinogi, it would date the branches between 1120 to 1136 when she was killed in battle against the Normans at Kidwelly in South Wales</w:t>
      </w:r>
      <w:r w:rsidR="00E25985">
        <w:rPr>
          <w:sz w:val="24"/>
        </w:rPr>
        <w:t>.</w:t>
      </w:r>
      <w:r w:rsidR="00E25985">
        <w:rPr>
          <w:rStyle w:val="FootnoteReference"/>
          <w:sz w:val="24"/>
        </w:rPr>
        <w:footnoteReference w:id="9"/>
      </w:r>
      <w:r w:rsidR="00E25985">
        <w:rPr>
          <w:sz w:val="24"/>
        </w:rPr>
        <w:t xml:space="preserve"> I</w:t>
      </w:r>
      <w:r w:rsidR="00ED035B">
        <w:rPr>
          <w:sz w:val="24"/>
        </w:rPr>
        <w:t>t also gives a location to where the Mabinogi was wr</w:t>
      </w:r>
      <w:r w:rsidR="00E25985">
        <w:rPr>
          <w:sz w:val="24"/>
        </w:rPr>
        <w:t>itten</w:t>
      </w:r>
      <w:r w:rsidR="00ED035B">
        <w:rPr>
          <w:sz w:val="24"/>
        </w:rPr>
        <w:t xml:space="preserve"> if </w:t>
      </w:r>
      <w:r w:rsidR="00E25985">
        <w:rPr>
          <w:sz w:val="24"/>
        </w:rPr>
        <w:t>the author</w:t>
      </w:r>
      <w:r w:rsidR="00ED035B">
        <w:rPr>
          <w:sz w:val="24"/>
        </w:rPr>
        <w:t xml:space="preserve"> was Gwenllian, this being Caio, a commote that lay between Lampeter and Llandovery.</w:t>
      </w:r>
      <w:r w:rsidR="002831C4">
        <w:rPr>
          <w:rStyle w:val="FootnoteReference"/>
          <w:sz w:val="24"/>
        </w:rPr>
        <w:footnoteReference w:id="10"/>
      </w:r>
      <w:r w:rsidR="002831C4">
        <w:rPr>
          <w:sz w:val="24"/>
        </w:rPr>
        <w:t xml:space="preserve"> One problem with the location of the Mabinogi being written is due to the fact that Lampeter nor Llandovery are described</w:t>
      </w:r>
      <w:r w:rsidR="00E25985">
        <w:rPr>
          <w:sz w:val="24"/>
        </w:rPr>
        <w:t xml:space="preserve"> in the Mabinogi</w:t>
      </w:r>
      <w:r w:rsidR="002831C4">
        <w:rPr>
          <w:sz w:val="24"/>
        </w:rPr>
        <w:t xml:space="preserve"> thus going against the idea that it was written in South-west Wales</w:t>
      </w:r>
      <w:r w:rsidR="00E25985">
        <w:rPr>
          <w:sz w:val="24"/>
        </w:rPr>
        <w:t>. Therefore,</w:t>
      </w:r>
      <w:r w:rsidR="002831C4">
        <w:rPr>
          <w:sz w:val="24"/>
        </w:rPr>
        <w:t xml:space="preserve"> creating a flaw within Breeze’s argument for Gwenllian.  Breeze gives nineteen reasons </w:t>
      </w:r>
      <w:r w:rsidR="00D7233F">
        <w:rPr>
          <w:sz w:val="24"/>
        </w:rPr>
        <w:t>for Gwenllian being the author of the Mabinogi</w:t>
      </w:r>
      <w:r w:rsidR="00E25985">
        <w:rPr>
          <w:sz w:val="24"/>
        </w:rPr>
        <w:t>.</w:t>
      </w:r>
      <w:r w:rsidR="00D7233F">
        <w:rPr>
          <w:sz w:val="24"/>
        </w:rPr>
        <w:t xml:space="preserve"> </w:t>
      </w:r>
      <w:r w:rsidR="00E25985">
        <w:rPr>
          <w:sz w:val="24"/>
        </w:rPr>
        <w:t>W</w:t>
      </w:r>
      <w:r w:rsidR="00D7233F">
        <w:rPr>
          <w:sz w:val="24"/>
        </w:rPr>
        <w:t>hile Breeze himself states that some of the evidence is circumstantial there is no evidence to prove that Gwenllian was not the author.</w:t>
      </w:r>
      <w:r w:rsidR="00D7233F">
        <w:rPr>
          <w:rStyle w:val="FootnoteReference"/>
          <w:sz w:val="24"/>
        </w:rPr>
        <w:footnoteReference w:id="11"/>
      </w:r>
      <w:r w:rsidR="00D7233F">
        <w:rPr>
          <w:sz w:val="24"/>
        </w:rPr>
        <w:t xml:space="preserve"> This causes for other scholars such as Luft, Johnston, Rodway and Gruber to criticise his hypotheses of Gwenllian, Breeze goes on to describe them as ‘American feminists’ dismissing their opinions upon his work.</w:t>
      </w:r>
      <w:r w:rsidR="00D7233F">
        <w:rPr>
          <w:rStyle w:val="FootnoteReference"/>
          <w:sz w:val="24"/>
        </w:rPr>
        <w:footnoteReference w:id="12"/>
      </w:r>
      <w:r w:rsidR="00D7233F">
        <w:rPr>
          <w:sz w:val="24"/>
        </w:rPr>
        <w:t xml:space="preserve"> </w:t>
      </w:r>
      <w:r w:rsidR="00D7233F">
        <w:rPr>
          <w:rStyle w:val="FootnoteReference"/>
          <w:sz w:val="24"/>
        </w:rPr>
        <w:footnoteReference w:id="13"/>
      </w:r>
      <w:r w:rsidR="00D7233F">
        <w:rPr>
          <w:sz w:val="24"/>
        </w:rPr>
        <w:t xml:space="preserve"> </w:t>
      </w:r>
      <w:r w:rsidR="00D7233F">
        <w:rPr>
          <w:rStyle w:val="FootnoteReference"/>
          <w:sz w:val="24"/>
        </w:rPr>
        <w:footnoteReference w:id="14"/>
      </w:r>
      <w:r w:rsidR="00D7233F">
        <w:rPr>
          <w:sz w:val="24"/>
        </w:rPr>
        <w:t xml:space="preserve"> </w:t>
      </w:r>
      <w:r w:rsidR="00D7233F">
        <w:rPr>
          <w:rStyle w:val="FootnoteReference"/>
          <w:sz w:val="24"/>
        </w:rPr>
        <w:footnoteReference w:id="15"/>
      </w:r>
      <w:r w:rsidR="00D7233F">
        <w:rPr>
          <w:sz w:val="24"/>
        </w:rPr>
        <w:t xml:space="preserve"> </w:t>
      </w:r>
      <w:r w:rsidR="00D7233F">
        <w:rPr>
          <w:rStyle w:val="FootnoteReference"/>
          <w:sz w:val="24"/>
        </w:rPr>
        <w:footnoteReference w:id="16"/>
      </w:r>
      <w:r w:rsidR="0055674D">
        <w:rPr>
          <w:sz w:val="24"/>
        </w:rPr>
        <w:t xml:space="preserve"> The first reason Breeze has for Gwenllian being the author is that only a woman of a high rank would have had the knowledge and ability to write, restricting the number of potential authors</w:t>
      </w:r>
      <w:r w:rsidR="00E25985">
        <w:rPr>
          <w:sz w:val="24"/>
        </w:rPr>
        <w:t>.</w:t>
      </w:r>
      <w:r w:rsidR="0055674D">
        <w:rPr>
          <w:sz w:val="24"/>
        </w:rPr>
        <w:t xml:space="preserve"> </w:t>
      </w:r>
      <w:r w:rsidR="00E25985">
        <w:rPr>
          <w:sz w:val="24"/>
        </w:rPr>
        <w:t>I</w:t>
      </w:r>
      <w:r w:rsidR="0055674D">
        <w:rPr>
          <w:sz w:val="24"/>
        </w:rPr>
        <w:t>t is also due to her being the mother of Lord Rhys who was a patron of the bards, making Gwenllian in good position for her writings to survive.</w:t>
      </w:r>
      <w:r w:rsidR="0055674D">
        <w:rPr>
          <w:rStyle w:val="FootnoteReference"/>
          <w:sz w:val="24"/>
        </w:rPr>
        <w:footnoteReference w:id="17"/>
      </w:r>
      <w:r w:rsidR="0055674D">
        <w:rPr>
          <w:sz w:val="24"/>
        </w:rPr>
        <w:t xml:space="preserve"> However, </w:t>
      </w:r>
      <w:r w:rsidR="005B243C">
        <w:rPr>
          <w:sz w:val="24"/>
        </w:rPr>
        <w:t>this could have been</w:t>
      </w:r>
      <w:r w:rsidR="00E25985">
        <w:rPr>
          <w:sz w:val="24"/>
        </w:rPr>
        <w:t xml:space="preserve"> due</w:t>
      </w:r>
      <w:r w:rsidR="005B243C">
        <w:rPr>
          <w:sz w:val="24"/>
        </w:rPr>
        <w:t xml:space="preserve"> to Lord Rhys </w:t>
      </w:r>
      <w:r w:rsidR="005B243C">
        <w:rPr>
          <w:sz w:val="24"/>
        </w:rPr>
        <w:lastRenderedPageBreak/>
        <w:t>preferences or perhaps due to his cousin Hywel ab Owain Gwynedd composing poems</w:t>
      </w:r>
      <w:r w:rsidR="00E25985">
        <w:rPr>
          <w:sz w:val="24"/>
        </w:rPr>
        <w:t xml:space="preserve">. </w:t>
      </w:r>
      <w:r w:rsidR="005B243C">
        <w:rPr>
          <w:sz w:val="24"/>
        </w:rPr>
        <w:t>Breeze goes on to argue that</w:t>
      </w:r>
      <w:r w:rsidR="00E25985">
        <w:rPr>
          <w:sz w:val="24"/>
        </w:rPr>
        <w:t xml:space="preserve"> Gwenllian must be the author</w:t>
      </w:r>
      <w:r w:rsidR="005B243C">
        <w:rPr>
          <w:sz w:val="24"/>
        </w:rPr>
        <w:t xml:space="preserve"> due to</w:t>
      </w:r>
      <w:r w:rsidR="00E25985">
        <w:rPr>
          <w:sz w:val="24"/>
        </w:rPr>
        <w:t xml:space="preserve"> </w:t>
      </w:r>
      <w:r w:rsidR="005B243C">
        <w:rPr>
          <w:sz w:val="24"/>
        </w:rPr>
        <w:t>both Hywel’s poems and the Mabinogi have a character named Dylan</w:t>
      </w:r>
      <w:r w:rsidR="00CC3604">
        <w:rPr>
          <w:sz w:val="24"/>
        </w:rPr>
        <w:t xml:space="preserve"> and because they are related by being aunt and nephew:</w:t>
      </w:r>
      <w:r w:rsidR="002B634F">
        <w:rPr>
          <w:sz w:val="24"/>
        </w:rPr>
        <w:t xml:space="preserve"> (point twelve)</w:t>
      </w:r>
      <w:r w:rsidR="005B243C">
        <w:rPr>
          <w:sz w:val="24"/>
        </w:rPr>
        <w:t xml:space="preserve"> this is circumstantial evidence at best and quite a far fetched concept to connect the two together, comparing names does not connect authors take for example Charles Dickens has a character called Bill, so does J.K Rowling this however does not connect the </w:t>
      </w:r>
      <w:r w:rsidR="002B634F">
        <w:rPr>
          <w:sz w:val="24"/>
        </w:rPr>
        <w:t>two authors in anyway other than a names, thus making Breeze’s argument without point</w:t>
      </w:r>
      <w:r w:rsidR="005B243C">
        <w:rPr>
          <w:sz w:val="24"/>
        </w:rPr>
        <w:t>.</w:t>
      </w:r>
      <w:r w:rsidR="005B243C">
        <w:rPr>
          <w:rStyle w:val="FootnoteReference"/>
          <w:sz w:val="24"/>
        </w:rPr>
        <w:footnoteReference w:id="18"/>
      </w:r>
      <w:r w:rsidR="0094253B">
        <w:rPr>
          <w:sz w:val="24"/>
        </w:rPr>
        <w:t xml:space="preserve"> </w:t>
      </w:r>
      <w:r w:rsidR="0094253B">
        <w:rPr>
          <w:rStyle w:val="FootnoteReference"/>
          <w:sz w:val="24"/>
        </w:rPr>
        <w:footnoteReference w:id="19"/>
      </w:r>
      <w:r w:rsidR="0094253B">
        <w:rPr>
          <w:sz w:val="24"/>
        </w:rPr>
        <w:t xml:space="preserve"> </w:t>
      </w:r>
      <w:r w:rsidR="0094253B">
        <w:rPr>
          <w:rStyle w:val="FootnoteReference"/>
          <w:sz w:val="24"/>
        </w:rPr>
        <w:footnoteReference w:id="20"/>
      </w:r>
      <w:r w:rsidR="0094253B">
        <w:rPr>
          <w:sz w:val="24"/>
        </w:rPr>
        <w:t xml:space="preserve"> </w:t>
      </w:r>
    </w:p>
    <w:p w14:paraId="50F792AD" w14:textId="77777777" w:rsidR="008B5F36" w:rsidRDefault="0094253B">
      <w:pPr>
        <w:rPr>
          <w:sz w:val="24"/>
        </w:rPr>
      </w:pPr>
      <w:r>
        <w:rPr>
          <w:sz w:val="24"/>
        </w:rPr>
        <w:t>Breeze’s third point was that the author of the had a vast knowledge of Gwynedd and Dyfed, due to Gwenllian being born in Gwynedd and having married a prince of Dyfed</w:t>
      </w:r>
      <w:r w:rsidR="00122E8D">
        <w:rPr>
          <w:sz w:val="24"/>
        </w:rPr>
        <w:t>, while I can be presumed that Gwenllian would have had a good knowledge of both of those areas, it could be said the same for a traveller or even perhaps a solider.</w:t>
      </w:r>
      <w:r w:rsidR="00122E8D">
        <w:rPr>
          <w:rStyle w:val="FootnoteReference"/>
          <w:sz w:val="24"/>
        </w:rPr>
        <w:footnoteReference w:id="21"/>
      </w:r>
      <w:r w:rsidR="00122E8D">
        <w:rPr>
          <w:sz w:val="24"/>
        </w:rPr>
        <w:t xml:space="preserve"> His fourth argument is a knowledge</w:t>
      </w:r>
      <w:r w:rsidR="00B34EE7">
        <w:rPr>
          <w:sz w:val="24"/>
        </w:rPr>
        <w:t xml:space="preserve"> of Ireland </w:t>
      </w:r>
      <w:r w:rsidR="009A159E">
        <w:rPr>
          <w:sz w:val="24"/>
        </w:rPr>
        <w:t>is a reason for deducing that Gwenllian is the author due both her and her husband being exiled briefly in 1127, nevertheless if they were only briefly exiled how would they have a vast knowledge of Ireland if only being in Ireland for a short period of time.</w:t>
      </w:r>
      <w:r w:rsidR="009A159E">
        <w:rPr>
          <w:rStyle w:val="FootnoteReference"/>
          <w:sz w:val="24"/>
        </w:rPr>
        <w:footnoteReference w:id="22"/>
      </w:r>
      <w:r w:rsidR="009A159E">
        <w:rPr>
          <w:sz w:val="24"/>
        </w:rPr>
        <w:t xml:space="preserve"> Breeze goes on to state that Gwenllian is unlikely to have wrote the Four Branches of the Mabinogi just after the exile due to the fact that Gwenllian would have only been about in her twenties and Breeze essentially claims that someone with more worldly knowledge would have wrote the Four Branches thus claiming that she wrote the Branches at an older age, i.e. her thirties before she died, compared to a ‘young wife’.</w:t>
      </w:r>
      <w:r w:rsidR="009A159E">
        <w:rPr>
          <w:rStyle w:val="FootnoteReference"/>
          <w:sz w:val="24"/>
        </w:rPr>
        <w:footnoteReference w:id="23"/>
      </w:r>
      <w:r w:rsidR="009A159E">
        <w:rPr>
          <w:sz w:val="24"/>
        </w:rPr>
        <w:t xml:space="preserve"> </w:t>
      </w:r>
    </w:p>
    <w:p w14:paraId="34BFCBD6" w14:textId="77777777" w:rsidR="008B5F36" w:rsidRDefault="009A159E">
      <w:pPr>
        <w:rPr>
          <w:sz w:val="24"/>
        </w:rPr>
      </w:pPr>
      <w:r>
        <w:rPr>
          <w:sz w:val="24"/>
        </w:rPr>
        <w:t>The fifth point states that the author would have had a knowledge of ‘princely’ duties and a knowledge of the law</w:t>
      </w:r>
      <w:r w:rsidR="005B727B">
        <w:rPr>
          <w:sz w:val="24"/>
        </w:rPr>
        <w:t xml:space="preserve">, this point does not help his argument about Gwenllian being the author, a claim with more merit would have been a lawyer within the court of one of the Welsh </w:t>
      </w:r>
      <w:r w:rsidR="008B5F36">
        <w:rPr>
          <w:sz w:val="24"/>
        </w:rPr>
        <w:t>Princes</w:t>
      </w:r>
      <w:r w:rsidR="005B727B">
        <w:rPr>
          <w:sz w:val="24"/>
        </w:rPr>
        <w:t>.</w:t>
      </w:r>
      <w:r w:rsidR="005B727B">
        <w:rPr>
          <w:rStyle w:val="FootnoteReference"/>
          <w:sz w:val="24"/>
        </w:rPr>
        <w:footnoteReference w:id="24"/>
      </w:r>
      <w:r w:rsidR="005B727B">
        <w:rPr>
          <w:sz w:val="24"/>
        </w:rPr>
        <w:t xml:space="preserve"> This ‘evidence’ is very circumstantial and open to manipulation into Breeze’s argument by presenting it in the form he has. </w:t>
      </w:r>
    </w:p>
    <w:p w14:paraId="2BDC2268" w14:textId="2B320C8B" w:rsidR="004C2862" w:rsidRDefault="005B727B">
      <w:pPr>
        <w:rPr>
          <w:sz w:val="24"/>
        </w:rPr>
      </w:pPr>
      <w:r>
        <w:rPr>
          <w:sz w:val="24"/>
        </w:rPr>
        <w:t xml:space="preserve">The sixth, tenth and twelfth point of evidence states the author has an awareness of issues around childbirth and children, Breeze uses </w:t>
      </w:r>
      <w:r w:rsidR="00EF022D">
        <w:rPr>
          <w:sz w:val="24"/>
        </w:rPr>
        <w:t>these points</w:t>
      </w:r>
      <w:r>
        <w:rPr>
          <w:sz w:val="24"/>
        </w:rPr>
        <w:t xml:space="preserve"> to argue for Gwenllian as in his belief a monk would not be able to write about such things, however, </w:t>
      </w:r>
      <w:r w:rsidRPr="005B727B">
        <w:rPr>
          <w:sz w:val="24"/>
        </w:rPr>
        <w:t>Rhygyfarch’s Life of St David</w:t>
      </w:r>
      <w:r>
        <w:rPr>
          <w:sz w:val="24"/>
        </w:rPr>
        <w:t xml:space="preserve"> describes David’s birth in great detail and focuses on St David’s childhood thus counterclaiming Breeze’s evidence for Gwenllian.</w:t>
      </w:r>
      <w:r>
        <w:rPr>
          <w:rStyle w:val="FootnoteReference"/>
          <w:sz w:val="24"/>
        </w:rPr>
        <w:footnoteReference w:id="25"/>
      </w:r>
      <w:r>
        <w:rPr>
          <w:sz w:val="24"/>
        </w:rPr>
        <w:t xml:space="preserve"> </w:t>
      </w:r>
      <w:r>
        <w:rPr>
          <w:rStyle w:val="FootnoteReference"/>
          <w:sz w:val="24"/>
        </w:rPr>
        <w:footnoteReference w:id="26"/>
      </w:r>
      <w:r>
        <w:rPr>
          <w:sz w:val="24"/>
        </w:rPr>
        <w:t xml:space="preserve"> </w:t>
      </w:r>
      <w:r>
        <w:rPr>
          <w:rStyle w:val="FootnoteReference"/>
          <w:sz w:val="24"/>
        </w:rPr>
        <w:footnoteReference w:id="27"/>
      </w:r>
      <w:r w:rsidR="008B5F36">
        <w:rPr>
          <w:sz w:val="24"/>
        </w:rPr>
        <w:t xml:space="preserve"> He also assum</w:t>
      </w:r>
      <w:r w:rsidR="004C2855">
        <w:rPr>
          <w:sz w:val="24"/>
        </w:rPr>
        <w:t>e</w:t>
      </w:r>
      <w:r w:rsidR="008B5F36">
        <w:rPr>
          <w:sz w:val="24"/>
        </w:rPr>
        <w:t>s that babies and children would have more li</w:t>
      </w:r>
      <w:r w:rsidR="004C2855">
        <w:rPr>
          <w:sz w:val="24"/>
        </w:rPr>
        <w:t>kely</w:t>
      </w:r>
      <w:r w:rsidR="008B5F36">
        <w:rPr>
          <w:sz w:val="24"/>
        </w:rPr>
        <w:t xml:space="preserve"> for a female writer to use as inspiration of their work, however in the 15</w:t>
      </w:r>
      <w:r w:rsidR="008B5F36" w:rsidRPr="008B5F36">
        <w:rPr>
          <w:sz w:val="24"/>
          <w:vertAlign w:val="superscript"/>
        </w:rPr>
        <w:t>th</w:t>
      </w:r>
      <w:r w:rsidR="008B5F36">
        <w:rPr>
          <w:sz w:val="24"/>
        </w:rPr>
        <w:t xml:space="preserve"> century the female Welsh poet, Gwerful Mechain wrote a response to Ieuan Dfi’s </w:t>
      </w:r>
      <w:r w:rsidR="004C2855">
        <w:rPr>
          <w:sz w:val="24"/>
        </w:rPr>
        <w:t>misogyny</w:t>
      </w:r>
      <w:r w:rsidR="008B5F36">
        <w:rPr>
          <w:sz w:val="24"/>
        </w:rPr>
        <w:t xml:space="preserve">, Merchain’s work was not focused on children and babies but the </w:t>
      </w:r>
      <w:r w:rsidR="008B5F36">
        <w:rPr>
          <w:sz w:val="24"/>
        </w:rPr>
        <w:lastRenderedPageBreak/>
        <w:t>female body, but we cannot use a 15</w:t>
      </w:r>
      <w:r w:rsidR="008B5F36" w:rsidRPr="008B5F36">
        <w:rPr>
          <w:sz w:val="24"/>
          <w:vertAlign w:val="superscript"/>
        </w:rPr>
        <w:t>th</w:t>
      </w:r>
      <w:r w:rsidR="008B5F36">
        <w:rPr>
          <w:sz w:val="24"/>
        </w:rPr>
        <w:t xml:space="preserve"> century poet to compare to a possible female </w:t>
      </w:r>
      <w:r w:rsidR="004C2855">
        <w:rPr>
          <w:sz w:val="24"/>
        </w:rPr>
        <w:t>author</w:t>
      </w:r>
      <w:r w:rsidR="008B5F36">
        <w:rPr>
          <w:sz w:val="24"/>
        </w:rPr>
        <w:t xml:space="preserve"> some possible four centuries beforehand.</w:t>
      </w:r>
      <w:r w:rsidR="008B5F36">
        <w:rPr>
          <w:rStyle w:val="FootnoteReference"/>
          <w:sz w:val="24"/>
        </w:rPr>
        <w:footnoteReference w:id="28"/>
      </w:r>
      <w:r w:rsidR="00EF022D">
        <w:rPr>
          <w:sz w:val="24"/>
        </w:rPr>
        <w:t xml:space="preserve"> Point seven states that the royal houses of Gwynedd and Dyfed were interested in literature, however this could be said of all those who were able to read within the period due to only a small number of people being literate.</w:t>
      </w:r>
      <w:r w:rsidR="00EF022D">
        <w:rPr>
          <w:rStyle w:val="FootnoteReference"/>
          <w:sz w:val="24"/>
        </w:rPr>
        <w:footnoteReference w:id="29"/>
      </w:r>
      <w:r w:rsidR="00EF022D">
        <w:rPr>
          <w:sz w:val="24"/>
        </w:rPr>
        <w:t xml:space="preserve"> </w:t>
      </w:r>
    </w:p>
    <w:p w14:paraId="1783484E" w14:textId="77777777" w:rsidR="004C2855" w:rsidRDefault="00EF022D">
      <w:pPr>
        <w:rPr>
          <w:sz w:val="24"/>
        </w:rPr>
      </w:pPr>
      <w:r>
        <w:rPr>
          <w:sz w:val="24"/>
        </w:rPr>
        <w:t>Breeze’s eight</w:t>
      </w:r>
      <w:r w:rsidR="004C2855">
        <w:rPr>
          <w:sz w:val="24"/>
        </w:rPr>
        <w:t>h</w:t>
      </w:r>
      <w:r>
        <w:rPr>
          <w:sz w:val="24"/>
        </w:rPr>
        <w:t xml:space="preserve"> point claims that the author would not have an interest in usual male occupations such as fighting, swords and monster</w:t>
      </w:r>
      <w:r w:rsidR="004C2855">
        <w:rPr>
          <w:sz w:val="24"/>
        </w:rPr>
        <w:t>s</w:t>
      </w:r>
      <w:r>
        <w:rPr>
          <w:sz w:val="24"/>
        </w:rPr>
        <w:t xml:space="preserve">, this point made by </w:t>
      </w:r>
      <w:r w:rsidR="004C2855">
        <w:rPr>
          <w:sz w:val="24"/>
        </w:rPr>
        <w:t xml:space="preserve">Breeze is not supported by evidence due </w:t>
      </w:r>
      <w:r>
        <w:rPr>
          <w:sz w:val="24"/>
        </w:rPr>
        <w:t>to Gwenllian</w:t>
      </w:r>
      <w:r w:rsidR="004C2855">
        <w:rPr>
          <w:sz w:val="24"/>
        </w:rPr>
        <w:t xml:space="preserve"> having</w:t>
      </w:r>
      <w:r>
        <w:rPr>
          <w:sz w:val="24"/>
        </w:rPr>
        <w:t xml:space="preserve"> died fighting a Norman garrison in Kidwelly, this point of evidence is not clearly thought out in reference to whom he is claiming wrote the Four Branches.</w:t>
      </w:r>
      <w:r>
        <w:rPr>
          <w:rStyle w:val="FootnoteReference"/>
          <w:sz w:val="24"/>
        </w:rPr>
        <w:footnoteReference w:id="30"/>
      </w:r>
      <w:r>
        <w:rPr>
          <w:sz w:val="24"/>
        </w:rPr>
        <w:t xml:space="preserve"> Luft in her review states that Breeze generalises women by saying ‘All women are interested in children, the author of the Four Branches is interested in children, therefore the author of the Four Branches is a woman.’ this is a generalised and misogynistic view on women when Gwenllian clearly did not conform to what he views </w:t>
      </w:r>
      <w:r w:rsidR="004C2855">
        <w:rPr>
          <w:sz w:val="24"/>
        </w:rPr>
        <w:t>as a woman’s interests</w:t>
      </w:r>
      <w:r>
        <w:rPr>
          <w:sz w:val="24"/>
        </w:rPr>
        <w:t>.</w:t>
      </w:r>
      <w:r>
        <w:rPr>
          <w:rStyle w:val="FootnoteReference"/>
          <w:sz w:val="24"/>
        </w:rPr>
        <w:footnoteReference w:id="31"/>
      </w:r>
      <w:r w:rsidR="003F650C">
        <w:rPr>
          <w:sz w:val="24"/>
        </w:rPr>
        <w:t xml:space="preserve"> Dafydd Johnston also argue that Breeze barely acknowledges other points to a</w:t>
      </w:r>
      <w:r w:rsidR="00735543">
        <w:rPr>
          <w:sz w:val="24"/>
        </w:rPr>
        <w:t>g</w:t>
      </w:r>
      <w:r w:rsidR="003F650C">
        <w:rPr>
          <w:sz w:val="24"/>
        </w:rPr>
        <w:t>r</w:t>
      </w:r>
      <w:r w:rsidR="00735543">
        <w:rPr>
          <w:sz w:val="24"/>
        </w:rPr>
        <w:t>e</w:t>
      </w:r>
      <w:r w:rsidR="003F650C">
        <w:rPr>
          <w:sz w:val="24"/>
        </w:rPr>
        <w:t xml:space="preserve">e with his argument of a having a female for the authorship for the Four Branches and instead focuses on that </w:t>
      </w:r>
      <w:r w:rsidR="00C203C9">
        <w:rPr>
          <w:sz w:val="24"/>
        </w:rPr>
        <w:t>belief that women show more interest in babies and children.</w:t>
      </w:r>
      <w:r w:rsidR="00C203C9">
        <w:rPr>
          <w:rStyle w:val="FootnoteReference"/>
          <w:sz w:val="24"/>
        </w:rPr>
        <w:footnoteReference w:id="32"/>
      </w:r>
      <w:r w:rsidR="003F650C">
        <w:rPr>
          <w:sz w:val="24"/>
        </w:rPr>
        <w:t xml:space="preserve"> </w:t>
      </w:r>
      <w:r w:rsidR="00BB030A">
        <w:rPr>
          <w:sz w:val="24"/>
        </w:rPr>
        <w:t>His ninth piece of evidence is also misogynistic in nature due to believing that only women are concerned with the passing of time, as women are more sensitive towards ageing than men.</w:t>
      </w:r>
      <w:r w:rsidR="00BB030A">
        <w:rPr>
          <w:rStyle w:val="FootnoteReference"/>
          <w:sz w:val="24"/>
        </w:rPr>
        <w:footnoteReference w:id="33"/>
      </w:r>
      <w:r w:rsidR="00BB030A">
        <w:rPr>
          <w:sz w:val="24"/>
        </w:rPr>
        <w:t xml:space="preserve"> However within the Mabinogi it’s the male characters concerned with time, such as in the First Branch were Pwyll’s men are concerned that Rhiannon has not given Pwyll a heir in their three years of marriage, this point disproves Breeze’s ninth piece of evidence for Gwenllian.</w:t>
      </w:r>
      <w:r w:rsidR="00BB030A">
        <w:rPr>
          <w:rStyle w:val="FootnoteReference"/>
          <w:sz w:val="24"/>
        </w:rPr>
        <w:footnoteReference w:id="34"/>
      </w:r>
      <w:r w:rsidR="003F650C">
        <w:rPr>
          <w:sz w:val="24"/>
        </w:rPr>
        <w:t xml:space="preserve"> </w:t>
      </w:r>
    </w:p>
    <w:p w14:paraId="0DF5E4EA" w14:textId="54FC626C" w:rsidR="004C2862" w:rsidRDefault="003F650C">
      <w:pPr>
        <w:rPr>
          <w:sz w:val="24"/>
        </w:rPr>
      </w:pPr>
      <w:r>
        <w:rPr>
          <w:sz w:val="24"/>
        </w:rPr>
        <w:t>Point eleven states that due to a fragment  of Peniarth 6 support</w:t>
      </w:r>
      <w:r w:rsidR="004C2855">
        <w:rPr>
          <w:sz w:val="24"/>
        </w:rPr>
        <w:t>s</w:t>
      </w:r>
      <w:r>
        <w:rPr>
          <w:sz w:val="24"/>
        </w:rPr>
        <w:t xml:space="preserve"> Gwenllian’s authorship due to belief that it was wrote at the Cistercian abbey of Strata Florida, the burial ground of Lord Rhys, this supports Breeze’s claim due to a number of Gwenllian’s descendants being associated with the abbey of Strata Florida.</w:t>
      </w:r>
      <w:r>
        <w:rPr>
          <w:rStyle w:val="FootnoteReference"/>
          <w:sz w:val="24"/>
        </w:rPr>
        <w:footnoteReference w:id="35"/>
      </w:r>
      <w:r>
        <w:rPr>
          <w:sz w:val="24"/>
        </w:rPr>
        <w:t xml:space="preserve"> </w:t>
      </w:r>
      <w:r w:rsidR="004C2855">
        <w:rPr>
          <w:sz w:val="24"/>
        </w:rPr>
        <w:t>But</w:t>
      </w:r>
      <w:r>
        <w:rPr>
          <w:sz w:val="24"/>
        </w:rPr>
        <w:t xml:space="preserve"> again is just circumstantial evidence that Breeze has manipulated into conforming to his thesis of Gwenllian being the original author of the Four Branches of the Mabinogi.</w:t>
      </w:r>
      <w:r w:rsidR="00C203C9">
        <w:rPr>
          <w:sz w:val="24"/>
        </w:rPr>
        <w:t xml:space="preserve"> The thirteenth </w:t>
      </w:r>
      <w:r w:rsidR="00297863">
        <w:rPr>
          <w:sz w:val="24"/>
        </w:rPr>
        <w:t>point</w:t>
      </w:r>
      <w:r w:rsidR="00C203C9">
        <w:rPr>
          <w:sz w:val="24"/>
        </w:rPr>
        <w:t xml:space="preserve"> that Breeze claims for evidence of Gwenllian being the author of the Four Branches is </w:t>
      </w:r>
      <w:r w:rsidR="00297863">
        <w:rPr>
          <w:sz w:val="24"/>
        </w:rPr>
        <w:t>due to presentation of supposed weak or passive male characters.</w:t>
      </w:r>
      <w:r w:rsidR="00297863">
        <w:rPr>
          <w:rStyle w:val="FootnoteReference"/>
          <w:sz w:val="24"/>
        </w:rPr>
        <w:footnoteReference w:id="36"/>
      </w:r>
      <w:r w:rsidR="00297863">
        <w:rPr>
          <w:sz w:val="24"/>
        </w:rPr>
        <w:t xml:space="preserve"> He goes as far as dismissing male authors who had wrote about female concerns in a sympathetic light. Luft goes on to counter claim Breeze in her review claiming that exception</w:t>
      </w:r>
      <w:r w:rsidR="004C2855">
        <w:rPr>
          <w:sz w:val="24"/>
        </w:rPr>
        <w:t>s</w:t>
      </w:r>
      <w:r w:rsidR="00297863">
        <w:rPr>
          <w:sz w:val="24"/>
        </w:rPr>
        <w:t xml:space="preserve"> to the rule</w:t>
      </w:r>
      <w:r w:rsidR="004C2855">
        <w:rPr>
          <w:sz w:val="24"/>
        </w:rPr>
        <w:t>s</w:t>
      </w:r>
      <w:r w:rsidR="00297863">
        <w:rPr>
          <w:sz w:val="24"/>
        </w:rPr>
        <w:t xml:space="preserve"> such as Chaucer disprove the rules, Luft uses Mary Shelley’s work Frankenstein as an example to prove her counter claim regarding female authors creating weak male characters</w:t>
      </w:r>
      <w:r w:rsidR="00CE05D7">
        <w:rPr>
          <w:sz w:val="24"/>
        </w:rPr>
        <w:t>.</w:t>
      </w:r>
      <w:r w:rsidR="00CE05D7">
        <w:rPr>
          <w:rStyle w:val="FootnoteReference"/>
          <w:sz w:val="24"/>
        </w:rPr>
        <w:footnoteReference w:id="37"/>
      </w:r>
      <w:r w:rsidR="00CE05D7">
        <w:rPr>
          <w:sz w:val="24"/>
        </w:rPr>
        <w:t xml:space="preserve">  </w:t>
      </w:r>
    </w:p>
    <w:p w14:paraId="5F259A82" w14:textId="77777777" w:rsidR="004C2855" w:rsidRDefault="00CE05D7">
      <w:pPr>
        <w:rPr>
          <w:sz w:val="24"/>
        </w:rPr>
      </w:pPr>
      <w:r>
        <w:rPr>
          <w:sz w:val="24"/>
        </w:rPr>
        <w:lastRenderedPageBreak/>
        <w:t>For his fourteenth point Breeze goes back to describing the geography in relation to Gwenllian being the author of the Four Branches of the Mabinogi</w:t>
      </w:r>
      <w:r w:rsidR="004C2855">
        <w:rPr>
          <w:sz w:val="24"/>
        </w:rPr>
        <w:t>.</w:t>
      </w:r>
      <w:r w:rsidR="004C2855">
        <w:rPr>
          <w:rStyle w:val="FootnoteReference"/>
          <w:sz w:val="24"/>
        </w:rPr>
        <w:footnoteReference w:id="38"/>
      </w:r>
      <w:r w:rsidR="004C2855">
        <w:rPr>
          <w:sz w:val="24"/>
        </w:rPr>
        <w:t xml:space="preserve"> B</w:t>
      </w:r>
      <w:r>
        <w:rPr>
          <w:sz w:val="24"/>
        </w:rPr>
        <w:t>y this point it seems that Breeze is starting to run out of evidence so instead split</w:t>
      </w:r>
      <w:r w:rsidR="004C2855">
        <w:rPr>
          <w:sz w:val="24"/>
        </w:rPr>
        <w:t>s</w:t>
      </w:r>
      <w:r>
        <w:rPr>
          <w:sz w:val="24"/>
        </w:rPr>
        <w:t xml:space="preserve"> up the geographical evidence to support his claim for Gwenllian, by doing this i</w:t>
      </w:r>
      <w:r w:rsidR="004C2855">
        <w:rPr>
          <w:sz w:val="24"/>
        </w:rPr>
        <w:t>t</w:t>
      </w:r>
      <w:r>
        <w:rPr>
          <w:sz w:val="24"/>
        </w:rPr>
        <w:t xml:space="preserve"> begins to show weakness in his argument and the same could be argued for the further fives point as they begin to </w:t>
      </w:r>
      <w:r w:rsidR="005F7725">
        <w:rPr>
          <w:sz w:val="24"/>
        </w:rPr>
        <w:t>stretch</w:t>
      </w:r>
      <w:r>
        <w:rPr>
          <w:sz w:val="24"/>
        </w:rPr>
        <w:t xml:space="preserve"> the boundaries of circumstantial evidence</w:t>
      </w:r>
      <w:r w:rsidR="004C2855">
        <w:rPr>
          <w:sz w:val="24"/>
        </w:rPr>
        <w:t>.</w:t>
      </w:r>
      <w:r>
        <w:rPr>
          <w:sz w:val="24"/>
        </w:rPr>
        <w:t xml:space="preserve"> Breeze goes on to repeat previous pieces of evidence but by using a different element of that evidence</w:t>
      </w:r>
      <w:r w:rsidR="005F7725">
        <w:rPr>
          <w:sz w:val="24"/>
        </w:rPr>
        <w:t>.</w:t>
      </w:r>
      <w:r w:rsidR="005F7725">
        <w:rPr>
          <w:rStyle w:val="FootnoteReference"/>
          <w:sz w:val="24"/>
        </w:rPr>
        <w:footnoteReference w:id="39"/>
      </w:r>
      <w:r w:rsidR="005F7725">
        <w:rPr>
          <w:sz w:val="24"/>
        </w:rPr>
        <w:t xml:space="preserve"> Point </w:t>
      </w:r>
      <w:r w:rsidR="005A3177">
        <w:rPr>
          <w:sz w:val="24"/>
        </w:rPr>
        <w:t xml:space="preserve">fifteen is </w:t>
      </w:r>
      <w:r w:rsidR="004C2855">
        <w:rPr>
          <w:sz w:val="24"/>
        </w:rPr>
        <w:t>one</w:t>
      </w:r>
      <w:r w:rsidR="005A3177">
        <w:rPr>
          <w:sz w:val="24"/>
        </w:rPr>
        <w:t xml:space="preserve"> of the such repeated pieces of evidence but instead of the geography is claims that one of Gwenllian’s descendant through Ednyfed Fychan of Gwynedd was Dafydd ap Gwilym, who is noted as the greatest Welsh poet.</w:t>
      </w:r>
      <w:r w:rsidR="005A3177">
        <w:rPr>
          <w:rStyle w:val="FootnoteReference"/>
          <w:sz w:val="24"/>
        </w:rPr>
        <w:footnoteReference w:id="40"/>
      </w:r>
      <w:r w:rsidR="005A3177">
        <w:rPr>
          <w:sz w:val="24"/>
        </w:rPr>
        <w:t xml:space="preserve"> Thus making the Greatest Welsh poet the descendant of the ‘Greatest Welsh prose writer’, while Dafydd may be the descendant of Gwenllian it does not support Breeze’s argument that Dafydd had a fondness for the Four Branches of The Mabinogi, </w:t>
      </w:r>
      <w:r w:rsidR="004C2855">
        <w:rPr>
          <w:sz w:val="24"/>
        </w:rPr>
        <w:t>due to him</w:t>
      </w:r>
      <w:r w:rsidR="005A3177">
        <w:rPr>
          <w:sz w:val="24"/>
        </w:rPr>
        <w:t xml:space="preserve"> be</w:t>
      </w:r>
      <w:r w:rsidR="004C2855">
        <w:rPr>
          <w:sz w:val="24"/>
        </w:rPr>
        <w:t>ing</w:t>
      </w:r>
      <w:r w:rsidR="005A3177">
        <w:rPr>
          <w:sz w:val="24"/>
        </w:rPr>
        <w:t xml:space="preserve"> related to the author, this is Breeze grasping at straws to support his thesis.</w:t>
      </w:r>
      <w:r w:rsidR="005A3177">
        <w:rPr>
          <w:rStyle w:val="FootnoteReference"/>
          <w:sz w:val="24"/>
        </w:rPr>
        <w:footnoteReference w:id="41"/>
      </w:r>
      <w:r w:rsidR="00CB7C3A">
        <w:rPr>
          <w:sz w:val="24"/>
        </w:rPr>
        <w:t xml:space="preserve"> </w:t>
      </w:r>
    </w:p>
    <w:p w14:paraId="0522687F" w14:textId="07E7B55E" w:rsidR="00C9319B" w:rsidRDefault="00CB7C3A">
      <w:pPr>
        <w:rPr>
          <w:sz w:val="24"/>
        </w:rPr>
      </w:pPr>
      <w:r>
        <w:rPr>
          <w:sz w:val="24"/>
        </w:rPr>
        <w:t>His sixteenth piece of evidence is that within the Fourth Branch it alludes to ‘Three Disloyal Warbands’ and it names a real person Alan Fyrgan, who was Alan IV of Brittany, whose son, Brian fitz Count was the lord of Abergavenny who in the time of Gwenllian would have lived about forty miles away from Gwenllian and her husband’s land of Caio, Alan’s inclusion could be seen as a taunt to the Lord of Abergavenny, Breeze claiming that this comes from his neighbour, Gwenllian.</w:t>
      </w:r>
      <w:r>
        <w:rPr>
          <w:rStyle w:val="FootnoteReference"/>
          <w:sz w:val="24"/>
        </w:rPr>
        <w:footnoteReference w:id="42"/>
      </w:r>
      <w:r>
        <w:rPr>
          <w:sz w:val="24"/>
        </w:rPr>
        <w:t xml:space="preserve"> However, there is no evidence to claim that Brian fitz Count had a problem with his neighbours, Gwenllian, while there could be support to Breeze’s claim that Gwenllian fighting the Normans resulting in her death could suggest a hostile relationship between the two neighbours. </w:t>
      </w:r>
      <w:r w:rsidR="00A81C7C">
        <w:rPr>
          <w:sz w:val="24"/>
        </w:rPr>
        <w:t xml:space="preserve"> </w:t>
      </w:r>
    </w:p>
    <w:p w14:paraId="2121F0F7" w14:textId="77777777" w:rsidR="0050702B" w:rsidRDefault="00A81C7C">
      <w:pPr>
        <w:rPr>
          <w:sz w:val="24"/>
        </w:rPr>
      </w:pPr>
      <w:r>
        <w:rPr>
          <w:sz w:val="24"/>
        </w:rPr>
        <w:t>Breeze’s seventeenth point is that due to Manawydan fleeing to England due to the conquering of Caswallon, son of Beli over Wales that it reflects a defeatist attitude and mentality of the Welsh people before the death of Henry I in 1135, compared to the anarchy within Wales (and most of England) during the reign of Stephen</w:t>
      </w:r>
      <w:r w:rsidR="0050702B">
        <w:rPr>
          <w:sz w:val="24"/>
        </w:rPr>
        <w:t>.</w:t>
      </w:r>
      <w:r>
        <w:rPr>
          <w:sz w:val="24"/>
        </w:rPr>
        <w:t xml:space="preserve"> </w:t>
      </w:r>
      <w:r w:rsidR="0050702B">
        <w:rPr>
          <w:sz w:val="24"/>
        </w:rPr>
        <w:t>A</w:t>
      </w:r>
      <w:r>
        <w:rPr>
          <w:sz w:val="24"/>
        </w:rPr>
        <w:t>fter naming himself king due to Henry I only having</w:t>
      </w:r>
      <w:r w:rsidR="0050702B">
        <w:rPr>
          <w:sz w:val="24"/>
        </w:rPr>
        <w:t xml:space="preserve"> a female heir</w:t>
      </w:r>
      <w:r>
        <w:rPr>
          <w:sz w:val="24"/>
        </w:rPr>
        <w:t>, Matilda due to the death of his son in the White Ship disaster, Breeze states that this mentality is due to under a foreign leader the unity of Britain breaks and shatters.</w:t>
      </w:r>
      <w:r>
        <w:rPr>
          <w:rStyle w:val="FootnoteReference"/>
          <w:sz w:val="24"/>
        </w:rPr>
        <w:footnoteReference w:id="43"/>
      </w:r>
      <w:r>
        <w:rPr>
          <w:sz w:val="24"/>
        </w:rPr>
        <w:t xml:space="preserve"> This evidence does not </w:t>
      </w:r>
      <w:r w:rsidR="0050702B">
        <w:rPr>
          <w:sz w:val="24"/>
        </w:rPr>
        <w:t>give support</w:t>
      </w:r>
      <w:r>
        <w:rPr>
          <w:sz w:val="24"/>
        </w:rPr>
        <w:t xml:space="preserve"> towards the authorship and seems to be more information that Breeze has collected and wishes to include within his thesis.  The penultimate piece of evidence that Breeze presents is around the inclusion of Oxford in the Third Branch, he goes </w:t>
      </w:r>
      <w:r w:rsidR="0050702B">
        <w:rPr>
          <w:sz w:val="24"/>
        </w:rPr>
        <w:t>o</w:t>
      </w:r>
      <w:r>
        <w:rPr>
          <w:sz w:val="24"/>
        </w:rPr>
        <w:t>n to claim</w:t>
      </w:r>
      <w:r w:rsidR="0050702B">
        <w:rPr>
          <w:sz w:val="24"/>
        </w:rPr>
        <w:t xml:space="preserve"> that</w:t>
      </w:r>
      <w:r>
        <w:rPr>
          <w:sz w:val="24"/>
        </w:rPr>
        <w:t xml:space="preserve"> this related to Gwenllian being the author of the Four Branches of the Mabinogi</w:t>
      </w:r>
      <w:r w:rsidR="0080384E">
        <w:rPr>
          <w:sz w:val="24"/>
        </w:rPr>
        <w:t>, due to her sister in law Nest being the lover of Henry I who built a hunting lodge at Woodstock which is conveniently near Oxford, he also claims that their can be no other reason for Oxford to be in Welsh literature.</w:t>
      </w:r>
      <w:r w:rsidR="0080384E">
        <w:rPr>
          <w:rStyle w:val="FootnoteReference"/>
          <w:sz w:val="24"/>
        </w:rPr>
        <w:footnoteReference w:id="44"/>
      </w:r>
      <w:r w:rsidR="0080384E">
        <w:rPr>
          <w:sz w:val="24"/>
        </w:rPr>
        <w:t xml:space="preserve"> While </w:t>
      </w:r>
      <w:r w:rsidR="0080384E">
        <w:rPr>
          <w:sz w:val="24"/>
        </w:rPr>
        <w:lastRenderedPageBreak/>
        <w:t>Gwenllian may have taken some interest in the comings and goings of Henry I due to her sister in law it only creates circumstantial evidence regarding Gwenllian being the author of the Four Branches.</w:t>
      </w:r>
    </w:p>
    <w:p w14:paraId="221B2F40" w14:textId="00ECB95E" w:rsidR="00CF6566" w:rsidRDefault="0080384E">
      <w:pPr>
        <w:rPr>
          <w:sz w:val="24"/>
        </w:rPr>
      </w:pPr>
      <w:r>
        <w:rPr>
          <w:sz w:val="24"/>
        </w:rPr>
        <w:t xml:space="preserve"> In his final point, Breeze returns to geography but in this case its political geography of Glamorgan which he claims as evidence for Gwenllian for authorship due to two of her stepdaughters having been married to rulers of Glamorgan.</w:t>
      </w:r>
      <w:r>
        <w:rPr>
          <w:rStyle w:val="FootnoteReference"/>
          <w:sz w:val="24"/>
        </w:rPr>
        <w:footnoteReference w:id="45"/>
      </w:r>
      <w:r w:rsidR="00CD75CD">
        <w:rPr>
          <w:sz w:val="24"/>
        </w:rPr>
        <w:t xml:space="preserve"> Thus more circumstantial evidence to support Breeze’s claim.</w:t>
      </w:r>
      <w:r>
        <w:rPr>
          <w:sz w:val="24"/>
        </w:rPr>
        <w:t xml:space="preserve"> Gruber claims that Breeze’s work is more of a detective story trying to prove to a supposed jury (other scholars) to believe in completely circumstantial evidence based of Breeze’s manipulation of the Mabinogi to conform to his thesis.</w:t>
      </w:r>
      <w:r>
        <w:rPr>
          <w:rStyle w:val="FootnoteReference"/>
          <w:sz w:val="24"/>
        </w:rPr>
        <w:footnoteReference w:id="46"/>
      </w:r>
      <w:r w:rsidR="00CD75CD">
        <w:rPr>
          <w:sz w:val="24"/>
        </w:rPr>
        <w:t xml:space="preserve"> Both Johnston and Rodway agree with Gruber’s evaluation of Breeze’s work as they both compare it to </w:t>
      </w:r>
      <w:r w:rsidR="0050702B">
        <w:rPr>
          <w:sz w:val="24"/>
        </w:rPr>
        <w:t xml:space="preserve">a </w:t>
      </w:r>
      <w:r w:rsidR="00CD75CD">
        <w:rPr>
          <w:sz w:val="24"/>
        </w:rPr>
        <w:t>detective story.</w:t>
      </w:r>
      <w:r w:rsidR="00CD75CD">
        <w:rPr>
          <w:rStyle w:val="FootnoteReference"/>
          <w:sz w:val="24"/>
        </w:rPr>
        <w:footnoteReference w:id="47"/>
      </w:r>
      <w:r w:rsidR="00CD75CD">
        <w:rPr>
          <w:sz w:val="24"/>
        </w:rPr>
        <w:t xml:space="preserve"> </w:t>
      </w:r>
      <w:r w:rsidR="00CD75CD">
        <w:rPr>
          <w:rStyle w:val="FootnoteReference"/>
          <w:sz w:val="24"/>
        </w:rPr>
        <w:footnoteReference w:id="48"/>
      </w:r>
    </w:p>
    <w:p w14:paraId="07F06A9F" w14:textId="77777777" w:rsidR="00CF6566" w:rsidRDefault="00CF6566">
      <w:pPr>
        <w:rPr>
          <w:sz w:val="24"/>
        </w:rPr>
      </w:pPr>
    </w:p>
    <w:p w14:paraId="62BF8038" w14:textId="0D311273" w:rsidR="00C9319B" w:rsidRDefault="005A68F3">
      <w:pPr>
        <w:rPr>
          <w:sz w:val="24"/>
        </w:rPr>
      </w:pPr>
      <w:r>
        <w:rPr>
          <w:sz w:val="24"/>
        </w:rPr>
        <w:t xml:space="preserve">One of the other hypotheses for the authorship is that the author </w:t>
      </w:r>
      <w:r w:rsidR="0050702B">
        <w:rPr>
          <w:sz w:val="24"/>
        </w:rPr>
        <w:t>was</w:t>
      </w:r>
      <w:r>
        <w:rPr>
          <w:sz w:val="24"/>
        </w:rPr>
        <w:t xml:space="preserve"> a monk. Due to the time period this would be a logical belief due to monks recording annals, biographies of saints and other such works during the medieval period.</w:t>
      </w:r>
      <w:r w:rsidR="0003096A">
        <w:rPr>
          <w:sz w:val="24"/>
        </w:rPr>
        <w:t xml:space="preserve"> R. Iestyn</w:t>
      </w:r>
      <w:r>
        <w:rPr>
          <w:sz w:val="24"/>
        </w:rPr>
        <w:t xml:space="preserve"> </w:t>
      </w:r>
      <w:r w:rsidR="003637EE">
        <w:rPr>
          <w:sz w:val="24"/>
        </w:rPr>
        <w:t xml:space="preserve">Daniels presented the theory that the author of the </w:t>
      </w:r>
      <w:r w:rsidR="002001FF">
        <w:rPr>
          <w:sz w:val="24"/>
        </w:rPr>
        <w:t>F</w:t>
      </w:r>
      <w:r w:rsidR="003637EE">
        <w:rPr>
          <w:sz w:val="24"/>
        </w:rPr>
        <w:t xml:space="preserve">our </w:t>
      </w:r>
      <w:r w:rsidR="002001FF">
        <w:rPr>
          <w:sz w:val="24"/>
        </w:rPr>
        <w:t>B</w:t>
      </w:r>
      <w:r w:rsidR="003637EE">
        <w:rPr>
          <w:sz w:val="24"/>
        </w:rPr>
        <w:t>ranches of the Mabinogi was written by a Dominican Friar</w:t>
      </w:r>
      <w:r w:rsidR="0003096A">
        <w:rPr>
          <w:sz w:val="24"/>
        </w:rPr>
        <w:t>, Llywelyn Offeiriad</w:t>
      </w:r>
      <w:r w:rsidR="009847C5">
        <w:rPr>
          <w:sz w:val="24"/>
        </w:rPr>
        <w:t xml:space="preserve"> also possibly known by the nickname</w:t>
      </w:r>
      <w:r w:rsidR="007C34AD">
        <w:rPr>
          <w:sz w:val="24"/>
        </w:rPr>
        <w:t xml:space="preserve"> Cnepyn Gwerthynion.</w:t>
      </w:r>
      <w:r w:rsidR="0052672D">
        <w:rPr>
          <w:rStyle w:val="FootnoteReference"/>
          <w:sz w:val="24"/>
        </w:rPr>
        <w:footnoteReference w:id="49"/>
      </w:r>
      <w:r w:rsidR="0052672D">
        <w:rPr>
          <w:sz w:val="24"/>
        </w:rPr>
        <w:t xml:space="preserve"> Like Breeze most of the evidence for Llywelyn Offeiriad is circumstantial but must not be dismissed initially due to this fact.</w:t>
      </w:r>
      <w:r w:rsidR="007C34AD">
        <w:rPr>
          <w:sz w:val="24"/>
        </w:rPr>
        <w:t xml:space="preserve"> Rodway claims that Daniel’s thesis that essentially all the extent Welsh prose literature can be attributed to one author, is startling and far reaching, but believes that Daniel does back up his claims with evidence whether that be circumstantial o</w:t>
      </w:r>
      <w:r w:rsidR="0050702B">
        <w:rPr>
          <w:sz w:val="24"/>
        </w:rPr>
        <w:t xml:space="preserve">r </w:t>
      </w:r>
      <w:r w:rsidR="007C34AD">
        <w:rPr>
          <w:sz w:val="24"/>
        </w:rPr>
        <w:t>not.</w:t>
      </w:r>
      <w:r w:rsidR="007C34AD">
        <w:rPr>
          <w:rStyle w:val="FootnoteReference"/>
          <w:sz w:val="24"/>
        </w:rPr>
        <w:footnoteReference w:id="50"/>
      </w:r>
      <w:r w:rsidR="00815507">
        <w:rPr>
          <w:sz w:val="24"/>
        </w:rPr>
        <w:t xml:space="preserve"> The basis for Daniel’s argument is due to a similarity in style, philosophical background and phrasing. He determines the location and dating for the origins of the four branches, using arguments and analysis that he has put forward. The argument for the location is that is it was a Dominican friary, possibly Bangor or Rhuddlan. This is due to the belief that the Northern Welsh Dominican Friaries would have been more likely to have the primary language being that of Welsh compared to the southern friaries who would have been more diverse linguistically, while this theory has merit </w:t>
      </w:r>
      <w:r w:rsidR="003237D5">
        <w:rPr>
          <w:sz w:val="24"/>
        </w:rPr>
        <w:t>due to modern day values due</w:t>
      </w:r>
      <w:r w:rsidR="0050702B">
        <w:rPr>
          <w:sz w:val="24"/>
        </w:rPr>
        <w:t xml:space="preserve"> to</w:t>
      </w:r>
      <w:r w:rsidR="003237D5">
        <w:rPr>
          <w:sz w:val="24"/>
        </w:rPr>
        <w:t xml:space="preserve"> the highest concentration of people within Wales that speak Welsh are</w:t>
      </w:r>
      <w:r w:rsidR="0050702B">
        <w:rPr>
          <w:sz w:val="24"/>
        </w:rPr>
        <w:t xml:space="preserve"> found</w:t>
      </w:r>
      <w:r w:rsidR="003237D5">
        <w:rPr>
          <w:sz w:val="24"/>
        </w:rPr>
        <w:t xml:space="preserve"> in North Wales</w:t>
      </w:r>
      <w:r w:rsidR="004C3289">
        <w:rPr>
          <w:sz w:val="24"/>
        </w:rPr>
        <w:t xml:space="preserve"> compared to South Wales which percentage of speaking English was higher than its Welsh speakers.</w:t>
      </w:r>
      <w:r w:rsidR="004C3289">
        <w:rPr>
          <w:rStyle w:val="FootnoteReference"/>
          <w:sz w:val="24"/>
        </w:rPr>
        <w:footnoteReference w:id="51"/>
      </w:r>
      <w:r w:rsidR="004C3289">
        <w:rPr>
          <w:sz w:val="24"/>
        </w:rPr>
        <w:t xml:space="preserve"> </w:t>
      </w:r>
      <w:r w:rsidR="008B7140">
        <w:rPr>
          <w:sz w:val="24"/>
        </w:rPr>
        <w:t xml:space="preserve"> However, that is by todays standard due to the fact it is unknown for the period in which the four branches</w:t>
      </w:r>
      <w:r w:rsidR="0050702B">
        <w:rPr>
          <w:sz w:val="24"/>
        </w:rPr>
        <w:t xml:space="preserve"> was created</w:t>
      </w:r>
      <w:r w:rsidR="008B7140">
        <w:rPr>
          <w:sz w:val="24"/>
        </w:rPr>
        <w:t xml:space="preserve"> but it is more likely that a higher percentage would have been able to speak Welsh over Latin and Old English. </w:t>
      </w:r>
      <w:r w:rsidR="004C3289">
        <w:rPr>
          <w:sz w:val="24"/>
        </w:rPr>
        <w:t xml:space="preserve">His argument is also that the </w:t>
      </w:r>
      <w:r w:rsidR="002001FF">
        <w:rPr>
          <w:sz w:val="24"/>
        </w:rPr>
        <w:t>F</w:t>
      </w:r>
      <w:r w:rsidR="004C3289">
        <w:rPr>
          <w:sz w:val="24"/>
        </w:rPr>
        <w:t xml:space="preserve">our </w:t>
      </w:r>
      <w:r w:rsidR="002001FF">
        <w:rPr>
          <w:sz w:val="24"/>
        </w:rPr>
        <w:t>B</w:t>
      </w:r>
      <w:r w:rsidR="004C3289">
        <w:rPr>
          <w:sz w:val="24"/>
        </w:rPr>
        <w:t xml:space="preserve">ranches of the Mabinogi were wrote in the North is due to </w:t>
      </w:r>
      <w:r w:rsidR="004C3289">
        <w:rPr>
          <w:sz w:val="24"/>
        </w:rPr>
        <w:lastRenderedPageBreak/>
        <w:t xml:space="preserve">Daniel’s argument that Ymborth yr Enaid was composed by a Dominican which Rodway notes as a convincing argument, this argument is due to Daniel’s belief that the author of Ymborth yr Enaid was also the author of the </w:t>
      </w:r>
      <w:r w:rsidR="002001FF">
        <w:rPr>
          <w:sz w:val="24"/>
        </w:rPr>
        <w:t>F</w:t>
      </w:r>
      <w:r w:rsidR="004C3289">
        <w:rPr>
          <w:sz w:val="24"/>
        </w:rPr>
        <w:t xml:space="preserve">our </w:t>
      </w:r>
      <w:r w:rsidR="002001FF">
        <w:rPr>
          <w:sz w:val="24"/>
        </w:rPr>
        <w:t>B</w:t>
      </w:r>
      <w:r w:rsidR="004C3289">
        <w:rPr>
          <w:sz w:val="24"/>
        </w:rPr>
        <w:t>ranches of the Mabinogi.</w:t>
      </w:r>
      <w:r w:rsidR="004C3289">
        <w:rPr>
          <w:rStyle w:val="FootnoteReference"/>
          <w:sz w:val="24"/>
        </w:rPr>
        <w:footnoteReference w:id="52"/>
      </w:r>
      <w:r w:rsidR="00F13065">
        <w:rPr>
          <w:sz w:val="24"/>
        </w:rPr>
        <w:t xml:space="preserve"> This is due to that Ymborth yr Enaid is only found in Welsh and has not been translated into Latin, this gives evidence towards it </w:t>
      </w:r>
      <w:r w:rsidR="002642F0">
        <w:rPr>
          <w:sz w:val="24"/>
        </w:rPr>
        <w:t>being from a Northern Dominican Friary</w:t>
      </w:r>
      <w:r w:rsidR="006A2E3C">
        <w:rPr>
          <w:sz w:val="24"/>
        </w:rPr>
        <w:t>, the manuscripts we have of the Mabinogi are also wrote in medieval Welsh which gives some evidence towards Daniel’s argument for the author to be from North Wales compared to South Wales.</w:t>
      </w:r>
      <w:r w:rsidR="006A2E3C">
        <w:rPr>
          <w:rStyle w:val="FootnoteReference"/>
          <w:sz w:val="24"/>
        </w:rPr>
        <w:footnoteReference w:id="53"/>
      </w:r>
      <w:r w:rsidR="006A2E3C">
        <w:rPr>
          <w:sz w:val="24"/>
        </w:rPr>
        <w:t xml:space="preserve"> However this can be seen as just drawing assumptions and manipulating circumstantial evidence to support his beliefs due to there being only two surviving</w:t>
      </w:r>
      <w:r w:rsidR="0050702B">
        <w:rPr>
          <w:sz w:val="24"/>
        </w:rPr>
        <w:t xml:space="preserve"> full</w:t>
      </w:r>
      <w:r w:rsidR="006A2E3C">
        <w:rPr>
          <w:sz w:val="24"/>
        </w:rPr>
        <w:t xml:space="preserve"> manuscripts containing the Mabinogi, those being </w:t>
      </w:r>
      <w:r w:rsidR="006A2E3C" w:rsidRPr="006A2E3C">
        <w:rPr>
          <w:sz w:val="24"/>
        </w:rPr>
        <w:t>The White Book of Rhydderch</w:t>
      </w:r>
      <w:r w:rsidR="006A2E3C">
        <w:rPr>
          <w:sz w:val="24"/>
        </w:rPr>
        <w:t xml:space="preserve"> and </w:t>
      </w:r>
      <w:r w:rsidR="006A2E3C" w:rsidRPr="006A2E3C">
        <w:rPr>
          <w:sz w:val="24"/>
        </w:rPr>
        <w:t>The Red Book of Hergest</w:t>
      </w:r>
      <w:r w:rsidR="0050702B">
        <w:rPr>
          <w:sz w:val="24"/>
        </w:rPr>
        <w:t xml:space="preserve"> as well as those surviving in partial </w:t>
      </w:r>
      <w:r w:rsidR="00C20EC2">
        <w:rPr>
          <w:sz w:val="24"/>
        </w:rPr>
        <w:t>pieces</w:t>
      </w:r>
      <w:r w:rsidR="006A2E3C">
        <w:rPr>
          <w:sz w:val="24"/>
        </w:rPr>
        <w:t xml:space="preserve">. </w:t>
      </w:r>
      <w:r w:rsidR="00811F0A">
        <w:rPr>
          <w:sz w:val="24"/>
        </w:rPr>
        <w:t xml:space="preserve"> </w:t>
      </w:r>
      <w:r w:rsidR="008B7140">
        <w:rPr>
          <w:sz w:val="24"/>
        </w:rPr>
        <w:t xml:space="preserve">This does not give substantial evidence to corroborate with this belief as both books are associated with the South of Wales rather than the North of Wales.  </w:t>
      </w:r>
      <w:r w:rsidR="00811F0A">
        <w:rPr>
          <w:sz w:val="24"/>
        </w:rPr>
        <w:t>Daniel</w:t>
      </w:r>
      <w:r w:rsidR="008B7140">
        <w:rPr>
          <w:sz w:val="24"/>
        </w:rPr>
        <w:t xml:space="preserve"> also</w:t>
      </w:r>
      <w:r w:rsidR="00811F0A">
        <w:rPr>
          <w:sz w:val="24"/>
        </w:rPr>
        <w:t xml:space="preserve"> suggests the </w:t>
      </w:r>
      <w:r w:rsidR="004C291B">
        <w:rPr>
          <w:sz w:val="24"/>
        </w:rPr>
        <w:t>date for the four branches to around the 13</w:t>
      </w:r>
      <w:r w:rsidR="004C291B" w:rsidRPr="004C291B">
        <w:rPr>
          <w:sz w:val="24"/>
          <w:vertAlign w:val="superscript"/>
        </w:rPr>
        <w:t>th</w:t>
      </w:r>
      <w:r w:rsidR="004C291B">
        <w:rPr>
          <w:sz w:val="24"/>
        </w:rPr>
        <w:t xml:space="preserve"> century due to his analysis of bardic grammar from that century.</w:t>
      </w:r>
      <w:r w:rsidR="004C291B">
        <w:rPr>
          <w:rStyle w:val="FootnoteReference"/>
          <w:sz w:val="24"/>
        </w:rPr>
        <w:footnoteReference w:id="54"/>
      </w:r>
      <w:r w:rsidR="004C291B">
        <w:rPr>
          <w:sz w:val="24"/>
        </w:rPr>
        <w:t xml:space="preserve"> Rodway suggest that Daniel’s argument about the author being the Dominican Monk Llywelyn Offeiriad is the weakest part of his argument but agrees that Daniel’s is right to not insist on Llywelyn Offeiriad on being the author compared to other scholars such as Breeze who refuse to see an alternative to their thesis.</w:t>
      </w:r>
      <w:r w:rsidR="004C291B">
        <w:rPr>
          <w:rStyle w:val="FootnoteReference"/>
          <w:sz w:val="24"/>
        </w:rPr>
        <w:footnoteReference w:id="55"/>
      </w:r>
      <w:r w:rsidR="00597912">
        <w:rPr>
          <w:sz w:val="24"/>
        </w:rPr>
        <w:t xml:space="preserve"> </w:t>
      </w:r>
    </w:p>
    <w:p w14:paraId="6D89F7F0" w14:textId="162414DB" w:rsidR="00C9319B" w:rsidRDefault="00B424D3">
      <w:pPr>
        <w:rPr>
          <w:sz w:val="24"/>
        </w:rPr>
      </w:pPr>
      <w:r>
        <w:rPr>
          <w:sz w:val="24"/>
        </w:rPr>
        <w:t xml:space="preserve">Rodway states that Daniel’s conclusion of the works having been wrote by the same author has more merit compared to the named author he gives, Llywelyn Offeiriad also known as </w:t>
      </w:r>
      <w:r w:rsidRPr="00B424D3">
        <w:rPr>
          <w:sz w:val="24"/>
        </w:rPr>
        <w:t>Cnepyn Gwerthynion</w:t>
      </w:r>
      <w:r>
        <w:rPr>
          <w:sz w:val="24"/>
        </w:rPr>
        <w:t>.</w:t>
      </w:r>
      <w:r w:rsidR="008B7140">
        <w:rPr>
          <w:rStyle w:val="FootnoteReference"/>
          <w:sz w:val="24"/>
        </w:rPr>
        <w:footnoteReference w:id="56"/>
      </w:r>
      <w:r>
        <w:rPr>
          <w:sz w:val="24"/>
        </w:rPr>
        <w:t xml:space="preserve"> There </w:t>
      </w:r>
      <w:r w:rsidR="008B7140">
        <w:rPr>
          <w:sz w:val="24"/>
        </w:rPr>
        <w:t>are</w:t>
      </w:r>
      <w:r>
        <w:rPr>
          <w:sz w:val="24"/>
        </w:rPr>
        <w:t xml:space="preserve"> stylistic similarities between Ymborth yr Enaid </w:t>
      </w:r>
      <w:r w:rsidR="00C20EC2">
        <w:rPr>
          <w:sz w:val="24"/>
        </w:rPr>
        <w:t xml:space="preserve">and </w:t>
      </w:r>
      <w:r>
        <w:rPr>
          <w:sz w:val="24"/>
        </w:rPr>
        <w:t xml:space="preserve">the four branches of the Mabinogi. He also notes the similarity of the plot between the Pwyll, the first branch of the Mabinogi and Geraint as well as plot similarity between Branwen, the Second Branch and </w:t>
      </w:r>
      <w:r w:rsidR="008B7140">
        <w:rPr>
          <w:sz w:val="24"/>
        </w:rPr>
        <w:t>Breuddwyd Macsen.</w:t>
      </w:r>
      <w:r w:rsidR="008B7140">
        <w:rPr>
          <w:rStyle w:val="FootnoteReference"/>
          <w:sz w:val="24"/>
        </w:rPr>
        <w:footnoteReference w:id="57"/>
      </w:r>
      <w:r w:rsidR="008B7140">
        <w:rPr>
          <w:sz w:val="24"/>
        </w:rPr>
        <w:t xml:space="preserve"> However, this could be possibl</w:t>
      </w:r>
      <w:r w:rsidR="00C20EC2">
        <w:rPr>
          <w:sz w:val="24"/>
        </w:rPr>
        <w:t>y</w:t>
      </w:r>
      <w:r w:rsidR="008B7140">
        <w:rPr>
          <w:sz w:val="24"/>
        </w:rPr>
        <w:t xml:space="preserve"> due to the fact that medieval authors used and adapted other’s works due to there not being things such as copyright like today’s standards</w:t>
      </w:r>
      <w:r w:rsidR="00C20EC2">
        <w:rPr>
          <w:sz w:val="24"/>
        </w:rPr>
        <w:t xml:space="preserve"> or originality of works</w:t>
      </w:r>
      <w:r w:rsidR="008B7140">
        <w:rPr>
          <w:sz w:val="24"/>
        </w:rPr>
        <w:t>.</w:t>
      </w:r>
      <w:r w:rsidR="00C20EC2">
        <w:rPr>
          <w:rStyle w:val="FootnoteReference"/>
          <w:sz w:val="24"/>
        </w:rPr>
        <w:footnoteReference w:id="58"/>
      </w:r>
      <w:r w:rsidR="00E5063A">
        <w:rPr>
          <w:sz w:val="24"/>
        </w:rPr>
        <w:t xml:space="preserve"> Rodway also claims that due the methodological inconsistency </w:t>
      </w:r>
      <w:r w:rsidR="0043763D">
        <w:rPr>
          <w:sz w:val="24"/>
        </w:rPr>
        <w:t>results in</w:t>
      </w:r>
      <w:r w:rsidR="00E5063A">
        <w:rPr>
          <w:sz w:val="24"/>
        </w:rPr>
        <w:t xml:space="preserve"> there </w:t>
      </w:r>
      <w:r w:rsidR="0043763D">
        <w:rPr>
          <w:sz w:val="24"/>
        </w:rPr>
        <w:t>being a form of</w:t>
      </w:r>
      <w:r w:rsidR="00E5063A">
        <w:rPr>
          <w:sz w:val="24"/>
        </w:rPr>
        <w:t xml:space="preserve"> weakness in his argument for single authorship for the majority of the Welsh prose literature</w:t>
      </w:r>
      <w:r w:rsidR="0043763D">
        <w:rPr>
          <w:sz w:val="24"/>
        </w:rPr>
        <w:t>.</w:t>
      </w:r>
      <w:r w:rsidR="0043763D">
        <w:rPr>
          <w:rStyle w:val="FootnoteReference"/>
          <w:sz w:val="24"/>
        </w:rPr>
        <w:footnoteReference w:id="59"/>
      </w:r>
      <w:r w:rsidR="0043763D">
        <w:rPr>
          <w:sz w:val="24"/>
        </w:rPr>
        <w:t xml:space="preserve"> However, this could be that while that one author wrote a large amount of Welsh Prose there was other authors who wrote the other Welsh prose literature. From Daniel’s work, Rodway summarises that while using the style, phrasing, characterisation and other such literary technique</w:t>
      </w:r>
      <w:r w:rsidR="00C20EC2">
        <w:rPr>
          <w:sz w:val="24"/>
        </w:rPr>
        <w:t>s</w:t>
      </w:r>
      <w:r w:rsidR="0043763D">
        <w:rPr>
          <w:sz w:val="24"/>
        </w:rPr>
        <w:t xml:space="preserve"> has foundation it however should not be used as a control to identify anonymous works such as a large number of the welsh prose literature from the medieval period, as a way of attributing to a single author.</w:t>
      </w:r>
      <w:r w:rsidR="00276D5C">
        <w:rPr>
          <w:sz w:val="24"/>
        </w:rPr>
        <w:t xml:space="preserve"> </w:t>
      </w:r>
    </w:p>
    <w:p w14:paraId="2F11FDF3" w14:textId="7809FC0B" w:rsidR="00E013B5" w:rsidRDefault="00276D5C">
      <w:pPr>
        <w:rPr>
          <w:sz w:val="24"/>
        </w:rPr>
      </w:pPr>
      <w:r w:rsidRPr="00276D5C">
        <w:rPr>
          <w:sz w:val="24"/>
        </w:rPr>
        <w:lastRenderedPageBreak/>
        <w:t>Glenys Goet</w:t>
      </w:r>
      <w:r w:rsidR="00AC10F5">
        <w:rPr>
          <w:sz w:val="24"/>
        </w:rPr>
        <w:t>ni</w:t>
      </w:r>
      <w:r w:rsidRPr="00276D5C">
        <w:rPr>
          <w:sz w:val="24"/>
        </w:rPr>
        <w:t>ck</w:t>
      </w:r>
      <w:r>
        <w:rPr>
          <w:sz w:val="24"/>
        </w:rPr>
        <w:t xml:space="preserve"> also suggest that a monk is responsible </w:t>
      </w:r>
      <w:r w:rsidR="00C20EC2">
        <w:rPr>
          <w:sz w:val="24"/>
        </w:rPr>
        <w:t>for</w:t>
      </w:r>
      <w:r>
        <w:rPr>
          <w:sz w:val="24"/>
        </w:rPr>
        <w:t xml:space="preserve"> the authorship of the four branches, unlike Daniel, Goetinck suggests that the author is from South Wales</w:t>
      </w:r>
      <w:r w:rsidR="00C20EC2">
        <w:rPr>
          <w:sz w:val="24"/>
        </w:rPr>
        <w:t>.</w:t>
      </w:r>
      <w:r w:rsidR="00C20EC2">
        <w:rPr>
          <w:rStyle w:val="FootnoteReference"/>
          <w:sz w:val="24"/>
        </w:rPr>
        <w:footnoteReference w:id="60"/>
      </w:r>
      <w:r>
        <w:rPr>
          <w:sz w:val="24"/>
        </w:rPr>
        <w:t xml:space="preserve"> </w:t>
      </w:r>
      <w:r w:rsidR="00C20EC2">
        <w:rPr>
          <w:sz w:val="24"/>
        </w:rPr>
        <w:t>Th</w:t>
      </w:r>
      <w:r>
        <w:rPr>
          <w:sz w:val="24"/>
        </w:rPr>
        <w:t>is</w:t>
      </w:r>
      <w:r w:rsidR="00C20EC2">
        <w:rPr>
          <w:sz w:val="24"/>
        </w:rPr>
        <w:t xml:space="preserve"> could have possibly been</w:t>
      </w:r>
      <w:r>
        <w:rPr>
          <w:sz w:val="24"/>
        </w:rPr>
        <w:t xml:space="preserve"> </w:t>
      </w:r>
      <w:r w:rsidRPr="00276D5C">
        <w:rPr>
          <w:sz w:val="24"/>
        </w:rPr>
        <w:t>Caradoc of Llancarfan</w:t>
      </w:r>
      <w:r>
        <w:rPr>
          <w:sz w:val="24"/>
        </w:rPr>
        <w:t>. Who the life of St Gildas and the Life of St Cadog is attributed to.</w:t>
      </w:r>
      <w:r w:rsidR="00707D8E">
        <w:rPr>
          <w:rStyle w:val="FootnoteReference"/>
          <w:sz w:val="24"/>
        </w:rPr>
        <w:footnoteReference w:id="61"/>
      </w:r>
      <w:r>
        <w:rPr>
          <w:sz w:val="24"/>
        </w:rPr>
        <w:t xml:space="preserve"> </w:t>
      </w:r>
      <w:r w:rsidR="00990325">
        <w:rPr>
          <w:sz w:val="24"/>
        </w:rPr>
        <w:t>Goet</w:t>
      </w:r>
      <w:r w:rsidR="00AC10F5">
        <w:rPr>
          <w:sz w:val="24"/>
        </w:rPr>
        <w:t>ni</w:t>
      </w:r>
      <w:r w:rsidR="00990325">
        <w:rPr>
          <w:sz w:val="24"/>
        </w:rPr>
        <w:t xml:space="preserve">ck only attributes the works </w:t>
      </w:r>
      <w:r w:rsidR="002001FF">
        <w:rPr>
          <w:sz w:val="24"/>
        </w:rPr>
        <w:t>to Llancarfan not to a specific author, only the association with Llancarfan would make the author a monk.</w:t>
      </w:r>
      <w:r w:rsidR="002001FF">
        <w:rPr>
          <w:rStyle w:val="FootnoteReference"/>
          <w:sz w:val="24"/>
        </w:rPr>
        <w:footnoteReference w:id="62"/>
      </w:r>
      <w:r w:rsidR="002001FF">
        <w:rPr>
          <w:sz w:val="24"/>
        </w:rPr>
        <w:t xml:space="preserve"> </w:t>
      </w:r>
      <w:r>
        <w:rPr>
          <w:sz w:val="24"/>
        </w:rPr>
        <w:t>Much like Daniel it can be argued that her thesis is circumstantial at best but should not be dismissed due to there being no way to attribute the four branches of the Mabinogi to any single author or collection of authors</w:t>
      </w:r>
      <w:r w:rsidR="00707D8E">
        <w:rPr>
          <w:sz w:val="24"/>
        </w:rPr>
        <w:t>, thus leaving it open to interpretation that scholars can find evidence to support their hypotheses.</w:t>
      </w:r>
    </w:p>
    <w:p w14:paraId="7C215298" w14:textId="77777777" w:rsidR="00E5063A" w:rsidRDefault="00E5063A">
      <w:pPr>
        <w:rPr>
          <w:sz w:val="24"/>
        </w:rPr>
      </w:pPr>
    </w:p>
    <w:p w14:paraId="351D3F8B" w14:textId="43BCFC4B" w:rsidR="00CF6566" w:rsidRDefault="00A6775A">
      <w:pPr>
        <w:rPr>
          <w:sz w:val="24"/>
        </w:rPr>
      </w:pPr>
      <w:r>
        <w:rPr>
          <w:sz w:val="24"/>
        </w:rPr>
        <w:t xml:space="preserve">Another hypothesis around the authorship of the Mabinogi is that they were a lawyer. This is due to events within the Mabinogi that correspond to the laws of Hywel Dda. An example of this is in the third branch of the Mabinogi, where Manawydan wants to hang the mouse who stole from </w:t>
      </w:r>
      <w:r w:rsidR="002001FF">
        <w:rPr>
          <w:sz w:val="24"/>
        </w:rPr>
        <w:t>him</w:t>
      </w:r>
      <w:r>
        <w:rPr>
          <w:sz w:val="24"/>
        </w:rPr>
        <w:t>.</w:t>
      </w:r>
      <w:r w:rsidR="002001FF">
        <w:rPr>
          <w:rStyle w:val="FootnoteReference"/>
          <w:sz w:val="24"/>
        </w:rPr>
        <w:footnoteReference w:id="63"/>
      </w:r>
      <w:r>
        <w:rPr>
          <w:sz w:val="24"/>
        </w:rPr>
        <w:t xml:space="preserve"> This corresponds with the fact that in the laws, theft was the only crime that the punishment would be the death penalty.</w:t>
      </w:r>
      <w:r w:rsidR="00F13065">
        <w:rPr>
          <w:rStyle w:val="FootnoteReference"/>
          <w:sz w:val="24"/>
        </w:rPr>
        <w:footnoteReference w:id="64"/>
      </w:r>
      <w:r>
        <w:rPr>
          <w:sz w:val="24"/>
        </w:rPr>
        <w:t xml:space="preserve"> Theft differed from Robbery as theft was stealing using stealth, where a person could not defend or protect their belongings. However, while the link can be drawn with the author and a knowledge of the law, it does not mean that the author was a lawyer but perhaps someone who had access and knowledge of the laws of Hywel Dda. It can be believed that the laws were held in a high esteem due to the fact there are manuscripts found</w:t>
      </w:r>
      <w:r w:rsidR="00C50617">
        <w:rPr>
          <w:sz w:val="24"/>
        </w:rPr>
        <w:t xml:space="preserve"> both in Welsh and Latin.</w:t>
      </w:r>
      <w:r w:rsidR="003C20B2">
        <w:rPr>
          <w:sz w:val="24"/>
        </w:rPr>
        <w:t xml:space="preserve"> </w:t>
      </w:r>
      <w:r w:rsidR="007C34AD">
        <w:rPr>
          <w:sz w:val="24"/>
        </w:rPr>
        <w:t>Thus,</w:t>
      </w:r>
      <w:r w:rsidR="003C20B2">
        <w:rPr>
          <w:sz w:val="24"/>
        </w:rPr>
        <w:t xml:space="preserve"> showing that there </w:t>
      </w:r>
      <w:r w:rsidR="007C34AD">
        <w:rPr>
          <w:sz w:val="24"/>
        </w:rPr>
        <w:t>were</w:t>
      </w:r>
      <w:r w:rsidR="003C20B2">
        <w:rPr>
          <w:sz w:val="24"/>
        </w:rPr>
        <w:t xml:space="preserve"> multiple copies in multiple languages </w:t>
      </w:r>
      <w:r w:rsidR="00661405">
        <w:rPr>
          <w:sz w:val="24"/>
        </w:rPr>
        <w:t>making the work more accessible to those who were able to read.</w:t>
      </w:r>
    </w:p>
    <w:p w14:paraId="3E1B8B44" w14:textId="77777777" w:rsidR="00CF6566" w:rsidRDefault="00CF6566">
      <w:pPr>
        <w:rPr>
          <w:sz w:val="24"/>
        </w:rPr>
      </w:pPr>
    </w:p>
    <w:p w14:paraId="1F2FE959" w14:textId="3309619C" w:rsidR="00735543" w:rsidRDefault="00CD75CD">
      <w:pPr>
        <w:rPr>
          <w:sz w:val="24"/>
        </w:rPr>
      </w:pPr>
      <w:r>
        <w:rPr>
          <w:sz w:val="24"/>
        </w:rPr>
        <w:t>Therefore, in conclusion while all the different hypotheses regarding the authorship of the Four Branches of the Mabinogi rely on circumstantial evidence they should not be dismissed</w:t>
      </w:r>
      <w:r w:rsidR="002001FF">
        <w:rPr>
          <w:sz w:val="24"/>
        </w:rPr>
        <w:t xml:space="preserve"> initially</w:t>
      </w:r>
      <w:r>
        <w:rPr>
          <w:sz w:val="24"/>
        </w:rPr>
        <w:t>. However, it is very unlikely any person will ever be attributed to b</w:t>
      </w:r>
      <w:r w:rsidR="002001FF">
        <w:rPr>
          <w:sz w:val="24"/>
        </w:rPr>
        <w:t>e</w:t>
      </w:r>
      <w:r>
        <w:rPr>
          <w:sz w:val="24"/>
        </w:rPr>
        <w:t>ing the writer of the Four Branches and arguably it should stay that way, but future scholars will try to attribute the work to others that those stated above. Rodway states that both Breeze and Daniel raised interesting questions regarding similarities between Welsh prose text, thus leaving it open for further study rather than just determining an author for anonymous works that wi</w:t>
      </w:r>
      <w:r w:rsidR="002001FF">
        <w:rPr>
          <w:sz w:val="24"/>
        </w:rPr>
        <w:t>ll</w:t>
      </w:r>
      <w:r>
        <w:rPr>
          <w:sz w:val="24"/>
        </w:rPr>
        <w:t xml:space="preserve"> more than likely never be proven and will remain anonymous much like the Four Branches of the Mabinogi.</w:t>
      </w:r>
      <w:r>
        <w:rPr>
          <w:rStyle w:val="FootnoteReference"/>
          <w:sz w:val="24"/>
        </w:rPr>
        <w:footnoteReference w:id="65"/>
      </w:r>
      <w:r>
        <w:rPr>
          <w:sz w:val="24"/>
        </w:rPr>
        <w:t xml:space="preserve"> </w:t>
      </w:r>
    </w:p>
    <w:p w14:paraId="296CC9FB" w14:textId="2BE98E07" w:rsidR="00AC10F5" w:rsidRPr="00AC10F5" w:rsidRDefault="00AC10F5" w:rsidP="00AC10F5">
      <w:pPr>
        <w:rPr>
          <w:sz w:val="24"/>
          <w:u w:val="single"/>
        </w:rPr>
      </w:pPr>
      <w:r w:rsidRPr="00AC10F5">
        <w:rPr>
          <w:sz w:val="24"/>
          <w:u w:val="single"/>
        </w:rPr>
        <w:t>Final Word count 4247</w:t>
      </w:r>
    </w:p>
    <w:p w14:paraId="4D8D7727" w14:textId="39FA68C0" w:rsidR="00AC10F5" w:rsidRDefault="00AC10F5" w:rsidP="00AC10F5">
      <w:pPr>
        <w:rPr>
          <w:b/>
          <w:sz w:val="24"/>
        </w:rPr>
      </w:pPr>
      <w:r w:rsidRPr="00AC10F5">
        <w:rPr>
          <w:b/>
          <w:sz w:val="24"/>
        </w:rPr>
        <w:lastRenderedPageBreak/>
        <w:t>Bibliography</w:t>
      </w:r>
    </w:p>
    <w:p w14:paraId="56916F28" w14:textId="77777777" w:rsidR="00AC10F5" w:rsidRPr="00AC10F5" w:rsidRDefault="00AC10F5" w:rsidP="00AC10F5">
      <w:pPr>
        <w:rPr>
          <w:b/>
          <w:sz w:val="24"/>
        </w:rPr>
      </w:pPr>
    </w:p>
    <w:p w14:paraId="4720EC42" w14:textId="38C2668C" w:rsidR="00AC10F5" w:rsidRDefault="00AC10F5" w:rsidP="00AC10F5">
      <w:pPr>
        <w:rPr>
          <w:sz w:val="24"/>
        </w:rPr>
      </w:pPr>
      <w:r w:rsidRPr="00AC10F5">
        <w:rPr>
          <w:sz w:val="24"/>
        </w:rPr>
        <w:t xml:space="preserve">Breeze, Andrew. </w:t>
      </w:r>
      <w:r w:rsidRPr="00AC10F5">
        <w:rPr>
          <w:i/>
          <w:sz w:val="24"/>
        </w:rPr>
        <w:t xml:space="preserve">Medieval Welsh Literature </w:t>
      </w:r>
      <w:r w:rsidRPr="00AC10F5">
        <w:rPr>
          <w:sz w:val="24"/>
        </w:rPr>
        <w:t>(Dublin, Four Courts Publishing, 1997)</w:t>
      </w:r>
    </w:p>
    <w:p w14:paraId="14E4E31D" w14:textId="77777777" w:rsidR="00AC10F5" w:rsidRPr="00AC10F5" w:rsidRDefault="00AC10F5" w:rsidP="00AC10F5">
      <w:pPr>
        <w:rPr>
          <w:sz w:val="24"/>
        </w:rPr>
      </w:pPr>
    </w:p>
    <w:p w14:paraId="551478B1" w14:textId="01475089" w:rsidR="00AC10F5" w:rsidRDefault="00AC10F5" w:rsidP="00AC10F5">
      <w:pPr>
        <w:rPr>
          <w:sz w:val="24"/>
        </w:rPr>
      </w:pPr>
      <w:r w:rsidRPr="00AC10F5">
        <w:rPr>
          <w:sz w:val="24"/>
        </w:rPr>
        <w:t xml:space="preserve">Breeze, Andrew. </w:t>
      </w:r>
      <w:r w:rsidRPr="00AC10F5">
        <w:rPr>
          <w:i/>
          <w:sz w:val="24"/>
        </w:rPr>
        <w:t xml:space="preserve">The Origins of the Four Branches of The Mabinogi </w:t>
      </w:r>
      <w:r w:rsidRPr="00AC10F5">
        <w:rPr>
          <w:sz w:val="24"/>
        </w:rPr>
        <w:t>(Leominster, Gracewing, 2009)</w:t>
      </w:r>
    </w:p>
    <w:p w14:paraId="27E935D1" w14:textId="77777777" w:rsidR="00AC10F5" w:rsidRPr="00AC10F5" w:rsidRDefault="00AC10F5" w:rsidP="00AC10F5">
      <w:pPr>
        <w:rPr>
          <w:sz w:val="24"/>
        </w:rPr>
      </w:pPr>
    </w:p>
    <w:p w14:paraId="0D66FA8A" w14:textId="51BBF6E7" w:rsidR="00AC10F5" w:rsidRDefault="00AC10F5" w:rsidP="00AC10F5">
      <w:pPr>
        <w:rPr>
          <w:sz w:val="24"/>
        </w:rPr>
      </w:pPr>
      <w:r w:rsidRPr="00AC10F5">
        <w:rPr>
          <w:sz w:val="24"/>
        </w:rPr>
        <w:t xml:space="preserve">Colarusso, John, ‘Review of The Oldest Prose Literature, The Compilation of the Four Branches of the Mabinogi by Nikolai Tolstoy.’ </w:t>
      </w:r>
      <w:r w:rsidRPr="00AC10F5">
        <w:rPr>
          <w:i/>
          <w:sz w:val="24"/>
        </w:rPr>
        <w:t>Journal of Indo-European Studies</w:t>
      </w:r>
      <w:r w:rsidRPr="00AC10F5">
        <w:rPr>
          <w:sz w:val="24"/>
        </w:rPr>
        <w:t>, 38, 3/4 (2010) 444-449</w:t>
      </w:r>
    </w:p>
    <w:p w14:paraId="32FBCF2A" w14:textId="77777777" w:rsidR="00AC10F5" w:rsidRPr="00AC10F5" w:rsidRDefault="00AC10F5" w:rsidP="00AC10F5">
      <w:pPr>
        <w:rPr>
          <w:sz w:val="24"/>
        </w:rPr>
      </w:pPr>
    </w:p>
    <w:p w14:paraId="42A64A9D" w14:textId="658009CA" w:rsidR="00AC10F5" w:rsidRDefault="00AC10F5" w:rsidP="00AC10F5">
      <w:pPr>
        <w:rPr>
          <w:sz w:val="24"/>
        </w:rPr>
      </w:pPr>
      <w:r w:rsidRPr="00AC10F5">
        <w:rPr>
          <w:sz w:val="24"/>
        </w:rPr>
        <w:t xml:space="preserve">Daniel, R. I, </w:t>
      </w:r>
      <w:r w:rsidRPr="00AC10F5">
        <w:rPr>
          <w:i/>
          <w:sz w:val="24"/>
        </w:rPr>
        <w:t>The Date, Origin and Authorship of the Mabinogion in Light of Ymborth yr Enaid</w:t>
      </w:r>
      <w:r w:rsidRPr="00AC10F5">
        <w:rPr>
          <w:sz w:val="24"/>
        </w:rPr>
        <w:t>, The Journal of Celtic Studies, 4 (2004) 117-52</w:t>
      </w:r>
    </w:p>
    <w:p w14:paraId="7C0472FB" w14:textId="77777777" w:rsidR="00AC10F5" w:rsidRPr="00AC10F5" w:rsidRDefault="00AC10F5" w:rsidP="00AC10F5">
      <w:pPr>
        <w:rPr>
          <w:sz w:val="24"/>
        </w:rPr>
      </w:pPr>
    </w:p>
    <w:p w14:paraId="008931A5" w14:textId="1DDC452E" w:rsidR="00AC10F5" w:rsidRDefault="00AC10F5" w:rsidP="00AC10F5">
      <w:pPr>
        <w:rPr>
          <w:sz w:val="24"/>
        </w:rPr>
      </w:pPr>
      <w:r w:rsidRPr="00AC10F5">
        <w:rPr>
          <w:sz w:val="24"/>
        </w:rPr>
        <w:t xml:space="preserve">Davies, Sioned, </w:t>
      </w:r>
      <w:r w:rsidRPr="00AC10F5">
        <w:rPr>
          <w:i/>
          <w:sz w:val="24"/>
        </w:rPr>
        <w:t xml:space="preserve">The Mabinogion </w:t>
      </w:r>
      <w:r w:rsidRPr="00AC10F5">
        <w:rPr>
          <w:sz w:val="24"/>
        </w:rPr>
        <w:t>(Oxford, Oxford University Press, 2007)</w:t>
      </w:r>
    </w:p>
    <w:p w14:paraId="2656A837" w14:textId="77777777" w:rsidR="00AC10F5" w:rsidRPr="00AC10F5" w:rsidRDefault="00AC10F5" w:rsidP="00AC10F5">
      <w:pPr>
        <w:rPr>
          <w:sz w:val="24"/>
        </w:rPr>
      </w:pPr>
    </w:p>
    <w:p w14:paraId="2A423ACB" w14:textId="184BA165" w:rsidR="00AC10F5" w:rsidRDefault="00AC10F5" w:rsidP="00AC10F5">
      <w:pPr>
        <w:rPr>
          <w:sz w:val="24"/>
        </w:rPr>
      </w:pPr>
      <w:r w:rsidRPr="00AC10F5">
        <w:rPr>
          <w:sz w:val="24"/>
        </w:rPr>
        <w:t xml:space="preserve">Dickens, Charles. </w:t>
      </w:r>
      <w:r w:rsidRPr="00AC10F5">
        <w:rPr>
          <w:i/>
          <w:sz w:val="24"/>
        </w:rPr>
        <w:t>Oliver Twist</w:t>
      </w:r>
      <w:r w:rsidRPr="00AC10F5">
        <w:rPr>
          <w:sz w:val="24"/>
        </w:rPr>
        <w:t xml:space="preserve"> (London, Richard Bentley OCLC, 1839)</w:t>
      </w:r>
    </w:p>
    <w:p w14:paraId="287B50EC" w14:textId="77777777" w:rsidR="00AC10F5" w:rsidRPr="00AC10F5" w:rsidRDefault="00AC10F5" w:rsidP="00AC10F5">
      <w:pPr>
        <w:rPr>
          <w:sz w:val="24"/>
        </w:rPr>
      </w:pPr>
    </w:p>
    <w:p w14:paraId="49D64BE6" w14:textId="4B36751F" w:rsidR="00AC10F5" w:rsidRDefault="00AC10F5" w:rsidP="00AC10F5">
      <w:pPr>
        <w:rPr>
          <w:iCs/>
          <w:sz w:val="24"/>
        </w:rPr>
      </w:pPr>
      <w:r w:rsidRPr="00AC10F5">
        <w:rPr>
          <w:sz w:val="24"/>
        </w:rPr>
        <w:t xml:space="preserve">Goetnick, Glenys, ‘Pedair Cainc Y Mabinogi: Yr Awdur A’I Bwrpas.’ </w:t>
      </w:r>
      <w:r w:rsidRPr="00AC10F5">
        <w:rPr>
          <w:i/>
          <w:iCs/>
          <w:sz w:val="24"/>
        </w:rPr>
        <w:t xml:space="preserve">Llên Cymru </w:t>
      </w:r>
      <w:r w:rsidRPr="00AC10F5">
        <w:rPr>
          <w:iCs/>
          <w:sz w:val="24"/>
        </w:rPr>
        <w:t>(1987) pp.249-269</w:t>
      </w:r>
    </w:p>
    <w:p w14:paraId="03380CB1" w14:textId="77777777" w:rsidR="00AC10F5" w:rsidRPr="00AC10F5" w:rsidRDefault="00AC10F5" w:rsidP="00AC10F5">
      <w:pPr>
        <w:rPr>
          <w:sz w:val="24"/>
        </w:rPr>
      </w:pPr>
    </w:p>
    <w:p w14:paraId="3D2A86D7" w14:textId="126255F6" w:rsidR="00AC10F5" w:rsidRDefault="00AC10F5" w:rsidP="00AC10F5">
      <w:pPr>
        <w:rPr>
          <w:sz w:val="24"/>
        </w:rPr>
      </w:pPr>
      <w:r w:rsidRPr="00AC10F5">
        <w:rPr>
          <w:sz w:val="24"/>
        </w:rPr>
        <w:t xml:space="preserve">Gruber, Edith. ‘Review of The Origins of the 'Four Branches of the Mabinogi' by Andrew Breeze’ </w:t>
      </w:r>
      <w:r w:rsidRPr="00AC10F5">
        <w:rPr>
          <w:i/>
          <w:sz w:val="24"/>
        </w:rPr>
        <w:t>The Modern Language Review</w:t>
      </w:r>
      <w:r w:rsidRPr="00AC10F5">
        <w:rPr>
          <w:sz w:val="24"/>
        </w:rPr>
        <w:t xml:space="preserve">, 105, 3 (2010) 830–831. JSTOR, JSTOR, </w:t>
      </w:r>
      <w:hyperlink r:id="rId7" w:history="1">
        <w:r w:rsidRPr="00AC10F5">
          <w:rPr>
            <w:rStyle w:val="Hyperlink"/>
            <w:sz w:val="24"/>
          </w:rPr>
          <w:t>www.jstor.org/stable/25698822</w:t>
        </w:r>
      </w:hyperlink>
      <w:r w:rsidRPr="00AC10F5">
        <w:rPr>
          <w:sz w:val="24"/>
        </w:rPr>
        <w:t xml:space="preserve">. </w:t>
      </w:r>
    </w:p>
    <w:p w14:paraId="6188767D" w14:textId="77777777" w:rsidR="00AC10F5" w:rsidRPr="00AC10F5" w:rsidRDefault="00AC10F5" w:rsidP="00AC10F5">
      <w:pPr>
        <w:rPr>
          <w:sz w:val="24"/>
        </w:rPr>
      </w:pPr>
    </w:p>
    <w:p w14:paraId="2383C4D1" w14:textId="419AC61D" w:rsidR="00AC10F5" w:rsidRDefault="00AC10F5" w:rsidP="00AC10F5">
      <w:pPr>
        <w:rPr>
          <w:sz w:val="24"/>
        </w:rPr>
      </w:pPr>
      <w:r w:rsidRPr="00AC10F5">
        <w:rPr>
          <w:sz w:val="24"/>
        </w:rPr>
        <w:t xml:space="preserve">Jenkins, Dafydd. </w:t>
      </w:r>
      <w:r w:rsidRPr="00AC10F5">
        <w:rPr>
          <w:i/>
          <w:sz w:val="24"/>
        </w:rPr>
        <w:t>The Law of Hywel Dda: Law Texts from Medieval Wales</w:t>
      </w:r>
      <w:r w:rsidRPr="00AC10F5">
        <w:rPr>
          <w:sz w:val="24"/>
        </w:rPr>
        <w:t>. The Welsh Classics. (Rhagfyr, Gomer, 1986) 156-169</w:t>
      </w:r>
    </w:p>
    <w:p w14:paraId="69AF0B18" w14:textId="77777777" w:rsidR="00AC10F5" w:rsidRPr="00AC10F5" w:rsidRDefault="00AC10F5" w:rsidP="00AC10F5">
      <w:pPr>
        <w:rPr>
          <w:sz w:val="24"/>
        </w:rPr>
      </w:pPr>
    </w:p>
    <w:p w14:paraId="1122502F" w14:textId="1E7D0141" w:rsidR="00AC10F5" w:rsidRDefault="00AC10F5" w:rsidP="00AC10F5">
      <w:pPr>
        <w:rPr>
          <w:sz w:val="24"/>
        </w:rPr>
      </w:pPr>
      <w:r w:rsidRPr="00AC10F5">
        <w:rPr>
          <w:sz w:val="24"/>
        </w:rPr>
        <w:t>Johnston, Dafydd. ‘Review of Medieval Welsh Literature by Andrew Breeze’</w:t>
      </w:r>
      <w:r w:rsidRPr="00AC10F5">
        <w:rPr>
          <w:i/>
          <w:sz w:val="24"/>
        </w:rPr>
        <w:t xml:space="preserve"> Cambrian Medieval Celtic Studies.</w:t>
      </w:r>
      <w:r w:rsidRPr="00AC10F5">
        <w:rPr>
          <w:sz w:val="24"/>
        </w:rPr>
        <w:t xml:space="preserve"> 34 (1997) 122-123</w:t>
      </w:r>
    </w:p>
    <w:p w14:paraId="3CA5D9A1" w14:textId="77777777" w:rsidR="00AC10F5" w:rsidRPr="00AC10F5" w:rsidRDefault="00AC10F5" w:rsidP="00AC10F5">
      <w:pPr>
        <w:rPr>
          <w:sz w:val="24"/>
        </w:rPr>
      </w:pPr>
    </w:p>
    <w:p w14:paraId="6C6ACEC6" w14:textId="0722B865" w:rsidR="00AC10F5" w:rsidRDefault="00AC10F5" w:rsidP="00AC10F5">
      <w:pPr>
        <w:rPr>
          <w:sz w:val="24"/>
        </w:rPr>
      </w:pPr>
      <w:r w:rsidRPr="00AC10F5">
        <w:rPr>
          <w:sz w:val="24"/>
        </w:rPr>
        <w:lastRenderedPageBreak/>
        <w:t xml:space="preserve">Lloyd, J.E. </w:t>
      </w:r>
      <w:r w:rsidRPr="00AC10F5">
        <w:rPr>
          <w:i/>
          <w:sz w:val="24"/>
        </w:rPr>
        <w:t xml:space="preserve">Caradoc of Llancarfan. </w:t>
      </w:r>
      <w:r w:rsidRPr="00AC10F5">
        <w:rPr>
          <w:sz w:val="24"/>
        </w:rPr>
        <w:t xml:space="preserve">Dictionary of Welsh Biography. National Library of Wales. Available at: </w:t>
      </w:r>
      <w:hyperlink r:id="rId8" w:history="1">
        <w:r w:rsidRPr="00AC10F5">
          <w:rPr>
            <w:rStyle w:val="Hyperlink"/>
            <w:sz w:val="24"/>
          </w:rPr>
          <w:t>https://biography.wales/article/s-CARA-DOG-1135</w:t>
        </w:r>
      </w:hyperlink>
      <w:r w:rsidRPr="00AC10F5">
        <w:rPr>
          <w:sz w:val="24"/>
        </w:rPr>
        <w:t xml:space="preserve"> Accessed 15th December 2018 </w:t>
      </w:r>
    </w:p>
    <w:p w14:paraId="5A08A061" w14:textId="77777777" w:rsidR="00AC10F5" w:rsidRPr="00AC10F5" w:rsidRDefault="00AC10F5" w:rsidP="00AC10F5">
      <w:pPr>
        <w:rPr>
          <w:sz w:val="24"/>
        </w:rPr>
      </w:pPr>
    </w:p>
    <w:p w14:paraId="588B6881" w14:textId="22313AFF" w:rsidR="00AC10F5" w:rsidRDefault="00AC10F5" w:rsidP="00AC10F5">
      <w:pPr>
        <w:rPr>
          <w:sz w:val="24"/>
        </w:rPr>
      </w:pPr>
      <w:r w:rsidRPr="00AC10F5">
        <w:rPr>
          <w:sz w:val="24"/>
        </w:rPr>
        <w:t xml:space="preserve">Luft, Diana. ‘Review of The Origins of the 'Four Branches of the Mabinogi' by Andrew Breeze.’ </w:t>
      </w:r>
      <w:r w:rsidRPr="00AC10F5">
        <w:rPr>
          <w:i/>
          <w:sz w:val="24"/>
        </w:rPr>
        <w:t>Celtic Studies Association Newsletter</w:t>
      </w:r>
      <w:r w:rsidRPr="00AC10F5">
        <w:rPr>
          <w:sz w:val="24"/>
        </w:rPr>
        <w:t>, 27, 2 (2010) 9-12</w:t>
      </w:r>
    </w:p>
    <w:p w14:paraId="55B11FED" w14:textId="77777777" w:rsidR="00AC10F5" w:rsidRPr="00AC10F5" w:rsidRDefault="00AC10F5" w:rsidP="00AC10F5">
      <w:pPr>
        <w:rPr>
          <w:sz w:val="24"/>
        </w:rPr>
      </w:pPr>
    </w:p>
    <w:p w14:paraId="77351053" w14:textId="5786BD89" w:rsidR="00AC10F5" w:rsidRDefault="00AC10F5" w:rsidP="00AC10F5">
      <w:pPr>
        <w:rPr>
          <w:sz w:val="24"/>
        </w:rPr>
      </w:pPr>
      <w:r w:rsidRPr="00AC10F5">
        <w:rPr>
          <w:sz w:val="24"/>
        </w:rPr>
        <w:t xml:space="preserve">Roberts, B.F. ‘Where Were the Four Branches of the Mabinogi Written?’ The Individual in Celtic Literatures, ed. J. Nagy (Dublin, Four Courts Press, 2001) </w:t>
      </w:r>
    </w:p>
    <w:p w14:paraId="6722194B" w14:textId="77777777" w:rsidR="00AC10F5" w:rsidRPr="00AC10F5" w:rsidRDefault="00AC10F5" w:rsidP="00AC10F5">
      <w:pPr>
        <w:rPr>
          <w:sz w:val="24"/>
        </w:rPr>
      </w:pPr>
    </w:p>
    <w:p w14:paraId="49C03CD5" w14:textId="52BDC0FE" w:rsidR="00AC10F5" w:rsidRDefault="00AC10F5" w:rsidP="00AC10F5">
      <w:pPr>
        <w:rPr>
          <w:sz w:val="24"/>
        </w:rPr>
      </w:pPr>
      <w:r w:rsidRPr="00AC10F5">
        <w:rPr>
          <w:sz w:val="24"/>
        </w:rPr>
        <w:t>Rodway, S.  ‘The Where, Who, When and Why of Medieval Welsh Proses Text: Some Methodological Considerations’</w:t>
      </w:r>
      <w:r w:rsidRPr="00AC10F5">
        <w:rPr>
          <w:i/>
          <w:sz w:val="24"/>
        </w:rPr>
        <w:t>. Studia Celtica</w:t>
      </w:r>
      <w:r w:rsidRPr="00AC10F5">
        <w:rPr>
          <w:sz w:val="24"/>
        </w:rPr>
        <w:t>, Vol XLI (2007) 27-89</w:t>
      </w:r>
    </w:p>
    <w:p w14:paraId="54A1A012" w14:textId="77777777" w:rsidR="00AC10F5" w:rsidRPr="00AC10F5" w:rsidRDefault="00AC10F5" w:rsidP="00AC10F5">
      <w:pPr>
        <w:rPr>
          <w:sz w:val="24"/>
        </w:rPr>
      </w:pPr>
    </w:p>
    <w:p w14:paraId="6EEA9ACE" w14:textId="237BE4E1" w:rsidR="00AC10F5" w:rsidRDefault="00AC10F5" w:rsidP="00AC10F5">
      <w:pPr>
        <w:rPr>
          <w:sz w:val="24"/>
        </w:rPr>
      </w:pPr>
      <w:r w:rsidRPr="00AC10F5">
        <w:rPr>
          <w:sz w:val="24"/>
        </w:rPr>
        <w:t xml:space="preserve">Rowling, J.K, </w:t>
      </w:r>
      <w:r w:rsidRPr="00AC10F5">
        <w:rPr>
          <w:i/>
          <w:sz w:val="24"/>
        </w:rPr>
        <w:t xml:space="preserve">Harry Potter and the Philosopher’s Stone </w:t>
      </w:r>
      <w:r w:rsidRPr="00AC10F5">
        <w:rPr>
          <w:sz w:val="24"/>
        </w:rPr>
        <w:t>(London, Bloomsbury Publishing PLC, 1997)</w:t>
      </w:r>
    </w:p>
    <w:p w14:paraId="63085BFC" w14:textId="77777777" w:rsidR="00AC10F5" w:rsidRPr="00AC10F5" w:rsidRDefault="00AC10F5" w:rsidP="00AC10F5">
      <w:pPr>
        <w:rPr>
          <w:sz w:val="24"/>
        </w:rPr>
      </w:pPr>
    </w:p>
    <w:p w14:paraId="3941D276" w14:textId="42D36FF1" w:rsidR="00AC10F5" w:rsidRDefault="00AC10F5" w:rsidP="00AC10F5">
      <w:pPr>
        <w:rPr>
          <w:sz w:val="24"/>
        </w:rPr>
      </w:pPr>
      <w:r w:rsidRPr="00AC10F5">
        <w:rPr>
          <w:sz w:val="24"/>
        </w:rPr>
        <w:t>Sharp. R, Rubin Davis. J, Rhygyfarch’s Life of St. David</w:t>
      </w:r>
      <w:r w:rsidRPr="00AC10F5">
        <w:rPr>
          <w:i/>
          <w:sz w:val="24"/>
        </w:rPr>
        <w:t>, in St David: Cult, Church and Nation,</w:t>
      </w:r>
      <w:r w:rsidRPr="00AC10F5">
        <w:rPr>
          <w:sz w:val="24"/>
        </w:rPr>
        <w:t xml:space="preserve"> ed. by Jonathan M. Wooding and J. Wyn Evans (Woodbridge: Boydell, 2007), pp. 107-155</w:t>
      </w:r>
    </w:p>
    <w:p w14:paraId="447A50D5" w14:textId="77777777" w:rsidR="00AC10F5" w:rsidRPr="00AC10F5" w:rsidRDefault="00AC10F5" w:rsidP="00AC10F5">
      <w:pPr>
        <w:rPr>
          <w:sz w:val="24"/>
        </w:rPr>
      </w:pPr>
    </w:p>
    <w:p w14:paraId="2D33DC00" w14:textId="77777777" w:rsidR="00AC10F5" w:rsidRPr="00AC10F5" w:rsidRDefault="00AC10F5" w:rsidP="00AC10F5">
      <w:pPr>
        <w:rPr>
          <w:sz w:val="24"/>
        </w:rPr>
      </w:pPr>
      <w:r w:rsidRPr="00AC10F5">
        <w:rPr>
          <w:sz w:val="24"/>
        </w:rPr>
        <w:t xml:space="preserve">White, Emma, </w:t>
      </w:r>
      <w:r w:rsidRPr="00AC10F5">
        <w:rPr>
          <w:i/>
          <w:sz w:val="24"/>
        </w:rPr>
        <w:t>2011 Census: Key Statistics for Wales,</w:t>
      </w:r>
      <w:r w:rsidRPr="00AC10F5">
        <w:rPr>
          <w:sz w:val="24"/>
        </w:rPr>
        <w:t xml:space="preserve"> March 2011, Office for National Statistic, Available at: </w:t>
      </w:r>
      <w:hyperlink r:id="rId9" w:anchor="tab---Proficiency-in-Welsh" w:history="1">
        <w:r w:rsidRPr="00AC10F5">
          <w:rPr>
            <w:rStyle w:val="Hyperlink"/>
            <w:sz w:val="24"/>
          </w:rPr>
          <w:t>https://www.ons.gov.uk/peoplepopulationandcommunity/populationandmigration/populationestimates/bulletins/2011censuskeystatisticsforwales/2012-12-11#tab---Proficiency-in-Welsh</w:t>
        </w:r>
      </w:hyperlink>
      <w:r w:rsidRPr="00AC10F5">
        <w:rPr>
          <w:sz w:val="24"/>
        </w:rPr>
        <w:t xml:space="preserve"> Accessed 14</w:t>
      </w:r>
      <w:r w:rsidRPr="00AC10F5">
        <w:rPr>
          <w:sz w:val="24"/>
          <w:vertAlign w:val="superscript"/>
        </w:rPr>
        <w:t>th</w:t>
      </w:r>
      <w:r w:rsidRPr="00AC10F5">
        <w:rPr>
          <w:sz w:val="24"/>
        </w:rPr>
        <w:t xml:space="preserve"> December 2018</w:t>
      </w:r>
    </w:p>
    <w:p w14:paraId="495A3F28" w14:textId="77777777" w:rsidR="00AC10F5" w:rsidRPr="00AC10F5" w:rsidRDefault="00AC10F5" w:rsidP="00735543">
      <w:pPr>
        <w:rPr>
          <w:sz w:val="24"/>
        </w:rPr>
      </w:pPr>
    </w:p>
    <w:sectPr w:rsidR="00AC10F5" w:rsidRPr="00AC10F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18EDFF" w14:textId="77777777" w:rsidR="00FA7D2C" w:rsidRDefault="00FA7D2C" w:rsidP="0052672D">
      <w:pPr>
        <w:spacing w:after="0" w:line="240" w:lineRule="auto"/>
      </w:pPr>
      <w:r>
        <w:separator/>
      </w:r>
    </w:p>
  </w:endnote>
  <w:endnote w:type="continuationSeparator" w:id="0">
    <w:p w14:paraId="438568C0" w14:textId="77777777" w:rsidR="00FA7D2C" w:rsidRDefault="00FA7D2C" w:rsidP="005267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2259A8" w14:textId="77777777" w:rsidR="00FA7D2C" w:rsidRDefault="00FA7D2C" w:rsidP="0052672D">
      <w:pPr>
        <w:spacing w:after="0" w:line="240" w:lineRule="auto"/>
      </w:pPr>
      <w:r>
        <w:separator/>
      </w:r>
    </w:p>
  </w:footnote>
  <w:footnote w:type="continuationSeparator" w:id="0">
    <w:p w14:paraId="142A2DAF" w14:textId="77777777" w:rsidR="00FA7D2C" w:rsidRDefault="00FA7D2C" w:rsidP="0052672D">
      <w:pPr>
        <w:spacing w:after="0" w:line="240" w:lineRule="auto"/>
      </w:pPr>
      <w:r>
        <w:continuationSeparator/>
      </w:r>
    </w:p>
  </w:footnote>
  <w:footnote w:id="1">
    <w:p w14:paraId="6BF77A28" w14:textId="5BCC0960" w:rsidR="000E0451" w:rsidRPr="000E0451" w:rsidRDefault="000E0451">
      <w:pPr>
        <w:pStyle w:val="FootnoteText"/>
      </w:pPr>
      <w:bookmarkStart w:id="0" w:name="_Hlk532906520"/>
      <w:r>
        <w:rPr>
          <w:rStyle w:val="FootnoteReference"/>
        </w:rPr>
        <w:footnoteRef/>
      </w:r>
      <w:r>
        <w:t xml:space="preserve"> B. F. Roberts, ‘Where Were the Four Branches of the Mabinogi Written?’ </w:t>
      </w:r>
      <w:r>
        <w:rPr>
          <w:i/>
        </w:rPr>
        <w:t>The Individual in Celtic Literatures</w:t>
      </w:r>
      <w:r>
        <w:t>, ed. J. Nagy (</w:t>
      </w:r>
      <w:r w:rsidRPr="000E0451">
        <w:t>Dublin</w:t>
      </w:r>
      <w:r>
        <w:t>,</w:t>
      </w:r>
      <w:r w:rsidRPr="000E0451">
        <w:t xml:space="preserve"> Four Courts Press, 2001</w:t>
      </w:r>
      <w:r>
        <w:t xml:space="preserve">) </w:t>
      </w:r>
      <w:bookmarkEnd w:id="0"/>
      <w:r>
        <w:t>p. 64</w:t>
      </w:r>
    </w:p>
  </w:footnote>
  <w:footnote w:id="2">
    <w:p w14:paraId="5F278BFB" w14:textId="726B2C85" w:rsidR="00B72EA9" w:rsidRDefault="00B72EA9">
      <w:pPr>
        <w:pStyle w:val="FootnoteText"/>
      </w:pPr>
      <w:r>
        <w:rPr>
          <w:rStyle w:val="FootnoteReference"/>
        </w:rPr>
        <w:footnoteRef/>
      </w:r>
      <w:r>
        <w:t xml:space="preserve"> </w:t>
      </w:r>
      <w:r w:rsidRPr="00B72EA9">
        <w:t xml:space="preserve">S. Davies, </w:t>
      </w:r>
      <w:r w:rsidRPr="00B72EA9">
        <w:rPr>
          <w:i/>
        </w:rPr>
        <w:t>The Mabinogion</w:t>
      </w:r>
      <w:r w:rsidRPr="00B72EA9">
        <w:t xml:space="preserve"> (Oxford, Oxford University Press, 2007</w:t>
      </w:r>
      <w:r>
        <w:t>) pp. 3-21</w:t>
      </w:r>
    </w:p>
  </w:footnote>
  <w:footnote w:id="3">
    <w:p w14:paraId="3B987A91" w14:textId="1E507CA5" w:rsidR="00B72EA9" w:rsidRPr="00B72EA9" w:rsidRDefault="00B72EA9">
      <w:pPr>
        <w:pStyle w:val="FootnoteText"/>
      </w:pPr>
      <w:r>
        <w:rPr>
          <w:rStyle w:val="FootnoteReference"/>
        </w:rPr>
        <w:footnoteRef/>
      </w:r>
      <w:r>
        <w:t xml:space="preserve"> </w:t>
      </w:r>
      <w:bookmarkStart w:id="1" w:name="_Hlk532907202"/>
      <w:r>
        <w:t xml:space="preserve">Davies, </w:t>
      </w:r>
      <w:r>
        <w:rPr>
          <w:i/>
        </w:rPr>
        <w:t xml:space="preserve">The Mabinogion </w:t>
      </w:r>
      <w:r>
        <w:t xml:space="preserve">pp. </w:t>
      </w:r>
      <w:bookmarkEnd w:id="1"/>
      <w:r>
        <w:t>22-34</w:t>
      </w:r>
    </w:p>
  </w:footnote>
  <w:footnote w:id="4">
    <w:p w14:paraId="2F7943EC" w14:textId="0CB5C8BC" w:rsidR="00B72EA9" w:rsidRDefault="00B72EA9">
      <w:pPr>
        <w:pStyle w:val="FootnoteText"/>
      </w:pPr>
      <w:r>
        <w:rPr>
          <w:rStyle w:val="FootnoteReference"/>
        </w:rPr>
        <w:footnoteRef/>
      </w:r>
      <w:r>
        <w:t xml:space="preserve"> </w:t>
      </w:r>
      <w:bookmarkStart w:id="2" w:name="_Hlk532911375"/>
      <w:r w:rsidRPr="00B72EA9">
        <w:t xml:space="preserve">Davies, </w:t>
      </w:r>
      <w:r w:rsidRPr="00B72EA9">
        <w:rPr>
          <w:i/>
        </w:rPr>
        <w:t xml:space="preserve">The Mabinogion </w:t>
      </w:r>
      <w:r w:rsidRPr="00B72EA9">
        <w:t>pp</w:t>
      </w:r>
      <w:bookmarkEnd w:id="2"/>
      <w:r w:rsidRPr="00B72EA9">
        <w:t>.</w:t>
      </w:r>
      <w:r>
        <w:t xml:space="preserve"> 35-46</w:t>
      </w:r>
    </w:p>
  </w:footnote>
  <w:footnote w:id="5">
    <w:p w14:paraId="08B79AFC" w14:textId="11A36EB4" w:rsidR="00B72EA9" w:rsidRDefault="00B72EA9">
      <w:pPr>
        <w:pStyle w:val="FootnoteText"/>
      </w:pPr>
      <w:r>
        <w:rPr>
          <w:rStyle w:val="FootnoteReference"/>
        </w:rPr>
        <w:footnoteRef/>
      </w:r>
      <w:r>
        <w:t xml:space="preserve"> </w:t>
      </w:r>
      <w:r w:rsidRPr="00B72EA9">
        <w:t xml:space="preserve">Davies, </w:t>
      </w:r>
      <w:r w:rsidRPr="00B72EA9">
        <w:rPr>
          <w:i/>
        </w:rPr>
        <w:t xml:space="preserve">The Mabinogion </w:t>
      </w:r>
      <w:r w:rsidRPr="00B72EA9">
        <w:t>pp.</w:t>
      </w:r>
      <w:r>
        <w:t xml:space="preserve"> 47-64</w:t>
      </w:r>
    </w:p>
  </w:footnote>
  <w:footnote w:id="6">
    <w:p w14:paraId="299FC360" w14:textId="3FB7CE54" w:rsidR="00CB7C3A" w:rsidRDefault="00CB7C3A">
      <w:pPr>
        <w:pStyle w:val="FootnoteText"/>
      </w:pPr>
      <w:r>
        <w:rPr>
          <w:rStyle w:val="FootnoteReference"/>
        </w:rPr>
        <w:footnoteRef/>
      </w:r>
      <w:r>
        <w:t xml:space="preserve">J. </w:t>
      </w:r>
      <w:r w:rsidRPr="009847C5">
        <w:t>Colarusso,</w:t>
      </w:r>
      <w:r w:rsidR="004C2862">
        <w:t xml:space="preserve"> </w:t>
      </w:r>
      <w:r w:rsidR="00F97322">
        <w:t>’</w:t>
      </w:r>
      <w:r w:rsidRPr="00F97322">
        <w:t>Review of The Oldest Prose Literature, The Compilation of the Four Branches of the Mabinogi by Nikolai Tolstoy.</w:t>
      </w:r>
      <w:r w:rsidR="00F97322">
        <w:t xml:space="preserve">’ </w:t>
      </w:r>
      <w:r w:rsidRPr="00F97322">
        <w:rPr>
          <w:i/>
        </w:rPr>
        <w:t>Journal of Indo-European Studies</w:t>
      </w:r>
      <w:r w:rsidRPr="009847C5">
        <w:t xml:space="preserve">, 38, 3/4 (2010) </w:t>
      </w:r>
      <w:r>
        <w:t xml:space="preserve">p. </w:t>
      </w:r>
      <w:r w:rsidRPr="009847C5">
        <w:t>444</w:t>
      </w:r>
    </w:p>
  </w:footnote>
  <w:footnote w:id="7">
    <w:p w14:paraId="7120AC7C" w14:textId="09733E44" w:rsidR="00CB7C3A" w:rsidRDefault="00CB7C3A">
      <w:pPr>
        <w:pStyle w:val="FootnoteText"/>
      </w:pPr>
      <w:r>
        <w:rPr>
          <w:rStyle w:val="FootnoteReference"/>
        </w:rPr>
        <w:footnoteRef/>
      </w:r>
      <w:r>
        <w:t xml:space="preserve"> </w:t>
      </w:r>
      <w:bookmarkStart w:id="3" w:name="_Hlk532821218"/>
      <w:r>
        <w:t>A. Breeze,</w:t>
      </w:r>
      <w:r w:rsidRPr="00476D16">
        <w:rPr>
          <w:i/>
          <w:sz w:val="24"/>
        </w:rPr>
        <w:t xml:space="preserve"> </w:t>
      </w:r>
      <w:r w:rsidRPr="00476D16">
        <w:rPr>
          <w:i/>
        </w:rPr>
        <w:t xml:space="preserve">The Origins of the Four Branches of The Mabinogi </w:t>
      </w:r>
      <w:r w:rsidRPr="00476D16">
        <w:t>(Leominster, Gracewing, 2009)</w:t>
      </w:r>
      <w:r>
        <w:t xml:space="preserve"> p.</w:t>
      </w:r>
      <w:r w:rsidR="004C2862">
        <w:t xml:space="preserve"> </w:t>
      </w:r>
      <w:r>
        <w:t>1</w:t>
      </w:r>
    </w:p>
    <w:bookmarkEnd w:id="3"/>
  </w:footnote>
  <w:footnote w:id="8">
    <w:p w14:paraId="5D78D9F0" w14:textId="17031F77" w:rsidR="00CB7C3A" w:rsidRDefault="00CB7C3A">
      <w:pPr>
        <w:pStyle w:val="FootnoteText"/>
      </w:pPr>
      <w:r>
        <w:rPr>
          <w:rStyle w:val="FootnoteReference"/>
        </w:rPr>
        <w:footnoteRef/>
      </w:r>
      <w:r>
        <w:t xml:space="preserve"> </w:t>
      </w:r>
      <w:r w:rsidRPr="00476D16">
        <w:t>Breeze,</w:t>
      </w:r>
      <w:r w:rsidRPr="00476D16">
        <w:rPr>
          <w:i/>
        </w:rPr>
        <w:t xml:space="preserve"> The Origins </w:t>
      </w:r>
      <w:r w:rsidRPr="00476D16">
        <w:t>p.</w:t>
      </w:r>
      <w:r w:rsidR="004C2862">
        <w:t xml:space="preserve"> </w:t>
      </w:r>
      <w:r w:rsidRPr="00476D16">
        <w:t>1</w:t>
      </w:r>
    </w:p>
  </w:footnote>
  <w:footnote w:id="9">
    <w:p w14:paraId="7B41E755" w14:textId="2CC6DCA3" w:rsidR="00E25985" w:rsidRDefault="00E25985">
      <w:pPr>
        <w:pStyle w:val="FootnoteText"/>
      </w:pPr>
      <w:r>
        <w:rPr>
          <w:rStyle w:val="FootnoteReference"/>
        </w:rPr>
        <w:footnoteRef/>
      </w:r>
      <w:r>
        <w:t xml:space="preserve"> </w:t>
      </w:r>
      <w:r w:rsidRPr="00E25985">
        <w:t xml:space="preserve">Breeze, </w:t>
      </w:r>
      <w:r w:rsidRPr="00E25985">
        <w:rPr>
          <w:i/>
        </w:rPr>
        <w:t xml:space="preserve">Origins </w:t>
      </w:r>
      <w:r w:rsidRPr="00E25985">
        <w:t>p. 1</w:t>
      </w:r>
    </w:p>
  </w:footnote>
  <w:footnote w:id="10">
    <w:p w14:paraId="19132B73" w14:textId="14B06802" w:rsidR="00CB7C3A" w:rsidRPr="002831C4" w:rsidRDefault="00CB7C3A">
      <w:pPr>
        <w:pStyle w:val="FootnoteText"/>
      </w:pPr>
      <w:r>
        <w:rPr>
          <w:rStyle w:val="FootnoteReference"/>
        </w:rPr>
        <w:footnoteRef/>
      </w:r>
      <w:r>
        <w:t xml:space="preserve"> Breeze, </w:t>
      </w:r>
      <w:r>
        <w:rPr>
          <w:i/>
        </w:rPr>
        <w:t xml:space="preserve">Origins </w:t>
      </w:r>
      <w:r>
        <w:t>p.</w:t>
      </w:r>
      <w:r w:rsidR="004C2862">
        <w:t xml:space="preserve"> </w:t>
      </w:r>
      <w:r>
        <w:t>1</w:t>
      </w:r>
    </w:p>
  </w:footnote>
  <w:footnote w:id="11">
    <w:p w14:paraId="7125CF81" w14:textId="4F268B07" w:rsidR="00CB7C3A" w:rsidRPr="00BC1F9A" w:rsidRDefault="00CB7C3A">
      <w:pPr>
        <w:pStyle w:val="FootnoteText"/>
      </w:pPr>
      <w:r>
        <w:rPr>
          <w:rStyle w:val="FootnoteReference"/>
        </w:rPr>
        <w:footnoteRef/>
      </w:r>
      <w:r>
        <w:t xml:space="preserve"> Breeze, </w:t>
      </w:r>
      <w:r>
        <w:rPr>
          <w:i/>
        </w:rPr>
        <w:t>Origins</w:t>
      </w:r>
      <w:r>
        <w:t xml:space="preserve"> p.</w:t>
      </w:r>
      <w:r w:rsidR="004C2862">
        <w:t xml:space="preserve"> </w:t>
      </w:r>
      <w:r>
        <w:t>17</w:t>
      </w:r>
    </w:p>
  </w:footnote>
  <w:footnote w:id="12">
    <w:p w14:paraId="08C3DADB" w14:textId="7554BCE7" w:rsidR="00CB7C3A" w:rsidRPr="00F97322" w:rsidRDefault="00CB7C3A">
      <w:pPr>
        <w:pStyle w:val="FootnoteText"/>
        <w:rPr>
          <w:i/>
        </w:rPr>
      </w:pPr>
      <w:r>
        <w:rPr>
          <w:rStyle w:val="FootnoteReference"/>
        </w:rPr>
        <w:footnoteRef/>
      </w:r>
      <w:r>
        <w:t xml:space="preserve"> D. </w:t>
      </w:r>
      <w:r w:rsidRPr="00D7233F">
        <w:t xml:space="preserve">Luft, </w:t>
      </w:r>
      <w:r w:rsidR="00F97322">
        <w:t>‘</w:t>
      </w:r>
      <w:r w:rsidRPr="00F97322">
        <w:t>Review of The Origins of the 'Four Branches of the Mabinogi' by Andrew Breeze</w:t>
      </w:r>
      <w:r w:rsidRPr="00D7233F">
        <w:rPr>
          <w:i/>
        </w:rPr>
        <w:t>.</w:t>
      </w:r>
      <w:r w:rsidR="00F97322" w:rsidRPr="00F97322">
        <w:rPr>
          <w:i/>
        </w:rPr>
        <w:t xml:space="preserve">’ </w:t>
      </w:r>
      <w:r w:rsidRPr="00F97322">
        <w:rPr>
          <w:i/>
        </w:rPr>
        <w:t xml:space="preserve"> Celtic Studies Association Newsletter, </w:t>
      </w:r>
      <w:r w:rsidRPr="00F97322">
        <w:t>27, 2 (2010) p</w:t>
      </w:r>
      <w:r w:rsidR="00F97322">
        <w:t>p</w:t>
      </w:r>
      <w:r w:rsidRPr="00F97322">
        <w:t>. 9-12</w:t>
      </w:r>
    </w:p>
  </w:footnote>
  <w:footnote w:id="13">
    <w:p w14:paraId="66A9C27B" w14:textId="4E92CDBF" w:rsidR="00CB7C3A" w:rsidRDefault="00CB7C3A">
      <w:pPr>
        <w:pStyle w:val="FootnoteText"/>
      </w:pPr>
      <w:r>
        <w:rPr>
          <w:rStyle w:val="FootnoteReference"/>
        </w:rPr>
        <w:footnoteRef/>
      </w:r>
      <w:r>
        <w:t xml:space="preserve">D. </w:t>
      </w:r>
      <w:bookmarkStart w:id="4" w:name="_Hlk532837573"/>
      <w:r w:rsidRPr="00D7233F">
        <w:t xml:space="preserve">Johnston, </w:t>
      </w:r>
      <w:r w:rsidR="004C2862">
        <w:t>‘</w:t>
      </w:r>
      <w:r w:rsidRPr="004C2862">
        <w:t xml:space="preserve">Review </w:t>
      </w:r>
      <w:bookmarkEnd w:id="4"/>
      <w:r w:rsidRPr="004C2862">
        <w:t>of Medieval Welsh Literature by Andrew Breeze</w:t>
      </w:r>
      <w:r w:rsidR="004C2862">
        <w:t>’</w:t>
      </w:r>
      <w:r w:rsidRPr="00D7233F">
        <w:rPr>
          <w:i/>
        </w:rPr>
        <w:t xml:space="preserve">. </w:t>
      </w:r>
      <w:r w:rsidRPr="004C2862">
        <w:rPr>
          <w:i/>
        </w:rPr>
        <w:t>Cambrian Medieval Celtic Studies</w:t>
      </w:r>
      <w:r w:rsidRPr="00D7233F">
        <w:t>. 34 (1997)</w:t>
      </w:r>
      <w:r>
        <w:t xml:space="preserve"> p</w:t>
      </w:r>
      <w:r w:rsidR="004C2862">
        <w:t>p</w:t>
      </w:r>
      <w:r>
        <w:t>.</w:t>
      </w:r>
      <w:r w:rsidR="004C2862">
        <w:t xml:space="preserve"> </w:t>
      </w:r>
      <w:r w:rsidRPr="00D7233F">
        <w:t>122-123</w:t>
      </w:r>
    </w:p>
  </w:footnote>
  <w:footnote w:id="14">
    <w:p w14:paraId="2AAC5F1D" w14:textId="6626370D" w:rsidR="00CB7C3A" w:rsidRDefault="00CB7C3A">
      <w:pPr>
        <w:pStyle w:val="FootnoteText"/>
      </w:pPr>
      <w:r>
        <w:rPr>
          <w:rStyle w:val="FootnoteReference"/>
        </w:rPr>
        <w:footnoteRef/>
      </w:r>
      <w:r>
        <w:t xml:space="preserve"> </w:t>
      </w:r>
      <w:r w:rsidRPr="00D7233F">
        <w:t xml:space="preserve">  S. Rodway, The Where, Who, When and Why of Medieval Welsh Proses Text: Some Methodological Considerations. </w:t>
      </w:r>
      <w:r w:rsidRPr="00F97322">
        <w:rPr>
          <w:i/>
        </w:rPr>
        <w:t>Studia Celtica</w:t>
      </w:r>
      <w:r w:rsidRPr="00D7233F">
        <w:t>, Vol XLI (2007) p</w:t>
      </w:r>
      <w:r w:rsidR="004C2862">
        <w:t>p</w:t>
      </w:r>
      <w:r w:rsidRPr="00D7233F">
        <w:t xml:space="preserve">. </w:t>
      </w:r>
      <w:r>
        <w:t>48-51</w:t>
      </w:r>
    </w:p>
  </w:footnote>
  <w:footnote w:id="15">
    <w:p w14:paraId="2913CC61" w14:textId="017218EE" w:rsidR="00CB7C3A" w:rsidRDefault="00CB7C3A">
      <w:pPr>
        <w:pStyle w:val="FootnoteText"/>
      </w:pPr>
      <w:r>
        <w:rPr>
          <w:rStyle w:val="FootnoteReference"/>
        </w:rPr>
        <w:footnoteRef/>
      </w:r>
      <w:r>
        <w:t xml:space="preserve"> E. </w:t>
      </w:r>
      <w:r w:rsidRPr="00BC1F9A">
        <w:t>Gruber</w:t>
      </w:r>
      <w:r>
        <w:t xml:space="preserve">. </w:t>
      </w:r>
      <w:r w:rsidR="004C2862">
        <w:t>‘</w:t>
      </w:r>
      <w:r w:rsidRPr="004C2862">
        <w:t>Review of The Origins of the 'Four Branches of the Mabinogi' by Andrew Breeze.</w:t>
      </w:r>
      <w:r w:rsidR="004C2862">
        <w:t>’</w:t>
      </w:r>
      <w:r w:rsidRPr="00BC1F9A">
        <w:t xml:space="preserve"> </w:t>
      </w:r>
      <w:r w:rsidRPr="004C2862">
        <w:rPr>
          <w:i/>
        </w:rPr>
        <w:t>The Modern Language Review,</w:t>
      </w:r>
      <w:r w:rsidRPr="00BC1F9A">
        <w:t xml:space="preserve"> 105, 3 (2010) </w:t>
      </w:r>
      <w:r>
        <w:t>p</w:t>
      </w:r>
      <w:r w:rsidR="004C2862">
        <w:t>p</w:t>
      </w:r>
      <w:r>
        <w:t xml:space="preserve">. </w:t>
      </w:r>
      <w:r w:rsidRPr="00BC1F9A">
        <w:t>830–831</w:t>
      </w:r>
    </w:p>
  </w:footnote>
  <w:footnote w:id="16">
    <w:p w14:paraId="4A9FC470" w14:textId="1D54895E" w:rsidR="00CB7C3A" w:rsidRPr="0055674D" w:rsidRDefault="00CB7C3A">
      <w:pPr>
        <w:pStyle w:val="FootnoteText"/>
      </w:pPr>
      <w:r>
        <w:rPr>
          <w:rStyle w:val="FootnoteReference"/>
        </w:rPr>
        <w:footnoteRef/>
      </w:r>
      <w:r>
        <w:t xml:space="preserve">A. Breeze, </w:t>
      </w:r>
      <w:r>
        <w:rPr>
          <w:i/>
        </w:rPr>
        <w:t xml:space="preserve">Medieval Welsh Literature, </w:t>
      </w:r>
      <w:r>
        <w:t>(Dublin, Four Courts Publishing, 1997) p.</w:t>
      </w:r>
      <w:r w:rsidR="004C2862">
        <w:t xml:space="preserve"> </w:t>
      </w:r>
      <w:r>
        <w:t>5</w:t>
      </w:r>
    </w:p>
  </w:footnote>
  <w:footnote w:id="17">
    <w:p w14:paraId="79C909DA" w14:textId="28E61230" w:rsidR="00CB7C3A" w:rsidRDefault="00CB7C3A">
      <w:pPr>
        <w:pStyle w:val="FootnoteText"/>
      </w:pPr>
      <w:r>
        <w:rPr>
          <w:rStyle w:val="FootnoteReference"/>
        </w:rPr>
        <w:footnoteRef/>
      </w:r>
      <w:r>
        <w:t xml:space="preserve"> </w:t>
      </w:r>
      <w:r w:rsidRPr="005B243C">
        <w:t xml:space="preserve">Breeze, </w:t>
      </w:r>
      <w:r w:rsidRPr="005B243C">
        <w:rPr>
          <w:i/>
        </w:rPr>
        <w:t>Origins</w:t>
      </w:r>
      <w:r w:rsidRPr="005B243C">
        <w:t xml:space="preserve"> p.</w:t>
      </w:r>
      <w:r w:rsidR="004C2862">
        <w:t xml:space="preserve"> </w:t>
      </w:r>
      <w:r w:rsidRPr="005B243C">
        <w:t>17</w:t>
      </w:r>
    </w:p>
  </w:footnote>
  <w:footnote w:id="18">
    <w:p w14:paraId="1C66A671" w14:textId="2E9B1A1A" w:rsidR="00CB7C3A" w:rsidRDefault="00CB7C3A">
      <w:pPr>
        <w:pStyle w:val="FootnoteText"/>
      </w:pPr>
      <w:r>
        <w:rPr>
          <w:rStyle w:val="FootnoteReference"/>
        </w:rPr>
        <w:footnoteRef/>
      </w:r>
      <w:r>
        <w:t xml:space="preserve"> </w:t>
      </w:r>
      <w:bookmarkStart w:id="5" w:name="_Hlk532829698"/>
      <w:r w:rsidRPr="005B243C">
        <w:t>Breeze,</w:t>
      </w:r>
      <w:r w:rsidRPr="005B243C">
        <w:rPr>
          <w:i/>
        </w:rPr>
        <w:t xml:space="preserve"> Origins</w:t>
      </w:r>
      <w:r w:rsidRPr="005B243C">
        <w:t xml:space="preserve"> p</w:t>
      </w:r>
      <w:bookmarkEnd w:id="5"/>
      <w:r w:rsidR="004C2862">
        <w:t>p</w:t>
      </w:r>
      <w:r>
        <w:t>. 24-25</w:t>
      </w:r>
    </w:p>
  </w:footnote>
  <w:footnote w:id="19">
    <w:p w14:paraId="7F872423" w14:textId="4FF87865" w:rsidR="00CB7C3A" w:rsidRDefault="00CB7C3A">
      <w:pPr>
        <w:pStyle w:val="FootnoteText"/>
      </w:pPr>
      <w:r>
        <w:rPr>
          <w:rStyle w:val="FootnoteReference"/>
        </w:rPr>
        <w:footnoteRef/>
      </w:r>
      <w:r>
        <w:t xml:space="preserve"> C. </w:t>
      </w:r>
      <w:r w:rsidRPr="0094253B">
        <w:t xml:space="preserve">Dickens, </w:t>
      </w:r>
      <w:r w:rsidRPr="0094253B">
        <w:rPr>
          <w:i/>
        </w:rPr>
        <w:t>Oliver Twist</w:t>
      </w:r>
      <w:r w:rsidRPr="0094253B">
        <w:t xml:space="preserve"> (London, Richard Bentley OCLC, 1839)</w:t>
      </w:r>
    </w:p>
  </w:footnote>
  <w:footnote w:id="20">
    <w:p w14:paraId="4E2E8DB9" w14:textId="1A0DD45A" w:rsidR="00CB7C3A" w:rsidRDefault="00CB7C3A">
      <w:pPr>
        <w:pStyle w:val="FootnoteText"/>
      </w:pPr>
      <w:r>
        <w:rPr>
          <w:rStyle w:val="FootnoteReference"/>
        </w:rPr>
        <w:footnoteRef/>
      </w:r>
      <w:r>
        <w:t xml:space="preserve"> J.K. </w:t>
      </w:r>
      <w:r w:rsidRPr="0094253B">
        <w:t xml:space="preserve">Rowling, </w:t>
      </w:r>
      <w:r w:rsidRPr="0094253B">
        <w:rPr>
          <w:i/>
        </w:rPr>
        <w:t xml:space="preserve">Harry Potter and the Philosopher’s Stone </w:t>
      </w:r>
      <w:r w:rsidRPr="0094253B">
        <w:t>(London, Bloomsbury Publishing PLC, 1997)</w:t>
      </w:r>
    </w:p>
  </w:footnote>
  <w:footnote w:id="21">
    <w:p w14:paraId="26077E67" w14:textId="498FB380" w:rsidR="00CB7C3A" w:rsidRDefault="00CB7C3A">
      <w:pPr>
        <w:pStyle w:val="FootnoteText"/>
      </w:pPr>
      <w:r>
        <w:rPr>
          <w:rStyle w:val="FootnoteReference"/>
        </w:rPr>
        <w:footnoteRef/>
      </w:r>
      <w:r>
        <w:t xml:space="preserve"> </w:t>
      </w:r>
      <w:bookmarkStart w:id="6" w:name="_Hlk532834553"/>
      <w:r w:rsidRPr="00122E8D">
        <w:t>Breeze,</w:t>
      </w:r>
      <w:r w:rsidRPr="00122E8D">
        <w:rPr>
          <w:i/>
        </w:rPr>
        <w:t xml:space="preserve"> Origins</w:t>
      </w:r>
      <w:r w:rsidRPr="00122E8D">
        <w:t xml:space="preserve"> </w:t>
      </w:r>
      <w:bookmarkEnd w:id="6"/>
      <w:r w:rsidRPr="00122E8D">
        <w:t>p</w:t>
      </w:r>
      <w:r w:rsidR="004C2862">
        <w:t xml:space="preserve">p. </w:t>
      </w:r>
      <w:r>
        <w:t>18-19</w:t>
      </w:r>
    </w:p>
  </w:footnote>
  <w:footnote w:id="22">
    <w:p w14:paraId="47170702" w14:textId="7133DD7A" w:rsidR="00CB7C3A" w:rsidRPr="009A159E" w:rsidRDefault="00CB7C3A">
      <w:pPr>
        <w:pStyle w:val="FootnoteText"/>
      </w:pPr>
      <w:r>
        <w:rPr>
          <w:rStyle w:val="FootnoteReference"/>
        </w:rPr>
        <w:footnoteRef/>
      </w:r>
      <w:r w:rsidRPr="009A159E">
        <w:t>Breeze,</w:t>
      </w:r>
      <w:r w:rsidRPr="009A159E">
        <w:rPr>
          <w:i/>
        </w:rPr>
        <w:t xml:space="preserve"> Origins</w:t>
      </w:r>
      <w:r>
        <w:rPr>
          <w:i/>
        </w:rPr>
        <w:t xml:space="preserve"> </w:t>
      </w:r>
      <w:r>
        <w:t>p</w:t>
      </w:r>
      <w:r w:rsidR="004C2862">
        <w:t>p</w:t>
      </w:r>
      <w:r>
        <w:t>.</w:t>
      </w:r>
      <w:r w:rsidR="004C2862">
        <w:t xml:space="preserve"> </w:t>
      </w:r>
      <w:r>
        <w:t>19-20</w:t>
      </w:r>
    </w:p>
  </w:footnote>
  <w:footnote w:id="23">
    <w:p w14:paraId="5B31D5CA" w14:textId="2674B16F" w:rsidR="00CB7C3A" w:rsidRPr="009A159E" w:rsidRDefault="00CB7C3A">
      <w:pPr>
        <w:pStyle w:val="FootnoteText"/>
      </w:pPr>
      <w:r>
        <w:rPr>
          <w:rStyle w:val="FootnoteReference"/>
        </w:rPr>
        <w:footnoteRef/>
      </w:r>
      <w:r>
        <w:t xml:space="preserve"> </w:t>
      </w:r>
      <w:bookmarkStart w:id="7" w:name="_Hlk532835054"/>
      <w:r w:rsidRPr="009A159E">
        <w:t>Breeze,</w:t>
      </w:r>
      <w:r w:rsidRPr="009A159E">
        <w:rPr>
          <w:i/>
        </w:rPr>
        <w:t xml:space="preserve"> Origins</w:t>
      </w:r>
      <w:r>
        <w:rPr>
          <w:i/>
        </w:rPr>
        <w:t xml:space="preserve"> </w:t>
      </w:r>
      <w:r>
        <w:t>p.</w:t>
      </w:r>
      <w:r w:rsidR="004C2862">
        <w:t xml:space="preserve"> </w:t>
      </w:r>
      <w:r>
        <w:t>20</w:t>
      </w:r>
      <w:bookmarkEnd w:id="7"/>
    </w:p>
  </w:footnote>
  <w:footnote w:id="24">
    <w:p w14:paraId="50BE5BA5" w14:textId="37475DF0" w:rsidR="00CB7C3A" w:rsidRDefault="00CB7C3A">
      <w:pPr>
        <w:pStyle w:val="FootnoteText"/>
      </w:pPr>
      <w:r>
        <w:rPr>
          <w:rStyle w:val="FootnoteReference"/>
        </w:rPr>
        <w:footnoteRef/>
      </w:r>
      <w:r>
        <w:t xml:space="preserve"> </w:t>
      </w:r>
      <w:bookmarkStart w:id="8" w:name="_Hlk532836051"/>
      <w:r w:rsidRPr="005B727B">
        <w:t>Breeze,</w:t>
      </w:r>
      <w:r w:rsidRPr="005B727B">
        <w:rPr>
          <w:i/>
        </w:rPr>
        <w:t xml:space="preserve"> Origins </w:t>
      </w:r>
      <w:r w:rsidRPr="005B727B">
        <w:t>p.</w:t>
      </w:r>
      <w:r w:rsidR="004C2862">
        <w:t xml:space="preserve"> </w:t>
      </w:r>
      <w:r w:rsidRPr="005B727B">
        <w:t>20</w:t>
      </w:r>
      <w:bookmarkEnd w:id="8"/>
    </w:p>
  </w:footnote>
  <w:footnote w:id="25">
    <w:p w14:paraId="019FCE1F" w14:textId="411914C6" w:rsidR="00CB7C3A" w:rsidRDefault="00CB7C3A">
      <w:pPr>
        <w:pStyle w:val="FootnoteText"/>
      </w:pPr>
      <w:r>
        <w:rPr>
          <w:rStyle w:val="FootnoteReference"/>
        </w:rPr>
        <w:footnoteRef/>
      </w:r>
      <w:r>
        <w:t xml:space="preserve"> </w:t>
      </w:r>
      <w:r w:rsidRPr="005B727B">
        <w:t>Breeze,</w:t>
      </w:r>
      <w:r w:rsidRPr="005B727B">
        <w:rPr>
          <w:i/>
        </w:rPr>
        <w:t xml:space="preserve"> Origins </w:t>
      </w:r>
      <w:r w:rsidRPr="005B727B">
        <w:t>p</w:t>
      </w:r>
      <w:r w:rsidR="004C2862">
        <w:t>p</w:t>
      </w:r>
      <w:r w:rsidRPr="005B727B">
        <w:t>.</w:t>
      </w:r>
      <w:r w:rsidR="004C2862">
        <w:t xml:space="preserve"> </w:t>
      </w:r>
      <w:r w:rsidRPr="005B727B">
        <w:t>20</w:t>
      </w:r>
      <w:r>
        <w:t>-25</w:t>
      </w:r>
    </w:p>
  </w:footnote>
  <w:footnote w:id="26">
    <w:p w14:paraId="2F413792" w14:textId="54FD85AE" w:rsidR="00CB7C3A" w:rsidRPr="005B727B" w:rsidRDefault="00CB7C3A">
      <w:pPr>
        <w:pStyle w:val="FootnoteText"/>
      </w:pPr>
      <w:r>
        <w:rPr>
          <w:rStyle w:val="FootnoteReference"/>
        </w:rPr>
        <w:footnoteRef/>
      </w:r>
      <w:r>
        <w:t xml:space="preserve"> </w:t>
      </w:r>
      <w:bookmarkStart w:id="9" w:name="_Hlk532836261"/>
      <w:r w:rsidRPr="005B727B">
        <w:t xml:space="preserve">Luft, </w:t>
      </w:r>
      <w:r w:rsidRPr="004C2862">
        <w:t>Review</w:t>
      </w:r>
      <w:r>
        <w:rPr>
          <w:i/>
        </w:rPr>
        <w:t xml:space="preserve"> </w:t>
      </w:r>
      <w:r>
        <w:t>p.</w:t>
      </w:r>
      <w:r w:rsidR="004C2862">
        <w:t xml:space="preserve"> </w:t>
      </w:r>
      <w:r>
        <w:t>10</w:t>
      </w:r>
      <w:bookmarkEnd w:id="9"/>
    </w:p>
  </w:footnote>
  <w:footnote w:id="27">
    <w:p w14:paraId="5538E55B" w14:textId="46C27A37" w:rsidR="00CB7C3A" w:rsidRDefault="00CB7C3A">
      <w:pPr>
        <w:pStyle w:val="FootnoteText"/>
      </w:pPr>
      <w:r>
        <w:rPr>
          <w:rStyle w:val="FootnoteReference"/>
        </w:rPr>
        <w:footnoteRef/>
      </w:r>
      <w:r>
        <w:t xml:space="preserve"> </w:t>
      </w:r>
      <w:r w:rsidR="004C2862">
        <w:t xml:space="preserve">R. Sharp, J. Rubin Davis, </w:t>
      </w:r>
      <w:r w:rsidRPr="00EF022D">
        <w:t>Rhygyfarch</w:t>
      </w:r>
      <w:r w:rsidR="004C2862">
        <w:t>’s</w:t>
      </w:r>
      <w:r w:rsidRPr="00EF022D">
        <w:t xml:space="preserve"> Life of St. David, </w:t>
      </w:r>
      <w:r w:rsidRPr="004C2862">
        <w:rPr>
          <w:i/>
        </w:rPr>
        <w:t>St David: Cult, Church and Nation</w:t>
      </w:r>
      <w:r w:rsidRPr="00EF022D">
        <w:t xml:space="preserve">, ed. by Jonathan M. Wooding and J. Wyn Evans (Woodbridge: Boydell, 2007). </w:t>
      </w:r>
      <w:r>
        <w:t>p</w:t>
      </w:r>
      <w:r w:rsidR="004C2862">
        <w:t>p</w:t>
      </w:r>
      <w:r>
        <w:t>.</w:t>
      </w:r>
      <w:r w:rsidR="004C2862">
        <w:t xml:space="preserve"> </w:t>
      </w:r>
      <w:r w:rsidRPr="00EF022D">
        <w:t>107-155</w:t>
      </w:r>
    </w:p>
  </w:footnote>
  <w:footnote w:id="28">
    <w:p w14:paraId="617B26DC" w14:textId="0F81A49C" w:rsidR="008B5F36" w:rsidRDefault="008B5F36">
      <w:pPr>
        <w:pStyle w:val="FootnoteText"/>
      </w:pPr>
      <w:r>
        <w:rPr>
          <w:rStyle w:val="FootnoteReference"/>
        </w:rPr>
        <w:footnoteRef/>
      </w:r>
      <w:r>
        <w:t xml:space="preserve"> </w:t>
      </w:r>
      <w:r w:rsidRPr="008B5F36">
        <w:t xml:space="preserve">Rodway, </w:t>
      </w:r>
      <w:r w:rsidRPr="008B5F36">
        <w:rPr>
          <w:i/>
        </w:rPr>
        <w:t xml:space="preserve">Medieval Welsh Proses </w:t>
      </w:r>
      <w:r w:rsidRPr="008B5F36">
        <w:t>p</w:t>
      </w:r>
      <w:r>
        <w:t>. 50</w:t>
      </w:r>
    </w:p>
  </w:footnote>
  <w:footnote w:id="29">
    <w:p w14:paraId="67AE6A59" w14:textId="3B3FF7C1" w:rsidR="00CB7C3A" w:rsidRDefault="00CB7C3A">
      <w:pPr>
        <w:pStyle w:val="FootnoteText"/>
      </w:pPr>
      <w:r>
        <w:rPr>
          <w:rStyle w:val="FootnoteReference"/>
        </w:rPr>
        <w:footnoteRef/>
      </w:r>
      <w:r>
        <w:t xml:space="preserve"> </w:t>
      </w:r>
      <w:r w:rsidRPr="00EF022D">
        <w:t>Breeze,</w:t>
      </w:r>
      <w:r w:rsidRPr="00EF022D">
        <w:rPr>
          <w:i/>
        </w:rPr>
        <w:t xml:space="preserve"> Origins </w:t>
      </w:r>
      <w:r w:rsidRPr="00EF022D">
        <w:t>p.</w:t>
      </w:r>
      <w:r w:rsidR="004C2862">
        <w:t xml:space="preserve"> </w:t>
      </w:r>
      <w:r w:rsidRPr="00EF022D">
        <w:t>2</w:t>
      </w:r>
      <w:r>
        <w:t>1</w:t>
      </w:r>
    </w:p>
  </w:footnote>
  <w:footnote w:id="30">
    <w:p w14:paraId="449DD8A8" w14:textId="494BFC0D" w:rsidR="00CB7C3A" w:rsidRDefault="00CB7C3A">
      <w:pPr>
        <w:pStyle w:val="FootnoteText"/>
      </w:pPr>
      <w:r>
        <w:rPr>
          <w:rStyle w:val="FootnoteReference"/>
        </w:rPr>
        <w:footnoteRef/>
      </w:r>
      <w:r>
        <w:t xml:space="preserve"> </w:t>
      </w:r>
      <w:r w:rsidRPr="00EF022D">
        <w:t>Breeze,</w:t>
      </w:r>
      <w:r w:rsidRPr="00EF022D">
        <w:rPr>
          <w:i/>
        </w:rPr>
        <w:t xml:space="preserve"> Origins </w:t>
      </w:r>
      <w:r w:rsidRPr="00EF022D">
        <w:t>p</w:t>
      </w:r>
      <w:r w:rsidR="004C2862">
        <w:t>p</w:t>
      </w:r>
      <w:r w:rsidRPr="00EF022D">
        <w:t>.</w:t>
      </w:r>
      <w:r w:rsidR="004C2862">
        <w:t xml:space="preserve"> </w:t>
      </w:r>
      <w:r w:rsidRPr="00EF022D">
        <w:t>2</w:t>
      </w:r>
      <w:r>
        <w:t>1-22</w:t>
      </w:r>
    </w:p>
  </w:footnote>
  <w:footnote w:id="31">
    <w:p w14:paraId="52AA878A" w14:textId="4C6DF340" w:rsidR="00CB7C3A" w:rsidRDefault="00CB7C3A">
      <w:pPr>
        <w:pStyle w:val="FootnoteText"/>
      </w:pPr>
      <w:r>
        <w:rPr>
          <w:rStyle w:val="FootnoteReference"/>
        </w:rPr>
        <w:footnoteRef/>
      </w:r>
      <w:r>
        <w:t xml:space="preserve"> </w:t>
      </w:r>
      <w:r w:rsidRPr="00EF022D">
        <w:t xml:space="preserve">Luft, </w:t>
      </w:r>
      <w:r w:rsidRPr="004C2862">
        <w:t>Review</w:t>
      </w:r>
      <w:r w:rsidRPr="00EF022D">
        <w:rPr>
          <w:i/>
        </w:rPr>
        <w:t xml:space="preserve"> </w:t>
      </w:r>
      <w:r w:rsidRPr="00EF022D">
        <w:t>p.</w:t>
      </w:r>
      <w:r w:rsidR="004C2862">
        <w:t xml:space="preserve"> </w:t>
      </w:r>
      <w:r w:rsidRPr="00EF022D">
        <w:t>10</w:t>
      </w:r>
    </w:p>
  </w:footnote>
  <w:footnote w:id="32">
    <w:p w14:paraId="67B87182" w14:textId="1FB7D830" w:rsidR="00CB7C3A" w:rsidRPr="00C203C9" w:rsidRDefault="00CB7C3A">
      <w:pPr>
        <w:pStyle w:val="FootnoteText"/>
      </w:pPr>
      <w:r>
        <w:rPr>
          <w:rStyle w:val="FootnoteReference"/>
        </w:rPr>
        <w:footnoteRef/>
      </w:r>
      <w:r>
        <w:t xml:space="preserve"> </w:t>
      </w:r>
      <w:bookmarkStart w:id="10" w:name="_Hlk532841477"/>
      <w:r w:rsidRPr="00C203C9">
        <w:t xml:space="preserve">Johnston, </w:t>
      </w:r>
      <w:r w:rsidRPr="004C2862">
        <w:t>Review</w:t>
      </w:r>
      <w:r>
        <w:rPr>
          <w:i/>
        </w:rPr>
        <w:t xml:space="preserve"> </w:t>
      </w:r>
      <w:r>
        <w:t>p</w:t>
      </w:r>
      <w:r w:rsidR="004C2862">
        <w:t>p</w:t>
      </w:r>
      <w:r>
        <w:t>. 122-123</w:t>
      </w:r>
      <w:bookmarkEnd w:id="10"/>
    </w:p>
  </w:footnote>
  <w:footnote w:id="33">
    <w:p w14:paraId="4A5B90A7" w14:textId="6AED5FFC" w:rsidR="00CB7C3A" w:rsidRDefault="00CB7C3A">
      <w:pPr>
        <w:pStyle w:val="FootnoteText"/>
      </w:pPr>
      <w:r>
        <w:rPr>
          <w:rStyle w:val="FootnoteReference"/>
        </w:rPr>
        <w:footnoteRef/>
      </w:r>
      <w:r>
        <w:t xml:space="preserve"> </w:t>
      </w:r>
      <w:bookmarkStart w:id="11" w:name="_Hlk532837270"/>
      <w:r w:rsidRPr="00BB030A">
        <w:t>Breeze,</w:t>
      </w:r>
      <w:r w:rsidRPr="004C2862">
        <w:t xml:space="preserve"> Origins</w:t>
      </w:r>
      <w:r w:rsidRPr="00BB030A">
        <w:rPr>
          <w:i/>
        </w:rPr>
        <w:t xml:space="preserve"> </w:t>
      </w:r>
      <w:r w:rsidRPr="00BB030A">
        <w:t>p.</w:t>
      </w:r>
      <w:r w:rsidR="004C2862">
        <w:t xml:space="preserve"> </w:t>
      </w:r>
      <w:r w:rsidRPr="00BB030A">
        <w:t>2</w:t>
      </w:r>
      <w:bookmarkEnd w:id="11"/>
      <w:r w:rsidRPr="00BB030A">
        <w:t>2</w:t>
      </w:r>
    </w:p>
  </w:footnote>
  <w:footnote w:id="34">
    <w:p w14:paraId="1E573D24" w14:textId="2EEBF430" w:rsidR="00CB7C3A" w:rsidRPr="00BB030A" w:rsidRDefault="00CB7C3A">
      <w:pPr>
        <w:pStyle w:val="FootnoteText"/>
      </w:pPr>
      <w:r>
        <w:rPr>
          <w:rStyle w:val="FootnoteReference"/>
        </w:rPr>
        <w:footnoteRef/>
      </w:r>
      <w:r>
        <w:t xml:space="preserve"> </w:t>
      </w:r>
      <w:bookmarkStart w:id="12" w:name="_Hlk532836697"/>
      <w:r w:rsidR="00B72EA9" w:rsidRPr="00B72EA9">
        <w:t xml:space="preserve">Davies, </w:t>
      </w:r>
      <w:r w:rsidR="00B72EA9" w:rsidRPr="00B72EA9">
        <w:rPr>
          <w:i/>
        </w:rPr>
        <w:t xml:space="preserve">The Mabinogion </w:t>
      </w:r>
      <w:r>
        <w:t>p.</w:t>
      </w:r>
      <w:r w:rsidR="004C2862">
        <w:t xml:space="preserve"> </w:t>
      </w:r>
      <w:r>
        <w:t>16</w:t>
      </w:r>
    </w:p>
    <w:bookmarkEnd w:id="12"/>
  </w:footnote>
  <w:footnote w:id="35">
    <w:p w14:paraId="35DBB5D7" w14:textId="6CC837C1" w:rsidR="00CB7C3A" w:rsidRDefault="00CB7C3A">
      <w:pPr>
        <w:pStyle w:val="FootnoteText"/>
      </w:pPr>
      <w:bookmarkStart w:id="13" w:name="_Hlk532837965"/>
      <w:r>
        <w:rPr>
          <w:rStyle w:val="FootnoteReference"/>
        </w:rPr>
        <w:footnoteRef/>
      </w:r>
      <w:r>
        <w:t xml:space="preserve"> </w:t>
      </w:r>
      <w:r w:rsidRPr="003F650C">
        <w:t>Breeze,</w:t>
      </w:r>
      <w:r w:rsidRPr="003F650C">
        <w:rPr>
          <w:i/>
        </w:rPr>
        <w:t xml:space="preserve"> Origins </w:t>
      </w:r>
      <w:r w:rsidRPr="003F650C">
        <w:t>p.</w:t>
      </w:r>
      <w:r w:rsidR="004C2862">
        <w:t xml:space="preserve"> </w:t>
      </w:r>
      <w:r w:rsidRPr="003F650C">
        <w:t>2</w:t>
      </w:r>
      <w:bookmarkEnd w:id="13"/>
      <w:r>
        <w:t>3</w:t>
      </w:r>
    </w:p>
  </w:footnote>
  <w:footnote w:id="36">
    <w:p w14:paraId="7FAFFAD6" w14:textId="0A47411F" w:rsidR="00CB7C3A" w:rsidRDefault="00CB7C3A">
      <w:pPr>
        <w:pStyle w:val="FootnoteText"/>
      </w:pPr>
      <w:r>
        <w:rPr>
          <w:rStyle w:val="FootnoteReference"/>
        </w:rPr>
        <w:footnoteRef/>
      </w:r>
      <w:r w:rsidRPr="00297863">
        <w:t xml:space="preserve"> Breeze,</w:t>
      </w:r>
      <w:r w:rsidRPr="00297863">
        <w:rPr>
          <w:i/>
        </w:rPr>
        <w:t xml:space="preserve"> Origins </w:t>
      </w:r>
      <w:r w:rsidRPr="00297863">
        <w:t>p</w:t>
      </w:r>
      <w:r w:rsidR="004C2862">
        <w:t>p</w:t>
      </w:r>
      <w:r w:rsidRPr="00297863">
        <w:t>.</w:t>
      </w:r>
      <w:r w:rsidR="004C2862">
        <w:t xml:space="preserve"> </w:t>
      </w:r>
      <w:r w:rsidRPr="00297863">
        <w:t>2</w:t>
      </w:r>
      <w:r>
        <w:t>5-26</w:t>
      </w:r>
    </w:p>
  </w:footnote>
  <w:footnote w:id="37">
    <w:p w14:paraId="582506DD" w14:textId="2DEE36EC" w:rsidR="00CB7C3A" w:rsidRPr="00CE05D7" w:rsidRDefault="00CB7C3A">
      <w:pPr>
        <w:pStyle w:val="FootnoteText"/>
      </w:pPr>
      <w:r>
        <w:rPr>
          <w:rStyle w:val="FootnoteReference"/>
        </w:rPr>
        <w:footnoteRef/>
      </w:r>
      <w:r>
        <w:t xml:space="preserve"> Luft, </w:t>
      </w:r>
      <w:r w:rsidRPr="004C2862">
        <w:t>Review</w:t>
      </w:r>
      <w:r>
        <w:rPr>
          <w:i/>
        </w:rPr>
        <w:t xml:space="preserve"> </w:t>
      </w:r>
      <w:r>
        <w:t>p.</w:t>
      </w:r>
      <w:r w:rsidR="004C2862">
        <w:t xml:space="preserve"> </w:t>
      </w:r>
      <w:r>
        <w:t>10</w:t>
      </w:r>
    </w:p>
  </w:footnote>
  <w:footnote w:id="38">
    <w:p w14:paraId="486AE097" w14:textId="349CD63C" w:rsidR="004C2855" w:rsidRDefault="004C2855">
      <w:pPr>
        <w:pStyle w:val="FootnoteText"/>
      </w:pPr>
      <w:r>
        <w:rPr>
          <w:rStyle w:val="FootnoteReference"/>
        </w:rPr>
        <w:footnoteRef/>
      </w:r>
      <w:r>
        <w:t xml:space="preserve"> </w:t>
      </w:r>
      <w:r w:rsidRPr="004C2855">
        <w:t>Breeze,</w:t>
      </w:r>
      <w:r w:rsidRPr="004C2855">
        <w:rPr>
          <w:i/>
        </w:rPr>
        <w:t xml:space="preserve"> Origins </w:t>
      </w:r>
      <w:r w:rsidRPr="004C2855">
        <w:t>pp. 26-27</w:t>
      </w:r>
    </w:p>
  </w:footnote>
  <w:footnote w:id="39">
    <w:p w14:paraId="5C37BF6A" w14:textId="62928ED0" w:rsidR="00CB7C3A" w:rsidRDefault="00CB7C3A">
      <w:pPr>
        <w:pStyle w:val="FootnoteText"/>
      </w:pPr>
      <w:r>
        <w:rPr>
          <w:rStyle w:val="FootnoteReference"/>
        </w:rPr>
        <w:footnoteRef/>
      </w:r>
      <w:r>
        <w:t xml:space="preserve"> </w:t>
      </w:r>
      <w:r w:rsidRPr="005F7725">
        <w:t>Breeze,</w:t>
      </w:r>
      <w:r w:rsidRPr="005F7725">
        <w:rPr>
          <w:i/>
        </w:rPr>
        <w:t xml:space="preserve"> Origins </w:t>
      </w:r>
      <w:r w:rsidRPr="005F7725">
        <w:t>p</w:t>
      </w:r>
      <w:r w:rsidR="004C2862">
        <w:t>p</w:t>
      </w:r>
      <w:r w:rsidRPr="005F7725">
        <w:t>.</w:t>
      </w:r>
      <w:r w:rsidR="004C2862">
        <w:t xml:space="preserve"> </w:t>
      </w:r>
      <w:r w:rsidRPr="005F7725">
        <w:t>2</w:t>
      </w:r>
      <w:r>
        <w:t>6-27</w:t>
      </w:r>
    </w:p>
  </w:footnote>
  <w:footnote w:id="40">
    <w:p w14:paraId="3521F670" w14:textId="10B082B3" w:rsidR="00CB7C3A" w:rsidRDefault="00CB7C3A">
      <w:pPr>
        <w:pStyle w:val="FootnoteText"/>
      </w:pPr>
      <w:r>
        <w:rPr>
          <w:rStyle w:val="FootnoteReference"/>
        </w:rPr>
        <w:footnoteRef/>
      </w:r>
      <w:r>
        <w:t xml:space="preserve"> </w:t>
      </w:r>
      <w:r w:rsidRPr="005A3177">
        <w:t>Breeze,</w:t>
      </w:r>
      <w:r w:rsidRPr="005A3177">
        <w:rPr>
          <w:i/>
        </w:rPr>
        <w:t xml:space="preserve"> Origins </w:t>
      </w:r>
      <w:r w:rsidRPr="005A3177">
        <w:t>p.</w:t>
      </w:r>
      <w:r w:rsidR="004C2862">
        <w:t xml:space="preserve"> </w:t>
      </w:r>
      <w:r w:rsidRPr="005A3177">
        <w:t>2</w:t>
      </w:r>
      <w:r>
        <w:t>7</w:t>
      </w:r>
    </w:p>
  </w:footnote>
  <w:footnote w:id="41">
    <w:p w14:paraId="7046B9FD" w14:textId="4090B3C8" w:rsidR="00CB7C3A" w:rsidRDefault="00CB7C3A">
      <w:pPr>
        <w:pStyle w:val="FootnoteText"/>
      </w:pPr>
      <w:r>
        <w:rPr>
          <w:rStyle w:val="FootnoteReference"/>
        </w:rPr>
        <w:footnoteRef/>
      </w:r>
      <w:r>
        <w:t xml:space="preserve"> </w:t>
      </w:r>
      <w:r w:rsidRPr="005A3177">
        <w:t>Breeze,</w:t>
      </w:r>
      <w:r w:rsidRPr="005A3177">
        <w:rPr>
          <w:i/>
        </w:rPr>
        <w:t xml:space="preserve"> Origins </w:t>
      </w:r>
      <w:r w:rsidRPr="005A3177">
        <w:t>p.</w:t>
      </w:r>
      <w:r w:rsidR="004C2862">
        <w:t xml:space="preserve"> </w:t>
      </w:r>
      <w:r w:rsidRPr="005A3177">
        <w:t>2</w:t>
      </w:r>
      <w:r>
        <w:t>7</w:t>
      </w:r>
    </w:p>
  </w:footnote>
  <w:footnote w:id="42">
    <w:p w14:paraId="3F74CD21" w14:textId="69FC3385" w:rsidR="00CB7C3A" w:rsidRDefault="00CB7C3A">
      <w:pPr>
        <w:pStyle w:val="FootnoteText"/>
      </w:pPr>
      <w:r>
        <w:rPr>
          <w:rStyle w:val="FootnoteReference"/>
        </w:rPr>
        <w:footnoteRef/>
      </w:r>
      <w:r>
        <w:t xml:space="preserve"> </w:t>
      </w:r>
      <w:r w:rsidRPr="00CB7C3A">
        <w:t>Breeze,</w:t>
      </w:r>
      <w:r w:rsidRPr="00CB7C3A">
        <w:rPr>
          <w:i/>
        </w:rPr>
        <w:t xml:space="preserve"> Origins </w:t>
      </w:r>
      <w:r w:rsidRPr="00CB7C3A">
        <w:t>p.</w:t>
      </w:r>
      <w:r w:rsidR="004C2862">
        <w:t xml:space="preserve"> </w:t>
      </w:r>
      <w:r w:rsidRPr="00CB7C3A">
        <w:t>2</w:t>
      </w:r>
      <w:r>
        <w:t>8</w:t>
      </w:r>
    </w:p>
  </w:footnote>
  <w:footnote w:id="43">
    <w:p w14:paraId="52A8FDA0" w14:textId="4B30CDDD" w:rsidR="00A81C7C" w:rsidRDefault="00A81C7C">
      <w:pPr>
        <w:pStyle w:val="FootnoteText"/>
      </w:pPr>
      <w:r>
        <w:rPr>
          <w:rStyle w:val="FootnoteReference"/>
        </w:rPr>
        <w:footnoteRef/>
      </w:r>
      <w:r>
        <w:t xml:space="preserve"> </w:t>
      </w:r>
      <w:r w:rsidR="0080384E" w:rsidRPr="0080384E">
        <w:t>Breeze,</w:t>
      </w:r>
      <w:r w:rsidR="0080384E" w:rsidRPr="0080384E">
        <w:rPr>
          <w:i/>
        </w:rPr>
        <w:t xml:space="preserve"> Origins </w:t>
      </w:r>
      <w:r w:rsidR="0080384E" w:rsidRPr="0080384E">
        <w:t>p.</w:t>
      </w:r>
      <w:r w:rsidR="004C2862">
        <w:t xml:space="preserve"> </w:t>
      </w:r>
      <w:r w:rsidR="0080384E" w:rsidRPr="0080384E">
        <w:t>2</w:t>
      </w:r>
      <w:r>
        <w:t>8</w:t>
      </w:r>
    </w:p>
  </w:footnote>
  <w:footnote w:id="44">
    <w:p w14:paraId="4C15D3E4" w14:textId="1339D63E" w:rsidR="0080384E" w:rsidRDefault="0080384E">
      <w:pPr>
        <w:pStyle w:val="FootnoteText"/>
      </w:pPr>
      <w:r>
        <w:rPr>
          <w:rStyle w:val="FootnoteReference"/>
        </w:rPr>
        <w:footnoteRef/>
      </w:r>
      <w:r>
        <w:t xml:space="preserve"> </w:t>
      </w:r>
      <w:r w:rsidRPr="0080384E">
        <w:t>Breeze,</w:t>
      </w:r>
      <w:r w:rsidRPr="0080384E">
        <w:rPr>
          <w:i/>
        </w:rPr>
        <w:t xml:space="preserve"> Origins </w:t>
      </w:r>
      <w:r w:rsidRPr="0080384E">
        <w:t>p</w:t>
      </w:r>
      <w:r w:rsidR="004C2862">
        <w:t>p</w:t>
      </w:r>
      <w:r w:rsidRPr="0080384E">
        <w:t>.</w:t>
      </w:r>
      <w:r w:rsidR="004C2862">
        <w:t xml:space="preserve"> </w:t>
      </w:r>
      <w:r w:rsidRPr="0080384E">
        <w:t>2</w:t>
      </w:r>
      <w:r>
        <w:t>8-29</w:t>
      </w:r>
    </w:p>
  </w:footnote>
  <w:footnote w:id="45">
    <w:p w14:paraId="55A38FC0" w14:textId="3C237800" w:rsidR="0080384E" w:rsidRDefault="0080384E">
      <w:pPr>
        <w:pStyle w:val="FootnoteText"/>
      </w:pPr>
      <w:r>
        <w:rPr>
          <w:rStyle w:val="FootnoteReference"/>
        </w:rPr>
        <w:footnoteRef/>
      </w:r>
      <w:r>
        <w:t xml:space="preserve"> </w:t>
      </w:r>
      <w:r w:rsidRPr="0080384E">
        <w:t>Breeze,</w:t>
      </w:r>
      <w:r w:rsidRPr="0080384E">
        <w:rPr>
          <w:i/>
        </w:rPr>
        <w:t xml:space="preserve"> Origins </w:t>
      </w:r>
      <w:r w:rsidRPr="0080384E">
        <w:t>p</w:t>
      </w:r>
      <w:r w:rsidR="004C2862">
        <w:t>p</w:t>
      </w:r>
      <w:r w:rsidRPr="0080384E">
        <w:t>.</w:t>
      </w:r>
      <w:r w:rsidR="004C2862">
        <w:t xml:space="preserve"> </w:t>
      </w:r>
      <w:r w:rsidRPr="0080384E">
        <w:t>2</w:t>
      </w:r>
      <w:r>
        <w:t>9-30</w:t>
      </w:r>
    </w:p>
  </w:footnote>
  <w:footnote w:id="46">
    <w:p w14:paraId="064118D2" w14:textId="1EC90AC9" w:rsidR="0080384E" w:rsidRPr="004C2862" w:rsidRDefault="0080384E">
      <w:pPr>
        <w:pStyle w:val="FootnoteText"/>
      </w:pPr>
      <w:r>
        <w:rPr>
          <w:rStyle w:val="FootnoteReference"/>
        </w:rPr>
        <w:footnoteRef/>
      </w:r>
      <w:r>
        <w:t xml:space="preserve"> </w:t>
      </w:r>
      <w:r w:rsidR="00CD75CD" w:rsidRPr="00CD75CD">
        <w:t xml:space="preserve">Gruber. </w:t>
      </w:r>
      <w:r w:rsidR="00CD75CD" w:rsidRPr="004C2862">
        <w:t>Review p</w:t>
      </w:r>
      <w:r w:rsidR="004C2862">
        <w:t>p</w:t>
      </w:r>
      <w:r w:rsidR="00CD75CD" w:rsidRPr="004C2862">
        <w:t>.</w:t>
      </w:r>
      <w:r w:rsidR="004C2862">
        <w:t xml:space="preserve"> </w:t>
      </w:r>
      <w:r w:rsidR="00CD75CD" w:rsidRPr="004C2862">
        <w:t>830-831</w:t>
      </w:r>
    </w:p>
  </w:footnote>
  <w:footnote w:id="47">
    <w:p w14:paraId="169EA845" w14:textId="64E0E91D" w:rsidR="00CD75CD" w:rsidRDefault="00CD75CD">
      <w:pPr>
        <w:pStyle w:val="FootnoteText"/>
      </w:pPr>
      <w:r>
        <w:rPr>
          <w:rStyle w:val="FootnoteReference"/>
        </w:rPr>
        <w:footnoteRef/>
      </w:r>
      <w:r>
        <w:t xml:space="preserve"> </w:t>
      </w:r>
      <w:r w:rsidRPr="00CD75CD">
        <w:t xml:space="preserve">Johnston, </w:t>
      </w:r>
      <w:r w:rsidRPr="004C2862">
        <w:t>Review</w:t>
      </w:r>
      <w:r w:rsidRPr="00CD75CD">
        <w:rPr>
          <w:i/>
        </w:rPr>
        <w:t xml:space="preserve"> </w:t>
      </w:r>
      <w:r w:rsidRPr="00CD75CD">
        <w:t>p</w:t>
      </w:r>
      <w:r w:rsidR="004C2862">
        <w:t>p</w:t>
      </w:r>
      <w:r w:rsidRPr="00CD75CD">
        <w:t>. 122-123</w:t>
      </w:r>
    </w:p>
  </w:footnote>
  <w:footnote w:id="48">
    <w:p w14:paraId="7C1EDA8C" w14:textId="14581E6C" w:rsidR="00CD75CD" w:rsidRDefault="00CD75CD">
      <w:pPr>
        <w:pStyle w:val="FootnoteText"/>
      </w:pPr>
      <w:r>
        <w:rPr>
          <w:rStyle w:val="FootnoteReference"/>
        </w:rPr>
        <w:footnoteRef/>
      </w:r>
      <w:r>
        <w:t xml:space="preserve"> </w:t>
      </w:r>
      <w:bookmarkStart w:id="14" w:name="_Hlk532841924"/>
      <w:bookmarkStart w:id="15" w:name="_Hlk532909181"/>
      <w:r w:rsidRPr="00CD75CD">
        <w:t xml:space="preserve">Rodway, </w:t>
      </w:r>
      <w:r w:rsidRPr="00CD75CD">
        <w:rPr>
          <w:i/>
        </w:rPr>
        <w:t xml:space="preserve">Medieval Welsh Proses </w:t>
      </w:r>
      <w:r w:rsidRPr="00CD75CD">
        <w:t>p</w:t>
      </w:r>
      <w:bookmarkEnd w:id="14"/>
      <w:r w:rsidR="004C2862">
        <w:t>p</w:t>
      </w:r>
      <w:bookmarkEnd w:id="15"/>
      <w:r w:rsidRPr="00CD75CD">
        <w:t>.</w:t>
      </w:r>
      <w:r w:rsidR="004C2862">
        <w:t xml:space="preserve"> </w:t>
      </w:r>
      <w:r>
        <w:t>48-51</w:t>
      </w:r>
    </w:p>
  </w:footnote>
  <w:footnote w:id="49">
    <w:p w14:paraId="25935476" w14:textId="2B8FB15D" w:rsidR="00CB7C3A" w:rsidRDefault="00CB7C3A">
      <w:pPr>
        <w:pStyle w:val="FootnoteText"/>
      </w:pPr>
      <w:r>
        <w:rPr>
          <w:rStyle w:val="FootnoteReference"/>
        </w:rPr>
        <w:footnoteRef/>
      </w:r>
      <w:r>
        <w:t xml:space="preserve">R. I, </w:t>
      </w:r>
      <w:r w:rsidRPr="00917A8F">
        <w:t xml:space="preserve">Daniel, </w:t>
      </w:r>
      <w:r w:rsidRPr="00917A8F">
        <w:rPr>
          <w:i/>
        </w:rPr>
        <w:t>The Date, Origin and Authorship of the Mabinogion in light of Ymborth yr Enaid</w:t>
      </w:r>
      <w:r w:rsidRPr="00917A8F">
        <w:t>, The Journal of Celtic Studies, 4 (2004)</w:t>
      </w:r>
      <w:r>
        <w:t xml:space="preserve"> p</w:t>
      </w:r>
      <w:r w:rsidR="004C2862">
        <w:t>p</w:t>
      </w:r>
      <w:r>
        <w:t>. 117-152</w:t>
      </w:r>
    </w:p>
  </w:footnote>
  <w:footnote w:id="50">
    <w:p w14:paraId="55B9E2A7" w14:textId="42E4CFF3" w:rsidR="00CB7C3A" w:rsidRDefault="00CB7C3A">
      <w:pPr>
        <w:pStyle w:val="FootnoteText"/>
      </w:pPr>
      <w:r>
        <w:rPr>
          <w:rStyle w:val="FootnoteReference"/>
        </w:rPr>
        <w:footnoteRef/>
      </w:r>
      <w:r>
        <w:t xml:space="preserve"> </w:t>
      </w:r>
      <w:r w:rsidRPr="00BC1F9A">
        <w:t xml:space="preserve">Rodway, </w:t>
      </w:r>
      <w:r w:rsidRPr="00BC1F9A">
        <w:rPr>
          <w:i/>
        </w:rPr>
        <w:t xml:space="preserve">Medieval Welsh Proses </w:t>
      </w:r>
      <w:r w:rsidRPr="00917A8F">
        <w:t>p</w:t>
      </w:r>
      <w:r w:rsidR="004C2862">
        <w:t>p</w:t>
      </w:r>
      <w:r w:rsidRPr="00917A8F">
        <w:t>. 51</w:t>
      </w:r>
    </w:p>
  </w:footnote>
  <w:footnote w:id="51">
    <w:p w14:paraId="5CA6782D" w14:textId="7D471ABA" w:rsidR="00CB7C3A" w:rsidRDefault="00CB7C3A">
      <w:pPr>
        <w:pStyle w:val="FootnoteText"/>
      </w:pPr>
      <w:r>
        <w:rPr>
          <w:rStyle w:val="FootnoteReference"/>
        </w:rPr>
        <w:footnoteRef/>
      </w:r>
      <w:r>
        <w:t xml:space="preserve">E. </w:t>
      </w:r>
      <w:r w:rsidRPr="004C3289">
        <w:t>White,</w:t>
      </w:r>
      <w:r>
        <w:t xml:space="preserve"> </w:t>
      </w:r>
      <w:r w:rsidRPr="00917A8F">
        <w:rPr>
          <w:i/>
        </w:rPr>
        <w:t>2011 Census: Key Statistics for Wales</w:t>
      </w:r>
      <w:r w:rsidRPr="004C3289">
        <w:t xml:space="preserve">, March 2011, Office for National Statistic, Available: </w:t>
      </w:r>
      <w:hyperlink r:id="rId1" w:anchor="tab---Proficiency-in-Welsh" w:history="1">
        <w:r w:rsidRPr="00846F22">
          <w:rPr>
            <w:rStyle w:val="Hyperlink"/>
          </w:rPr>
          <w:t>https://www.ons.gov.uk/peoplepopulationandcommunity/populationandmigration/populationestimates/bulletins/2011censuskeystatisticsforwales/2012-12-11#tab---Proficiency-in-Welsh</w:t>
        </w:r>
      </w:hyperlink>
      <w:r>
        <w:t xml:space="preserve"> </w:t>
      </w:r>
    </w:p>
  </w:footnote>
  <w:footnote w:id="52">
    <w:p w14:paraId="6129D76A" w14:textId="53FB4DBB" w:rsidR="00CB7C3A" w:rsidRDefault="00CB7C3A">
      <w:pPr>
        <w:pStyle w:val="FootnoteText"/>
      </w:pPr>
      <w:bookmarkStart w:id="16" w:name="_Hlk532754619"/>
      <w:r>
        <w:rPr>
          <w:rStyle w:val="FootnoteReference"/>
        </w:rPr>
        <w:footnoteRef/>
      </w:r>
      <w:r>
        <w:t xml:space="preserve"> </w:t>
      </w:r>
      <w:bookmarkStart w:id="17" w:name="_Hlk532825636"/>
      <w:bookmarkStart w:id="18" w:name="_Hlk532744801"/>
      <w:r w:rsidRPr="004C3289">
        <w:t xml:space="preserve">Rodway, </w:t>
      </w:r>
      <w:r w:rsidRPr="00917A8F">
        <w:rPr>
          <w:i/>
        </w:rPr>
        <w:t xml:space="preserve">Medieval Welsh Proses </w:t>
      </w:r>
      <w:bookmarkEnd w:id="17"/>
      <w:r w:rsidRPr="00917A8F">
        <w:rPr>
          <w:i/>
        </w:rPr>
        <w:t>Text</w:t>
      </w:r>
      <w:r>
        <w:t xml:space="preserve"> p.</w:t>
      </w:r>
      <w:r w:rsidR="004C2862">
        <w:t xml:space="preserve"> </w:t>
      </w:r>
      <w:r>
        <w:t>52</w:t>
      </w:r>
      <w:bookmarkEnd w:id="18"/>
    </w:p>
    <w:bookmarkEnd w:id="16"/>
  </w:footnote>
  <w:footnote w:id="53">
    <w:p w14:paraId="226405C6" w14:textId="74012436" w:rsidR="00CB7C3A" w:rsidRDefault="00CB7C3A">
      <w:pPr>
        <w:pStyle w:val="FootnoteText"/>
      </w:pPr>
      <w:r>
        <w:rPr>
          <w:rStyle w:val="FootnoteReference"/>
        </w:rPr>
        <w:footnoteRef/>
      </w:r>
      <w:r>
        <w:t xml:space="preserve"> </w:t>
      </w:r>
      <w:r w:rsidRPr="00917A8F">
        <w:t xml:space="preserve">Daniel, </w:t>
      </w:r>
      <w:r w:rsidRPr="00917A8F">
        <w:rPr>
          <w:i/>
        </w:rPr>
        <w:t>The Date, Origin and Authorship</w:t>
      </w:r>
      <w:r w:rsidRPr="00917A8F">
        <w:t xml:space="preserve">. </w:t>
      </w:r>
      <w:r>
        <w:t>p</w:t>
      </w:r>
      <w:r w:rsidR="004C2862">
        <w:t>p</w:t>
      </w:r>
      <w:r>
        <w:t xml:space="preserve">. </w:t>
      </w:r>
      <w:r w:rsidRPr="00917A8F">
        <w:t>117-52</w:t>
      </w:r>
    </w:p>
  </w:footnote>
  <w:footnote w:id="54">
    <w:p w14:paraId="07E3CB9D" w14:textId="5C76A080" w:rsidR="00CB7C3A" w:rsidRDefault="00CB7C3A">
      <w:pPr>
        <w:pStyle w:val="FootnoteText"/>
      </w:pPr>
      <w:r>
        <w:rPr>
          <w:rStyle w:val="FootnoteReference"/>
        </w:rPr>
        <w:footnoteRef/>
      </w:r>
      <w:r>
        <w:t xml:space="preserve"> </w:t>
      </w:r>
      <w:r w:rsidRPr="00917A8F">
        <w:t xml:space="preserve">Daniel, </w:t>
      </w:r>
      <w:r w:rsidRPr="00917A8F">
        <w:rPr>
          <w:i/>
        </w:rPr>
        <w:t xml:space="preserve">The Date, Origin and Authorship </w:t>
      </w:r>
      <w:r>
        <w:t>p</w:t>
      </w:r>
      <w:r w:rsidR="004C2862">
        <w:t>p</w:t>
      </w:r>
      <w:r>
        <w:t>. 117-52</w:t>
      </w:r>
    </w:p>
  </w:footnote>
  <w:footnote w:id="55">
    <w:p w14:paraId="7C7DBFC1" w14:textId="44A91DD8" w:rsidR="00CB7C3A" w:rsidRDefault="00CB7C3A">
      <w:pPr>
        <w:pStyle w:val="FootnoteText"/>
      </w:pPr>
      <w:r>
        <w:rPr>
          <w:rStyle w:val="FootnoteReference"/>
        </w:rPr>
        <w:footnoteRef/>
      </w:r>
      <w:r>
        <w:t xml:space="preserve"> </w:t>
      </w:r>
      <w:bookmarkStart w:id="19" w:name="_Hlk532758302"/>
      <w:r w:rsidRPr="00917A8F">
        <w:t xml:space="preserve">Rodway, </w:t>
      </w:r>
      <w:r w:rsidRPr="00917A8F">
        <w:rPr>
          <w:i/>
        </w:rPr>
        <w:t>Medieval Welsh Proses Text</w:t>
      </w:r>
      <w:r w:rsidRPr="00917A8F">
        <w:t xml:space="preserve"> p.</w:t>
      </w:r>
      <w:r w:rsidR="004C2862">
        <w:t xml:space="preserve"> </w:t>
      </w:r>
      <w:r w:rsidRPr="00917A8F">
        <w:t>52</w:t>
      </w:r>
      <w:bookmarkEnd w:id="19"/>
    </w:p>
  </w:footnote>
  <w:footnote w:id="56">
    <w:p w14:paraId="1AFCDE00" w14:textId="26EAD398" w:rsidR="00CB7C3A" w:rsidRDefault="00CB7C3A">
      <w:pPr>
        <w:pStyle w:val="FootnoteText"/>
      </w:pPr>
      <w:r>
        <w:rPr>
          <w:rStyle w:val="FootnoteReference"/>
        </w:rPr>
        <w:footnoteRef/>
      </w:r>
      <w:r>
        <w:t xml:space="preserve"> </w:t>
      </w:r>
      <w:bookmarkStart w:id="20" w:name="_Hlk532759377"/>
      <w:r w:rsidRPr="008B7140">
        <w:t xml:space="preserve">Rodway, </w:t>
      </w:r>
      <w:r w:rsidRPr="008B7140">
        <w:rPr>
          <w:i/>
        </w:rPr>
        <w:t>Medieval Welsh Proses Text</w:t>
      </w:r>
      <w:r w:rsidRPr="008B7140">
        <w:t xml:space="preserve"> </w:t>
      </w:r>
      <w:bookmarkEnd w:id="20"/>
      <w:r w:rsidRPr="008B7140">
        <w:t>p.</w:t>
      </w:r>
      <w:r>
        <w:t xml:space="preserve"> 52</w:t>
      </w:r>
    </w:p>
  </w:footnote>
  <w:footnote w:id="57">
    <w:p w14:paraId="7E866135" w14:textId="2CA22B9F" w:rsidR="00CB7C3A" w:rsidRDefault="00CB7C3A">
      <w:pPr>
        <w:pStyle w:val="FootnoteText"/>
      </w:pPr>
      <w:r>
        <w:rPr>
          <w:rStyle w:val="FootnoteReference"/>
        </w:rPr>
        <w:footnoteRef/>
      </w:r>
      <w:r>
        <w:t xml:space="preserve"> </w:t>
      </w:r>
      <w:r w:rsidRPr="008B7140">
        <w:t xml:space="preserve">Rodway, </w:t>
      </w:r>
      <w:r w:rsidRPr="008B7140">
        <w:rPr>
          <w:i/>
        </w:rPr>
        <w:t>Medieval Welsh Proses Text</w:t>
      </w:r>
      <w:r w:rsidRPr="008B7140">
        <w:t xml:space="preserve"> p</w:t>
      </w:r>
      <w:r w:rsidR="004C2862">
        <w:t>p</w:t>
      </w:r>
      <w:r w:rsidRPr="008B7140">
        <w:t>.</w:t>
      </w:r>
      <w:r w:rsidR="004C2862">
        <w:t xml:space="preserve"> </w:t>
      </w:r>
      <w:r w:rsidRPr="008B7140">
        <w:t>52</w:t>
      </w:r>
      <w:r>
        <w:t>-53</w:t>
      </w:r>
    </w:p>
  </w:footnote>
  <w:footnote w:id="58">
    <w:p w14:paraId="7AAF8255" w14:textId="42717862" w:rsidR="00C20EC2" w:rsidRPr="00C20EC2" w:rsidRDefault="00C20EC2">
      <w:pPr>
        <w:pStyle w:val="FootnoteText"/>
      </w:pPr>
      <w:r>
        <w:rPr>
          <w:rStyle w:val="FootnoteReference"/>
        </w:rPr>
        <w:footnoteRef/>
      </w:r>
      <w:r>
        <w:t xml:space="preserve"> Roberts, </w:t>
      </w:r>
      <w:r>
        <w:rPr>
          <w:i/>
        </w:rPr>
        <w:t>Mabinogi Written.</w:t>
      </w:r>
      <w:r>
        <w:t xml:space="preserve"> pp. 64-66</w:t>
      </w:r>
    </w:p>
  </w:footnote>
  <w:footnote w:id="59">
    <w:p w14:paraId="009F2BCE" w14:textId="3ED0B450" w:rsidR="00CB7C3A" w:rsidRPr="0043763D" w:rsidRDefault="00CB7C3A">
      <w:pPr>
        <w:pStyle w:val="FootnoteText"/>
      </w:pPr>
      <w:r>
        <w:rPr>
          <w:rStyle w:val="FootnoteReference"/>
        </w:rPr>
        <w:footnoteRef/>
      </w:r>
      <w:r>
        <w:t xml:space="preserve"> </w:t>
      </w:r>
      <w:r w:rsidRPr="0043763D">
        <w:t xml:space="preserve">Rodway, </w:t>
      </w:r>
      <w:r w:rsidRPr="0043763D">
        <w:rPr>
          <w:i/>
        </w:rPr>
        <w:t>Medieval Welsh Proses Text</w:t>
      </w:r>
      <w:r>
        <w:rPr>
          <w:i/>
        </w:rPr>
        <w:t xml:space="preserve"> </w:t>
      </w:r>
      <w:r>
        <w:t>p.</w:t>
      </w:r>
      <w:r w:rsidR="004C2862">
        <w:t xml:space="preserve"> </w:t>
      </w:r>
      <w:r>
        <w:t>53</w:t>
      </w:r>
    </w:p>
  </w:footnote>
  <w:footnote w:id="60">
    <w:p w14:paraId="59B33330" w14:textId="1BB6A607" w:rsidR="00C20EC2" w:rsidRPr="00990325" w:rsidRDefault="00C20EC2">
      <w:pPr>
        <w:pStyle w:val="FootnoteText"/>
      </w:pPr>
      <w:r>
        <w:rPr>
          <w:rStyle w:val="FootnoteReference"/>
        </w:rPr>
        <w:footnoteRef/>
      </w:r>
      <w:r>
        <w:t xml:space="preserve"> </w:t>
      </w:r>
      <w:r w:rsidR="00990325">
        <w:t xml:space="preserve">G. </w:t>
      </w:r>
      <w:bookmarkStart w:id="21" w:name="_Hlk532911178"/>
      <w:r w:rsidR="002001FF">
        <w:t>Goet</w:t>
      </w:r>
      <w:r w:rsidR="00AC10F5">
        <w:t>ni</w:t>
      </w:r>
      <w:r w:rsidR="002001FF">
        <w:t>ck</w:t>
      </w:r>
      <w:bookmarkEnd w:id="21"/>
      <w:r w:rsidR="00990325">
        <w:t xml:space="preserve"> ‘Pedair Cainc Y Mabinogi: Yr Awdur A’I Bwrpas.’ </w:t>
      </w:r>
      <w:r w:rsidR="00990325">
        <w:rPr>
          <w:i/>
        </w:rPr>
        <w:t>Ll</w:t>
      </w:r>
      <w:r w:rsidR="00990325" w:rsidRPr="00990325">
        <w:rPr>
          <w:i/>
        </w:rPr>
        <w:t>ê</w:t>
      </w:r>
      <w:r w:rsidR="00990325">
        <w:rPr>
          <w:i/>
        </w:rPr>
        <w:t xml:space="preserve">n Cymru </w:t>
      </w:r>
      <w:r w:rsidR="00990325">
        <w:t>(1987) pp. 249 -269</w:t>
      </w:r>
    </w:p>
  </w:footnote>
  <w:footnote w:id="61">
    <w:p w14:paraId="3001979C" w14:textId="638C9276" w:rsidR="00CB7C3A" w:rsidRPr="00707D8E" w:rsidRDefault="00CB7C3A">
      <w:pPr>
        <w:pStyle w:val="FootnoteText"/>
      </w:pPr>
      <w:r>
        <w:rPr>
          <w:rStyle w:val="FootnoteReference"/>
        </w:rPr>
        <w:footnoteRef/>
      </w:r>
      <w:r>
        <w:t xml:space="preserve"> J.E Lloyd, </w:t>
      </w:r>
      <w:r>
        <w:rPr>
          <w:i/>
        </w:rPr>
        <w:t>Caradoc of Llancarfan,</w:t>
      </w:r>
      <w:r>
        <w:t xml:space="preserve"> Dictionary of Welsh Biography, National Library of Wales Available: </w:t>
      </w:r>
      <w:hyperlink r:id="rId2" w:history="1">
        <w:r w:rsidRPr="00194AFF">
          <w:rPr>
            <w:rStyle w:val="Hyperlink"/>
          </w:rPr>
          <w:t>https://biography.wales/article/s-CARA-DOG-1135</w:t>
        </w:r>
      </w:hyperlink>
      <w:r>
        <w:t xml:space="preserve"> </w:t>
      </w:r>
    </w:p>
  </w:footnote>
  <w:footnote w:id="62">
    <w:p w14:paraId="0C855D78" w14:textId="14BF9332" w:rsidR="002001FF" w:rsidRDefault="002001FF">
      <w:pPr>
        <w:pStyle w:val="FootnoteText"/>
      </w:pPr>
      <w:r>
        <w:rPr>
          <w:rStyle w:val="FootnoteReference"/>
        </w:rPr>
        <w:footnoteRef/>
      </w:r>
      <w:r>
        <w:t xml:space="preserve"> </w:t>
      </w:r>
      <w:r w:rsidRPr="002001FF">
        <w:t>Goet</w:t>
      </w:r>
      <w:r w:rsidR="00AC10F5">
        <w:t>ni</w:t>
      </w:r>
      <w:bookmarkStart w:id="22" w:name="_GoBack"/>
      <w:bookmarkEnd w:id="22"/>
      <w:r w:rsidRPr="002001FF">
        <w:t>ck</w:t>
      </w:r>
      <w:r>
        <w:t xml:space="preserve">. </w:t>
      </w:r>
      <w:r w:rsidRPr="002001FF">
        <w:t>Pedair Cainc Y Mabinogi</w:t>
      </w:r>
      <w:r>
        <w:t>, pp. 249-269</w:t>
      </w:r>
    </w:p>
  </w:footnote>
  <w:footnote w:id="63">
    <w:p w14:paraId="4427A3E9" w14:textId="2CBAB2C7" w:rsidR="002001FF" w:rsidRDefault="002001FF">
      <w:pPr>
        <w:pStyle w:val="FootnoteText"/>
      </w:pPr>
      <w:r>
        <w:rPr>
          <w:rStyle w:val="FootnoteReference"/>
        </w:rPr>
        <w:footnoteRef/>
      </w:r>
      <w:r>
        <w:t xml:space="preserve"> </w:t>
      </w:r>
      <w:r w:rsidRPr="002001FF">
        <w:t xml:space="preserve">Davies, </w:t>
      </w:r>
      <w:r w:rsidRPr="002001FF">
        <w:rPr>
          <w:i/>
        </w:rPr>
        <w:t xml:space="preserve">The Mabinogion </w:t>
      </w:r>
      <w:r w:rsidRPr="002001FF">
        <w:t>pp</w:t>
      </w:r>
      <w:r>
        <w:t>. 42-46</w:t>
      </w:r>
    </w:p>
  </w:footnote>
  <w:footnote w:id="64">
    <w:p w14:paraId="6AE23AB5" w14:textId="78CB05C6" w:rsidR="00CB7C3A" w:rsidRDefault="00CB7C3A">
      <w:pPr>
        <w:pStyle w:val="FootnoteText"/>
      </w:pPr>
      <w:r>
        <w:rPr>
          <w:rStyle w:val="FootnoteReference"/>
        </w:rPr>
        <w:footnoteRef/>
      </w:r>
      <w:r>
        <w:t xml:space="preserve"> D.</w:t>
      </w:r>
      <w:r w:rsidRPr="00F13065">
        <w:t xml:space="preserve"> Jenkins, </w:t>
      </w:r>
      <w:r w:rsidRPr="00917A8F">
        <w:rPr>
          <w:i/>
        </w:rPr>
        <w:t>The Law of Hywel Dda: Law Texts from Medieval Wales</w:t>
      </w:r>
      <w:r w:rsidRPr="00F13065">
        <w:t>. The Welsh Classics. (</w:t>
      </w:r>
      <w:r>
        <w:t>Rhagfyr</w:t>
      </w:r>
      <w:r w:rsidRPr="00F13065">
        <w:t>, Gomer, 19</w:t>
      </w:r>
      <w:r>
        <w:t>86</w:t>
      </w:r>
      <w:r w:rsidRPr="00F13065">
        <w:t>)</w:t>
      </w:r>
      <w:r>
        <w:t xml:space="preserve"> p</w:t>
      </w:r>
      <w:r w:rsidR="004C2862">
        <w:t>p</w:t>
      </w:r>
      <w:r>
        <w:t>.</w:t>
      </w:r>
      <w:r w:rsidR="004C2862">
        <w:t xml:space="preserve"> </w:t>
      </w:r>
      <w:r>
        <w:t>156-</w:t>
      </w:r>
      <w:r w:rsidR="00735543">
        <w:t>1</w:t>
      </w:r>
      <w:r>
        <w:t>69</w:t>
      </w:r>
    </w:p>
  </w:footnote>
  <w:footnote w:id="65">
    <w:p w14:paraId="721C23FE" w14:textId="1FA98441" w:rsidR="00CD75CD" w:rsidRDefault="00CD75CD">
      <w:pPr>
        <w:pStyle w:val="FootnoteText"/>
      </w:pPr>
      <w:r>
        <w:rPr>
          <w:rStyle w:val="FootnoteReference"/>
        </w:rPr>
        <w:footnoteRef/>
      </w:r>
      <w:r>
        <w:t xml:space="preserve"> </w:t>
      </w:r>
      <w:r w:rsidRPr="00CD75CD">
        <w:t xml:space="preserve">Rodway, </w:t>
      </w:r>
      <w:r w:rsidRPr="00CD75CD">
        <w:rPr>
          <w:i/>
        </w:rPr>
        <w:t xml:space="preserve">Medieval Welsh Proses </w:t>
      </w:r>
      <w:r w:rsidRPr="00CD75CD">
        <w:t>p</w:t>
      </w:r>
      <w:r w:rsidR="00735543">
        <w:t>. 55</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6566"/>
    <w:rsid w:val="0003096A"/>
    <w:rsid w:val="000809D3"/>
    <w:rsid w:val="000A6D5C"/>
    <w:rsid w:val="000B7500"/>
    <w:rsid w:val="000E0451"/>
    <w:rsid w:val="00113648"/>
    <w:rsid w:val="00122E8D"/>
    <w:rsid w:val="002001FF"/>
    <w:rsid w:val="002642F0"/>
    <w:rsid w:val="00276D5C"/>
    <w:rsid w:val="002831C4"/>
    <w:rsid w:val="00297863"/>
    <w:rsid w:val="002B634F"/>
    <w:rsid w:val="003237D5"/>
    <w:rsid w:val="00352D51"/>
    <w:rsid w:val="003637EE"/>
    <w:rsid w:val="003644F7"/>
    <w:rsid w:val="003A30F3"/>
    <w:rsid w:val="003C20B2"/>
    <w:rsid w:val="003F650C"/>
    <w:rsid w:val="004310C2"/>
    <w:rsid w:val="0043763D"/>
    <w:rsid w:val="00463CB3"/>
    <w:rsid w:val="00476D16"/>
    <w:rsid w:val="00483E08"/>
    <w:rsid w:val="004C2855"/>
    <w:rsid w:val="004C2862"/>
    <w:rsid w:val="004C291B"/>
    <w:rsid w:val="004C3289"/>
    <w:rsid w:val="0050702B"/>
    <w:rsid w:val="0052672D"/>
    <w:rsid w:val="0055674D"/>
    <w:rsid w:val="00597912"/>
    <w:rsid w:val="005A3177"/>
    <w:rsid w:val="005A68F3"/>
    <w:rsid w:val="005B0BE1"/>
    <w:rsid w:val="005B243C"/>
    <w:rsid w:val="005B727B"/>
    <w:rsid w:val="005F7725"/>
    <w:rsid w:val="0064573D"/>
    <w:rsid w:val="00661405"/>
    <w:rsid w:val="006A2E3C"/>
    <w:rsid w:val="006A3EA2"/>
    <w:rsid w:val="00707D8E"/>
    <w:rsid w:val="00735543"/>
    <w:rsid w:val="007C34AD"/>
    <w:rsid w:val="0080384E"/>
    <w:rsid w:val="00811F0A"/>
    <w:rsid w:val="00815507"/>
    <w:rsid w:val="008B5F36"/>
    <w:rsid w:val="008B7140"/>
    <w:rsid w:val="00917A8F"/>
    <w:rsid w:val="0094253B"/>
    <w:rsid w:val="0095216E"/>
    <w:rsid w:val="00963C7E"/>
    <w:rsid w:val="009847C5"/>
    <w:rsid w:val="00990325"/>
    <w:rsid w:val="009A159E"/>
    <w:rsid w:val="009C4CCC"/>
    <w:rsid w:val="00A6775A"/>
    <w:rsid w:val="00A81C7C"/>
    <w:rsid w:val="00AC10F5"/>
    <w:rsid w:val="00AF459C"/>
    <w:rsid w:val="00B34EE7"/>
    <w:rsid w:val="00B424D3"/>
    <w:rsid w:val="00B47C40"/>
    <w:rsid w:val="00B72EA9"/>
    <w:rsid w:val="00BB030A"/>
    <w:rsid w:val="00BC1F9A"/>
    <w:rsid w:val="00C203C9"/>
    <w:rsid w:val="00C20EC2"/>
    <w:rsid w:val="00C50617"/>
    <w:rsid w:val="00C9319B"/>
    <w:rsid w:val="00CB7C3A"/>
    <w:rsid w:val="00CC3604"/>
    <w:rsid w:val="00CD75CD"/>
    <w:rsid w:val="00CE05D7"/>
    <w:rsid w:val="00CF6566"/>
    <w:rsid w:val="00D07C42"/>
    <w:rsid w:val="00D7233F"/>
    <w:rsid w:val="00D75586"/>
    <w:rsid w:val="00DF4783"/>
    <w:rsid w:val="00E013B5"/>
    <w:rsid w:val="00E25985"/>
    <w:rsid w:val="00E5063A"/>
    <w:rsid w:val="00ED035B"/>
    <w:rsid w:val="00EF022D"/>
    <w:rsid w:val="00EF6967"/>
    <w:rsid w:val="00F13065"/>
    <w:rsid w:val="00F765DD"/>
    <w:rsid w:val="00F97322"/>
    <w:rsid w:val="00FA7D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FEE1DB"/>
  <w15:chartTrackingRefBased/>
  <w15:docId w15:val="{D2322A80-CD35-47E6-A999-8340DE23B8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2672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2672D"/>
    <w:rPr>
      <w:sz w:val="20"/>
      <w:szCs w:val="20"/>
    </w:rPr>
  </w:style>
  <w:style w:type="character" w:styleId="FootnoteReference">
    <w:name w:val="footnote reference"/>
    <w:basedOn w:val="DefaultParagraphFont"/>
    <w:uiPriority w:val="99"/>
    <w:semiHidden/>
    <w:unhideWhenUsed/>
    <w:rsid w:val="0052672D"/>
    <w:rPr>
      <w:vertAlign w:val="superscript"/>
    </w:rPr>
  </w:style>
  <w:style w:type="character" w:styleId="Hyperlink">
    <w:name w:val="Hyperlink"/>
    <w:basedOn w:val="DefaultParagraphFont"/>
    <w:uiPriority w:val="99"/>
    <w:unhideWhenUsed/>
    <w:rsid w:val="004C3289"/>
    <w:rPr>
      <w:color w:val="0563C1" w:themeColor="hyperlink"/>
      <w:u w:val="single"/>
    </w:rPr>
  </w:style>
  <w:style w:type="character" w:styleId="UnresolvedMention">
    <w:name w:val="Unresolved Mention"/>
    <w:basedOn w:val="DefaultParagraphFont"/>
    <w:uiPriority w:val="99"/>
    <w:semiHidden/>
    <w:unhideWhenUsed/>
    <w:rsid w:val="004C3289"/>
    <w:rPr>
      <w:color w:val="605E5C"/>
      <w:shd w:val="clear" w:color="auto" w:fill="E1DFDD"/>
    </w:rPr>
  </w:style>
  <w:style w:type="paragraph" w:styleId="Header">
    <w:name w:val="header"/>
    <w:basedOn w:val="Normal"/>
    <w:link w:val="HeaderChar"/>
    <w:uiPriority w:val="99"/>
    <w:unhideWhenUsed/>
    <w:rsid w:val="00E506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063A"/>
  </w:style>
  <w:style w:type="paragraph" w:styleId="Footer">
    <w:name w:val="footer"/>
    <w:basedOn w:val="Normal"/>
    <w:link w:val="FooterChar"/>
    <w:uiPriority w:val="99"/>
    <w:unhideWhenUsed/>
    <w:rsid w:val="00E506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06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iography.wales/article/s-CARA-DOG-1135" TargetMode="External"/><Relationship Id="rId3" Type="http://schemas.openxmlformats.org/officeDocument/2006/relationships/settings" Target="settings.xml"/><Relationship Id="rId7" Type="http://schemas.openxmlformats.org/officeDocument/2006/relationships/hyperlink" Target="http://www.jstor.org/stable/25698822"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ons.gov.uk/peoplepopulationandcommunity/populationandmigration/populationestimates/bulletins/2011censuskeystatisticsforwales/2012-12-11"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s://biography.wales/article/s-CARA-DOG-1135" TargetMode="External"/><Relationship Id="rId1" Type="http://schemas.openxmlformats.org/officeDocument/2006/relationships/hyperlink" Target="https://www.ons.gov.uk/peoplepopulationandcommunity/populationandmigration/populationestimates/bulletins/2011censuskeystatisticsforwales/2012-12-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XSL" StyleName="ISO 690 - First Element and Date" Version="1987"/>
</file>

<file path=customXml/itemProps1.xml><?xml version="1.0" encoding="utf-8"?>
<ds:datastoreItem xmlns:ds="http://schemas.openxmlformats.org/officeDocument/2006/customXml" ds:itemID="{1D72F6AC-DFCF-41B2-B61C-94741978BF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4373</TotalTime>
  <Pages>10</Pages>
  <Words>3633</Words>
  <Characters>20714</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Beckett</dc:creator>
  <cp:keywords/>
  <dc:description/>
  <cp:lastModifiedBy>Amy Beckett</cp:lastModifiedBy>
  <cp:revision>23</cp:revision>
  <dcterms:created xsi:type="dcterms:W3CDTF">2018-12-12T15:50:00Z</dcterms:created>
  <dcterms:modified xsi:type="dcterms:W3CDTF">2018-12-18T15:59:00Z</dcterms:modified>
</cp:coreProperties>
</file>