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0EF027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6032B">
              <w:rPr>
                <w:rFonts w:ascii="Times New Roman" w:hAnsi="Times New Roman" w:cs="Times New Roman"/>
                <w:b/>
                <w:color w:val="auto"/>
                <w:sz w:val="48"/>
              </w:rPr>
              <w:t>STEFFAN CHAMBERS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CBFF687" w:rsidR="009C337F" w:rsidRPr="0096032B" w:rsidRDefault="009C337F" w:rsidP="005D3F07">
            <w:pPr>
              <w:overflowPunct/>
              <w:autoSpaceDE/>
              <w:autoSpaceDN/>
              <w:adjustRightInd/>
              <w:ind w:right="-957"/>
              <w:textAlignment w:val="auto"/>
              <w:rPr>
                <w:rFonts w:ascii="Times New Roman" w:hAnsi="Times New Roman" w:cs="Times New Roman"/>
                <w:b/>
                <w:color w:val="auto"/>
                <w:sz w:val="40"/>
                <w:szCs w:val="16"/>
              </w:rPr>
            </w:pPr>
            <w:r>
              <w:rPr>
                <w:rFonts w:ascii="Times New Roman" w:hAnsi="Times New Roman" w:cs="Times New Roman"/>
                <w:b/>
                <w:color w:val="auto"/>
                <w:sz w:val="48"/>
              </w:rPr>
              <w:t>Email address:</w:t>
            </w:r>
            <w:r w:rsidR="001F6FDD">
              <w:rPr>
                <w:rFonts w:ascii="Times New Roman" w:hAnsi="Times New Roman" w:cs="Times New Roman"/>
                <w:b/>
                <w:color w:val="auto"/>
                <w:sz w:val="48"/>
              </w:rPr>
              <w:t xml:space="preserve"> </w:t>
            </w:r>
            <w:r w:rsidR="0096032B">
              <w:rPr>
                <w:rFonts w:ascii="Times New Roman" w:hAnsi="Times New Roman" w:cs="Times New Roman"/>
                <w:b/>
                <w:color w:val="auto"/>
                <w:sz w:val="40"/>
                <w:szCs w:val="16"/>
              </w:rPr>
              <w:t>steffanchambers8@gmail.com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0CD106F" w14:textId="77777777" w:rsidR="0096032B"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6032B">
              <w:t xml:space="preserve"> </w:t>
            </w:r>
          </w:p>
          <w:p w14:paraId="0DE696B2" w14:textId="2BFDC075" w:rsidR="00F927A1" w:rsidRPr="005D3F07" w:rsidRDefault="0096032B" w:rsidP="005D3F07">
            <w:pPr>
              <w:overflowPunct/>
              <w:autoSpaceDE/>
              <w:autoSpaceDN/>
              <w:adjustRightInd/>
              <w:ind w:right="-957"/>
              <w:textAlignment w:val="auto"/>
              <w:rPr>
                <w:rFonts w:ascii="Times New Roman" w:hAnsi="Times New Roman" w:cs="Times New Roman"/>
                <w:b/>
                <w:color w:val="auto"/>
                <w:sz w:val="48"/>
              </w:rPr>
            </w:pPr>
            <w:r w:rsidRPr="0096032B">
              <w:rPr>
                <w:rFonts w:ascii="Times New Roman" w:hAnsi="Times New Roman" w:cs="Times New Roman"/>
                <w:b/>
                <w:color w:val="auto"/>
                <w:sz w:val="48"/>
              </w:rPr>
              <w:t>1600879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6B2A533F" w14:textId="3BF2A83D" w:rsidR="0096032B" w:rsidRPr="0096032B" w:rsidRDefault="0096032B" w:rsidP="0096032B">
            <w:pPr>
              <w:jc w:val="center"/>
              <w:rPr>
                <w:iCs/>
                <w:sz w:val="24"/>
                <w:szCs w:val="24"/>
                <w:u w:val="single"/>
              </w:rPr>
            </w:pPr>
            <w:r w:rsidRPr="0096032B">
              <w:rPr>
                <w:iCs/>
                <w:sz w:val="24"/>
                <w:szCs w:val="24"/>
                <w:u w:val="single"/>
              </w:rPr>
              <w:t xml:space="preserve">Porth </w:t>
            </w:r>
            <w:proofErr w:type="spellStart"/>
            <w:r w:rsidRPr="0096032B">
              <w:rPr>
                <w:iCs/>
                <w:sz w:val="24"/>
                <w:szCs w:val="24"/>
                <w:u w:val="single"/>
              </w:rPr>
              <w:t>Agored</w:t>
            </w:r>
            <w:proofErr w:type="spellEnd"/>
            <w:r w:rsidRPr="0096032B">
              <w:rPr>
                <w:iCs/>
                <w:sz w:val="24"/>
                <w:szCs w:val="24"/>
                <w:u w:val="single"/>
              </w:rPr>
              <w:t xml:space="preserve"> Graduate Certificate Task 3</w:t>
            </w:r>
          </w:p>
          <w:p w14:paraId="51C8982A" w14:textId="77777777" w:rsidR="0096032B" w:rsidRPr="0096032B" w:rsidRDefault="0096032B" w:rsidP="0096032B">
            <w:pPr>
              <w:jc w:val="both"/>
              <w:rPr>
                <w:iCs/>
                <w:sz w:val="24"/>
                <w:szCs w:val="24"/>
              </w:rPr>
            </w:pPr>
          </w:p>
          <w:p w14:paraId="17825BE7" w14:textId="77777777" w:rsidR="0096032B" w:rsidRDefault="0096032B" w:rsidP="0096032B">
            <w:pPr>
              <w:jc w:val="both"/>
              <w:rPr>
                <w:iCs/>
                <w:sz w:val="24"/>
                <w:szCs w:val="24"/>
              </w:rPr>
            </w:pPr>
            <w:r w:rsidRPr="0096032B">
              <w:rPr>
                <w:iCs/>
                <w:sz w:val="24"/>
                <w:szCs w:val="24"/>
              </w:rPr>
              <w:t>This case study will critically reflect on the children’s safeguarding process with reference to the procedures that guide social work assessment and intervention in Wales in addition to the interface with wider UK and global legislation and procedures. It will also reflect on my collaboration with other professional’s and service user’s.</w:t>
            </w:r>
          </w:p>
          <w:p w14:paraId="4C0376D5" w14:textId="77777777" w:rsidR="0096032B" w:rsidRPr="0096032B" w:rsidRDefault="0096032B" w:rsidP="0096032B">
            <w:pPr>
              <w:jc w:val="both"/>
              <w:rPr>
                <w:iCs/>
                <w:sz w:val="24"/>
                <w:szCs w:val="24"/>
              </w:rPr>
            </w:pPr>
          </w:p>
          <w:p w14:paraId="7F0C5BD2" w14:textId="77777777" w:rsidR="0096032B" w:rsidRDefault="0096032B" w:rsidP="0096032B">
            <w:pPr>
              <w:jc w:val="both"/>
              <w:rPr>
                <w:iCs/>
                <w:sz w:val="24"/>
                <w:szCs w:val="24"/>
              </w:rPr>
            </w:pPr>
            <w:r w:rsidRPr="0096032B">
              <w:rPr>
                <w:iCs/>
                <w:sz w:val="24"/>
                <w:szCs w:val="24"/>
              </w:rPr>
              <w:t xml:space="preserve">This task will focus on the case of 2, a </w:t>
            </w:r>
            <w:proofErr w:type="gramStart"/>
            <w:r w:rsidRPr="0096032B">
              <w:rPr>
                <w:iCs/>
                <w:sz w:val="24"/>
                <w:szCs w:val="24"/>
              </w:rPr>
              <w:t>14 year old</w:t>
            </w:r>
            <w:proofErr w:type="gramEnd"/>
            <w:r w:rsidRPr="0096032B">
              <w:rPr>
                <w:iCs/>
                <w:sz w:val="24"/>
                <w:szCs w:val="24"/>
              </w:rPr>
              <w:t xml:space="preserve"> male who lives with his father in a rural, seaside town where rural poverty is a factor with limited resources, employment prospects and public services which have a disproportionate impact on people’s outcomes (Williams and Doyle, 2016).</w:t>
            </w:r>
          </w:p>
          <w:p w14:paraId="78111D54" w14:textId="77777777" w:rsidR="0096032B" w:rsidRPr="0096032B" w:rsidRDefault="0096032B" w:rsidP="0096032B">
            <w:pPr>
              <w:jc w:val="both"/>
              <w:rPr>
                <w:iCs/>
                <w:sz w:val="24"/>
                <w:szCs w:val="24"/>
              </w:rPr>
            </w:pPr>
          </w:p>
          <w:p w14:paraId="182B7C41" w14:textId="77777777" w:rsidR="0096032B" w:rsidRDefault="0096032B" w:rsidP="0096032B">
            <w:pPr>
              <w:jc w:val="both"/>
              <w:rPr>
                <w:iCs/>
                <w:sz w:val="24"/>
                <w:szCs w:val="24"/>
              </w:rPr>
            </w:pPr>
            <w:r w:rsidRPr="0096032B">
              <w:rPr>
                <w:iCs/>
                <w:sz w:val="24"/>
                <w:szCs w:val="24"/>
              </w:rPr>
              <w:t xml:space="preserve">Whilst born and brought up in Wales to a British / Welsh family, the community 2 and his family reside has a large English-speaking diaspora and 2, whilst able to communicate through the median of Welsh, considered English to be his first language given that this was the only language spoken within the home. </w:t>
            </w:r>
          </w:p>
          <w:p w14:paraId="311F1278" w14:textId="77777777" w:rsidR="0096032B" w:rsidRPr="0096032B" w:rsidRDefault="0096032B" w:rsidP="0096032B">
            <w:pPr>
              <w:jc w:val="both"/>
              <w:rPr>
                <w:iCs/>
                <w:sz w:val="24"/>
                <w:szCs w:val="24"/>
              </w:rPr>
            </w:pPr>
          </w:p>
          <w:p w14:paraId="574A91EB" w14:textId="77777777" w:rsidR="0096032B" w:rsidRDefault="0096032B" w:rsidP="0096032B">
            <w:pPr>
              <w:jc w:val="both"/>
              <w:rPr>
                <w:iCs/>
                <w:sz w:val="24"/>
                <w:szCs w:val="24"/>
              </w:rPr>
            </w:pPr>
            <w:r w:rsidRPr="0096032B">
              <w:rPr>
                <w:iCs/>
                <w:sz w:val="24"/>
                <w:szCs w:val="24"/>
              </w:rPr>
              <w:t xml:space="preserve">2’s mother lives in a separate household with a younger sibling where contact is minimal. The relationship between 2’s parents are acrimonious with previous history of domestic violence perpetrated by 2’s father towards his mother and an incident of physical harm towards 2 himself. </w:t>
            </w:r>
          </w:p>
          <w:p w14:paraId="2C09D7CD" w14:textId="77777777" w:rsidR="0096032B" w:rsidRPr="0096032B" w:rsidRDefault="0096032B" w:rsidP="0096032B">
            <w:pPr>
              <w:jc w:val="both"/>
              <w:rPr>
                <w:iCs/>
                <w:sz w:val="24"/>
                <w:szCs w:val="24"/>
              </w:rPr>
            </w:pPr>
          </w:p>
          <w:p w14:paraId="62CCC913" w14:textId="77777777" w:rsidR="0096032B" w:rsidRDefault="0096032B" w:rsidP="0096032B">
            <w:pPr>
              <w:jc w:val="both"/>
              <w:rPr>
                <w:iCs/>
                <w:sz w:val="24"/>
                <w:szCs w:val="24"/>
              </w:rPr>
            </w:pPr>
            <w:r w:rsidRPr="0096032B">
              <w:rPr>
                <w:iCs/>
                <w:sz w:val="24"/>
                <w:szCs w:val="24"/>
              </w:rPr>
              <w:t xml:space="preserve">2 has an autism diagnosis and was receiving group intervention by myself and my team at the time safeguarding concerns were raised. 2 was open to an early intervention service where group intervention was offered as part of the care and support plan in line with the preventative and early-intervention principles promoted within the Social Services and Wellbeing (Wales) Act 2014 (SSWBA 2014) (Social Services and Wellbeing Act, 2014). </w:t>
            </w:r>
          </w:p>
          <w:p w14:paraId="702ABE56" w14:textId="77777777" w:rsidR="0096032B" w:rsidRPr="0096032B" w:rsidRDefault="0096032B" w:rsidP="0096032B">
            <w:pPr>
              <w:jc w:val="both"/>
              <w:rPr>
                <w:iCs/>
                <w:sz w:val="24"/>
                <w:szCs w:val="24"/>
              </w:rPr>
            </w:pPr>
          </w:p>
          <w:p w14:paraId="654ABC89" w14:textId="77777777" w:rsidR="0096032B" w:rsidRDefault="0096032B" w:rsidP="0096032B">
            <w:pPr>
              <w:jc w:val="both"/>
              <w:rPr>
                <w:iCs/>
                <w:sz w:val="24"/>
                <w:szCs w:val="24"/>
              </w:rPr>
            </w:pPr>
            <w:r w:rsidRPr="0096032B">
              <w:rPr>
                <w:iCs/>
                <w:sz w:val="24"/>
                <w:szCs w:val="24"/>
              </w:rPr>
              <w:t xml:space="preserve">2 was open to services on a care and support plan basis when receiving support from my team. At one of the group sessions 2 appeared to be visibly agitated and upset and spent most of the session detailing how he had found out that his father had begun a new relationship which had caused some friction between him and his father. ‘Blended’ families are becoming more commonplace across England and Wales with official data suggesting that of the 781,000 blended families 70% have dependent children (Office for National Statistics, 2024). </w:t>
            </w:r>
          </w:p>
          <w:p w14:paraId="5569F9D8" w14:textId="77777777" w:rsidR="0096032B" w:rsidRPr="0096032B" w:rsidRDefault="0096032B" w:rsidP="0096032B">
            <w:pPr>
              <w:jc w:val="both"/>
              <w:rPr>
                <w:iCs/>
                <w:sz w:val="24"/>
                <w:szCs w:val="24"/>
              </w:rPr>
            </w:pPr>
          </w:p>
          <w:p w14:paraId="7F2FBD6A" w14:textId="77777777" w:rsidR="0096032B" w:rsidRDefault="0096032B" w:rsidP="0096032B">
            <w:pPr>
              <w:jc w:val="both"/>
              <w:rPr>
                <w:iCs/>
                <w:sz w:val="24"/>
                <w:szCs w:val="24"/>
              </w:rPr>
            </w:pPr>
            <w:r w:rsidRPr="0096032B">
              <w:rPr>
                <w:iCs/>
                <w:sz w:val="24"/>
                <w:szCs w:val="24"/>
              </w:rPr>
              <w:t>Services working with the family were aware of the relationship between 2’s father and his partner however it was made clear that no attempt was made to explain this to 2. The family had recently been broken with 2’s mother and his younger sibling leaving the family home. It was evident that this was an emotionally testing time for 2 and processing the changing family makeup was proving to be difficult. Blended families can bring added complexity to the family environment with boundaries becoming blurred and unclear, potentially causing conflict (</w:t>
            </w:r>
            <w:proofErr w:type="spellStart"/>
            <w:r w:rsidRPr="0096032B">
              <w:rPr>
                <w:iCs/>
                <w:sz w:val="24"/>
                <w:szCs w:val="24"/>
              </w:rPr>
              <w:t>Zeleznikow</w:t>
            </w:r>
            <w:proofErr w:type="spellEnd"/>
            <w:r w:rsidRPr="0096032B">
              <w:rPr>
                <w:iCs/>
                <w:sz w:val="24"/>
                <w:szCs w:val="24"/>
              </w:rPr>
              <w:t xml:space="preserve"> &amp; </w:t>
            </w:r>
            <w:proofErr w:type="spellStart"/>
            <w:r w:rsidRPr="0096032B">
              <w:rPr>
                <w:iCs/>
                <w:sz w:val="24"/>
                <w:szCs w:val="24"/>
              </w:rPr>
              <w:t>Zeleznikow</w:t>
            </w:r>
            <w:proofErr w:type="spellEnd"/>
            <w:r w:rsidRPr="0096032B">
              <w:rPr>
                <w:iCs/>
                <w:sz w:val="24"/>
                <w:szCs w:val="24"/>
              </w:rPr>
              <w:t xml:space="preserve">, 2015). </w:t>
            </w:r>
          </w:p>
          <w:p w14:paraId="760B45C8" w14:textId="77777777" w:rsidR="0096032B" w:rsidRPr="0096032B" w:rsidRDefault="0096032B" w:rsidP="0096032B">
            <w:pPr>
              <w:jc w:val="both"/>
              <w:rPr>
                <w:iCs/>
                <w:sz w:val="24"/>
                <w:szCs w:val="24"/>
              </w:rPr>
            </w:pPr>
          </w:p>
          <w:p w14:paraId="6582900E" w14:textId="77777777" w:rsidR="0096032B" w:rsidRDefault="0096032B" w:rsidP="0096032B">
            <w:pPr>
              <w:jc w:val="both"/>
              <w:rPr>
                <w:iCs/>
                <w:sz w:val="24"/>
                <w:szCs w:val="24"/>
              </w:rPr>
            </w:pPr>
            <w:r w:rsidRPr="0096032B">
              <w:rPr>
                <w:iCs/>
                <w:sz w:val="24"/>
                <w:szCs w:val="24"/>
              </w:rPr>
              <w:t xml:space="preserve">It was becoming clear that the change in the family environment was having an impact on 2’s emotions. Studies suggest that changing family dynamics such as the birth of a younger sibling or a parental separation can disproportionately impact the behaviours of autistic and neurodivergent individual’s affecting factors such as social development and educational attainment (Wang, 2025). </w:t>
            </w:r>
          </w:p>
          <w:p w14:paraId="0D6FC58A" w14:textId="77777777" w:rsidR="0096032B" w:rsidRPr="0096032B" w:rsidRDefault="0096032B" w:rsidP="0096032B">
            <w:pPr>
              <w:jc w:val="both"/>
              <w:rPr>
                <w:iCs/>
                <w:sz w:val="24"/>
                <w:szCs w:val="24"/>
              </w:rPr>
            </w:pPr>
          </w:p>
          <w:p w14:paraId="5CDD4F5D" w14:textId="77777777" w:rsidR="0096032B" w:rsidRPr="0096032B" w:rsidRDefault="0096032B" w:rsidP="0096032B">
            <w:pPr>
              <w:jc w:val="both"/>
              <w:rPr>
                <w:iCs/>
                <w:sz w:val="24"/>
                <w:szCs w:val="24"/>
              </w:rPr>
            </w:pPr>
            <w:r w:rsidRPr="0096032B">
              <w:rPr>
                <w:iCs/>
                <w:sz w:val="24"/>
                <w:szCs w:val="24"/>
              </w:rPr>
              <w:t xml:space="preserve">Whilst the scenario was unexpected and potentially disruptive to the smooth running of the group; my colleague and I took a flexible approach to address 2’s concerns, ensuring that 2’s immediate welfare was safeguarded, at this point there were no safeguarding concerns disclosed. Given that other children and young people were present at the group, it was agreed with 2 that a visit to see him at school at the earliest possible opportunity to explore the situation further was agreed. there were no immediate risks to 2’s wellbeing at this point. </w:t>
            </w:r>
          </w:p>
          <w:p w14:paraId="2CAE715E" w14:textId="77777777" w:rsidR="0096032B" w:rsidRDefault="0096032B" w:rsidP="0096032B">
            <w:pPr>
              <w:jc w:val="both"/>
              <w:rPr>
                <w:iCs/>
                <w:sz w:val="24"/>
                <w:szCs w:val="24"/>
              </w:rPr>
            </w:pPr>
            <w:r w:rsidRPr="0096032B">
              <w:rPr>
                <w:iCs/>
                <w:sz w:val="24"/>
                <w:szCs w:val="24"/>
              </w:rPr>
              <w:t>I ensured that the visit to see 2 at school was done so in an appropriate environment which meant a room where 2 could disclose any feelings confidentially.</w:t>
            </w:r>
          </w:p>
          <w:p w14:paraId="20B40045" w14:textId="77777777" w:rsidR="0096032B" w:rsidRDefault="0096032B" w:rsidP="0096032B">
            <w:pPr>
              <w:jc w:val="both"/>
              <w:rPr>
                <w:iCs/>
                <w:sz w:val="24"/>
                <w:szCs w:val="24"/>
              </w:rPr>
            </w:pPr>
          </w:p>
          <w:p w14:paraId="50A6E3C0" w14:textId="3B3FFC04" w:rsidR="0096032B" w:rsidRDefault="0096032B" w:rsidP="0096032B">
            <w:pPr>
              <w:jc w:val="both"/>
              <w:rPr>
                <w:iCs/>
                <w:sz w:val="24"/>
                <w:szCs w:val="24"/>
              </w:rPr>
            </w:pPr>
            <w:r w:rsidRPr="0096032B">
              <w:rPr>
                <w:iCs/>
                <w:sz w:val="24"/>
                <w:szCs w:val="24"/>
              </w:rPr>
              <w:t xml:space="preserve"> During the visit, 2 disclosed that following the group session an incident of physical harm towards him had occurred perpetrated by his father. 2 provided a detailed account of the events following the group session. Following guidance provided by the Wales Safeguarding Procedures, I ensured that I listened attentively and recorded the information accurately (Safeguarding Wales, 2025).</w:t>
            </w:r>
          </w:p>
          <w:p w14:paraId="313A7A4D" w14:textId="2D8B3617" w:rsidR="0096032B" w:rsidRPr="0096032B" w:rsidRDefault="0096032B" w:rsidP="0096032B">
            <w:pPr>
              <w:jc w:val="both"/>
              <w:rPr>
                <w:iCs/>
                <w:sz w:val="24"/>
                <w:szCs w:val="24"/>
              </w:rPr>
            </w:pPr>
            <w:r w:rsidRPr="0096032B">
              <w:rPr>
                <w:iCs/>
                <w:sz w:val="24"/>
                <w:szCs w:val="24"/>
              </w:rPr>
              <w:t xml:space="preserve"> </w:t>
            </w:r>
          </w:p>
          <w:p w14:paraId="2B72BBCF" w14:textId="77777777" w:rsidR="0096032B" w:rsidRDefault="0096032B" w:rsidP="0096032B">
            <w:pPr>
              <w:jc w:val="both"/>
              <w:rPr>
                <w:iCs/>
                <w:sz w:val="24"/>
                <w:szCs w:val="24"/>
              </w:rPr>
            </w:pPr>
            <w:r w:rsidRPr="0096032B">
              <w:rPr>
                <w:iCs/>
                <w:sz w:val="24"/>
                <w:szCs w:val="24"/>
              </w:rPr>
              <w:t xml:space="preserve">I ensured not to ask leading questions as this can distort the account given by the child; it was important to use factual non-judgemental language during this interaction and it was made </w:t>
            </w:r>
            <w:r w:rsidRPr="0096032B">
              <w:rPr>
                <w:iCs/>
                <w:sz w:val="24"/>
                <w:szCs w:val="24"/>
              </w:rPr>
              <w:lastRenderedPageBreak/>
              <w:t>clear to 2 that the information could not be kept confidential as he was a child at risk of abuse, neglect or other harms and therefore had a duty to report to the local authority under Part 7 of the SSWBA 2014 (Social Services and Well-being (Wales) Act 2014).</w:t>
            </w:r>
          </w:p>
          <w:p w14:paraId="45962EB9" w14:textId="77777777" w:rsidR="0096032B" w:rsidRPr="0096032B" w:rsidRDefault="0096032B" w:rsidP="0096032B">
            <w:pPr>
              <w:jc w:val="both"/>
              <w:rPr>
                <w:iCs/>
                <w:sz w:val="24"/>
                <w:szCs w:val="24"/>
              </w:rPr>
            </w:pPr>
          </w:p>
          <w:p w14:paraId="6B9BB3E3" w14:textId="77777777" w:rsidR="0096032B" w:rsidRDefault="0096032B" w:rsidP="0096032B">
            <w:pPr>
              <w:jc w:val="both"/>
              <w:rPr>
                <w:iCs/>
                <w:sz w:val="24"/>
                <w:szCs w:val="24"/>
              </w:rPr>
            </w:pPr>
            <w:r w:rsidRPr="0096032B">
              <w:rPr>
                <w:iCs/>
                <w:sz w:val="24"/>
                <w:szCs w:val="24"/>
              </w:rPr>
              <w:t xml:space="preserve">Information disclosed by 2’s disclosure indicated that the family unit were under strain following changes in the family dynamic, in this case a new relationship between 2’s father and a partner. It was also known to services prior to this incident that the relationship between 2’s mother and father were acrimonious, with limited contact and cooperation between them, 2 and his younger sibling living apart and 2’s father making allegations of abuse against 2’s mother in his presence. </w:t>
            </w:r>
          </w:p>
          <w:p w14:paraId="797D735E" w14:textId="77777777" w:rsidR="0096032B" w:rsidRPr="0096032B" w:rsidRDefault="0096032B" w:rsidP="0096032B">
            <w:pPr>
              <w:jc w:val="both"/>
              <w:rPr>
                <w:iCs/>
                <w:sz w:val="24"/>
                <w:szCs w:val="24"/>
              </w:rPr>
            </w:pPr>
          </w:p>
          <w:p w14:paraId="4F50F470" w14:textId="77777777" w:rsidR="0096032B" w:rsidRDefault="0096032B" w:rsidP="0096032B">
            <w:pPr>
              <w:jc w:val="both"/>
              <w:rPr>
                <w:iCs/>
                <w:sz w:val="24"/>
                <w:szCs w:val="24"/>
              </w:rPr>
            </w:pPr>
            <w:r w:rsidRPr="0096032B">
              <w:rPr>
                <w:iCs/>
                <w:sz w:val="24"/>
                <w:szCs w:val="24"/>
              </w:rPr>
              <w:t xml:space="preserve">I found it useful to use family systems theory to understand 2’s situation. The theory maintains that families are generally interconnected with nobody acting in isolation and everyone having a role to play, thus when a link within the family becomes strained whether through illness, absence or a pattern of behaviours it impacts the wider family often influencing the mood of others within the family. The theory asks practitioners to consider and try to understand what is happening within the family, which might be contributing to the challenges as opposed to what is wrong with the individual in this case 2’s behaviour (Bowen, 1978). </w:t>
            </w:r>
          </w:p>
          <w:p w14:paraId="4F7F357B" w14:textId="77777777" w:rsidR="0096032B" w:rsidRPr="0096032B" w:rsidRDefault="0096032B" w:rsidP="0096032B">
            <w:pPr>
              <w:jc w:val="both"/>
              <w:rPr>
                <w:iCs/>
                <w:sz w:val="24"/>
                <w:szCs w:val="24"/>
              </w:rPr>
            </w:pPr>
          </w:p>
          <w:p w14:paraId="6FBE58F5" w14:textId="77777777" w:rsidR="0096032B" w:rsidRDefault="0096032B" w:rsidP="0096032B">
            <w:pPr>
              <w:jc w:val="both"/>
              <w:rPr>
                <w:iCs/>
                <w:sz w:val="24"/>
                <w:szCs w:val="24"/>
              </w:rPr>
            </w:pPr>
            <w:r w:rsidRPr="0096032B">
              <w:rPr>
                <w:iCs/>
                <w:sz w:val="24"/>
                <w:szCs w:val="24"/>
              </w:rPr>
              <w:t xml:space="preserve">With the information collected a report was made to the relevant safeguarding children’s service, whereby a strategy meeting was held shortly after to determine the next steps in the process. As a social worker within the local authority and someone who had regular contact with 2 and some background knowledge on the family, I was asked to attend the strategy meeting alongside colleagues from children’s services and the Police. The strategy meeting is a process which determines whether a child protection enquiry should be initiated. The strategy considers the immediate welfare of the child and whether any actions should be taken in addition as to whether police involvement is required. The strategy in this case concluded that in accordance with section 47 of the Children Act 1989 a section 47 enquiry should be initiated on a joint basis between the local authority and given the nature of the allegations made the police service (Children Act, 1989). </w:t>
            </w:r>
          </w:p>
          <w:p w14:paraId="4E00F937" w14:textId="77777777" w:rsidR="0096032B" w:rsidRPr="0096032B" w:rsidRDefault="0096032B" w:rsidP="0096032B">
            <w:pPr>
              <w:jc w:val="both"/>
              <w:rPr>
                <w:iCs/>
                <w:sz w:val="24"/>
                <w:szCs w:val="24"/>
              </w:rPr>
            </w:pPr>
          </w:p>
          <w:p w14:paraId="74679AE6" w14:textId="77777777" w:rsidR="0096032B" w:rsidRDefault="0096032B" w:rsidP="0096032B">
            <w:pPr>
              <w:jc w:val="both"/>
              <w:rPr>
                <w:iCs/>
                <w:sz w:val="24"/>
                <w:szCs w:val="24"/>
              </w:rPr>
            </w:pPr>
            <w:r w:rsidRPr="0096032B">
              <w:rPr>
                <w:iCs/>
                <w:sz w:val="24"/>
                <w:szCs w:val="24"/>
              </w:rPr>
              <w:t xml:space="preserve">Having considered 2’s needs carefully, particularly his neurodivergence, it was determined that I was to have direct, collaborative involvement within the S.47 enquiry process as someone who was familiar to 2 and perceived as a trusted adult. Autistic and neurodivergent individuals can find it difficult to cope when meeting new individuals struggling with social interaction in addition to taking time to build rapport and trust with individuals. Given the need for both the Children’s social worker and Police to collate important information within a short timeframe, it was hoped my presence would reassure 2 that he could trust the professional’s present (Sturrock et al., 2021). </w:t>
            </w:r>
          </w:p>
          <w:p w14:paraId="078AA55E" w14:textId="77777777" w:rsidR="0096032B" w:rsidRPr="0096032B" w:rsidRDefault="0096032B" w:rsidP="0096032B">
            <w:pPr>
              <w:jc w:val="both"/>
              <w:rPr>
                <w:iCs/>
                <w:sz w:val="24"/>
                <w:szCs w:val="24"/>
              </w:rPr>
            </w:pPr>
          </w:p>
          <w:p w14:paraId="45AE58F9" w14:textId="77777777" w:rsidR="0096032B" w:rsidRDefault="0096032B" w:rsidP="0096032B">
            <w:pPr>
              <w:jc w:val="both"/>
              <w:rPr>
                <w:iCs/>
                <w:sz w:val="24"/>
                <w:szCs w:val="24"/>
              </w:rPr>
            </w:pPr>
            <w:r w:rsidRPr="0096032B">
              <w:rPr>
                <w:iCs/>
                <w:sz w:val="24"/>
                <w:szCs w:val="24"/>
              </w:rPr>
              <w:t xml:space="preserve">Working collaboratively with the social worker and police child protection officer together we took Carl Roger’s person-centred approach to the interaction with 2, taking his individual needs into account. Collectively we were able to ensure 2 felt comfortable in disclosing information during the enquiry (Murphy, Duggan and Joseph, 2013). </w:t>
            </w:r>
          </w:p>
          <w:p w14:paraId="172C4FC2" w14:textId="77777777" w:rsidR="0096032B" w:rsidRPr="0096032B" w:rsidRDefault="0096032B" w:rsidP="0096032B">
            <w:pPr>
              <w:jc w:val="both"/>
              <w:rPr>
                <w:iCs/>
                <w:sz w:val="24"/>
                <w:szCs w:val="24"/>
              </w:rPr>
            </w:pPr>
          </w:p>
          <w:p w14:paraId="4C982631" w14:textId="77777777" w:rsidR="0096032B" w:rsidRDefault="0096032B" w:rsidP="0096032B">
            <w:pPr>
              <w:jc w:val="both"/>
              <w:rPr>
                <w:iCs/>
                <w:sz w:val="24"/>
                <w:szCs w:val="24"/>
              </w:rPr>
            </w:pPr>
            <w:r w:rsidRPr="0096032B">
              <w:rPr>
                <w:iCs/>
                <w:sz w:val="24"/>
                <w:szCs w:val="24"/>
              </w:rPr>
              <w:lastRenderedPageBreak/>
              <w:t>Roger’s theory is based on the core assumption that every person has the drive to personal and psychological growth and to change to fulfil their ambitions. Problems arise when growth is blocked by certain environments, in this case that could be a challenging home environment or the breakup of the family unit, in other cases it may be the school environment possessing sensory and communicatory challenges for a child or young person. The person-centred model always asserts that it is the individual who is the expert in their own experiences and not the practitioner. In this model the practitioner must work to understand the individual’s internal world as if they themselves were that individual focusing on empathy and understanding (Rogers, 1951).</w:t>
            </w:r>
          </w:p>
          <w:p w14:paraId="2F42B3C2" w14:textId="77777777" w:rsidR="0096032B" w:rsidRPr="0096032B" w:rsidRDefault="0096032B" w:rsidP="0096032B">
            <w:pPr>
              <w:jc w:val="both"/>
              <w:rPr>
                <w:iCs/>
                <w:sz w:val="24"/>
                <w:szCs w:val="24"/>
              </w:rPr>
            </w:pPr>
          </w:p>
          <w:p w14:paraId="03FE088F" w14:textId="77777777" w:rsidR="0096032B" w:rsidRDefault="0096032B" w:rsidP="0096032B">
            <w:pPr>
              <w:jc w:val="both"/>
              <w:rPr>
                <w:iCs/>
                <w:sz w:val="24"/>
                <w:szCs w:val="24"/>
              </w:rPr>
            </w:pPr>
            <w:r w:rsidRPr="0096032B">
              <w:rPr>
                <w:iCs/>
                <w:sz w:val="24"/>
                <w:szCs w:val="24"/>
              </w:rPr>
              <w:t xml:space="preserve">I found this a particularly important approach in this case when trying to understand 2’s view of the world around him and the way in which it is interpreted through his neuro-divergence. The person-centred approach can be especially relevant for autistic or neurodivergent individuals as its principles seek to view the person from their own communication style, sensory preferences, interests and wider identity as opposed to trying to make them fit into neurotypical norms. By adopting this approach, I was able to reduce distress on 2 and seek to avoid any autistic ‘masking’ which may have led to 2 hiding any relevant information (Quinn,2023). </w:t>
            </w:r>
          </w:p>
          <w:p w14:paraId="450CC284" w14:textId="77777777" w:rsidR="0096032B" w:rsidRPr="0096032B" w:rsidRDefault="0096032B" w:rsidP="0096032B">
            <w:pPr>
              <w:jc w:val="both"/>
              <w:rPr>
                <w:iCs/>
                <w:sz w:val="24"/>
                <w:szCs w:val="24"/>
              </w:rPr>
            </w:pPr>
          </w:p>
          <w:p w14:paraId="439B18DC" w14:textId="77777777" w:rsidR="0096032B" w:rsidRDefault="0096032B" w:rsidP="0096032B">
            <w:pPr>
              <w:jc w:val="both"/>
              <w:rPr>
                <w:iCs/>
                <w:sz w:val="24"/>
                <w:szCs w:val="24"/>
              </w:rPr>
            </w:pPr>
            <w:r w:rsidRPr="0096032B">
              <w:rPr>
                <w:iCs/>
                <w:sz w:val="24"/>
                <w:szCs w:val="24"/>
              </w:rPr>
              <w:t xml:space="preserve">Following the conclusion of the enquiries it was determined that an Initial Child Protection Conference (ICPC) be held to determine whether 2’s name should be placed on the local authority’s child protection register. </w:t>
            </w:r>
          </w:p>
          <w:p w14:paraId="3B076135" w14:textId="77777777" w:rsidR="0096032B" w:rsidRPr="0096032B" w:rsidRDefault="0096032B" w:rsidP="0096032B">
            <w:pPr>
              <w:jc w:val="both"/>
              <w:rPr>
                <w:iCs/>
                <w:sz w:val="24"/>
                <w:szCs w:val="24"/>
              </w:rPr>
            </w:pPr>
          </w:p>
          <w:p w14:paraId="301591A1" w14:textId="77777777" w:rsidR="0096032B" w:rsidRDefault="0096032B" w:rsidP="0096032B">
            <w:pPr>
              <w:jc w:val="both"/>
              <w:rPr>
                <w:iCs/>
                <w:sz w:val="24"/>
                <w:szCs w:val="24"/>
              </w:rPr>
            </w:pPr>
            <w:r w:rsidRPr="0096032B">
              <w:rPr>
                <w:iCs/>
                <w:sz w:val="24"/>
                <w:szCs w:val="24"/>
              </w:rPr>
              <w:t xml:space="preserve">My specific role is uniquely placed as I operate across both children and adults’ services whilst also specialising in a specific area. Whilst safeguarding concerns do appear, cases are not as frequent as those peers working within statutory services. My role means that I must have sufficient up to date knowledge of procedures across both disciplines. Effective supervision, peer support and advice and readily available access to information and tools such as the Safeguarding Wales app allowed me to keep up to date with relevant procedures and legislation, all three means were used in this case. </w:t>
            </w:r>
          </w:p>
          <w:p w14:paraId="758EDA47" w14:textId="77777777" w:rsidR="0096032B" w:rsidRPr="0096032B" w:rsidRDefault="0096032B" w:rsidP="0096032B">
            <w:pPr>
              <w:jc w:val="both"/>
              <w:rPr>
                <w:iCs/>
                <w:sz w:val="24"/>
                <w:szCs w:val="24"/>
              </w:rPr>
            </w:pPr>
          </w:p>
          <w:p w14:paraId="4FD11C80" w14:textId="0458CD9B" w:rsidR="0096032B" w:rsidRDefault="0096032B" w:rsidP="0096032B">
            <w:pPr>
              <w:jc w:val="both"/>
              <w:rPr>
                <w:iCs/>
                <w:sz w:val="24"/>
                <w:szCs w:val="24"/>
              </w:rPr>
            </w:pPr>
            <w:r w:rsidRPr="0096032B">
              <w:rPr>
                <w:iCs/>
                <w:sz w:val="24"/>
                <w:szCs w:val="24"/>
              </w:rPr>
              <w:t xml:space="preserve">The legislative and procedural context can be particularly confusing for safeguarding practitioners in Wales. This is namely due to the interface between Welsh, devolved law and UK Parliamentary law. The primary legislative framework for child safeguarding practice in Wales is the Social Services and Wellbeing (Wales) Act 2014 (SSWBA 2014), through imposing statutory duties on local authorities and public bodies such as the duty to report concerns as outlined above (Social Services and Well-being (Wales) Act 2014). </w:t>
            </w:r>
          </w:p>
          <w:p w14:paraId="665F4822" w14:textId="77777777" w:rsidR="0096032B" w:rsidRPr="0096032B" w:rsidRDefault="0096032B" w:rsidP="0096032B">
            <w:pPr>
              <w:jc w:val="both"/>
              <w:rPr>
                <w:iCs/>
                <w:sz w:val="24"/>
                <w:szCs w:val="24"/>
              </w:rPr>
            </w:pPr>
          </w:p>
          <w:p w14:paraId="243F29B4" w14:textId="77777777" w:rsidR="0096032B" w:rsidRDefault="0096032B" w:rsidP="0096032B">
            <w:pPr>
              <w:jc w:val="both"/>
              <w:rPr>
                <w:iCs/>
                <w:sz w:val="24"/>
                <w:szCs w:val="24"/>
              </w:rPr>
            </w:pPr>
            <w:r w:rsidRPr="0096032B">
              <w:rPr>
                <w:iCs/>
                <w:sz w:val="24"/>
                <w:szCs w:val="24"/>
              </w:rPr>
              <w:t xml:space="preserve">Under sections 134-137 of the SSWBA 2014, Children safeguarding boards have been established which include local authorities, the police, health boards, probation and youth offending services. The safeguarding board’s duties include conducting practice reviews and investigations into serious cases, monitoring the effectiveness of multi-agency collaboration and reviewing training needs for practitioners, all with the core aim of protecting children at risk of abuse, neglect or other harm (Welsh Government, 2021). </w:t>
            </w:r>
          </w:p>
          <w:p w14:paraId="79678F9F" w14:textId="77777777" w:rsidR="0096032B" w:rsidRPr="0096032B" w:rsidRDefault="0096032B" w:rsidP="0096032B">
            <w:pPr>
              <w:jc w:val="both"/>
              <w:rPr>
                <w:iCs/>
                <w:sz w:val="24"/>
                <w:szCs w:val="24"/>
              </w:rPr>
            </w:pPr>
          </w:p>
          <w:p w14:paraId="262F91A5" w14:textId="77777777" w:rsidR="0096032B" w:rsidRPr="0096032B" w:rsidRDefault="0096032B" w:rsidP="0096032B">
            <w:pPr>
              <w:jc w:val="both"/>
              <w:rPr>
                <w:iCs/>
                <w:sz w:val="24"/>
                <w:szCs w:val="24"/>
              </w:rPr>
            </w:pPr>
            <w:r w:rsidRPr="0096032B">
              <w:rPr>
                <w:iCs/>
                <w:sz w:val="24"/>
                <w:szCs w:val="24"/>
              </w:rPr>
              <w:lastRenderedPageBreak/>
              <w:t>The Wales Safeguarding Procedures (WSP) translate the SSWBA 2014 into operational practice, which is used by multi-agency professionals to investigate safeguarding concerns. Prior to the introduction of the SSWBA 2014 and WSP The Children Act 2004 would underpin the partnership working and multi-agency approach to safeguarding (Children Act 2004).</w:t>
            </w:r>
          </w:p>
          <w:p w14:paraId="09F323B6" w14:textId="77777777" w:rsidR="0096032B" w:rsidRDefault="0096032B" w:rsidP="0096032B">
            <w:pPr>
              <w:jc w:val="both"/>
              <w:rPr>
                <w:iCs/>
                <w:sz w:val="24"/>
                <w:szCs w:val="24"/>
              </w:rPr>
            </w:pPr>
            <w:r w:rsidRPr="0096032B">
              <w:rPr>
                <w:iCs/>
                <w:sz w:val="24"/>
                <w:szCs w:val="24"/>
              </w:rPr>
              <w:t xml:space="preserve">In cases such as this, The Children Act 1989, still apply especially in relation to court proceedings, the creation of care orders and serious protection work, such as S.47 enquiries (Children Act, 1989). </w:t>
            </w:r>
          </w:p>
          <w:p w14:paraId="1C688140" w14:textId="77777777" w:rsidR="0096032B" w:rsidRPr="0096032B" w:rsidRDefault="0096032B" w:rsidP="0096032B">
            <w:pPr>
              <w:jc w:val="both"/>
              <w:rPr>
                <w:iCs/>
                <w:sz w:val="24"/>
                <w:szCs w:val="24"/>
              </w:rPr>
            </w:pPr>
          </w:p>
          <w:p w14:paraId="4FADBC82" w14:textId="77777777" w:rsidR="0096032B" w:rsidRDefault="0096032B" w:rsidP="0096032B">
            <w:pPr>
              <w:jc w:val="both"/>
              <w:rPr>
                <w:iCs/>
                <w:sz w:val="24"/>
                <w:szCs w:val="24"/>
              </w:rPr>
            </w:pPr>
            <w:r w:rsidRPr="0096032B">
              <w:rPr>
                <w:iCs/>
                <w:sz w:val="24"/>
                <w:szCs w:val="24"/>
              </w:rPr>
              <w:t xml:space="preserve">This case involved an allegation of physical harm towards a child by a parent, which determines in accordance with the WSP determines that an Initial Child Protection Case Conference (ICPC) should be held within 15 working days of the strategy discussion (NSPCC, 2026). </w:t>
            </w:r>
          </w:p>
          <w:p w14:paraId="0E4C5FD6" w14:textId="77777777" w:rsidR="0096032B" w:rsidRPr="0096032B" w:rsidRDefault="0096032B" w:rsidP="0096032B">
            <w:pPr>
              <w:jc w:val="both"/>
              <w:rPr>
                <w:iCs/>
                <w:sz w:val="24"/>
                <w:szCs w:val="24"/>
              </w:rPr>
            </w:pPr>
          </w:p>
          <w:p w14:paraId="57259454" w14:textId="77777777" w:rsidR="0096032B" w:rsidRDefault="0096032B" w:rsidP="0096032B">
            <w:pPr>
              <w:jc w:val="both"/>
              <w:rPr>
                <w:iCs/>
                <w:sz w:val="24"/>
                <w:szCs w:val="24"/>
              </w:rPr>
            </w:pPr>
            <w:r w:rsidRPr="0096032B">
              <w:rPr>
                <w:iCs/>
                <w:sz w:val="24"/>
                <w:szCs w:val="24"/>
              </w:rPr>
              <w:t xml:space="preserve">2’s father claimed that no physical harm was used, however did admit to restraining or physically manoeuvring in a way to protect 2 and others. Whilst reasonable punishment was not explicitly cited by 2’s father, it is important to note that in Wales the Children (Abolition of Defence of Reasonable Punishment) (Wales) Act 2020 was introduced which prohibits the use of reasonable punishment (Children (Abolition of Defence of Reasonable Punishment) (Wales) Act 2020). </w:t>
            </w:r>
          </w:p>
          <w:p w14:paraId="698C67D7" w14:textId="77777777" w:rsidR="0096032B" w:rsidRPr="0096032B" w:rsidRDefault="0096032B" w:rsidP="0096032B">
            <w:pPr>
              <w:jc w:val="both"/>
              <w:rPr>
                <w:iCs/>
                <w:sz w:val="24"/>
                <w:szCs w:val="24"/>
              </w:rPr>
            </w:pPr>
          </w:p>
          <w:p w14:paraId="57B830D5" w14:textId="77777777" w:rsidR="0096032B" w:rsidRDefault="0096032B" w:rsidP="0096032B">
            <w:pPr>
              <w:jc w:val="both"/>
              <w:rPr>
                <w:iCs/>
                <w:sz w:val="24"/>
                <w:szCs w:val="24"/>
              </w:rPr>
            </w:pPr>
            <w:r w:rsidRPr="0096032B">
              <w:rPr>
                <w:iCs/>
                <w:sz w:val="24"/>
                <w:szCs w:val="24"/>
              </w:rPr>
              <w:t xml:space="preserve">Practice in this case would differ in England as parents with parental responsibility can rely on the defence of reasonable punishment dependent on the nature of the punishment, under section 58 of the of the Children Act 2004, potentially creating more legal ambiguity for safeguarding professionals in England than in Wales where the legislation provides legal clarity (Children Act 2004, s.58). </w:t>
            </w:r>
          </w:p>
          <w:p w14:paraId="302F7524" w14:textId="77777777" w:rsidR="0096032B" w:rsidRPr="0096032B" w:rsidRDefault="0096032B" w:rsidP="0096032B">
            <w:pPr>
              <w:jc w:val="both"/>
              <w:rPr>
                <w:iCs/>
                <w:sz w:val="24"/>
                <w:szCs w:val="24"/>
              </w:rPr>
            </w:pPr>
          </w:p>
          <w:p w14:paraId="50363ECF" w14:textId="77777777" w:rsidR="0096032B" w:rsidRDefault="0096032B" w:rsidP="0096032B">
            <w:pPr>
              <w:jc w:val="both"/>
              <w:rPr>
                <w:iCs/>
                <w:sz w:val="24"/>
                <w:szCs w:val="24"/>
              </w:rPr>
            </w:pPr>
            <w:r w:rsidRPr="0096032B">
              <w:rPr>
                <w:iCs/>
                <w:sz w:val="24"/>
                <w:szCs w:val="24"/>
              </w:rPr>
              <w:t xml:space="preserve">The legislative and procedural approach in Wales reinforces the concept of the child’s individual rights, where Wales has embedded the principals of the United Nations Convention on the Rights of the Child (UNCRC) which is reinforced through the Rights of Children and Young Persons (Wales) Measure 2011. The measure echoes the principles of the UNCRC ensuring that practitioners in Wales are protected from harm, are heard and have decisions made in their best interest. This differs again from the approach in England where the UNCRC influences policy but is not directly embedded in domestic legislation (Rights of Children and Young Persons (Wales) Measure 2011). </w:t>
            </w:r>
          </w:p>
          <w:p w14:paraId="2F9E12E1" w14:textId="77777777" w:rsidR="0096032B" w:rsidRPr="0096032B" w:rsidRDefault="0096032B" w:rsidP="0096032B">
            <w:pPr>
              <w:jc w:val="both"/>
              <w:rPr>
                <w:iCs/>
                <w:sz w:val="24"/>
                <w:szCs w:val="24"/>
              </w:rPr>
            </w:pPr>
          </w:p>
          <w:p w14:paraId="4C146676" w14:textId="23B2E55E" w:rsidR="0096032B" w:rsidRDefault="0096032B" w:rsidP="0096032B">
            <w:pPr>
              <w:jc w:val="both"/>
              <w:rPr>
                <w:iCs/>
                <w:sz w:val="24"/>
                <w:szCs w:val="24"/>
              </w:rPr>
            </w:pPr>
            <w:r w:rsidRPr="0096032B">
              <w:rPr>
                <w:iCs/>
                <w:sz w:val="24"/>
                <w:szCs w:val="24"/>
              </w:rPr>
              <w:t>Whilst the United Kingdom no longer forms part of the European Union</w:t>
            </w:r>
            <w:r w:rsidR="00557FB7">
              <w:rPr>
                <w:iCs/>
                <w:sz w:val="24"/>
                <w:szCs w:val="24"/>
              </w:rPr>
              <w:t>,</w:t>
            </w:r>
            <w:r w:rsidRPr="0096032B">
              <w:rPr>
                <w:iCs/>
                <w:sz w:val="24"/>
                <w:szCs w:val="24"/>
              </w:rPr>
              <w:t xml:space="preserve"> thus EU law no longer directly applies, principles of international conventions such as the UNCRC and Human Rights Act 1998 still frame practice in Wales (Human Rights Act 1998). </w:t>
            </w:r>
          </w:p>
          <w:p w14:paraId="4DA8C310" w14:textId="77777777" w:rsidR="0096032B" w:rsidRPr="0096032B" w:rsidRDefault="0096032B" w:rsidP="0096032B">
            <w:pPr>
              <w:jc w:val="both"/>
              <w:rPr>
                <w:iCs/>
                <w:sz w:val="24"/>
                <w:szCs w:val="24"/>
              </w:rPr>
            </w:pPr>
          </w:p>
          <w:p w14:paraId="45AB9FD9" w14:textId="77777777" w:rsidR="0096032B" w:rsidRDefault="0096032B" w:rsidP="0096032B">
            <w:pPr>
              <w:jc w:val="both"/>
              <w:rPr>
                <w:iCs/>
                <w:sz w:val="24"/>
                <w:szCs w:val="24"/>
              </w:rPr>
            </w:pPr>
            <w:r w:rsidRPr="0096032B">
              <w:rPr>
                <w:iCs/>
                <w:sz w:val="24"/>
                <w:szCs w:val="24"/>
              </w:rPr>
              <w:t xml:space="preserve">Whilst such international conventions and rights have informed social work practice for several decades, current political discourse suggests that they remain vulnerable to being reformed or removed entirely form statute in some areas, which could lead to some ambiguity as to how such conventions are to be embedded in social work practice in future (Klug and </w:t>
            </w:r>
            <w:proofErr w:type="spellStart"/>
            <w:r w:rsidRPr="0096032B">
              <w:rPr>
                <w:iCs/>
                <w:sz w:val="24"/>
                <w:szCs w:val="24"/>
              </w:rPr>
              <w:t>Wildbore</w:t>
            </w:r>
            <w:proofErr w:type="spellEnd"/>
            <w:r w:rsidRPr="0096032B">
              <w:rPr>
                <w:iCs/>
                <w:sz w:val="24"/>
                <w:szCs w:val="24"/>
              </w:rPr>
              <w:t xml:space="preserve">, 2022). </w:t>
            </w:r>
          </w:p>
          <w:p w14:paraId="3AFF179E" w14:textId="77777777" w:rsidR="0096032B" w:rsidRPr="0096032B" w:rsidRDefault="0096032B" w:rsidP="0096032B">
            <w:pPr>
              <w:jc w:val="both"/>
              <w:rPr>
                <w:iCs/>
                <w:sz w:val="24"/>
                <w:szCs w:val="24"/>
              </w:rPr>
            </w:pPr>
          </w:p>
          <w:p w14:paraId="64201FA5" w14:textId="77777777" w:rsidR="0096032B" w:rsidRDefault="0096032B" w:rsidP="0096032B">
            <w:pPr>
              <w:jc w:val="both"/>
              <w:rPr>
                <w:iCs/>
                <w:sz w:val="24"/>
                <w:szCs w:val="24"/>
              </w:rPr>
            </w:pPr>
            <w:r w:rsidRPr="0096032B">
              <w:rPr>
                <w:iCs/>
                <w:sz w:val="24"/>
                <w:szCs w:val="24"/>
              </w:rPr>
              <w:lastRenderedPageBreak/>
              <w:t xml:space="preserve">There remains examples of other countries outside the EU who take a similar rights-based approach to child safeguarding similar to Wales, notably New Zealand is credited for its child-centred, culturally informed and preventative approach through acts such as the </w:t>
            </w:r>
            <w:proofErr w:type="spellStart"/>
            <w:r w:rsidRPr="0096032B">
              <w:rPr>
                <w:iCs/>
                <w:sz w:val="24"/>
                <w:szCs w:val="24"/>
              </w:rPr>
              <w:t>Oranga</w:t>
            </w:r>
            <w:proofErr w:type="spellEnd"/>
            <w:r w:rsidRPr="0096032B">
              <w:rPr>
                <w:iCs/>
                <w:sz w:val="24"/>
                <w:szCs w:val="24"/>
              </w:rPr>
              <w:t xml:space="preserve"> Tamariki Act 1989 (formerly Children, Young Persons, and Their Families Act) which closely mirrors the approach in Wales (New Zealand Parliament, 1989).</w:t>
            </w:r>
          </w:p>
          <w:p w14:paraId="4532A23A" w14:textId="77777777" w:rsidR="0096032B" w:rsidRPr="0096032B" w:rsidRDefault="0096032B" w:rsidP="0096032B">
            <w:pPr>
              <w:jc w:val="both"/>
              <w:rPr>
                <w:iCs/>
                <w:sz w:val="24"/>
                <w:szCs w:val="24"/>
              </w:rPr>
            </w:pPr>
          </w:p>
          <w:p w14:paraId="3F6AF8A6" w14:textId="77777777" w:rsidR="0096032B" w:rsidRDefault="0096032B" w:rsidP="0096032B">
            <w:pPr>
              <w:jc w:val="both"/>
              <w:rPr>
                <w:iCs/>
                <w:sz w:val="24"/>
                <w:szCs w:val="24"/>
              </w:rPr>
            </w:pPr>
            <w:r w:rsidRPr="0096032B">
              <w:rPr>
                <w:iCs/>
                <w:sz w:val="24"/>
                <w:szCs w:val="24"/>
              </w:rPr>
              <w:t>There are also examples of countries who take a differing approach to child protection than Wales and other western nations. In Ghana and other sub-Saharan African nations safeguarding is often embedded within a model of community or family and tribal norms. Whilst Ghana has adopted the UNCRC and has established a children’s act, the overall framework seems weak with everyday community practice clashing with formal statutory rights, differing from the strong presence of national legislation and state and / or local authority responsibility seen in Wales (</w:t>
            </w:r>
            <w:proofErr w:type="spellStart"/>
            <w:r w:rsidRPr="0096032B">
              <w:rPr>
                <w:iCs/>
                <w:sz w:val="24"/>
                <w:szCs w:val="24"/>
              </w:rPr>
              <w:t>Ofei</w:t>
            </w:r>
            <w:proofErr w:type="spellEnd"/>
            <w:r w:rsidRPr="0096032B">
              <w:rPr>
                <w:rFonts w:ascii="Cambria Math" w:hAnsi="Cambria Math" w:cs="Cambria Math"/>
                <w:iCs/>
                <w:sz w:val="24"/>
                <w:szCs w:val="24"/>
              </w:rPr>
              <w:t>‑</w:t>
            </w:r>
            <w:r w:rsidRPr="0096032B">
              <w:rPr>
                <w:iCs/>
                <w:sz w:val="24"/>
                <w:szCs w:val="24"/>
              </w:rPr>
              <w:t xml:space="preserve">Aboagye, 2011). </w:t>
            </w:r>
          </w:p>
          <w:p w14:paraId="76D84157" w14:textId="77777777" w:rsidR="0096032B" w:rsidRPr="0096032B" w:rsidRDefault="0096032B" w:rsidP="0096032B">
            <w:pPr>
              <w:jc w:val="both"/>
              <w:rPr>
                <w:iCs/>
                <w:sz w:val="24"/>
                <w:szCs w:val="24"/>
              </w:rPr>
            </w:pPr>
          </w:p>
          <w:p w14:paraId="5CD3CE7C" w14:textId="241894DA" w:rsidR="0096032B" w:rsidRDefault="0096032B" w:rsidP="0096032B">
            <w:pPr>
              <w:jc w:val="both"/>
              <w:rPr>
                <w:iCs/>
                <w:sz w:val="24"/>
                <w:szCs w:val="24"/>
              </w:rPr>
            </w:pPr>
            <w:r w:rsidRPr="0096032B">
              <w:rPr>
                <w:iCs/>
                <w:sz w:val="24"/>
                <w:szCs w:val="24"/>
              </w:rPr>
              <w:t>The ICPC which was chaired by an Independent Reviewing Officer and includes attendance from agencies who work with the child and family, including attendance from parents, which in this case had to be held in two parts with 2’s mother and father attending separately due to a history of domestic violence and antagonism within the relationship. The ICPC concluded that the threshold for significant harm was reached and 2’s name was registered under the sub-categories of physical and emotional harm. The threshold for significant harm is established through section 31(2) of the Children Act 1989 which is defined as to whether the child is suffering or likely to suffer from significant harm</w:t>
            </w:r>
            <w:r w:rsidR="00930F77">
              <w:rPr>
                <w:iCs/>
                <w:sz w:val="24"/>
                <w:szCs w:val="24"/>
              </w:rPr>
              <w:t>. In this case a</w:t>
            </w:r>
            <w:r w:rsidRPr="0096032B">
              <w:rPr>
                <w:iCs/>
                <w:sz w:val="24"/>
                <w:szCs w:val="24"/>
              </w:rPr>
              <w:t xml:space="preserve"> core group of multi-agency practitioners including myself and a key worker from the team would form part of the Child Protection Plan</w:t>
            </w:r>
            <w:r w:rsidR="00930F77">
              <w:rPr>
                <w:iCs/>
                <w:sz w:val="24"/>
                <w:szCs w:val="24"/>
              </w:rPr>
              <w:t xml:space="preserve"> </w:t>
            </w:r>
            <w:r w:rsidR="00930F77" w:rsidRPr="00930F77">
              <w:rPr>
                <w:iCs/>
                <w:sz w:val="24"/>
                <w:szCs w:val="24"/>
              </w:rPr>
              <w:t>(Children Act 1989, s.31(2)).</w:t>
            </w:r>
          </w:p>
          <w:p w14:paraId="454F2377" w14:textId="77777777" w:rsidR="0096032B" w:rsidRPr="0096032B" w:rsidRDefault="0096032B" w:rsidP="0096032B">
            <w:pPr>
              <w:jc w:val="both"/>
              <w:rPr>
                <w:iCs/>
                <w:sz w:val="24"/>
                <w:szCs w:val="24"/>
              </w:rPr>
            </w:pPr>
          </w:p>
          <w:p w14:paraId="44A54928" w14:textId="77777777" w:rsidR="0096032B" w:rsidRDefault="0096032B" w:rsidP="0096032B">
            <w:pPr>
              <w:jc w:val="both"/>
              <w:rPr>
                <w:iCs/>
                <w:sz w:val="24"/>
                <w:szCs w:val="24"/>
              </w:rPr>
            </w:pPr>
            <w:r w:rsidRPr="0096032B">
              <w:rPr>
                <w:iCs/>
                <w:sz w:val="24"/>
                <w:szCs w:val="24"/>
              </w:rPr>
              <w:t xml:space="preserve">In this case the Autism Code of Practice is also relevant. 2’s neurodivergence was a significant factor of consideration in the events that led to the safeguarding concerns, to which our team were present to offer advice, information and support to practitioners and the family to ensure best practice was used in this area. The Code of practice in Wales is a statutory code included under the SSWBA 2014 which places a duty on local authorities and public bodies in relation to the provision of autism services, this includes access to assessment and information, more effective collaboration between health and social care and an expectation on practitioners to undertake training and development in relation to autism and neurodivergence (Welsh Government, 2021). </w:t>
            </w:r>
          </w:p>
          <w:p w14:paraId="7EE160EB" w14:textId="77777777" w:rsidR="0096032B" w:rsidRPr="0096032B" w:rsidRDefault="0096032B" w:rsidP="0096032B">
            <w:pPr>
              <w:jc w:val="both"/>
              <w:rPr>
                <w:iCs/>
                <w:sz w:val="24"/>
                <w:szCs w:val="24"/>
              </w:rPr>
            </w:pPr>
          </w:p>
          <w:p w14:paraId="13F462C5" w14:textId="77777777" w:rsidR="0096032B" w:rsidRDefault="0096032B" w:rsidP="0096032B">
            <w:pPr>
              <w:jc w:val="both"/>
              <w:rPr>
                <w:iCs/>
                <w:sz w:val="24"/>
                <w:szCs w:val="24"/>
              </w:rPr>
            </w:pPr>
            <w:r w:rsidRPr="0096032B">
              <w:rPr>
                <w:iCs/>
                <w:sz w:val="24"/>
                <w:szCs w:val="24"/>
              </w:rPr>
              <w:t xml:space="preserve">Communication is of particular importance when involving children and young people in the decisions made about them especially within safeguarding cases and this is emphasised even more so in the context of neurodivergence, with autistic people often experiencing difficulties with communication such as interpreting literal language or being impacted by sensory sensitivities, which can fuel further anxiety and isolation (Attwood and Garnett, 2024). </w:t>
            </w:r>
          </w:p>
          <w:p w14:paraId="179F3887" w14:textId="77777777" w:rsidR="005771F1" w:rsidRPr="0096032B" w:rsidRDefault="005771F1" w:rsidP="0096032B">
            <w:pPr>
              <w:jc w:val="both"/>
              <w:rPr>
                <w:iCs/>
                <w:sz w:val="24"/>
                <w:szCs w:val="24"/>
              </w:rPr>
            </w:pPr>
          </w:p>
          <w:p w14:paraId="217DCDE0" w14:textId="77777777" w:rsidR="0096032B" w:rsidRDefault="0096032B" w:rsidP="0096032B">
            <w:pPr>
              <w:jc w:val="both"/>
              <w:rPr>
                <w:iCs/>
                <w:sz w:val="24"/>
                <w:szCs w:val="24"/>
              </w:rPr>
            </w:pPr>
            <w:r w:rsidRPr="0096032B">
              <w:rPr>
                <w:iCs/>
                <w:sz w:val="24"/>
                <w:szCs w:val="24"/>
              </w:rPr>
              <w:t xml:space="preserve">In this case 2’s language preferences had been previously established, with a preference for English language communication over Welsh. Whilst in 2’s case his communication choices were actively respected it would be wrong to suggest that autistic individuals in general have difficulties within bilingual communities with evidence suggesting that bilingualism boosts </w:t>
            </w:r>
            <w:r w:rsidRPr="0096032B">
              <w:rPr>
                <w:iCs/>
                <w:sz w:val="24"/>
                <w:szCs w:val="24"/>
              </w:rPr>
              <w:lastRenderedPageBreak/>
              <w:t>cognitive flexibility and social engagement within autistic children in some cases exceeding their monolingual autistic peers (</w:t>
            </w:r>
            <w:proofErr w:type="spellStart"/>
            <w:r w:rsidRPr="0096032B">
              <w:rPr>
                <w:iCs/>
                <w:sz w:val="24"/>
                <w:szCs w:val="24"/>
              </w:rPr>
              <w:t>Peristeri</w:t>
            </w:r>
            <w:proofErr w:type="spellEnd"/>
            <w:r w:rsidRPr="0096032B">
              <w:rPr>
                <w:iCs/>
                <w:sz w:val="24"/>
                <w:szCs w:val="24"/>
              </w:rPr>
              <w:t xml:space="preserve"> et al., 2021).</w:t>
            </w:r>
          </w:p>
          <w:p w14:paraId="05C32E4D" w14:textId="77777777" w:rsidR="0096032B" w:rsidRPr="0096032B" w:rsidRDefault="0096032B" w:rsidP="0096032B">
            <w:pPr>
              <w:jc w:val="both"/>
              <w:rPr>
                <w:iCs/>
                <w:sz w:val="24"/>
                <w:szCs w:val="24"/>
              </w:rPr>
            </w:pPr>
          </w:p>
          <w:p w14:paraId="724FC797" w14:textId="211613F4" w:rsidR="0096032B" w:rsidRDefault="0096032B" w:rsidP="0096032B">
            <w:pPr>
              <w:jc w:val="both"/>
              <w:rPr>
                <w:iCs/>
                <w:sz w:val="24"/>
                <w:szCs w:val="24"/>
              </w:rPr>
            </w:pPr>
            <w:r w:rsidRPr="0096032B">
              <w:rPr>
                <w:iCs/>
                <w:sz w:val="24"/>
                <w:szCs w:val="24"/>
              </w:rPr>
              <w:t>To foster effective engagement with 2, I utilised some neuro</w:t>
            </w:r>
            <w:r w:rsidR="00557FB7">
              <w:rPr>
                <w:iCs/>
                <w:sz w:val="24"/>
                <w:szCs w:val="24"/>
              </w:rPr>
              <w:t>-</w:t>
            </w:r>
            <w:r w:rsidRPr="0096032B">
              <w:rPr>
                <w:iCs/>
                <w:sz w:val="24"/>
                <w:szCs w:val="24"/>
              </w:rPr>
              <w:t xml:space="preserve">affirmative techniques which helped improve communication between us. This included providing a sensory-aware space, offering a comfortable familiar room within the school environment and offering reasonable adjustments such as light and seating preferences. In one visit I sat in a chair where 2 had sat in the previous visit, this caused some minor agitation to 2 who stood up next to the chair I was sat on as opposed to sitting in another chair, I quickly realised what I had done and offered 2 my chair, with me returning to the seat I had previously sat in. Whilst to many this may seem a very minor adjustment to cope with, such accommodations can improve engagement with autistic individuals and offers predictability and structure (Ibañez et al., 2018). </w:t>
            </w:r>
          </w:p>
          <w:p w14:paraId="794504C9" w14:textId="77777777" w:rsidR="0096032B" w:rsidRPr="0096032B" w:rsidRDefault="0096032B" w:rsidP="0096032B">
            <w:pPr>
              <w:jc w:val="both"/>
              <w:rPr>
                <w:iCs/>
                <w:sz w:val="24"/>
                <w:szCs w:val="24"/>
              </w:rPr>
            </w:pPr>
          </w:p>
          <w:p w14:paraId="79A8D50D" w14:textId="77777777" w:rsidR="0096032B" w:rsidRDefault="0096032B" w:rsidP="0096032B">
            <w:pPr>
              <w:jc w:val="both"/>
              <w:rPr>
                <w:iCs/>
                <w:sz w:val="24"/>
                <w:szCs w:val="24"/>
              </w:rPr>
            </w:pPr>
            <w:r w:rsidRPr="0096032B">
              <w:rPr>
                <w:iCs/>
                <w:sz w:val="24"/>
                <w:szCs w:val="24"/>
              </w:rPr>
              <w:t>In addition to being sensory aware during my interactions with 2, I also ensured that choice was offered during communication this varied from using a drawing or sketching based activity to answer questions, to playing games such as dominoes. I also found it helped to adopt hypothetical scenario’s during conversations which allowed 2 to explore possible alternative scenario’s and explore choice further. Whilst presenting hypothetical or imaginary scenarios might not be effective with some neurodivergent individuals rigid thinking and difficulty with social communication it proved to be a successful strategy with 2 (Craig and Baron-Cohen, 1999).</w:t>
            </w:r>
          </w:p>
          <w:p w14:paraId="1ADBF311" w14:textId="77777777" w:rsidR="0096032B" w:rsidRPr="0096032B" w:rsidRDefault="0096032B" w:rsidP="0096032B">
            <w:pPr>
              <w:jc w:val="both"/>
              <w:rPr>
                <w:iCs/>
                <w:sz w:val="24"/>
                <w:szCs w:val="24"/>
              </w:rPr>
            </w:pPr>
          </w:p>
          <w:p w14:paraId="5D0254D3" w14:textId="77777777" w:rsidR="0096032B" w:rsidRDefault="0096032B" w:rsidP="0096032B">
            <w:pPr>
              <w:jc w:val="both"/>
              <w:rPr>
                <w:iCs/>
                <w:sz w:val="24"/>
                <w:szCs w:val="24"/>
              </w:rPr>
            </w:pPr>
            <w:r w:rsidRPr="0096032B">
              <w:rPr>
                <w:iCs/>
                <w:sz w:val="24"/>
                <w:szCs w:val="24"/>
              </w:rPr>
              <w:t>My role had several parts within the process, the first part was to offer specialist advice and guidance to the case holding social worker and where appropriate to wider multidisciplinary colleagues to ensure that any decisions taken were done so through a neuro-affirmative lens, ensuring 2’s best interests were considered.</w:t>
            </w:r>
          </w:p>
          <w:p w14:paraId="0C84D4D2" w14:textId="77777777" w:rsidR="0096032B" w:rsidRPr="0096032B" w:rsidRDefault="0096032B" w:rsidP="0096032B">
            <w:pPr>
              <w:jc w:val="both"/>
              <w:rPr>
                <w:iCs/>
                <w:sz w:val="24"/>
                <w:szCs w:val="24"/>
              </w:rPr>
            </w:pPr>
          </w:p>
          <w:p w14:paraId="3D7CFB4B" w14:textId="77777777" w:rsidR="0096032B" w:rsidRDefault="0096032B" w:rsidP="0096032B">
            <w:pPr>
              <w:jc w:val="both"/>
              <w:rPr>
                <w:iCs/>
                <w:sz w:val="24"/>
                <w:szCs w:val="24"/>
              </w:rPr>
            </w:pPr>
            <w:r w:rsidRPr="0096032B">
              <w:rPr>
                <w:iCs/>
                <w:sz w:val="24"/>
                <w:szCs w:val="24"/>
              </w:rPr>
              <w:t xml:space="preserve">I was also seen as a trusted individual for 2, whilst I was happy to play this role it also added further pressure to ensure that 2 was appropriately listened to and that his voice was heard. During the ICPC, 2’s father was challenging and conflictual with professional’s present especially the case holding social worker, during the conference I was able to share information based on what 2 had shared with me directly which was able to bring the focus of the conference back on to the child. 2’s father responded well to my contribution and did not appear to be as challenging towards me. </w:t>
            </w:r>
          </w:p>
          <w:p w14:paraId="27F2A98B" w14:textId="77777777" w:rsidR="0096032B" w:rsidRPr="0096032B" w:rsidRDefault="0096032B" w:rsidP="0096032B">
            <w:pPr>
              <w:jc w:val="both"/>
              <w:rPr>
                <w:iCs/>
                <w:sz w:val="24"/>
                <w:szCs w:val="24"/>
              </w:rPr>
            </w:pPr>
          </w:p>
          <w:p w14:paraId="7EC14183" w14:textId="77777777" w:rsidR="0096032B" w:rsidRDefault="0096032B" w:rsidP="0096032B">
            <w:pPr>
              <w:jc w:val="both"/>
              <w:rPr>
                <w:iCs/>
                <w:sz w:val="24"/>
                <w:szCs w:val="24"/>
              </w:rPr>
            </w:pPr>
            <w:r w:rsidRPr="0096032B">
              <w:rPr>
                <w:iCs/>
                <w:sz w:val="24"/>
                <w:szCs w:val="24"/>
              </w:rPr>
              <w:t xml:space="preserve">With this dynamic having been established it became clearer that I was to also play a </w:t>
            </w:r>
            <w:proofErr w:type="spellStart"/>
            <w:r w:rsidRPr="0096032B">
              <w:rPr>
                <w:iCs/>
                <w:sz w:val="24"/>
                <w:szCs w:val="24"/>
              </w:rPr>
              <w:t>defacto</w:t>
            </w:r>
            <w:proofErr w:type="spellEnd"/>
            <w:r w:rsidRPr="0096032B">
              <w:rPr>
                <w:iCs/>
                <w:sz w:val="24"/>
                <w:szCs w:val="24"/>
              </w:rPr>
              <w:t xml:space="preserve"> advocacy role in this case. Utilising the social work advocacy practice model I was able to define the cause or case for advocacy (promoting 2’s voice within he child protection process), the outcomes (ensuring 2 was protected and the outcomes of the child protection plan were fulfilled), whilst also using various strategies influenced by the practice model such as collaborative negotiation, I would often act as a conduit between both parents and then between the family and the professionals involved, whilst it increased my commitment to the case during the child protection process more than it would normally do, this strategy was effective in the most part in achieving improved collaboration between the family and professionals (Bliss, 2015). </w:t>
            </w:r>
          </w:p>
          <w:p w14:paraId="4232B431" w14:textId="77777777" w:rsidR="0096032B" w:rsidRPr="0096032B" w:rsidRDefault="0096032B" w:rsidP="0096032B">
            <w:pPr>
              <w:jc w:val="both"/>
              <w:rPr>
                <w:iCs/>
                <w:sz w:val="24"/>
                <w:szCs w:val="24"/>
              </w:rPr>
            </w:pPr>
          </w:p>
          <w:p w14:paraId="56FB338D" w14:textId="77777777" w:rsidR="0096032B" w:rsidRDefault="0096032B" w:rsidP="0096032B">
            <w:pPr>
              <w:jc w:val="both"/>
              <w:rPr>
                <w:iCs/>
                <w:sz w:val="24"/>
                <w:szCs w:val="24"/>
              </w:rPr>
            </w:pPr>
            <w:r w:rsidRPr="0096032B">
              <w:rPr>
                <w:iCs/>
                <w:sz w:val="24"/>
                <w:szCs w:val="24"/>
              </w:rPr>
              <w:t xml:space="preserve">2’s father made multiple attempts to frustrate the Child protection process, namely by influencing and manipulating 2 to view professional’s negatively, during the process the relationship between 2 and his initial social worker broke down resulting in a new worker being allocated midway through the process. A high turnover in caseworkers can lead to feelings of abandonment and mistrust and reluctance to form new bonds amongst children and young people, leading to adverse outcomes (Curry, 2019). </w:t>
            </w:r>
          </w:p>
          <w:p w14:paraId="3948A5D2" w14:textId="77777777" w:rsidR="0096032B" w:rsidRPr="0096032B" w:rsidRDefault="0096032B" w:rsidP="0096032B">
            <w:pPr>
              <w:jc w:val="both"/>
              <w:rPr>
                <w:iCs/>
                <w:sz w:val="24"/>
                <w:szCs w:val="24"/>
              </w:rPr>
            </w:pPr>
          </w:p>
          <w:p w14:paraId="7DF596E3" w14:textId="77777777" w:rsidR="0096032B" w:rsidRDefault="0096032B" w:rsidP="0096032B">
            <w:pPr>
              <w:jc w:val="both"/>
              <w:rPr>
                <w:iCs/>
                <w:sz w:val="24"/>
                <w:szCs w:val="24"/>
              </w:rPr>
            </w:pPr>
            <w:r w:rsidRPr="0096032B">
              <w:rPr>
                <w:iCs/>
                <w:sz w:val="24"/>
                <w:szCs w:val="24"/>
              </w:rPr>
              <w:t xml:space="preserve">Whilst 2’s father attempted to manipulate 2 into viewing myself negatively by labelling me as a “social worker like the rest” my role was explained clearly to 2 as being separate to that of the child protection team role. by this stage trust had been established between 2 and </w:t>
            </w:r>
            <w:proofErr w:type="gramStart"/>
            <w:r w:rsidRPr="0096032B">
              <w:rPr>
                <w:iCs/>
                <w:sz w:val="24"/>
                <w:szCs w:val="24"/>
              </w:rPr>
              <w:t>myself</w:t>
            </w:r>
            <w:proofErr w:type="gramEnd"/>
            <w:r w:rsidRPr="0096032B">
              <w:rPr>
                <w:iCs/>
                <w:sz w:val="24"/>
                <w:szCs w:val="24"/>
              </w:rPr>
              <w:t xml:space="preserve"> and it became clear that 2’s father was unable to influence a breakdown in the collaboration between us. </w:t>
            </w:r>
          </w:p>
          <w:p w14:paraId="7988F3ED" w14:textId="77777777" w:rsidR="0096032B" w:rsidRPr="0096032B" w:rsidRDefault="0096032B" w:rsidP="0096032B">
            <w:pPr>
              <w:jc w:val="both"/>
              <w:rPr>
                <w:iCs/>
                <w:sz w:val="24"/>
                <w:szCs w:val="24"/>
              </w:rPr>
            </w:pPr>
          </w:p>
          <w:p w14:paraId="51AA8D88" w14:textId="77777777" w:rsidR="0096032B" w:rsidRDefault="0096032B" w:rsidP="0096032B">
            <w:pPr>
              <w:jc w:val="both"/>
              <w:rPr>
                <w:iCs/>
                <w:sz w:val="24"/>
                <w:szCs w:val="24"/>
              </w:rPr>
            </w:pPr>
            <w:r w:rsidRPr="0096032B">
              <w:rPr>
                <w:iCs/>
                <w:sz w:val="24"/>
                <w:szCs w:val="24"/>
              </w:rPr>
              <w:t>It was considered an asset to the professionals involved that I was viewed as a positive male role model on 2 where he previously may have lacked one. An England only study found that over 600,000 boys between 12-16 do not have access to a trusted adult outside of their family, with calls from several influential organisations calling for the UK Government to ensure boys have a trusted adult guarantee within the school, community or sport setting (BBC, 2025).</w:t>
            </w:r>
          </w:p>
          <w:p w14:paraId="03E4FEA8" w14:textId="77777777" w:rsidR="0096032B" w:rsidRPr="0096032B" w:rsidRDefault="0096032B" w:rsidP="0096032B">
            <w:pPr>
              <w:jc w:val="both"/>
              <w:rPr>
                <w:iCs/>
                <w:sz w:val="24"/>
                <w:szCs w:val="24"/>
              </w:rPr>
            </w:pPr>
          </w:p>
          <w:p w14:paraId="1704790B" w14:textId="77777777" w:rsidR="0096032B" w:rsidRDefault="0096032B" w:rsidP="0096032B">
            <w:pPr>
              <w:jc w:val="both"/>
              <w:rPr>
                <w:iCs/>
                <w:sz w:val="24"/>
                <w:szCs w:val="24"/>
              </w:rPr>
            </w:pPr>
            <w:r w:rsidRPr="0096032B">
              <w:rPr>
                <w:iCs/>
                <w:sz w:val="24"/>
                <w:szCs w:val="24"/>
              </w:rPr>
              <w:t>Having prompted that my involvement with 2 would likely be only in the short to medium term, I along with the case holding social worker identified individuals within the school environment who could also act as a trusted adult for 2 when my involvement would eventually come to an end. With transitions both small and large being particularly difficult to navigate for some neurodivergent individuals, we acted to ensure that two members of staff within school who 2 had a previous positive connection with were identified as trusted individuals, who 2 could share his wishes and feelings with (Crane et al., 2022).</w:t>
            </w:r>
          </w:p>
          <w:p w14:paraId="58EA22E3" w14:textId="77777777" w:rsidR="0096032B" w:rsidRPr="0096032B" w:rsidRDefault="0096032B" w:rsidP="0096032B">
            <w:pPr>
              <w:jc w:val="both"/>
              <w:rPr>
                <w:iCs/>
                <w:sz w:val="24"/>
                <w:szCs w:val="24"/>
              </w:rPr>
            </w:pPr>
          </w:p>
          <w:p w14:paraId="21A45E49" w14:textId="77777777" w:rsidR="0096032B" w:rsidRDefault="0096032B" w:rsidP="0096032B">
            <w:pPr>
              <w:jc w:val="both"/>
              <w:rPr>
                <w:iCs/>
                <w:sz w:val="24"/>
                <w:szCs w:val="24"/>
              </w:rPr>
            </w:pPr>
            <w:r w:rsidRPr="0096032B">
              <w:rPr>
                <w:iCs/>
                <w:sz w:val="24"/>
                <w:szCs w:val="24"/>
              </w:rPr>
              <w:t>Professional curiosity and collaboration were used during this process frequently to understand what was happening within the family. A lack of professional curiosity in this case would not have led to the safeguarding concerns being identified in the first instance, such as the follow-up visit to school that triggered the initial safeguarding referral. During the process professionals were often told various stories by the family as to why certain events had occurred, 2’s father in particular would fabricate events, both my open and honest dialogue with 2 and the case holding social workers further exploration of events (i.e. to view social media profiles or talk with other family members) would lead to professionals being able to firmly establish the facts and move beyond any false or fabricated versions of events (Cumbria Safeguarding Children Partnership, 2024).</w:t>
            </w:r>
          </w:p>
          <w:p w14:paraId="2B5A4AB7" w14:textId="77777777" w:rsidR="0096032B" w:rsidRPr="0096032B" w:rsidRDefault="0096032B" w:rsidP="0096032B">
            <w:pPr>
              <w:jc w:val="both"/>
              <w:rPr>
                <w:iCs/>
                <w:sz w:val="24"/>
                <w:szCs w:val="24"/>
              </w:rPr>
            </w:pPr>
          </w:p>
          <w:p w14:paraId="39C1CE58" w14:textId="77777777" w:rsidR="0096032B" w:rsidRDefault="0096032B" w:rsidP="0096032B">
            <w:pPr>
              <w:jc w:val="both"/>
              <w:rPr>
                <w:iCs/>
                <w:sz w:val="24"/>
                <w:szCs w:val="24"/>
              </w:rPr>
            </w:pPr>
            <w:r w:rsidRPr="0096032B">
              <w:rPr>
                <w:iCs/>
                <w:sz w:val="24"/>
                <w:szCs w:val="24"/>
              </w:rPr>
              <w:t xml:space="preserve">With several complexities existing in this case, it was difficult for us as professionals at times to provide appropriate analysis and judgement. One of the ways I felt aided was to utilise Siobhan Maclean’s ‘onion layers’ model. In its simplest iteration the model directs professionals to look at the outer, middle and inner layers of a situation the outer layer being the environmental or societal factors the middle layer focusing on social support networks such as school, family and services with the inner layer analysing the individual’s identity, thoughts, feelings and behaviours, I had unique insight and analysis to provide on the inner </w:t>
            </w:r>
            <w:r w:rsidRPr="0096032B">
              <w:rPr>
                <w:iCs/>
                <w:sz w:val="24"/>
                <w:szCs w:val="24"/>
              </w:rPr>
              <w:lastRenderedPageBreak/>
              <w:t>layer both through my neurodivergence specific expertise (i.e. explaining behaviour and autistic identity) and through my trusted relationship with 2 allowing him to share open an honestly his thoughts and feelings; for me to be able contribute effectively back to the wider core group of professionals and family involved with the child protection plan (Maclean, 2023).</w:t>
            </w:r>
          </w:p>
          <w:p w14:paraId="274DC6E2" w14:textId="77777777" w:rsidR="001C5D08" w:rsidRPr="0096032B" w:rsidRDefault="001C5D08" w:rsidP="0096032B">
            <w:pPr>
              <w:jc w:val="both"/>
              <w:rPr>
                <w:iCs/>
                <w:sz w:val="24"/>
                <w:szCs w:val="24"/>
              </w:rPr>
            </w:pPr>
          </w:p>
          <w:p w14:paraId="5B15C5CE" w14:textId="77777777" w:rsidR="0096032B" w:rsidRDefault="0096032B" w:rsidP="0096032B">
            <w:pPr>
              <w:jc w:val="both"/>
              <w:rPr>
                <w:iCs/>
                <w:sz w:val="24"/>
                <w:szCs w:val="24"/>
              </w:rPr>
            </w:pPr>
            <w:r w:rsidRPr="0096032B">
              <w:rPr>
                <w:iCs/>
                <w:sz w:val="24"/>
                <w:szCs w:val="24"/>
              </w:rPr>
              <w:t xml:space="preserve">This case provided a good opportunity to reflect on my practice, refresh knowledge on the children’s safeguarding processes and legislation, in addition to allowing me the space to utilise and exercise varying social work techniques to apply analysis and intervention effectively. </w:t>
            </w:r>
          </w:p>
          <w:p w14:paraId="3DD64DFA" w14:textId="77777777" w:rsidR="0096032B" w:rsidRPr="0096032B" w:rsidRDefault="0096032B" w:rsidP="0096032B">
            <w:pPr>
              <w:jc w:val="both"/>
              <w:rPr>
                <w:iCs/>
                <w:sz w:val="24"/>
                <w:szCs w:val="24"/>
              </w:rPr>
            </w:pPr>
          </w:p>
          <w:p w14:paraId="6D5266BF" w14:textId="77777777" w:rsidR="0096032B" w:rsidRDefault="0096032B" w:rsidP="0096032B">
            <w:pPr>
              <w:jc w:val="both"/>
              <w:rPr>
                <w:iCs/>
                <w:sz w:val="24"/>
                <w:szCs w:val="24"/>
              </w:rPr>
            </w:pPr>
            <w:r w:rsidRPr="0096032B">
              <w:rPr>
                <w:iCs/>
                <w:sz w:val="24"/>
                <w:szCs w:val="24"/>
              </w:rPr>
              <w:t xml:space="preserve">The case presented some ethical and professional dilemmas from differences in legislation on reasonable punishment between Welsh and the wider UK context, to ensuring practitioners involved with the case were practicing in a neuro-affirmative way through making often small but meaningful adjustments to practice to improve outcomes. </w:t>
            </w:r>
          </w:p>
          <w:p w14:paraId="5B24B495" w14:textId="77777777" w:rsidR="001C5D08" w:rsidRPr="0096032B" w:rsidRDefault="001C5D08" w:rsidP="0096032B">
            <w:pPr>
              <w:jc w:val="both"/>
              <w:rPr>
                <w:iCs/>
                <w:sz w:val="24"/>
                <w:szCs w:val="24"/>
              </w:rPr>
            </w:pPr>
          </w:p>
          <w:p w14:paraId="12DC2F24" w14:textId="0D3C9158" w:rsidR="00D3203C" w:rsidRDefault="0096032B" w:rsidP="0096032B">
            <w:pPr>
              <w:jc w:val="both"/>
              <w:rPr>
                <w:iCs/>
                <w:sz w:val="24"/>
                <w:szCs w:val="24"/>
              </w:rPr>
            </w:pPr>
            <w:r w:rsidRPr="0096032B">
              <w:rPr>
                <w:iCs/>
                <w:sz w:val="24"/>
                <w:szCs w:val="24"/>
              </w:rPr>
              <w:t>Above all the case highlighted that social work practitioners should take a flexible and pragmatic approach to ascertaining the child’s voice is always heard, even if this means taking on sub-roles not traditionally provided within our job’s initial scope.</w:t>
            </w:r>
          </w:p>
          <w:p w14:paraId="179E2266" w14:textId="77777777" w:rsidR="0096032B" w:rsidRDefault="0096032B" w:rsidP="0096032B">
            <w:pPr>
              <w:jc w:val="both"/>
              <w:rPr>
                <w:iCs/>
                <w:sz w:val="24"/>
                <w:szCs w:val="24"/>
              </w:rPr>
            </w:pPr>
          </w:p>
          <w:p w14:paraId="42D13E45" w14:textId="21F491D4" w:rsidR="0096032B" w:rsidRPr="0096032B" w:rsidRDefault="0096032B" w:rsidP="0096032B">
            <w:pPr>
              <w:jc w:val="both"/>
              <w:rPr>
                <w:iCs/>
                <w:sz w:val="24"/>
                <w:szCs w:val="24"/>
              </w:rPr>
            </w:pPr>
            <w:r>
              <w:rPr>
                <w:iCs/>
                <w:sz w:val="24"/>
                <w:szCs w:val="24"/>
              </w:rPr>
              <w:t>Wordcount: 4,04</w:t>
            </w:r>
            <w:r w:rsidR="00930F77">
              <w:rPr>
                <w:iCs/>
                <w:sz w:val="24"/>
                <w:szCs w:val="24"/>
              </w:rPr>
              <w:t>3</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AE899" w14:textId="77777777" w:rsidR="00F31CFE" w:rsidRDefault="00F31CFE">
      <w:r>
        <w:separator/>
      </w:r>
    </w:p>
  </w:endnote>
  <w:endnote w:type="continuationSeparator" w:id="0">
    <w:p w14:paraId="3CB70F44" w14:textId="77777777" w:rsidR="00F31CFE" w:rsidRDefault="00F31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283A3" w14:textId="77777777" w:rsidR="00F31CFE" w:rsidRDefault="00F31CFE">
      <w:r>
        <w:separator/>
      </w:r>
    </w:p>
  </w:footnote>
  <w:footnote w:type="continuationSeparator" w:id="0">
    <w:p w14:paraId="6931EA08" w14:textId="77777777" w:rsidR="00F31CFE" w:rsidRDefault="00F31C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113A"/>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C5D08"/>
    <w:rsid w:val="001D229F"/>
    <w:rsid w:val="001E2EB6"/>
    <w:rsid w:val="001F4552"/>
    <w:rsid w:val="001F6FDD"/>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4B5C"/>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57FB7"/>
    <w:rsid w:val="00562EAA"/>
    <w:rsid w:val="00563B58"/>
    <w:rsid w:val="005640C4"/>
    <w:rsid w:val="0056684C"/>
    <w:rsid w:val="00574A0C"/>
    <w:rsid w:val="005771F1"/>
    <w:rsid w:val="0057780F"/>
    <w:rsid w:val="00581E0A"/>
    <w:rsid w:val="00586D89"/>
    <w:rsid w:val="005877C8"/>
    <w:rsid w:val="00587923"/>
    <w:rsid w:val="00594F9F"/>
    <w:rsid w:val="005A1B4C"/>
    <w:rsid w:val="005A545C"/>
    <w:rsid w:val="005B271A"/>
    <w:rsid w:val="005B2AC1"/>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0F77"/>
    <w:rsid w:val="00934EC9"/>
    <w:rsid w:val="0094495F"/>
    <w:rsid w:val="009544C0"/>
    <w:rsid w:val="00954FA4"/>
    <w:rsid w:val="00956AE9"/>
    <w:rsid w:val="0096032B"/>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110"/>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46E7"/>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4C7D"/>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1CFE"/>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10</Pages>
  <Words>4270</Words>
  <Characters>22976</Characters>
  <Application>Microsoft Office Word</Application>
  <DocSecurity>0</DocSecurity>
  <Lines>417</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Steffan William Chambers (PLANT)</cp:lastModifiedBy>
  <cp:revision>4</cp:revision>
  <cp:lastPrinted>2020-02-11T19:20:00Z</cp:lastPrinted>
  <dcterms:created xsi:type="dcterms:W3CDTF">2026-02-17T14:39:00Z</dcterms:created>
  <dcterms:modified xsi:type="dcterms:W3CDTF">2026-02-23T11:23:00Z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