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662FB" w14:textId="77777777" w:rsidR="00200AC7" w:rsidRDefault="00200AC7" w:rsidP="00200AC7">
      <w:pPr>
        <w:jc w:val="center"/>
        <w:rPr>
          <w:rFonts w:ascii="Times New Roman" w:hAnsi="Times New Roman" w:cs="Times New Roman"/>
          <w:b/>
          <w:bCs/>
          <w:sz w:val="72"/>
          <w:szCs w:val="72"/>
        </w:rPr>
      </w:pPr>
    </w:p>
    <w:p w14:paraId="3A9959D2" w14:textId="5D5A4277" w:rsidR="00200AC7" w:rsidRDefault="00200AC7" w:rsidP="00200AC7">
      <w:pPr>
        <w:jc w:val="center"/>
        <w:rPr>
          <w:rFonts w:ascii="Times New Roman" w:hAnsi="Times New Roman" w:cs="Times New Roman"/>
          <w:b/>
          <w:bCs/>
          <w:sz w:val="72"/>
          <w:szCs w:val="72"/>
        </w:rPr>
      </w:pPr>
    </w:p>
    <w:p w14:paraId="6AB4ACBD" w14:textId="77777777" w:rsidR="00200AC7" w:rsidRDefault="00200AC7" w:rsidP="00200AC7">
      <w:pPr>
        <w:jc w:val="center"/>
        <w:rPr>
          <w:rFonts w:ascii="Times New Roman" w:hAnsi="Times New Roman" w:cs="Times New Roman"/>
          <w:b/>
          <w:bCs/>
          <w:sz w:val="72"/>
          <w:szCs w:val="72"/>
        </w:rPr>
      </w:pPr>
    </w:p>
    <w:p w14:paraId="5A981C41" w14:textId="2FDFDFCC" w:rsidR="00200AC7" w:rsidRPr="00200AC7" w:rsidRDefault="00200AC7" w:rsidP="00200AC7">
      <w:pPr>
        <w:jc w:val="center"/>
        <w:rPr>
          <w:rFonts w:ascii="Times New Roman" w:hAnsi="Times New Roman" w:cs="Times New Roman"/>
          <w:b/>
          <w:bCs/>
          <w:sz w:val="72"/>
          <w:szCs w:val="72"/>
        </w:rPr>
      </w:pPr>
      <w:r w:rsidRPr="00200AC7">
        <w:rPr>
          <w:rFonts w:ascii="Times New Roman" w:hAnsi="Times New Roman" w:cs="Times New Roman"/>
          <w:b/>
          <w:bCs/>
          <w:sz w:val="72"/>
          <w:szCs w:val="72"/>
        </w:rPr>
        <w:t>Feasibility Plan for an International Meeting</w:t>
      </w:r>
    </w:p>
    <w:p w14:paraId="1880C15B" w14:textId="77777777" w:rsidR="00200AC7" w:rsidRPr="00200AC7" w:rsidRDefault="00200AC7" w:rsidP="00200AC7"/>
    <w:p w14:paraId="1E868E70" w14:textId="77777777" w:rsidR="00200AC7" w:rsidRPr="00200AC7" w:rsidRDefault="00200AC7" w:rsidP="00200AC7"/>
    <w:p w14:paraId="2B131204" w14:textId="2817AD6D" w:rsidR="00200AC7" w:rsidRDefault="00200AC7" w:rsidP="00200AC7"/>
    <w:p w14:paraId="2F64E3CC" w14:textId="4C83E199" w:rsidR="00200AC7" w:rsidRDefault="00200AC7" w:rsidP="00200AC7"/>
    <w:p w14:paraId="7A729846" w14:textId="1948B2A3" w:rsidR="00200AC7" w:rsidRDefault="00200AC7" w:rsidP="00200AC7"/>
    <w:p w14:paraId="14F9DEC6" w14:textId="50E41750" w:rsidR="00200AC7" w:rsidRDefault="00200AC7" w:rsidP="00200AC7"/>
    <w:p w14:paraId="595F398B" w14:textId="352F6F66" w:rsidR="00200AC7" w:rsidRDefault="00200AC7" w:rsidP="00200AC7"/>
    <w:p w14:paraId="77D17717" w14:textId="77777777" w:rsidR="00200AC7" w:rsidRPr="00200AC7" w:rsidRDefault="00200AC7" w:rsidP="00200AC7"/>
    <w:p w14:paraId="1867DAA7" w14:textId="77777777" w:rsidR="00200AC7" w:rsidRPr="00200AC7" w:rsidRDefault="00200AC7" w:rsidP="00200AC7">
      <w:pPr>
        <w:rPr>
          <w:rFonts w:ascii="Times New Roman" w:hAnsi="Times New Roman" w:cs="Times New Roman"/>
          <w:b/>
          <w:bCs/>
          <w:sz w:val="24"/>
          <w:szCs w:val="24"/>
        </w:rPr>
      </w:pPr>
    </w:p>
    <w:p w14:paraId="3EFFFE12" w14:textId="77777777" w:rsidR="00200AC7" w:rsidRPr="00200AC7" w:rsidRDefault="00200AC7" w:rsidP="00200AC7">
      <w:pPr>
        <w:rPr>
          <w:rFonts w:ascii="Times New Roman" w:hAnsi="Times New Roman" w:cs="Times New Roman"/>
          <w:b/>
          <w:bCs/>
          <w:sz w:val="24"/>
          <w:szCs w:val="24"/>
        </w:rPr>
      </w:pPr>
      <w:r w:rsidRPr="00200AC7">
        <w:rPr>
          <w:rFonts w:ascii="Times New Roman" w:hAnsi="Times New Roman" w:cs="Times New Roman"/>
          <w:b/>
          <w:bCs/>
          <w:sz w:val="24"/>
          <w:szCs w:val="24"/>
        </w:rPr>
        <w:t>Student Name: IULIANA MATEVICI</w:t>
      </w:r>
    </w:p>
    <w:p w14:paraId="7DC2C603" w14:textId="77777777" w:rsidR="00200AC7" w:rsidRPr="00200AC7" w:rsidRDefault="00200AC7" w:rsidP="00200AC7">
      <w:pPr>
        <w:rPr>
          <w:rFonts w:ascii="Times New Roman" w:hAnsi="Times New Roman" w:cs="Times New Roman"/>
          <w:b/>
          <w:bCs/>
          <w:sz w:val="24"/>
          <w:szCs w:val="24"/>
        </w:rPr>
      </w:pPr>
      <w:r w:rsidRPr="00200AC7">
        <w:rPr>
          <w:rFonts w:ascii="Times New Roman" w:hAnsi="Times New Roman" w:cs="Times New Roman"/>
          <w:b/>
          <w:bCs/>
          <w:sz w:val="24"/>
          <w:szCs w:val="24"/>
        </w:rPr>
        <w:t>Student ID: 2211946</w:t>
      </w:r>
    </w:p>
    <w:p w14:paraId="34335A40" w14:textId="701AD1A7" w:rsidR="00200AC7" w:rsidRPr="00200AC7" w:rsidRDefault="00200AC7" w:rsidP="00200AC7">
      <w:pPr>
        <w:rPr>
          <w:rFonts w:ascii="Times New Roman" w:hAnsi="Times New Roman" w:cs="Times New Roman"/>
          <w:b/>
          <w:bCs/>
          <w:sz w:val="24"/>
          <w:szCs w:val="24"/>
        </w:rPr>
      </w:pPr>
      <w:r w:rsidRPr="00200AC7">
        <w:rPr>
          <w:rFonts w:ascii="Times New Roman" w:hAnsi="Times New Roman" w:cs="Times New Roman"/>
          <w:b/>
          <w:bCs/>
          <w:sz w:val="24"/>
          <w:szCs w:val="24"/>
        </w:rPr>
        <w:t>Module: International Meetings Management (BMIH6007)</w:t>
      </w:r>
    </w:p>
    <w:p w14:paraId="311A1827" w14:textId="633BF2E3" w:rsidR="00200AC7" w:rsidRDefault="00200AC7" w:rsidP="00200AC7">
      <w:pPr>
        <w:rPr>
          <w:rFonts w:ascii="Times New Roman" w:hAnsi="Times New Roman" w:cs="Times New Roman"/>
          <w:b/>
          <w:bCs/>
          <w:sz w:val="24"/>
          <w:szCs w:val="24"/>
        </w:rPr>
      </w:pPr>
      <w:r w:rsidRPr="00200AC7">
        <w:rPr>
          <w:rFonts w:ascii="Times New Roman" w:hAnsi="Times New Roman" w:cs="Times New Roman"/>
          <w:b/>
          <w:bCs/>
          <w:sz w:val="24"/>
          <w:szCs w:val="24"/>
        </w:rPr>
        <w:t>Lecturer: Kathryn Flynn (Module Lead) / Chris Wilkin</w:t>
      </w:r>
    </w:p>
    <w:p w14:paraId="0DE1CD7A" w14:textId="2A948116" w:rsidR="00200AC7" w:rsidRDefault="00200AC7" w:rsidP="00200AC7">
      <w:pPr>
        <w:rPr>
          <w:rFonts w:ascii="Times New Roman" w:hAnsi="Times New Roman" w:cs="Times New Roman"/>
          <w:b/>
          <w:bCs/>
          <w:sz w:val="24"/>
          <w:szCs w:val="24"/>
        </w:rPr>
      </w:pPr>
    </w:p>
    <w:p w14:paraId="1E28F293" w14:textId="23EEB31E" w:rsidR="00200AC7" w:rsidRDefault="00200AC7" w:rsidP="00200AC7">
      <w:pPr>
        <w:rPr>
          <w:rFonts w:ascii="Times New Roman" w:hAnsi="Times New Roman" w:cs="Times New Roman"/>
          <w:b/>
          <w:bCs/>
          <w:sz w:val="24"/>
          <w:szCs w:val="24"/>
        </w:rPr>
      </w:pPr>
    </w:p>
    <w:p w14:paraId="175A44D7" w14:textId="7D0FB5C2" w:rsidR="00200AC7" w:rsidRDefault="00200AC7" w:rsidP="00200AC7">
      <w:pPr>
        <w:rPr>
          <w:rFonts w:ascii="Times New Roman" w:hAnsi="Times New Roman" w:cs="Times New Roman"/>
          <w:b/>
          <w:bCs/>
          <w:sz w:val="24"/>
          <w:szCs w:val="24"/>
        </w:rPr>
      </w:pPr>
    </w:p>
    <w:p w14:paraId="5EBCC285" w14:textId="0A7F49A7" w:rsidR="00200AC7" w:rsidRDefault="00200AC7" w:rsidP="00200AC7">
      <w:pPr>
        <w:rPr>
          <w:rFonts w:ascii="Times New Roman" w:hAnsi="Times New Roman" w:cs="Times New Roman"/>
          <w:b/>
          <w:bCs/>
          <w:sz w:val="24"/>
          <w:szCs w:val="24"/>
        </w:rPr>
      </w:pPr>
    </w:p>
    <w:p w14:paraId="27201AA9" w14:textId="499CF2D2" w:rsidR="00200AC7" w:rsidRPr="00200AC7" w:rsidRDefault="00200AC7" w:rsidP="00200AC7">
      <w:pPr>
        <w:rPr>
          <w:rFonts w:ascii="Times New Roman" w:hAnsi="Times New Roman" w:cs="Times New Roman"/>
          <w:b/>
          <w:bCs/>
          <w:sz w:val="24"/>
          <w:szCs w:val="24"/>
        </w:rPr>
      </w:pPr>
    </w:p>
    <w:p w14:paraId="6B2CF70D" w14:textId="61035026" w:rsidR="001D0209" w:rsidRDefault="00200AC7">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2798101" wp14:editId="0FA989C9">
            <wp:extent cx="6401467" cy="3600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04592" cy="3602208"/>
                    </a:xfrm>
                    <a:prstGeom prst="rect">
                      <a:avLst/>
                    </a:prstGeom>
                    <a:noFill/>
                  </pic:spPr>
                </pic:pic>
              </a:graphicData>
            </a:graphic>
          </wp:inline>
        </w:drawing>
      </w:r>
    </w:p>
    <w:p w14:paraId="5726AC6D" w14:textId="2BC2E4EE" w:rsidR="00396BD4" w:rsidRDefault="00396BD4">
      <w:pPr>
        <w:rPr>
          <w:rFonts w:ascii="Times New Roman" w:hAnsi="Times New Roman" w:cs="Times New Roman"/>
          <w:b/>
          <w:bCs/>
          <w:sz w:val="24"/>
          <w:szCs w:val="24"/>
        </w:rPr>
      </w:pPr>
    </w:p>
    <w:p w14:paraId="6ED53CF3" w14:textId="77777777" w:rsidR="00396BD4" w:rsidRDefault="00396BD4">
      <w:pPr>
        <w:rPr>
          <w:rFonts w:ascii="Times New Roman" w:hAnsi="Times New Roman" w:cs="Times New Roman"/>
          <w:b/>
          <w:bCs/>
          <w:sz w:val="24"/>
          <w:szCs w:val="24"/>
        </w:rPr>
      </w:pPr>
    </w:p>
    <w:p w14:paraId="5B554D10" w14:textId="45FFE043" w:rsidR="00396BD4" w:rsidRDefault="00396BD4">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3ED0A9D" wp14:editId="04A84230">
            <wp:extent cx="6427470" cy="361507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49776" cy="3627621"/>
                    </a:xfrm>
                    <a:prstGeom prst="rect">
                      <a:avLst/>
                    </a:prstGeom>
                    <a:noFill/>
                  </pic:spPr>
                </pic:pic>
              </a:graphicData>
            </a:graphic>
          </wp:inline>
        </w:drawing>
      </w:r>
    </w:p>
    <w:p w14:paraId="044B465B" w14:textId="55F56FE0" w:rsidR="00396BD4" w:rsidRDefault="00396BD4">
      <w:pPr>
        <w:rPr>
          <w:rFonts w:ascii="Times New Roman" w:hAnsi="Times New Roman" w:cs="Times New Roman"/>
          <w:b/>
          <w:bCs/>
          <w:sz w:val="24"/>
          <w:szCs w:val="24"/>
        </w:rPr>
      </w:pPr>
    </w:p>
    <w:p w14:paraId="22F38489" w14:textId="1E208C91" w:rsidR="00430187" w:rsidRDefault="00396BD4">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B6B7D7E" wp14:editId="01567C6A">
            <wp:extent cx="6372225" cy="358400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3574" cy="3590386"/>
                    </a:xfrm>
                    <a:prstGeom prst="rect">
                      <a:avLst/>
                    </a:prstGeom>
                    <a:noFill/>
                  </pic:spPr>
                </pic:pic>
              </a:graphicData>
            </a:graphic>
          </wp:inline>
        </w:drawing>
      </w:r>
    </w:p>
    <w:p w14:paraId="3B39F11D" w14:textId="77777777" w:rsidR="00430187" w:rsidRDefault="00430187">
      <w:pPr>
        <w:rPr>
          <w:rFonts w:ascii="Times New Roman" w:hAnsi="Times New Roman" w:cs="Times New Roman"/>
          <w:b/>
          <w:bCs/>
          <w:sz w:val="24"/>
          <w:szCs w:val="24"/>
        </w:rPr>
      </w:pPr>
    </w:p>
    <w:p w14:paraId="12E535CD" w14:textId="77777777" w:rsidR="00396BD4" w:rsidRDefault="00396BD4">
      <w:pPr>
        <w:rPr>
          <w:rFonts w:ascii="Times New Roman" w:hAnsi="Times New Roman" w:cs="Times New Roman"/>
          <w:b/>
          <w:bCs/>
          <w:sz w:val="24"/>
          <w:szCs w:val="24"/>
        </w:rPr>
      </w:pPr>
    </w:p>
    <w:p w14:paraId="0595C051" w14:textId="04CA9DE4" w:rsidR="00396BD4" w:rsidRDefault="00396BD4">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6D3649C" wp14:editId="6B49AEFA">
            <wp:extent cx="6362700" cy="3578646"/>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71495" cy="3583593"/>
                    </a:xfrm>
                    <a:prstGeom prst="rect">
                      <a:avLst/>
                    </a:prstGeom>
                    <a:noFill/>
                  </pic:spPr>
                </pic:pic>
              </a:graphicData>
            </a:graphic>
          </wp:inline>
        </w:drawing>
      </w:r>
    </w:p>
    <w:p w14:paraId="6C17EB0C" w14:textId="405C3938" w:rsidR="00396BD4" w:rsidRDefault="00430187">
      <w:pP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19B7A58F" wp14:editId="23D26A47">
            <wp:extent cx="6343650" cy="356793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3169" cy="3573286"/>
                    </a:xfrm>
                    <a:prstGeom prst="rect">
                      <a:avLst/>
                    </a:prstGeom>
                    <a:noFill/>
                  </pic:spPr>
                </pic:pic>
              </a:graphicData>
            </a:graphic>
          </wp:inline>
        </w:drawing>
      </w:r>
    </w:p>
    <w:p w14:paraId="2D0BE506" w14:textId="1FE2A34C" w:rsidR="00430187" w:rsidRDefault="00430187">
      <w:pPr>
        <w:rPr>
          <w:rFonts w:ascii="Times New Roman" w:hAnsi="Times New Roman" w:cs="Times New Roman"/>
          <w:b/>
          <w:bCs/>
          <w:sz w:val="24"/>
          <w:szCs w:val="24"/>
        </w:rPr>
      </w:pPr>
    </w:p>
    <w:p w14:paraId="0A194E83" w14:textId="77777777" w:rsidR="00430187" w:rsidRDefault="00430187">
      <w:pPr>
        <w:rPr>
          <w:rFonts w:ascii="Times New Roman" w:hAnsi="Times New Roman" w:cs="Times New Roman"/>
          <w:b/>
          <w:bCs/>
          <w:sz w:val="24"/>
          <w:szCs w:val="24"/>
        </w:rPr>
      </w:pPr>
    </w:p>
    <w:p w14:paraId="1199956D" w14:textId="07E5A513" w:rsidR="00430187" w:rsidRDefault="00430187">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E2637BF" wp14:editId="530F664B">
            <wp:extent cx="6353175" cy="3573289"/>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62110" cy="3578314"/>
                    </a:xfrm>
                    <a:prstGeom prst="rect">
                      <a:avLst/>
                    </a:prstGeom>
                    <a:noFill/>
                  </pic:spPr>
                </pic:pic>
              </a:graphicData>
            </a:graphic>
          </wp:inline>
        </w:drawing>
      </w:r>
    </w:p>
    <w:p w14:paraId="0FFA8732" w14:textId="019780B4" w:rsidR="00430187" w:rsidRDefault="00430187">
      <w:pPr>
        <w:rPr>
          <w:rFonts w:ascii="Times New Roman" w:hAnsi="Times New Roman" w:cs="Times New Roman"/>
          <w:b/>
          <w:bCs/>
          <w:sz w:val="24"/>
          <w:szCs w:val="24"/>
        </w:rPr>
      </w:pPr>
    </w:p>
    <w:p w14:paraId="2C312AB2" w14:textId="2983AB70" w:rsidR="00430187" w:rsidRDefault="00430187">
      <w:pP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2838B9DA" wp14:editId="1AE4A80E">
            <wp:extent cx="6324600" cy="3557217"/>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30660" cy="3560626"/>
                    </a:xfrm>
                    <a:prstGeom prst="rect">
                      <a:avLst/>
                    </a:prstGeom>
                    <a:noFill/>
                  </pic:spPr>
                </pic:pic>
              </a:graphicData>
            </a:graphic>
          </wp:inline>
        </w:drawing>
      </w:r>
    </w:p>
    <w:p w14:paraId="3B54B9E2" w14:textId="3401D130" w:rsidR="00430187" w:rsidRDefault="00430187">
      <w:pPr>
        <w:rPr>
          <w:rFonts w:ascii="Times New Roman" w:hAnsi="Times New Roman" w:cs="Times New Roman"/>
          <w:b/>
          <w:bCs/>
          <w:sz w:val="24"/>
          <w:szCs w:val="24"/>
        </w:rPr>
      </w:pPr>
    </w:p>
    <w:p w14:paraId="44C2DBBB" w14:textId="77777777" w:rsidR="00430187" w:rsidRDefault="00430187">
      <w:pPr>
        <w:rPr>
          <w:rFonts w:ascii="Times New Roman" w:hAnsi="Times New Roman" w:cs="Times New Roman"/>
          <w:b/>
          <w:bCs/>
          <w:sz w:val="24"/>
          <w:szCs w:val="24"/>
        </w:rPr>
      </w:pPr>
    </w:p>
    <w:p w14:paraId="69360EAC" w14:textId="1DBE8131" w:rsidR="00430187" w:rsidRDefault="00430187">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572F05F3" wp14:editId="70973F3D">
            <wp:extent cx="6296025" cy="3541145"/>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01194" cy="3544052"/>
                    </a:xfrm>
                    <a:prstGeom prst="rect">
                      <a:avLst/>
                    </a:prstGeom>
                    <a:noFill/>
                  </pic:spPr>
                </pic:pic>
              </a:graphicData>
            </a:graphic>
          </wp:inline>
        </w:drawing>
      </w:r>
    </w:p>
    <w:p w14:paraId="306F03ED" w14:textId="69459336" w:rsidR="00430187" w:rsidRDefault="00430187">
      <w:pPr>
        <w:rPr>
          <w:rFonts w:ascii="Times New Roman" w:hAnsi="Times New Roman" w:cs="Times New Roman"/>
          <w:b/>
          <w:bCs/>
          <w:sz w:val="24"/>
          <w:szCs w:val="24"/>
        </w:rPr>
      </w:pPr>
    </w:p>
    <w:p w14:paraId="2D2D602D" w14:textId="0BEF9E11" w:rsidR="00430187" w:rsidRDefault="00430187">
      <w:pP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6F5CFC79" wp14:editId="7529AB24">
            <wp:extent cx="6305550" cy="354650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13236" cy="3550825"/>
                    </a:xfrm>
                    <a:prstGeom prst="rect">
                      <a:avLst/>
                    </a:prstGeom>
                    <a:noFill/>
                  </pic:spPr>
                </pic:pic>
              </a:graphicData>
            </a:graphic>
          </wp:inline>
        </w:drawing>
      </w:r>
    </w:p>
    <w:p w14:paraId="028FB457" w14:textId="22C98EE4" w:rsidR="00430187" w:rsidRDefault="00430187">
      <w:pPr>
        <w:rPr>
          <w:rFonts w:ascii="Times New Roman" w:hAnsi="Times New Roman" w:cs="Times New Roman"/>
          <w:b/>
          <w:bCs/>
          <w:sz w:val="24"/>
          <w:szCs w:val="24"/>
        </w:rPr>
      </w:pPr>
    </w:p>
    <w:p w14:paraId="297B9101" w14:textId="77777777" w:rsidR="00430187" w:rsidRDefault="00430187">
      <w:pPr>
        <w:rPr>
          <w:rFonts w:ascii="Times New Roman" w:hAnsi="Times New Roman" w:cs="Times New Roman"/>
          <w:b/>
          <w:bCs/>
          <w:sz w:val="24"/>
          <w:szCs w:val="24"/>
        </w:rPr>
      </w:pPr>
    </w:p>
    <w:p w14:paraId="76A1F1D1" w14:textId="3491CFC1" w:rsidR="00430187" w:rsidRDefault="00430187">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A829F49" wp14:editId="4C35CD87">
            <wp:extent cx="6334125" cy="356257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39507" cy="3565601"/>
                    </a:xfrm>
                    <a:prstGeom prst="rect">
                      <a:avLst/>
                    </a:prstGeom>
                    <a:noFill/>
                  </pic:spPr>
                </pic:pic>
              </a:graphicData>
            </a:graphic>
          </wp:inline>
        </w:drawing>
      </w:r>
    </w:p>
    <w:p w14:paraId="77D50270" w14:textId="41CB7D32" w:rsidR="00430187" w:rsidRDefault="00430187">
      <w:pPr>
        <w:rPr>
          <w:rFonts w:ascii="Times New Roman" w:hAnsi="Times New Roman" w:cs="Times New Roman"/>
          <w:b/>
          <w:bCs/>
          <w:sz w:val="24"/>
          <w:szCs w:val="24"/>
        </w:rPr>
      </w:pPr>
    </w:p>
    <w:p w14:paraId="368EC068" w14:textId="2CC27482" w:rsidR="00430187" w:rsidRDefault="00430187">
      <w:pP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542AE03D" wp14:editId="75E9D9B2">
            <wp:extent cx="6414313" cy="4000500"/>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33491" cy="4012461"/>
                    </a:xfrm>
                    <a:prstGeom prst="rect">
                      <a:avLst/>
                    </a:prstGeom>
                    <a:noFill/>
                  </pic:spPr>
                </pic:pic>
              </a:graphicData>
            </a:graphic>
          </wp:inline>
        </w:drawing>
      </w:r>
    </w:p>
    <w:p w14:paraId="30118909" w14:textId="275187F0" w:rsidR="00396BD4" w:rsidRDefault="00396BD4">
      <w:pPr>
        <w:rPr>
          <w:rFonts w:ascii="Times New Roman" w:hAnsi="Times New Roman" w:cs="Times New Roman"/>
          <w:b/>
          <w:bCs/>
          <w:sz w:val="24"/>
          <w:szCs w:val="24"/>
        </w:rPr>
      </w:pPr>
    </w:p>
    <w:p w14:paraId="7DD8C8D7" w14:textId="009DEB54" w:rsidR="009F588C" w:rsidRDefault="009F588C">
      <w:pPr>
        <w:rPr>
          <w:rFonts w:ascii="Times New Roman" w:hAnsi="Times New Roman" w:cs="Times New Roman"/>
          <w:b/>
          <w:bCs/>
          <w:sz w:val="24"/>
          <w:szCs w:val="24"/>
        </w:rPr>
      </w:pPr>
    </w:p>
    <w:p w14:paraId="45599583" w14:textId="18C98B93" w:rsidR="009F588C" w:rsidRDefault="009F588C">
      <w:pPr>
        <w:rPr>
          <w:rFonts w:ascii="Times New Roman" w:hAnsi="Times New Roman" w:cs="Times New Roman"/>
          <w:b/>
          <w:bCs/>
          <w:sz w:val="24"/>
          <w:szCs w:val="24"/>
        </w:rPr>
      </w:pPr>
    </w:p>
    <w:p w14:paraId="6BA6A8CA" w14:textId="32F98DF8" w:rsidR="009F588C" w:rsidRDefault="009F588C">
      <w:pPr>
        <w:rPr>
          <w:rFonts w:ascii="Times New Roman" w:hAnsi="Times New Roman" w:cs="Times New Roman"/>
          <w:b/>
          <w:bCs/>
          <w:sz w:val="24"/>
          <w:szCs w:val="24"/>
        </w:rPr>
      </w:pPr>
    </w:p>
    <w:p w14:paraId="04EFF024" w14:textId="03DC426A" w:rsidR="009F588C" w:rsidRDefault="009F588C">
      <w:pPr>
        <w:rPr>
          <w:rFonts w:ascii="Times New Roman" w:hAnsi="Times New Roman" w:cs="Times New Roman"/>
          <w:b/>
          <w:bCs/>
          <w:sz w:val="24"/>
          <w:szCs w:val="24"/>
        </w:rPr>
      </w:pPr>
    </w:p>
    <w:p w14:paraId="33EC8BDD" w14:textId="14BE6F56" w:rsidR="009F588C" w:rsidRDefault="009F588C">
      <w:pPr>
        <w:rPr>
          <w:rFonts w:ascii="Times New Roman" w:hAnsi="Times New Roman" w:cs="Times New Roman"/>
          <w:b/>
          <w:bCs/>
          <w:sz w:val="24"/>
          <w:szCs w:val="24"/>
        </w:rPr>
      </w:pPr>
    </w:p>
    <w:p w14:paraId="68C1E5BF" w14:textId="0A8D3D39" w:rsidR="009F588C" w:rsidRDefault="009F588C">
      <w:pPr>
        <w:rPr>
          <w:rFonts w:ascii="Times New Roman" w:hAnsi="Times New Roman" w:cs="Times New Roman"/>
          <w:b/>
          <w:bCs/>
          <w:sz w:val="24"/>
          <w:szCs w:val="24"/>
        </w:rPr>
      </w:pPr>
    </w:p>
    <w:p w14:paraId="6355FA23" w14:textId="7469F172" w:rsidR="009F588C" w:rsidRDefault="009F588C">
      <w:pPr>
        <w:rPr>
          <w:rFonts w:ascii="Times New Roman" w:hAnsi="Times New Roman" w:cs="Times New Roman"/>
          <w:b/>
          <w:bCs/>
          <w:sz w:val="24"/>
          <w:szCs w:val="24"/>
        </w:rPr>
      </w:pPr>
    </w:p>
    <w:p w14:paraId="1F608F5D" w14:textId="56689A75" w:rsidR="009F588C" w:rsidRDefault="009F588C">
      <w:pPr>
        <w:rPr>
          <w:rFonts w:ascii="Times New Roman" w:hAnsi="Times New Roman" w:cs="Times New Roman"/>
          <w:b/>
          <w:bCs/>
          <w:sz w:val="24"/>
          <w:szCs w:val="24"/>
        </w:rPr>
      </w:pPr>
    </w:p>
    <w:p w14:paraId="05FA52C6" w14:textId="6F46285B" w:rsidR="009F588C" w:rsidRDefault="009F588C">
      <w:pPr>
        <w:rPr>
          <w:rFonts w:ascii="Times New Roman" w:hAnsi="Times New Roman" w:cs="Times New Roman"/>
          <w:b/>
          <w:bCs/>
          <w:sz w:val="24"/>
          <w:szCs w:val="24"/>
        </w:rPr>
      </w:pPr>
    </w:p>
    <w:p w14:paraId="71870E43" w14:textId="653B0D0F" w:rsidR="009F588C" w:rsidRDefault="009F588C">
      <w:pPr>
        <w:rPr>
          <w:rFonts w:ascii="Times New Roman" w:hAnsi="Times New Roman" w:cs="Times New Roman"/>
          <w:b/>
          <w:bCs/>
          <w:sz w:val="24"/>
          <w:szCs w:val="24"/>
        </w:rPr>
      </w:pPr>
    </w:p>
    <w:p w14:paraId="2570E7DF" w14:textId="777C0D4E" w:rsidR="009F588C" w:rsidRDefault="009F588C">
      <w:pPr>
        <w:rPr>
          <w:rFonts w:ascii="Times New Roman" w:hAnsi="Times New Roman" w:cs="Times New Roman"/>
          <w:b/>
          <w:bCs/>
          <w:sz w:val="24"/>
          <w:szCs w:val="24"/>
        </w:rPr>
      </w:pPr>
    </w:p>
    <w:p w14:paraId="6D176B7C" w14:textId="36836185" w:rsidR="009F588C" w:rsidRDefault="009F588C">
      <w:pPr>
        <w:rPr>
          <w:rFonts w:ascii="Times New Roman" w:hAnsi="Times New Roman" w:cs="Times New Roman"/>
          <w:b/>
          <w:bCs/>
          <w:sz w:val="24"/>
          <w:szCs w:val="24"/>
        </w:rPr>
      </w:pPr>
    </w:p>
    <w:p w14:paraId="7D89D61C" w14:textId="77777777" w:rsidR="00177F81" w:rsidRDefault="00177F81" w:rsidP="00D63F2F">
      <w:pPr>
        <w:rPr>
          <w:rFonts w:ascii="Times New Roman" w:hAnsi="Times New Roman" w:cs="Times New Roman"/>
          <w:b/>
          <w:bCs/>
          <w:sz w:val="24"/>
          <w:szCs w:val="24"/>
        </w:rPr>
      </w:pPr>
    </w:p>
    <w:p w14:paraId="78029059" w14:textId="5D6818BC" w:rsidR="00177F81" w:rsidRPr="009D3574" w:rsidRDefault="00177F81" w:rsidP="00D63F2F">
      <w:pPr>
        <w:rPr>
          <w:rFonts w:ascii="Times New Roman" w:hAnsi="Times New Roman" w:cs="Times New Roman"/>
          <w:b/>
          <w:bCs/>
          <w:color w:val="000000" w:themeColor="text1"/>
          <w:sz w:val="28"/>
          <w:szCs w:val="28"/>
        </w:rPr>
      </w:pPr>
      <w:r w:rsidRPr="009D3574">
        <w:rPr>
          <w:rFonts w:ascii="Times New Roman" w:hAnsi="Times New Roman" w:cs="Times New Roman"/>
          <w:b/>
          <w:bCs/>
          <w:color w:val="000000" w:themeColor="text1"/>
          <w:sz w:val="28"/>
          <w:szCs w:val="28"/>
        </w:rPr>
        <w:lastRenderedPageBreak/>
        <w:t>References</w:t>
      </w:r>
    </w:p>
    <w:p w14:paraId="77E7DC85" w14:textId="60C1E4B0" w:rsidR="00B52881" w:rsidRPr="009D3574" w:rsidRDefault="00D63F2F" w:rsidP="00B52881">
      <w:pPr>
        <w:pStyle w:val="ListParagraph"/>
        <w:numPr>
          <w:ilvl w:val="0"/>
          <w:numId w:val="3"/>
        </w:numPr>
        <w:rPr>
          <w:rFonts w:ascii="Times New Roman" w:hAnsi="Times New Roman" w:cs="Times New Roman"/>
          <w:b/>
          <w:bCs/>
          <w:color w:val="000000" w:themeColor="text1"/>
          <w:sz w:val="24"/>
          <w:szCs w:val="24"/>
        </w:rPr>
      </w:pPr>
      <w:proofErr w:type="spellStart"/>
      <w:r w:rsidRPr="009D3574">
        <w:rPr>
          <w:rFonts w:ascii="Times New Roman" w:hAnsi="Times New Roman" w:cs="Times New Roman"/>
          <w:b/>
          <w:bCs/>
          <w:color w:val="000000" w:themeColor="text1"/>
          <w:sz w:val="24"/>
          <w:szCs w:val="24"/>
        </w:rPr>
        <w:t>Alhamami</w:t>
      </w:r>
      <w:proofErr w:type="spellEnd"/>
      <w:r w:rsidRPr="009D3574">
        <w:rPr>
          <w:rFonts w:ascii="Times New Roman" w:hAnsi="Times New Roman" w:cs="Times New Roman"/>
          <w:b/>
          <w:bCs/>
          <w:color w:val="000000" w:themeColor="text1"/>
          <w:sz w:val="24"/>
          <w:szCs w:val="24"/>
        </w:rPr>
        <w:t xml:space="preserve">, B.R.M., Nassar, Y.S. and </w:t>
      </w:r>
      <w:proofErr w:type="spellStart"/>
      <w:r w:rsidRPr="009D3574">
        <w:rPr>
          <w:rFonts w:ascii="Times New Roman" w:hAnsi="Times New Roman" w:cs="Times New Roman"/>
          <w:b/>
          <w:bCs/>
          <w:color w:val="000000" w:themeColor="text1"/>
          <w:sz w:val="24"/>
          <w:szCs w:val="24"/>
        </w:rPr>
        <w:t>Qendeel</w:t>
      </w:r>
      <w:proofErr w:type="spellEnd"/>
      <w:r w:rsidRPr="009D3574">
        <w:rPr>
          <w:rFonts w:ascii="Times New Roman" w:hAnsi="Times New Roman" w:cs="Times New Roman"/>
          <w:b/>
          <w:bCs/>
          <w:color w:val="000000" w:themeColor="text1"/>
          <w:sz w:val="24"/>
          <w:szCs w:val="24"/>
        </w:rPr>
        <w:t xml:space="preserve">, L.M.R., 2023. Feasibility studies and their effects on the success or failure of investment </w:t>
      </w:r>
      <w:proofErr w:type="spellStart"/>
      <w:proofErr w:type="gramStart"/>
      <w:r w:rsidRPr="009D3574">
        <w:rPr>
          <w:rFonts w:ascii="Times New Roman" w:hAnsi="Times New Roman" w:cs="Times New Roman"/>
          <w:b/>
          <w:bCs/>
          <w:color w:val="000000" w:themeColor="text1"/>
          <w:sz w:val="24"/>
          <w:szCs w:val="24"/>
        </w:rPr>
        <w:t>projects.“</w:t>
      </w:r>
      <w:proofErr w:type="gramEnd"/>
      <w:r w:rsidRPr="009D3574">
        <w:rPr>
          <w:rFonts w:ascii="Times New Roman" w:hAnsi="Times New Roman" w:cs="Times New Roman"/>
          <w:b/>
          <w:bCs/>
          <w:color w:val="000000" w:themeColor="text1"/>
          <w:sz w:val="24"/>
          <w:szCs w:val="24"/>
        </w:rPr>
        <w:t>Najaf</w:t>
      </w:r>
      <w:proofErr w:type="spellEnd"/>
      <w:r w:rsidRPr="009D3574">
        <w:rPr>
          <w:rFonts w:ascii="Times New Roman" w:hAnsi="Times New Roman" w:cs="Times New Roman"/>
          <w:b/>
          <w:bCs/>
          <w:color w:val="000000" w:themeColor="text1"/>
          <w:sz w:val="24"/>
          <w:szCs w:val="24"/>
        </w:rPr>
        <w:t xml:space="preserve"> governorate as a model”. Open Engineering, 13(1).  </w:t>
      </w:r>
      <w:hyperlink r:id="rId16" w:history="1">
        <w:r w:rsidR="00B52881" w:rsidRPr="009D3574">
          <w:rPr>
            <w:rStyle w:val="Hyperlink"/>
            <w:rFonts w:ascii="Times New Roman" w:hAnsi="Times New Roman" w:cs="Times New Roman"/>
            <w:b/>
            <w:bCs/>
            <w:color w:val="000000" w:themeColor="text1"/>
            <w:sz w:val="24"/>
            <w:szCs w:val="24"/>
          </w:rPr>
          <w:t>https://www.Researchgate.Net/journal/open-engineering-2391-5439/publication/374259596_feasibility_studies_and_their_effects_on_the_success_or_failure_of_investment_projects_najaf_governorate_as_a_model/links/6515c3a51e2386049de2f0d2/feasibility-studies-and-their-effects-on-the-success-or-failure-of-investment-projects-najaf-governorate-as-a-model.Pdf?_Tp=eyjjb250zxh0ijp7imzpcnn0ugfnzsi6il9kaxjly3qilcjwywdlijoichvibgljyxrpb25eb3dubg9hzcisinbyzxzpb3vzugfnzsi6il9kaxjly3qifx</w:t>
        </w:r>
      </w:hyperlink>
    </w:p>
    <w:p w14:paraId="74AAA84F" w14:textId="5CAD4250" w:rsidR="009F588C" w:rsidRPr="009D3574" w:rsidRDefault="00D63F2F" w:rsidP="00177F81">
      <w:pPr>
        <w:pStyle w:val="ListParagraph"/>
        <w:numPr>
          <w:ilvl w:val="0"/>
          <w:numId w:val="3"/>
        </w:numPr>
        <w:rPr>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t xml:space="preserve">An, J., Kim, H. and Hur, D., 2021. Keeping the competitive edge of a convention and exhibition center in MICE Environment: identification of event attributes for long-run success. Sustainability, 13(9), </w:t>
      </w:r>
      <w:proofErr w:type="gramStart"/>
      <w:r w:rsidRPr="009D3574">
        <w:rPr>
          <w:rFonts w:ascii="Times New Roman" w:hAnsi="Times New Roman" w:cs="Times New Roman"/>
          <w:b/>
          <w:bCs/>
          <w:color w:val="000000" w:themeColor="text1"/>
          <w:sz w:val="24"/>
          <w:szCs w:val="24"/>
        </w:rPr>
        <w:t>p.5030. .</w:t>
      </w:r>
      <w:proofErr w:type="gramEnd"/>
      <w:r w:rsidRPr="009D3574">
        <w:rPr>
          <w:rFonts w:ascii="Times New Roman" w:hAnsi="Times New Roman" w:cs="Times New Roman"/>
          <w:b/>
          <w:bCs/>
          <w:color w:val="000000" w:themeColor="text1"/>
          <w:sz w:val="24"/>
          <w:szCs w:val="24"/>
        </w:rPr>
        <w:t xml:space="preserve"> </w:t>
      </w:r>
      <w:hyperlink r:id="rId17" w:history="1">
        <w:r w:rsidRPr="009D3574">
          <w:rPr>
            <w:rStyle w:val="Hyperlink"/>
            <w:rFonts w:ascii="Times New Roman" w:hAnsi="Times New Roman" w:cs="Times New Roman"/>
            <w:b/>
            <w:bCs/>
            <w:color w:val="000000" w:themeColor="text1"/>
            <w:sz w:val="24"/>
            <w:szCs w:val="24"/>
          </w:rPr>
          <w:t>https://mdpi-res.Com/d_attachment/sustainability/sustainability-13-05030/article_deploy/sustainability-13-05030.Pdf?Version=1619763096</w:t>
        </w:r>
      </w:hyperlink>
    </w:p>
    <w:p w14:paraId="26203929" w14:textId="1F289636" w:rsidR="009D3574" w:rsidRPr="009D3574" w:rsidRDefault="00D63F2F" w:rsidP="009D3574">
      <w:pPr>
        <w:pStyle w:val="ListParagraph"/>
        <w:numPr>
          <w:ilvl w:val="0"/>
          <w:numId w:val="3"/>
        </w:numPr>
        <w:rPr>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t>Aneesa, M., Hussain, S.M., Khan, K. and Abbas, A.T., 2018. Factors Affecting the Need for Feasibility Analysis (For Local Construction Projects). Sir Syed University Research Journal of Engineering &amp; Technology, 8(1), pp.5-5</w:t>
      </w:r>
      <w:proofErr w:type="gramStart"/>
      <w:r w:rsidRPr="009D3574">
        <w:rPr>
          <w:rFonts w:ascii="Times New Roman" w:hAnsi="Times New Roman" w:cs="Times New Roman"/>
          <w:b/>
          <w:bCs/>
          <w:color w:val="000000" w:themeColor="text1"/>
          <w:sz w:val="24"/>
          <w:szCs w:val="24"/>
        </w:rPr>
        <w:t>. .</w:t>
      </w:r>
      <w:proofErr w:type="gramEnd"/>
      <w:r w:rsidRPr="009D3574">
        <w:rPr>
          <w:rFonts w:ascii="Times New Roman" w:hAnsi="Times New Roman" w:cs="Times New Roman"/>
          <w:b/>
          <w:bCs/>
          <w:color w:val="000000" w:themeColor="text1"/>
          <w:sz w:val="24"/>
          <w:szCs w:val="24"/>
        </w:rPr>
        <w:t xml:space="preserve"> https://sirsyeduniversity.edu.pk/ssurj/rj/index.php/ssurj/article/download/35/12</w:t>
      </w:r>
    </w:p>
    <w:p w14:paraId="63CE3C2D" w14:textId="5F885CCD" w:rsidR="009D3574" w:rsidRPr="009D3574" w:rsidRDefault="00D63F2F" w:rsidP="009D3574">
      <w:pPr>
        <w:pStyle w:val="ListParagraph"/>
        <w:numPr>
          <w:ilvl w:val="0"/>
          <w:numId w:val="3"/>
        </w:numPr>
        <w:rPr>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t xml:space="preserve">Appel, G., Grewal, L., Hadi, R. And </w:t>
      </w:r>
      <w:proofErr w:type="spellStart"/>
      <w:r w:rsidRPr="009D3574">
        <w:rPr>
          <w:rFonts w:ascii="Times New Roman" w:hAnsi="Times New Roman" w:cs="Times New Roman"/>
          <w:b/>
          <w:bCs/>
          <w:color w:val="000000" w:themeColor="text1"/>
          <w:sz w:val="24"/>
          <w:szCs w:val="24"/>
        </w:rPr>
        <w:t>stephen</w:t>
      </w:r>
      <w:proofErr w:type="spellEnd"/>
      <w:r w:rsidRPr="009D3574">
        <w:rPr>
          <w:rFonts w:ascii="Times New Roman" w:hAnsi="Times New Roman" w:cs="Times New Roman"/>
          <w:b/>
          <w:bCs/>
          <w:color w:val="000000" w:themeColor="text1"/>
          <w:sz w:val="24"/>
          <w:szCs w:val="24"/>
        </w:rPr>
        <w:t>, A.T., 2020. The future of social media in marketing. Journal of the academy of marketing science, 48(1), pp.79-95. Https://link.Springer.Com/content/pdf/10.1007/s11747-019-00695-1.Pdf</w:t>
      </w:r>
    </w:p>
    <w:p w14:paraId="7FD496C3" w14:textId="77777777" w:rsidR="00D63F2F" w:rsidRPr="009D3574" w:rsidRDefault="00D63F2F" w:rsidP="00B52881">
      <w:pPr>
        <w:pStyle w:val="ListParagraph"/>
        <w:numPr>
          <w:ilvl w:val="0"/>
          <w:numId w:val="3"/>
        </w:numPr>
        <w:rPr>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t xml:space="preserve">Bas, T. and </w:t>
      </w:r>
      <w:proofErr w:type="spellStart"/>
      <w:r w:rsidRPr="009D3574">
        <w:rPr>
          <w:rFonts w:ascii="Times New Roman" w:hAnsi="Times New Roman" w:cs="Times New Roman"/>
          <w:b/>
          <w:bCs/>
          <w:color w:val="000000" w:themeColor="text1"/>
          <w:sz w:val="24"/>
          <w:szCs w:val="24"/>
        </w:rPr>
        <w:t>Sivaprasad</w:t>
      </w:r>
      <w:proofErr w:type="spellEnd"/>
      <w:r w:rsidRPr="009D3574">
        <w:rPr>
          <w:rFonts w:ascii="Times New Roman" w:hAnsi="Times New Roman" w:cs="Times New Roman"/>
          <w:b/>
          <w:bCs/>
          <w:color w:val="000000" w:themeColor="text1"/>
          <w:sz w:val="24"/>
          <w:szCs w:val="24"/>
        </w:rPr>
        <w:t xml:space="preserve">, S., 2022. An Exploratory Insight into the Impact of COVID-19 on the Travel and Tourism Sector: UK Evidence. Bas, T. &amp; </w:t>
      </w:r>
      <w:proofErr w:type="spellStart"/>
      <w:r w:rsidRPr="009D3574">
        <w:rPr>
          <w:rFonts w:ascii="Times New Roman" w:hAnsi="Times New Roman" w:cs="Times New Roman"/>
          <w:b/>
          <w:bCs/>
          <w:color w:val="000000" w:themeColor="text1"/>
          <w:sz w:val="24"/>
          <w:szCs w:val="24"/>
        </w:rPr>
        <w:t>Sivaprasad</w:t>
      </w:r>
      <w:proofErr w:type="spellEnd"/>
      <w:r w:rsidRPr="009D3574">
        <w:rPr>
          <w:rFonts w:ascii="Times New Roman" w:hAnsi="Times New Roman" w:cs="Times New Roman"/>
          <w:b/>
          <w:bCs/>
          <w:color w:val="000000" w:themeColor="text1"/>
          <w:sz w:val="24"/>
          <w:szCs w:val="24"/>
        </w:rPr>
        <w:t xml:space="preserve">, </w:t>
      </w:r>
      <w:proofErr w:type="gramStart"/>
      <w:r w:rsidRPr="009D3574">
        <w:rPr>
          <w:rFonts w:ascii="Times New Roman" w:hAnsi="Times New Roman" w:cs="Times New Roman"/>
          <w:b/>
          <w:bCs/>
          <w:color w:val="000000" w:themeColor="text1"/>
          <w:sz w:val="24"/>
          <w:szCs w:val="24"/>
        </w:rPr>
        <w:t>S.(</w:t>
      </w:r>
      <w:proofErr w:type="gramEnd"/>
      <w:r w:rsidRPr="009D3574">
        <w:rPr>
          <w:rFonts w:ascii="Times New Roman" w:hAnsi="Times New Roman" w:cs="Times New Roman"/>
          <w:b/>
          <w:bCs/>
          <w:color w:val="000000" w:themeColor="text1"/>
          <w:sz w:val="24"/>
          <w:szCs w:val="24"/>
        </w:rPr>
        <w:t>2022). An exploratory insight into the impact of COVID-19 on the travel and tourism sector: UK evidence. In S. Karabulut (Ed.), Economic and Financial Analysis of Global and National Developments, pp.355-369. https://www.Researchgate.Net/profile/serhat-alpagut-2/publication/366192593_the_relationship_between_inflation_public_revenues_and_public_expenditure_a_panel_analysis_on_european_countries/links/639715bc11e9f00cda3dc1fd/the-relationship-between-inflation-public-revenues-and-public-expenditure-a-panel-analysis-on-european-countries.Pdf#page=364</w:t>
      </w:r>
    </w:p>
    <w:p w14:paraId="17BE0D93" w14:textId="0D5D043C" w:rsidR="00D63F2F" w:rsidRPr="009D3574" w:rsidRDefault="00D63F2F" w:rsidP="00B52881">
      <w:pPr>
        <w:pStyle w:val="ListParagraph"/>
        <w:numPr>
          <w:ilvl w:val="0"/>
          <w:numId w:val="3"/>
        </w:numPr>
        <w:rPr>
          <w:rStyle w:val="Hyperlink"/>
          <w:rFonts w:ascii="Times New Roman" w:hAnsi="Times New Roman" w:cs="Times New Roman"/>
          <w:b/>
          <w:bCs/>
          <w:color w:val="000000" w:themeColor="text1"/>
          <w:sz w:val="24"/>
          <w:szCs w:val="24"/>
          <w:u w:val="none"/>
        </w:rPr>
      </w:pPr>
      <w:r w:rsidRPr="009D3574">
        <w:rPr>
          <w:rFonts w:ascii="Times New Roman" w:hAnsi="Times New Roman" w:cs="Times New Roman"/>
          <w:b/>
          <w:bCs/>
          <w:color w:val="000000" w:themeColor="text1"/>
          <w:sz w:val="24"/>
          <w:szCs w:val="24"/>
        </w:rPr>
        <w:t>Borbon, N.M., 2022. Green practices of event management enterprises in Batangas City. </w:t>
      </w:r>
      <w:proofErr w:type="spellStart"/>
      <w:r w:rsidRPr="009D3574">
        <w:rPr>
          <w:rFonts w:ascii="Times New Roman" w:hAnsi="Times New Roman" w:cs="Times New Roman"/>
          <w:b/>
          <w:bCs/>
          <w:color w:val="000000" w:themeColor="text1"/>
          <w:sz w:val="24"/>
          <w:szCs w:val="24"/>
        </w:rPr>
        <w:t>Pulhin</w:t>
      </w:r>
      <w:proofErr w:type="spellEnd"/>
      <w:r w:rsidRPr="009D3574">
        <w:rPr>
          <w:rFonts w:ascii="Times New Roman" w:hAnsi="Times New Roman" w:cs="Times New Roman"/>
          <w:b/>
          <w:bCs/>
          <w:color w:val="000000" w:themeColor="text1"/>
          <w:sz w:val="24"/>
          <w:szCs w:val="24"/>
        </w:rPr>
        <w:t xml:space="preserve">, JCB, &amp; Borbon, NMD (2021). Green practices of event management enterprises in Batangas City. Asia-Pacific Journal of Innovation in Hospitality and Tourism, 10(2), pp.21-39. </w:t>
      </w:r>
      <w:hyperlink r:id="rId18" w:history="1">
        <w:r w:rsidRPr="009D3574">
          <w:rPr>
            <w:rStyle w:val="Hyperlink"/>
            <w:rFonts w:ascii="Times New Roman" w:hAnsi="Times New Roman" w:cs="Times New Roman"/>
            <w:b/>
            <w:bCs/>
            <w:color w:val="000000" w:themeColor="text1"/>
            <w:sz w:val="24"/>
            <w:szCs w:val="24"/>
          </w:rPr>
          <w:t>https://www.researchgate.net/profile/Noelah-Mae-Borbon/publication/359257183_Green_Practices_of_Event_Management_Enterprises_in_Batangas_City/links/6231a67fd37dab4f96e7f201/Green-Practices-of-Event-Management-Enterprises-in-Batangas-City.pd</w:t>
        </w:r>
      </w:hyperlink>
    </w:p>
    <w:p w14:paraId="44782A85" w14:textId="77777777" w:rsidR="009D3574" w:rsidRPr="009D3574" w:rsidRDefault="009D3574" w:rsidP="009D3574">
      <w:pPr>
        <w:rPr>
          <w:rFonts w:ascii="Times New Roman" w:hAnsi="Times New Roman" w:cs="Times New Roman"/>
          <w:b/>
          <w:bCs/>
          <w:color w:val="000000" w:themeColor="text1"/>
          <w:sz w:val="24"/>
          <w:szCs w:val="24"/>
        </w:rPr>
      </w:pPr>
    </w:p>
    <w:p w14:paraId="1C02478D" w14:textId="77777777" w:rsidR="00D63F2F" w:rsidRPr="009D3574" w:rsidRDefault="00D63F2F" w:rsidP="00B52881">
      <w:pPr>
        <w:pStyle w:val="ListParagraph"/>
        <w:numPr>
          <w:ilvl w:val="0"/>
          <w:numId w:val="3"/>
        </w:numPr>
        <w:rPr>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lastRenderedPageBreak/>
        <w:t>Chen, S.C. and Lin, C.P., 2019. Understanding the effect of social media marketing activities: The mediation of social identification, perceived value, and satisfaction. Technological forecasting and social change, 140, pp.22-32. https://e-tarjome.com/storage/panel/fileuploads/2019-08-21/1566375399_E12606-e-tarjome.pdf</w:t>
      </w:r>
    </w:p>
    <w:p w14:paraId="4F9DC812" w14:textId="08189362" w:rsidR="009D3574" w:rsidRPr="009D3574" w:rsidRDefault="00D63F2F" w:rsidP="009D3574">
      <w:pPr>
        <w:pStyle w:val="ListParagraph"/>
        <w:numPr>
          <w:ilvl w:val="0"/>
          <w:numId w:val="3"/>
        </w:numPr>
        <w:rPr>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t>Chu, T.T., Hölscher, J. and McCarthy, D., 2020. The impact of productive and non-productive government expenditure on economic growth: an empirical analysis in high-income versus low-to middle-income economies. Empirical Economics, 58, pp.2403-2430</w:t>
      </w:r>
      <w:proofErr w:type="gramStart"/>
      <w:r w:rsidRPr="009D3574">
        <w:rPr>
          <w:rFonts w:ascii="Times New Roman" w:hAnsi="Times New Roman" w:cs="Times New Roman"/>
          <w:b/>
          <w:bCs/>
          <w:color w:val="000000" w:themeColor="text1"/>
          <w:sz w:val="24"/>
          <w:szCs w:val="24"/>
        </w:rPr>
        <w:t>. .</w:t>
      </w:r>
      <w:proofErr w:type="gramEnd"/>
      <w:r w:rsidRPr="009D3574">
        <w:rPr>
          <w:rFonts w:ascii="Times New Roman" w:hAnsi="Times New Roman" w:cs="Times New Roman"/>
          <w:b/>
          <w:bCs/>
          <w:color w:val="000000" w:themeColor="text1"/>
          <w:sz w:val="24"/>
          <w:szCs w:val="24"/>
        </w:rPr>
        <w:t xml:space="preserve"> https://link.Springer.Com/content/pdf/10.1007/s00181-018-1616-3.Pdf</w:t>
      </w:r>
    </w:p>
    <w:p w14:paraId="2323D06C" w14:textId="77777777" w:rsidR="00D63F2F" w:rsidRPr="009D3574" w:rsidRDefault="00D63F2F" w:rsidP="00B52881">
      <w:pPr>
        <w:pStyle w:val="ListParagraph"/>
        <w:numPr>
          <w:ilvl w:val="0"/>
          <w:numId w:val="3"/>
        </w:numPr>
        <w:rPr>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t xml:space="preserve">Gov.Uk, 2020. The UK government’s international business events action plan [online] gov.UK available at: https://assets.Publishing.Service.Gov.Uk/media/5d14de60ed915d3188d996bd/2305-g_international_business_events__1_.Pdf [accessed 6 </w:t>
      </w:r>
      <w:proofErr w:type="spellStart"/>
      <w:r w:rsidRPr="009D3574">
        <w:rPr>
          <w:rFonts w:ascii="Times New Roman" w:hAnsi="Times New Roman" w:cs="Times New Roman"/>
          <w:b/>
          <w:bCs/>
          <w:color w:val="000000" w:themeColor="text1"/>
          <w:sz w:val="24"/>
          <w:szCs w:val="24"/>
        </w:rPr>
        <w:t>october</w:t>
      </w:r>
      <w:proofErr w:type="spellEnd"/>
      <w:r w:rsidRPr="009D3574">
        <w:rPr>
          <w:rFonts w:ascii="Times New Roman" w:hAnsi="Times New Roman" w:cs="Times New Roman"/>
          <w:b/>
          <w:bCs/>
          <w:color w:val="000000" w:themeColor="text1"/>
          <w:sz w:val="24"/>
          <w:szCs w:val="24"/>
        </w:rPr>
        <w:t xml:space="preserve"> 2024]</w:t>
      </w:r>
    </w:p>
    <w:p w14:paraId="2FFF8BBD" w14:textId="77777777" w:rsidR="00D63F2F" w:rsidRPr="009D3574" w:rsidRDefault="00D63F2F" w:rsidP="00B52881">
      <w:pPr>
        <w:pStyle w:val="ListParagraph"/>
        <w:numPr>
          <w:ilvl w:val="0"/>
          <w:numId w:val="3"/>
        </w:numPr>
        <w:rPr>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t>Kaleka, A. and Morgan, N.A., 2019. How marketing capabilities and current performance drive strategic intentions in international markets. Industrial Marketing Management, 78, pp.108-121</w:t>
      </w:r>
      <w:proofErr w:type="gramStart"/>
      <w:r w:rsidRPr="009D3574">
        <w:rPr>
          <w:rFonts w:ascii="Times New Roman" w:hAnsi="Times New Roman" w:cs="Times New Roman"/>
          <w:b/>
          <w:bCs/>
          <w:color w:val="000000" w:themeColor="text1"/>
          <w:sz w:val="24"/>
          <w:szCs w:val="24"/>
        </w:rPr>
        <w:t>. .</w:t>
      </w:r>
      <w:proofErr w:type="gramEnd"/>
      <w:r w:rsidRPr="009D3574">
        <w:rPr>
          <w:rFonts w:ascii="Times New Roman" w:hAnsi="Times New Roman" w:cs="Times New Roman"/>
          <w:b/>
          <w:bCs/>
          <w:color w:val="000000" w:themeColor="text1"/>
          <w:sz w:val="24"/>
          <w:szCs w:val="24"/>
        </w:rPr>
        <w:t xml:space="preserve"> https://www.Sciencedirect.Com/science/article/pii/S0019850117301207</w:t>
      </w:r>
    </w:p>
    <w:p w14:paraId="79A09697" w14:textId="77777777" w:rsidR="00D63F2F" w:rsidRPr="009D3574" w:rsidRDefault="00D63F2F" w:rsidP="00B52881">
      <w:pPr>
        <w:pStyle w:val="ListParagraph"/>
        <w:numPr>
          <w:ilvl w:val="0"/>
          <w:numId w:val="3"/>
        </w:numPr>
        <w:rPr>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t xml:space="preserve">McLeod, S., 2021. Feasibility studies for novel and complex projects: Principles </w:t>
      </w:r>
      <w:proofErr w:type="spellStart"/>
      <w:r w:rsidRPr="009D3574">
        <w:rPr>
          <w:rFonts w:ascii="Times New Roman" w:hAnsi="Times New Roman" w:cs="Times New Roman"/>
          <w:b/>
          <w:bCs/>
          <w:color w:val="000000" w:themeColor="text1"/>
          <w:sz w:val="24"/>
          <w:szCs w:val="24"/>
        </w:rPr>
        <w:t>synthesised</w:t>
      </w:r>
      <w:proofErr w:type="spellEnd"/>
      <w:r w:rsidRPr="009D3574">
        <w:rPr>
          <w:rFonts w:ascii="Times New Roman" w:hAnsi="Times New Roman" w:cs="Times New Roman"/>
          <w:b/>
          <w:bCs/>
          <w:color w:val="000000" w:themeColor="text1"/>
          <w:sz w:val="24"/>
          <w:szCs w:val="24"/>
        </w:rPr>
        <w:t xml:space="preserve"> through an integrative review. Project Leadership and Society, 2, p.100022.https://www.sciencedirect.com/science/article/pii/S2666721521000168</w:t>
      </w:r>
    </w:p>
    <w:p w14:paraId="20BE2342" w14:textId="77777777" w:rsidR="00D63F2F" w:rsidRPr="009D3574" w:rsidRDefault="00D63F2F" w:rsidP="00B52881">
      <w:pPr>
        <w:pStyle w:val="ListParagraph"/>
        <w:numPr>
          <w:ilvl w:val="0"/>
          <w:numId w:val="3"/>
        </w:numPr>
        <w:rPr>
          <w:rFonts w:ascii="Times New Roman" w:hAnsi="Times New Roman" w:cs="Times New Roman"/>
          <w:b/>
          <w:bCs/>
          <w:color w:val="000000" w:themeColor="text1"/>
          <w:sz w:val="24"/>
          <w:szCs w:val="24"/>
        </w:rPr>
      </w:pPr>
      <w:proofErr w:type="spellStart"/>
      <w:r w:rsidRPr="009D3574">
        <w:rPr>
          <w:rFonts w:ascii="Times New Roman" w:hAnsi="Times New Roman" w:cs="Times New Roman"/>
          <w:b/>
          <w:bCs/>
          <w:color w:val="000000" w:themeColor="text1"/>
          <w:sz w:val="24"/>
          <w:szCs w:val="24"/>
        </w:rPr>
        <w:t>Micemag</w:t>
      </w:r>
      <w:proofErr w:type="spellEnd"/>
      <w:r w:rsidRPr="009D3574">
        <w:rPr>
          <w:rFonts w:ascii="Times New Roman" w:hAnsi="Times New Roman" w:cs="Times New Roman"/>
          <w:b/>
          <w:bCs/>
          <w:color w:val="000000" w:themeColor="text1"/>
          <w:sz w:val="24"/>
          <w:szCs w:val="24"/>
        </w:rPr>
        <w:t xml:space="preserve">, 2024. List of mice events [online] </w:t>
      </w:r>
      <w:proofErr w:type="spellStart"/>
      <w:r w:rsidRPr="009D3574">
        <w:rPr>
          <w:rFonts w:ascii="Times New Roman" w:hAnsi="Times New Roman" w:cs="Times New Roman"/>
          <w:b/>
          <w:bCs/>
          <w:color w:val="000000" w:themeColor="text1"/>
          <w:sz w:val="24"/>
          <w:szCs w:val="24"/>
        </w:rPr>
        <w:t>Micemag</w:t>
      </w:r>
      <w:proofErr w:type="spellEnd"/>
      <w:r w:rsidRPr="009D3574">
        <w:rPr>
          <w:rFonts w:ascii="Times New Roman" w:hAnsi="Times New Roman" w:cs="Times New Roman"/>
          <w:b/>
          <w:bCs/>
          <w:color w:val="000000" w:themeColor="text1"/>
          <w:sz w:val="24"/>
          <w:szCs w:val="24"/>
        </w:rPr>
        <w:t xml:space="preserve"> available at: https://www.Micemag.Com/mice-events/ [accessed 4 </w:t>
      </w:r>
      <w:proofErr w:type="spellStart"/>
      <w:r w:rsidRPr="009D3574">
        <w:rPr>
          <w:rFonts w:ascii="Times New Roman" w:hAnsi="Times New Roman" w:cs="Times New Roman"/>
          <w:b/>
          <w:bCs/>
          <w:color w:val="000000" w:themeColor="text1"/>
          <w:sz w:val="24"/>
          <w:szCs w:val="24"/>
        </w:rPr>
        <w:t>october</w:t>
      </w:r>
      <w:proofErr w:type="spellEnd"/>
      <w:r w:rsidRPr="009D3574">
        <w:rPr>
          <w:rFonts w:ascii="Times New Roman" w:hAnsi="Times New Roman" w:cs="Times New Roman"/>
          <w:b/>
          <w:bCs/>
          <w:color w:val="000000" w:themeColor="text1"/>
          <w:sz w:val="24"/>
          <w:szCs w:val="24"/>
        </w:rPr>
        <w:t xml:space="preserve"> 2024]</w:t>
      </w:r>
    </w:p>
    <w:p w14:paraId="53ABAE94" w14:textId="05D4A89C" w:rsidR="00D63F2F" w:rsidRPr="009D3574" w:rsidRDefault="00D63F2F" w:rsidP="00B52881">
      <w:pPr>
        <w:pStyle w:val="ListParagraph"/>
        <w:numPr>
          <w:ilvl w:val="0"/>
          <w:numId w:val="3"/>
        </w:numPr>
        <w:rPr>
          <w:rStyle w:val="Hyperlink"/>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t>Mukherjee, M. and Roy, S., 2017. Feasibility studies and important aspect of project management. International Journal of Advanced Engineering and Management, 2(4), pp.98-100</w:t>
      </w:r>
      <w:proofErr w:type="gramStart"/>
      <w:r w:rsidRPr="009D3574">
        <w:rPr>
          <w:rFonts w:ascii="Times New Roman" w:hAnsi="Times New Roman" w:cs="Times New Roman"/>
          <w:b/>
          <w:bCs/>
          <w:color w:val="000000" w:themeColor="text1"/>
          <w:sz w:val="24"/>
          <w:szCs w:val="24"/>
        </w:rPr>
        <w:t>. .</w:t>
      </w:r>
      <w:proofErr w:type="gramEnd"/>
      <w:r w:rsidRPr="009D3574">
        <w:rPr>
          <w:rFonts w:ascii="Times New Roman" w:hAnsi="Times New Roman" w:cs="Times New Roman"/>
          <w:b/>
          <w:bCs/>
          <w:color w:val="000000" w:themeColor="text1"/>
          <w:sz w:val="24"/>
          <w:szCs w:val="24"/>
        </w:rPr>
        <w:t xml:space="preserve"> </w:t>
      </w:r>
      <w:hyperlink r:id="rId19" w:history="1">
        <w:r w:rsidRPr="009D3574">
          <w:rPr>
            <w:rStyle w:val="Hyperlink"/>
            <w:rFonts w:ascii="Times New Roman" w:hAnsi="Times New Roman" w:cs="Times New Roman"/>
            <w:b/>
            <w:bCs/>
            <w:color w:val="000000" w:themeColor="text1"/>
            <w:sz w:val="24"/>
            <w:szCs w:val="24"/>
          </w:rPr>
          <w:t>https://www.Researchgate.Net/profile/sahadev-roy/publication/317713058_feasibility_studies_and_important_aspect_of_project_management/links/5be78405a6fdcc3a8dcd740b/feasibility-studies-and-important-aspect-of-project-management.Pdf?Origin=publication_detail&amp;_tp=eyjjb250zxh0ijp7imzpcnn0ugfnzsi6il9kaxjly3qilcjwywdlijoichvibgljyxrpb25eb3dubg9hzcisinbyzxzpb3vzugfnzsi6inb1ymxpy2f0aw9uin19</w:t>
        </w:r>
      </w:hyperlink>
    </w:p>
    <w:p w14:paraId="4964D1D0" w14:textId="77777777" w:rsidR="00177F81" w:rsidRPr="009D3574" w:rsidRDefault="00177F81" w:rsidP="00B52881">
      <w:pPr>
        <w:pStyle w:val="ListParagraph"/>
        <w:numPr>
          <w:ilvl w:val="0"/>
          <w:numId w:val="3"/>
        </w:numPr>
        <w:rPr>
          <w:rFonts w:ascii="Times New Roman" w:hAnsi="Times New Roman" w:cs="Times New Roman"/>
          <w:b/>
          <w:bCs/>
          <w:color w:val="000000" w:themeColor="text1"/>
          <w:sz w:val="24"/>
          <w:szCs w:val="24"/>
        </w:rPr>
      </w:pPr>
      <w:proofErr w:type="spellStart"/>
      <w:r w:rsidRPr="009D3574">
        <w:rPr>
          <w:rFonts w:ascii="Times New Roman" w:hAnsi="Times New Roman" w:cs="Times New Roman"/>
          <w:b/>
          <w:bCs/>
          <w:color w:val="000000" w:themeColor="text1"/>
          <w:sz w:val="24"/>
          <w:szCs w:val="24"/>
        </w:rPr>
        <w:t>Palrão</w:t>
      </w:r>
      <w:proofErr w:type="spellEnd"/>
      <w:r w:rsidRPr="009D3574">
        <w:rPr>
          <w:rFonts w:ascii="Times New Roman" w:hAnsi="Times New Roman" w:cs="Times New Roman"/>
          <w:b/>
          <w:bCs/>
          <w:color w:val="000000" w:themeColor="text1"/>
          <w:sz w:val="24"/>
          <w:szCs w:val="24"/>
        </w:rPr>
        <w:t>, T., Rodrigues, R.I. and Estêvão, J.V., 2021, October. The role of the public sector in the aftermath of the COVID-19 pandemic crisis: The case of Portuguese events’ industry. In Journal of Convention &amp; Event Tourism (Vol. 22, No. 5, pp. 407-428). Routledge</w:t>
      </w:r>
      <w:proofErr w:type="gramStart"/>
      <w:r w:rsidRPr="009D3574">
        <w:rPr>
          <w:rFonts w:ascii="Times New Roman" w:hAnsi="Times New Roman" w:cs="Times New Roman"/>
          <w:b/>
          <w:bCs/>
          <w:color w:val="000000" w:themeColor="text1"/>
          <w:sz w:val="24"/>
          <w:szCs w:val="24"/>
        </w:rPr>
        <w:t>. .</w:t>
      </w:r>
      <w:proofErr w:type="gramEnd"/>
      <w:r w:rsidRPr="009D3574">
        <w:rPr>
          <w:rFonts w:ascii="Times New Roman" w:hAnsi="Times New Roman" w:cs="Times New Roman"/>
          <w:b/>
          <w:bCs/>
          <w:color w:val="000000" w:themeColor="text1"/>
          <w:sz w:val="24"/>
          <w:szCs w:val="24"/>
        </w:rPr>
        <w:t xml:space="preserve"> https://www.Researchgate.Net/profile/rosa-rodrigues/publication/370596176_2021_portuguese_events_industrypdf/data/6458defe4af7887352689b2f/2021-portuguese-events-industry.Pdf</w:t>
      </w:r>
    </w:p>
    <w:p w14:paraId="3BD1F9AC" w14:textId="1CE5E6CE" w:rsidR="00177F81" w:rsidRPr="009D3574" w:rsidRDefault="00177F81" w:rsidP="00B52881">
      <w:pPr>
        <w:pStyle w:val="ListParagraph"/>
        <w:numPr>
          <w:ilvl w:val="0"/>
          <w:numId w:val="3"/>
        </w:numPr>
        <w:rPr>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t xml:space="preserve">Premier inn, 2024. Gravesend central hotel [online] premier inn available at: https://www.Premierinn.Com/gb/en/hotels/england/kent/gravesend/gravesend-central.Html [accessed 8 </w:t>
      </w:r>
      <w:proofErr w:type="spellStart"/>
      <w:r w:rsidRPr="009D3574">
        <w:rPr>
          <w:rFonts w:ascii="Times New Roman" w:hAnsi="Times New Roman" w:cs="Times New Roman"/>
          <w:b/>
          <w:bCs/>
          <w:color w:val="000000" w:themeColor="text1"/>
          <w:sz w:val="24"/>
          <w:szCs w:val="24"/>
        </w:rPr>
        <w:t>october</w:t>
      </w:r>
      <w:proofErr w:type="spellEnd"/>
      <w:r w:rsidRPr="009D3574">
        <w:rPr>
          <w:rFonts w:ascii="Times New Roman" w:hAnsi="Times New Roman" w:cs="Times New Roman"/>
          <w:b/>
          <w:bCs/>
          <w:color w:val="000000" w:themeColor="text1"/>
          <w:sz w:val="24"/>
          <w:szCs w:val="24"/>
        </w:rPr>
        <w:t xml:space="preserve"> 2024]</w:t>
      </w:r>
    </w:p>
    <w:p w14:paraId="3AD42BB4" w14:textId="789D5B13" w:rsidR="00177F81" w:rsidRPr="009D3574" w:rsidRDefault="00177F81" w:rsidP="00177F81">
      <w:pPr>
        <w:rPr>
          <w:rFonts w:ascii="Times New Roman" w:hAnsi="Times New Roman" w:cs="Times New Roman"/>
          <w:b/>
          <w:bCs/>
          <w:color w:val="000000" w:themeColor="text1"/>
          <w:sz w:val="24"/>
          <w:szCs w:val="24"/>
        </w:rPr>
      </w:pPr>
    </w:p>
    <w:p w14:paraId="47BBDB11" w14:textId="77777777" w:rsidR="00177F81" w:rsidRPr="00177F81" w:rsidRDefault="00177F81" w:rsidP="00177F81">
      <w:pPr>
        <w:rPr>
          <w:rFonts w:ascii="Times New Roman" w:hAnsi="Times New Roman" w:cs="Times New Roman"/>
          <w:b/>
          <w:bCs/>
          <w:color w:val="000000" w:themeColor="text1"/>
          <w:sz w:val="24"/>
          <w:szCs w:val="24"/>
        </w:rPr>
      </w:pPr>
    </w:p>
    <w:p w14:paraId="0163FE8D" w14:textId="77777777" w:rsidR="00177F81" w:rsidRPr="009D3574" w:rsidRDefault="00177F81" w:rsidP="00B52881">
      <w:pPr>
        <w:pStyle w:val="ListParagraph"/>
        <w:numPr>
          <w:ilvl w:val="0"/>
          <w:numId w:val="3"/>
        </w:numPr>
        <w:rPr>
          <w:rFonts w:ascii="Times New Roman" w:hAnsi="Times New Roman" w:cs="Times New Roman"/>
          <w:b/>
          <w:bCs/>
          <w:color w:val="000000" w:themeColor="text1"/>
          <w:sz w:val="24"/>
          <w:szCs w:val="24"/>
        </w:rPr>
      </w:pPr>
      <w:proofErr w:type="spellStart"/>
      <w:r w:rsidRPr="009D3574">
        <w:rPr>
          <w:rFonts w:ascii="Times New Roman" w:hAnsi="Times New Roman" w:cs="Times New Roman"/>
          <w:b/>
          <w:bCs/>
          <w:color w:val="000000" w:themeColor="text1"/>
          <w:sz w:val="24"/>
          <w:szCs w:val="24"/>
        </w:rPr>
        <w:t>Qamariah</w:t>
      </w:r>
      <w:proofErr w:type="spellEnd"/>
      <w:r w:rsidRPr="009D3574">
        <w:rPr>
          <w:rFonts w:ascii="Times New Roman" w:hAnsi="Times New Roman" w:cs="Times New Roman"/>
          <w:b/>
          <w:bCs/>
          <w:color w:val="000000" w:themeColor="text1"/>
          <w:sz w:val="24"/>
          <w:szCs w:val="24"/>
        </w:rPr>
        <w:t xml:space="preserve">, I. and </w:t>
      </w:r>
      <w:proofErr w:type="spellStart"/>
      <w:r w:rsidRPr="009D3574">
        <w:rPr>
          <w:rFonts w:ascii="Times New Roman" w:hAnsi="Times New Roman" w:cs="Times New Roman"/>
          <w:b/>
          <w:bCs/>
          <w:color w:val="000000" w:themeColor="text1"/>
          <w:sz w:val="24"/>
          <w:szCs w:val="24"/>
        </w:rPr>
        <w:t>Muchtar</w:t>
      </w:r>
      <w:proofErr w:type="spellEnd"/>
      <w:r w:rsidRPr="009D3574">
        <w:rPr>
          <w:rFonts w:ascii="Times New Roman" w:hAnsi="Times New Roman" w:cs="Times New Roman"/>
          <w:b/>
          <w:bCs/>
          <w:color w:val="000000" w:themeColor="text1"/>
          <w:sz w:val="24"/>
          <w:szCs w:val="24"/>
        </w:rPr>
        <w:t>, Y.C., 2019, October. Service Quality of MICE (Meeting, Incentive, Conference and Exhibition) Industry. In 2019 International Conference on Organizational Innovation (ICOI 2019) (pp. 614-618). Atlantis Press</w:t>
      </w:r>
      <w:proofErr w:type="gramStart"/>
      <w:r w:rsidRPr="009D3574">
        <w:rPr>
          <w:rFonts w:ascii="Times New Roman" w:hAnsi="Times New Roman" w:cs="Times New Roman"/>
          <w:b/>
          <w:bCs/>
          <w:color w:val="000000" w:themeColor="text1"/>
          <w:sz w:val="24"/>
          <w:szCs w:val="24"/>
        </w:rPr>
        <w:t>. .</w:t>
      </w:r>
      <w:proofErr w:type="gramEnd"/>
      <w:r w:rsidRPr="009D3574">
        <w:rPr>
          <w:rFonts w:ascii="Times New Roman" w:hAnsi="Times New Roman" w:cs="Times New Roman"/>
          <w:b/>
          <w:bCs/>
          <w:color w:val="000000" w:themeColor="text1"/>
          <w:sz w:val="24"/>
          <w:szCs w:val="24"/>
        </w:rPr>
        <w:t xml:space="preserve"> https://www.Atlantis-press.Com/article/125919385.Pdf</w:t>
      </w:r>
    </w:p>
    <w:p w14:paraId="74290A23" w14:textId="77777777" w:rsidR="00177F81" w:rsidRPr="009D3574" w:rsidRDefault="00177F81" w:rsidP="00B52881">
      <w:pPr>
        <w:pStyle w:val="ListParagraph"/>
        <w:numPr>
          <w:ilvl w:val="0"/>
          <w:numId w:val="3"/>
        </w:numPr>
        <w:rPr>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t>RUMERUNG, J., SAERANG, D.P., MANANEKE, L. and LENGKONG, V.P., 2019. Effects of Human Capital, Structural Capital, Relations Capital on Business Performance with Intervening Competitiveness in the Meetings, Incentives, Conferences and Exhibitions (MICE) Industry in North Sulawesi Province. Journal of Applied Economic Sciences, 14(4). https://www.Researchgate.Net/profile/soelistijono-boedi/publication/360782827_intellectual_capital_disclosure-empirical_evidence_of_indonesian_banking/links/628b0b6139fa21703166e933/intellectual-capital-disclosure-empirical-evidence-of-indonesian-banking.Pdf#page=203</w:t>
      </w:r>
    </w:p>
    <w:p w14:paraId="6576D348" w14:textId="77777777" w:rsidR="00177F81" w:rsidRPr="009D3574" w:rsidRDefault="00177F81" w:rsidP="00B52881">
      <w:pPr>
        <w:pStyle w:val="ListParagraph"/>
        <w:numPr>
          <w:ilvl w:val="0"/>
          <w:numId w:val="3"/>
        </w:numPr>
        <w:rPr>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t xml:space="preserve">Thibaut, E., Eakins, J., Vos, S. and </w:t>
      </w:r>
      <w:proofErr w:type="spellStart"/>
      <w:r w:rsidRPr="009D3574">
        <w:rPr>
          <w:rFonts w:ascii="Times New Roman" w:hAnsi="Times New Roman" w:cs="Times New Roman"/>
          <w:b/>
          <w:bCs/>
          <w:color w:val="000000" w:themeColor="text1"/>
          <w:sz w:val="24"/>
          <w:szCs w:val="24"/>
        </w:rPr>
        <w:t>Scheerder</w:t>
      </w:r>
      <w:proofErr w:type="spellEnd"/>
      <w:r w:rsidRPr="009D3574">
        <w:rPr>
          <w:rFonts w:ascii="Times New Roman" w:hAnsi="Times New Roman" w:cs="Times New Roman"/>
          <w:b/>
          <w:bCs/>
          <w:color w:val="000000" w:themeColor="text1"/>
          <w:sz w:val="24"/>
          <w:szCs w:val="24"/>
        </w:rPr>
        <w:t>, J., 2018. The determinants and income elasticities of direct and indirect sports expenditure categories. European sport management quarterly, 18(2), pp.175-192</w:t>
      </w:r>
      <w:proofErr w:type="gramStart"/>
      <w:r w:rsidRPr="009D3574">
        <w:rPr>
          <w:rFonts w:ascii="Times New Roman" w:hAnsi="Times New Roman" w:cs="Times New Roman"/>
          <w:b/>
          <w:bCs/>
          <w:color w:val="000000" w:themeColor="text1"/>
          <w:sz w:val="24"/>
          <w:szCs w:val="24"/>
        </w:rPr>
        <w:t>. .</w:t>
      </w:r>
      <w:proofErr w:type="gramEnd"/>
      <w:r w:rsidRPr="009D3574">
        <w:rPr>
          <w:rFonts w:ascii="Times New Roman" w:hAnsi="Times New Roman" w:cs="Times New Roman"/>
          <w:b/>
          <w:bCs/>
          <w:color w:val="000000" w:themeColor="text1"/>
          <w:sz w:val="24"/>
          <w:szCs w:val="24"/>
        </w:rPr>
        <w:t xml:space="preserve"> https://www.Researchgate.Net/profile/erik-thibaut/publication/318885415_the_determinants_and_income_elasticities_of_direct_and_indirect_sports_expenditure_categories/links/59ef4d4f458515ec0c7b5b1b/the-determinants-and-income-elasticities-of-direct-and-indirect-sports-expenditure-categories.Pdf?_Sg%5b0%5d=started_experiment_milestone&amp;origin=journaldetail&amp;_rtd=e30%3d</w:t>
      </w:r>
    </w:p>
    <w:p w14:paraId="1A944C32" w14:textId="77777777" w:rsidR="00177F81" w:rsidRPr="009D3574" w:rsidRDefault="00177F81" w:rsidP="00B52881">
      <w:pPr>
        <w:pStyle w:val="ListParagraph"/>
        <w:numPr>
          <w:ilvl w:val="0"/>
          <w:numId w:val="3"/>
        </w:numPr>
        <w:rPr>
          <w:rFonts w:ascii="Times New Roman" w:hAnsi="Times New Roman" w:cs="Times New Roman"/>
          <w:b/>
          <w:bCs/>
          <w:color w:val="000000" w:themeColor="text1"/>
          <w:sz w:val="24"/>
          <w:szCs w:val="24"/>
        </w:rPr>
      </w:pPr>
      <w:proofErr w:type="spellStart"/>
      <w:r w:rsidRPr="009D3574">
        <w:rPr>
          <w:rFonts w:ascii="Times New Roman" w:hAnsi="Times New Roman" w:cs="Times New Roman"/>
          <w:b/>
          <w:bCs/>
          <w:color w:val="000000" w:themeColor="text1"/>
          <w:sz w:val="24"/>
          <w:szCs w:val="24"/>
        </w:rPr>
        <w:t>Thommandru</w:t>
      </w:r>
      <w:proofErr w:type="spellEnd"/>
      <w:r w:rsidRPr="009D3574">
        <w:rPr>
          <w:rFonts w:ascii="Times New Roman" w:hAnsi="Times New Roman" w:cs="Times New Roman"/>
          <w:b/>
          <w:bCs/>
          <w:color w:val="000000" w:themeColor="text1"/>
          <w:sz w:val="24"/>
          <w:szCs w:val="24"/>
        </w:rPr>
        <w:t>, A., Espinoza-</w:t>
      </w:r>
      <w:proofErr w:type="spellStart"/>
      <w:r w:rsidRPr="009D3574">
        <w:rPr>
          <w:rFonts w:ascii="Times New Roman" w:hAnsi="Times New Roman" w:cs="Times New Roman"/>
          <w:b/>
          <w:bCs/>
          <w:color w:val="000000" w:themeColor="text1"/>
          <w:sz w:val="24"/>
          <w:szCs w:val="24"/>
        </w:rPr>
        <w:t>Maguiña</w:t>
      </w:r>
      <w:proofErr w:type="spellEnd"/>
      <w:r w:rsidRPr="009D3574">
        <w:rPr>
          <w:rFonts w:ascii="Times New Roman" w:hAnsi="Times New Roman" w:cs="Times New Roman"/>
          <w:b/>
          <w:bCs/>
          <w:color w:val="000000" w:themeColor="text1"/>
          <w:sz w:val="24"/>
          <w:szCs w:val="24"/>
        </w:rPr>
        <w:t>, M., Ramirez-</w:t>
      </w:r>
      <w:proofErr w:type="spellStart"/>
      <w:r w:rsidRPr="009D3574">
        <w:rPr>
          <w:rFonts w:ascii="Times New Roman" w:hAnsi="Times New Roman" w:cs="Times New Roman"/>
          <w:b/>
          <w:bCs/>
          <w:color w:val="000000" w:themeColor="text1"/>
          <w:sz w:val="24"/>
          <w:szCs w:val="24"/>
        </w:rPr>
        <w:t>Asis</w:t>
      </w:r>
      <w:proofErr w:type="spellEnd"/>
      <w:r w:rsidRPr="009D3574">
        <w:rPr>
          <w:rFonts w:ascii="Times New Roman" w:hAnsi="Times New Roman" w:cs="Times New Roman"/>
          <w:b/>
          <w:bCs/>
          <w:color w:val="000000" w:themeColor="text1"/>
          <w:sz w:val="24"/>
          <w:szCs w:val="24"/>
        </w:rPr>
        <w:t>, E., Ray, S., Naved, M. and Guzman-Avalos, M., 2023. Role of tourism and hospitality business in economic development. Materials Today: Proceedings, 80, pp.2901-2904. https://www.Researchgate.Net/profile/mohd-naved/publication/353229404_Role_of_tourism_and_hospitality_business_in_economic_development/links/61279a5f0360302a005f1f75/Role-of-tourism-and-hospitality-business-in-economic-development.pdf</w:t>
      </w:r>
    </w:p>
    <w:p w14:paraId="4A55212B" w14:textId="463BE83D" w:rsidR="00177F81" w:rsidRPr="009D3574" w:rsidRDefault="00177F81" w:rsidP="00B52881">
      <w:pPr>
        <w:pStyle w:val="ListParagraph"/>
        <w:numPr>
          <w:ilvl w:val="0"/>
          <w:numId w:val="3"/>
        </w:numPr>
        <w:rPr>
          <w:rFonts w:ascii="Times New Roman" w:hAnsi="Times New Roman" w:cs="Times New Roman"/>
          <w:b/>
          <w:bCs/>
          <w:color w:val="000000" w:themeColor="text1"/>
          <w:sz w:val="24"/>
          <w:szCs w:val="24"/>
        </w:rPr>
      </w:pPr>
      <w:r w:rsidRPr="009D3574">
        <w:rPr>
          <w:rFonts w:ascii="Times New Roman" w:hAnsi="Times New Roman" w:cs="Times New Roman"/>
          <w:b/>
          <w:bCs/>
          <w:color w:val="000000" w:themeColor="text1"/>
          <w:sz w:val="24"/>
          <w:szCs w:val="24"/>
        </w:rPr>
        <w:t>Wee, H., Mustapha, N.A. and Anas, M.S., 2021. Characteristic of green event practices in mice tourism: a systematic literature review. International Journal of Academic Research in Business and Social Sciences, 11(16), pp.271-291.https://www.researchgate.net/profile/Hassnah-Wee/publication/354982398_Characteristic_of_Green_Event_Practices_in_MICE_Tourism_A_Systematic_Literature_Review/links/6156708de7bb415a5d43b0f6/Characteristic-of-Green-Event-Practices-in-MICE-Tourism-A-Systematic-Literature-Review.pdf</w:t>
      </w:r>
    </w:p>
    <w:p w14:paraId="221CE127" w14:textId="77777777" w:rsidR="00D63F2F" w:rsidRPr="009D3574" w:rsidRDefault="00D63F2F" w:rsidP="00D63F2F">
      <w:pPr>
        <w:rPr>
          <w:rFonts w:ascii="Times New Roman" w:hAnsi="Times New Roman" w:cs="Times New Roman"/>
          <w:b/>
          <w:bCs/>
          <w:color w:val="000000" w:themeColor="text1"/>
          <w:sz w:val="24"/>
          <w:szCs w:val="24"/>
        </w:rPr>
      </w:pPr>
    </w:p>
    <w:sectPr w:rsidR="00D63F2F" w:rsidRPr="009D35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D6744"/>
    <w:multiLevelType w:val="hybridMultilevel"/>
    <w:tmpl w:val="CD1A1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F4493C"/>
    <w:multiLevelType w:val="hybridMultilevel"/>
    <w:tmpl w:val="69FC7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2A0613"/>
    <w:multiLevelType w:val="hybridMultilevel"/>
    <w:tmpl w:val="8A8C8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7BF"/>
    <w:rsid w:val="000E47BF"/>
    <w:rsid w:val="00177F81"/>
    <w:rsid w:val="001D0209"/>
    <w:rsid w:val="00200AC7"/>
    <w:rsid w:val="0039113F"/>
    <w:rsid w:val="00396BD4"/>
    <w:rsid w:val="00430187"/>
    <w:rsid w:val="009038CB"/>
    <w:rsid w:val="009D3574"/>
    <w:rsid w:val="009F588C"/>
    <w:rsid w:val="00B52881"/>
    <w:rsid w:val="00D5658F"/>
    <w:rsid w:val="00D63F2F"/>
    <w:rsid w:val="00F34E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B0E9"/>
  <w15:chartTrackingRefBased/>
  <w15:docId w15:val="{4128F263-212E-4E2C-A75C-45F15800C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E97"/>
    <w:pPr>
      <w:ind w:left="720"/>
      <w:contextualSpacing/>
    </w:pPr>
  </w:style>
  <w:style w:type="character" w:styleId="Hyperlink">
    <w:name w:val="Hyperlink"/>
    <w:basedOn w:val="DefaultParagraphFont"/>
    <w:uiPriority w:val="99"/>
    <w:unhideWhenUsed/>
    <w:rsid w:val="00D63F2F"/>
    <w:rPr>
      <w:color w:val="0563C1" w:themeColor="hyperlink"/>
      <w:u w:val="single"/>
    </w:rPr>
  </w:style>
  <w:style w:type="character" w:styleId="UnresolvedMention">
    <w:name w:val="Unresolved Mention"/>
    <w:basedOn w:val="DefaultParagraphFont"/>
    <w:uiPriority w:val="99"/>
    <w:semiHidden/>
    <w:unhideWhenUsed/>
    <w:rsid w:val="00D63F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0474">
      <w:bodyDiv w:val="1"/>
      <w:marLeft w:val="0"/>
      <w:marRight w:val="0"/>
      <w:marTop w:val="0"/>
      <w:marBottom w:val="0"/>
      <w:divBdr>
        <w:top w:val="none" w:sz="0" w:space="0" w:color="auto"/>
        <w:left w:val="none" w:sz="0" w:space="0" w:color="auto"/>
        <w:bottom w:val="none" w:sz="0" w:space="0" w:color="auto"/>
        <w:right w:val="none" w:sz="0" w:space="0" w:color="auto"/>
      </w:divBdr>
    </w:div>
    <w:div w:id="1093933176">
      <w:bodyDiv w:val="1"/>
      <w:marLeft w:val="0"/>
      <w:marRight w:val="0"/>
      <w:marTop w:val="0"/>
      <w:marBottom w:val="0"/>
      <w:divBdr>
        <w:top w:val="none" w:sz="0" w:space="0" w:color="auto"/>
        <w:left w:val="none" w:sz="0" w:space="0" w:color="auto"/>
        <w:bottom w:val="none" w:sz="0" w:space="0" w:color="auto"/>
        <w:right w:val="none" w:sz="0" w:space="0" w:color="auto"/>
      </w:divBdr>
    </w:div>
    <w:div w:id="1140196988">
      <w:bodyDiv w:val="1"/>
      <w:marLeft w:val="0"/>
      <w:marRight w:val="0"/>
      <w:marTop w:val="0"/>
      <w:marBottom w:val="0"/>
      <w:divBdr>
        <w:top w:val="none" w:sz="0" w:space="0" w:color="auto"/>
        <w:left w:val="none" w:sz="0" w:space="0" w:color="auto"/>
        <w:bottom w:val="none" w:sz="0" w:space="0" w:color="auto"/>
        <w:right w:val="none" w:sz="0" w:space="0" w:color="auto"/>
      </w:divBdr>
    </w:div>
    <w:div w:id="2088186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researchgate.net/profile/Noelah-Mae-Borbon/publication/359257183_Green_Practices_of_Event_Management_Enterprises_in_Batangas_City/links/6231a67fd37dab4f96e7f201/Green-Practices-of-Event-Management-Enterprises-in-Batangas-City.p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mdpi-res.Com/d_attachment/sustainability/sustainability-13-05030/article_deploy/sustainability-13-05030.Pdf?Version=1619763096" TargetMode="External"/><Relationship Id="rId2" Type="http://schemas.openxmlformats.org/officeDocument/2006/relationships/styles" Target="styles.xml"/><Relationship Id="rId16" Type="http://schemas.openxmlformats.org/officeDocument/2006/relationships/hyperlink" Target="https://www.Researchgate.Net/journal/open-engineering-2391-5439/publication/374259596_feasibility_studies_and_their_effects_on_the_success_or_failure_of_investment_projects_najaf_governorate_as_a_model/links/6515c3a51e2386049de2f0d2/feasibility-studies-and-their-effects-on-the-success-or-failure-of-investment-projects-najaf-governorate-as-a-model.Pdf?_Tp=eyjjb250zxh0ijp7imzpcnn0ugfnzsi6il9kaxjly3qilcjwywdlijoichvibgljyxrpb25eb3dubg9hzcisinbyzxzpb3vzugfnzsi6il9kaxjly3qifx"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s://www.Researchgate.Net/profile/sahadev-roy/publication/317713058_feasibility_studies_and_important_aspect_of_project_management/links/5be78405a6fdcc3a8dcd740b/feasibility-studies-and-important-aspect-of-project-management.Pdf?Origin=publication_detail&amp;_tp=eyjjb250zxh0ijp7imzpcnn0ugfnzsi6il9kaxjly3qilcjwywdlijoichvibgljyxrpb25eb3dubg9hzcisinbyzxzpb3vzugfnzsi6inb1ymxpy2f0aw9uin19"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1420</Words>
  <Characters>8098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2025-02-27T05:41:00Z</dcterms:created>
  <dcterms:modified xsi:type="dcterms:W3CDTF">2025-02-27T17:51:00Z</dcterms:modified>
</cp:coreProperties>
</file>