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eastAsia="en-US"/>
          <w14:ligatures w14:val="standardContextual"/>
        </w:rPr>
        <w:id w:val="274923571"/>
        <w:docPartObj>
          <w:docPartGallery w:val="Cover Pages"/>
          <w:docPartUnique/>
        </w:docPartObj>
      </w:sdtPr>
      <w:sdtContent>
        <w:p w14:paraId="1D51432C" w14:textId="0E054ADF" w:rsidR="00FF2E1A" w:rsidRDefault="00FF2E1A">
          <w:pPr>
            <w:pStyle w:val="NoSpacing"/>
          </w:pPr>
          <w:r>
            <w:rPr>
              <w:noProof/>
            </w:rPr>
            <mc:AlternateContent>
              <mc:Choice Requires="wpg">
                <w:drawing>
                  <wp:anchor distT="0" distB="0" distL="114300" distR="114300" simplePos="0" relativeHeight="251659264" behindDoc="1" locked="0" layoutInCell="1" allowOverlap="1" wp14:anchorId="518AB724" wp14:editId="290BD68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B9B581" w14:textId="78718282" w:rsidR="00FF2E1A" w:rsidRDefault="00FF2E1A" w:rsidP="00672FB9">
                                  <w:pPr>
                                    <w:pStyle w:val="NoSpacing"/>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18AB724"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5AB9B581" w14:textId="78718282" w:rsidR="00FF2E1A" w:rsidRDefault="00FF2E1A" w:rsidP="00672FB9">
                            <w:pPr>
                              <w:pStyle w:val="NoSpacing"/>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4491EBA" w14:textId="3263AE4D" w:rsidR="00FF2E1A" w:rsidRDefault="0075578C">
          <w:r>
            <w:rPr>
              <w:noProof/>
            </w:rPr>
            <mc:AlternateContent>
              <mc:Choice Requires="wps">
                <w:drawing>
                  <wp:anchor distT="0" distB="0" distL="114300" distR="114300" simplePos="0" relativeHeight="251660288" behindDoc="0" locked="0" layoutInCell="1" allowOverlap="1" wp14:anchorId="39089CE1" wp14:editId="35229AA3">
                    <wp:simplePos x="0" y="0"/>
                    <wp:positionH relativeFrom="margin">
                      <wp:align>center</wp:align>
                    </wp:positionH>
                    <wp:positionV relativeFrom="margin">
                      <wp:posOffset>3118485</wp:posOffset>
                    </wp:positionV>
                    <wp:extent cx="4663440" cy="1069340"/>
                    <wp:effectExtent l="0" t="0" r="3810" b="1270"/>
                    <wp:wrapNone/>
                    <wp:docPr id="1" name="Text Box 30"/>
                    <wp:cNvGraphicFramePr/>
                    <a:graphic xmlns:a="http://schemas.openxmlformats.org/drawingml/2006/main">
                      <a:graphicData uri="http://schemas.microsoft.com/office/word/2010/wordprocessingShape">
                        <wps:wsp>
                          <wps:cNvSpPr txBox="1"/>
                          <wps:spPr>
                            <a:xfrm>
                              <a:off x="0" y="0"/>
                              <a:ext cx="466344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87783" w14:textId="522C8A8B" w:rsidR="00FF2E1A" w:rsidRDefault="00000000" w:rsidP="005D3BD2">
                                <w:pPr>
                                  <w:pStyle w:val="NoSpacing"/>
                                  <w:jc w:val="center"/>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72FB9" w:rsidRPr="00843691">
                                      <w:rPr>
                                        <w:rFonts w:asciiTheme="majorHAnsi" w:eastAsiaTheme="majorEastAsia" w:hAnsiTheme="majorHAnsi" w:cstheme="majorBidi"/>
                                        <w:color w:val="262626" w:themeColor="text1" w:themeTint="D9"/>
                                        <w:sz w:val="72"/>
                                        <w:szCs w:val="72"/>
                                      </w:rPr>
                                      <w:t>C</w:t>
                                    </w:r>
                                    <w:r w:rsidR="002F33B5" w:rsidRPr="00843691">
                                      <w:rPr>
                                        <w:rFonts w:asciiTheme="majorHAnsi" w:eastAsiaTheme="majorEastAsia" w:hAnsiTheme="majorHAnsi" w:cstheme="majorBidi"/>
                                        <w:color w:val="262626" w:themeColor="text1" w:themeTint="D9"/>
                                        <w:sz w:val="72"/>
                                        <w:szCs w:val="72"/>
                                      </w:rPr>
                                      <w:t>OMMUNITY</w:t>
                                    </w:r>
                                    <w:r w:rsidR="00672FB9" w:rsidRPr="00843691">
                                      <w:rPr>
                                        <w:rFonts w:asciiTheme="majorHAnsi" w:eastAsiaTheme="majorEastAsia" w:hAnsiTheme="majorHAnsi" w:cstheme="majorBidi"/>
                                        <w:color w:val="262626" w:themeColor="text1" w:themeTint="D9"/>
                                        <w:sz w:val="72"/>
                                        <w:szCs w:val="72"/>
                                      </w:rPr>
                                      <w:t xml:space="preserve"> P</w:t>
                                    </w:r>
                                    <w:r w:rsidR="002F33B5" w:rsidRPr="00843691">
                                      <w:rPr>
                                        <w:rFonts w:asciiTheme="majorHAnsi" w:eastAsiaTheme="majorEastAsia" w:hAnsiTheme="majorHAnsi" w:cstheme="majorBidi"/>
                                        <w:color w:val="262626" w:themeColor="text1" w:themeTint="D9"/>
                                        <w:sz w:val="72"/>
                                        <w:szCs w:val="72"/>
                                      </w:rPr>
                                      <w:t>OLICING</w:t>
                                    </w:r>
                                    <w:r w:rsidR="00672FB9" w:rsidRPr="00843691">
                                      <w:rPr>
                                        <w:rFonts w:asciiTheme="majorHAnsi" w:eastAsiaTheme="majorEastAsia" w:hAnsiTheme="majorHAnsi" w:cstheme="majorBidi"/>
                                        <w:color w:val="262626" w:themeColor="text1" w:themeTint="D9"/>
                                        <w:sz w:val="72"/>
                                        <w:szCs w:val="72"/>
                                      </w:rPr>
                                      <w:t>: P</w:t>
                                    </w:r>
                                    <w:r w:rsidR="002F33B5" w:rsidRPr="00843691">
                                      <w:rPr>
                                        <w:rFonts w:asciiTheme="majorHAnsi" w:eastAsiaTheme="majorEastAsia" w:hAnsiTheme="majorHAnsi" w:cstheme="majorBidi"/>
                                        <w:color w:val="262626" w:themeColor="text1" w:themeTint="D9"/>
                                        <w:sz w:val="72"/>
                                        <w:szCs w:val="72"/>
                                      </w:rPr>
                                      <w:t>ARTNERSHIPS</w:t>
                                    </w:r>
                                    <w:r w:rsidR="00030427" w:rsidRPr="00843691">
                                      <w:rPr>
                                        <w:rFonts w:asciiTheme="majorHAnsi" w:eastAsiaTheme="majorEastAsia" w:hAnsiTheme="majorHAnsi" w:cstheme="majorBidi"/>
                                        <w:color w:val="262626" w:themeColor="text1" w:themeTint="D9"/>
                                        <w:sz w:val="72"/>
                                        <w:szCs w:val="72"/>
                                      </w:rPr>
                                      <w:t>, P</w:t>
                                    </w:r>
                                    <w:r w:rsidR="002F33B5" w:rsidRPr="00843691">
                                      <w:rPr>
                                        <w:rFonts w:asciiTheme="majorHAnsi" w:eastAsiaTheme="majorEastAsia" w:hAnsiTheme="majorHAnsi" w:cstheme="majorBidi"/>
                                        <w:color w:val="262626" w:themeColor="text1" w:themeTint="D9"/>
                                        <w:sz w:val="72"/>
                                        <w:szCs w:val="72"/>
                                      </w:rPr>
                                      <w:t>OLICING</w:t>
                                    </w:r>
                                    <w:r w:rsidR="00030427" w:rsidRPr="00843691">
                                      <w:rPr>
                                        <w:rFonts w:asciiTheme="majorHAnsi" w:eastAsiaTheme="majorEastAsia" w:hAnsiTheme="majorHAnsi" w:cstheme="majorBidi"/>
                                        <w:color w:val="262626" w:themeColor="text1" w:themeTint="D9"/>
                                        <w:sz w:val="72"/>
                                        <w:szCs w:val="72"/>
                                      </w:rPr>
                                      <w:t xml:space="preserve"> </w:t>
                                    </w:r>
                                    <w:r w:rsidR="002F33B5" w:rsidRPr="00843691">
                                      <w:rPr>
                                        <w:rFonts w:asciiTheme="majorHAnsi" w:eastAsiaTheme="majorEastAsia" w:hAnsiTheme="majorHAnsi" w:cstheme="majorBidi"/>
                                        <w:color w:val="262626" w:themeColor="text1" w:themeTint="D9"/>
                                        <w:sz w:val="72"/>
                                        <w:szCs w:val="72"/>
                                      </w:rPr>
                                      <w:t>AND</w:t>
                                    </w:r>
                                    <w:r w:rsidR="00030427" w:rsidRPr="00843691">
                                      <w:rPr>
                                        <w:rFonts w:asciiTheme="majorHAnsi" w:eastAsiaTheme="majorEastAsia" w:hAnsiTheme="majorHAnsi" w:cstheme="majorBidi"/>
                                        <w:color w:val="262626" w:themeColor="text1" w:themeTint="D9"/>
                                        <w:sz w:val="72"/>
                                        <w:szCs w:val="72"/>
                                      </w:rPr>
                                      <w:t xml:space="preserve"> P</w:t>
                                    </w:r>
                                    <w:r w:rsidR="002F33B5" w:rsidRPr="00843691">
                                      <w:rPr>
                                        <w:rFonts w:asciiTheme="majorHAnsi" w:eastAsiaTheme="majorEastAsia" w:hAnsiTheme="majorHAnsi" w:cstheme="majorBidi"/>
                                        <w:color w:val="262626" w:themeColor="text1" w:themeTint="D9"/>
                                        <w:sz w:val="72"/>
                                        <w:szCs w:val="72"/>
                                      </w:rPr>
                                      <w:t>EOPLE</w:t>
                                    </w:r>
                                    <w:r w:rsidR="00D47B93" w:rsidRPr="00843691">
                                      <w:rPr>
                                        <w:rFonts w:asciiTheme="majorHAnsi" w:eastAsiaTheme="majorEastAsia" w:hAnsiTheme="majorHAnsi" w:cstheme="majorBidi"/>
                                        <w:color w:val="262626" w:themeColor="text1" w:themeTint="D9"/>
                                        <w:sz w:val="72"/>
                                        <w:szCs w:val="72"/>
                                      </w:rPr>
                                      <w:t>.</w:t>
                                    </w:r>
                                  </w:sdtContent>
                                </w:sdt>
                              </w:p>
                              <w:p w14:paraId="568E66BF" w14:textId="6489E5F5" w:rsidR="008D799F" w:rsidRDefault="00000000" w:rsidP="005D3BD2">
                                <w:pPr>
                                  <w:pStyle w:val="NoSpacing"/>
                                  <w:jc w:val="center"/>
                                  <w:rPr>
                                    <w:sz w:val="56"/>
                                    <w:szCs w:val="56"/>
                                  </w:rPr>
                                </w:pPr>
                                <w:sdt>
                                  <w:sdtPr>
                                    <w:rPr>
                                      <w:sz w:val="60"/>
                                      <w:szCs w:val="6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9703B">
                                      <w:rPr>
                                        <w:sz w:val="60"/>
                                        <w:szCs w:val="60"/>
                                      </w:rPr>
                                      <w:t>(</w:t>
                                    </w:r>
                                    <w:r w:rsidR="00150EA7" w:rsidRPr="00166F63">
                                      <w:rPr>
                                        <w:sz w:val="60"/>
                                        <w:szCs w:val="60"/>
                                      </w:rPr>
                                      <w:t>BMPL5013</w:t>
                                    </w:r>
                                    <w:r w:rsidR="00C9703B">
                                      <w:rPr>
                                        <w:sz w:val="60"/>
                                        <w:szCs w:val="60"/>
                                      </w:rPr>
                                      <w:t>)</w:t>
                                    </w:r>
                                  </w:sdtContent>
                                </w:sdt>
                              </w:p>
                              <w:p w14:paraId="29342961" w14:textId="77777777" w:rsidR="00F1547B" w:rsidRPr="00150EA7" w:rsidRDefault="00F1547B" w:rsidP="00F1547B">
                                <w:pPr>
                                  <w:pStyle w:val="NoSpacing"/>
                                  <w:rPr>
                                    <w:rFonts w:asciiTheme="majorHAnsi" w:eastAsiaTheme="majorEastAsia" w:hAnsiTheme="majorHAnsi" w:cstheme="majorBidi"/>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9089CE1" id="_x0000_t202" coordsize="21600,21600" o:spt="202" path="m,l,21600r21600,l21600,xe">
                    <v:stroke joinstyle="miter"/>
                    <v:path gradientshapeok="t" o:connecttype="rect"/>
                  </v:shapetype>
                  <v:shape id="Text Box 30" o:spid="_x0000_s1055" type="#_x0000_t202" style="position:absolute;margin-left:0;margin-top:245.55pt;width:367.2pt;height:84.2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" filled="f" stroked="f" strokeweight=".5pt">
                    <v:textbox style="mso-fit-shape-to-text:t" inset="0,0,0,0">
                      <w:txbxContent>
                        <w:p w14:paraId="22387783" w14:textId="522C8A8B" w:rsidR="00FF2E1A" w:rsidRDefault="00000000" w:rsidP="005D3BD2">
                          <w:pPr>
                            <w:pStyle w:val="NoSpacing"/>
                            <w:jc w:val="center"/>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72FB9" w:rsidRPr="00843691">
                                <w:rPr>
                                  <w:rFonts w:asciiTheme="majorHAnsi" w:eastAsiaTheme="majorEastAsia" w:hAnsiTheme="majorHAnsi" w:cstheme="majorBidi"/>
                                  <w:color w:val="262626" w:themeColor="text1" w:themeTint="D9"/>
                                  <w:sz w:val="72"/>
                                  <w:szCs w:val="72"/>
                                </w:rPr>
                                <w:t>C</w:t>
                              </w:r>
                              <w:r w:rsidR="002F33B5" w:rsidRPr="00843691">
                                <w:rPr>
                                  <w:rFonts w:asciiTheme="majorHAnsi" w:eastAsiaTheme="majorEastAsia" w:hAnsiTheme="majorHAnsi" w:cstheme="majorBidi"/>
                                  <w:color w:val="262626" w:themeColor="text1" w:themeTint="D9"/>
                                  <w:sz w:val="72"/>
                                  <w:szCs w:val="72"/>
                                </w:rPr>
                                <w:t>OMMUNITY</w:t>
                              </w:r>
                              <w:r w:rsidR="00672FB9" w:rsidRPr="00843691">
                                <w:rPr>
                                  <w:rFonts w:asciiTheme="majorHAnsi" w:eastAsiaTheme="majorEastAsia" w:hAnsiTheme="majorHAnsi" w:cstheme="majorBidi"/>
                                  <w:color w:val="262626" w:themeColor="text1" w:themeTint="D9"/>
                                  <w:sz w:val="72"/>
                                  <w:szCs w:val="72"/>
                                </w:rPr>
                                <w:t xml:space="preserve"> P</w:t>
                              </w:r>
                              <w:r w:rsidR="002F33B5" w:rsidRPr="00843691">
                                <w:rPr>
                                  <w:rFonts w:asciiTheme="majorHAnsi" w:eastAsiaTheme="majorEastAsia" w:hAnsiTheme="majorHAnsi" w:cstheme="majorBidi"/>
                                  <w:color w:val="262626" w:themeColor="text1" w:themeTint="D9"/>
                                  <w:sz w:val="72"/>
                                  <w:szCs w:val="72"/>
                                </w:rPr>
                                <w:t>OLICING</w:t>
                              </w:r>
                              <w:r w:rsidR="00672FB9" w:rsidRPr="00843691">
                                <w:rPr>
                                  <w:rFonts w:asciiTheme="majorHAnsi" w:eastAsiaTheme="majorEastAsia" w:hAnsiTheme="majorHAnsi" w:cstheme="majorBidi"/>
                                  <w:color w:val="262626" w:themeColor="text1" w:themeTint="D9"/>
                                  <w:sz w:val="72"/>
                                  <w:szCs w:val="72"/>
                                </w:rPr>
                                <w:t>: P</w:t>
                              </w:r>
                              <w:r w:rsidR="002F33B5" w:rsidRPr="00843691">
                                <w:rPr>
                                  <w:rFonts w:asciiTheme="majorHAnsi" w:eastAsiaTheme="majorEastAsia" w:hAnsiTheme="majorHAnsi" w:cstheme="majorBidi"/>
                                  <w:color w:val="262626" w:themeColor="text1" w:themeTint="D9"/>
                                  <w:sz w:val="72"/>
                                  <w:szCs w:val="72"/>
                                </w:rPr>
                                <w:t>ARTNERSHIPS</w:t>
                              </w:r>
                              <w:r w:rsidR="00030427" w:rsidRPr="00843691">
                                <w:rPr>
                                  <w:rFonts w:asciiTheme="majorHAnsi" w:eastAsiaTheme="majorEastAsia" w:hAnsiTheme="majorHAnsi" w:cstheme="majorBidi"/>
                                  <w:color w:val="262626" w:themeColor="text1" w:themeTint="D9"/>
                                  <w:sz w:val="72"/>
                                  <w:szCs w:val="72"/>
                                </w:rPr>
                                <w:t>, P</w:t>
                              </w:r>
                              <w:r w:rsidR="002F33B5" w:rsidRPr="00843691">
                                <w:rPr>
                                  <w:rFonts w:asciiTheme="majorHAnsi" w:eastAsiaTheme="majorEastAsia" w:hAnsiTheme="majorHAnsi" w:cstheme="majorBidi"/>
                                  <w:color w:val="262626" w:themeColor="text1" w:themeTint="D9"/>
                                  <w:sz w:val="72"/>
                                  <w:szCs w:val="72"/>
                                </w:rPr>
                                <w:t>OLICING</w:t>
                              </w:r>
                              <w:r w:rsidR="00030427" w:rsidRPr="00843691">
                                <w:rPr>
                                  <w:rFonts w:asciiTheme="majorHAnsi" w:eastAsiaTheme="majorEastAsia" w:hAnsiTheme="majorHAnsi" w:cstheme="majorBidi"/>
                                  <w:color w:val="262626" w:themeColor="text1" w:themeTint="D9"/>
                                  <w:sz w:val="72"/>
                                  <w:szCs w:val="72"/>
                                </w:rPr>
                                <w:t xml:space="preserve"> </w:t>
                              </w:r>
                              <w:r w:rsidR="002F33B5" w:rsidRPr="00843691">
                                <w:rPr>
                                  <w:rFonts w:asciiTheme="majorHAnsi" w:eastAsiaTheme="majorEastAsia" w:hAnsiTheme="majorHAnsi" w:cstheme="majorBidi"/>
                                  <w:color w:val="262626" w:themeColor="text1" w:themeTint="D9"/>
                                  <w:sz w:val="72"/>
                                  <w:szCs w:val="72"/>
                                </w:rPr>
                                <w:t>AND</w:t>
                              </w:r>
                              <w:r w:rsidR="00030427" w:rsidRPr="00843691">
                                <w:rPr>
                                  <w:rFonts w:asciiTheme="majorHAnsi" w:eastAsiaTheme="majorEastAsia" w:hAnsiTheme="majorHAnsi" w:cstheme="majorBidi"/>
                                  <w:color w:val="262626" w:themeColor="text1" w:themeTint="D9"/>
                                  <w:sz w:val="72"/>
                                  <w:szCs w:val="72"/>
                                </w:rPr>
                                <w:t xml:space="preserve"> P</w:t>
                              </w:r>
                              <w:r w:rsidR="002F33B5" w:rsidRPr="00843691">
                                <w:rPr>
                                  <w:rFonts w:asciiTheme="majorHAnsi" w:eastAsiaTheme="majorEastAsia" w:hAnsiTheme="majorHAnsi" w:cstheme="majorBidi"/>
                                  <w:color w:val="262626" w:themeColor="text1" w:themeTint="D9"/>
                                  <w:sz w:val="72"/>
                                  <w:szCs w:val="72"/>
                                </w:rPr>
                                <w:t>EOPLE</w:t>
                              </w:r>
                              <w:r w:rsidR="00D47B93" w:rsidRPr="00843691">
                                <w:rPr>
                                  <w:rFonts w:asciiTheme="majorHAnsi" w:eastAsiaTheme="majorEastAsia" w:hAnsiTheme="majorHAnsi" w:cstheme="majorBidi"/>
                                  <w:color w:val="262626" w:themeColor="text1" w:themeTint="D9"/>
                                  <w:sz w:val="72"/>
                                  <w:szCs w:val="72"/>
                                </w:rPr>
                                <w:t>.</w:t>
                              </w:r>
                            </w:sdtContent>
                          </w:sdt>
                        </w:p>
                        <w:p w14:paraId="568E66BF" w14:textId="6489E5F5" w:rsidR="008D799F" w:rsidRDefault="00000000" w:rsidP="005D3BD2">
                          <w:pPr>
                            <w:pStyle w:val="NoSpacing"/>
                            <w:jc w:val="center"/>
                            <w:rPr>
                              <w:sz w:val="56"/>
                              <w:szCs w:val="56"/>
                            </w:rPr>
                          </w:pPr>
                          <w:sdt>
                            <w:sdtPr>
                              <w:rPr>
                                <w:sz w:val="60"/>
                                <w:szCs w:val="6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9703B">
                                <w:rPr>
                                  <w:sz w:val="60"/>
                                  <w:szCs w:val="60"/>
                                </w:rPr>
                                <w:t>(</w:t>
                              </w:r>
                              <w:r w:rsidR="00150EA7" w:rsidRPr="00166F63">
                                <w:rPr>
                                  <w:sz w:val="60"/>
                                  <w:szCs w:val="60"/>
                                </w:rPr>
                                <w:t>BMPL5013</w:t>
                              </w:r>
                              <w:r w:rsidR="00C9703B">
                                <w:rPr>
                                  <w:sz w:val="60"/>
                                  <w:szCs w:val="60"/>
                                </w:rPr>
                                <w:t>)</w:t>
                              </w:r>
                            </w:sdtContent>
                          </w:sdt>
                        </w:p>
                        <w:p w14:paraId="29342961" w14:textId="77777777" w:rsidR="00F1547B" w:rsidRPr="00150EA7" w:rsidRDefault="00F1547B" w:rsidP="00F1547B">
                          <w:pPr>
                            <w:pStyle w:val="NoSpacing"/>
                            <w:rPr>
                              <w:rFonts w:asciiTheme="majorHAnsi" w:eastAsiaTheme="majorEastAsia" w:hAnsiTheme="majorHAnsi" w:cstheme="majorBidi"/>
                              <w:sz w:val="72"/>
                            </w:rPr>
                          </w:pPr>
                        </w:p>
                      </w:txbxContent>
                    </v:textbox>
                    <w10:wrap anchorx="margin" anchory="margin"/>
                  </v:shape>
                </w:pict>
              </mc:Fallback>
            </mc:AlternateContent>
          </w:r>
          <w:r w:rsidR="0033765F">
            <w:rPr>
              <w:noProof/>
            </w:rPr>
            <mc:AlternateContent>
              <mc:Choice Requires="wps">
                <w:drawing>
                  <wp:anchor distT="0" distB="0" distL="114300" distR="114300" simplePos="0" relativeHeight="251667456" behindDoc="0" locked="0" layoutInCell="1" allowOverlap="1" wp14:anchorId="68EF1101" wp14:editId="01C20EBD">
                    <wp:simplePos x="0" y="0"/>
                    <wp:positionH relativeFrom="page">
                      <wp:posOffset>472440</wp:posOffset>
                    </wp:positionH>
                    <wp:positionV relativeFrom="page">
                      <wp:posOffset>8061960</wp:posOffset>
                    </wp:positionV>
                    <wp:extent cx="7437120" cy="1493520"/>
                    <wp:effectExtent l="0" t="0" r="0" b="11430"/>
                    <wp:wrapThrough wrapText="bothSides">
                      <wp:wrapPolygon edited="0">
                        <wp:start x="4537" y="0"/>
                        <wp:lineTo x="4537" y="21490"/>
                        <wp:lineTo x="19697" y="21490"/>
                        <wp:lineTo x="19697" y="0"/>
                        <wp:lineTo x="4537" y="0"/>
                      </wp:wrapPolygon>
                    </wp:wrapThrough>
                    <wp:docPr id="153" name="Text Box 161"/>
                    <wp:cNvGraphicFramePr/>
                    <a:graphic xmlns:a="http://schemas.openxmlformats.org/drawingml/2006/main">
                      <a:graphicData uri="http://schemas.microsoft.com/office/word/2010/wordprocessingShape">
                        <wps:wsp>
                          <wps:cNvSpPr txBox="1"/>
                          <wps:spPr>
                            <a:xfrm>
                              <a:off x="0" y="0"/>
                              <a:ext cx="7437120" cy="149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79BB8" w14:textId="77777777" w:rsidR="0033765F" w:rsidRDefault="0033765F" w:rsidP="006A3F68">
                                <w:pPr>
                                  <w:pStyle w:val="NoSpacing"/>
                                  <w:jc w:val="right"/>
                                  <w:rPr>
                                    <w:color w:val="156082" w:themeColor="accent1"/>
                                    <w:sz w:val="28"/>
                                    <w:szCs w:val="28"/>
                                  </w:rPr>
                                </w:pPr>
                                <w:r>
                                  <w:rPr>
                                    <w:color w:val="156082" w:themeColor="accent1"/>
                                    <w:sz w:val="28"/>
                                    <w:szCs w:val="28"/>
                                  </w:rPr>
                                  <w:t>Abstract</w:t>
                                </w:r>
                              </w:p>
                              <w:sdt>
                                <w:sdtPr>
                                  <w:rPr>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D0D935F" w14:textId="41AE27D9" w:rsidR="0033765F" w:rsidRPr="006A3F68" w:rsidRDefault="00FC38E2" w:rsidP="006A3F68">
                                    <w:pPr>
                                      <w:pStyle w:val="NoSpacing"/>
                                      <w:jc w:val="both"/>
                                      <w:rPr>
                                        <w:sz w:val="20"/>
                                        <w:szCs w:val="20"/>
                                      </w:rPr>
                                    </w:pPr>
                                    <w:r w:rsidRPr="006A3F68">
                                      <w:rPr>
                                        <w:sz w:val="20"/>
                                        <w:szCs w:val="20"/>
                                      </w:rPr>
                                      <w:t xml:space="preserve">Community policing prioritises collaboration, trust, and proactive engagement to improve public safety and foster stronger relationships between police and communities. This essay explores its foundations, including partnerships, neighbourhood policing, and policing by consent, alongside its role in addressing contemporary challenges such as systemic inequalities and resource limitations. Using insights from </w:t>
                                    </w:r>
                                    <w:r w:rsidR="009B7B98">
                                      <w:rPr>
                                        <w:sz w:val="20"/>
                                        <w:szCs w:val="20"/>
                                      </w:rPr>
                                      <w:t xml:space="preserve">the </w:t>
                                    </w:r>
                                    <w:r w:rsidRPr="006A3F68">
                                      <w:rPr>
                                        <w:sz w:val="20"/>
                                        <w:szCs w:val="20"/>
                                      </w:rPr>
                                      <w:t>Barber and Casey</w:t>
                                    </w:r>
                                    <w:r w:rsidR="009B7B98">
                                      <w:rPr>
                                        <w:sz w:val="20"/>
                                        <w:szCs w:val="20"/>
                                      </w:rPr>
                                      <w:t xml:space="preserve"> reviews</w:t>
                                    </w:r>
                                    <w:r w:rsidRPr="006A3F68">
                                      <w:rPr>
                                        <w:sz w:val="20"/>
                                        <w:szCs w:val="20"/>
                                      </w:rPr>
                                      <w:t>, as well as examples like Scotland’s Violence Reduction Unit, it argues that sustained investment and culturally sensitive approaches are essential to achieving safer, more cohesive communities.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8EF1101" id="Text Box 161" o:spid="_x0000_s1056" type="#_x0000_t202" style="position:absolute;margin-left:37.2pt;margin-top:634.8pt;width:585.6pt;height:117.6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" filled="f" stroked="f" strokeweight=".5pt">
                    <v:textbox inset="126pt,0,54pt,0">
                      <w:txbxContent>
                        <w:p w14:paraId="04A79BB8" w14:textId="77777777" w:rsidR="0033765F" w:rsidRDefault="0033765F" w:rsidP="006A3F68">
                          <w:pPr>
                            <w:pStyle w:val="NoSpacing"/>
                            <w:jc w:val="right"/>
                            <w:rPr>
                              <w:color w:val="156082" w:themeColor="accent1"/>
                              <w:sz w:val="28"/>
                              <w:szCs w:val="28"/>
                            </w:rPr>
                          </w:pPr>
                          <w:r>
                            <w:rPr>
                              <w:color w:val="156082" w:themeColor="accent1"/>
                              <w:sz w:val="28"/>
                              <w:szCs w:val="28"/>
                            </w:rPr>
                            <w:t>Abstract</w:t>
                          </w:r>
                        </w:p>
                        <w:sdt>
                          <w:sdtPr>
                            <w:rPr>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D0D935F" w14:textId="41AE27D9" w:rsidR="0033765F" w:rsidRPr="006A3F68" w:rsidRDefault="00FC38E2" w:rsidP="006A3F68">
                              <w:pPr>
                                <w:pStyle w:val="NoSpacing"/>
                                <w:jc w:val="both"/>
                                <w:rPr>
                                  <w:sz w:val="20"/>
                                  <w:szCs w:val="20"/>
                                </w:rPr>
                              </w:pPr>
                              <w:r w:rsidRPr="006A3F68">
                                <w:rPr>
                                  <w:sz w:val="20"/>
                                  <w:szCs w:val="20"/>
                                </w:rPr>
                                <w:t xml:space="preserve">Community policing prioritises collaboration, trust, and proactive engagement to improve public safety and foster stronger relationships between police and communities. This essay explores its foundations, including partnerships, neighbourhood policing, and policing by consent, alongside its role in addressing contemporary challenges such as systemic inequalities and resource limitations. Using insights from </w:t>
                              </w:r>
                              <w:r w:rsidR="009B7B98">
                                <w:rPr>
                                  <w:sz w:val="20"/>
                                  <w:szCs w:val="20"/>
                                </w:rPr>
                                <w:t xml:space="preserve">the </w:t>
                              </w:r>
                              <w:r w:rsidRPr="006A3F68">
                                <w:rPr>
                                  <w:sz w:val="20"/>
                                  <w:szCs w:val="20"/>
                                </w:rPr>
                                <w:t>Barber and Casey</w:t>
                              </w:r>
                              <w:r w:rsidR="009B7B98">
                                <w:rPr>
                                  <w:sz w:val="20"/>
                                  <w:szCs w:val="20"/>
                                </w:rPr>
                                <w:t xml:space="preserve"> reviews</w:t>
                              </w:r>
                              <w:r w:rsidRPr="006A3F68">
                                <w:rPr>
                                  <w:sz w:val="20"/>
                                  <w:szCs w:val="20"/>
                                </w:rPr>
                                <w:t>, as well as examples like Scotland’s Violence Reduction Unit, it argues that sustained investment and culturally sensitive approaches are essential to achieving safer, more cohesive communities.</w:t>
                              </w:r>
                            </w:p>
                          </w:sdtContent>
                        </w:sdt>
                      </w:txbxContent>
                    </v:textbox>
                    <w10:wrap type="through" anchorx="page" anchory="page"/>
                  </v:shape>
                </w:pict>
              </mc:Fallback>
            </mc:AlternateContent>
          </w:r>
          <w:r w:rsidR="00FE0A46">
            <w:rPr>
              <w:noProof/>
            </w:rPr>
            <mc:AlternateContent>
              <mc:Choice Requires="wps">
                <w:drawing>
                  <wp:anchor distT="0" distB="0" distL="114300" distR="114300" simplePos="0" relativeHeight="251665408" behindDoc="0" locked="0" layoutInCell="1" allowOverlap="1" wp14:anchorId="722E2455" wp14:editId="6D3CFB1B">
                    <wp:simplePos x="0" y="0"/>
                    <wp:positionH relativeFrom="margin">
                      <wp:posOffset>3886200</wp:posOffset>
                    </wp:positionH>
                    <wp:positionV relativeFrom="bottomMargin">
                      <wp:align>top</wp:align>
                    </wp:positionV>
                    <wp:extent cx="2522220" cy="365760"/>
                    <wp:effectExtent l="0" t="0" r="11430" b="0"/>
                    <wp:wrapNone/>
                    <wp:docPr id="32" name="Text Box 2"/>
                    <wp:cNvGraphicFramePr/>
                    <a:graphic xmlns:a="http://schemas.openxmlformats.org/drawingml/2006/main">
                      <a:graphicData uri="http://schemas.microsoft.com/office/word/2010/wordprocessingShape">
                        <wps:wsp>
                          <wps:cNvSpPr txBox="1"/>
                          <wps:spPr>
                            <a:xfrm>
                              <a:off x="0" y="0"/>
                              <a:ext cx="252222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AAD04" w14:textId="6E8DB63A" w:rsidR="00FE0A46" w:rsidRPr="00AB54AD" w:rsidRDefault="00000000" w:rsidP="00FE0A46">
                                <w:pPr>
                                  <w:pStyle w:val="NoSpacing"/>
                                  <w:rPr>
                                    <w:color w:val="156082" w:themeColor="accent1"/>
                                    <w:sz w:val="36"/>
                                    <w:szCs w:val="36"/>
                                  </w:rPr>
                                </w:pPr>
                                <w:sdt>
                                  <w:sdtPr>
                                    <w:rPr>
                                      <w:color w:val="156082"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D7EF0">
                                      <w:rPr>
                                        <w:color w:val="156082" w:themeColor="accent1"/>
                                        <w:sz w:val="36"/>
                                        <w:szCs w:val="36"/>
                                      </w:rPr>
                                      <w:t>Seren Thomas (2305811)</w:t>
                                    </w:r>
                                  </w:sdtContent>
                                </w:sdt>
                              </w:p>
                              <w:p w14:paraId="14BC2795" w14:textId="77777777" w:rsidR="00FE0A46" w:rsidRDefault="00000000" w:rsidP="00FE0A4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FE0A46">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22E2455" id="Text Box 2" o:spid="_x0000_s1057" type="#_x0000_t202" style="position:absolute;margin-left:306pt;margin-top:0;width:198.6pt;height:28.8pt;z-index:251665408;visibility:visible;mso-wrap-style:square;mso-width-percent:0;mso-height-percent:0;mso-wrap-distance-left:9pt;mso-wrap-distance-top:0;mso-wrap-distance-right:9pt;mso-wrap-distance-bottom:0;mso-position-horizontal:absolute;mso-position-horizontal-relative:margin;mso-position-vertical:top;mso-position-vertical-relative:bottom-margin-area;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" filled="f" stroked="f" strokeweight=".5pt">
                    <v:textbox style="mso-fit-shape-to-text:t" inset="0,0,0,0">
                      <w:txbxContent>
                        <w:p w14:paraId="1EAAAD04" w14:textId="6E8DB63A" w:rsidR="00FE0A46" w:rsidRPr="00AB54AD" w:rsidRDefault="00000000" w:rsidP="00FE0A46">
                          <w:pPr>
                            <w:pStyle w:val="NoSpacing"/>
                            <w:rPr>
                              <w:color w:val="156082" w:themeColor="accent1"/>
                              <w:sz w:val="36"/>
                              <w:szCs w:val="36"/>
                            </w:rPr>
                          </w:pPr>
                          <w:sdt>
                            <w:sdtPr>
                              <w:rPr>
                                <w:color w:val="156082"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D7EF0">
                                <w:rPr>
                                  <w:color w:val="156082" w:themeColor="accent1"/>
                                  <w:sz w:val="36"/>
                                  <w:szCs w:val="36"/>
                                </w:rPr>
                                <w:t>Seren Thomas (2305811)</w:t>
                              </w:r>
                            </w:sdtContent>
                          </w:sdt>
                        </w:p>
                        <w:p w14:paraId="14BC2795" w14:textId="77777777" w:rsidR="00FE0A46" w:rsidRDefault="00000000" w:rsidP="00FE0A4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FE0A46">
                                <w:rPr>
                                  <w:caps/>
                                  <w:color w:val="595959" w:themeColor="text1" w:themeTint="A6"/>
                                  <w:sz w:val="20"/>
                                  <w:szCs w:val="20"/>
                                </w:rPr>
                                <w:t xml:space="preserve">     </w:t>
                              </w:r>
                            </w:sdtContent>
                          </w:sdt>
                        </w:p>
                      </w:txbxContent>
                    </v:textbox>
                    <w10:wrap anchorx="margin" anchory="margin"/>
                  </v:shape>
                </w:pict>
              </mc:Fallback>
            </mc:AlternateContent>
          </w:r>
          <w:r w:rsidR="00672FB9">
            <w:rPr>
              <w:noProof/>
            </w:rPr>
            <w:drawing>
              <wp:anchor distT="0" distB="0" distL="114300" distR="114300" simplePos="0" relativeHeight="251663360" behindDoc="0" locked="0" layoutInCell="1" allowOverlap="1" wp14:anchorId="42617F9D" wp14:editId="4C9245E8">
                <wp:simplePos x="0" y="0"/>
                <wp:positionH relativeFrom="margin">
                  <wp:posOffset>1958340</wp:posOffset>
                </wp:positionH>
                <wp:positionV relativeFrom="paragraph">
                  <wp:posOffset>98425</wp:posOffset>
                </wp:positionV>
                <wp:extent cx="4572000" cy="2038350"/>
                <wp:effectExtent l="0" t="0" r="0" b="0"/>
                <wp:wrapNone/>
                <wp:docPr id="1807058188" name="Picture 180705818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058188" name="Picture 1807058188"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038350"/>
                        </a:xfrm>
                        <a:prstGeom prst="rect">
                          <a:avLst/>
                        </a:prstGeom>
                      </pic:spPr>
                    </pic:pic>
                  </a:graphicData>
                </a:graphic>
              </wp:anchor>
            </w:drawing>
          </w:r>
          <w:r w:rsidR="00FF2E1A">
            <w:br w:type="page"/>
          </w:r>
        </w:p>
      </w:sdtContent>
    </w:sdt>
    <w:p w14:paraId="63F2B21E" w14:textId="01E01197" w:rsidR="005443ED" w:rsidRDefault="00554A3F" w:rsidP="005443ED">
      <w:pPr>
        <w:spacing w:after="0"/>
        <w:rPr>
          <w:rFonts w:ascii="Arial" w:hAnsi="Arial" w:cs="Arial"/>
          <w:b/>
          <w:bCs/>
          <w:sz w:val="24"/>
          <w:szCs w:val="24"/>
          <w:u w:val="single"/>
        </w:rPr>
      </w:pPr>
      <w:r w:rsidRPr="00BE0AE1">
        <w:rPr>
          <w:rFonts w:ascii="Arial" w:hAnsi="Arial" w:cs="Arial"/>
          <w:b/>
          <w:bCs/>
          <w:sz w:val="24"/>
          <w:szCs w:val="24"/>
          <w:u w:val="single"/>
        </w:rPr>
        <w:lastRenderedPageBreak/>
        <w:t>Contents Page</w:t>
      </w:r>
    </w:p>
    <w:p w14:paraId="48745BFA" w14:textId="77777777" w:rsidR="005443ED" w:rsidRPr="00BE0AE1" w:rsidRDefault="005443ED" w:rsidP="005443ED">
      <w:pPr>
        <w:spacing w:after="0"/>
        <w:rPr>
          <w:rFonts w:ascii="Arial" w:hAnsi="Arial" w:cs="Arial"/>
          <w:b/>
          <w:bCs/>
          <w:sz w:val="24"/>
          <w:szCs w:val="24"/>
          <w:u w:val="single"/>
        </w:rPr>
      </w:pPr>
    </w:p>
    <w:p w14:paraId="2DC2B968" w14:textId="354919D8" w:rsidR="001E169A" w:rsidRDefault="00754573" w:rsidP="007D3EB2">
      <w:pPr>
        <w:spacing w:after="0" w:line="480" w:lineRule="auto"/>
        <w:rPr>
          <w:rFonts w:ascii="Arial" w:hAnsi="Arial" w:cs="Arial"/>
          <w:sz w:val="24"/>
          <w:szCs w:val="24"/>
        </w:rPr>
      </w:pPr>
      <w:r>
        <w:rPr>
          <w:rFonts w:ascii="Arial" w:hAnsi="Arial" w:cs="Arial"/>
          <w:sz w:val="24"/>
          <w:szCs w:val="24"/>
        </w:rPr>
        <w:t>Introduction</w:t>
      </w:r>
      <w:r w:rsidR="001E169A">
        <w:rPr>
          <w:rFonts w:ascii="Arial" w:hAnsi="Arial" w:cs="Arial"/>
          <w:sz w:val="24"/>
          <w:szCs w:val="24"/>
        </w:rPr>
        <w:t>……………………………………………………………………………</w:t>
      </w:r>
      <w:r w:rsidR="00652313">
        <w:rPr>
          <w:rFonts w:ascii="Arial" w:hAnsi="Arial" w:cs="Arial"/>
          <w:sz w:val="24"/>
          <w:szCs w:val="24"/>
        </w:rPr>
        <w:t>……..</w:t>
      </w:r>
      <w:r w:rsidR="00A46037">
        <w:rPr>
          <w:rFonts w:ascii="Arial" w:hAnsi="Arial" w:cs="Arial"/>
          <w:sz w:val="24"/>
          <w:szCs w:val="24"/>
        </w:rPr>
        <w:t>2</w:t>
      </w:r>
    </w:p>
    <w:p w14:paraId="54641E7F" w14:textId="0094CD8B" w:rsidR="00754573" w:rsidRDefault="00754573" w:rsidP="003C0E4A">
      <w:pPr>
        <w:spacing w:line="480" w:lineRule="auto"/>
        <w:rPr>
          <w:rFonts w:ascii="Arial" w:hAnsi="Arial" w:cs="Arial"/>
          <w:sz w:val="24"/>
          <w:szCs w:val="24"/>
        </w:rPr>
      </w:pPr>
      <w:r>
        <w:rPr>
          <w:rFonts w:ascii="Arial" w:hAnsi="Arial" w:cs="Arial"/>
          <w:sz w:val="24"/>
          <w:szCs w:val="24"/>
        </w:rPr>
        <w:t>Main Body</w:t>
      </w:r>
      <w:r w:rsidR="001E169A">
        <w:rPr>
          <w:rFonts w:ascii="Arial" w:hAnsi="Arial" w:cs="Arial"/>
          <w:sz w:val="24"/>
          <w:szCs w:val="24"/>
        </w:rPr>
        <w:t>………………………………………………………………</w:t>
      </w:r>
      <w:r w:rsidR="00A46037">
        <w:rPr>
          <w:rFonts w:ascii="Arial" w:hAnsi="Arial" w:cs="Arial"/>
          <w:sz w:val="24"/>
          <w:szCs w:val="24"/>
        </w:rPr>
        <w:t>………..</w:t>
      </w:r>
      <w:r w:rsidR="001E169A">
        <w:rPr>
          <w:rFonts w:ascii="Arial" w:hAnsi="Arial" w:cs="Arial"/>
          <w:sz w:val="24"/>
          <w:szCs w:val="24"/>
        </w:rPr>
        <w:t>…</w:t>
      </w:r>
      <w:r w:rsidR="00652313">
        <w:rPr>
          <w:rFonts w:ascii="Arial" w:hAnsi="Arial" w:cs="Arial"/>
          <w:sz w:val="24"/>
          <w:szCs w:val="24"/>
        </w:rPr>
        <w:t>……</w:t>
      </w:r>
      <w:r w:rsidR="009327DF">
        <w:rPr>
          <w:rFonts w:ascii="Arial" w:hAnsi="Arial" w:cs="Arial"/>
          <w:sz w:val="24"/>
          <w:szCs w:val="24"/>
        </w:rPr>
        <w:t>.</w:t>
      </w:r>
      <w:r w:rsidR="00652313">
        <w:rPr>
          <w:rFonts w:ascii="Arial" w:hAnsi="Arial" w:cs="Arial"/>
          <w:sz w:val="24"/>
          <w:szCs w:val="24"/>
        </w:rPr>
        <w:t>..</w:t>
      </w:r>
      <w:r w:rsidR="00A46037">
        <w:rPr>
          <w:rFonts w:ascii="Arial" w:hAnsi="Arial" w:cs="Arial"/>
          <w:sz w:val="24"/>
          <w:szCs w:val="24"/>
        </w:rPr>
        <w:t>2-9</w:t>
      </w:r>
    </w:p>
    <w:p w14:paraId="5FCB12A2" w14:textId="260E1F34" w:rsidR="00F20C4F" w:rsidRPr="00766811" w:rsidRDefault="00F20C4F" w:rsidP="00E94DBD">
      <w:pPr>
        <w:pStyle w:val="ListParagraph"/>
        <w:numPr>
          <w:ilvl w:val="0"/>
          <w:numId w:val="7"/>
        </w:numPr>
        <w:spacing w:line="480" w:lineRule="auto"/>
        <w:jc w:val="both"/>
        <w:rPr>
          <w:rFonts w:ascii="Arial" w:hAnsi="Arial" w:cs="Arial"/>
          <w:sz w:val="24"/>
          <w:szCs w:val="24"/>
        </w:rPr>
      </w:pPr>
      <w:r w:rsidRPr="00766811">
        <w:rPr>
          <w:rFonts w:ascii="Arial" w:hAnsi="Arial" w:cs="Arial"/>
          <w:sz w:val="24"/>
          <w:szCs w:val="24"/>
        </w:rPr>
        <w:t>Partnerships: The Foundation of Community Policing</w:t>
      </w:r>
      <w:r w:rsidR="00DE588A" w:rsidRPr="00766811">
        <w:rPr>
          <w:rFonts w:ascii="Arial" w:hAnsi="Arial" w:cs="Arial"/>
          <w:sz w:val="24"/>
          <w:szCs w:val="24"/>
        </w:rPr>
        <w:t>…………</w:t>
      </w:r>
      <w:r w:rsidR="00A46037">
        <w:rPr>
          <w:rFonts w:ascii="Arial" w:hAnsi="Arial" w:cs="Arial"/>
          <w:sz w:val="24"/>
          <w:szCs w:val="24"/>
        </w:rPr>
        <w:t>...</w:t>
      </w:r>
      <w:r w:rsidR="00DE588A" w:rsidRPr="00766811">
        <w:rPr>
          <w:rFonts w:ascii="Arial" w:hAnsi="Arial" w:cs="Arial"/>
          <w:sz w:val="24"/>
          <w:szCs w:val="24"/>
        </w:rPr>
        <w:t>…</w:t>
      </w:r>
      <w:r w:rsidR="009327DF">
        <w:rPr>
          <w:rFonts w:ascii="Arial" w:hAnsi="Arial" w:cs="Arial"/>
          <w:sz w:val="24"/>
          <w:szCs w:val="24"/>
        </w:rPr>
        <w:t>……..</w:t>
      </w:r>
      <w:r w:rsidR="00A46037">
        <w:rPr>
          <w:rFonts w:ascii="Arial" w:hAnsi="Arial" w:cs="Arial"/>
          <w:sz w:val="24"/>
          <w:szCs w:val="24"/>
        </w:rPr>
        <w:t>2-4</w:t>
      </w:r>
    </w:p>
    <w:p w14:paraId="6B633A79" w14:textId="546A6274" w:rsidR="000F1395" w:rsidRPr="00766811" w:rsidRDefault="000F1395" w:rsidP="00E94DBD">
      <w:pPr>
        <w:pStyle w:val="ListParagraph"/>
        <w:numPr>
          <w:ilvl w:val="0"/>
          <w:numId w:val="7"/>
        </w:numPr>
        <w:spacing w:before="100" w:beforeAutospacing="1" w:after="100" w:afterAutospacing="1" w:line="480" w:lineRule="auto"/>
        <w:outlineLvl w:val="3"/>
        <w:rPr>
          <w:rFonts w:ascii="Arial" w:eastAsia="Times New Roman" w:hAnsi="Arial" w:cs="Arial"/>
          <w:kern w:val="0"/>
          <w:sz w:val="24"/>
          <w:szCs w:val="24"/>
          <w:lang w:eastAsia="en-GB"/>
          <w14:ligatures w14:val="none"/>
        </w:rPr>
      </w:pPr>
      <w:r w:rsidRPr="00766811">
        <w:rPr>
          <w:rFonts w:ascii="Arial" w:eastAsia="Times New Roman" w:hAnsi="Arial" w:cs="Arial"/>
          <w:kern w:val="0"/>
          <w:sz w:val="24"/>
          <w:szCs w:val="24"/>
          <w:lang w:eastAsia="en-GB"/>
          <w14:ligatures w14:val="none"/>
        </w:rPr>
        <w:t>Policing Strategies: Building Trust and Proactivity………………</w:t>
      </w:r>
      <w:r w:rsidR="00A46037">
        <w:rPr>
          <w:rFonts w:ascii="Arial" w:eastAsia="Times New Roman" w:hAnsi="Arial" w:cs="Arial"/>
          <w:kern w:val="0"/>
          <w:sz w:val="24"/>
          <w:szCs w:val="24"/>
          <w:lang w:eastAsia="en-GB"/>
          <w14:ligatures w14:val="none"/>
        </w:rPr>
        <w:t>…</w:t>
      </w:r>
      <w:r w:rsidR="009327DF">
        <w:rPr>
          <w:rFonts w:ascii="Arial" w:eastAsia="Times New Roman" w:hAnsi="Arial" w:cs="Arial"/>
          <w:kern w:val="0"/>
          <w:sz w:val="24"/>
          <w:szCs w:val="24"/>
          <w:lang w:eastAsia="en-GB"/>
          <w14:ligatures w14:val="none"/>
        </w:rPr>
        <w:t>……...</w:t>
      </w:r>
      <w:r w:rsidR="00A46037">
        <w:rPr>
          <w:rFonts w:ascii="Arial" w:eastAsia="Times New Roman" w:hAnsi="Arial" w:cs="Arial"/>
          <w:kern w:val="0"/>
          <w:sz w:val="24"/>
          <w:szCs w:val="24"/>
          <w:lang w:eastAsia="en-GB"/>
          <w14:ligatures w14:val="none"/>
        </w:rPr>
        <w:t>4-6</w:t>
      </w:r>
    </w:p>
    <w:p w14:paraId="5D03548B" w14:textId="30EA889D" w:rsidR="00FD1485" w:rsidRPr="00766811" w:rsidRDefault="00FD1485" w:rsidP="00E94DBD">
      <w:pPr>
        <w:pStyle w:val="ListParagraph"/>
        <w:numPr>
          <w:ilvl w:val="0"/>
          <w:numId w:val="7"/>
        </w:numPr>
        <w:spacing w:before="100" w:beforeAutospacing="1" w:after="100" w:afterAutospacing="1" w:line="480" w:lineRule="auto"/>
        <w:outlineLvl w:val="3"/>
        <w:rPr>
          <w:rFonts w:ascii="Arial" w:eastAsia="Times New Roman" w:hAnsi="Arial" w:cs="Arial"/>
          <w:kern w:val="0"/>
          <w:sz w:val="24"/>
          <w:szCs w:val="24"/>
          <w:lang w:eastAsia="en-GB"/>
          <w14:ligatures w14:val="none"/>
        </w:rPr>
      </w:pPr>
      <w:r w:rsidRPr="00766811">
        <w:rPr>
          <w:rFonts w:ascii="Arial" w:eastAsia="Times New Roman" w:hAnsi="Arial" w:cs="Arial"/>
          <w:kern w:val="0"/>
          <w:sz w:val="24"/>
          <w:szCs w:val="24"/>
          <w:lang w:eastAsia="en-GB"/>
          <w14:ligatures w14:val="none"/>
        </w:rPr>
        <w:t>People: Empowering Communities and Rebuilding Trust…………</w:t>
      </w:r>
      <w:r w:rsidR="009327DF">
        <w:rPr>
          <w:rFonts w:ascii="Arial" w:eastAsia="Times New Roman" w:hAnsi="Arial" w:cs="Arial"/>
          <w:kern w:val="0"/>
          <w:sz w:val="24"/>
          <w:szCs w:val="24"/>
          <w:lang w:eastAsia="en-GB"/>
          <w14:ligatures w14:val="none"/>
        </w:rPr>
        <w:t>……..</w:t>
      </w:r>
      <w:r w:rsidR="00A46037">
        <w:rPr>
          <w:rFonts w:ascii="Arial" w:eastAsia="Times New Roman" w:hAnsi="Arial" w:cs="Arial"/>
          <w:kern w:val="0"/>
          <w:sz w:val="24"/>
          <w:szCs w:val="24"/>
          <w:lang w:eastAsia="en-GB"/>
          <w14:ligatures w14:val="none"/>
        </w:rPr>
        <w:t>6-7</w:t>
      </w:r>
    </w:p>
    <w:p w14:paraId="6061934A" w14:textId="063BB03B" w:rsidR="00DE588A" w:rsidRPr="00766811" w:rsidRDefault="00766811" w:rsidP="00E94DBD">
      <w:pPr>
        <w:pStyle w:val="ListParagraph"/>
        <w:numPr>
          <w:ilvl w:val="0"/>
          <w:numId w:val="7"/>
        </w:numPr>
        <w:spacing w:before="100" w:beforeAutospacing="1" w:after="100" w:afterAutospacing="1" w:line="480" w:lineRule="auto"/>
        <w:outlineLvl w:val="3"/>
        <w:rPr>
          <w:rFonts w:ascii="Arial" w:eastAsia="Times New Roman" w:hAnsi="Arial" w:cs="Arial"/>
          <w:kern w:val="0"/>
          <w:sz w:val="24"/>
          <w:szCs w:val="24"/>
          <w:lang w:eastAsia="en-GB"/>
          <w14:ligatures w14:val="none"/>
        </w:rPr>
      </w:pPr>
      <w:r w:rsidRPr="00766811">
        <w:rPr>
          <w:rFonts w:ascii="Arial" w:eastAsia="Times New Roman" w:hAnsi="Arial" w:cs="Arial"/>
          <w:kern w:val="0"/>
          <w:sz w:val="24"/>
          <w:szCs w:val="24"/>
          <w:lang w:eastAsia="en-GB"/>
          <w14:ligatures w14:val="none"/>
        </w:rPr>
        <w:t>Challenges and Limitations……………………………………………</w:t>
      </w:r>
      <w:r w:rsidR="009327DF">
        <w:rPr>
          <w:rFonts w:ascii="Arial" w:eastAsia="Times New Roman" w:hAnsi="Arial" w:cs="Arial"/>
          <w:kern w:val="0"/>
          <w:sz w:val="24"/>
          <w:szCs w:val="24"/>
          <w:lang w:eastAsia="en-GB"/>
          <w14:ligatures w14:val="none"/>
        </w:rPr>
        <w:t>……..</w:t>
      </w:r>
      <w:r w:rsidR="00A46037">
        <w:rPr>
          <w:rFonts w:ascii="Arial" w:eastAsia="Times New Roman" w:hAnsi="Arial" w:cs="Arial"/>
          <w:kern w:val="0"/>
          <w:sz w:val="24"/>
          <w:szCs w:val="24"/>
          <w:lang w:eastAsia="en-GB"/>
          <w14:ligatures w14:val="none"/>
        </w:rPr>
        <w:t>7-9</w:t>
      </w:r>
    </w:p>
    <w:p w14:paraId="5A61F8C4" w14:textId="2D8C5726" w:rsidR="00455775" w:rsidRDefault="00455775" w:rsidP="003C0E4A">
      <w:pPr>
        <w:spacing w:line="480" w:lineRule="auto"/>
        <w:rPr>
          <w:rFonts w:ascii="Arial" w:hAnsi="Arial" w:cs="Arial"/>
          <w:sz w:val="24"/>
          <w:szCs w:val="24"/>
        </w:rPr>
      </w:pPr>
      <w:r>
        <w:rPr>
          <w:rFonts w:ascii="Arial" w:hAnsi="Arial" w:cs="Arial"/>
          <w:sz w:val="24"/>
          <w:szCs w:val="24"/>
        </w:rPr>
        <w:t>Conclusion</w:t>
      </w:r>
      <w:r w:rsidR="001E169A">
        <w:rPr>
          <w:rFonts w:ascii="Arial" w:hAnsi="Arial" w:cs="Arial"/>
          <w:sz w:val="24"/>
          <w:szCs w:val="24"/>
        </w:rPr>
        <w:t>…………………………………………………………………………</w:t>
      </w:r>
      <w:r w:rsidR="009327DF">
        <w:rPr>
          <w:rFonts w:ascii="Arial" w:hAnsi="Arial" w:cs="Arial"/>
          <w:sz w:val="24"/>
          <w:szCs w:val="24"/>
        </w:rPr>
        <w:t>……</w:t>
      </w:r>
      <w:r w:rsidR="0078275C">
        <w:rPr>
          <w:rFonts w:ascii="Arial" w:hAnsi="Arial" w:cs="Arial"/>
          <w:sz w:val="24"/>
          <w:szCs w:val="24"/>
        </w:rPr>
        <w:t>….</w:t>
      </w:r>
      <w:r w:rsidR="009327DF">
        <w:rPr>
          <w:rFonts w:ascii="Arial" w:hAnsi="Arial" w:cs="Arial"/>
          <w:sz w:val="24"/>
          <w:szCs w:val="24"/>
        </w:rPr>
        <w:t>..</w:t>
      </w:r>
      <w:r w:rsidR="00A46037">
        <w:rPr>
          <w:rFonts w:ascii="Arial" w:hAnsi="Arial" w:cs="Arial"/>
          <w:sz w:val="24"/>
          <w:szCs w:val="24"/>
        </w:rPr>
        <w:t>9</w:t>
      </w:r>
    </w:p>
    <w:p w14:paraId="7578B9C5" w14:textId="767CE150" w:rsidR="00455775" w:rsidRPr="00455775" w:rsidRDefault="00455775" w:rsidP="003C0E4A">
      <w:pPr>
        <w:spacing w:line="480" w:lineRule="auto"/>
        <w:rPr>
          <w:rFonts w:ascii="Arial" w:hAnsi="Arial" w:cs="Arial"/>
          <w:sz w:val="24"/>
          <w:szCs w:val="24"/>
        </w:rPr>
      </w:pPr>
      <w:r>
        <w:rPr>
          <w:rFonts w:ascii="Arial" w:hAnsi="Arial" w:cs="Arial"/>
          <w:sz w:val="24"/>
          <w:szCs w:val="24"/>
        </w:rPr>
        <w:t>Reference List</w:t>
      </w:r>
      <w:r w:rsidR="001E169A">
        <w:rPr>
          <w:rFonts w:ascii="Arial" w:hAnsi="Arial" w:cs="Arial"/>
          <w:sz w:val="24"/>
          <w:szCs w:val="24"/>
        </w:rPr>
        <w:t>……………………………………………………………………</w:t>
      </w:r>
      <w:r w:rsidR="009327DF">
        <w:rPr>
          <w:rFonts w:ascii="Arial" w:hAnsi="Arial" w:cs="Arial"/>
          <w:sz w:val="24"/>
          <w:szCs w:val="24"/>
        </w:rPr>
        <w:t>……..</w:t>
      </w:r>
      <w:r w:rsidR="00A46037">
        <w:rPr>
          <w:rFonts w:ascii="Arial" w:hAnsi="Arial" w:cs="Arial"/>
          <w:sz w:val="24"/>
          <w:szCs w:val="24"/>
        </w:rPr>
        <w:t>1</w:t>
      </w:r>
      <w:r w:rsidR="0078275C">
        <w:rPr>
          <w:rFonts w:ascii="Arial" w:hAnsi="Arial" w:cs="Arial"/>
          <w:sz w:val="24"/>
          <w:szCs w:val="24"/>
        </w:rPr>
        <w:t>0</w:t>
      </w:r>
      <w:r w:rsidR="00A46037">
        <w:rPr>
          <w:rFonts w:ascii="Arial" w:hAnsi="Arial" w:cs="Arial"/>
          <w:sz w:val="24"/>
          <w:szCs w:val="24"/>
        </w:rPr>
        <w:t>-12</w:t>
      </w:r>
    </w:p>
    <w:p w14:paraId="2762FD9A" w14:textId="77777777" w:rsidR="00554A3F" w:rsidRDefault="00554A3F"/>
    <w:p w14:paraId="0B9DCB9B" w14:textId="77777777" w:rsidR="00554A3F" w:rsidRDefault="00554A3F"/>
    <w:p w14:paraId="6284E605" w14:textId="77777777" w:rsidR="00554A3F" w:rsidRDefault="00554A3F"/>
    <w:p w14:paraId="0AF25028" w14:textId="77777777" w:rsidR="00554A3F" w:rsidRDefault="00554A3F"/>
    <w:p w14:paraId="65A5AC1C" w14:textId="77777777" w:rsidR="00554A3F" w:rsidRDefault="00554A3F"/>
    <w:p w14:paraId="6F9758E6" w14:textId="77777777" w:rsidR="00554A3F" w:rsidRDefault="00554A3F"/>
    <w:p w14:paraId="085CDD1F" w14:textId="77777777" w:rsidR="00554A3F" w:rsidRDefault="00554A3F"/>
    <w:p w14:paraId="07A9B50D" w14:textId="77777777" w:rsidR="00554A3F" w:rsidRDefault="00554A3F"/>
    <w:p w14:paraId="74AEAF6C" w14:textId="77777777" w:rsidR="00554A3F" w:rsidRDefault="00554A3F"/>
    <w:p w14:paraId="6DECA15D" w14:textId="77777777" w:rsidR="00554A3F" w:rsidRDefault="00554A3F"/>
    <w:p w14:paraId="139E7D5A" w14:textId="77777777" w:rsidR="00554A3F" w:rsidRDefault="00554A3F"/>
    <w:p w14:paraId="02D7A584" w14:textId="77777777" w:rsidR="00554A3F" w:rsidRDefault="00554A3F"/>
    <w:p w14:paraId="7EC6646D" w14:textId="77777777" w:rsidR="005443ED" w:rsidRDefault="005443ED"/>
    <w:p w14:paraId="1CB2EDCB" w14:textId="77777777" w:rsidR="005443ED" w:rsidRDefault="005443ED"/>
    <w:p w14:paraId="3619B05E" w14:textId="77777777" w:rsidR="00131815" w:rsidRDefault="00131815"/>
    <w:p w14:paraId="5178FEB7" w14:textId="77777777" w:rsidR="00554A3F" w:rsidRDefault="00554A3F"/>
    <w:p w14:paraId="4133B0FF" w14:textId="77777777" w:rsidR="00554A3F" w:rsidRDefault="00554A3F"/>
    <w:p w14:paraId="32C45229" w14:textId="77777777" w:rsidR="00BE0AE1" w:rsidRDefault="00BE0AE1" w:rsidP="00B233D6">
      <w:pPr>
        <w:jc w:val="both"/>
      </w:pPr>
    </w:p>
    <w:p w14:paraId="3BD8CECC" w14:textId="10233C13" w:rsidR="001A5223" w:rsidRPr="001A5223" w:rsidRDefault="002D1AE8" w:rsidP="00B233D6">
      <w:pPr>
        <w:jc w:val="both"/>
        <w:rPr>
          <w:rFonts w:ascii="Arial" w:hAnsi="Arial" w:cs="Arial"/>
          <w:b/>
          <w:bCs/>
          <w:sz w:val="24"/>
          <w:szCs w:val="24"/>
          <w:u w:val="single"/>
        </w:rPr>
      </w:pPr>
      <w:r>
        <w:rPr>
          <w:rFonts w:ascii="Arial" w:hAnsi="Arial" w:cs="Arial"/>
          <w:b/>
          <w:bCs/>
          <w:sz w:val="24"/>
          <w:szCs w:val="24"/>
          <w:u w:val="single"/>
        </w:rPr>
        <w:lastRenderedPageBreak/>
        <w:t>Introduction</w:t>
      </w:r>
    </w:p>
    <w:p w14:paraId="682EAADD" w14:textId="2E2952EF"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Community policing has emerged as a transformative approach in modern policing, aiming to bridge the gap between police forces and the communities they serve. Rooted in the philosophy of policing by consent, it prioritises collaboration, trust-building, and proactive engagement to create safer, more cohesive societies</w:t>
      </w:r>
      <w:r w:rsidR="00FC7416">
        <w:rPr>
          <w:rFonts w:ascii="Arial" w:hAnsi="Arial" w:cs="Arial"/>
          <w:sz w:val="24"/>
          <w:szCs w:val="24"/>
        </w:rPr>
        <w:t xml:space="preserve"> (</w:t>
      </w:r>
      <w:proofErr w:type="spellStart"/>
      <w:r w:rsidR="00FC7416" w:rsidRPr="009C0AE4">
        <w:rPr>
          <w:rFonts w:ascii="Arial" w:hAnsi="Arial" w:cs="Arial"/>
          <w:sz w:val="24"/>
          <w:szCs w:val="24"/>
        </w:rPr>
        <w:t>Leventakis</w:t>
      </w:r>
      <w:proofErr w:type="spellEnd"/>
      <w:r w:rsidR="00FC7416" w:rsidRPr="009C0AE4">
        <w:rPr>
          <w:rFonts w:ascii="Arial" w:hAnsi="Arial" w:cs="Arial"/>
          <w:sz w:val="24"/>
          <w:szCs w:val="24"/>
        </w:rPr>
        <w:t>, 2018)</w:t>
      </w:r>
      <w:r w:rsidRPr="000E0748">
        <w:rPr>
          <w:rFonts w:ascii="Arial" w:hAnsi="Arial" w:cs="Arial"/>
          <w:sz w:val="24"/>
          <w:szCs w:val="24"/>
        </w:rPr>
        <w:t>. This essay critically examines the core elements of community policing</w:t>
      </w:r>
      <w:r w:rsidR="00A95723">
        <w:rPr>
          <w:rFonts w:ascii="Arial" w:hAnsi="Arial" w:cs="Arial"/>
          <w:sz w:val="24"/>
          <w:szCs w:val="24"/>
        </w:rPr>
        <w:t xml:space="preserve"> </w:t>
      </w:r>
      <w:r w:rsidRPr="000E0748">
        <w:rPr>
          <w:rFonts w:ascii="Arial" w:hAnsi="Arial" w:cs="Arial"/>
          <w:sz w:val="24"/>
          <w:szCs w:val="24"/>
        </w:rPr>
        <w:t>partnerships, policing strategies, and community engagement</w:t>
      </w:r>
      <w:r w:rsidR="00A95723">
        <w:rPr>
          <w:rFonts w:ascii="Arial" w:hAnsi="Arial" w:cs="Arial"/>
          <w:sz w:val="24"/>
          <w:szCs w:val="24"/>
        </w:rPr>
        <w:t xml:space="preserve"> </w:t>
      </w:r>
      <w:r w:rsidRPr="000E0748">
        <w:rPr>
          <w:rFonts w:ascii="Arial" w:hAnsi="Arial" w:cs="Arial"/>
          <w:sz w:val="24"/>
          <w:szCs w:val="24"/>
        </w:rPr>
        <w:t>with reference to key reviews by Barber (2022) and Casey (2016, 2023). By exploring recent examples, statistical evidence, and persistent challenges, the essay argues that while community policing offers immense potential, its success hinges on sustained investment, cultural change, and meaningful collaboration.</w:t>
      </w:r>
    </w:p>
    <w:p w14:paraId="615DCBF5" w14:textId="77777777" w:rsidR="000E0748" w:rsidRPr="000E0748" w:rsidRDefault="00000000" w:rsidP="00E97E9F">
      <w:pPr>
        <w:spacing w:line="480" w:lineRule="auto"/>
        <w:jc w:val="both"/>
        <w:rPr>
          <w:rFonts w:ascii="Arial" w:hAnsi="Arial" w:cs="Arial"/>
          <w:sz w:val="24"/>
          <w:szCs w:val="24"/>
        </w:rPr>
      </w:pPr>
      <w:r>
        <w:rPr>
          <w:rFonts w:ascii="Arial" w:hAnsi="Arial" w:cs="Arial"/>
          <w:sz w:val="24"/>
          <w:szCs w:val="24"/>
        </w:rPr>
        <w:pict w14:anchorId="5EC92B9D">
          <v:rect id="_x0000_i1025" style="width:0;height:1.5pt" o:hrstd="t" o:hr="t" fillcolor="#a0a0a0" stroked="f"/>
        </w:pict>
      </w:r>
    </w:p>
    <w:p w14:paraId="66665084" w14:textId="77777777" w:rsidR="000E0748" w:rsidRPr="007B0527" w:rsidRDefault="000E0748" w:rsidP="00E97E9F">
      <w:pPr>
        <w:spacing w:line="480" w:lineRule="auto"/>
        <w:jc w:val="both"/>
        <w:rPr>
          <w:rFonts w:ascii="Arial" w:hAnsi="Arial" w:cs="Arial"/>
          <w:b/>
          <w:bCs/>
          <w:sz w:val="24"/>
          <w:szCs w:val="24"/>
          <w:u w:val="single"/>
        </w:rPr>
      </w:pPr>
      <w:r w:rsidRPr="007B0527">
        <w:rPr>
          <w:rFonts w:ascii="Arial" w:hAnsi="Arial" w:cs="Arial"/>
          <w:b/>
          <w:bCs/>
          <w:sz w:val="24"/>
          <w:szCs w:val="24"/>
          <w:u w:val="single"/>
        </w:rPr>
        <w:t>Partnerships: The Foundation of Community Policing</w:t>
      </w:r>
    </w:p>
    <w:p w14:paraId="7E2BC1F9" w14:textId="6EF9964E"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Effective community policing depends on strong partnerships with local stakeholders, including councils, schools, charities, and community organisations. These partnerships enable a multi-agency approach to addressing the root causes of crime and fostering long-term solutions. The principle articulated by Sir Robert Peel</w:t>
      </w:r>
      <w:r w:rsidR="005231AA">
        <w:rPr>
          <w:rFonts w:ascii="Arial" w:hAnsi="Arial" w:cs="Arial"/>
          <w:sz w:val="24"/>
          <w:szCs w:val="24"/>
        </w:rPr>
        <w:t xml:space="preserve"> </w:t>
      </w:r>
      <w:r w:rsidRPr="000E0748">
        <w:rPr>
          <w:rFonts w:ascii="Arial" w:hAnsi="Arial" w:cs="Arial"/>
          <w:sz w:val="24"/>
          <w:szCs w:val="24"/>
        </w:rPr>
        <w:t>“the police are the public, and the public are the police”</w:t>
      </w:r>
      <w:r w:rsidR="005231AA">
        <w:rPr>
          <w:rFonts w:ascii="Arial" w:hAnsi="Arial" w:cs="Arial"/>
          <w:sz w:val="24"/>
          <w:szCs w:val="24"/>
        </w:rPr>
        <w:t xml:space="preserve"> </w:t>
      </w:r>
      <w:r w:rsidRPr="000E0748">
        <w:rPr>
          <w:rFonts w:ascii="Arial" w:hAnsi="Arial" w:cs="Arial"/>
          <w:sz w:val="24"/>
          <w:szCs w:val="24"/>
        </w:rPr>
        <w:t>remains foundational to this collaborative ethos</w:t>
      </w:r>
      <w:r w:rsidR="002068EF">
        <w:rPr>
          <w:rFonts w:ascii="Arial" w:hAnsi="Arial" w:cs="Arial"/>
          <w:sz w:val="24"/>
          <w:szCs w:val="24"/>
        </w:rPr>
        <w:t xml:space="preserve"> (Tudor, </w:t>
      </w:r>
      <w:r w:rsidR="00583A8C">
        <w:rPr>
          <w:rFonts w:ascii="Arial" w:hAnsi="Arial" w:cs="Arial"/>
          <w:sz w:val="24"/>
          <w:szCs w:val="24"/>
        </w:rPr>
        <w:t>2023)</w:t>
      </w:r>
      <w:r w:rsidRPr="000E0748">
        <w:rPr>
          <w:rFonts w:ascii="Arial" w:hAnsi="Arial" w:cs="Arial"/>
          <w:sz w:val="24"/>
          <w:szCs w:val="24"/>
        </w:rPr>
        <w:t>.</w:t>
      </w:r>
    </w:p>
    <w:p w14:paraId="6FBD6E7B" w14:textId="3CA5F18E"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One of the most compelling examples of successful partnerships is Scotland’s Violence Reduction Units (VRUs). Established in 2005, these units adopted a public health approach to tackle violence by addressing underlying social issues such as poverty, education, and unemployment. The results have been striking: hospital admissions for violent incidents dropped by 64% between 2005 and 2020</w:t>
      </w:r>
      <w:r w:rsidR="008D672F">
        <w:rPr>
          <w:rFonts w:ascii="Arial" w:hAnsi="Arial" w:cs="Arial"/>
          <w:sz w:val="24"/>
          <w:szCs w:val="24"/>
        </w:rPr>
        <w:t xml:space="preserve"> (Craston</w:t>
      </w:r>
      <w:r w:rsidR="00E91857">
        <w:rPr>
          <w:rFonts w:ascii="Arial" w:hAnsi="Arial" w:cs="Arial"/>
          <w:sz w:val="24"/>
          <w:szCs w:val="24"/>
        </w:rPr>
        <w:t xml:space="preserve"> et </w:t>
      </w:r>
      <w:r w:rsidR="00E91857">
        <w:rPr>
          <w:rFonts w:ascii="Arial" w:hAnsi="Arial" w:cs="Arial"/>
          <w:sz w:val="24"/>
          <w:szCs w:val="24"/>
        </w:rPr>
        <w:lastRenderedPageBreak/>
        <w:t xml:space="preserve">al, </w:t>
      </w:r>
      <w:r w:rsidR="008D672F">
        <w:rPr>
          <w:rFonts w:ascii="Arial" w:hAnsi="Arial" w:cs="Arial"/>
          <w:sz w:val="24"/>
          <w:szCs w:val="24"/>
        </w:rPr>
        <w:t>2020)</w:t>
      </w:r>
      <w:r w:rsidRPr="000E0748">
        <w:rPr>
          <w:rFonts w:ascii="Arial" w:hAnsi="Arial" w:cs="Arial"/>
          <w:sz w:val="24"/>
          <w:szCs w:val="24"/>
        </w:rPr>
        <w:t>. This outcome highlights the potential of multi-agency collaboration to create sustainable change.</w:t>
      </w:r>
    </w:p>
    <w:p w14:paraId="51445CCB" w14:textId="3558039E"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Further illustrating the importance of partnerships is the role of local councils and schools in neighbourhood policing. Schools act as critical touchpoints for early intervention programmes aimed at steering young people away from crime. Partnerships with local councils facilitate the allocation of resources to areas with the highest need, ensuring that initiatives such as youth clubs and mentorship schemes are effectively implemented. For instance, in Nottinghamshire, collaboration between schools and police resulted in a 15% reduction in youth-related crime over three years</w:t>
      </w:r>
      <w:r w:rsidR="0002244D">
        <w:rPr>
          <w:rFonts w:ascii="Arial" w:hAnsi="Arial" w:cs="Arial"/>
          <w:sz w:val="24"/>
          <w:szCs w:val="24"/>
        </w:rPr>
        <w:t xml:space="preserve"> (</w:t>
      </w:r>
      <w:r w:rsidR="0002244D" w:rsidRPr="00955C41">
        <w:rPr>
          <w:rFonts w:ascii="Arial" w:hAnsi="Arial" w:cs="Arial"/>
          <w:sz w:val="24"/>
          <w:szCs w:val="24"/>
        </w:rPr>
        <w:t>Cooke, 2024)</w:t>
      </w:r>
      <w:r w:rsidR="0002244D">
        <w:rPr>
          <w:rFonts w:ascii="Arial" w:hAnsi="Arial" w:cs="Arial"/>
          <w:sz w:val="24"/>
          <w:szCs w:val="24"/>
        </w:rPr>
        <w:t>.</w:t>
      </w:r>
      <w:r w:rsidR="0002244D" w:rsidRPr="00955C41">
        <w:rPr>
          <w:rFonts w:ascii="Arial" w:hAnsi="Arial" w:cs="Arial"/>
          <w:sz w:val="24"/>
          <w:szCs w:val="24"/>
        </w:rPr>
        <w:t xml:space="preserve"> </w:t>
      </w:r>
      <w:r w:rsidRPr="000E0748">
        <w:rPr>
          <w:rFonts w:ascii="Arial" w:hAnsi="Arial" w:cs="Arial"/>
          <w:sz w:val="24"/>
          <w:szCs w:val="24"/>
        </w:rPr>
        <w:t>Such partnerships not only address the root causes of crime but also foster a sense of community ownership over public safety.</w:t>
      </w:r>
    </w:p>
    <w:p w14:paraId="46A8B82E" w14:textId="543056DC"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Moreover, the importance of engaging with third-sector organisations cannot be understated. Charities and community groups often have the trust of marginalised populations that may be sceptical of police intentions. Initiatives like "Street Pastors" in Birmingham have demonstrated how partnerships between police and community volunteers can reduce antisocial behaviour, particularly during nighttime economy hours</w:t>
      </w:r>
      <w:r w:rsidR="00CF1FC1">
        <w:rPr>
          <w:rFonts w:ascii="Arial" w:hAnsi="Arial" w:cs="Arial"/>
          <w:sz w:val="24"/>
          <w:szCs w:val="24"/>
        </w:rPr>
        <w:t xml:space="preserve"> (Campion, 2017)</w:t>
      </w:r>
      <w:r w:rsidRPr="000E0748">
        <w:rPr>
          <w:rFonts w:ascii="Arial" w:hAnsi="Arial" w:cs="Arial"/>
          <w:sz w:val="24"/>
          <w:szCs w:val="24"/>
        </w:rPr>
        <w:t>.</w:t>
      </w:r>
    </w:p>
    <w:p w14:paraId="51AE8DC8" w14:textId="7624DC05"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However, partnerships in community policing are not without challenges. The Casey Review (2016) identified issues such as fragmented funding streams and inconsistent communication between agencies</w:t>
      </w:r>
      <w:r w:rsidR="00E42B97">
        <w:rPr>
          <w:rFonts w:ascii="Arial" w:hAnsi="Arial" w:cs="Arial"/>
          <w:sz w:val="24"/>
          <w:szCs w:val="24"/>
        </w:rPr>
        <w:t xml:space="preserve"> (Casey, 2016)</w:t>
      </w:r>
      <w:r w:rsidRPr="000E0748">
        <w:rPr>
          <w:rFonts w:ascii="Arial" w:hAnsi="Arial" w:cs="Arial"/>
          <w:sz w:val="24"/>
          <w:szCs w:val="24"/>
        </w:rPr>
        <w:t xml:space="preserve">. These shortcomings can undermine the effectiveness of joint initiatives and lead to disillusionment among community stakeholders. Moreover, the lack of adequate community representation in decision-making processes often results in strategies that fail to address the specific needs of local populations. For example, in areas like Tower Hamlets, limited consultation with </w:t>
      </w:r>
      <w:r w:rsidRPr="000E0748">
        <w:rPr>
          <w:rFonts w:ascii="Arial" w:hAnsi="Arial" w:cs="Arial"/>
          <w:sz w:val="24"/>
          <w:szCs w:val="24"/>
        </w:rPr>
        <w:lastRenderedPageBreak/>
        <w:t>the Bangladeshi community resulted in initiatives that were poorly received, highlighting the need for culturally sensitive engagement</w:t>
      </w:r>
      <w:r w:rsidR="00BA5ECC">
        <w:rPr>
          <w:rFonts w:ascii="Arial" w:hAnsi="Arial" w:cs="Arial"/>
          <w:sz w:val="24"/>
          <w:szCs w:val="24"/>
        </w:rPr>
        <w:t xml:space="preserve"> (Rahman, 2024)</w:t>
      </w:r>
      <w:r w:rsidRPr="000E0748">
        <w:rPr>
          <w:rFonts w:ascii="Arial" w:hAnsi="Arial" w:cs="Arial"/>
          <w:sz w:val="24"/>
          <w:szCs w:val="24"/>
        </w:rPr>
        <w:t>. To maximise the potential of partnerships, these structural weaknesses must be addressed through comprehensive planning, sustained investment, and inclusive representation.</w:t>
      </w:r>
    </w:p>
    <w:p w14:paraId="30822007" w14:textId="77777777" w:rsidR="000E0748" w:rsidRPr="000E0748" w:rsidRDefault="00000000" w:rsidP="00E97E9F">
      <w:pPr>
        <w:spacing w:line="480" w:lineRule="auto"/>
        <w:jc w:val="both"/>
        <w:rPr>
          <w:rFonts w:ascii="Arial" w:hAnsi="Arial" w:cs="Arial"/>
          <w:sz w:val="24"/>
          <w:szCs w:val="24"/>
        </w:rPr>
      </w:pPr>
      <w:r>
        <w:rPr>
          <w:rFonts w:ascii="Arial" w:hAnsi="Arial" w:cs="Arial"/>
          <w:sz w:val="24"/>
          <w:szCs w:val="24"/>
        </w:rPr>
        <w:pict w14:anchorId="669B1D65">
          <v:rect id="_x0000_i1026" style="width:0;height:1.5pt" o:hrstd="t" o:hr="t" fillcolor="#a0a0a0" stroked="f"/>
        </w:pict>
      </w:r>
    </w:p>
    <w:p w14:paraId="0B137560" w14:textId="77777777" w:rsidR="000E0748" w:rsidRPr="007B0527" w:rsidRDefault="000E0748" w:rsidP="00E97E9F">
      <w:pPr>
        <w:spacing w:line="480" w:lineRule="auto"/>
        <w:jc w:val="both"/>
        <w:rPr>
          <w:rFonts w:ascii="Arial" w:hAnsi="Arial" w:cs="Arial"/>
          <w:b/>
          <w:bCs/>
          <w:sz w:val="24"/>
          <w:szCs w:val="24"/>
          <w:u w:val="single"/>
        </w:rPr>
      </w:pPr>
      <w:r w:rsidRPr="007B0527">
        <w:rPr>
          <w:rFonts w:ascii="Arial" w:hAnsi="Arial" w:cs="Arial"/>
          <w:b/>
          <w:bCs/>
          <w:sz w:val="24"/>
          <w:szCs w:val="24"/>
          <w:u w:val="single"/>
        </w:rPr>
        <w:t>Policing Strategies: Building Trust and Proactivity</w:t>
      </w:r>
    </w:p>
    <w:p w14:paraId="048AACA2" w14:textId="085EC16B"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Community policing strategies are designed to prioritise trust-building and proactive engagement. Neighbourhood policing, a central pillar of this approach, emphasises visible patrols, problem-solving, and fostering relationships with residents. This strategy is intrinsically tied to the principle of policing by consent, which holds that police legitimacy derives from public approval and cooperation</w:t>
      </w:r>
      <w:r w:rsidR="00DD2642">
        <w:rPr>
          <w:rFonts w:ascii="Arial" w:hAnsi="Arial" w:cs="Arial"/>
          <w:sz w:val="24"/>
          <w:szCs w:val="24"/>
        </w:rPr>
        <w:t xml:space="preserve"> (College of Policing, 2021)</w:t>
      </w:r>
      <w:r w:rsidRPr="000E0748">
        <w:rPr>
          <w:rFonts w:ascii="Arial" w:hAnsi="Arial" w:cs="Arial"/>
          <w:sz w:val="24"/>
          <w:szCs w:val="24"/>
        </w:rPr>
        <w:t>.</w:t>
      </w:r>
    </w:p>
    <w:p w14:paraId="570D84A3" w14:textId="29CFB0D3"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Neighbourhood policing teams (NPTs) have demonstrated success in enhancing community safety. For instance, in Camden, London, dedicated NPTs have significantly reduced antisocial behaviour by maintaining a regular presence and directly addressing community concerns</w:t>
      </w:r>
      <w:r w:rsidR="004F07E1">
        <w:rPr>
          <w:rFonts w:ascii="Arial" w:hAnsi="Arial" w:cs="Arial"/>
          <w:sz w:val="24"/>
          <w:szCs w:val="24"/>
        </w:rPr>
        <w:t xml:space="preserve"> (Callaghan, 2024)</w:t>
      </w:r>
      <w:r w:rsidRPr="000E0748">
        <w:rPr>
          <w:rFonts w:ascii="Arial" w:hAnsi="Arial" w:cs="Arial"/>
          <w:sz w:val="24"/>
          <w:szCs w:val="24"/>
        </w:rPr>
        <w:t>. This aligns with the problem-oriented policing (POP) model, which focuses on identifying and tackling the root causes of crime. The Barber Review (2022) commended POP initiatives for their adaptability and emphasis on long-term solutions, citing Manchester’s efforts to reduce youth gang involvement as a notable example. Manchester’s "Gangs Reduction Programme" not only achieved a 21% drop in gang-related incidents but also strengthened community resilience through education and employment initiatives</w:t>
      </w:r>
      <w:r w:rsidR="00512A8E">
        <w:rPr>
          <w:rFonts w:ascii="Arial" w:hAnsi="Arial" w:cs="Arial"/>
          <w:sz w:val="24"/>
          <w:szCs w:val="24"/>
        </w:rPr>
        <w:t xml:space="preserve"> (Greater Manchester Combined Authority, 2024)</w:t>
      </w:r>
      <w:r w:rsidRPr="000E0748">
        <w:rPr>
          <w:rFonts w:ascii="Arial" w:hAnsi="Arial" w:cs="Arial"/>
          <w:sz w:val="24"/>
          <w:szCs w:val="24"/>
        </w:rPr>
        <w:t>.</w:t>
      </w:r>
    </w:p>
    <w:p w14:paraId="41A01253" w14:textId="609A5C34" w:rsidR="005649D6"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lastRenderedPageBreak/>
        <w:t>The adoption of technology has further enhanced the effectiveness of community policing strategies. Mobile apps and online platforms enable residents to report issues directly to neighbourhood officers, fostering a sense of immediacy and accountability. For example, initiatives like the "OWL" system (Online Watch Link) in Hertfordshire have allowed for real-time communication between police and neighbourhood watch groups, leading to quicker resolutions of community concerns</w:t>
      </w:r>
      <w:r w:rsidR="00853B8C">
        <w:rPr>
          <w:rFonts w:ascii="Arial" w:hAnsi="Arial" w:cs="Arial"/>
          <w:sz w:val="24"/>
          <w:szCs w:val="24"/>
        </w:rPr>
        <w:t xml:space="preserve"> (Hertfordshire Constabulary, 2024)</w:t>
      </w:r>
      <w:r w:rsidRPr="000E0748">
        <w:rPr>
          <w:rFonts w:ascii="Arial" w:hAnsi="Arial" w:cs="Arial"/>
          <w:sz w:val="24"/>
          <w:szCs w:val="24"/>
        </w:rPr>
        <w:t xml:space="preserve">. </w:t>
      </w:r>
      <w:r w:rsidR="00E87D42" w:rsidRPr="00E87D42">
        <w:rPr>
          <w:rFonts w:ascii="Arial" w:hAnsi="Arial" w:cs="Arial"/>
          <w:sz w:val="24"/>
          <w:szCs w:val="24"/>
        </w:rPr>
        <w:t xml:space="preserve">However on April 1, 2024, a new community messaging platform called Herts Connected took the place of OWL. By offering free communications from the police, Neighbourhood Watch, the Police and Crime Commissioner, and Action Fraud, this system carries on OWL's work. To stay up to date on local safety and crime issues, residents are urged to sign up for Herts Connected. </w:t>
      </w:r>
    </w:p>
    <w:p w14:paraId="52F779F1" w14:textId="0C10A82C"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Despite these achievements, the effectiveness of neighbourhood policing is increasingly constrained by resource limitations. The number of Police Community Support Officers (PCSOs) in England and Wales has fallen from 23,928 in 2010 to approximately 14,000 in 2023</w:t>
      </w:r>
      <w:r w:rsidR="0020743E">
        <w:rPr>
          <w:rFonts w:ascii="Arial" w:hAnsi="Arial" w:cs="Arial"/>
          <w:sz w:val="24"/>
          <w:szCs w:val="24"/>
        </w:rPr>
        <w:t xml:space="preserve"> (Clark, 2024)</w:t>
      </w:r>
      <w:r w:rsidRPr="000E0748">
        <w:rPr>
          <w:rFonts w:ascii="Arial" w:hAnsi="Arial" w:cs="Arial"/>
          <w:sz w:val="24"/>
          <w:szCs w:val="24"/>
        </w:rPr>
        <w:t>. This decline, exacerbated by austerity measures, has reduced the capacity of NPTs to engage meaningfully with communities. The Casey Review (2023) observed that these resource constraints disproportionately affect disadvantaged areas, further eroding trust in policing institutions. Addressing these issues requires renewed investment and a commitment to preserving the integrity of neighbourhood policing</w:t>
      </w:r>
      <w:r w:rsidR="00D933F3">
        <w:rPr>
          <w:rFonts w:ascii="Arial" w:hAnsi="Arial" w:cs="Arial"/>
          <w:sz w:val="24"/>
          <w:szCs w:val="24"/>
        </w:rPr>
        <w:t xml:space="preserve"> (Casey, 2023)</w:t>
      </w:r>
      <w:r w:rsidRPr="000E0748">
        <w:rPr>
          <w:rFonts w:ascii="Arial" w:hAnsi="Arial" w:cs="Arial"/>
          <w:sz w:val="24"/>
          <w:szCs w:val="24"/>
        </w:rPr>
        <w:t>.</w:t>
      </w:r>
    </w:p>
    <w:p w14:paraId="7B0E01F7" w14:textId="0A7EBA76"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 xml:space="preserve">Resource limitations also hinder the ability of neighbourhood teams to engage in meaningful training. Effective community policing requires officers to be well-versed in cultural competency, conflict resolution, and de-escalation techniques. Without adequate training, officers may struggle to build trust with diverse communities, further exacerbating tensions. The Barber Review (2022) highlighted the importance of </w:t>
      </w:r>
      <w:r w:rsidRPr="000E0748">
        <w:rPr>
          <w:rFonts w:ascii="Arial" w:hAnsi="Arial" w:cs="Arial"/>
          <w:sz w:val="24"/>
          <w:szCs w:val="24"/>
        </w:rPr>
        <w:lastRenderedPageBreak/>
        <w:t>embedding cultural awareness modules into police training curricula to equip officers with the skills needed for effective community engagement</w:t>
      </w:r>
      <w:r w:rsidR="008316A2">
        <w:rPr>
          <w:rFonts w:ascii="Arial" w:hAnsi="Arial" w:cs="Arial"/>
          <w:sz w:val="24"/>
          <w:szCs w:val="24"/>
        </w:rPr>
        <w:t xml:space="preserve"> (Muir</w:t>
      </w:r>
      <w:r w:rsidR="00132BD0">
        <w:rPr>
          <w:rFonts w:ascii="Arial" w:hAnsi="Arial" w:cs="Arial"/>
          <w:sz w:val="24"/>
          <w:szCs w:val="24"/>
        </w:rPr>
        <w:t xml:space="preserve"> et al, </w:t>
      </w:r>
      <w:r w:rsidR="008316A2">
        <w:rPr>
          <w:rFonts w:ascii="Arial" w:hAnsi="Arial" w:cs="Arial"/>
          <w:sz w:val="24"/>
          <w:szCs w:val="24"/>
        </w:rPr>
        <w:t>2022)</w:t>
      </w:r>
      <w:r w:rsidRPr="000E0748">
        <w:rPr>
          <w:rFonts w:ascii="Arial" w:hAnsi="Arial" w:cs="Arial"/>
          <w:sz w:val="24"/>
          <w:szCs w:val="24"/>
        </w:rPr>
        <w:t>.</w:t>
      </w:r>
    </w:p>
    <w:p w14:paraId="636E64C1" w14:textId="77777777" w:rsidR="000E0748" w:rsidRPr="000E0748" w:rsidRDefault="00000000" w:rsidP="00E97E9F">
      <w:pPr>
        <w:spacing w:line="480" w:lineRule="auto"/>
        <w:jc w:val="both"/>
        <w:rPr>
          <w:rFonts w:ascii="Arial" w:hAnsi="Arial" w:cs="Arial"/>
          <w:sz w:val="24"/>
          <w:szCs w:val="24"/>
        </w:rPr>
      </w:pPr>
      <w:r>
        <w:rPr>
          <w:rFonts w:ascii="Arial" w:hAnsi="Arial" w:cs="Arial"/>
          <w:sz w:val="24"/>
          <w:szCs w:val="24"/>
        </w:rPr>
        <w:pict w14:anchorId="67C39317">
          <v:rect id="_x0000_i1027" style="width:0;height:1.5pt" o:hrstd="t" o:hr="t" fillcolor="#a0a0a0" stroked="f"/>
        </w:pict>
      </w:r>
    </w:p>
    <w:p w14:paraId="1D1C1C0E" w14:textId="77777777" w:rsidR="000E0748" w:rsidRPr="007B0527" w:rsidRDefault="000E0748" w:rsidP="00E97E9F">
      <w:pPr>
        <w:spacing w:line="480" w:lineRule="auto"/>
        <w:jc w:val="both"/>
        <w:rPr>
          <w:rFonts w:ascii="Arial" w:hAnsi="Arial" w:cs="Arial"/>
          <w:b/>
          <w:bCs/>
          <w:sz w:val="24"/>
          <w:szCs w:val="24"/>
          <w:u w:val="single"/>
        </w:rPr>
      </w:pPr>
      <w:r w:rsidRPr="007B0527">
        <w:rPr>
          <w:rFonts w:ascii="Arial" w:hAnsi="Arial" w:cs="Arial"/>
          <w:b/>
          <w:bCs/>
          <w:sz w:val="24"/>
          <w:szCs w:val="24"/>
          <w:u w:val="single"/>
        </w:rPr>
        <w:t>People: Empowering Communities and Rebuilding Trust</w:t>
      </w:r>
    </w:p>
    <w:p w14:paraId="5A6CF3B1" w14:textId="77777777"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At its heart, community policing seeks to empower communities by fostering trust and collaboration. However, systemic issues such as racial inequality, historical tensions, and high-profile incidents have created significant barriers to achieving these goals.</w:t>
      </w:r>
    </w:p>
    <w:p w14:paraId="20CDA665" w14:textId="2D403DAE"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Community empowerment initiatives play a crucial role in addressing these challenges.</w:t>
      </w:r>
      <w:r w:rsidR="00CC334E">
        <w:rPr>
          <w:rFonts w:ascii="Arial" w:hAnsi="Arial" w:cs="Arial"/>
          <w:sz w:val="24"/>
          <w:szCs w:val="24"/>
        </w:rPr>
        <w:t xml:space="preserve"> </w:t>
      </w:r>
      <w:r w:rsidRPr="000E0748">
        <w:rPr>
          <w:rFonts w:ascii="Arial" w:hAnsi="Arial" w:cs="Arial"/>
          <w:sz w:val="24"/>
          <w:szCs w:val="24"/>
        </w:rPr>
        <w:t>According to the Crime Survey for England and Wales 2023, public trust in areas with active community engagement is 6% higher than in areas without such initiatives</w:t>
      </w:r>
      <w:r w:rsidR="008C095E">
        <w:rPr>
          <w:rFonts w:ascii="Arial" w:hAnsi="Arial" w:cs="Arial"/>
          <w:sz w:val="24"/>
          <w:szCs w:val="24"/>
        </w:rPr>
        <w:t xml:space="preserve"> </w:t>
      </w:r>
      <w:r w:rsidR="006845EE">
        <w:rPr>
          <w:rFonts w:ascii="Arial" w:hAnsi="Arial" w:cs="Arial"/>
          <w:sz w:val="24"/>
          <w:szCs w:val="24"/>
        </w:rPr>
        <w:t>(</w:t>
      </w:r>
      <w:r w:rsidR="008C095E">
        <w:rPr>
          <w:rFonts w:ascii="Arial" w:hAnsi="Arial" w:cs="Arial"/>
          <w:sz w:val="24"/>
          <w:szCs w:val="24"/>
        </w:rPr>
        <w:t>Office for National Statistics</w:t>
      </w:r>
      <w:r w:rsidR="006845EE">
        <w:rPr>
          <w:rFonts w:ascii="Arial" w:hAnsi="Arial" w:cs="Arial"/>
          <w:sz w:val="24"/>
          <w:szCs w:val="24"/>
        </w:rPr>
        <w:t xml:space="preserve">, </w:t>
      </w:r>
      <w:r w:rsidR="008C095E">
        <w:rPr>
          <w:rFonts w:ascii="Arial" w:hAnsi="Arial" w:cs="Arial"/>
          <w:sz w:val="24"/>
          <w:szCs w:val="24"/>
        </w:rPr>
        <w:t>2023)</w:t>
      </w:r>
      <w:r w:rsidRPr="000E0748">
        <w:rPr>
          <w:rFonts w:ascii="Arial" w:hAnsi="Arial" w:cs="Arial"/>
          <w:sz w:val="24"/>
          <w:szCs w:val="24"/>
        </w:rPr>
        <w:t>. This demonstrates the importance of fostering genuine connections between police and the communities they serve.</w:t>
      </w:r>
    </w:p>
    <w:p w14:paraId="0C75230C" w14:textId="5AC133FE"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Engaging young people is particularly critical in building trust and fostering long-term change. Youth advisory panels and mentorship programmes provide platforms for young people to voice their concerns and actively participate in shaping policing priorities. These initiatives not only reduce the likelihood of youth involvement in crime but also cultivate a generation that views the police as allies rather than adversaries. For example, Leicester’s "Positive Futures" programme successfully engaged over 2,000 young people in 2022 alone, resulting in a 10% drop in youth reoffending rates</w:t>
      </w:r>
      <w:r w:rsidR="00FB4A59">
        <w:rPr>
          <w:rFonts w:ascii="Arial" w:hAnsi="Arial" w:cs="Arial"/>
          <w:sz w:val="24"/>
          <w:szCs w:val="24"/>
        </w:rPr>
        <w:t xml:space="preserve"> (Walker, 2023)</w:t>
      </w:r>
      <w:r w:rsidRPr="000E0748">
        <w:rPr>
          <w:rFonts w:ascii="Arial" w:hAnsi="Arial" w:cs="Arial"/>
          <w:sz w:val="24"/>
          <w:szCs w:val="24"/>
        </w:rPr>
        <w:t>.</w:t>
      </w:r>
    </w:p>
    <w:p w14:paraId="04CE393D" w14:textId="77777777"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 xml:space="preserve">However, rebuilding trust in marginalised communities requires more than engagement initiatives. The principle of policing by consent must be reinforced through accountability and transparency. The Casey Review (2023) highlighted the damaging impact of incidents such as the murder of Sarah Everard by a serving officer, which </w:t>
      </w:r>
      <w:r w:rsidRPr="000E0748">
        <w:rPr>
          <w:rFonts w:ascii="Arial" w:hAnsi="Arial" w:cs="Arial"/>
          <w:sz w:val="24"/>
          <w:szCs w:val="24"/>
        </w:rPr>
        <w:lastRenderedPageBreak/>
        <w:t>severely undermined public confidence in the police. Furthermore, tokenistic engagement—where police appear to listen but fail to take meaningful action—can exacerbate feelings of mistrust. To overcome these barriers, police forces must demonstrate a sustained commitment to addressing systemic inequalities and holding officers accountable for misconduct.</w:t>
      </w:r>
    </w:p>
    <w:p w14:paraId="76767D46" w14:textId="124DE1ED"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The role of cultural competency cannot be overstated in fostering trust. Officers who are trained to understand and respect cultural differences are better equipped to engage with diverse communities</w:t>
      </w:r>
      <w:r w:rsidR="00632DF0">
        <w:rPr>
          <w:rFonts w:ascii="Arial" w:hAnsi="Arial" w:cs="Arial"/>
          <w:sz w:val="24"/>
          <w:szCs w:val="24"/>
        </w:rPr>
        <w:t xml:space="preserve"> (Governmental Events, 2024)</w:t>
      </w:r>
      <w:r w:rsidRPr="000E0748">
        <w:rPr>
          <w:rFonts w:ascii="Arial" w:hAnsi="Arial" w:cs="Arial"/>
          <w:sz w:val="24"/>
          <w:szCs w:val="24"/>
        </w:rPr>
        <w:t xml:space="preserve">. Programmes that encourage officers to immerse themselves in local cultures and traditions can bridge gaps of understanding and foster mutual respect. </w:t>
      </w:r>
    </w:p>
    <w:p w14:paraId="3AB0D566" w14:textId="77777777"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Community policing also requires the active involvement of community leaders who can serve as intermediaries between police and residents. Faith leaders, local activists, and social workers often hold the trust of their communities and can play a pivotal role in fostering dialogue and collaboration. Their involvement ensures that policing strategies are more attuned to the specific needs and concerns of local populations.</w:t>
      </w:r>
    </w:p>
    <w:p w14:paraId="2CF78458" w14:textId="77777777" w:rsidR="000E0748" w:rsidRPr="000E0748" w:rsidRDefault="00000000" w:rsidP="00E97E9F">
      <w:pPr>
        <w:spacing w:line="480" w:lineRule="auto"/>
        <w:jc w:val="both"/>
        <w:rPr>
          <w:rFonts w:ascii="Arial" w:hAnsi="Arial" w:cs="Arial"/>
          <w:sz w:val="24"/>
          <w:szCs w:val="24"/>
        </w:rPr>
      </w:pPr>
      <w:r>
        <w:rPr>
          <w:rFonts w:ascii="Arial" w:hAnsi="Arial" w:cs="Arial"/>
          <w:sz w:val="24"/>
          <w:szCs w:val="24"/>
        </w:rPr>
        <w:pict w14:anchorId="54EECCAB">
          <v:rect id="_x0000_i1028" style="width:0;height:1.5pt" o:hrstd="t" o:hr="t" fillcolor="#a0a0a0" stroked="f"/>
        </w:pict>
      </w:r>
    </w:p>
    <w:p w14:paraId="2E9CF917" w14:textId="77777777" w:rsidR="000E0748" w:rsidRPr="00C60246" w:rsidRDefault="000E0748" w:rsidP="00E97E9F">
      <w:pPr>
        <w:spacing w:line="480" w:lineRule="auto"/>
        <w:jc w:val="both"/>
        <w:rPr>
          <w:rFonts w:ascii="Arial" w:hAnsi="Arial" w:cs="Arial"/>
          <w:b/>
          <w:bCs/>
          <w:sz w:val="24"/>
          <w:szCs w:val="24"/>
          <w:u w:val="single"/>
        </w:rPr>
      </w:pPr>
      <w:r w:rsidRPr="00C60246">
        <w:rPr>
          <w:rFonts w:ascii="Arial" w:hAnsi="Arial" w:cs="Arial"/>
          <w:b/>
          <w:bCs/>
          <w:sz w:val="24"/>
          <w:szCs w:val="24"/>
          <w:u w:val="single"/>
        </w:rPr>
        <w:t>Challenges and Limitations</w:t>
      </w:r>
    </w:p>
    <w:p w14:paraId="570CA804" w14:textId="0FB8DF5C"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While community policing offers significant benefits, its implementation faces structural and cultural barriers that limit its effectiveness. Funding constraints remain a critical issue</w:t>
      </w:r>
      <w:r w:rsidR="000611C7">
        <w:rPr>
          <w:rFonts w:ascii="Arial" w:hAnsi="Arial" w:cs="Arial"/>
          <w:sz w:val="24"/>
          <w:szCs w:val="24"/>
        </w:rPr>
        <w:t xml:space="preserve"> (</w:t>
      </w:r>
      <w:r w:rsidR="000611C7" w:rsidRPr="00AD7EF0">
        <w:rPr>
          <w:rFonts w:ascii="Arial" w:hAnsi="Arial" w:cs="Arial"/>
          <w:sz w:val="24"/>
          <w:szCs w:val="24"/>
        </w:rPr>
        <w:t>Bottomley,</w:t>
      </w:r>
      <w:r w:rsidR="000611C7">
        <w:rPr>
          <w:rFonts w:ascii="Arial" w:hAnsi="Arial" w:cs="Arial"/>
          <w:sz w:val="24"/>
          <w:szCs w:val="24"/>
        </w:rPr>
        <w:t xml:space="preserve"> </w:t>
      </w:r>
      <w:r w:rsidR="000611C7" w:rsidRPr="00AD7EF0">
        <w:rPr>
          <w:rFonts w:ascii="Arial" w:hAnsi="Arial" w:cs="Arial"/>
          <w:sz w:val="24"/>
          <w:szCs w:val="24"/>
        </w:rPr>
        <w:t>2020)</w:t>
      </w:r>
      <w:r w:rsidRPr="000E0748">
        <w:rPr>
          <w:rFonts w:ascii="Arial" w:hAnsi="Arial" w:cs="Arial"/>
          <w:sz w:val="24"/>
          <w:szCs w:val="24"/>
        </w:rPr>
        <w:t xml:space="preserve">. The Barber Review (2022) noted that austerity measures have significantly reduced the resources available for neighbourhood policing, leading to understaffed teams and limited outreach capacity. Similarly, the Casey Review (2016) identified short-term funding cycles as a major obstacle to sustaining </w:t>
      </w:r>
      <w:r w:rsidRPr="000E0748">
        <w:rPr>
          <w:rFonts w:ascii="Arial" w:hAnsi="Arial" w:cs="Arial"/>
          <w:sz w:val="24"/>
          <w:szCs w:val="24"/>
        </w:rPr>
        <w:lastRenderedPageBreak/>
        <w:t>community policing initiatives. Long-term investment strategies are essential to ensure the continuity and effectiveness of community policing programmes.</w:t>
      </w:r>
    </w:p>
    <w:p w14:paraId="1B96984B" w14:textId="1D0D5652"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Cultural resistance within police forces also poses a significant challenge. Transitioning from traditional enforcement models to community-oriented approaches requires a fundamental shift in mindset. The Casey Review (2023) emphasised the need for strong leadership to champion community policing and embed its principles across all levels of the organisation. Without such leadership, efforts to implement community policing may be met with resistance or superficial compliance. For example, officers who prioritise traditional enforcement metrics, such as arrest numbers, may undervalue the importance of community engagement and problem-solving</w:t>
      </w:r>
      <w:r w:rsidR="00C8428F">
        <w:rPr>
          <w:rFonts w:ascii="Arial" w:hAnsi="Arial" w:cs="Arial"/>
          <w:sz w:val="24"/>
          <w:szCs w:val="24"/>
        </w:rPr>
        <w:t xml:space="preserve"> (National Policing Institute, 2024)</w:t>
      </w:r>
      <w:r w:rsidRPr="000E0748">
        <w:rPr>
          <w:rFonts w:ascii="Arial" w:hAnsi="Arial" w:cs="Arial"/>
          <w:sz w:val="24"/>
          <w:szCs w:val="24"/>
        </w:rPr>
        <w:t>.</w:t>
      </w:r>
    </w:p>
    <w:p w14:paraId="7B5D2BDE" w14:textId="36E61015" w:rsidR="000E0748" w:rsidRPr="000E0748" w:rsidRDefault="000E0748" w:rsidP="00E97E9F">
      <w:pPr>
        <w:spacing w:line="480" w:lineRule="auto"/>
        <w:jc w:val="both"/>
        <w:rPr>
          <w:rFonts w:ascii="Arial" w:hAnsi="Arial" w:cs="Arial"/>
          <w:sz w:val="24"/>
          <w:szCs w:val="24"/>
        </w:rPr>
      </w:pPr>
      <w:r w:rsidRPr="000E0748">
        <w:rPr>
          <w:rFonts w:ascii="Arial" w:hAnsi="Arial" w:cs="Arial"/>
          <w:sz w:val="24"/>
          <w:szCs w:val="24"/>
        </w:rPr>
        <w:t>The perception of bias in policing further complicates efforts to build trust. Studies have consistently shown that minority communities are disproportionately affected by stop-and-search practices and other enforcement measures. Addressing these disparities requires a data-driven approach to ensure fairness and accountability in policing practices. Transparent reporting and independent oversight can help restore trust in communities that feel unfairly targeted. For instance, the introduction of body-worn cameras has been shown to reduce complaints against officers by 35%</w:t>
      </w:r>
      <w:r w:rsidR="002D264F">
        <w:rPr>
          <w:rFonts w:ascii="Arial" w:hAnsi="Arial" w:cs="Arial"/>
          <w:sz w:val="24"/>
          <w:szCs w:val="24"/>
        </w:rPr>
        <w:t xml:space="preserve"> </w:t>
      </w:r>
      <w:r w:rsidR="0025511D">
        <w:rPr>
          <w:rFonts w:ascii="Arial" w:hAnsi="Arial" w:cs="Arial"/>
          <w:sz w:val="24"/>
          <w:szCs w:val="24"/>
        </w:rPr>
        <w:t>(College of Policing, 2021)</w:t>
      </w:r>
      <w:r w:rsidRPr="000E0748">
        <w:rPr>
          <w:rFonts w:ascii="Arial" w:hAnsi="Arial" w:cs="Arial"/>
          <w:sz w:val="24"/>
          <w:szCs w:val="24"/>
        </w:rPr>
        <w:t>.</w:t>
      </w:r>
    </w:p>
    <w:p w14:paraId="4068CD73" w14:textId="4A5DEA9E" w:rsidR="000E0748" w:rsidRDefault="000E0748" w:rsidP="00E97E9F">
      <w:pPr>
        <w:spacing w:line="480" w:lineRule="auto"/>
        <w:jc w:val="both"/>
        <w:rPr>
          <w:rFonts w:ascii="Arial" w:hAnsi="Arial" w:cs="Arial"/>
          <w:sz w:val="24"/>
          <w:szCs w:val="24"/>
        </w:rPr>
      </w:pPr>
      <w:r w:rsidRPr="000E0748">
        <w:rPr>
          <w:rFonts w:ascii="Arial" w:hAnsi="Arial" w:cs="Arial"/>
          <w:sz w:val="24"/>
          <w:szCs w:val="24"/>
        </w:rPr>
        <w:t>Finally, addressing long-standing trust deficits in marginalised communities is a complex and ongoing process. High-profile incidents of police misconduct and historical injustices have left deep scars, particularly among minority groups</w:t>
      </w:r>
      <w:r w:rsidR="00543902">
        <w:rPr>
          <w:rFonts w:ascii="Arial" w:hAnsi="Arial" w:cs="Arial"/>
          <w:sz w:val="24"/>
          <w:szCs w:val="24"/>
        </w:rPr>
        <w:t xml:space="preserve"> (</w:t>
      </w:r>
      <w:r w:rsidR="00680E07">
        <w:rPr>
          <w:rFonts w:ascii="Arial" w:hAnsi="Arial" w:cs="Arial"/>
          <w:sz w:val="24"/>
          <w:szCs w:val="24"/>
        </w:rPr>
        <w:t>Home Office, 2021)</w:t>
      </w:r>
      <w:r w:rsidRPr="000E0748">
        <w:rPr>
          <w:rFonts w:ascii="Arial" w:hAnsi="Arial" w:cs="Arial"/>
          <w:sz w:val="24"/>
          <w:szCs w:val="24"/>
        </w:rPr>
        <w:t xml:space="preserve">. Rebuilding trust requires not only community engagement but also systemic reforms to ensure fairness, accountability, and transparency in policing </w:t>
      </w:r>
      <w:r w:rsidRPr="000E0748">
        <w:rPr>
          <w:rFonts w:ascii="Arial" w:hAnsi="Arial" w:cs="Arial"/>
          <w:sz w:val="24"/>
          <w:szCs w:val="24"/>
        </w:rPr>
        <w:lastRenderedPageBreak/>
        <w:t>practices. The implementation of independent advisory groups, as recommended by the Casey Review (2023), can provide a platform for communities to hold police forces accountable and influence decision-making processes.</w:t>
      </w:r>
    </w:p>
    <w:p w14:paraId="6B85B0D6" w14:textId="171D93C5" w:rsidR="00C247F8" w:rsidRDefault="00000000" w:rsidP="00E97E9F">
      <w:pPr>
        <w:spacing w:line="480" w:lineRule="auto"/>
        <w:jc w:val="both"/>
        <w:rPr>
          <w:rFonts w:ascii="Arial" w:hAnsi="Arial" w:cs="Arial"/>
          <w:sz w:val="24"/>
          <w:szCs w:val="24"/>
        </w:rPr>
      </w:pPr>
      <w:r>
        <w:rPr>
          <w:rFonts w:ascii="Arial" w:hAnsi="Arial" w:cs="Arial"/>
          <w:sz w:val="24"/>
          <w:szCs w:val="24"/>
        </w:rPr>
        <w:pict w14:anchorId="02DDEEC4">
          <v:rect id="_x0000_i1029" style="width:0;height:1.5pt" o:hrstd="t" o:hr="t" fillcolor="#a0a0a0" stroked="f"/>
        </w:pict>
      </w:r>
    </w:p>
    <w:p w14:paraId="0C2726DF" w14:textId="7042CC93" w:rsidR="003D6E21" w:rsidRPr="00281196" w:rsidRDefault="00281196" w:rsidP="00E97E9F">
      <w:pPr>
        <w:spacing w:line="480" w:lineRule="auto"/>
        <w:jc w:val="both"/>
        <w:rPr>
          <w:rFonts w:ascii="Arial" w:hAnsi="Arial" w:cs="Arial"/>
          <w:b/>
          <w:bCs/>
          <w:sz w:val="24"/>
          <w:szCs w:val="24"/>
          <w:u w:val="single"/>
        </w:rPr>
      </w:pPr>
      <w:r w:rsidRPr="00281196">
        <w:rPr>
          <w:rFonts w:ascii="Arial" w:hAnsi="Arial" w:cs="Arial"/>
          <w:b/>
          <w:bCs/>
          <w:sz w:val="24"/>
          <w:szCs w:val="24"/>
          <w:u w:val="single"/>
        </w:rPr>
        <w:t>Conclusion</w:t>
      </w:r>
    </w:p>
    <w:p w14:paraId="6DE05B7C" w14:textId="4E94EA6A" w:rsidR="003D6E21" w:rsidRPr="003D6E21" w:rsidRDefault="003D6E21" w:rsidP="00E97E9F">
      <w:pPr>
        <w:spacing w:line="480" w:lineRule="auto"/>
        <w:jc w:val="both"/>
        <w:rPr>
          <w:rFonts w:ascii="Arial" w:hAnsi="Arial" w:cs="Arial"/>
          <w:sz w:val="24"/>
          <w:szCs w:val="24"/>
        </w:rPr>
      </w:pPr>
      <w:r w:rsidRPr="003D6E21">
        <w:rPr>
          <w:rFonts w:ascii="Arial" w:hAnsi="Arial" w:cs="Arial"/>
          <w:sz w:val="24"/>
          <w:szCs w:val="24"/>
        </w:rPr>
        <w:t>Community policing represents a progressive paradigm that prioritises trust, collaboration, and proactive engagement to create safer, more inclusive communities</w:t>
      </w:r>
      <w:r w:rsidR="004F7AF4">
        <w:rPr>
          <w:rFonts w:ascii="Arial" w:hAnsi="Arial" w:cs="Arial"/>
          <w:sz w:val="24"/>
          <w:szCs w:val="24"/>
        </w:rPr>
        <w:t xml:space="preserve"> (</w:t>
      </w:r>
      <w:r w:rsidR="004F7AF4" w:rsidRPr="00630716">
        <w:rPr>
          <w:rFonts w:ascii="Arial" w:hAnsi="Arial" w:cs="Arial"/>
          <w:sz w:val="24"/>
          <w:szCs w:val="24"/>
        </w:rPr>
        <w:t>Wood,</w:t>
      </w:r>
      <w:r w:rsidR="004F7AF4">
        <w:rPr>
          <w:rFonts w:ascii="Arial" w:hAnsi="Arial" w:cs="Arial"/>
          <w:sz w:val="24"/>
          <w:szCs w:val="24"/>
        </w:rPr>
        <w:t xml:space="preserve"> </w:t>
      </w:r>
      <w:r w:rsidR="004F7AF4" w:rsidRPr="00630716">
        <w:rPr>
          <w:rFonts w:ascii="Arial" w:hAnsi="Arial" w:cs="Arial"/>
          <w:sz w:val="24"/>
          <w:szCs w:val="24"/>
        </w:rPr>
        <w:t>2022)</w:t>
      </w:r>
      <w:r w:rsidRPr="003D6E21">
        <w:rPr>
          <w:rFonts w:ascii="Arial" w:hAnsi="Arial" w:cs="Arial"/>
          <w:sz w:val="24"/>
          <w:szCs w:val="24"/>
        </w:rPr>
        <w:t>. By examining partnerships, policing strategies, and community engagement, this essay has highlighted the transformative potential of approaches rooted in policing by consent and neighbourhood policing. Recent successes, such as Scotland’s Violence Reduction Units and Manchester's Gangs Reduction Programme, demonstrate the tangible benefits of multi-agency collaboration and community-centred interventions. However, challenges such as resource constraints, cultural resistance, and systemic inequalities continue to hinder the full realisation of community policing’s goals.</w:t>
      </w:r>
    </w:p>
    <w:p w14:paraId="2AA32035" w14:textId="77777777" w:rsidR="00DB0553" w:rsidRDefault="003D6E21" w:rsidP="00DB0553">
      <w:pPr>
        <w:spacing w:line="480" w:lineRule="auto"/>
        <w:jc w:val="both"/>
        <w:rPr>
          <w:rFonts w:ascii="Arial" w:hAnsi="Arial" w:cs="Arial"/>
          <w:sz w:val="24"/>
          <w:szCs w:val="24"/>
        </w:rPr>
      </w:pPr>
      <w:r w:rsidRPr="003D6E21">
        <w:rPr>
          <w:rFonts w:ascii="Arial" w:hAnsi="Arial" w:cs="Arial"/>
          <w:sz w:val="24"/>
          <w:szCs w:val="24"/>
        </w:rPr>
        <w:t>To overcome these barriers, sustained investment in neighbourhood policing, culturally competent training, and accountability mechanisms are essential. Moreover, fostering genuine partnerships with community leaders and integrating technology into engagement strategies can strengthen trust and efficacy</w:t>
      </w:r>
      <w:r w:rsidR="0002121A">
        <w:rPr>
          <w:rFonts w:ascii="Arial" w:hAnsi="Arial" w:cs="Arial"/>
          <w:sz w:val="24"/>
          <w:szCs w:val="24"/>
        </w:rPr>
        <w:t xml:space="preserve"> (Wood and Johnson, 2024)</w:t>
      </w:r>
      <w:r w:rsidRPr="003D6E21">
        <w:rPr>
          <w:rFonts w:ascii="Arial" w:hAnsi="Arial" w:cs="Arial"/>
          <w:sz w:val="24"/>
          <w:szCs w:val="24"/>
        </w:rPr>
        <w:t>. As evidenced by key reviews, including those by Barber (2022) and Casey (2016, 2023), the principles of community policing must be embedded at every level of policing practice to ensure long-term success. Only through a steadfast commitment to these principles can police forces rebuild public trust and co-create communities that are both safer and more cohesive.</w:t>
      </w:r>
    </w:p>
    <w:p w14:paraId="713F9C8B" w14:textId="30C5ADA3" w:rsidR="00252979" w:rsidRPr="00DB0553" w:rsidRDefault="00554A3F" w:rsidP="00DB0553">
      <w:pPr>
        <w:spacing w:line="480" w:lineRule="auto"/>
        <w:jc w:val="both"/>
        <w:rPr>
          <w:rFonts w:ascii="Arial" w:hAnsi="Arial" w:cs="Arial"/>
          <w:sz w:val="24"/>
          <w:szCs w:val="24"/>
        </w:rPr>
      </w:pPr>
      <w:r w:rsidRPr="005443ED">
        <w:rPr>
          <w:rFonts w:ascii="Arial" w:hAnsi="Arial" w:cs="Arial"/>
          <w:b/>
          <w:bCs/>
          <w:sz w:val="24"/>
          <w:szCs w:val="24"/>
          <w:u w:val="single"/>
        </w:rPr>
        <w:lastRenderedPageBreak/>
        <w:t>Reference List</w:t>
      </w:r>
    </w:p>
    <w:p w14:paraId="3F233050" w14:textId="25A355A8" w:rsidR="00AD7EF0" w:rsidRDefault="00AD7EF0" w:rsidP="00252979">
      <w:pPr>
        <w:rPr>
          <w:rFonts w:ascii="Arial" w:hAnsi="Arial" w:cs="Arial"/>
          <w:sz w:val="24"/>
          <w:szCs w:val="24"/>
        </w:rPr>
      </w:pPr>
      <w:r w:rsidRPr="00AD7EF0">
        <w:rPr>
          <w:rFonts w:ascii="Arial" w:hAnsi="Arial" w:cs="Arial"/>
          <w:sz w:val="24"/>
          <w:szCs w:val="24"/>
        </w:rPr>
        <w:t xml:space="preserve">Bottomley, J. (2020) </w:t>
      </w:r>
      <w:r w:rsidRPr="00C562C8">
        <w:rPr>
          <w:rFonts w:ascii="Arial" w:hAnsi="Arial" w:cs="Arial"/>
          <w:i/>
          <w:iCs/>
          <w:sz w:val="24"/>
          <w:szCs w:val="24"/>
        </w:rPr>
        <w:t>Critical thinking skills for your policing degree</w:t>
      </w:r>
      <w:r w:rsidRPr="00AD7EF0">
        <w:rPr>
          <w:rFonts w:ascii="Arial" w:hAnsi="Arial" w:cs="Arial"/>
          <w:sz w:val="24"/>
          <w:szCs w:val="24"/>
        </w:rPr>
        <w:t>. St Albans: Critical Publishing.</w:t>
      </w:r>
    </w:p>
    <w:p w14:paraId="58EC3110" w14:textId="77777777" w:rsidR="00BD748B" w:rsidRDefault="00BD748B" w:rsidP="00252979">
      <w:pPr>
        <w:rPr>
          <w:rFonts w:ascii="Arial" w:hAnsi="Arial" w:cs="Arial"/>
          <w:sz w:val="24"/>
          <w:szCs w:val="24"/>
        </w:rPr>
      </w:pPr>
    </w:p>
    <w:p w14:paraId="27842E9F" w14:textId="77777777" w:rsidR="00BD748B" w:rsidRDefault="00BD748B" w:rsidP="00BD748B">
      <w:pPr>
        <w:rPr>
          <w:rFonts w:ascii="Arial" w:hAnsi="Arial" w:cs="Arial"/>
          <w:sz w:val="24"/>
          <w:szCs w:val="24"/>
        </w:rPr>
      </w:pPr>
      <w:r>
        <w:rPr>
          <w:rFonts w:ascii="Arial" w:hAnsi="Arial" w:cs="Arial"/>
          <w:sz w:val="24"/>
          <w:szCs w:val="24"/>
        </w:rPr>
        <w:t xml:space="preserve">Callaghan, P. (2024) </w:t>
      </w:r>
      <w:r>
        <w:rPr>
          <w:rFonts w:ascii="Arial" w:hAnsi="Arial" w:cs="Arial"/>
          <w:i/>
          <w:iCs/>
          <w:sz w:val="24"/>
          <w:szCs w:val="24"/>
        </w:rPr>
        <w:t xml:space="preserve">Camden Community Safety Partnership Plan. </w:t>
      </w:r>
      <w:r>
        <w:rPr>
          <w:rFonts w:ascii="Arial" w:hAnsi="Arial" w:cs="Arial"/>
          <w:sz w:val="24"/>
          <w:szCs w:val="24"/>
        </w:rPr>
        <w:t>London: Camden.</w:t>
      </w:r>
    </w:p>
    <w:p w14:paraId="0719F549" w14:textId="77777777" w:rsidR="00DD1225" w:rsidRDefault="00DD1225" w:rsidP="00BD748B">
      <w:pPr>
        <w:rPr>
          <w:rFonts w:ascii="Arial" w:hAnsi="Arial" w:cs="Arial"/>
          <w:sz w:val="24"/>
          <w:szCs w:val="24"/>
        </w:rPr>
      </w:pPr>
    </w:p>
    <w:p w14:paraId="7ACB0F7E" w14:textId="0063DD82" w:rsidR="00DD1225" w:rsidRDefault="00DD1225" w:rsidP="00BD748B">
      <w:pPr>
        <w:rPr>
          <w:rFonts w:ascii="Arial" w:hAnsi="Arial" w:cs="Arial"/>
          <w:sz w:val="24"/>
          <w:szCs w:val="24"/>
        </w:rPr>
      </w:pPr>
      <w:r>
        <w:rPr>
          <w:rFonts w:ascii="Arial" w:hAnsi="Arial" w:cs="Arial"/>
          <w:sz w:val="24"/>
          <w:szCs w:val="24"/>
        </w:rPr>
        <w:t xml:space="preserve">Casey, L. (2023) The Baroness Casey Review: </w:t>
      </w:r>
      <w:r>
        <w:rPr>
          <w:rFonts w:ascii="Arial" w:hAnsi="Arial" w:cs="Arial"/>
          <w:i/>
          <w:iCs/>
          <w:sz w:val="24"/>
          <w:szCs w:val="24"/>
        </w:rPr>
        <w:t xml:space="preserve">Final Report. </w:t>
      </w:r>
      <w:r>
        <w:rPr>
          <w:rFonts w:ascii="Arial" w:hAnsi="Arial" w:cs="Arial"/>
          <w:sz w:val="24"/>
          <w:szCs w:val="24"/>
        </w:rPr>
        <w:t>London: UK Government.</w:t>
      </w:r>
    </w:p>
    <w:p w14:paraId="5E8CD2E1" w14:textId="77777777" w:rsidR="00DD1225" w:rsidRDefault="00DD1225" w:rsidP="00DD1225">
      <w:pPr>
        <w:rPr>
          <w:rFonts w:ascii="Arial" w:hAnsi="Arial" w:cs="Arial"/>
          <w:sz w:val="24"/>
          <w:szCs w:val="24"/>
        </w:rPr>
      </w:pPr>
    </w:p>
    <w:p w14:paraId="5B82FA72" w14:textId="77777777" w:rsidR="00DD1225" w:rsidRDefault="00DD1225" w:rsidP="00DD1225">
      <w:pPr>
        <w:rPr>
          <w:rFonts w:ascii="Arial" w:hAnsi="Arial" w:cs="Arial"/>
          <w:sz w:val="24"/>
          <w:szCs w:val="24"/>
        </w:rPr>
      </w:pPr>
      <w:r>
        <w:rPr>
          <w:rFonts w:ascii="Arial" w:hAnsi="Arial" w:cs="Arial"/>
          <w:sz w:val="24"/>
          <w:szCs w:val="24"/>
        </w:rPr>
        <w:t xml:space="preserve">Casey, L. (2016) </w:t>
      </w:r>
      <w:r>
        <w:rPr>
          <w:rFonts w:ascii="Arial" w:hAnsi="Arial" w:cs="Arial"/>
          <w:i/>
          <w:iCs/>
          <w:sz w:val="24"/>
          <w:szCs w:val="24"/>
        </w:rPr>
        <w:t xml:space="preserve">The Casey Review. </w:t>
      </w:r>
      <w:r>
        <w:rPr>
          <w:rFonts w:ascii="Arial" w:hAnsi="Arial" w:cs="Arial"/>
          <w:sz w:val="24"/>
          <w:szCs w:val="24"/>
        </w:rPr>
        <w:t>London: UK Government.</w:t>
      </w:r>
    </w:p>
    <w:p w14:paraId="318E0CDD" w14:textId="77777777" w:rsidR="00BC438B" w:rsidRDefault="00BC438B" w:rsidP="00DD1225">
      <w:pPr>
        <w:rPr>
          <w:rFonts w:ascii="Arial" w:hAnsi="Arial" w:cs="Arial"/>
          <w:sz w:val="24"/>
          <w:szCs w:val="24"/>
        </w:rPr>
      </w:pPr>
    </w:p>
    <w:p w14:paraId="01017A04" w14:textId="529D24F0" w:rsidR="00BC438B" w:rsidRDefault="00BC438B" w:rsidP="00BC438B">
      <w:pPr>
        <w:rPr>
          <w:rFonts w:ascii="Arial" w:hAnsi="Arial" w:cs="Arial"/>
          <w:sz w:val="24"/>
          <w:szCs w:val="24"/>
        </w:rPr>
      </w:pPr>
      <w:r>
        <w:rPr>
          <w:rFonts w:ascii="Arial" w:hAnsi="Arial" w:cs="Arial"/>
          <w:sz w:val="24"/>
          <w:szCs w:val="24"/>
        </w:rPr>
        <w:t xml:space="preserve">Campion, J. (2017) ‘Commissioner supports Street Pastors scheme to reduce anti-social behaviour’ </w:t>
      </w:r>
      <w:r>
        <w:rPr>
          <w:rFonts w:ascii="Arial" w:hAnsi="Arial" w:cs="Arial"/>
          <w:i/>
          <w:iCs/>
          <w:sz w:val="24"/>
          <w:szCs w:val="24"/>
        </w:rPr>
        <w:t xml:space="preserve">West Mercia Police </w:t>
      </w:r>
      <w:r>
        <w:rPr>
          <w:rFonts w:ascii="Arial" w:hAnsi="Arial" w:cs="Arial"/>
          <w:sz w:val="24"/>
          <w:szCs w:val="24"/>
        </w:rPr>
        <w:t xml:space="preserve">Available at: </w:t>
      </w:r>
      <w:hyperlink r:id="rId9" w:history="1">
        <w:r w:rsidRPr="004271A8">
          <w:rPr>
            <w:rStyle w:val="Hyperlink"/>
            <w:rFonts w:ascii="Arial" w:hAnsi="Arial" w:cs="Arial"/>
            <w:sz w:val="24"/>
            <w:szCs w:val="24"/>
          </w:rPr>
          <w:t>https://www.westmercia-pcc.gov.uk/commissioner-supports-street-pastors-scheme-to-reduce-anti-social-behaviour/</w:t>
        </w:r>
      </w:hyperlink>
      <w:r>
        <w:rPr>
          <w:rFonts w:ascii="Arial" w:hAnsi="Arial" w:cs="Arial"/>
          <w:sz w:val="24"/>
          <w:szCs w:val="24"/>
        </w:rPr>
        <w:t xml:space="preserve"> (Accessed:</w:t>
      </w:r>
      <w:r w:rsidR="001E782B">
        <w:rPr>
          <w:rFonts w:ascii="Arial" w:hAnsi="Arial" w:cs="Arial"/>
          <w:sz w:val="24"/>
          <w:szCs w:val="24"/>
        </w:rPr>
        <w:t xml:space="preserve"> 26</w:t>
      </w:r>
      <w:r w:rsidR="001E782B" w:rsidRPr="001E782B">
        <w:rPr>
          <w:rFonts w:ascii="Arial" w:hAnsi="Arial" w:cs="Arial"/>
          <w:sz w:val="24"/>
          <w:szCs w:val="24"/>
          <w:vertAlign w:val="superscript"/>
        </w:rPr>
        <w:t>th</w:t>
      </w:r>
      <w:r w:rsidR="001E782B">
        <w:rPr>
          <w:rFonts w:ascii="Arial" w:hAnsi="Arial" w:cs="Arial"/>
          <w:sz w:val="24"/>
          <w:szCs w:val="24"/>
        </w:rPr>
        <w:t xml:space="preserve"> December 2024</w:t>
      </w:r>
      <w:r>
        <w:rPr>
          <w:rFonts w:ascii="Arial" w:hAnsi="Arial" w:cs="Arial"/>
          <w:sz w:val="24"/>
          <w:szCs w:val="24"/>
        </w:rPr>
        <w:t>).</w:t>
      </w:r>
    </w:p>
    <w:p w14:paraId="12A86206" w14:textId="77777777" w:rsidR="00073A21" w:rsidRDefault="00073A21" w:rsidP="00BC438B">
      <w:pPr>
        <w:rPr>
          <w:rFonts w:ascii="Arial" w:hAnsi="Arial" w:cs="Arial"/>
          <w:sz w:val="24"/>
          <w:szCs w:val="24"/>
        </w:rPr>
      </w:pPr>
    </w:p>
    <w:p w14:paraId="462A0DB3" w14:textId="3118C5F4" w:rsidR="00073A21" w:rsidRDefault="00073A21" w:rsidP="00073A21">
      <w:pPr>
        <w:rPr>
          <w:rFonts w:ascii="Arial" w:hAnsi="Arial" w:cs="Arial"/>
          <w:sz w:val="24"/>
          <w:szCs w:val="24"/>
        </w:rPr>
      </w:pPr>
      <w:r>
        <w:rPr>
          <w:rFonts w:ascii="Arial" w:hAnsi="Arial" w:cs="Arial"/>
          <w:sz w:val="24"/>
          <w:szCs w:val="24"/>
        </w:rPr>
        <w:t xml:space="preserve">Clark, D. (2024) ‘Number of police community support officers (PCSOs) in England and Wales from 2003 to 2024’ </w:t>
      </w:r>
      <w:r>
        <w:rPr>
          <w:rFonts w:ascii="Arial" w:hAnsi="Arial" w:cs="Arial"/>
          <w:i/>
          <w:iCs/>
          <w:sz w:val="24"/>
          <w:szCs w:val="24"/>
        </w:rPr>
        <w:t xml:space="preserve">Statista </w:t>
      </w:r>
      <w:r>
        <w:rPr>
          <w:rFonts w:ascii="Arial" w:hAnsi="Arial" w:cs="Arial"/>
          <w:sz w:val="24"/>
          <w:szCs w:val="24"/>
        </w:rPr>
        <w:t xml:space="preserve">Available at: </w:t>
      </w:r>
      <w:hyperlink r:id="rId10" w:history="1">
        <w:r w:rsidRPr="007460F3">
          <w:rPr>
            <w:rStyle w:val="Hyperlink"/>
            <w:rFonts w:ascii="Arial" w:hAnsi="Arial" w:cs="Arial"/>
            <w:sz w:val="24"/>
            <w:szCs w:val="24"/>
          </w:rPr>
          <w:t>https://www.statista.com/statistics/382512/number-of-police-community-support-officers-in-england-and-wales-yearly/</w:t>
        </w:r>
      </w:hyperlink>
      <w:r>
        <w:rPr>
          <w:rStyle w:val="Hyperlink"/>
          <w:rFonts w:ascii="Arial" w:hAnsi="Arial" w:cs="Arial"/>
          <w:sz w:val="24"/>
          <w:szCs w:val="24"/>
          <w:u w:val="none"/>
        </w:rPr>
        <w:t xml:space="preserve"> </w:t>
      </w:r>
      <w:r>
        <w:rPr>
          <w:rFonts w:ascii="Arial" w:hAnsi="Arial" w:cs="Arial"/>
          <w:sz w:val="24"/>
          <w:szCs w:val="24"/>
        </w:rPr>
        <w:t>(Accessed:</w:t>
      </w:r>
      <w:r w:rsidR="00677610">
        <w:rPr>
          <w:rFonts w:ascii="Arial" w:hAnsi="Arial" w:cs="Arial"/>
          <w:sz w:val="24"/>
          <w:szCs w:val="24"/>
        </w:rPr>
        <w:t xml:space="preserve"> 27</w:t>
      </w:r>
      <w:r w:rsidR="00677610" w:rsidRPr="00677610">
        <w:rPr>
          <w:rFonts w:ascii="Arial" w:hAnsi="Arial" w:cs="Arial"/>
          <w:sz w:val="24"/>
          <w:szCs w:val="24"/>
          <w:vertAlign w:val="superscript"/>
        </w:rPr>
        <w:t>th</w:t>
      </w:r>
      <w:r w:rsidR="00677610">
        <w:rPr>
          <w:rFonts w:ascii="Arial" w:hAnsi="Arial" w:cs="Arial"/>
          <w:sz w:val="24"/>
          <w:szCs w:val="24"/>
        </w:rPr>
        <w:t xml:space="preserve"> December 2024</w:t>
      </w:r>
      <w:r>
        <w:rPr>
          <w:rFonts w:ascii="Arial" w:hAnsi="Arial" w:cs="Arial"/>
          <w:sz w:val="24"/>
          <w:szCs w:val="24"/>
        </w:rPr>
        <w:t>).</w:t>
      </w:r>
    </w:p>
    <w:p w14:paraId="491D25C8" w14:textId="77777777" w:rsidR="00C24800" w:rsidRDefault="00C24800" w:rsidP="00073A21">
      <w:pPr>
        <w:rPr>
          <w:rFonts w:ascii="Arial" w:hAnsi="Arial" w:cs="Arial"/>
          <w:sz w:val="24"/>
          <w:szCs w:val="24"/>
        </w:rPr>
      </w:pPr>
    </w:p>
    <w:p w14:paraId="675A8844" w14:textId="1E22D7E1" w:rsidR="00C24800" w:rsidRDefault="00C24800" w:rsidP="00C24800">
      <w:pPr>
        <w:rPr>
          <w:rFonts w:ascii="Arial" w:hAnsi="Arial" w:cs="Arial"/>
          <w:sz w:val="24"/>
          <w:szCs w:val="24"/>
        </w:rPr>
      </w:pPr>
      <w:r>
        <w:rPr>
          <w:rFonts w:ascii="Arial" w:hAnsi="Arial" w:cs="Arial"/>
          <w:sz w:val="24"/>
          <w:szCs w:val="24"/>
        </w:rPr>
        <w:t xml:space="preserve">College of Policing (2021) ‘Body-worn cameras’ Available at: </w:t>
      </w:r>
      <w:hyperlink r:id="rId11" w:history="1">
        <w:r w:rsidRPr="004271A8">
          <w:rPr>
            <w:rStyle w:val="Hyperlink"/>
            <w:rFonts w:ascii="Arial" w:hAnsi="Arial" w:cs="Arial"/>
            <w:sz w:val="24"/>
            <w:szCs w:val="24"/>
          </w:rPr>
          <w:t>https://www.college.police.uk/research/crime-reduction-toolkit/body-worn-cameras?</w:t>
        </w:r>
      </w:hyperlink>
      <w:r>
        <w:rPr>
          <w:rStyle w:val="Hyperlink"/>
          <w:rFonts w:ascii="Arial" w:hAnsi="Arial" w:cs="Arial"/>
          <w:sz w:val="24"/>
          <w:szCs w:val="24"/>
        </w:rPr>
        <w:t xml:space="preserve"> </w:t>
      </w:r>
      <w:r>
        <w:rPr>
          <w:rFonts w:ascii="Arial" w:hAnsi="Arial" w:cs="Arial"/>
          <w:sz w:val="24"/>
          <w:szCs w:val="24"/>
        </w:rPr>
        <w:t>(Accessed:</w:t>
      </w:r>
      <w:r w:rsidR="00CF3C84">
        <w:rPr>
          <w:rFonts w:ascii="Arial" w:hAnsi="Arial" w:cs="Arial"/>
          <w:sz w:val="24"/>
          <w:szCs w:val="24"/>
        </w:rPr>
        <w:t xml:space="preserve"> 29</w:t>
      </w:r>
      <w:r w:rsidR="00CF3C84" w:rsidRPr="00CF3C84">
        <w:rPr>
          <w:rFonts w:ascii="Arial" w:hAnsi="Arial" w:cs="Arial"/>
          <w:sz w:val="24"/>
          <w:szCs w:val="24"/>
          <w:vertAlign w:val="superscript"/>
        </w:rPr>
        <w:t>th</w:t>
      </w:r>
      <w:r w:rsidR="0092108A">
        <w:rPr>
          <w:rFonts w:ascii="Arial" w:hAnsi="Arial" w:cs="Arial"/>
          <w:sz w:val="24"/>
          <w:szCs w:val="24"/>
        </w:rPr>
        <w:t xml:space="preserve"> December 2024</w:t>
      </w:r>
      <w:r>
        <w:rPr>
          <w:rFonts w:ascii="Arial" w:hAnsi="Arial" w:cs="Arial"/>
          <w:sz w:val="24"/>
          <w:szCs w:val="24"/>
        </w:rPr>
        <w:t>).</w:t>
      </w:r>
    </w:p>
    <w:p w14:paraId="380C6566" w14:textId="77777777" w:rsidR="00C24800" w:rsidRDefault="00C24800" w:rsidP="00C24800">
      <w:pPr>
        <w:rPr>
          <w:rFonts w:ascii="Arial" w:hAnsi="Arial" w:cs="Arial"/>
          <w:sz w:val="24"/>
          <w:szCs w:val="24"/>
        </w:rPr>
      </w:pPr>
    </w:p>
    <w:p w14:paraId="4E9AD611" w14:textId="7D4638A0" w:rsidR="00C24800" w:rsidRDefault="00C24800" w:rsidP="00C24800">
      <w:pPr>
        <w:rPr>
          <w:rFonts w:ascii="Arial" w:hAnsi="Arial" w:cs="Arial"/>
          <w:sz w:val="24"/>
          <w:szCs w:val="24"/>
        </w:rPr>
      </w:pPr>
      <w:r>
        <w:rPr>
          <w:rFonts w:ascii="Arial" w:hAnsi="Arial" w:cs="Arial"/>
          <w:sz w:val="24"/>
          <w:szCs w:val="24"/>
        </w:rPr>
        <w:t xml:space="preserve">College of Policing (2021) ‘Neighbourhood policing’ Available at: </w:t>
      </w:r>
      <w:hyperlink r:id="rId12" w:history="1">
        <w:r w:rsidRPr="008F3979">
          <w:rPr>
            <w:rStyle w:val="Hyperlink"/>
            <w:rFonts w:ascii="Arial" w:hAnsi="Arial" w:cs="Arial"/>
            <w:sz w:val="24"/>
            <w:szCs w:val="24"/>
          </w:rPr>
          <w:t>https://www.college.police.uk/guidance/neighbourhood-policing?m</w:t>
        </w:r>
      </w:hyperlink>
      <w:r>
        <w:rPr>
          <w:rStyle w:val="Hyperlink"/>
          <w:rFonts w:ascii="Arial" w:hAnsi="Arial" w:cs="Arial"/>
          <w:sz w:val="24"/>
          <w:szCs w:val="24"/>
        </w:rPr>
        <w:t xml:space="preserve"> </w:t>
      </w:r>
      <w:r>
        <w:rPr>
          <w:rFonts w:ascii="Arial" w:hAnsi="Arial" w:cs="Arial"/>
          <w:sz w:val="24"/>
          <w:szCs w:val="24"/>
        </w:rPr>
        <w:t xml:space="preserve">(Accessed: </w:t>
      </w:r>
      <w:r w:rsidR="00677610">
        <w:rPr>
          <w:rFonts w:ascii="Arial" w:hAnsi="Arial" w:cs="Arial"/>
          <w:sz w:val="24"/>
          <w:szCs w:val="24"/>
        </w:rPr>
        <w:t>27</w:t>
      </w:r>
      <w:r w:rsidR="00677610" w:rsidRPr="00677610">
        <w:rPr>
          <w:rFonts w:ascii="Arial" w:hAnsi="Arial" w:cs="Arial"/>
          <w:sz w:val="24"/>
          <w:szCs w:val="24"/>
          <w:vertAlign w:val="superscript"/>
        </w:rPr>
        <w:t>th</w:t>
      </w:r>
      <w:r w:rsidR="00677610">
        <w:rPr>
          <w:rFonts w:ascii="Arial" w:hAnsi="Arial" w:cs="Arial"/>
          <w:sz w:val="24"/>
          <w:szCs w:val="24"/>
        </w:rPr>
        <w:t xml:space="preserve"> December 2024</w:t>
      </w:r>
      <w:r>
        <w:rPr>
          <w:rFonts w:ascii="Arial" w:hAnsi="Arial" w:cs="Arial"/>
          <w:sz w:val="24"/>
          <w:szCs w:val="24"/>
        </w:rPr>
        <w:t>).</w:t>
      </w:r>
    </w:p>
    <w:p w14:paraId="5FAEF8D0" w14:textId="77777777" w:rsidR="00C24800" w:rsidRDefault="00C24800" w:rsidP="00C24800">
      <w:pPr>
        <w:rPr>
          <w:rFonts w:ascii="Arial" w:hAnsi="Arial" w:cs="Arial"/>
          <w:sz w:val="24"/>
          <w:szCs w:val="24"/>
        </w:rPr>
      </w:pPr>
    </w:p>
    <w:p w14:paraId="57CBC05E" w14:textId="04D4D5F2" w:rsidR="00C24800" w:rsidRDefault="00C24800" w:rsidP="00C24800">
      <w:pPr>
        <w:rPr>
          <w:rFonts w:ascii="Arial" w:hAnsi="Arial" w:cs="Arial"/>
          <w:sz w:val="24"/>
          <w:szCs w:val="24"/>
        </w:rPr>
      </w:pPr>
      <w:r w:rsidRPr="00955C41">
        <w:rPr>
          <w:rFonts w:ascii="Arial" w:hAnsi="Arial" w:cs="Arial"/>
          <w:sz w:val="24"/>
          <w:szCs w:val="24"/>
        </w:rPr>
        <w:t xml:space="preserve">Cooke, A. (2024) ‘State of Policing: The Annual Assessment of Policing in England and Wales 2023’ </w:t>
      </w:r>
      <w:r w:rsidRPr="00955C41">
        <w:rPr>
          <w:rFonts w:ascii="Arial" w:hAnsi="Arial" w:cs="Arial"/>
          <w:i/>
          <w:iCs/>
          <w:sz w:val="24"/>
          <w:szCs w:val="24"/>
        </w:rPr>
        <w:t xml:space="preserve">HMICFRS </w:t>
      </w:r>
      <w:r w:rsidRPr="00955C41">
        <w:rPr>
          <w:rFonts w:ascii="Arial" w:hAnsi="Arial" w:cs="Arial"/>
          <w:sz w:val="24"/>
          <w:szCs w:val="24"/>
        </w:rPr>
        <w:t xml:space="preserve">Available at: </w:t>
      </w:r>
      <w:hyperlink r:id="rId13" w:history="1">
        <w:r w:rsidRPr="00955C41">
          <w:rPr>
            <w:rStyle w:val="Hyperlink"/>
            <w:rFonts w:ascii="Arial" w:hAnsi="Arial" w:cs="Arial"/>
            <w:sz w:val="24"/>
            <w:szCs w:val="24"/>
          </w:rPr>
          <w:t>https://hmicfrs.justiceinspectorates.gov.uk/publication-html/state-of-policing-the-annual-assessment-of-policing-in-england-and-wales-2023/</w:t>
        </w:r>
      </w:hyperlink>
      <w:r w:rsidRPr="00955C41">
        <w:rPr>
          <w:rFonts w:ascii="Arial" w:hAnsi="Arial" w:cs="Arial"/>
          <w:sz w:val="24"/>
          <w:szCs w:val="24"/>
        </w:rPr>
        <w:t xml:space="preserve"> (Accessed:</w:t>
      </w:r>
      <w:r w:rsidR="001E782B">
        <w:rPr>
          <w:rFonts w:ascii="Arial" w:hAnsi="Arial" w:cs="Arial"/>
          <w:sz w:val="24"/>
          <w:szCs w:val="24"/>
        </w:rPr>
        <w:t xml:space="preserve"> 26</w:t>
      </w:r>
      <w:r w:rsidR="001E782B" w:rsidRPr="001E782B">
        <w:rPr>
          <w:rFonts w:ascii="Arial" w:hAnsi="Arial" w:cs="Arial"/>
          <w:sz w:val="24"/>
          <w:szCs w:val="24"/>
          <w:vertAlign w:val="superscript"/>
        </w:rPr>
        <w:t>th</w:t>
      </w:r>
      <w:r w:rsidR="001E782B">
        <w:rPr>
          <w:rFonts w:ascii="Arial" w:hAnsi="Arial" w:cs="Arial"/>
          <w:sz w:val="24"/>
          <w:szCs w:val="24"/>
        </w:rPr>
        <w:t xml:space="preserve"> December </w:t>
      </w:r>
      <w:r w:rsidRPr="00955C41">
        <w:rPr>
          <w:rFonts w:ascii="Arial" w:hAnsi="Arial" w:cs="Arial"/>
          <w:sz w:val="24"/>
          <w:szCs w:val="24"/>
        </w:rPr>
        <w:t>2024).</w:t>
      </w:r>
    </w:p>
    <w:p w14:paraId="56B2CD34" w14:textId="77777777" w:rsidR="00375535" w:rsidRDefault="00375535" w:rsidP="00C24800">
      <w:pPr>
        <w:rPr>
          <w:rFonts w:ascii="Arial" w:hAnsi="Arial" w:cs="Arial"/>
          <w:sz w:val="24"/>
          <w:szCs w:val="24"/>
        </w:rPr>
      </w:pPr>
    </w:p>
    <w:p w14:paraId="62917272" w14:textId="77777777" w:rsidR="00375535" w:rsidRDefault="00375535" w:rsidP="00375535">
      <w:pPr>
        <w:rPr>
          <w:rFonts w:ascii="Arial" w:hAnsi="Arial" w:cs="Arial"/>
          <w:sz w:val="24"/>
          <w:szCs w:val="24"/>
        </w:rPr>
      </w:pPr>
    </w:p>
    <w:p w14:paraId="7452CCB5" w14:textId="3C7B4A7E" w:rsidR="00BD748B" w:rsidRDefault="00375535" w:rsidP="00252979">
      <w:pPr>
        <w:rPr>
          <w:rFonts w:ascii="Arial" w:hAnsi="Arial" w:cs="Arial"/>
          <w:sz w:val="24"/>
          <w:szCs w:val="24"/>
        </w:rPr>
      </w:pPr>
      <w:r>
        <w:rPr>
          <w:rFonts w:ascii="Arial" w:hAnsi="Arial" w:cs="Arial"/>
          <w:sz w:val="24"/>
          <w:szCs w:val="24"/>
        </w:rPr>
        <w:t xml:space="preserve">Craston, M, Balfour, R, Henley, M, Baxendale, J and Fullick S. (2020) </w:t>
      </w:r>
      <w:r>
        <w:rPr>
          <w:rFonts w:ascii="Arial" w:hAnsi="Arial" w:cs="Arial"/>
          <w:i/>
          <w:iCs/>
          <w:sz w:val="24"/>
          <w:szCs w:val="24"/>
        </w:rPr>
        <w:t xml:space="preserve">Process evaluation of the Violence Reduction Units. </w:t>
      </w:r>
      <w:r>
        <w:rPr>
          <w:rFonts w:ascii="Arial" w:hAnsi="Arial" w:cs="Arial"/>
          <w:sz w:val="24"/>
          <w:szCs w:val="24"/>
        </w:rPr>
        <w:t>London: Home Office.</w:t>
      </w:r>
    </w:p>
    <w:p w14:paraId="6374E1A8" w14:textId="77777777" w:rsidR="00632DF0" w:rsidRDefault="00632DF0" w:rsidP="00252979">
      <w:pPr>
        <w:rPr>
          <w:rFonts w:ascii="Arial" w:hAnsi="Arial" w:cs="Arial"/>
          <w:sz w:val="24"/>
          <w:szCs w:val="24"/>
        </w:rPr>
      </w:pPr>
    </w:p>
    <w:p w14:paraId="5E004575" w14:textId="70774B0D" w:rsidR="00632DF0" w:rsidRDefault="00632DF0" w:rsidP="00252979">
      <w:pPr>
        <w:rPr>
          <w:rFonts w:ascii="Arial" w:hAnsi="Arial" w:cs="Arial"/>
          <w:sz w:val="24"/>
          <w:szCs w:val="24"/>
        </w:rPr>
      </w:pPr>
      <w:r>
        <w:rPr>
          <w:rFonts w:ascii="Arial" w:hAnsi="Arial" w:cs="Arial"/>
          <w:sz w:val="24"/>
          <w:szCs w:val="24"/>
        </w:rPr>
        <w:t xml:space="preserve">Governmental Events (2024) ‘6 Key Strategies: Progressing EDI </w:t>
      </w:r>
      <w:r w:rsidR="00D540BB">
        <w:rPr>
          <w:rFonts w:ascii="Arial" w:hAnsi="Arial" w:cs="Arial"/>
          <w:sz w:val="24"/>
          <w:szCs w:val="24"/>
        </w:rPr>
        <w:t xml:space="preserve">in the UK Police Force’ Available at: </w:t>
      </w:r>
      <w:hyperlink r:id="rId14" w:history="1">
        <w:r w:rsidR="00AC0B1C" w:rsidRPr="009753AF">
          <w:rPr>
            <w:rStyle w:val="Hyperlink"/>
            <w:rFonts w:ascii="Arial" w:hAnsi="Arial" w:cs="Arial"/>
            <w:sz w:val="24"/>
            <w:szCs w:val="24"/>
          </w:rPr>
          <w:t>https://www.governmentevents.co.uk/ge-insights/6-key-strategies-progressing-edi-in-the-uk-police-force/?</w:t>
        </w:r>
      </w:hyperlink>
      <w:r w:rsidR="00AC0B1C">
        <w:rPr>
          <w:rFonts w:ascii="Arial" w:hAnsi="Arial" w:cs="Arial"/>
          <w:sz w:val="24"/>
          <w:szCs w:val="24"/>
        </w:rPr>
        <w:t xml:space="preserve"> </w:t>
      </w:r>
      <w:r w:rsidR="006A4BEA">
        <w:rPr>
          <w:rFonts w:ascii="Arial" w:hAnsi="Arial" w:cs="Arial"/>
          <w:sz w:val="24"/>
          <w:szCs w:val="24"/>
        </w:rPr>
        <w:t>(Accessed:</w:t>
      </w:r>
      <w:r w:rsidR="00CF3C84">
        <w:rPr>
          <w:rFonts w:ascii="Arial" w:hAnsi="Arial" w:cs="Arial"/>
          <w:sz w:val="24"/>
          <w:szCs w:val="24"/>
        </w:rPr>
        <w:t xml:space="preserve"> 29</w:t>
      </w:r>
      <w:r w:rsidR="00CF3C84" w:rsidRPr="00CF3C84">
        <w:rPr>
          <w:rFonts w:ascii="Arial" w:hAnsi="Arial" w:cs="Arial"/>
          <w:sz w:val="24"/>
          <w:szCs w:val="24"/>
          <w:vertAlign w:val="superscript"/>
        </w:rPr>
        <w:t>th</w:t>
      </w:r>
      <w:r w:rsidR="00CF3C84">
        <w:rPr>
          <w:rFonts w:ascii="Arial" w:hAnsi="Arial" w:cs="Arial"/>
          <w:sz w:val="24"/>
          <w:szCs w:val="24"/>
        </w:rPr>
        <w:t xml:space="preserve"> December 2024</w:t>
      </w:r>
      <w:r w:rsidR="006A4BEA">
        <w:rPr>
          <w:rFonts w:ascii="Arial" w:hAnsi="Arial" w:cs="Arial"/>
          <w:sz w:val="24"/>
          <w:szCs w:val="24"/>
        </w:rPr>
        <w:t>).</w:t>
      </w:r>
    </w:p>
    <w:p w14:paraId="011F1014" w14:textId="77777777" w:rsidR="0029153C" w:rsidRDefault="0029153C" w:rsidP="00252979">
      <w:pPr>
        <w:rPr>
          <w:rFonts w:ascii="Arial" w:hAnsi="Arial" w:cs="Arial"/>
          <w:sz w:val="24"/>
          <w:szCs w:val="24"/>
        </w:rPr>
      </w:pPr>
    </w:p>
    <w:p w14:paraId="04E1202D" w14:textId="0832CA4C" w:rsidR="0029153C" w:rsidRDefault="0029153C" w:rsidP="00252979">
      <w:pPr>
        <w:rPr>
          <w:rFonts w:ascii="Arial" w:hAnsi="Arial" w:cs="Arial"/>
          <w:sz w:val="24"/>
          <w:szCs w:val="24"/>
        </w:rPr>
      </w:pPr>
      <w:r>
        <w:rPr>
          <w:rFonts w:ascii="Arial" w:hAnsi="Arial" w:cs="Arial"/>
          <w:sz w:val="24"/>
          <w:szCs w:val="24"/>
        </w:rPr>
        <w:t xml:space="preserve">Greater Manchester Combined Authority (GMCA) (2024) </w:t>
      </w:r>
      <w:r>
        <w:rPr>
          <w:rFonts w:ascii="Arial" w:hAnsi="Arial" w:cs="Arial"/>
          <w:i/>
          <w:iCs/>
          <w:sz w:val="24"/>
          <w:szCs w:val="24"/>
        </w:rPr>
        <w:t xml:space="preserve">Serious Violence Action Plan. </w:t>
      </w:r>
      <w:r>
        <w:rPr>
          <w:rFonts w:ascii="Arial" w:hAnsi="Arial" w:cs="Arial"/>
          <w:sz w:val="24"/>
          <w:szCs w:val="24"/>
        </w:rPr>
        <w:t>Manchester: Greater Manchester.</w:t>
      </w:r>
    </w:p>
    <w:p w14:paraId="1EED55E3" w14:textId="77777777" w:rsidR="00EB7F7C" w:rsidRDefault="00EB7F7C" w:rsidP="00252979">
      <w:pPr>
        <w:rPr>
          <w:rFonts w:ascii="Arial" w:hAnsi="Arial" w:cs="Arial"/>
          <w:sz w:val="24"/>
          <w:szCs w:val="24"/>
        </w:rPr>
      </w:pPr>
    </w:p>
    <w:p w14:paraId="54EACD0B" w14:textId="2DC935CB" w:rsidR="00EB7F7C" w:rsidRDefault="00EB7F7C" w:rsidP="00252979">
      <w:pPr>
        <w:rPr>
          <w:rFonts w:ascii="Arial" w:hAnsi="Arial" w:cs="Arial"/>
          <w:sz w:val="24"/>
          <w:szCs w:val="24"/>
        </w:rPr>
      </w:pPr>
      <w:r>
        <w:rPr>
          <w:rFonts w:ascii="Arial" w:hAnsi="Arial" w:cs="Arial"/>
          <w:sz w:val="24"/>
          <w:szCs w:val="24"/>
        </w:rPr>
        <w:t xml:space="preserve">Hertfordshire Constabulary (2024) ‘Herts Connected – Link now available!’ Available at: </w:t>
      </w:r>
      <w:hyperlink r:id="rId15" w:history="1">
        <w:r w:rsidRPr="00756DD9">
          <w:rPr>
            <w:rStyle w:val="Hyperlink"/>
            <w:rFonts w:ascii="Arial" w:hAnsi="Arial" w:cs="Arial"/>
            <w:sz w:val="24"/>
            <w:szCs w:val="24"/>
          </w:rPr>
          <w:t>https://www.herts.police.uk/news/hertfordshire/news/2024/march-2024/herts-connected--link-now-available/?</w:t>
        </w:r>
      </w:hyperlink>
      <w:r>
        <w:rPr>
          <w:rFonts w:ascii="Arial" w:hAnsi="Arial" w:cs="Arial"/>
          <w:sz w:val="24"/>
          <w:szCs w:val="24"/>
        </w:rPr>
        <w:t xml:space="preserve"> (Accessed:</w:t>
      </w:r>
      <w:r w:rsidR="00677610">
        <w:rPr>
          <w:rFonts w:ascii="Arial" w:hAnsi="Arial" w:cs="Arial"/>
          <w:sz w:val="24"/>
          <w:szCs w:val="24"/>
        </w:rPr>
        <w:t xml:space="preserve"> 27</w:t>
      </w:r>
      <w:r w:rsidR="00677610" w:rsidRPr="00677610">
        <w:rPr>
          <w:rFonts w:ascii="Arial" w:hAnsi="Arial" w:cs="Arial"/>
          <w:sz w:val="24"/>
          <w:szCs w:val="24"/>
          <w:vertAlign w:val="superscript"/>
        </w:rPr>
        <w:t>th</w:t>
      </w:r>
      <w:r w:rsidR="00677610">
        <w:rPr>
          <w:rFonts w:ascii="Arial" w:hAnsi="Arial" w:cs="Arial"/>
          <w:sz w:val="24"/>
          <w:szCs w:val="24"/>
        </w:rPr>
        <w:t xml:space="preserve"> December 2024</w:t>
      </w:r>
      <w:r>
        <w:rPr>
          <w:rFonts w:ascii="Arial" w:hAnsi="Arial" w:cs="Arial"/>
          <w:sz w:val="24"/>
          <w:szCs w:val="24"/>
        </w:rPr>
        <w:t>).</w:t>
      </w:r>
    </w:p>
    <w:p w14:paraId="62FA51A3" w14:textId="77777777" w:rsidR="005227D1" w:rsidRDefault="005227D1" w:rsidP="00252979">
      <w:pPr>
        <w:rPr>
          <w:rFonts w:ascii="Arial" w:hAnsi="Arial" w:cs="Arial"/>
          <w:sz w:val="24"/>
          <w:szCs w:val="24"/>
        </w:rPr>
      </w:pPr>
    </w:p>
    <w:p w14:paraId="7565D8A4" w14:textId="583902AE" w:rsidR="005227D1" w:rsidRPr="005227D1" w:rsidRDefault="005227D1" w:rsidP="00252979">
      <w:pPr>
        <w:rPr>
          <w:rFonts w:ascii="Arial" w:hAnsi="Arial" w:cs="Arial"/>
          <w:sz w:val="24"/>
          <w:szCs w:val="24"/>
        </w:rPr>
      </w:pPr>
      <w:r>
        <w:rPr>
          <w:rFonts w:ascii="Arial" w:hAnsi="Arial" w:cs="Arial"/>
          <w:sz w:val="24"/>
          <w:szCs w:val="24"/>
        </w:rPr>
        <w:t xml:space="preserve">Home Office (2021) ‘Crime and policing’ </w:t>
      </w:r>
      <w:r>
        <w:rPr>
          <w:rFonts w:ascii="Arial" w:hAnsi="Arial" w:cs="Arial"/>
          <w:i/>
          <w:iCs/>
          <w:sz w:val="24"/>
          <w:szCs w:val="24"/>
        </w:rPr>
        <w:t xml:space="preserve">UK Government </w:t>
      </w:r>
      <w:r>
        <w:rPr>
          <w:rFonts w:ascii="Arial" w:hAnsi="Arial" w:cs="Arial"/>
          <w:sz w:val="24"/>
          <w:szCs w:val="24"/>
        </w:rPr>
        <w:t xml:space="preserve">Available at: </w:t>
      </w:r>
      <w:hyperlink r:id="rId16" w:history="1">
        <w:r w:rsidR="00C87E56" w:rsidRPr="009753AF">
          <w:rPr>
            <w:rStyle w:val="Hyperlink"/>
            <w:rFonts w:ascii="Arial" w:hAnsi="Arial" w:cs="Arial"/>
            <w:sz w:val="24"/>
            <w:szCs w:val="24"/>
          </w:rPr>
          <w:t>https://www.gov.uk/government/publications/the-report-of-the-commission-on-race-and-ethnic-disparities/crime-and-policing?</w:t>
        </w:r>
      </w:hyperlink>
      <w:r w:rsidR="00C87E56">
        <w:rPr>
          <w:rFonts w:ascii="Arial" w:hAnsi="Arial" w:cs="Arial"/>
          <w:sz w:val="24"/>
          <w:szCs w:val="24"/>
        </w:rPr>
        <w:t xml:space="preserve"> (Accessed:</w:t>
      </w:r>
      <w:r w:rsidR="009D6B98">
        <w:rPr>
          <w:rFonts w:ascii="Arial" w:hAnsi="Arial" w:cs="Arial"/>
          <w:sz w:val="24"/>
          <w:szCs w:val="24"/>
        </w:rPr>
        <w:t xml:space="preserve"> 30</w:t>
      </w:r>
      <w:r w:rsidR="009D6B98" w:rsidRPr="009D6B98">
        <w:rPr>
          <w:rFonts w:ascii="Arial" w:hAnsi="Arial" w:cs="Arial"/>
          <w:sz w:val="24"/>
          <w:szCs w:val="24"/>
          <w:vertAlign w:val="superscript"/>
        </w:rPr>
        <w:t>th</w:t>
      </w:r>
      <w:r w:rsidR="009D6B98">
        <w:rPr>
          <w:rFonts w:ascii="Arial" w:hAnsi="Arial" w:cs="Arial"/>
          <w:sz w:val="24"/>
          <w:szCs w:val="24"/>
        </w:rPr>
        <w:t xml:space="preserve"> December 2024</w:t>
      </w:r>
      <w:r w:rsidR="00C87E56">
        <w:rPr>
          <w:rFonts w:ascii="Arial" w:hAnsi="Arial" w:cs="Arial"/>
          <w:sz w:val="24"/>
          <w:szCs w:val="24"/>
        </w:rPr>
        <w:t>).</w:t>
      </w:r>
    </w:p>
    <w:p w14:paraId="41F899E9" w14:textId="77777777" w:rsidR="00AD7EF0" w:rsidRDefault="00AD7EF0" w:rsidP="00252979">
      <w:pPr>
        <w:rPr>
          <w:rFonts w:ascii="Arial" w:hAnsi="Arial" w:cs="Arial"/>
          <w:sz w:val="24"/>
          <w:szCs w:val="24"/>
        </w:rPr>
      </w:pPr>
    </w:p>
    <w:p w14:paraId="7B235869" w14:textId="41BA7F1D" w:rsidR="009C0AE4" w:rsidRDefault="009C0AE4" w:rsidP="009C0AE4">
      <w:pPr>
        <w:rPr>
          <w:rFonts w:ascii="Arial" w:hAnsi="Arial" w:cs="Arial"/>
          <w:sz w:val="24"/>
          <w:szCs w:val="24"/>
        </w:rPr>
      </w:pPr>
      <w:proofErr w:type="spellStart"/>
      <w:r w:rsidRPr="009C0AE4">
        <w:rPr>
          <w:rFonts w:ascii="Arial" w:hAnsi="Arial" w:cs="Arial"/>
          <w:sz w:val="24"/>
          <w:szCs w:val="24"/>
        </w:rPr>
        <w:t>Leventakis</w:t>
      </w:r>
      <w:proofErr w:type="spellEnd"/>
      <w:r w:rsidRPr="009C0AE4">
        <w:rPr>
          <w:rFonts w:ascii="Arial" w:hAnsi="Arial" w:cs="Arial"/>
          <w:sz w:val="24"/>
          <w:szCs w:val="24"/>
        </w:rPr>
        <w:t xml:space="preserve">, G. (2018) </w:t>
      </w:r>
      <w:r w:rsidRPr="00C562C8">
        <w:rPr>
          <w:rFonts w:ascii="Arial" w:hAnsi="Arial" w:cs="Arial"/>
          <w:i/>
          <w:iCs/>
          <w:sz w:val="24"/>
          <w:szCs w:val="24"/>
        </w:rPr>
        <w:t>Community-Oriented Policing and Technological Innovations</w:t>
      </w:r>
      <w:r w:rsidRPr="009C0AE4">
        <w:rPr>
          <w:rFonts w:ascii="Arial" w:hAnsi="Arial" w:cs="Arial"/>
          <w:sz w:val="24"/>
          <w:szCs w:val="24"/>
        </w:rPr>
        <w:t xml:space="preserve">. 1st </w:t>
      </w:r>
      <w:r w:rsidR="00C562C8">
        <w:rPr>
          <w:rFonts w:ascii="Arial" w:hAnsi="Arial" w:cs="Arial"/>
          <w:sz w:val="24"/>
          <w:szCs w:val="24"/>
        </w:rPr>
        <w:t>Edition</w:t>
      </w:r>
      <w:r w:rsidRPr="009C0AE4">
        <w:rPr>
          <w:rFonts w:ascii="Arial" w:hAnsi="Arial" w:cs="Arial"/>
          <w:sz w:val="24"/>
          <w:szCs w:val="24"/>
        </w:rPr>
        <w:t>. Cham: Springer Nature; Springer International Publishing ; Imprint Springer. doi:10.1007/978-3-319-89294-8.</w:t>
      </w:r>
    </w:p>
    <w:p w14:paraId="2B86B4F7" w14:textId="77777777" w:rsidR="00EB59A2" w:rsidRDefault="00EB59A2" w:rsidP="009C0AE4">
      <w:pPr>
        <w:rPr>
          <w:rFonts w:ascii="Arial" w:hAnsi="Arial" w:cs="Arial"/>
          <w:sz w:val="24"/>
          <w:szCs w:val="24"/>
        </w:rPr>
      </w:pPr>
    </w:p>
    <w:p w14:paraId="40521BD5" w14:textId="77777777" w:rsidR="00EB59A2" w:rsidRDefault="00EB59A2" w:rsidP="00EB59A2">
      <w:pPr>
        <w:rPr>
          <w:rFonts w:ascii="Arial" w:hAnsi="Arial" w:cs="Arial"/>
          <w:sz w:val="24"/>
          <w:szCs w:val="24"/>
        </w:rPr>
      </w:pPr>
      <w:r>
        <w:rPr>
          <w:rFonts w:ascii="Arial" w:hAnsi="Arial" w:cs="Arial"/>
          <w:sz w:val="24"/>
          <w:szCs w:val="24"/>
        </w:rPr>
        <w:t xml:space="preserve">Muir, R, Higgins, A, </w:t>
      </w:r>
      <w:proofErr w:type="spellStart"/>
      <w:r>
        <w:rPr>
          <w:rFonts w:ascii="Arial" w:hAnsi="Arial" w:cs="Arial"/>
          <w:sz w:val="24"/>
          <w:szCs w:val="24"/>
        </w:rPr>
        <w:t>Halkon</w:t>
      </w:r>
      <w:proofErr w:type="spellEnd"/>
      <w:r>
        <w:rPr>
          <w:rFonts w:ascii="Arial" w:hAnsi="Arial" w:cs="Arial"/>
          <w:sz w:val="24"/>
          <w:szCs w:val="24"/>
        </w:rPr>
        <w:t xml:space="preserve">, R and Walcott, S. (2022) </w:t>
      </w:r>
      <w:r>
        <w:rPr>
          <w:rFonts w:ascii="Arial" w:hAnsi="Arial" w:cs="Arial"/>
          <w:i/>
          <w:iCs/>
          <w:sz w:val="24"/>
          <w:szCs w:val="24"/>
        </w:rPr>
        <w:t xml:space="preserve">A New Mode Of Protection. </w:t>
      </w:r>
      <w:r>
        <w:rPr>
          <w:rFonts w:ascii="Arial" w:hAnsi="Arial" w:cs="Arial"/>
          <w:sz w:val="24"/>
          <w:szCs w:val="24"/>
        </w:rPr>
        <w:t xml:space="preserve">London: The Police Foundation. </w:t>
      </w:r>
    </w:p>
    <w:p w14:paraId="1ED5BFDB" w14:textId="77777777" w:rsidR="00B7152B" w:rsidRDefault="00B7152B" w:rsidP="00EB59A2">
      <w:pPr>
        <w:rPr>
          <w:rFonts w:ascii="Arial" w:hAnsi="Arial" w:cs="Arial"/>
          <w:sz w:val="24"/>
          <w:szCs w:val="24"/>
        </w:rPr>
      </w:pPr>
    </w:p>
    <w:p w14:paraId="416D8FF8" w14:textId="26568D44" w:rsidR="00B7152B" w:rsidRDefault="00B7152B" w:rsidP="00EB59A2">
      <w:pPr>
        <w:rPr>
          <w:rFonts w:ascii="Arial" w:hAnsi="Arial" w:cs="Arial"/>
          <w:sz w:val="24"/>
          <w:szCs w:val="24"/>
        </w:rPr>
      </w:pPr>
      <w:r>
        <w:rPr>
          <w:rFonts w:ascii="Arial" w:hAnsi="Arial" w:cs="Arial"/>
          <w:sz w:val="24"/>
          <w:szCs w:val="24"/>
        </w:rPr>
        <w:t>National Policing Institute (2024) ‘</w:t>
      </w:r>
      <w:r w:rsidR="00551449">
        <w:rPr>
          <w:rFonts w:ascii="Arial" w:hAnsi="Arial" w:cs="Arial"/>
          <w:sz w:val="24"/>
          <w:szCs w:val="24"/>
        </w:rPr>
        <w:t xml:space="preserve">Community Engagement’ Available at: </w:t>
      </w:r>
      <w:hyperlink r:id="rId17" w:history="1">
        <w:r w:rsidR="00551449" w:rsidRPr="009753AF">
          <w:rPr>
            <w:rStyle w:val="Hyperlink"/>
            <w:rFonts w:ascii="Arial" w:hAnsi="Arial" w:cs="Arial"/>
            <w:sz w:val="24"/>
            <w:szCs w:val="24"/>
          </w:rPr>
          <w:t>https://www.policinginstitute.org/infocus/june-community-engagement/?</w:t>
        </w:r>
      </w:hyperlink>
      <w:r w:rsidR="00551449">
        <w:rPr>
          <w:rFonts w:ascii="Arial" w:hAnsi="Arial" w:cs="Arial"/>
          <w:sz w:val="24"/>
          <w:szCs w:val="24"/>
        </w:rPr>
        <w:t xml:space="preserve"> (Accessed:</w:t>
      </w:r>
      <w:r w:rsidR="00CF3C84">
        <w:rPr>
          <w:rFonts w:ascii="Arial" w:hAnsi="Arial" w:cs="Arial"/>
          <w:sz w:val="24"/>
          <w:szCs w:val="24"/>
        </w:rPr>
        <w:t xml:space="preserve"> 29</w:t>
      </w:r>
      <w:r w:rsidR="00CF3C84" w:rsidRPr="00CF3C84">
        <w:rPr>
          <w:rFonts w:ascii="Arial" w:hAnsi="Arial" w:cs="Arial"/>
          <w:sz w:val="24"/>
          <w:szCs w:val="24"/>
          <w:vertAlign w:val="superscript"/>
        </w:rPr>
        <w:t>th</w:t>
      </w:r>
      <w:r w:rsidR="00CF3C84">
        <w:rPr>
          <w:rFonts w:ascii="Arial" w:hAnsi="Arial" w:cs="Arial"/>
          <w:sz w:val="24"/>
          <w:szCs w:val="24"/>
        </w:rPr>
        <w:t xml:space="preserve"> December 2024</w:t>
      </w:r>
      <w:r w:rsidR="00551449">
        <w:rPr>
          <w:rFonts w:ascii="Arial" w:hAnsi="Arial" w:cs="Arial"/>
          <w:sz w:val="24"/>
          <w:szCs w:val="24"/>
        </w:rPr>
        <w:t xml:space="preserve">). </w:t>
      </w:r>
    </w:p>
    <w:p w14:paraId="68720CCA" w14:textId="77777777" w:rsidR="00EB59A2" w:rsidRDefault="00EB59A2" w:rsidP="00EB59A2">
      <w:pPr>
        <w:rPr>
          <w:rFonts w:ascii="Arial" w:hAnsi="Arial" w:cs="Arial"/>
          <w:sz w:val="24"/>
          <w:szCs w:val="24"/>
        </w:rPr>
      </w:pPr>
    </w:p>
    <w:p w14:paraId="4D2CFB58" w14:textId="77777777" w:rsidR="00EB59A2" w:rsidRDefault="00EB59A2" w:rsidP="00EB59A2">
      <w:pPr>
        <w:rPr>
          <w:rFonts w:ascii="Arial" w:hAnsi="Arial" w:cs="Arial"/>
          <w:sz w:val="24"/>
          <w:szCs w:val="24"/>
        </w:rPr>
      </w:pPr>
      <w:r>
        <w:rPr>
          <w:rFonts w:ascii="Arial" w:hAnsi="Arial" w:cs="Arial"/>
          <w:sz w:val="24"/>
          <w:szCs w:val="24"/>
        </w:rPr>
        <w:t xml:space="preserve">Office for National Statistics (ONS) (2023) </w:t>
      </w:r>
      <w:r>
        <w:rPr>
          <w:rFonts w:ascii="Arial" w:hAnsi="Arial" w:cs="Arial"/>
          <w:i/>
          <w:iCs/>
          <w:sz w:val="24"/>
          <w:szCs w:val="24"/>
        </w:rPr>
        <w:t xml:space="preserve">Crime in England and Wales: year ending March 2023. </w:t>
      </w:r>
      <w:r>
        <w:rPr>
          <w:rFonts w:ascii="Arial" w:hAnsi="Arial" w:cs="Arial"/>
          <w:sz w:val="24"/>
          <w:szCs w:val="24"/>
        </w:rPr>
        <w:t>Released 20</w:t>
      </w:r>
      <w:r w:rsidRPr="005C1FF3">
        <w:rPr>
          <w:rFonts w:ascii="Arial" w:hAnsi="Arial" w:cs="Arial"/>
          <w:sz w:val="24"/>
          <w:szCs w:val="24"/>
          <w:vertAlign w:val="superscript"/>
        </w:rPr>
        <w:t>th</w:t>
      </w:r>
      <w:r>
        <w:rPr>
          <w:rFonts w:ascii="Arial" w:hAnsi="Arial" w:cs="Arial"/>
          <w:sz w:val="24"/>
          <w:szCs w:val="24"/>
        </w:rPr>
        <w:t xml:space="preserve"> of July 2023: ONS Website.</w:t>
      </w:r>
    </w:p>
    <w:p w14:paraId="693258E4" w14:textId="77777777" w:rsidR="00EB59A2" w:rsidRDefault="00EB59A2" w:rsidP="00EB59A2">
      <w:pPr>
        <w:rPr>
          <w:rFonts w:ascii="Arial" w:hAnsi="Arial" w:cs="Arial"/>
          <w:sz w:val="24"/>
          <w:szCs w:val="24"/>
        </w:rPr>
      </w:pPr>
    </w:p>
    <w:p w14:paraId="4FE23E4F" w14:textId="77777777" w:rsidR="00EB59A2" w:rsidRDefault="00EB59A2" w:rsidP="00EB59A2">
      <w:pPr>
        <w:rPr>
          <w:rFonts w:ascii="Arial" w:hAnsi="Arial" w:cs="Arial"/>
          <w:sz w:val="24"/>
          <w:szCs w:val="24"/>
        </w:rPr>
      </w:pPr>
      <w:r>
        <w:rPr>
          <w:rFonts w:ascii="Arial" w:hAnsi="Arial" w:cs="Arial"/>
          <w:sz w:val="24"/>
          <w:szCs w:val="24"/>
        </w:rPr>
        <w:t xml:space="preserve">Rahman, L. (2024) </w:t>
      </w:r>
      <w:r>
        <w:rPr>
          <w:rFonts w:ascii="Arial" w:hAnsi="Arial" w:cs="Arial"/>
          <w:i/>
          <w:iCs/>
          <w:sz w:val="24"/>
          <w:szCs w:val="24"/>
        </w:rPr>
        <w:t xml:space="preserve">Community Engagement Strategy 2024 to 2028. </w:t>
      </w:r>
      <w:r>
        <w:rPr>
          <w:rFonts w:ascii="Arial" w:hAnsi="Arial" w:cs="Arial"/>
          <w:sz w:val="24"/>
          <w:szCs w:val="24"/>
        </w:rPr>
        <w:t xml:space="preserve">London: Tower Hamlets. </w:t>
      </w:r>
    </w:p>
    <w:p w14:paraId="0EC1814F" w14:textId="77777777" w:rsidR="00583A8C" w:rsidRDefault="00583A8C" w:rsidP="00EB59A2">
      <w:pPr>
        <w:rPr>
          <w:rFonts w:ascii="Arial" w:hAnsi="Arial" w:cs="Arial"/>
          <w:sz w:val="24"/>
          <w:szCs w:val="24"/>
        </w:rPr>
      </w:pPr>
    </w:p>
    <w:p w14:paraId="4B9BD8E1" w14:textId="4003546E" w:rsidR="00583A8C" w:rsidRPr="00125D4D" w:rsidRDefault="00583A8C" w:rsidP="00EB59A2">
      <w:pPr>
        <w:rPr>
          <w:rFonts w:ascii="Arial" w:hAnsi="Arial" w:cs="Arial"/>
          <w:sz w:val="24"/>
          <w:szCs w:val="24"/>
        </w:rPr>
      </w:pPr>
      <w:r>
        <w:rPr>
          <w:rFonts w:ascii="Arial" w:hAnsi="Arial" w:cs="Arial"/>
          <w:sz w:val="24"/>
          <w:szCs w:val="24"/>
        </w:rPr>
        <w:lastRenderedPageBreak/>
        <w:t xml:space="preserve">Tudor, S. (2023) ‘Police standards and culture: Restoring public trust’ </w:t>
      </w:r>
      <w:r>
        <w:rPr>
          <w:rFonts w:ascii="Arial" w:hAnsi="Arial" w:cs="Arial"/>
          <w:i/>
          <w:iCs/>
          <w:sz w:val="24"/>
          <w:szCs w:val="24"/>
        </w:rPr>
        <w:t xml:space="preserve">UK Parliament </w:t>
      </w:r>
      <w:r w:rsidR="00125D4D">
        <w:rPr>
          <w:rFonts w:ascii="Arial" w:hAnsi="Arial" w:cs="Arial"/>
          <w:sz w:val="24"/>
          <w:szCs w:val="24"/>
        </w:rPr>
        <w:t xml:space="preserve">Available at: </w:t>
      </w:r>
      <w:hyperlink r:id="rId18" w:history="1">
        <w:r w:rsidR="00125D4D" w:rsidRPr="009753AF">
          <w:rPr>
            <w:rStyle w:val="Hyperlink"/>
            <w:rFonts w:ascii="Arial" w:hAnsi="Arial" w:cs="Arial"/>
            <w:sz w:val="24"/>
            <w:szCs w:val="24"/>
          </w:rPr>
          <w:t>https://lordslibrary.parliament.uk/police-standards-and-culture-restoring-public-trust/</w:t>
        </w:r>
      </w:hyperlink>
      <w:r w:rsidR="00125D4D">
        <w:rPr>
          <w:rFonts w:ascii="Arial" w:hAnsi="Arial" w:cs="Arial"/>
          <w:sz w:val="24"/>
          <w:szCs w:val="24"/>
        </w:rPr>
        <w:t xml:space="preserve"> (Accessed:</w:t>
      </w:r>
      <w:r w:rsidR="009A3260">
        <w:rPr>
          <w:rFonts w:ascii="Arial" w:hAnsi="Arial" w:cs="Arial"/>
          <w:sz w:val="24"/>
          <w:szCs w:val="24"/>
        </w:rPr>
        <w:t xml:space="preserve"> </w:t>
      </w:r>
      <w:r w:rsidR="001E782B">
        <w:rPr>
          <w:rFonts w:ascii="Arial" w:hAnsi="Arial" w:cs="Arial"/>
          <w:sz w:val="24"/>
          <w:szCs w:val="24"/>
        </w:rPr>
        <w:t>26</w:t>
      </w:r>
      <w:r w:rsidR="001E782B" w:rsidRPr="001E782B">
        <w:rPr>
          <w:rFonts w:ascii="Arial" w:hAnsi="Arial" w:cs="Arial"/>
          <w:sz w:val="24"/>
          <w:szCs w:val="24"/>
          <w:vertAlign w:val="superscript"/>
        </w:rPr>
        <w:t>th</w:t>
      </w:r>
      <w:r w:rsidR="001E782B">
        <w:rPr>
          <w:rFonts w:ascii="Arial" w:hAnsi="Arial" w:cs="Arial"/>
          <w:sz w:val="24"/>
          <w:szCs w:val="24"/>
        </w:rPr>
        <w:t xml:space="preserve"> December 2024</w:t>
      </w:r>
      <w:r w:rsidR="00125D4D">
        <w:rPr>
          <w:rFonts w:ascii="Arial" w:hAnsi="Arial" w:cs="Arial"/>
          <w:sz w:val="24"/>
          <w:szCs w:val="24"/>
        </w:rPr>
        <w:t xml:space="preserve">). </w:t>
      </w:r>
    </w:p>
    <w:p w14:paraId="3CA3BEED" w14:textId="77777777" w:rsidR="0029153C" w:rsidRDefault="0029153C" w:rsidP="00EB59A2">
      <w:pPr>
        <w:rPr>
          <w:rFonts w:ascii="Arial" w:hAnsi="Arial" w:cs="Arial"/>
          <w:sz w:val="24"/>
          <w:szCs w:val="24"/>
        </w:rPr>
      </w:pPr>
    </w:p>
    <w:p w14:paraId="6BD3FAF1" w14:textId="331A497F" w:rsidR="0029153C" w:rsidRDefault="0029153C" w:rsidP="00EB59A2">
      <w:pPr>
        <w:rPr>
          <w:rFonts w:ascii="Arial" w:hAnsi="Arial" w:cs="Arial"/>
          <w:sz w:val="24"/>
          <w:szCs w:val="24"/>
        </w:rPr>
      </w:pPr>
      <w:r>
        <w:rPr>
          <w:rFonts w:ascii="Arial" w:hAnsi="Arial" w:cs="Arial"/>
          <w:sz w:val="24"/>
          <w:szCs w:val="24"/>
        </w:rPr>
        <w:t xml:space="preserve">Walker, C. (2023) ‘LRF Expand Positive Futures Project’ </w:t>
      </w:r>
      <w:proofErr w:type="spellStart"/>
      <w:r>
        <w:rPr>
          <w:rFonts w:ascii="Arial" w:hAnsi="Arial" w:cs="Arial"/>
          <w:i/>
          <w:iCs/>
          <w:sz w:val="24"/>
          <w:szCs w:val="24"/>
        </w:rPr>
        <w:t>Riders.basketball</w:t>
      </w:r>
      <w:proofErr w:type="spellEnd"/>
      <w:r>
        <w:rPr>
          <w:rFonts w:ascii="Arial" w:hAnsi="Arial" w:cs="Arial"/>
          <w:i/>
          <w:iCs/>
          <w:sz w:val="24"/>
          <w:szCs w:val="24"/>
        </w:rPr>
        <w:t xml:space="preserve"> </w:t>
      </w:r>
      <w:r>
        <w:rPr>
          <w:rFonts w:ascii="Arial" w:hAnsi="Arial" w:cs="Arial"/>
          <w:sz w:val="24"/>
          <w:szCs w:val="24"/>
        </w:rPr>
        <w:t xml:space="preserve">Available at: </w:t>
      </w:r>
      <w:hyperlink r:id="rId19" w:history="1">
        <w:r w:rsidRPr="004271A8">
          <w:rPr>
            <w:rStyle w:val="Hyperlink"/>
            <w:rFonts w:ascii="Arial" w:hAnsi="Arial" w:cs="Arial"/>
            <w:sz w:val="24"/>
            <w:szCs w:val="24"/>
          </w:rPr>
          <w:t>https://riders.basketball/lrf-expand-positive-futures-project/</w:t>
        </w:r>
      </w:hyperlink>
      <w:r>
        <w:rPr>
          <w:rFonts w:ascii="Arial" w:hAnsi="Arial" w:cs="Arial"/>
          <w:sz w:val="24"/>
          <w:szCs w:val="24"/>
        </w:rPr>
        <w:t xml:space="preserve"> (Accessed:</w:t>
      </w:r>
      <w:r w:rsidR="00CF3C84">
        <w:rPr>
          <w:rFonts w:ascii="Arial" w:hAnsi="Arial" w:cs="Arial"/>
          <w:sz w:val="24"/>
          <w:szCs w:val="24"/>
        </w:rPr>
        <w:t xml:space="preserve"> 29</w:t>
      </w:r>
      <w:r w:rsidR="00CF3C84" w:rsidRPr="00CF3C84">
        <w:rPr>
          <w:rFonts w:ascii="Arial" w:hAnsi="Arial" w:cs="Arial"/>
          <w:sz w:val="24"/>
          <w:szCs w:val="24"/>
          <w:vertAlign w:val="superscript"/>
        </w:rPr>
        <w:t>th</w:t>
      </w:r>
      <w:r w:rsidR="00CF3C84">
        <w:rPr>
          <w:rFonts w:ascii="Arial" w:hAnsi="Arial" w:cs="Arial"/>
          <w:sz w:val="24"/>
          <w:szCs w:val="24"/>
        </w:rPr>
        <w:t xml:space="preserve"> December 2024</w:t>
      </w:r>
      <w:r>
        <w:rPr>
          <w:rFonts w:ascii="Arial" w:hAnsi="Arial" w:cs="Arial"/>
          <w:sz w:val="24"/>
          <w:szCs w:val="24"/>
        </w:rPr>
        <w:t>).</w:t>
      </w:r>
    </w:p>
    <w:p w14:paraId="05C27376" w14:textId="77777777" w:rsidR="00864C14" w:rsidRDefault="00864C14" w:rsidP="00EB59A2">
      <w:pPr>
        <w:rPr>
          <w:rFonts w:ascii="Arial" w:hAnsi="Arial" w:cs="Arial"/>
          <w:sz w:val="24"/>
          <w:szCs w:val="24"/>
        </w:rPr>
      </w:pPr>
    </w:p>
    <w:p w14:paraId="57B9185B" w14:textId="65408071" w:rsidR="00864C14" w:rsidRPr="00D4261B" w:rsidRDefault="00864C14" w:rsidP="00EB59A2">
      <w:pPr>
        <w:rPr>
          <w:rFonts w:ascii="Arial" w:hAnsi="Arial" w:cs="Arial"/>
          <w:sz w:val="24"/>
          <w:szCs w:val="24"/>
        </w:rPr>
      </w:pPr>
      <w:r>
        <w:rPr>
          <w:rFonts w:ascii="Arial" w:hAnsi="Arial" w:cs="Arial"/>
          <w:sz w:val="24"/>
          <w:szCs w:val="24"/>
        </w:rPr>
        <w:t>Wood, A</w:t>
      </w:r>
      <w:r w:rsidR="001B4639">
        <w:rPr>
          <w:rFonts w:ascii="Arial" w:hAnsi="Arial" w:cs="Arial"/>
          <w:sz w:val="24"/>
          <w:szCs w:val="24"/>
        </w:rPr>
        <w:t xml:space="preserve"> and Johnson, J.</w:t>
      </w:r>
      <w:r>
        <w:rPr>
          <w:rFonts w:ascii="Arial" w:hAnsi="Arial" w:cs="Arial"/>
          <w:sz w:val="24"/>
          <w:szCs w:val="24"/>
        </w:rPr>
        <w:t xml:space="preserve"> (2024) ‘Unlocking the power of technology </w:t>
      </w:r>
      <w:r w:rsidR="0099708D">
        <w:rPr>
          <w:rFonts w:ascii="Arial" w:hAnsi="Arial" w:cs="Arial"/>
          <w:sz w:val="24"/>
          <w:szCs w:val="24"/>
        </w:rPr>
        <w:t>and data to transform community policing and improve public safety</w:t>
      </w:r>
      <w:r w:rsidR="00D4261B">
        <w:rPr>
          <w:rFonts w:ascii="Arial" w:hAnsi="Arial" w:cs="Arial"/>
          <w:sz w:val="24"/>
          <w:szCs w:val="24"/>
        </w:rPr>
        <w:t xml:space="preserve">’ </w:t>
      </w:r>
      <w:proofErr w:type="spellStart"/>
      <w:r w:rsidR="00D4261B">
        <w:rPr>
          <w:rFonts w:ascii="Arial" w:hAnsi="Arial" w:cs="Arial"/>
          <w:i/>
          <w:iCs/>
          <w:sz w:val="24"/>
          <w:szCs w:val="24"/>
        </w:rPr>
        <w:t>techUK</w:t>
      </w:r>
      <w:proofErr w:type="spellEnd"/>
      <w:r w:rsidR="00D4261B">
        <w:rPr>
          <w:rFonts w:ascii="Arial" w:hAnsi="Arial" w:cs="Arial"/>
          <w:i/>
          <w:iCs/>
          <w:sz w:val="24"/>
          <w:szCs w:val="24"/>
        </w:rPr>
        <w:t xml:space="preserve"> </w:t>
      </w:r>
      <w:r w:rsidR="00D4261B">
        <w:rPr>
          <w:rFonts w:ascii="Arial" w:hAnsi="Arial" w:cs="Arial"/>
          <w:sz w:val="24"/>
          <w:szCs w:val="24"/>
        </w:rPr>
        <w:t xml:space="preserve">Available at: </w:t>
      </w:r>
      <w:hyperlink r:id="rId20" w:history="1">
        <w:r w:rsidR="00D4261B" w:rsidRPr="009753AF">
          <w:rPr>
            <w:rStyle w:val="Hyperlink"/>
            <w:rFonts w:ascii="Arial" w:hAnsi="Arial" w:cs="Arial"/>
            <w:sz w:val="24"/>
            <w:szCs w:val="24"/>
          </w:rPr>
          <w:t>https://www.techuk.org/resource/unlocking-the-power-of-technology-and-data-to-transform-community-policing-and-improve-public-safety.html?</w:t>
        </w:r>
      </w:hyperlink>
      <w:r w:rsidR="00D4261B">
        <w:rPr>
          <w:rFonts w:ascii="Arial" w:hAnsi="Arial" w:cs="Arial"/>
          <w:sz w:val="24"/>
          <w:szCs w:val="24"/>
        </w:rPr>
        <w:t xml:space="preserve"> (Accessed:</w:t>
      </w:r>
      <w:r w:rsidR="009D6B98">
        <w:rPr>
          <w:rFonts w:ascii="Arial" w:hAnsi="Arial" w:cs="Arial"/>
          <w:sz w:val="24"/>
          <w:szCs w:val="24"/>
        </w:rPr>
        <w:t xml:space="preserve"> 30</w:t>
      </w:r>
      <w:r w:rsidR="009D6B98" w:rsidRPr="009D6B98">
        <w:rPr>
          <w:rFonts w:ascii="Arial" w:hAnsi="Arial" w:cs="Arial"/>
          <w:sz w:val="24"/>
          <w:szCs w:val="24"/>
          <w:vertAlign w:val="superscript"/>
        </w:rPr>
        <w:t>th</w:t>
      </w:r>
      <w:r w:rsidR="009D6B98">
        <w:rPr>
          <w:rFonts w:ascii="Arial" w:hAnsi="Arial" w:cs="Arial"/>
          <w:sz w:val="24"/>
          <w:szCs w:val="24"/>
        </w:rPr>
        <w:t xml:space="preserve"> December 2024</w:t>
      </w:r>
      <w:r w:rsidR="00D4261B">
        <w:rPr>
          <w:rFonts w:ascii="Arial" w:hAnsi="Arial" w:cs="Arial"/>
          <w:sz w:val="24"/>
          <w:szCs w:val="24"/>
        </w:rPr>
        <w:t xml:space="preserve">).   </w:t>
      </w:r>
    </w:p>
    <w:p w14:paraId="7B8FF38C" w14:textId="77777777" w:rsidR="009C0AE4" w:rsidRDefault="009C0AE4" w:rsidP="009C0AE4">
      <w:pPr>
        <w:rPr>
          <w:rFonts w:ascii="Arial" w:hAnsi="Arial" w:cs="Arial"/>
          <w:sz w:val="24"/>
          <w:szCs w:val="24"/>
        </w:rPr>
      </w:pPr>
    </w:p>
    <w:p w14:paraId="7B6430A1" w14:textId="49AAB3A4" w:rsidR="00630716" w:rsidRDefault="00630716" w:rsidP="00630716">
      <w:pPr>
        <w:rPr>
          <w:rFonts w:ascii="Arial" w:hAnsi="Arial" w:cs="Arial"/>
          <w:sz w:val="24"/>
          <w:szCs w:val="24"/>
        </w:rPr>
      </w:pPr>
      <w:r w:rsidRPr="00630716">
        <w:rPr>
          <w:rFonts w:ascii="Arial" w:hAnsi="Arial" w:cs="Arial"/>
          <w:sz w:val="24"/>
          <w:szCs w:val="24"/>
        </w:rPr>
        <w:t xml:space="preserve">Wood, D. (2022) </w:t>
      </w:r>
      <w:r w:rsidRPr="006C3303">
        <w:rPr>
          <w:rFonts w:ascii="Arial" w:hAnsi="Arial" w:cs="Arial"/>
          <w:i/>
          <w:iCs/>
          <w:sz w:val="24"/>
          <w:szCs w:val="24"/>
        </w:rPr>
        <w:t>Blackstone’s handbook for policing students</w:t>
      </w:r>
      <w:r w:rsidRPr="00630716">
        <w:rPr>
          <w:rFonts w:ascii="Arial" w:hAnsi="Arial" w:cs="Arial"/>
          <w:sz w:val="24"/>
          <w:szCs w:val="24"/>
        </w:rPr>
        <w:t xml:space="preserve">. Seventeenth </w:t>
      </w:r>
      <w:r w:rsidR="00D22545">
        <w:rPr>
          <w:rFonts w:ascii="Arial" w:hAnsi="Arial" w:cs="Arial"/>
          <w:sz w:val="24"/>
          <w:szCs w:val="24"/>
        </w:rPr>
        <w:t>E</w:t>
      </w:r>
      <w:r w:rsidRPr="00630716">
        <w:rPr>
          <w:rFonts w:ascii="Arial" w:hAnsi="Arial" w:cs="Arial"/>
          <w:sz w:val="24"/>
          <w:szCs w:val="24"/>
        </w:rPr>
        <w:t>dition. Oxford: Oxford University Press</w:t>
      </w:r>
      <w:r>
        <w:rPr>
          <w:rFonts w:ascii="Arial" w:hAnsi="Arial" w:cs="Arial"/>
          <w:sz w:val="24"/>
          <w:szCs w:val="24"/>
        </w:rPr>
        <w:t>.</w:t>
      </w:r>
    </w:p>
    <w:p w14:paraId="4B2666E7" w14:textId="77777777" w:rsidR="00EB409B" w:rsidRDefault="00EB409B" w:rsidP="00630716">
      <w:pPr>
        <w:rPr>
          <w:rFonts w:ascii="Arial" w:hAnsi="Arial" w:cs="Arial"/>
          <w:sz w:val="24"/>
          <w:szCs w:val="24"/>
        </w:rPr>
      </w:pPr>
    </w:p>
    <w:p w14:paraId="2F6BBFB4" w14:textId="77777777" w:rsidR="0083175E" w:rsidRDefault="0083175E" w:rsidP="00955C41">
      <w:pPr>
        <w:rPr>
          <w:rFonts w:ascii="Arial" w:hAnsi="Arial" w:cs="Arial"/>
          <w:sz w:val="24"/>
          <w:szCs w:val="24"/>
        </w:rPr>
      </w:pPr>
    </w:p>
    <w:p w14:paraId="4E800A5C" w14:textId="51D0925F" w:rsidR="00D047AA" w:rsidRDefault="00D047AA" w:rsidP="00955C41">
      <w:pPr>
        <w:rPr>
          <w:rFonts w:ascii="Arial" w:hAnsi="Arial" w:cs="Arial"/>
          <w:sz w:val="24"/>
          <w:szCs w:val="24"/>
        </w:rPr>
      </w:pPr>
    </w:p>
    <w:p w14:paraId="5F1D818A" w14:textId="77777777" w:rsidR="00554A3F" w:rsidRPr="00554A3F" w:rsidRDefault="00554A3F">
      <w:pPr>
        <w:rPr>
          <w:rFonts w:ascii="Arial" w:hAnsi="Arial" w:cs="Arial"/>
          <w:sz w:val="28"/>
          <w:szCs w:val="28"/>
          <w:u w:val="single"/>
        </w:rPr>
      </w:pPr>
    </w:p>
    <w:sectPr w:rsidR="00554A3F" w:rsidRPr="00554A3F" w:rsidSect="00FF2E1A">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D7652" w14:textId="77777777" w:rsidR="001D2168" w:rsidRDefault="001D2168" w:rsidP="001E169A">
      <w:pPr>
        <w:spacing w:after="0" w:line="240" w:lineRule="auto"/>
      </w:pPr>
      <w:r>
        <w:separator/>
      </w:r>
    </w:p>
  </w:endnote>
  <w:endnote w:type="continuationSeparator" w:id="0">
    <w:p w14:paraId="18AC6E42" w14:textId="77777777" w:rsidR="001D2168" w:rsidRDefault="001D2168" w:rsidP="001E1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2745241"/>
      <w:docPartObj>
        <w:docPartGallery w:val="Page Numbers (Bottom of Page)"/>
        <w:docPartUnique/>
      </w:docPartObj>
    </w:sdtPr>
    <w:sdtContent>
      <w:p w14:paraId="1EC5C0DC" w14:textId="3450C18B" w:rsidR="001E169A" w:rsidRDefault="001E169A">
        <w:pPr>
          <w:pStyle w:val="Footer"/>
          <w:jc w:val="right"/>
        </w:pPr>
        <w:r>
          <w:fldChar w:fldCharType="begin"/>
        </w:r>
        <w:r>
          <w:instrText>PAGE   \* MERGEFORMAT</w:instrText>
        </w:r>
        <w:r>
          <w:fldChar w:fldCharType="separate"/>
        </w:r>
        <w:r>
          <w:t>2</w:t>
        </w:r>
        <w:r>
          <w:fldChar w:fldCharType="end"/>
        </w:r>
      </w:p>
    </w:sdtContent>
  </w:sdt>
  <w:p w14:paraId="424A3474" w14:textId="77777777" w:rsidR="001E169A" w:rsidRDefault="001E1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822E1" w14:textId="77777777" w:rsidR="001D2168" w:rsidRDefault="001D2168" w:rsidP="001E169A">
      <w:pPr>
        <w:spacing w:after="0" w:line="240" w:lineRule="auto"/>
      </w:pPr>
      <w:r>
        <w:separator/>
      </w:r>
    </w:p>
  </w:footnote>
  <w:footnote w:type="continuationSeparator" w:id="0">
    <w:p w14:paraId="091EF3B5" w14:textId="77777777" w:rsidR="001D2168" w:rsidRDefault="001D2168" w:rsidP="001E16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15B05"/>
    <w:multiLevelType w:val="hybridMultilevel"/>
    <w:tmpl w:val="44943156"/>
    <w:lvl w:ilvl="0" w:tplc="0426A49A">
      <w:start w:val="1"/>
      <w:numFmt w:val="bullet"/>
      <w:lvlText w:val=""/>
      <w:lvlJc w:val="left"/>
      <w:pPr>
        <w:tabs>
          <w:tab w:val="num" w:pos="720"/>
        </w:tabs>
        <w:ind w:left="720" w:hanging="360"/>
      </w:pPr>
      <w:rPr>
        <w:rFonts w:ascii="Wingdings" w:hAnsi="Wingdings" w:hint="default"/>
      </w:rPr>
    </w:lvl>
    <w:lvl w:ilvl="1" w:tplc="123E34FE" w:tentative="1">
      <w:start w:val="1"/>
      <w:numFmt w:val="bullet"/>
      <w:lvlText w:val=""/>
      <w:lvlJc w:val="left"/>
      <w:pPr>
        <w:tabs>
          <w:tab w:val="num" w:pos="1440"/>
        </w:tabs>
        <w:ind w:left="1440" w:hanging="360"/>
      </w:pPr>
      <w:rPr>
        <w:rFonts w:ascii="Wingdings" w:hAnsi="Wingdings" w:hint="default"/>
      </w:rPr>
    </w:lvl>
    <w:lvl w:ilvl="2" w:tplc="50BA500E" w:tentative="1">
      <w:start w:val="1"/>
      <w:numFmt w:val="bullet"/>
      <w:lvlText w:val=""/>
      <w:lvlJc w:val="left"/>
      <w:pPr>
        <w:tabs>
          <w:tab w:val="num" w:pos="2160"/>
        </w:tabs>
        <w:ind w:left="2160" w:hanging="360"/>
      </w:pPr>
      <w:rPr>
        <w:rFonts w:ascii="Wingdings" w:hAnsi="Wingdings" w:hint="default"/>
      </w:rPr>
    </w:lvl>
    <w:lvl w:ilvl="3" w:tplc="9898A264" w:tentative="1">
      <w:start w:val="1"/>
      <w:numFmt w:val="bullet"/>
      <w:lvlText w:val=""/>
      <w:lvlJc w:val="left"/>
      <w:pPr>
        <w:tabs>
          <w:tab w:val="num" w:pos="2880"/>
        </w:tabs>
        <w:ind w:left="2880" w:hanging="360"/>
      </w:pPr>
      <w:rPr>
        <w:rFonts w:ascii="Wingdings" w:hAnsi="Wingdings" w:hint="default"/>
      </w:rPr>
    </w:lvl>
    <w:lvl w:ilvl="4" w:tplc="6FD2582E" w:tentative="1">
      <w:start w:val="1"/>
      <w:numFmt w:val="bullet"/>
      <w:lvlText w:val=""/>
      <w:lvlJc w:val="left"/>
      <w:pPr>
        <w:tabs>
          <w:tab w:val="num" w:pos="3600"/>
        </w:tabs>
        <w:ind w:left="3600" w:hanging="360"/>
      </w:pPr>
      <w:rPr>
        <w:rFonts w:ascii="Wingdings" w:hAnsi="Wingdings" w:hint="default"/>
      </w:rPr>
    </w:lvl>
    <w:lvl w:ilvl="5" w:tplc="633685B6" w:tentative="1">
      <w:start w:val="1"/>
      <w:numFmt w:val="bullet"/>
      <w:lvlText w:val=""/>
      <w:lvlJc w:val="left"/>
      <w:pPr>
        <w:tabs>
          <w:tab w:val="num" w:pos="4320"/>
        </w:tabs>
        <w:ind w:left="4320" w:hanging="360"/>
      </w:pPr>
      <w:rPr>
        <w:rFonts w:ascii="Wingdings" w:hAnsi="Wingdings" w:hint="default"/>
      </w:rPr>
    </w:lvl>
    <w:lvl w:ilvl="6" w:tplc="27F8CF92" w:tentative="1">
      <w:start w:val="1"/>
      <w:numFmt w:val="bullet"/>
      <w:lvlText w:val=""/>
      <w:lvlJc w:val="left"/>
      <w:pPr>
        <w:tabs>
          <w:tab w:val="num" w:pos="5040"/>
        </w:tabs>
        <w:ind w:left="5040" w:hanging="360"/>
      </w:pPr>
      <w:rPr>
        <w:rFonts w:ascii="Wingdings" w:hAnsi="Wingdings" w:hint="default"/>
      </w:rPr>
    </w:lvl>
    <w:lvl w:ilvl="7" w:tplc="9030F126" w:tentative="1">
      <w:start w:val="1"/>
      <w:numFmt w:val="bullet"/>
      <w:lvlText w:val=""/>
      <w:lvlJc w:val="left"/>
      <w:pPr>
        <w:tabs>
          <w:tab w:val="num" w:pos="5760"/>
        </w:tabs>
        <w:ind w:left="5760" w:hanging="360"/>
      </w:pPr>
      <w:rPr>
        <w:rFonts w:ascii="Wingdings" w:hAnsi="Wingdings" w:hint="default"/>
      </w:rPr>
    </w:lvl>
    <w:lvl w:ilvl="8" w:tplc="FE70B08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3E3E95"/>
    <w:multiLevelType w:val="multilevel"/>
    <w:tmpl w:val="20C2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321B74"/>
    <w:multiLevelType w:val="hybridMultilevel"/>
    <w:tmpl w:val="ACE0BC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E1D5844"/>
    <w:multiLevelType w:val="hybridMultilevel"/>
    <w:tmpl w:val="DE9E06DE"/>
    <w:lvl w:ilvl="0" w:tplc="DE0C2E1A">
      <w:start w:val="1"/>
      <w:numFmt w:val="bullet"/>
      <w:lvlText w:val=""/>
      <w:lvlJc w:val="left"/>
      <w:pPr>
        <w:tabs>
          <w:tab w:val="num" w:pos="720"/>
        </w:tabs>
        <w:ind w:left="720" w:hanging="360"/>
      </w:pPr>
      <w:rPr>
        <w:rFonts w:ascii="Wingdings" w:hAnsi="Wingdings" w:hint="default"/>
      </w:rPr>
    </w:lvl>
    <w:lvl w:ilvl="1" w:tplc="EDA8DA80" w:tentative="1">
      <w:start w:val="1"/>
      <w:numFmt w:val="bullet"/>
      <w:lvlText w:val=""/>
      <w:lvlJc w:val="left"/>
      <w:pPr>
        <w:tabs>
          <w:tab w:val="num" w:pos="1440"/>
        </w:tabs>
        <w:ind w:left="1440" w:hanging="360"/>
      </w:pPr>
      <w:rPr>
        <w:rFonts w:ascii="Wingdings" w:hAnsi="Wingdings" w:hint="default"/>
      </w:rPr>
    </w:lvl>
    <w:lvl w:ilvl="2" w:tplc="FED6084C" w:tentative="1">
      <w:start w:val="1"/>
      <w:numFmt w:val="bullet"/>
      <w:lvlText w:val=""/>
      <w:lvlJc w:val="left"/>
      <w:pPr>
        <w:tabs>
          <w:tab w:val="num" w:pos="2160"/>
        </w:tabs>
        <w:ind w:left="2160" w:hanging="360"/>
      </w:pPr>
      <w:rPr>
        <w:rFonts w:ascii="Wingdings" w:hAnsi="Wingdings" w:hint="default"/>
      </w:rPr>
    </w:lvl>
    <w:lvl w:ilvl="3" w:tplc="8B9A2080" w:tentative="1">
      <w:start w:val="1"/>
      <w:numFmt w:val="bullet"/>
      <w:lvlText w:val=""/>
      <w:lvlJc w:val="left"/>
      <w:pPr>
        <w:tabs>
          <w:tab w:val="num" w:pos="2880"/>
        </w:tabs>
        <w:ind w:left="2880" w:hanging="360"/>
      </w:pPr>
      <w:rPr>
        <w:rFonts w:ascii="Wingdings" w:hAnsi="Wingdings" w:hint="default"/>
      </w:rPr>
    </w:lvl>
    <w:lvl w:ilvl="4" w:tplc="540845F4" w:tentative="1">
      <w:start w:val="1"/>
      <w:numFmt w:val="bullet"/>
      <w:lvlText w:val=""/>
      <w:lvlJc w:val="left"/>
      <w:pPr>
        <w:tabs>
          <w:tab w:val="num" w:pos="3600"/>
        </w:tabs>
        <w:ind w:left="3600" w:hanging="360"/>
      </w:pPr>
      <w:rPr>
        <w:rFonts w:ascii="Wingdings" w:hAnsi="Wingdings" w:hint="default"/>
      </w:rPr>
    </w:lvl>
    <w:lvl w:ilvl="5" w:tplc="0AF4AC2E" w:tentative="1">
      <w:start w:val="1"/>
      <w:numFmt w:val="bullet"/>
      <w:lvlText w:val=""/>
      <w:lvlJc w:val="left"/>
      <w:pPr>
        <w:tabs>
          <w:tab w:val="num" w:pos="4320"/>
        </w:tabs>
        <w:ind w:left="4320" w:hanging="360"/>
      </w:pPr>
      <w:rPr>
        <w:rFonts w:ascii="Wingdings" w:hAnsi="Wingdings" w:hint="default"/>
      </w:rPr>
    </w:lvl>
    <w:lvl w:ilvl="6" w:tplc="F298514E" w:tentative="1">
      <w:start w:val="1"/>
      <w:numFmt w:val="bullet"/>
      <w:lvlText w:val=""/>
      <w:lvlJc w:val="left"/>
      <w:pPr>
        <w:tabs>
          <w:tab w:val="num" w:pos="5040"/>
        </w:tabs>
        <w:ind w:left="5040" w:hanging="360"/>
      </w:pPr>
      <w:rPr>
        <w:rFonts w:ascii="Wingdings" w:hAnsi="Wingdings" w:hint="default"/>
      </w:rPr>
    </w:lvl>
    <w:lvl w:ilvl="7" w:tplc="9F0C3382" w:tentative="1">
      <w:start w:val="1"/>
      <w:numFmt w:val="bullet"/>
      <w:lvlText w:val=""/>
      <w:lvlJc w:val="left"/>
      <w:pPr>
        <w:tabs>
          <w:tab w:val="num" w:pos="5760"/>
        </w:tabs>
        <w:ind w:left="5760" w:hanging="360"/>
      </w:pPr>
      <w:rPr>
        <w:rFonts w:ascii="Wingdings" w:hAnsi="Wingdings" w:hint="default"/>
      </w:rPr>
    </w:lvl>
    <w:lvl w:ilvl="8" w:tplc="5B343CB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FE22C7E"/>
    <w:multiLevelType w:val="hybridMultilevel"/>
    <w:tmpl w:val="2EF010DA"/>
    <w:lvl w:ilvl="0" w:tplc="BD2827C4">
      <w:start w:val="1"/>
      <w:numFmt w:val="bullet"/>
      <w:lvlText w:val=""/>
      <w:lvlJc w:val="left"/>
      <w:pPr>
        <w:tabs>
          <w:tab w:val="num" w:pos="720"/>
        </w:tabs>
        <w:ind w:left="720" w:hanging="360"/>
      </w:pPr>
      <w:rPr>
        <w:rFonts w:ascii="Wingdings" w:hAnsi="Wingdings" w:hint="default"/>
      </w:rPr>
    </w:lvl>
    <w:lvl w:ilvl="1" w:tplc="F0F48A54" w:tentative="1">
      <w:start w:val="1"/>
      <w:numFmt w:val="bullet"/>
      <w:lvlText w:val=""/>
      <w:lvlJc w:val="left"/>
      <w:pPr>
        <w:tabs>
          <w:tab w:val="num" w:pos="1440"/>
        </w:tabs>
        <w:ind w:left="1440" w:hanging="360"/>
      </w:pPr>
      <w:rPr>
        <w:rFonts w:ascii="Wingdings" w:hAnsi="Wingdings" w:hint="default"/>
      </w:rPr>
    </w:lvl>
    <w:lvl w:ilvl="2" w:tplc="3CDC5624" w:tentative="1">
      <w:start w:val="1"/>
      <w:numFmt w:val="bullet"/>
      <w:lvlText w:val=""/>
      <w:lvlJc w:val="left"/>
      <w:pPr>
        <w:tabs>
          <w:tab w:val="num" w:pos="2160"/>
        </w:tabs>
        <w:ind w:left="2160" w:hanging="360"/>
      </w:pPr>
      <w:rPr>
        <w:rFonts w:ascii="Wingdings" w:hAnsi="Wingdings" w:hint="default"/>
      </w:rPr>
    </w:lvl>
    <w:lvl w:ilvl="3" w:tplc="0EB0EB32" w:tentative="1">
      <w:start w:val="1"/>
      <w:numFmt w:val="bullet"/>
      <w:lvlText w:val=""/>
      <w:lvlJc w:val="left"/>
      <w:pPr>
        <w:tabs>
          <w:tab w:val="num" w:pos="2880"/>
        </w:tabs>
        <w:ind w:left="2880" w:hanging="360"/>
      </w:pPr>
      <w:rPr>
        <w:rFonts w:ascii="Wingdings" w:hAnsi="Wingdings" w:hint="default"/>
      </w:rPr>
    </w:lvl>
    <w:lvl w:ilvl="4" w:tplc="8E04C7C6" w:tentative="1">
      <w:start w:val="1"/>
      <w:numFmt w:val="bullet"/>
      <w:lvlText w:val=""/>
      <w:lvlJc w:val="left"/>
      <w:pPr>
        <w:tabs>
          <w:tab w:val="num" w:pos="3600"/>
        </w:tabs>
        <w:ind w:left="3600" w:hanging="360"/>
      </w:pPr>
      <w:rPr>
        <w:rFonts w:ascii="Wingdings" w:hAnsi="Wingdings" w:hint="default"/>
      </w:rPr>
    </w:lvl>
    <w:lvl w:ilvl="5" w:tplc="7EC0ECEA" w:tentative="1">
      <w:start w:val="1"/>
      <w:numFmt w:val="bullet"/>
      <w:lvlText w:val=""/>
      <w:lvlJc w:val="left"/>
      <w:pPr>
        <w:tabs>
          <w:tab w:val="num" w:pos="4320"/>
        </w:tabs>
        <w:ind w:left="4320" w:hanging="360"/>
      </w:pPr>
      <w:rPr>
        <w:rFonts w:ascii="Wingdings" w:hAnsi="Wingdings" w:hint="default"/>
      </w:rPr>
    </w:lvl>
    <w:lvl w:ilvl="6" w:tplc="6B4A923E" w:tentative="1">
      <w:start w:val="1"/>
      <w:numFmt w:val="bullet"/>
      <w:lvlText w:val=""/>
      <w:lvlJc w:val="left"/>
      <w:pPr>
        <w:tabs>
          <w:tab w:val="num" w:pos="5040"/>
        </w:tabs>
        <w:ind w:left="5040" w:hanging="360"/>
      </w:pPr>
      <w:rPr>
        <w:rFonts w:ascii="Wingdings" w:hAnsi="Wingdings" w:hint="default"/>
      </w:rPr>
    </w:lvl>
    <w:lvl w:ilvl="7" w:tplc="00C28DD2" w:tentative="1">
      <w:start w:val="1"/>
      <w:numFmt w:val="bullet"/>
      <w:lvlText w:val=""/>
      <w:lvlJc w:val="left"/>
      <w:pPr>
        <w:tabs>
          <w:tab w:val="num" w:pos="5760"/>
        </w:tabs>
        <w:ind w:left="5760" w:hanging="360"/>
      </w:pPr>
      <w:rPr>
        <w:rFonts w:ascii="Wingdings" w:hAnsi="Wingdings" w:hint="default"/>
      </w:rPr>
    </w:lvl>
    <w:lvl w:ilvl="8" w:tplc="532C3D5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244E29"/>
    <w:multiLevelType w:val="hybridMultilevel"/>
    <w:tmpl w:val="62FEFFD0"/>
    <w:lvl w:ilvl="0" w:tplc="74B604E0">
      <w:start w:val="1"/>
      <w:numFmt w:val="bullet"/>
      <w:lvlText w:val=""/>
      <w:lvlJc w:val="left"/>
      <w:pPr>
        <w:tabs>
          <w:tab w:val="num" w:pos="720"/>
        </w:tabs>
        <w:ind w:left="720" w:hanging="360"/>
      </w:pPr>
      <w:rPr>
        <w:rFonts w:ascii="Wingdings" w:hAnsi="Wingdings" w:hint="default"/>
      </w:rPr>
    </w:lvl>
    <w:lvl w:ilvl="1" w:tplc="7E86412E" w:tentative="1">
      <w:start w:val="1"/>
      <w:numFmt w:val="bullet"/>
      <w:lvlText w:val=""/>
      <w:lvlJc w:val="left"/>
      <w:pPr>
        <w:tabs>
          <w:tab w:val="num" w:pos="1440"/>
        </w:tabs>
        <w:ind w:left="1440" w:hanging="360"/>
      </w:pPr>
      <w:rPr>
        <w:rFonts w:ascii="Wingdings" w:hAnsi="Wingdings" w:hint="default"/>
      </w:rPr>
    </w:lvl>
    <w:lvl w:ilvl="2" w:tplc="FD682F54" w:tentative="1">
      <w:start w:val="1"/>
      <w:numFmt w:val="bullet"/>
      <w:lvlText w:val=""/>
      <w:lvlJc w:val="left"/>
      <w:pPr>
        <w:tabs>
          <w:tab w:val="num" w:pos="2160"/>
        </w:tabs>
        <w:ind w:left="2160" w:hanging="360"/>
      </w:pPr>
      <w:rPr>
        <w:rFonts w:ascii="Wingdings" w:hAnsi="Wingdings" w:hint="default"/>
      </w:rPr>
    </w:lvl>
    <w:lvl w:ilvl="3" w:tplc="27E4A5D0" w:tentative="1">
      <w:start w:val="1"/>
      <w:numFmt w:val="bullet"/>
      <w:lvlText w:val=""/>
      <w:lvlJc w:val="left"/>
      <w:pPr>
        <w:tabs>
          <w:tab w:val="num" w:pos="2880"/>
        </w:tabs>
        <w:ind w:left="2880" w:hanging="360"/>
      </w:pPr>
      <w:rPr>
        <w:rFonts w:ascii="Wingdings" w:hAnsi="Wingdings" w:hint="default"/>
      </w:rPr>
    </w:lvl>
    <w:lvl w:ilvl="4" w:tplc="93B40D92" w:tentative="1">
      <w:start w:val="1"/>
      <w:numFmt w:val="bullet"/>
      <w:lvlText w:val=""/>
      <w:lvlJc w:val="left"/>
      <w:pPr>
        <w:tabs>
          <w:tab w:val="num" w:pos="3600"/>
        </w:tabs>
        <w:ind w:left="3600" w:hanging="360"/>
      </w:pPr>
      <w:rPr>
        <w:rFonts w:ascii="Wingdings" w:hAnsi="Wingdings" w:hint="default"/>
      </w:rPr>
    </w:lvl>
    <w:lvl w:ilvl="5" w:tplc="0B7299C4" w:tentative="1">
      <w:start w:val="1"/>
      <w:numFmt w:val="bullet"/>
      <w:lvlText w:val=""/>
      <w:lvlJc w:val="left"/>
      <w:pPr>
        <w:tabs>
          <w:tab w:val="num" w:pos="4320"/>
        </w:tabs>
        <w:ind w:left="4320" w:hanging="360"/>
      </w:pPr>
      <w:rPr>
        <w:rFonts w:ascii="Wingdings" w:hAnsi="Wingdings" w:hint="default"/>
      </w:rPr>
    </w:lvl>
    <w:lvl w:ilvl="6" w:tplc="8E0018B6" w:tentative="1">
      <w:start w:val="1"/>
      <w:numFmt w:val="bullet"/>
      <w:lvlText w:val=""/>
      <w:lvlJc w:val="left"/>
      <w:pPr>
        <w:tabs>
          <w:tab w:val="num" w:pos="5040"/>
        </w:tabs>
        <w:ind w:left="5040" w:hanging="360"/>
      </w:pPr>
      <w:rPr>
        <w:rFonts w:ascii="Wingdings" w:hAnsi="Wingdings" w:hint="default"/>
      </w:rPr>
    </w:lvl>
    <w:lvl w:ilvl="7" w:tplc="6AEEBA8C" w:tentative="1">
      <w:start w:val="1"/>
      <w:numFmt w:val="bullet"/>
      <w:lvlText w:val=""/>
      <w:lvlJc w:val="left"/>
      <w:pPr>
        <w:tabs>
          <w:tab w:val="num" w:pos="5760"/>
        </w:tabs>
        <w:ind w:left="5760" w:hanging="360"/>
      </w:pPr>
      <w:rPr>
        <w:rFonts w:ascii="Wingdings" w:hAnsi="Wingdings" w:hint="default"/>
      </w:rPr>
    </w:lvl>
    <w:lvl w:ilvl="8" w:tplc="3524035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3D2A4D"/>
    <w:multiLevelType w:val="hybridMultilevel"/>
    <w:tmpl w:val="F5520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23369A"/>
    <w:multiLevelType w:val="hybridMultilevel"/>
    <w:tmpl w:val="C7E66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2486362">
    <w:abstractNumId w:val="6"/>
  </w:num>
  <w:num w:numId="2" w16cid:durableId="315377931">
    <w:abstractNumId w:val="7"/>
  </w:num>
  <w:num w:numId="3" w16cid:durableId="1041247192">
    <w:abstractNumId w:val="3"/>
  </w:num>
  <w:num w:numId="4" w16cid:durableId="661390222">
    <w:abstractNumId w:val="5"/>
  </w:num>
  <w:num w:numId="5" w16cid:durableId="1952587160">
    <w:abstractNumId w:val="0"/>
  </w:num>
  <w:num w:numId="6" w16cid:durableId="1317101421">
    <w:abstractNumId w:val="1"/>
  </w:num>
  <w:num w:numId="7" w16cid:durableId="1420324048">
    <w:abstractNumId w:val="2"/>
  </w:num>
  <w:num w:numId="8" w16cid:durableId="6127834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8CF"/>
    <w:rsid w:val="000008A3"/>
    <w:rsid w:val="0002121A"/>
    <w:rsid w:val="0002244D"/>
    <w:rsid w:val="00030427"/>
    <w:rsid w:val="000433DF"/>
    <w:rsid w:val="00060840"/>
    <w:rsid w:val="000611C7"/>
    <w:rsid w:val="00073A21"/>
    <w:rsid w:val="00085001"/>
    <w:rsid w:val="000B6FF0"/>
    <w:rsid w:val="000C7CFC"/>
    <w:rsid w:val="000E0748"/>
    <w:rsid w:val="000E1B38"/>
    <w:rsid w:val="000F065B"/>
    <w:rsid w:val="000F0E56"/>
    <w:rsid w:val="000F1395"/>
    <w:rsid w:val="00114A24"/>
    <w:rsid w:val="00117149"/>
    <w:rsid w:val="00125D4D"/>
    <w:rsid w:val="00131815"/>
    <w:rsid w:val="00132BD0"/>
    <w:rsid w:val="00150EA7"/>
    <w:rsid w:val="001554A1"/>
    <w:rsid w:val="00166F63"/>
    <w:rsid w:val="0017277F"/>
    <w:rsid w:val="00181E35"/>
    <w:rsid w:val="001A5223"/>
    <w:rsid w:val="001B4639"/>
    <w:rsid w:val="001D2168"/>
    <w:rsid w:val="001D3E3B"/>
    <w:rsid w:val="001E169A"/>
    <w:rsid w:val="001E782B"/>
    <w:rsid w:val="001F6FE3"/>
    <w:rsid w:val="002041D9"/>
    <w:rsid w:val="002068EF"/>
    <w:rsid w:val="0020743E"/>
    <w:rsid w:val="00215A4F"/>
    <w:rsid w:val="00217EA4"/>
    <w:rsid w:val="00224887"/>
    <w:rsid w:val="00230C79"/>
    <w:rsid w:val="002465F2"/>
    <w:rsid w:val="00252979"/>
    <w:rsid w:val="0025511D"/>
    <w:rsid w:val="00264B98"/>
    <w:rsid w:val="002728BD"/>
    <w:rsid w:val="00281196"/>
    <w:rsid w:val="00284336"/>
    <w:rsid w:val="0029153C"/>
    <w:rsid w:val="002D1AE8"/>
    <w:rsid w:val="002D264F"/>
    <w:rsid w:val="002E6E02"/>
    <w:rsid w:val="002F33B5"/>
    <w:rsid w:val="00314207"/>
    <w:rsid w:val="0033765F"/>
    <w:rsid w:val="00362DA0"/>
    <w:rsid w:val="00372FA0"/>
    <w:rsid w:val="00375535"/>
    <w:rsid w:val="00396329"/>
    <w:rsid w:val="003C0E4A"/>
    <w:rsid w:val="003D6E21"/>
    <w:rsid w:val="0041273C"/>
    <w:rsid w:val="00437604"/>
    <w:rsid w:val="00455775"/>
    <w:rsid w:val="004628BB"/>
    <w:rsid w:val="004707B8"/>
    <w:rsid w:val="00482821"/>
    <w:rsid w:val="00495FE5"/>
    <w:rsid w:val="004B6606"/>
    <w:rsid w:val="004C3876"/>
    <w:rsid w:val="004E44CA"/>
    <w:rsid w:val="004F07E1"/>
    <w:rsid w:val="004F7AF4"/>
    <w:rsid w:val="00512A8E"/>
    <w:rsid w:val="00521A91"/>
    <w:rsid w:val="005227D1"/>
    <w:rsid w:val="005231AA"/>
    <w:rsid w:val="00543902"/>
    <w:rsid w:val="005443ED"/>
    <w:rsid w:val="00551449"/>
    <w:rsid w:val="00554A3F"/>
    <w:rsid w:val="005649D6"/>
    <w:rsid w:val="00575578"/>
    <w:rsid w:val="00583A8C"/>
    <w:rsid w:val="005A5041"/>
    <w:rsid w:val="005B1A94"/>
    <w:rsid w:val="005B2E60"/>
    <w:rsid w:val="005C1A40"/>
    <w:rsid w:val="005C1FF3"/>
    <w:rsid w:val="005D3BD2"/>
    <w:rsid w:val="00630716"/>
    <w:rsid w:val="00632DF0"/>
    <w:rsid w:val="00652313"/>
    <w:rsid w:val="00672FB9"/>
    <w:rsid w:val="00677610"/>
    <w:rsid w:val="00680E07"/>
    <w:rsid w:val="006845EE"/>
    <w:rsid w:val="006A3F68"/>
    <w:rsid w:val="006A47BF"/>
    <w:rsid w:val="006A4854"/>
    <w:rsid w:val="006A4BEA"/>
    <w:rsid w:val="006C3303"/>
    <w:rsid w:val="006E481D"/>
    <w:rsid w:val="0070288E"/>
    <w:rsid w:val="00723A36"/>
    <w:rsid w:val="00754573"/>
    <w:rsid w:val="0075578C"/>
    <w:rsid w:val="00766811"/>
    <w:rsid w:val="0078275C"/>
    <w:rsid w:val="0078371E"/>
    <w:rsid w:val="0079400E"/>
    <w:rsid w:val="00796AD8"/>
    <w:rsid w:val="007B0527"/>
    <w:rsid w:val="007D3EB2"/>
    <w:rsid w:val="007E01C0"/>
    <w:rsid w:val="007E03D8"/>
    <w:rsid w:val="00814822"/>
    <w:rsid w:val="008316A2"/>
    <w:rsid w:val="0083175E"/>
    <w:rsid w:val="00840FF6"/>
    <w:rsid w:val="00843691"/>
    <w:rsid w:val="00853B8C"/>
    <w:rsid w:val="00862926"/>
    <w:rsid w:val="00864C14"/>
    <w:rsid w:val="00866E9A"/>
    <w:rsid w:val="008A07E3"/>
    <w:rsid w:val="008A3B3A"/>
    <w:rsid w:val="008A5CE3"/>
    <w:rsid w:val="008B063F"/>
    <w:rsid w:val="008C095E"/>
    <w:rsid w:val="008D672F"/>
    <w:rsid w:val="008D799F"/>
    <w:rsid w:val="0092108A"/>
    <w:rsid w:val="009327DF"/>
    <w:rsid w:val="00952967"/>
    <w:rsid w:val="00955C41"/>
    <w:rsid w:val="0099708D"/>
    <w:rsid w:val="009A3260"/>
    <w:rsid w:val="009B7B98"/>
    <w:rsid w:val="009C0AE4"/>
    <w:rsid w:val="009C52E7"/>
    <w:rsid w:val="009D05B6"/>
    <w:rsid w:val="009D6B98"/>
    <w:rsid w:val="00A0361A"/>
    <w:rsid w:val="00A06831"/>
    <w:rsid w:val="00A17A06"/>
    <w:rsid w:val="00A37E73"/>
    <w:rsid w:val="00A46037"/>
    <w:rsid w:val="00A62B6F"/>
    <w:rsid w:val="00A71182"/>
    <w:rsid w:val="00A87890"/>
    <w:rsid w:val="00A915D4"/>
    <w:rsid w:val="00A95723"/>
    <w:rsid w:val="00AA64F2"/>
    <w:rsid w:val="00AA75DC"/>
    <w:rsid w:val="00AC0B1C"/>
    <w:rsid w:val="00AD20CD"/>
    <w:rsid w:val="00AD7EF0"/>
    <w:rsid w:val="00AF4B20"/>
    <w:rsid w:val="00B04D52"/>
    <w:rsid w:val="00B224AC"/>
    <w:rsid w:val="00B233D6"/>
    <w:rsid w:val="00B31D94"/>
    <w:rsid w:val="00B42734"/>
    <w:rsid w:val="00B60718"/>
    <w:rsid w:val="00B7152B"/>
    <w:rsid w:val="00B8211E"/>
    <w:rsid w:val="00B87DDF"/>
    <w:rsid w:val="00BA344B"/>
    <w:rsid w:val="00BA52B0"/>
    <w:rsid w:val="00BA5ECC"/>
    <w:rsid w:val="00BC4237"/>
    <w:rsid w:val="00BC438B"/>
    <w:rsid w:val="00BD748B"/>
    <w:rsid w:val="00BE0AE1"/>
    <w:rsid w:val="00BE5E4C"/>
    <w:rsid w:val="00C10E41"/>
    <w:rsid w:val="00C15C33"/>
    <w:rsid w:val="00C21ACB"/>
    <w:rsid w:val="00C23CDD"/>
    <w:rsid w:val="00C247F8"/>
    <w:rsid w:val="00C24800"/>
    <w:rsid w:val="00C249C2"/>
    <w:rsid w:val="00C467C4"/>
    <w:rsid w:val="00C5295D"/>
    <w:rsid w:val="00C562C8"/>
    <w:rsid w:val="00C60246"/>
    <w:rsid w:val="00C70318"/>
    <w:rsid w:val="00C75BBE"/>
    <w:rsid w:val="00C8428F"/>
    <w:rsid w:val="00C86F56"/>
    <w:rsid w:val="00C87E56"/>
    <w:rsid w:val="00C9703B"/>
    <w:rsid w:val="00CA1D85"/>
    <w:rsid w:val="00CA2342"/>
    <w:rsid w:val="00CA4530"/>
    <w:rsid w:val="00CC334E"/>
    <w:rsid w:val="00CE4D98"/>
    <w:rsid w:val="00CF1FC1"/>
    <w:rsid w:val="00CF38CF"/>
    <w:rsid w:val="00CF3C84"/>
    <w:rsid w:val="00D047AA"/>
    <w:rsid w:val="00D06929"/>
    <w:rsid w:val="00D22545"/>
    <w:rsid w:val="00D4261B"/>
    <w:rsid w:val="00D443AE"/>
    <w:rsid w:val="00D47B93"/>
    <w:rsid w:val="00D540BB"/>
    <w:rsid w:val="00D60865"/>
    <w:rsid w:val="00D60F3C"/>
    <w:rsid w:val="00D74CA9"/>
    <w:rsid w:val="00D933F3"/>
    <w:rsid w:val="00D95621"/>
    <w:rsid w:val="00DA1DD8"/>
    <w:rsid w:val="00DB0553"/>
    <w:rsid w:val="00DD1225"/>
    <w:rsid w:val="00DD2642"/>
    <w:rsid w:val="00DE14CB"/>
    <w:rsid w:val="00DE50CC"/>
    <w:rsid w:val="00DE588A"/>
    <w:rsid w:val="00E05F3A"/>
    <w:rsid w:val="00E346BF"/>
    <w:rsid w:val="00E42B97"/>
    <w:rsid w:val="00E714AD"/>
    <w:rsid w:val="00E87D42"/>
    <w:rsid w:val="00E91857"/>
    <w:rsid w:val="00E94DBD"/>
    <w:rsid w:val="00E97E9F"/>
    <w:rsid w:val="00EA6274"/>
    <w:rsid w:val="00EB409B"/>
    <w:rsid w:val="00EB59A2"/>
    <w:rsid w:val="00EB7F7C"/>
    <w:rsid w:val="00EE633B"/>
    <w:rsid w:val="00F04CEB"/>
    <w:rsid w:val="00F1547B"/>
    <w:rsid w:val="00F20C4F"/>
    <w:rsid w:val="00F7675F"/>
    <w:rsid w:val="00FB1507"/>
    <w:rsid w:val="00FB4A59"/>
    <w:rsid w:val="00FC38E2"/>
    <w:rsid w:val="00FC7416"/>
    <w:rsid w:val="00FD1485"/>
    <w:rsid w:val="00FE0A46"/>
    <w:rsid w:val="00FE7319"/>
    <w:rsid w:val="00FF2E1A"/>
    <w:rsid w:val="00FF54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96687"/>
  <w15:chartTrackingRefBased/>
  <w15:docId w15:val="{1B1B3A14-234A-479F-8E4C-4BFD78BB1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8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38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38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F38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38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38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38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38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38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8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38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F38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F38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38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38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38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38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38CF"/>
    <w:rPr>
      <w:rFonts w:eastAsiaTheme="majorEastAsia" w:cstheme="majorBidi"/>
      <w:color w:val="272727" w:themeColor="text1" w:themeTint="D8"/>
    </w:rPr>
  </w:style>
  <w:style w:type="paragraph" w:styleId="Title">
    <w:name w:val="Title"/>
    <w:basedOn w:val="Normal"/>
    <w:next w:val="Normal"/>
    <w:link w:val="TitleChar"/>
    <w:uiPriority w:val="10"/>
    <w:qFormat/>
    <w:rsid w:val="00CF38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38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38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38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38CF"/>
    <w:pPr>
      <w:spacing w:before="160"/>
      <w:jc w:val="center"/>
    </w:pPr>
    <w:rPr>
      <w:i/>
      <w:iCs/>
      <w:color w:val="404040" w:themeColor="text1" w:themeTint="BF"/>
    </w:rPr>
  </w:style>
  <w:style w:type="character" w:customStyle="1" w:styleId="QuoteChar">
    <w:name w:val="Quote Char"/>
    <w:basedOn w:val="DefaultParagraphFont"/>
    <w:link w:val="Quote"/>
    <w:uiPriority w:val="29"/>
    <w:rsid w:val="00CF38CF"/>
    <w:rPr>
      <w:i/>
      <w:iCs/>
      <w:color w:val="404040" w:themeColor="text1" w:themeTint="BF"/>
    </w:rPr>
  </w:style>
  <w:style w:type="paragraph" w:styleId="ListParagraph">
    <w:name w:val="List Paragraph"/>
    <w:basedOn w:val="Normal"/>
    <w:uiPriority w:val="34"/>
    <w:qFormat/>
    <w:rsid w:val="00CF38CF"/>
    <w:pPr>
      <w:ind w:left="720"/>
      <w:contextualSpacing/>
    </w:pPr>
  </w:style>
  <w:style w:type="character" w:styleId="IntenseEmphasis">
    <w:name w:val="Intense Emphasis"/>
    <w:basedOn w:val="DefaultParagraphFont"/>
    <w:uiPriority w:val="21"/>
    <w:qFormat/>
    <w:rsid w:val="00CF38CF"/>
    <w:rPr>
      <w:i/>
      <w:iCs/>
      <w:color w:val="0F4761" w:themeColor="accent1" w:themeShade="BF"/>
    </w:rPr>
  </w:style>
  <w:style w:type="paragraph" w:styleId="IntenseQuote">
    <w:name w:val="Intense Quote"/>
    <w:basedOn w:val="Normal"/>
    <w:next w:val="Normal"/>
    <w:link w:val="IntenseQuoteChar"/>
    <w:uiPriority w:val="30"/>
    <w:qFormat/>
    <w:rsid w:val="00CF38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38CF"/>
    <w:rPr>
      <w:i/>
      <w:iCs/>
      <w:color w:val="0F4761" w:themeColor="accent1" w:themeShade="BF"/>
    </w:rPr>
  </w:style>
  <w:style w:type="character" w:styleId="IntenseReference">
    <w:name w:val="Intense Reference"/>
    <w:basedOn w:val="DefaultParagraphFont"/>
    <w:uiPriority w:val="32"/>
    <w:qFormat/>
    <w:rsid w:val="00CF38CF"/>
    <w:rPr>
      <w:b/>
      <w:bCs/>
      <w:smallCaps/>
      <w:color w:val="0F4761" w:themeColor="accent1" w:themeShade="BF"/>
      <w:spacing w:val="5"/>
    </w:rPr>
  </w:style>
  <w:style w:type="paragraph" w:styleId="NoSpacing">
    <w:name w:val="No Spacing"/>
    <w:link w:val="NoSpacingChar"/>
    <w:uiPriority w:val="1"/>
    <w:qFormat/>
    <w:rsid w:val="00FF2E1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F2E1A"/>
    <w:rPr>
      <w:rFonts w:eastAsiaTheme="minorEastAsia"/>
      <w:kern w:val="0"/>
      <w:lang w:eastAsia="en-GB"/>
      <w14:ligatures w14:val="none"/>
    </w:rPr>
  </w:style>
  <w:style w:type="paragraph" w:styleId="Header">
    <w:name w:val="header"/>
    <w:basedOn w:val="Normal"/>
    <w:link w:val="HeaderChar"/>
    <w:uiPriority w:val="99"/>
    <w:unhideWhenUsed/>
    <w:rsid w:val="001E16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69A"/>
  </w:style>
  <w:style w:type="paragraph" w:styleId="Footer">
    <w:name w:val="footer"/>
    <w:basedOn w:val="Normal"/>
    <w:link w:val="FooterChar"/>
    <w:uiPriority w:val="99"/>
    <w:unhideWhenUsed/>
    <w:rsid w:val="001E16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69A"/>
  </w:style>
  <w:style w:type="character" w:styleId="Hyperlink">
    <w:name w:val="Hyperlink"/>
    <w:basedOn w:val="DefaultParagraphFont"/>
    <w:uiPriority w:val="99"/>
    <w:unhideWhenUsed/>
    <w:rsid w:val="00495FE5"/>
    <w:rPr>
      <w:color w:val="467886" w:themeColor="hyperlink"/>
      <w:u w:val="single"/>
    </w:rPr>
  </w:style>
  <w:style w:type="character" w:styleId="UnresolvedMention">
    <w:name w:val="Unresolved Mention"/>
    <w:basedOn w:val="DefaultParagraphFont"/>
    <w:uiPriority w:val="99"/>
    <w:semiHidden/>
    <w:unhideWhenUsed/>
    <w:rsid w:val="00495FE5"/>
    <w:rPr>
      <w:color w:val="605E5C"/>
      <w:shd w:val="clear" w:color="auto" w:fill="E1DFDD"/>
    </w:rPr>
  </w:style>
  <w:style w:type="character" w:styleId="FollowedHyperlink">
    <w:name w:val="FollowedHyperlink"/>
    <w:basedOn w:val="DefaultParagraphFont"/>
    <w:uiPriority w:val="99"/>
    <w:semiHidden/>
    <w:unhideWhenUsed/>
    <w:rsid w:val="00F04CE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3981">
      <w:bodyDiv w:val="1"/>
      <w:marLeft w:val="0"/>
      <w:marRight w:val="0"/>
      <w:marTop w:val="0"/>
      <w:marBottom w:val="0"/>
      <w:divBdr>
        <w:top w:val="none" w:sz="0" w:space="0" w:color="auto"/>
        <w:left w:val="none" w:sz="0" w:space="0" w:color="auto"/>
        <w:bottom w:val="none" w:sz="0" w:space="0" w:color="auto"/>
        <w:right w:val="none" w:sz="0" w:space="0" w:color="auto"/>
      </w:divBdr>
    </w:div>
    <w:div w:id="98835106">
      <w:bodyDiv w:val="1"/>
      <w:marLeft w:val="0"/>
      <w:marRight w:val="0"/>
      <w:marTop w:val="0"/>
      <w:marBottom w:val="0"/>
      <w:divBdr>
        <w:top w:val="none" w:sz="0" w:space="0" w:color="auto"/>
        <w:left w:val="none" w:sz="0" w:space="0" w:color="auto"/>
        <w:bottom w:val="none" w:sz="0" w:space="0" w:color="auto"/>
        <w:right w:val="none" w:sz="0" w:space="0" w:color="auto"/>
      </w:divBdr>
      <w:divsChild>
        <w:div w:id="1166020187">
          <w:marLeft w:val="0"/>
          <w:marRight w:val="0"/>
          <w:marTop w:val="0"/>
          <w:marBottom w:val="0"/>
          <w:divBdr>
            <w:top w:val="none" w:sz="0" w:space="0" w:color="auto"/>
            <w:left w:val="none" w:sz="0" w:space="0" w:color="auto"/>
            <w:bottom w:val="none" w:sz="0" w:space="0" w:color="auto"/>
            <w:right w:val="none" w:sz="0" w:space="0" w:color="auto"/>
          </w:divBdr>
        </w:div>
        <w:div w:id="1243181657">
          <w:marLeft w:val="0"/>
          <w:marRight w:val="0"/>
          <w:marTop w:val="0"/>
          <w:marBottom w:val="0"/>
          <w:divBdr>
            <w:top w:val="none" w:sz="0" w:space="0" w:color="auto"/>
            <w:left w:val="none" w:sz="0" w:space="0" w:color="auto"/>
            <w:bottom w:val="none" w:sz="0" w:space="0" w:color="auto"/>
            <w:right w:val="none" w:sz="0" w:space="0" w:color="auto"/>
          </w:divBdr>
        </w:div>
        <w:div w:id="1549023647">
          <w:marLeft w:val="0"/>
          <w:marRight w:val="0"/>
          <w:marTop w:val="0"/>
          <w:marBottom w:val="0"/>
          <w:divBdr>
            <w:top w:val="none" w:sz="0" w:space="0" w:color="auto"/>
            <w:left w:val="none" w:sz="0" w:space="0" w:color="auto"/>
            <w:bottom w:val="none" w:sz="0" w:space="0" w:color="auto"/>
            <w:right w:val="none" w:sz="0" w:space="0" w:color="auto"/>
          </w:divBdr>
        </w:div>
        <w:div w:id="301497937">
          <w:marLeft w:val="0"/>
          <w:marRight w:val="0"/>
          <w:marTop w:val="0"/>
          <w:marBottom w:val="0"/>
          <w:divBdr>
            <w:top w:val="none" w:sz="0" w:space="0" w:color="auto"/>
            <w:left w:val="none" w:sz="0" w:space="0" w:color="auto"/>
            <w:bottom w:val="none" w:sz="0" w:space="0" w:color="auto"/>
            <w:right w:val="none" w:sz="0" w:space="0" w:color="auto"/>
          </w:divBdr>
        </w:div>
      </w:divsChild>
    </w:div>
    <w:div w:id="291056390">
      <w:bodyDiv w:val="1"/>
      <w:marLeft w:val="0"/>
      <w:marRight w:val="0"/>
      <w:marTop w:val="0"/>
      <w:marBottom w:val="0"/>
      <w:divBdr>
        <w:top w:val="none" w:sz="0" w:space="0" w:color="auto"/>
        <w:left w:val="none" w:sz="0" w:space="0" w:color="auto"/>
        <w:bottom w:val="none" w:sz="0" w:space="0" w:color="auto"/>
        <w:right w:val="none" w:sz="0" w:space="0" w:color="auto"/>
      </w:divBdr>
      <w:divsChild>
        <w:div w:id="1897470154">
          <w:marLeft w:val="360"/>
          <w:marRight w:val="0"/>
          <w:marTop w:val="200"/>
          <w:marBottom w:val="0"/>
          <w:divBdr>
            <w:top w:val="none" w:sz="0" w:space="0" w:color="auto"/>
            <w:left w:val="none" w:sz="0" w:space="0" w:color="auto"/>
            <w:bottom w:val="none" w:sz="0" w:space="0" w:color="auto"/>
            <w:right w:val="none" w:sz="0" w:space="0" w:color="auto"/>
          </w:divBdr>
        </w:div>
      </w:divsChild>
    </w:div>
    <w:div w:id="302272535">
      <w:bodyDiv w:val="1"/>
      <w:marLeft w:val="0"/>
      <w:marRight w:val="0"/>
      <w:marTop w:val="0"/>
      <w:marBottom w:val="0"/>
      <w:divBdr>
        <w:top w:val="none" w:sz="0" w:space="0" w:color="auto"/>
        <w:left w:val="none" w:sz="0" w:space="0" w:color="auto"/>
        <w:bottom w:val="none" w:sz="0" w:space="0" w:color="auto"/>
        <w:right w:val="none" w:sz="0" w:space="0" w:color="auto"/>
      </w:divBdr>
    </w:div>
    <w:div w:id="327825590">
      <w:bodyDiv w:val="1"/>
      <w:marLeft w:val="0"/>
      <w:marRight w:val="0"/>
      <w:marTop w:val="0"/>
      <w:marBottom w:val="0"/>
      <w:divBdr>
        <w:top w:val="none" w:sz="0" w:space="0" w:color="auto"/>
        <w:left w:val="none" w:sz="0" w:space="0" w:color="auto"/>
        <w:bottom w:val="none" w:sz="0" w:space="0" w:color="auto"/>
        <w:right w:val="none" w:sz="0" w:space="0" w:color="auto"/>
      </w:divBdr>
    </w:div>
    <w:div w:id="371804286">
      <w:bodyDiv w:val="1"/>
      <w:marLeft w:val="0"/>
      <w:marRight w:val="0"/>
      <w:marTop w:val="0"/>
      <w:marBottom w:val="0"/>
      <w:divBdr>
        <w:top w:val="none" w:sz="0" w:space="0" w:color="auto"/>
        <w:left w:val="none" w:sz="0" w:space="0" w:color="auto"/>
        <w:bottom w:val="none" w:sz="0" w:space="0" w:color="auto"/>
        <w:right w:val="none" w:sz="0" w:space="0" w:color="auto"/>
      </w:divBdr>
    </w:div>
    <w:div w:id="428162752">
      <w:bodyDiv w:val="1"/>
      <w:marLeft w:val="0"/>
      <w:marRight w:val="0"/>
      <w:marTop w:val="0"/>
      <w:marBottom w:val="0"/>
      <w:divBdr>
        <w:top w:val="none" w:sz="0" w:space="0" w:color="auto"/>
        <w:left w:val="none" w:sz="0" w:space="0" w:color="auto"/>
        <w:bottom w:val="none" w:sz="0" w:space="0" w:color="auto"/>
        <w:right w:val="none" w:sz="0" w:space="0" w:color="auto"/>
      </w:divBdr>
    </w:div>
    <w:div w:id="442185878">
      <w:bodyDiv w:val="1"/>
      <w:marLeft w:val="0"/>
      <w:marRight w:val="0"/>
      <w:marTop w:val="0"/>
      <w:marBottom w:val="0"/>
      <w:divBdr>
        <w:top w:val="none" w:sz="0" w:space="0" w:color="auto"/>
        <w:left w:val="none" w:sz="0" w:space="0" w:color="auto"/>
        <w:bottom w:val="none" w:sz="0" w:space="0" w:color="auto"/>
        <w:right w:val="none" w:sz="0" w:space="0" w:color="auto"/>
      </w:divBdr>
    </w:div>
    <w:div w:id="515078502">
      <w:bodyDiv w:val="1"/>
      <w:marLeft w:val="0"/>
      <w:marRight w:val="0"/>
      <w:marTop w:val="0"/>
      <w:marBottom w:val="0"/>
      <w:divBdr>
        <w:top w:val="none" w:sz="0" w:space="0" w:color="auto"/>
        <w:left w:val="none" w:sz="0" w:space="0" w:color="auto"/>
        <w:bottom w:val="none" w:sz="0" w:space="0" w:color="auto"/>
        <w:right w:val="none" w:sz="0" w:space="0" w:color="auto"/>
      </w:divBdr>
    </w:div>
    <w:div w:id="518206541">
      <w:bodyDiv w:val="1"/>
      <w:marLeft w:val="0"/>
      <w:marRight w:val="0"/>
      <w:marTop w:val="0"/>
      <w:marBottom w:val="0"/>
      <w:divBdr>
        <w:top w:val="none" w:sz="0" w:space="0" w:color="auto"/>
        <w:left w:val="none" w:sz="0" w:space="0" w:color="auto"/>
        <w:bottom w:val="none" w:sz="0" w:space="0" w:color="auto"/>
        <w:right w:val="none" w:sz="0" w:space="0" w:color="auto"/>
      </w:divBdr>
    </w:div>
    <w:div w:id="723138252">
      <w:bodyDiv w:val="1"/>
      <w:marLeft w:val="0"/>
      <w:marRight w:val="0"/>
      <w:marTop w:val="0"/>
      <w:marBottom w:val="0"/>
      <w:divBdr>
        <w:top w:val="none" w:sz="0" w:space="0" w:color="auto"/>
        <w:left w:val="none" w:sz="0" w:space="0" w:color="auto"/>
        <w:bottom w:val="none" w:sz="0" w:space="0" w:color="auto"/>
        <w:right w:val="none" w:sz="0" w:space="0" w:color="auto"/>
      </w:divBdr>
    </w:div>
    <w:div w:id="734356568">
      <w:bodyDiv w:val="1"/>
      <w:marLeft w:val="0"/>
      <w:marRight w:val="0"/>
      <w:marTop w:val="0"/>
      <w:marBottom w:val="0"/>
      <w:divBdr>
        <w:top w:val="none" w:sz="0" w:space="0" w:color="auto"/>
        <w:left w:val="none" w:sz="0" w:space="0" w:color="auto"/>
        <w:bottom w:val="none" w:sz="0" w:space="0" w:color="auto"/>
        <w:right w:val="none" w:sz="0" w:space="0" w:color="auto"/>
      </w:divBdr>
    </w:div>
    <w:div w:id="799036429">
      <w:bodyDiv w:val="1"/>
      <w:marLeft w:val="0"/>
      <w:marRight w:val="0"/>
      <w:marTop w:val="0"/>
      <w:marBottom w:val="0"/>
      <w:divBdr>
        <w:top w:val="none" w:sz="0" w:space="0" w:color="auto"/>
        <w:left w:val="none" w:sz="0" w:space="0" w:color="auto"/>
        <w:bottom w:val="none" w:sz="0" w:space="0" w:color="auto"/>
        <w:right w:val="none" w:sz="0" w:space="0" w:color="auto"/>
      </w:divBdr>
    </w:div>
    <w:div w:id="837693751">
      <w:bodyDiv w:val="1"/>
      <w:marLeft w:val="0"/>
      <w:marRight w:val="0"/>
      <w:marTop w:val="0"/>
      <w:marBottom w:val="0"/>
      <w:divBdr>
        <w:top w:val="none" w:sz="0" w:space="0" w:color="auto"/>
        <w:left w:val="none" w:sz="0" w:space="0" w:color="auto"/>
        <w:bottom w:val="none" w:sz="0" w:space="0" w:color="auto"/>
        <w:right w:val="none" w:sz="0" w:space="0" w:color="auto"/>
      </w:divBdr>
    </w:div>
    <w:div w:id="928928984">
      <w:bodyDiv w:val="1"/>
      <w:marLeft w:val="0"/>
      <w:marRight w:val="0"/>
      <w:marTop w:val="0"/>
      <w:marBottom w:val="0"/>
      <w:divBdr>
        <w:top w:val="none" w:sz="0" w:space="0" w:color="auto"/>
        <w:left w:val="none" w:sz="0" w:space="0" w:color="auto"/>
        <w:bottom w:val="none" w:sz="0" w:space="0" w:color="auto"/>
        <w:right w:val="none" w:sz="0" w:space="0" w:color="auto"/>
      </w:divBdr>
    </w:div>
    <w:div w:id="976177925">
      <w:bodyDiv w:val="1"/>
      <w:marLeft w:val="0"/>
      <w:marRight w:val="0"/>
      <w:marTop w:val="0"/>
      <w:marBottom w:val="0"/>
      <w:divBdr>
        <w:top w:val="none" w:sz="0" w:space="0" w:color="auto"/>
        <w:left w:val="none" w:sz="0" w:space="0" w:color="auto"/>
        <w:bottom w:val="none" w:sz="0" w:space="0" w:color="auto"/>
        <w:right w:val="none" w:sz="0" w:space="0" w:color="auto"/>
      </w:divBdr>
    </w:div>
    <w:div w:id="990518261">
      <w:bodyDiv w:val="1"/>
      <w:marLeft w:val="0"/>
      <w:marRight w:val="0"/>
      <w:marTop w:val="0"/>
      <w:marBottom w:val="0"/>
      <w:divBdr>
        <w:top w:val="none" w:sz="0" w:space="0" w:color="auto"/>
        <w:left w:val="none" w:sz="0" w:space="0" w:color="auto"/>
        <w:bottom w:val="none" w:sz="0" w:space="0" w:color="auto"/>
        <w:right w:val="none" w:sz="0" w:space="0" w:color="auto"/>
      </w:divBdr>
    </w:div>
    <w:div w:id="1262957349">
      <w:bodyDiv w:val="1"/>
      <w:marLeft w:val="0"/>
      <w:marRight w:val="0"/>
      <w:marTop w:val="0"/>
      <w:marBottom w:val="0"/>
      <w:divBdr>
        <w:top w:val="none" w:sz="0" w:space="0" w:color="auto"/>
        <w:left w:val="none" w:sz="0" w:space="0" w:color="auto"/>
        <w:bottom w:val="none" w:sz="0" w:space="0" w:color="auto"/>
        <w:right w:val="none" w:sz="0" w:space="0" w:color="auto"/>
      </w:divBdr>
    </w:div>
    <w:div w:id="1378820431">
      <w:bodyDiv w:val="1"/>
      <w:marLeft w:val="0"/>
      <w:marRight w:val="0"/>
      <w:marTop w:val="0"/>
      <w:marBottom w:val="0"/>
      <w:divBdr>
        <w:top w:val="none" w:sz="0" w:space="0" w:color="auto"/>
        <w:left w:val="none" w:sz="0" w:space="0" w:color="auto"/>
        <w:bottom w:val="none" w:sz="0" w:space="0" w:color="auto"/>
        <w:right w:val="none" w:sz="0" w:space="0" w:color="auto"/>
      </w:divBdr>
      <w:divsChild>
        <w:div w:id="702559444">
          <w:marLeft w:val="360"/>
          <w:marRight w:val="0"/>
          <w:marTop w:val="200"/>
          <w:marBottom w:val="0"/>
          <w:divBdr>
            <w:top w:val="none" w:sz="0" w:space="0" w:color="auto"/>
            <w:left w:val="none" w:sz="0" w:space="0" w:color="auto"/>
            <w:bottom w:val="none" w:sz="0" w:space="0" w:color="auto"/>
            <w:right w:val="none" w:sz="0" w:space="0" w:color="auto"/>
          </w:divBdr>
        </w:div>
      </w:divsChild>
    </w:div>
    <w:div w:id="1463301824">
      <w:bodyDiv w:val="1"/>
      <w:marLeft w:val="0"/>
      <w:marRight w:val="0"/>
      <w:marTop w:val="0"/>
      <w:marBottom w:val="0"/>
      <w:divBdr>
        <w:top w:val="none" w:sz="0" w:space="0" w:color="auto"/>
        <w:left w:val="none" w:sz="0" w:space="0" w:color="auto"/>
        <w:bottom w:val="none" w:sz="0" w:space="0" w:color="auto"/>
        <w:right w:val="none" w:sz="0" w:space="0" w:color="auto"/>
      </w:divBdr>
      <w:divsChild>
        <w:div w:id="1964531908">
          <w:marLeft w:val="360"/>
          <w:marRight w:val="0"/>
          <w:marTop w:val="200"/>
          <w:marBottom w:val="0"/>
          <w:divBdr>
            <w:top w:val="none" w:sz="0" w:space="0" w:color="auto"/>
            <w:left w:val="none" w:sz="0" w:space="0" w:color="auto"/>
            <w:bottom w:val="none" w:sz="0" w:space="0" w:color="auto"/>
            <w:right w:val="none" w:sz="0" w:space="0" w:color="auto"/>
          </w:divBdr>
        </w:div>
      </w:divsChild>
    </w:div>
    <w:div w:id="1518933212">
      <w:bodyDiv w:val="1"/>
      <w:marLeft w:val="0"/>
      <w:marRight w:val="0"/>
      <w:marTop w:val="0"/>
      <w:marBottom w:val="0"/>
      <w:divBdr>
        <w:top w:val="none" w:sz="0" w:space="0" w:color="auto"/>
        <w:left w:val="none" w:sz="0" w:space="0" w:color="auto"/>
        <w:bottom w:val="none" w:sz="0" w:space="0" w:color="auto"/>
        <w:right w:val="none" w:sz="0" w:space="0" w:color="auto"/>
      </w:divBdr>
    </w:div>
    <w:div w:id="1530989471">
      <w:bodyDiv w:val="1"/>
      <w:marLeft w:val="0"/>
      <w:marRight w:val="0"/>
      <w:marTop w:val="0"/>
      <w:marBottom w:val="0"/>
      <w:divBdr>
        <w:top w:val="none" w:sz="0" w:space="0" w:color="auto"/>
        <w:left w:val="none" w:sz="0" w:space="0" w:color="auto"/>
        <w:bottom w:val="none" w:sz="0" w:space="0" w:color="auto"/>
        <w:right w:val="none" w:sz="0" w:space="0" w:color="auto"/>
      </w:divBdr>
    </w:div>
    <w:div w:id="1533613098">
      <w:bodyDiv w:val="1"/>
      <w:marLeft w:val="0"/>
      <w:marRight w:val="0"/>
      <w:marTop w:val="0"/>
      <w:marBottom w:val="0"/>
      <w:divBdr>
        <w:top w:val="none" w:sz="0" w:space="0" w:color="auto"/>
        <w:left w:val="none" w:sz="0" w:space="0" w:color="auto"/>
        <w:bottom w:val="none" w:sz="0" w:space="0" w:color="auto"/>
        <w:right w:val="none" w:sz="0" w:space="0" w:color="auto"/>
      </w:divBdr>
    </w:div>
    <w:div w:id="1686639671">
      <w:bodyDiv w:val="1"/>
      <w:marLeft w:val="0"/>
      <w:marRight w:val="0"/>
      <w:marTop w:val="0"/>
      <w:marBottom w:val="0"/>
      <w:divBdr>
        <w:top w:val="none" w:sz="0" w:space="0" w:color="auto"/>
        <w:left w:val="none" w:sz="0" w:space="0" w:color="auto"/>
        <w:bottom w:val="none" w:sz="0" w:space="0" w:color="auto"/>
        <w:right w:val="none" w:sz="0" w:space="0" w:color="auto"/>
      </w:divBdr>
    </w:div>
    <w:div w:id="1739790181">
      <w:bodyDiv w:val="1"/>
      <w:marLeft w:val="0"/>
      <w:marRight w:val="0"/>
      <w:marTop w:val="0"/>
      <w:marBottom w:val="0"/>
      <w:divBdr>
        <w:top w:val="none" w:sz="0" w:space="0" w:color="auto"/>
        <w:left w:val="none" w:sz="0" w:space="0" w:color="auto"/>
        <w:bottom w:val="none" w:sz="0" w:space="0" w:color="auto"/>
        <w:right w:val="none" w:sz="0" w:space="0" w:color="auto"/>
      </w:divBdr>
    </w:div>
    <w:div w:id="1788356670">
      <w:bodyDiv w:val="1"/>
      <w:marLeft w:val="0"/>
      <w:marRight w:val="0"/>
      <w:marTop w:val="0"/>
      <w:marBottom w:val="0"/>
      <w:divBdr>
        <w:top w:val="none" w:sz="0" w:space="0" w:color="auto"/>
        <w:left w:val="none" w:sz="0" w:space="0" w:color="auto"/>
        <w:bottom w:val="none" w:sz="0" w:space="0" w:color="auto"/>
        <w:right w:val="none" w:sz="0" w:space="0" w:color="auto"/>
      </w:divBdr>
      <w:divsChild>
        <w:div w:id="683438406">
          <w:marLeft w:val="0"/>
          <w:marRight w:val="0"/>
          <w:marTop w:val="0"/>
          <w:marBottom w:val="0"/>
          <w:divBdr>
            <w:top w:val="none" w:sz="0" w:space="0" w:color="auto"/>
            <w:left w:val="none" w:sz="0" w:space="0" w:color="auto"/>
            <w:bottom w:val="none" w:sz="0" w:space="0" w:color="auto"/>
            <w:right w:val="none" w:sz="0" w:space="0" w:color="auto"/>
          </w:divBdr>
        </w:div>
        <w:div w:id="1129082294">
          <w:marLeft w:val="0"/>
          <w:marRight w:val="0"/>
          <w:marTop w:val="0"/>
          <w:marBottom w:val="0"/>
          <w:divBdr>
            <w:top w:val="none" w:sz="0" w:space="0" w:color="auto"/>
            <w:left w:val="none" w:sz="0" w:space="0" w:color="auto"/>
            <w:bottom w:val="none" w:sz="0" w:space="0" w:color="auto"/>
            <w:right w:val="none" w:sz="0" w:space="0" w:color="auto"/>
          </w:divBdr>
        </w:div>
        <w:div w:id="390466177">
          <w:marLeft w:val="0"/>
          <w:marRight w:val="0"/>
          <w:marTop w:val="0"/>
          <w:marBottom w:val="0"/>
          <w:divBdr>
            <w:top w:val="none" w:sz="0" w:space="0" w:color="auto"/>
            <w:left w:val="none" w:sz="0" w:space="0" w:color="auto"/>
            <w:bottom w:val="none" w:sz="0" w:space="0" w:color="auto"/>
            <w:right w:val="none" w:sz="0" w:space="0" w:color="auto"/>
          </w:divBdr>
        </w:div>
        <w:div w:id="339740967">
          <w:marLeft w:val="0"/>
          <w:marRight w:val="0"/>
          <w:marTop w:val="0"/>
          <w:marBottom w:val="0"/>
          <w:divBdr>
            <w:top w:val="none" w:sz="0" w:space="0" w:color="auto"/>
            <w:left w:val="none" w:sz="0" w:space="0" w:color="auto"/>
            <w:bottom w:val="none" w:sz="0" w:space="0" w:color="auto"/>
            <w:right w:val="none" w:sz="0" w:space="0" w:color="auto"/>
          </w:divBdr>
        </w:div>
        <w:div w:id="456996116">
          <w:marLeft w:val="0"/>
          <w:marRight w:val="0"/>
          <w:marTop w:val="0"/>
          <w:marBottom w:val="0"/>
          <w:divBdr>
            <w:top w:val="none" w:sz="0" w:space="0" w:color="auto"/>
            <w:left w:val="none" w:sz="0" w:space="0" w:color="auto"/>
            <w:bottom w:val="none" w:sz="0" w:space="0" w:color="auto"/>
            <w:right w:val="none" w:sz="0" w:space="0" w:color="auto"/>
          </w:divBdr>
        </w:div>
      </w:divsChild>
    </w:div>
    <w:div w:id="1805808292">
      <w:bodyDiv w:val="1"/>
      <w:marLeft w:val="0"/>
      <w:marRight w:val="0"/>
      <w:marTop w:val="0"/>
      <w:marBottom w:val="0"/>
      <w:divBdr>
        <w:top w:val="none" w:sz="0" w:space="0" w:color="auto"/>
        <w:left w:val="none" w:sz="0" w:space="0" w:color="auto"/>
        <w:bottom w:val="none" w:sz="0" w:space="0" w:color="auto"/>
        <w:right w:val="none" w:sz="0" w:space="0" w:color="auto"/>
      </w:divBdr>
    </w:div>
    <w:div w:id="1842041891">
      <w:bodyDiv w:val="1"/>
      <w:marLeft w:val="0"/>
      <w:marRight w:val="0"/>
      <w:marTop w:val="0"/>
      <w:marBottom w:val="0"/>
      <w:divBdr>
        <w:top w:val="none" w:sz="0" w:space="0" w:color="auto"/>
        <w:left w:val="none" w:sz="0" w:space="0" w:color="auto"/>
        <w:bottom w:val="none" w:sz="0" w:space="0" w:color="auto"/>
        <w:right w:val="none" w:sz="0" w:space="0" w:color="auto"/>
      </w:divBdr>
      <w:divsChild>
        <w:div w:id="1356348797">
          <w:marLeft w:val="0"/>
          <w:marRight w:val="0"/>
          <w:marTop w:val="0"/>
          <w:marBottom w:val="0"/>
          <w:divBdr>
            <w:top w:val="none" w:sz="0" w:space="0" w:color="auto"/>
            <w:left w:val="none" w:sz="0" w:space="0" w:color="auto"/>
            <w:bottom w:val="none" w:sz="0" w:space="0" w:color="auto"/>
            <w:right w:val="none" w:sz="0" w:space="0" w:color="auto"/>
          </w:divBdr>
        </w:div>
        <w:div w:id="3674154">
          <w:marLeft w:val="0"/>
          <w:marRight w:val="0"/>
          <w:marTop w:val="0"/>
          <w:marBottom w:val="0"/>
          <w:divBdr>
            <w:top w:val="none" w:sz="0" w:space="0" w:color="auto"/>
            <w:left w:val="none" w:sz="0" w:space="0" w:color="auto"/>
            <w:bottom w:val="none" w:sz="0" w:space="0" w:color="auto"/>
            <w:right w:val="none" w:sz="0" w:space="0" w:color="auto"/>
          </w:divBdr>
        </w:div>
        <w:div w:id="357896656">
          <w:marLeft w:val="0"/>
          <w:marRight w:val="0"/>
          <w:marTop w:val="0"/>
          <w:marBottom w:val="0"/>
          <w:divBdr>
            <w:top w:val="none" w:sz="0" w:space="0" w:color="auto"/>
            <w:left w:val="none" w:sz="0" w:space="0" w:color="auto"/>
            <w:bottom w:val="none" w:sz="0" w:space="0" w:color="auto"/>
            <w:right w:val="none" w:sz="0" w:space="0" w:color="auto"/>
          </w:divBdr>
        </w:div>
        <w:div w:id="1474298612">
          <w:marLeft w:val="0"/>
          <w:marRight w:val="0"/>
          <w:marTop w:val="0"/>
          <w:marBottom w:val="0"/>
          <w:divBdr>
            <w:top w:val="none" w:sz="0" w:space="0" w:color="auto"/>
            <w:left w:val="none" w:sz="0" w:space="0" w:color="auto"/>
            <w:bottom w:val="none" w:sz="0" w:space="0" w:color="auto"/>
            <w:right w:val="none" w:sz="0" w:space="0" w:color="auto"/>
          </w:divBdr>
        </w:div>
        <w:div w:id="1711611899">
          <w:marLeft w:val="0"/>
          <w:marRight w:val="0"/>
          <w:marTop w:val="0"/>
          <w:marBottom w:val="0"/>
          <w:divBdr>
            <w:top w:val="none" w:sz="0" w:space="0" w:color="auto"/>
            <w:left w:val="none" w:sz="0" w:space="0" w:color="auto"/>
            <w:bottom w:val="none" w:sz="0" w:space="0" w:color="auto"/>
            <w:right w:val="none" w:sz="0" w:space="0" w:color="auto"/>
          </w:divBdr>
        </w:div>
      </w:divsChild>
    </w:div>
    <w:div w:id="1961834550">
      <w:bodyDiv w:val="1"/>
      <w:marLeft w:val="0"/>
      <w:marRight w:val="0"/>
      <w:marTop w:val="0"/>
      <w:marBottom w:val="0"/>
      <w:divBdr>
        <w:top w:val="none" w:sz="0" w:space="0" w:color="auto"/>
        <w:left w:val="none" w:sz="0" w:space="0" w:color="auto"/>
        <w:bottom w:val="none" w:sz="0" w:space="0" w:color="auto"/>
        <w:right w:val="none" w:sz="0" w:space="0" w:color="auto"/>
      </w:divBdr>
      <w:divsChild>
        <w:div w:id="847602790">
          <w:marLeft w:val="0"/>
          <w:marRight w:val="0"/>
          <w:marTop w:val="0"/>
          <w:marBottom w:val="0"/>
          <w:divBdr>
            <w:top w:val="none" w:sz="0" w:space="0" w:color="auto"/>
            <w:left w:val="none" w:sz="0" w:space="0" w:color="auto"/>
            <w:bottom w:val="none" w:sz="0" w:space="0" w:color="auto"/>
            <w:right w:val="none" w:sz="0" w:space="0" w:color="auto"/>
          </w:divBdr>
        </w:div>
        <w:div w:id="1035496368">
          <w:marLeft w:val="0"/>
          <w:marRight w:val="0"/>
          <w:marTop w:val="0"/>
          <w:marBottom w:val="0"/>
          <w:divBdr>
            <w:top w:val="none" w:sz="0" w:space="0" w:color="auto"/>
            <w:left w:val="none" w:sz="0" w:space="0" w:color="auto"/>
            <w:bottom w:val="none" w:sz="0" w:space="0" w:color="auto"/>
            <w:right w:val="none" w:sz="0" w:space="0" w:color="auto"/>
          </w:divBdr>
        </w:div>
        <w:div w:id="1781334825">
          <w:marLeft w:val="0"/>
          <w:marRight w:val="0"/>
          <w:marTop w:val="0"/>
          <w:marBottom w:val="0"/>
          <w:divBdr>
            <w:top w:val="none" w:sz="0" w:space="0" w:color="auto"/>
            <w:left w:val="none" w:sz="0" w:space="0" w:color="auto"/>
            <w:bottom w:val="none" w:sz="0" w:space="0" w:color="auto"/>
            <w:right w:val="none" w:sz="0" w:space="0" w:color="auto"/>
          </w:divBdr>
        </w:div>
        <w:div w:id="847134133">
          <w:marLeft w:val="0"/>
          <w:marRight w:val="0"/>
          <w:marTop w:val="0"/>
          <w:marBottom w:val="0"/>
          <w:divBdr>
            <w:top w:val="none" w:sz="0" w:space="0" w:color="auto"/>
            <w:left w:val="none" w:sz="0" w:space="0" w:color="auto"/>
            <w:bottom w:val="none" w:sz="0" w:space="0" w:color="auto"/>
            <w:right w:val="none" w:sz="0" w:space="0" w:color="auto"/>
          </w:divBdr>
        </w:div>
      </w:divsChild>
    </w:div>
    <w:div w:id="2096129454">
      <w:bodyDiv w:val="1"/>
      <w:marLeft w:val="0"/>
      <w:marRight w:val="0"/>
      <w:marTop w:val="0"/>
      <w:marBottom w:val="0"/>
      <w:divBdr>
        <w:top w:val="none" w:sz="0" w:space="0" w:color="auto"/>
        <w:left w:val="none" w:sz="0" w:space="0" w:color="auto"/>
        <w:bottom w:val="none" w:sz="0" w:space="0" w:color="auto"/>
        <w:right w:val="none" w:sz="0" w:space="0" w:color="auto"/>
      </w:divBdr>
    </w:div>
    <w:div w:id="209744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micfrs.justiceinspectorates.gov.uk/publication-html/state-of-policing-the-annual-assessment-of-policing-in-england-and-wales-2023/" TargetMode="External"/><Relationship Id="rId18" Type="http://schemas.openxmlformats.org/officeDocument/2006/relationships/hyperlink" Target="https://lordslibrary.parliament.uk/police-standards-and-culture-restoring-public-trus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ollege.police.uk/guidance/neighbourhood-policing?m" TargetMode="External"/><Relationship Id="rId17" Type="http://schemas.openxmlformats.org/officeDocument/2006/relationships/hyperlink" Target="https://www.policinginstitute.org/infocus/june-community-engagement/?" TargetMode="External"/><Relationship Id="rId2" Type="http://schemas.openxmlformats.org/officeDocument/2006/relationships/numbering" Target="numbering.xml"/><Relationship Id="rId16" Type="http://schemas.openxmlformats.org/officeDocument/2006/relationships/hyperlink" Target="https://www.gov.uk/government/publications/the-report-of-the-commission-on-race-and-ethnic-disparities/crime-and-policing?g" TargetMode="External"/><Relationship Id="rId20" Type="http://schemas.openxmlformats.org/officeDocument/2006/relationships/hyperlink" Target="https://www.techuk.org/resource/unlocking-the-power-of-technology-and-data-to-transform-community-policing-and-improve-public-safet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research/crime-reduction-toolkit/body-worn-cameras?" TargetMode="External"/><Relationship Id="rId5" Type="http://schemas.openxmlformats.org/officeDocument/2006/relationships/webSettings" Target="webSettings.xml"/><Relationship Id="rId15" Type="http://schemas.openxmlformats.org/officeDocument/2006/relationships/hyperlink" Target="https://www.herts.police.uk/news/hertfordshire/news/2024/march-2024/herts-connected--link-now-available/?" TargetMode="External"/><Relationship Id="rId23" Type="http://schemas.openxmlformats.org/officeDocument/2006/relationships/theme" Target="theme/theme1.xml"/><Relationship Id="rId10" Type="http://schemas.openxmlformats.org/officeDocument/2006/relationships/hyperlink" Target="https://www.statista.com/statistics/382512/number-of-police-community-support-officers-in-england-and-wales-yearly/m" TargetMode="External"/><Relationship Id="rId19" Type="http://schemas.openxmlformats.org/officeDocument/2006/relationships/hyperlink" Target="https://riders.basketball/lrf-expand-positive-futures-project/" TargetMode="External"/><Relationship Id="rId4" Type="http://schemas.openxmlformats.org/officeDocument/2006/relationships/settings" Target="settings.xml"/><Relationship Id="rId9" Type="http://schemas.openxmlformats.org/officeDocument/2006/relationships/hyperlink" Target="https://www.westmercia-pcc.gov.uk/commissioner-supports-street-pastors-scheme-to-reduce-anti-social-behaviour/" TargetMode="External"/><Relationship Id="rId14" Type="http://schemas.openxmlformats.org/officeDocument/2006/relationships/hyperlink" Target="https://www.governmentevents.co.uk/ge-insights/6-key-strategies-progressing-edi-in-the-uk-police-force/?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Community policing prioritises collaboration, trust, and proactive engagement to improve public safety and foster stronger relationships between police and communities. This essay explores its foundations, including partnerships, neighbourhood policing, and policing by consent, alongside its role in addressing contemporary challenges such as systemic inequalities and resource limitations. Using insights from the Barber and Casey reviews, as well as examples like Scotland’s Violence Reduction Unit, it argues that sustained investment and culturally sensitive approaches are essential to achieving safer, more cohesive communities.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3011</Words>
  <Characters>17167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COMMUNITY POLICING: PARTNERSHIPS, POLICING AND PEOPLE.</vt:lpstr>
    </vt:vector>
  </TitlesOfParts>
  <Company/>
  <LinksUpToDate>false</LinksUpToDate>
  <CharactersWithSpaces>20138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POLICING: PARTNERSHIPS, POLICING AND PEOPLE.</dc:title>
  <dc:subject>(BMPL5013)</dc:subject>
  <dc:creator>Seren Thomas (2305811)</dc:creator>
  <cp:keywords/>
  <dc:description/>
  <cp:lastModifiedBy>Seren Thomas</cp:lastModifiedBy>
  <cp:revision>236</cp:revision>
  <dcterms:created xsi:type="dcterms:W3CDTF">2024-12-01T19:50:00Z</dcterms:created>
  <dcterms:modified xsi:type="dcterms:W3CDTF">2025-01-07T20:01:00Z</dcterms:modified>
</cp:coreProperties>
</file>