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496D1" w14:textId="4936BD40" w:rsidR="00BC6A2C" w:rsidRPr="00300FBE" w:rsidRDefault="00B83C52" w:rsidP="00340E02">
      <w:pPr>
        <w:ind w:left="360"/>
        <w:rPr>
          <w:rFonts w:ascii="Calibri" w:hAnsi="Calibri" w:cs="Calibri"/>
          <w:b/>
          <w:bCs/>
          <w:i/>
          <w:iCs/>
          <w:color w:val="404040" w:themeColor="text1" w:themeTint="BF"/>
          <w:sz w:val="28"/>
          <w:szCs w:val="28"/>
        </w:rPr>
      </w:pPr>
      <w:r w:rsidRPr="00300FBE">
        <w:rPr>
          <w:rStyle w:val="SubtleEmphasis"/>
          <w:rFonts w:ascii="Calibri" w:hAnsi="Calibri" w:cs="Calibri"/>
          <w:b/>
          <w:bCs/>
          <w:sz w:val="28"/>
          <w:szCs w:val="28"/>
        </w:rPr>
        <w:t xml:space="preserve">‘There is nothing particularly surprising about the growth in the prison population. The prison service predicted in 2018 that the prison population would reach over 86,000 by March 2023. However, the potential consequences are far-reaching.’ (Taylor, 2024). </w:t>
      </w:r>
    </w:p>
    <w:p w14:paraId="3AC11403" w14:textId="77777777" w:rsidR="00BC6A2C" w:rsidRPr="00300FBE" w:rsidRDefault="00BC6A2C" w:rsidP="00BC6A2C">
      <w:pPr>
        <w:rPr>
          <w:rFonts w:ascii="Calibri" w:hAnsi="Calibri" w:cs="Calibri"/>
          <w:sz w:val="28"/>
          <w:szCs w:val="28"/>
        </w:rPr>
      </w:pPr>
    </w:p>
    <w:p w14:paraId="0CEF91E3"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The exponential growth of the prison population in England and Wales has been a well-documented phenomenon, with projections dating back to 2018 indicating a trajectory towards unprecedented numbers (Ministry of Justice, 2024). As noted by Taylor (2024), the prison service foresaw the inevitability of the population surpassing 86,000 by March 2023. However, while the prediction itself may not have come as a surprise to those familiar with the trends, the implications of such growth extend far beyond mere statistical projections (Taylor, 2024). This essay aims to explore the multifaceted consequences of the burgeoning prison population and evaluate potential strategies to address this pressing issue. From the impact of external factors such as the COVID-19 pandemic and barristers' strike to systemic challenges like overcrowding and limited access to rehabilitation, the implications of this crisis permeate various facets of the criminal justice system. </w:t>
      </w:r>
    </w:p>
    <w:p w14:paraId="5DBC5953"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b/>
          <w:bCs/>
          <w:color w:val="000000"/>
          <w:kern w:val="0"/>
          <w:u w:val="single"/>
          <w:lang w:eastAsia="en-GB"/>
          <w14:ligatures w14:val="none"/>
        </w:rPr>
        <w:t> </w:t>
      </w:r>
    </w:p>
    <w:p w14:paraId="1DBBB745"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xml:space="preserve">The projections made by the prison service regarding the increase in the prison population were stark and foreboding (Ministry of Justice, 2018). This forecast indicated a significant escalation from the already burdened state of the prison system. Several factors contributed to this projected growth. Changes in sentencing laws, including mandatory minimums and harsher penalties for certain offences, played a role in funnelling more individuals into the prison system (Prison Reform Trust, 2023). Additionally, economic, and social policies impacting marginalised communities, such as poverty alleviation measures and access to education and healthcare, could be linked to disparities in arrest and conviction rates, exacerbating the strain on prisons (Prison Reform Trust, 2023). The lengthening of average sentence durations, from 14.5 to 21.4 months between 2012 and 2023, reflects a significant trend in the criminal justice system referred to as 'sentence inflation,' which highlights a gradual increase in penalties for similar offences over time (Jones, Lally, 2024). Consequently, individuals convicted of crimes are spending prolonged periods in prison, contributing substantially to the swelling prison population. This trend is compounded by changes in sentencing policies, which have extended both minimum and maximum terms for </w:t>
      </w:r>
      <w:r w:rsidRPr="007666CA">
        <w:rPr>
          <w:rFonts w:ascii="Arial" w:eastAsia="Times New Roman" w:hAnsi="Arial" w:cs="Arial"/>
          <w:color w:val="000000"/>
          <w:kern w:val="0"/>
          <w:lang w:eastAsia="en-GB"/>
          <w14:ligatures w14:val="none"/>
        </w:rPr>
        <w:lastRenderedPageBreak/>
        <w:t>various offences. By 2023, a substantial portion (56%) of prisoners were serving determinate prison sentences exceeding four years, a notable escalation from previous years (Prison Reform Trust, 2022). The implications of this shift are profound, as it not only perpetuates the cycle of sentence inflation but also places significant strain on prison resources and infrastructure. Moreover, with the enactment of provisions outlined in the Sentencing Bill 2023, which further lengthen incarceration periods for specific violent and sexual offences, the trajectory of sentence inflation is expected to persist, exacerbating the challenges faced by the criminal justice system in managing the burgeoning prison population (Jones, et Al, 2024).</w:t>
      </w:r>
    </w:p>
    <w:p w14:paraId="45729E0B"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b/>
          <w:bCs/>
          <w:color w:val="000000"/>
          <w:kern w:val="0"/>
          <w:u w:val="single"/>
          <w:lang w:eastAsia="en-GB"/>
          <w14:ligatures w14:val="none"/>
        </w:rPr>
        <w:t> </w:t>
      </w:r>
    </w:p>
    <w:p w14:paraId="5925ECE1"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xml:space="preserve">Overcrowding in prisons presents a complex web of interconnected challenges that profoundly impact various aspects of the Prison system. One critical consequence of overcrowding is the strain it places on healthcare services within prisons. Delays in responding to in-cell alarms and the cancellation of hospital appointments due to escort shortages are symptomatic of inadequacies in medical care provision. Notably, the cancellation of outpatient appointments, estimated at 40% in 2017/18, not only compromises the health outcomes of prisoners but also underscores the financial burden incurred by the National Health Service (Nuffield Trust, 2020). This is still very much an issue today as Zou et al., (2021) published an article stating that each prisoner had an 83.4% likelihood of missing at least one appointment during their prison period. If a prisoner missed an appointment, there was a 72.6% probability that they would miss at least one more. Furthermore, the structural limitations of older prison facilities exacerbate health risks, particularly concerning modern infection control requirements (Zou et al., 2021). This issue becomes more acute with the rising population of elderly prisoners, which amplifies demands for chronic disease management and social care (Suchada Thaneerat, Naiyana Noonil and Rewwadee Petsirasan, 2022). However, the availability of suitable accommodation fails to match this increasing need, leading to a gap in service provision. Another critical concern arising from overcrowding is the adverse impact on mental health services within prisons. Overcrowded conditions often result in reduced access to purposeful activities and meaningful engagement, exacerbating mental health issues among inmates (Johnson et al., 2021).  This is evidenced by the alarming rise in self-inflicted deaths and self-harm incidents, which highlight the urgent need for robust mental health support mechanisms. Between July 2022 and June 2023, there were 313 deaths in </w:t>
      </w:r>
      <w:r w:rsidRPr="007666CA">
        <w:rPr>
          <w:rFonts w:ascii="Arial" w:eastAsia="Times New Roman" w:hAnsi="Arial" w:cs="Arial"/>
          <w:color w:val="000000"/>
          <w:kern w:val="0"/>
          <w:lang w:eastAsia="en-GB"/>
          <w14:ligatures w14:val="none"/>
        </w:rPr>
        <w:lastRenderedPageBreak/>
        <w:t>prison custody, marking a 9% rise from the 288 deaths recorded in the prior year. Of the recent fatalities, 88 were suicides, which represents a 26% increase from the 70 self-inflicted deaths reported in the previous 12 months (Home Office, 2023). Furthermore, the shortage of experienced prison staff exacerbates security challenges within overcrowded facilities (Ministry of Justice, 2023). High turnover rates and increased prisoner populations strain the capacity of staff to maintain order and security, leading to heightened risks of violence and disorder. In essence, overcrowding in prisons not only compromises the health and well-being of inmates but also undermines the safety and security of both prisoners and staff (Ministry of Justice, 2023).  Addressing this issue necessitates a holistic approach that addresses systemic inadequacies in healthcare provision, mental health support, and staffing levels within the correctional system. </w:t>
      </w:r>
    </w:p>
    <w:p w14:paraId="1EFD4842"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75C9E19E"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xml:space="preserve">Prison overcrowding is a complex issue that intersects with legal, human rights, and public health concerns, necessitating immediate and thorough attention to address it effectively. All prisoners are entitled to freedom from inhuman or degrading treatment (Emby, 2014). The violation of inmates' rights to dignity and respect is starkly evident in overcrowded living conditions characterised by substandard accommodation, limited access to sanitation facilities, and inadequate ventilation (Criminal Justice Inspectorates, 2014). These conditions not only undermine prisoners' physical and mental well-being but also contravene their right to humane treatment as guaranteed by international human rights instruments. Moreover, overcrowding strains healthcare services within prisons, resulting in delays in medical treatment and limited access to medications and mental health care, thereby violating inmates' right to the highest attainable standard of health. The increased use of solitary confinement as a means of managing overcrowding raises serious human rights concerns, as prolonged isolation can have severe psychological effects and may amount to cruel, inhuman, or degrading treatment. Furthermore, overcrowding impedes inmates' access to legal representation and justice, as limited resources within the legal system hinder their ability to effectively challenge their detention or seek redress for human rights violations. Adequate oversight and accountability mechanisms are crucial to ensure that human rights standards are upheld in prisons; however, overcrowded facilities may be more difficult to monitor effectively, increasing the risk of abuse and neglect going unchecked (Pont, J. et al, 2021). The COVID-19 pandemic has exacerbated </w:t>
      </w:r>
      <w:r w:rsidRPr="007666CA">
        <w:rPr>
          <w:rFonts w:ascii="Arial" w:eastAsia="Times New Roman" w:hAnsi="Arial" w:cs="Arial"/>
          <w:color w:val="000000"/>
          <w:kern w:val="0"/>
          <w:lang w:eastAsia="en-GB"/>
          <w14:ligatures w14:val="none"/>
        </w:rPr>
        <w:lastRenderedPageBreak/>
        <w:t>these challenges, highlighting the urgent need to address overcrowding not only to mitigate the immediate health risks posed by COVID-19 but also to ensure long-term public health and safety (Wilburn et al., 2021). Overcrowded prison facilities create optimal conditions for the rapid spread of infectious diseases, compounded by the inability to maintain physical distancing measures and implement adequate hygiene practices. The prevalence of underlying health conditions among inmates, coupled with inadequate access to healthcare services, exacerbates the severity of COVID-19 outcomes in prisons (Maruna, McNaull and O’Neill, 2022). Addressing overcrowding is therefore essential to protect the health and well-being of inmates and staff and to mitigate the broader public health risks posed by COVID-19 outbreaks in prison settings (Esposito et al., 2022).</w:t>
      </w:r>
    </w:p>
    <w:p w14:paraId="5CE15BD7"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4C8D2118"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xml:space="preserve">The projected growth in the prison population poses significant policy implications that necessitate careful consideration by policymakers. As the number of individuals incarcerated in England and Wales continues to rise, policymakers must grapple with the challenges of managing overcrowded prisons while balancing competing priorities such as public safety, fiscal responsibility, and social justice (Armstrong, 2018). One key policy implication is the strain on existing prison infrastructure and resources. Overcrowded prisons can lead to deteriorating living conditions for inmates, increased violence, and limited access to rehabilitative programs, which can undermine the effectiveness of the criminal justice system in promoting rehabilitation and reducing recidivism (Armstrong, 2018). Addressing these consequences requires significant financial investment in expanding prison capacity, constructing new facilities, and hiring additional staff. This presents challenges in allocating resources effectively, especially given competing budgetary demands across various government departments. The Ministry of Justice (2023) reflected significant changes in spending, with the resource department expenditure limit increasing by 9% and capital by 13.8% in one year, indicating a substantial commitment of financial resources to address aspects within the justice system, including the recruitment of 20,000 extra police officers to recover from the COVID-19 pandemic (Ministry of Justice, 2023). However, while an increase in police presence could potentially lead to more arrests, it might also exacerbate the issue of overcrowded prisons if not managed correctly (Pope, 2020). Effective use of these officers requires careful planning, resource allocation, and collaboration across agencies to ensure equitable enforcement and community </w:t>
      </w:r>
      <w:r w:rsidRPr="007666CA">
        <w:rPr>
          <w:rFonts w:ascii="Arial" w:eastAsia="Times New Roman" w:hAnsi="Arial" w:cs="Arial"/>
          <w:color w:val="000000"/>
          <w:kern w:val="0"/>
          <w:lang w:eastAsia="en-GB"/>
          <w14:ligatures w14:val="none"/>
        </w:rPr>
        <w:lastRenderedPageBreak/>
        <w:t>engagement. Streamlining arrest policies and focusing on community-based interventions rather than incarceration for minor offences can help mitigate the risk of further overcrowding. While increased spending alone may not immediately solve the issue of prison overcrowding, it signals a proactive approach by the government to address the challenges within the justice system, potentially leading to improvements over time (Justice Committee, 2019).</w:t>
      </w:r>
    </w:p>
    <w:p w14:paraId="5D3B7553"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D0D0D"/>
          <w:kern w:val="0"/>
          <w:shd w:val="clear" w:color="auto" w:fill="FFFFFF"/>
          <w:lang w:eastAsia="en-GB"/>
          <w14:ligatures w14:val="none"/>
        </w:rPr>
        <w:t> </w:t>
      </w:r>
    </w:p>
    <w:p w14:paraId="4D10E8AA"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Operation Safeguard, implemented in 2006 to address prison overcrowding, utilised police cells as temporary housing for excess inmates. Despite its £10.4 million cost over five months, not all police forces participated due to concerns about suitability, especially for vulnerable prisoners (Criminal Justice Inspectorates, 2014). While the operation excluded certain categories of inmates and intended short stays, some individuals remained longer, leading to logistical challenges. Inspections revealed inadequate conditions, including bedding, food, and healthcare access (Criminal Justice Inspectorates, 2014)— efforts by oversight bodies aimed to improve conditions and address operational issues. However, Operation Safeguard primarily provided temporary relief without directly tackling overcrowding. It underscored systemic challenges, such as delays in court processes and healthcare shortcomings, highlighting the need for comprehensive reforms. Insights emphasised the importance of alternative sentencing options, diversion programs, and reducing reliance on custodial sentences (Criminal Justice Inspectorates, 2014). Collaborative efforts to develop standardised inspection criteria aim to improve accountability and transparency within the criminal justice system, mitigating the adverse effects of overcrowding on detainees' well-being. While Operation Safeguard did not directly alleviate prison overcrowding, it highlighted systemic challenges and paved the way for broader reforms promoting more effective and humane approaches to criminal justice (United Nations Office on Drugs and Crime, 2013).</w:t>
      </w:r>
    </w:p>
    <w:p w14:paraId="1CBA90BC"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3C4F4102"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477DB2DB"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3C436030"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7FCDE91A"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xml:space="preserve">The fluctuations in crime rates during the pandemic led to a temporary reduction in the prison population, with numbers dropping to 77,859 in April 2021 (Taylor, 2024). However, as levels of offending returned to pre-pandemic levels and courts cleared </w:t>
      </w:r>
      <w:r w:rsidRPr="007666CA">
        <w:rPr>
          <w:rFonts w:ascii="Arial" w:eastAsia="Times New Roman" w:hAnsi="Arial" w:cs="Arial"/>
          <w:color w:val="000000"/>
          <w:kern w:val="0"/>
          <w:lang w:eastAsia="en-GB"/>
          <w14:ligatures w14:val="none"/>
        </w:rPr>
        <w:lastRenderedPageBreak/>
        <w:t>their backlogs, the population began to rise again. The barristers' strike from June to October exacerbated congestion, impacting remanded prisoners awaiting trial. Prisons like Belmarsh and Birmingham, once housing a mixed population, are now predominantly filled with men on remand, increasing from around 11,000 in June 2020 to 14,591 in March 2023 (Home Office, 2024c). Delays in trials have caused prisoners to wait for months, sometimes years, contributing to overcrowding in reception prisons. The implementation of Operation Safeguard, initially an emergency measure, has become routine in the Northwest of England, indicating the strain on prison capacity (Taylor, 2024). This reliance on police cells for housing prisoners poses challenges, particularly for those detoxing from substances or managing mental health issues, and disrupts transportation schedules, placing additional pressure on van drivers and impacting prisoners’ well-being and support networks. Moreover, the recruitment of 20,000 additional police officers by the government is expected to lead to more arrests and a sustained increase in the prison population (Home Office, 2023b). The lengthening of average sentence lengths for various offences contributes to the growing number of long-term prisoners, who may pose management challenges due to reduced incentives to behave, especially in the early stages of their sentences (Taylor, 2024).</w:t>
      </w:r>
    </w:p>
    <w:p w14:paraId="19747838" w14:textId="77777777" w:rsidR="007666CA" w:rsidRPr="007666CA" w:rsidRDefault="007666CA" w:rsidP="007666CA">
      <w:pPr>
        <w:spacing w:line="360" w:lineRule="auto"/>
        <w:jc w:val="both"/>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2434B3DE" w14:textId="77777777" w:rsidR="007666CA" w:rsidRPr="007666CA" w:rsidRDefault="007666CA" w:rsidP="007666CA">
      <w:pPr>
        <w:spacing w:line="360" w:lineRule="auto"/>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In conclusion, the UK Government is actively addressing the significant challenges posed by the rising prison population and overcrowding through a series of strategic reforms and policy shifts. Justice Secretary Alex Chalk (2023) announced initiatives including the early release of prisoners on fixed determinate sentences and legislative measures for a presumption against sentences under 12 months to promote non-custodial alternatives, which have demonstrated lower re-offence rates. Additionally, proposals to enhance the efficiency of removing foreign national offenders with an increased sentence discount for early removal to 18 months are being implemented. To alleviate chronic overcrowding, the government is also expanding prison capacity by continuing its prison-building program aimed at adding 20,000 new places by the mid-2020s, complemented by an investment of up to £400 million for additional prison spaces (Beard, 2023). </w:t>
      </w:r>
    </w:p>
    <w:p w14:paraId="14E515FB" w14:textId="77777777" w:rsidR="007666CA" w:rsidRPr="007666CA" w:rsidRDefault="007666CA" w:rsidP="007666CA">
      <w:pPr>
        <w:spacing w:line="360" w:lineRule="auto"/>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3388F8DB" w14:textId="77777777" w:rsidR="007666CA" w:rsidRPr="007666CA" w:rsidRDefault="007666CA" w:rsidP="007666CA">
      <w:pPr>
        <w:spacing w:line="360" w:lineRule="auto"/>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28BFA5A7" w14:textId="77777777" w:rsidR="007666CA" w:rsidRPr="007666CA" w:rsidRDefault="007666CA" w:rsidP="007666CA">
      <w:pPr>
        <w:spacing w:line="360" w:lineRule="auto"/>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lastRenderedPageBreak/>
        <w:t>The exponential growth of the prison population reflects broader systemic issues within the criminal justice system, exacerbated by the COVID-19 pandemic, which highlighted the urgent need for comprehensive reforms to improve public health, safety, and human rights within prisons (Brennan, 2020). The projected overcrowding presents significant policy implications, straining infrastructure, living conditions, and access to rehabilitative programs. Government strategies also include renting prison spaces from other countries and potentially increasing sentence reductions for early guilty pleas (Home Office, 2023a). These are supported by ongoing reviews focused on reducing the use of recall to prison and shortening licence periods for certain prisoners.</w:t>
      </w:r>
    </w:p>
    <w:p w14:paraId="5B42C511" w14:textId="77777777" w:rsidR="007666CA" w:rsidRPr="007666CA" w:rsidRDefault="007666CA" w:rsidP="007666CA">
      <w:pPr>
        <w:spacing w:line="360" w:lineRule="auto"/>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 </w:t>
      </w:r>
    </w:p>
    <w:p w14:paraId="2B8F0F5E" w14:textId="77777777" w:rsidR="007666CA" w:rsidRPr="007666CA" w:rsidRDefault="007666CA" w:rsidP="007666CA">
      <w:pPr>
        <w:spacing w:line="360" w:lineRule="auto"/>
        <w:rPr>
          <w:rFonts w:ascii="Times New Roman" w:eastAsia="Times New Roman" w:hAnsi="Times New Roman" w:cs="Times New Roman"/>
          <w:color w:val="000000"/>
          <w:kern w:val="0"/>
          <w:sz w:val="28"/>
          <w:szCs w:val="28"/>
          <w:lang w:eastAsia="en-GB"/>
          <w14:ligatures w14:val="none"/>
        </w:rPr>
      </w:pPr>
      <w:r w:rsidRPr="007666CA">
        <w:rPr>
          <w:rFonts w:ascii="Arial" w:eastAsia="Times New Roman" w:hAnsi="Arial" w:cs="Arial"/>
          <w:color w:val="000000"/>
          <w:kern w:val="0"/>
          <w:lang w:eastAsia="en-GB"/>
          <w14:ligatures w14:val="none"/>
        </w:rPr>
        <w:t>Efforts like Operation Safeguard and collaboration with oversight bodies such as Her Majesty's Inspectorate of Prisons and Her Majesty's Inspectorate of Constabulary are steps towards improving accountability and transparency within the system. Addressing the challenges of prison overcrowding requires a holistic approach that not only tackles the immediate needs but also systemic reforms that promote rehabilitation, reintegration, and uphold human rights standards (Ministry of Justice, 2023). This proactive approach signifies a shift towards more sustainable and ethical management of the prison population in England and Wales.</w:t>
      </w:r>
    </w:p>
    <w:p w14:paraId="2A4D5C19" w14:textId="77777777" w:rsidR="007666CA" w:rsidRPr="007666CA" w:rsidRDefault="007666CA" w:rsidP="007666CA">
      <w:pPr>
        <w:spacing w:after="240"/>
        <w:rPr>
          <w:rFonts w:ascii="Times New Roman" w:eastAsia="Times New Roman" w:hAnsi="Times New Roman" w:cs="Times New Roman"/>
          <w:kern w:val="0"/>
          <w:lang w:eastAsia="en-GB"/>
          <w14:ligatures w14:val="none"/>
        </w:rPr>
      </w:pPr>
    </w:p>
    <w:p w14:paraId="74D2E17A" w14:textId="77777777" w:rsidR="007666CA" w:rsidRPr="007666CA" w:rsidRDefault="007666CA" w:rsidP="007666CA">
      <w:pPr>
        <w:rPr>
          <w:rFonts w:ascii="Times New Roman" w:eastAsia="Times New Roman" w:hAnsi="Times New Roman" w:cs="Times New Roman"/>
          <w:kern w:val="0"/>
          <w:lang w:eastAsia="en-GB"/>
          <w14:ligatures w14:val="none"/>
        </w:rPr>
      </w:pPr>
    </w:p>
    <w:p w14:paraId="27731539" w14:textId="77777777" w:rsidR="00982871" w:rsidRPr="00B860DC" w:rsidRDefault="00982871" w:rsidP="00B860DC">
      <w:pPr>
        <w:spacing w:line="360" w:lineRule="auto"/>
        <w:rPr>
          <w:rFonts w:ascii="Arial" w:hAnsi="Arial" w:cs="Arial"/>
        </w:rPr>
      </w:pPr>
    </w:p>
    <w:p w14:paraId="6C7CC99D" w14:textId="77777777" w:rsidR="000C0D7B" w:rsidRPr="000B13BD" w:rsidRDefault="000C0D7B" w:rsidP="00396F0E">
      <w:pPr>
        <w:rPr>
          <w:rFonts w:ascii="Calibri" w:hAnsi="Calibri" w:cs="Calibri"/>
        </w:rPr>
      </w:pPr>
    </w:p>
    <w:p w14:paraId="29480BF6" w14:textId="77777777" w:rsidR="000C0D7B" w:rsidRPr="000B13BD" w:rsidRDefault="000C0D7B" w:rsidP="00396F0E">
      <w:pPr>
        <w:rPr>
          <w:rFonts w:ascii="Calibri" w:hAnsi="Calibri" w:cs="Calibri"/>
        </w:rPr>
      </w:pPr>
    </w:p>
    <w:p w14:paraId="30677AD0" w14:textId="77777777" w:rsidR="00EF21F3" w:rsidRPr="000B13BD" w:rsidRDefault="00EF21F3" w:rsidP="00396F0E">
      <w:pPr>
        <w:rPr>
          <w:rFonts w:ascii="Calibri" w:hAnsi="Calibri" w:cs="Calibri"/>
        </w:rPr>
      </w:pPr>
    </w:p>
    <w:p w14:paraId="700ED1BE" w14:textId="77777777" w:rsidR="00EF21F3" w:rsidRDefault="00EF21F3" w:rsidP="00396F0E">
      <w:pPr>
        <w:rPr>
          <w:rFonts w:ascii="Calibri" w:hAnsi="Calibri" w:cs="Calibri"/>
        </w:rPr>
      </w:pPr>
    </w:p>
    <w:p w14:paraId="34E4F7F3" w14:textId="77777777" w:rsidR="004C3E87" w:rsidRDefault="004C3E87" w:rsidP="00396F0E">
      <w:pPr>
        <w:rPr>
          <w:rFonts w:ascii="Calibri" w:hAnsi="Calibri" w:cs="Calibri"/>
        </w:rPr>
      </w:pPr>
    </w:p>
    <w:p w14:paraId="27806FF3" w14:textId="77777777" w:rsidR="004C3E87" w:rsidRDefault="004C3E87" w:rsidP="00396F0E">
      <w:pPr>
        <w:rPr>
          <w:rFonts w:ascii="Calibri" w:hAnsi="Calibri" w:cs="Calibri"/>
        </w:rPr>
      </w:pPr>
    </w:p>
    <w:p w14:paraId="72BC6CDC" w14:textId="77777777" w:rsidR="004C3E87" w:rsidRDefault="004C3E87" w:rsidP="00396F0E">
      <w:pPr>
        <w:rPr>
          <w:rFonts w:ascii="Calibri" w:hAnsi="Calibri" w:cs="Calibri"/>
        </w:rPr>
      </w:pPr>
    </w:p>
    <w:p w14:paraId="139D7D3D" w14:textId="77777777" w:rsidR="004C3E87" w:rsidRDefault="004C3E87" w:rsidP="00396F0E">
      <w:pPr>
        <w:rPr>
          <w:rFonts w:ascii="Calibri" w:hAnsi="Calibri" w:cs="Calibri"/>
        </w:rPr>
      </w:pPr>
    </w:p>
    <w:p w14:paraId="1D64B09B" w14:textId="77777777" w:rsidR="004C3E87" w:rsidRDefault="004C3E87" w:rsidP="00396F0E">
      <w:pPr>
        <w:rPr>
          <w:rFonts w:ascii="Calibri" w:hAnsi="Calibri" w:cs="Calibri"/>
        </w:rPr>
      </w:pPr>
    </w:p>
    <w:p w14:paraId="0A71EB02" w14:textId="77777777" w:rsidR="004C3E87" w:rsidRDefault="004C3E87" w:rsidP="00396F0E">
      <w:pPr>
        <w:rPr>
          <w:rFonts w:ascii="Calibri" w:hAnsi="Calibri" w:cs="Calibri"/>
        </w:rPr>
      </w:pPr>
    </w:p>
    <w:p w14:paraId="00F1B1BB" w14:textId="77777777" w:rsidR="004C3E87" w:rsidRDefault="004C3E87" w:rsidP="00396F0E">
      <w:pPr>
        <w:rPr>
          <w:rFonts w:ascii="Calibri" w:hAnsi="Calibri" w:cs="Calibri"/>
        </w:rPr>
      </w:pPr>
    </w:p>
    <w:p w14:paraId="3DE63D50" w14:textId="77777777" w:rsidR="004C3E87" w:rsidRDefault="004C3E87" w:rsidP="00396F0E">
      <w:pPr>
        <w:rPr>
          <w:rFonts w:ascii="Calibri" w:hAnsi="Calibri" w:cs="Calibri"/>
        </w:rPr>
      </w:pPr>
    </w:p>
    <w:p w14:paraId="3B690B59" w14:textId="77777777" w:rsidR="004C3E87" w:rsidRDefault="004C3E87" w:rsidP="00396F0E">
      <w:pPr>
        <w:rPr>
          <w:rFonts w:ascii="Calibri" w:hAnsi="Calibri" w:cs="Calibri"/>
        </w:rPr>
      </w:pPr>
    </w:p>
    <w:p w14:paraId="3E273E78" w14:textId="77777777" w:rsidR="004C3E87" w:rsidRDefault="004C3E87" w:rsidP="00396F0E">
      <w:pPr>
        <w:rPr>
          <w:rFonts w:ascii="Calibri" w:hAnsi="Calibri" w:cs="Calibri"/>
        </w:rPr>
      </w:pPr>
    </w:p>
    <w:p w14:paraId="0D9924A0" w14:textId="77777777" w:rsidR="004C3E87" w:rsidRDefault="004C3E87" w:rsidP="00396F0E">
      <w:pPr>
        <w:rPr>
          <w:rFonts w:ascii="Calibri" w:hAnsi="Calibri" w:cs="Calibri"/>
        </w:rPr>
      </w:pPr>
    </w:p>
    <w:p w14:paraId="017D5F0E" w14:textId="77777777" w:rsidR="004C3E87" w:rsidRDefault="004C3E87" w:rsidP="00396F0E">
      <w:pPr>
        <w:rPr>
          <w:rFonts w:ascii="Calibri" w:hAnsi="Calibri" w:cs="Calibri"/>
        </w:rPr>
      </w:pPr>
    </w:p>
    <w:p w14:paraId="3EE12787" w14:textId="77777777" w:rsidR="004C3E87" w:rsidRDefault="004C3E87" w:rsidP="00396F0E">
      <w:pPr>
        <w:rPr>
          <w:rFonts w:ascii="Calibri" w:hAnsi="Calibri" w:cs="Calibri"/>
        </w:rPr>
      </w:pPr>
    </w:p>
    <w:p w14:paraId="35111D62" w14:textId="77777777" w:rsidR="00F01A53" w:rsidRPr="00F01A53" w:rsidRDefault="00F01A53" w:rsidP="00F01A53">
      <w:pPr>
        <w:spacing w:after="240" w:line="540" w:lineRule="atLeast"/>
        <w:outlineLvl w:val="0"/>
        <w:rPr>
          <w:rFonts w:ascii="Times New Roman" w:eastAsia="Times New Roman" w:hAnsi="Times New Roman" w:cs="Times New Roman"/>
          <w:b/>
          <w:bCs/>
          <w:color w:val="000000"/>
          <w:kern w:val="36"/>
          <w:sz w:val="36"/>
          <w:szCs w:val="36"/>
          <w:lang w:eastAsia="en-GB"/>
          <w14:ligatures w14:val="none"/>
        </w:rPr>
      </w:pPr>
      <w:r w:rsidRPr="00F01A53">
        <w:rPr>
          <w:rFonts w:ascii="Times New Roman" w:eastAsia="Times New Roman" w:hAnsi="Times New Roman" w:cs="Times New Roman"/>
          <w:b/>
          <w:bCs/>
          <w:color w:val="000000"/>
          <w:kern w:val="36"/>
          <w:sz w:val="36"/>
          <w:szCs w:val="36"/>
          <w:lang w:eastAsia="en-GB"/>
          <w14:ligatures w14:val="none"/>
        </w:rPr>
        <w:t>Reference list</w:t>
      </w:r>
    </w:p>
    <w:p w14:paraId="6CA102B4" w14:textId="09396C8D"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Albrecht, H.-J. (2012). </w:t>
      </w:r>
      <w:r w:rsidRPr="00F01A53">
        <w:rPr>
          <w:rFonts w:ascii="Arial" w:eastAsia="Times New Roman" w:hAnsi="Arial" w:cs="Arial"/>
          <w:i/>
          <w:iCs/>
          <w:color w:val="000000"/>
          <w:kern w:val="0"/>
          <w:lang w:eastAsia="en-GB"/>
          <w14:ligatures w14:val="none"/>
        </w:rPr>
        <w:t>Max Planck Institute for Foreign and International Criminal Law Freiburg im Breisgau PRISON OVERCROWDING FINDING EFFECTIVE SOLUTIONS STRATEGIES AND BEST PRACTICES AGAINST OVERCROWDING IN CORRECTIONAL FACILITIES forschung aktuell</w:t>
      </w:r>
      <w:r w:rsidRPr="00F01A53">
        <w:rPr>
          <w:rFonts w:ascii="Arial" w:eastAsia="Times New Roman" w:hAnsi="Arial" w:cs="Arial"/>
          <w:color w:val="000000"/>
          <w:kern w:val="0"/>
          <w:lang w:eastAsia="en-GB"/>
          <w14:ligatures w14:val="none"/>
        </w:rPr>
        <w:t>. Available at: https://pure.mpg.de/rest/items/item_2499903/component/file_3014332/content.</w:t>
      </w:r>
    </w:p>
    <w:p w14:paraId="77F1A5E1" w14:textId="14C7C96C" w:rsidR="00F01A53" w:rsidRPr="00F01A53" w:rsidRDefault="00F01A53" w:rsidP="00F01A53">
      <w:pPr>
        <w:spacing w:after="240" w:line="360" w:lineRule="atLeast"/>
        <w:rPr>
          <w:rFonts w:ascii="Arial" w:eastAsia="Times New Roman" w:hAnsi="Arial" w:cs="Arial"/>
          <w:color w:val="000000" w:themeColor="text1"/>
          <w:kern w:val="0"/>
          <w:lang w:eastAsia="en-GB"/>
          <w14:ligatures w14:val="none"/>
        </w:rPr>
      </w:pPr>
      <w:r w:rsidRPr="00F01A53">
        <w:rPr>
          <w:rFonts w:ascii="Arial" w:eastAsia="Times New Roman" w:hAnsi="Arial" w:cs="Arial"/>
          <w:color w:val="000000"/>
          <w:kern w:val="0"/>
          <w:lang w:eastAsia="en-GB"/>
          <w14:ligatures w14:val="none"/>
        </w:rPr>
        <w:t>A</w:t>
      </w:r>
      <w:r w:rsidR="006D0023">
        <w:rPr>
          <w:rFonts w:ascii="Arial" w:eastAsia="Times New Roman" w:hAnsi="Arial" w:cs="Arial"/>
          <w:color w:val="000000"/>
          <w:kern w:val="0"/>
          <w:lang w:eastAsia="en-GB"/>
          <w14:ligatures w14:val="none"/>
        </w:rPr>
        <w:t>rmstrong</w:t>
      </w:r>
      <w:r w:rsidRPr="00F01A53">
        <w:rPr>
          <w:rFonts w:ascii="Arial" w:eastAsia="Times New Roman" w:hAnsi="Arial" w:cs="Arial"/>
          <w:color w:val="000000"/>
          <w:kern w:val="0"/>
          <w:lang w:eastAsia="en-GB"/>
          <w14:ligatures w14:val="none"/>
        </w:rPr>
        <w:t>, S. (2018). Securing Prison through Human Rights: Unanticipated Implications of Rights-Based Penal Governance. </w:t>
      </w:r>
      <w:r w:rsidRPr="00F01A53">
        <w:rPr>
          <w:rFonts w:ascii="Arial" w:eastAsia="Times New Roman" w:hAnsi="Arial" w:cs="Arial"/>
          <w:i/>
          <w:iCs/>
          <w:color w:val="000000"/>
          <w:kern w:val="0"/>
          <w:lang w:eastAsia="en-GB"/>
          <w14:ligatures w14:val="none"/>
        </w:rPr>
        <w:t xml:space="preserve">The Howard Journal of Crime and </w:t>
      </w:r>
      <w:r w:rsidRPr="00F01A53">
        <w:rPr>
          <w:rFonts w:ascii="Arial" w:eastAsia="Times New Roman" w:hAnsi="Arial" w:cs="Arial"/>
          <w:i/>
          <w:iCs/>
          <w:color w:val="000000" w:themeColor="text1"/>
          <w:kern w:val="0"/>
          <w:lang w:eastAsia="en-GB"/>
          <w14:ligatures w14:val="none"/>
        </w:rPr>
        <w:t>Justice</w:t>
      </w:r>
      <w:r w:rsidRPr="00F01A53">
        <w:rPr>
          <w:rFonts w:ascii="Arial" w:eastAsia="Times New Roman" w:hAnsi="Arial" w:cs="Arial"/>
          <w:color w:val="000000" w:themeColor="text1"/>
          <w:kern w:val="0"/>
          <w:lang w:eastAsia="en-GB"/>
          <w14:ligatures w14:val="none"/>
        </w:rPr>
        <w:t xml:space="preserve">, 57(3), pp.401–421. </w:t>
      </w:r>
      <w:proofErr w:type="spellStart"/>
      <w:proofErr w:type="gramStart"/>
      <w:r w:rsidRPr="00F01A53">
        <w:rPr>
          <w:rFonts w:ascii="Arial" w:eastAsia="Times New Roman" w:hAnsi="Arial" w:cs="Arial"/>
          <w:color w:val="000000" w:themeColor="text1"/>
          <w:kern w:val="0"/>
          <w:lang w:eastAsia="en-GB"/>
          <w14:ligatures w14:val="none"/>
        </w:rPr>
        <w:t>doi:https</w:t>
      </w:r>
      <w:proofErr w:type="spellEnd"/>
      <w:r w:rsidRPr="00F01A53">
        <w:rPr>
          <w:rFonts w:ascii="Arial" w:eastAsia="Times New Roman" w:hAnsi="Arial" w:cs="Arial"/>
          <w:color w:val="000000" w:themeColor="text1"/>
          <w:kern w:val="0"/>
          <w:lang w:eastAsia="en-GB"/>
          <w14:ligatures w14:val="none"/>
        </w:rPr>
        <w:t>://doi.org/10.1111/hojo.12270</w:t>
      </w:r>
      <w:proofErr w:type="gramEnd"/>
      <w:r w:rsidRPr="00F01A53">
        <w:rPr>
          <w:rFonts w:ascii="Arial" w:eastAsia="Times New Roman" w:hAnsi="Arial" w:cs="Arial"/>
          <w:color w:val="000000" w:themeColor="text1"/>
          <w:kern w:val="0"/>
          <w:lang w:eastAsia="en-GB"/>
          <w14:ligatures w14:val="none"/>
        </w:rPr>
        <w:t>.</w:t>
      </w:r>
    </w:p>
    <w:p w14:paraId="2883479A" w14:textId="77777777" w:rsidR="006B4D42" w:rsidRPr="006D0023" w:rsidRDefault="006B4D42" w:rsidP="006B4D42">
      <w:pPr>
        <w:rPr>
          <w:rFonts w:ascii="Arial" w:hAnsi="Arial" w:cs="Arial"/>
          <w:color w:val="000000" w:themeColor="text1"/>
          <w:sz w:val="23"/>
          <w:szCs w:val="23"/>
          <w:shd w:val="clear" w:color="auto" w:fill="FBFBFB"/>
        </w:rPr>
      </w:pPr>
      <w:r w:rsidRPr="006D0023">
        <w:rPr>
          <w:rFonts w:ascii="Arial" w:hAnsi="Arial" w:cs="Arial"/>
          <w:color w:val="000000" w:themeColor="text1"/>
          <w:sz w:val="23"/>
          <w:szCs w:val="23"/>
          <w:shd w:val="clear" w:color="auto" w:fill="FBFBFB"/>
        </w:rPr>
        <w:t xml:space="preserve">Beard, J. (2023) </w:t>
      </w:r>
      <w:r w:rsidRPr="006D0023">
        <w:rPr>
          <w:rFonts w:ascii="Arial" w:hAnsi="Arial" w:cs="Arial"/>
          <w:i/>
          <w:iCs/>
          <w:color w:val="000000" w:themeColor="text1"/>
          <w:sz w:val="23"/>
          <w:szCs w:val="23"/>
          <w:shd w:val="clear" w:color="auto" w:fill="FBFBFB"/>
        </w:rPr>
        <w:t>What is the Government doing to reduce pressure on prison capacity?</w:t>
      </w:r>
      <w:r w:rsidRPr="006D0023">
        <w:rPr>
          <w:rFonts w:ascii="Arial" w:hAnsi="Arial" w:cs="Arial"/>
          <w:color w:val="000000" w:themeColor="text1"/>
          <w:sz w:val="23"/>
          <w:szCs w:val="23"/>
          <w:shd w:val="clear" w:color="auto" w:fill="FBFBFB"/>
        </w:rPr>
        <w:t> (House of Commons Library). UK Parliament</w:t>
      </w:r>
      <w:r w:rsidRPr="006D0023">
        <w:rPr>
          <w:rStyle w:val="apple-converted-space"/>
          <w:rFonts w:ascii="Arial" w:hAnsi="Arial" w:cs="Arial"/>
          <w:color w:val="000000" w:themeColor="text1"/>
          <w:sz w:val="23"/>
          <w:szCs w:val="23"/>
          <w:shd w:val="clear" w:color="auto" w:fill="FBFBFB"/>
        </w:rPr>
        <w:t> </w:t>
      </w:r>
      <w:r w:rsidRPr="006D0023">
        <w:rPr>
          <w:rFonts w:ascii="Arial" w:hAnsi="Arial" w:cs="Arial"/>
          <w:color w:val="000000" w:themeColor="text1"/>
          <w:sz w:val="23"/>
          <w:szCs w:val="23"/>
          <w:shd w:val="clear" w:color="auto" w:fill="FBFBFB"/>
        </w:rPr>
        <w:t xml:space="preserve">(Accessed: 27.04.2024). </w:t>
      </w:r>
    </w:p>
    <w:p w14:paraId="60B624CC" w14:textId="77777777" w:rsidR="006B4D42" w:rsidRPr="006D0023" w:rsidRDefault="006B4D42" w:rsidP="006B4D42">
      <w:pPr>
        <w:rPr>
          <w:rFonts w:ascii="Arial" w:hAnsi="Arial" w:cs="Arial"/>
          <w:color w:val="000000" w:themeColor="text1"/>
        </w:rPr>
      </w:pPr>
    </w:p>
    <w:p w14:paraId="5F504187" w14:textId="2767A62B" w:rsidR="006B4D42" w:rsidRPr="006D0023" w:rsidRDefault="00F01A53" w:rsidP="00F01A53">
      <w:pPr>
        <w:spacing w:after="240" w:line="360" w:lineRule="atLeast"/>
        <w:rPr>
          <w:rFonts w:ascii="Arial" w:eastAsia="Times New Roman" w:hAnsi="Arial" w:cs="Arial"/>
          <w:color w:val="000000" w:themeColor="text1"/>
          <w:kern w:val="0"/>
          <w:lang w:eastAsia="en-GB"/>
          <w14:ligatures w14:val="none"/>
        </w:rPr>
      </w:pPr>
      <w:r w:rsidRPr="00F01A53">
        <w:rPr>
          <w:rFonts w:ascii="Arial" w:eastAsia="Times New Roman" w:hAnsi="Arial" w:cs="Arial"/>
          <w:color w:val="000000" w:themeColor="text1"/>
          <w:kern w:val="0"/>
          <w:lang w:eastAsia="en-GB"/>
          <w14:ligatures w14:val="none"/>
        </w:rPr>
        <w:t>Brennan, P.K. (2020). Responses Taken to Mitigate COVID-19 in Prisons in England and Wales. </w:t>
      </w:r>
      <w:r w:rsidRPr="00F01A53">
        <w:rPr>
          <w:rFonts w:ascii="Arial" w:eastAsia="Times New Roman" w:hAnsi="Arial" w:cs="Arial"/>
          <w:i/>
          <w:iCs/>
          <w:color w:val="000000" w:themeColor="text1"/>
          <w:kern w:val="0"/>
          <w:lang w:eastAsia="en-GB"/>
          <w14:ligatures w14:val="none"/>
        </w:rPr>
        <w:t>Victims &amp; Offenders</w:t>
      </w:r>
      <w:r w:rsidRPr="00F01A53">
        <w:rPr>
          <w:rFonts w:ascii="Arial" w:eastAsia="Times New Roman" w:hAnsi="Arial" w:cs="Arial"/>
          <w:color w:val="000000" w:themeColor="text1"/>
          <w:kern w:val="0"/>
          <w:lang w:eastAsia="en-GB"/>
          <w14:ligatures w14:val="none"/>
        </w:rPr>
        <w:t xml:space="preserve">, 15(7-8), pp.1–19. </w:t>
      </w:r>
      <w:proofErr w:type="spellStart"/>
      <w:proofErr w:type="gramStart"/>
      <w:r w:rsidRPr="00F01A53">
        <w:rPr>
          <w:rFonts w:ascii="Arial" w:eastAsia="Times New Roman" w:hAnsi="Arial" w:cs="Arial"/>
          <w:color w:val="000000" w:themeColor="text1"/>
          <w:kern w:val="0"/>
          <w:lang w:eastAsia="en-GB"/>
          <w14:ligatures w14:val="none"/>
        </w:rPr>
        <w:t>doi:https</w:t>
      </w:r>
      <w:proofErr w:type="spellEnd"/>
      <w:r w:rsidRPr="00F01A53">
        <w:rPr>
          <w:rFonts w:ascii="Arial" w:eastAsia="Times New Roman" w:hAnsi="Arial" w:cs="Arial"/>
          <w:color w:val="000000" w:themeColor="text1"/>
          <w:kern w:val="0"/>
          <w:lang w:eastAsia="en-GB"/>
          <w14:ligatures w14:val="none"/>
        </w:rPr>
        <w:t>://doi.org/10.1080/15564886.2020.1832027</w:t>
      </w:r>
      <w:proofErr w:type="gramEnd"/>
      <w:r w:rsidRPr="00F01A53">
        <w:rPr>
          <w:rFonts w:ascii="Arial" w:eastAsia="Times New Roman" w:hAnsi="Arial" w:cs="Arial"/>
          <w:color w:val="000000" w:themeColor="text1"/>
          <w:kern w:val="0"/>
          <w:lang w:eastAsia="en-GB"/>
          <w14:ligatures w14:val="none"/>
        </w:rPr>
        <w:t>.</w:t>
      </w:r>
    </w:p>
    <w:p w14:paraId="29D139FA" w14:textId="474A51AC" w:rsidR="006B4D42" w:rsidRPr="006D0023" w:rsidRDefault="006B4D42" w:rsidP="006B4D42">
      <w:pPr>
        <w:rPr>
          <w:rFonts w:ascii="Arial" w:hAnsi="Arial" w:cs="Arial"/>
          <w:color w:val="000000" w:themeColor="text1"/>
          <w:sz w:val="23"/>
          <w:szCs w:val="23"/>
          <w:shd w:val="clear" w:color="auto" w:fill="FBFBFB"/>
        </w:rPr>
      </w:pPr>
      <w:r w:rsidRPr="006D0023">
        <w:rPr>
          <w:rFonts w:ascii="Arial" w:hAnsi="Arial" w:cs="Arial"/>
          <w:color w:val="000000" w:themeColor="text1"/>
          <w:sz w:val="23"/>
          <w:szCs w:val="23"/>
          <w:shd w:val="clear" w:color="auto" w:fill="FBFBFB"/>
        </w:rPr>
        <w:t xml:space="preserve">Chalk, A. (2023) </w:t>
      </w:r>
      <w:r w:rsidRPr="006D0023">
        <w:rPr>
          <w:rFonts w:ascii="Arial" w:hAnsi="Arial" w:cs="Arial"/>
          <w:i/>
          <w:iCs/>
          <w:color w:val="000000" w:themeColor="text1"/>
          <w:sz w:val="23"/>
          <w:szCs w:val="23"/>
          <w:shd w:val="clear" w:color="auto" w:fill="FBFBFB"/>
        </w:rPr>
        <w:t>'Prison Capacity'</w:t>
      </w:r>
      <w:r w:rsidRPr="006D0023">
        <w:rPr>
          <w:rFonts w:ascii="Arial" w:hAnsi="Arial" w:cs="Arial"/>
          <w:color w:val="000000" w:themeColor="text1"/>
          <w:sz w:val="23"/>
          <w:szCs w:val="23"/>
          <w:shd w:val="clear" w:color="auto" w:fill="FBFBFB"/>
        </w:rPr>
        <w:t>,</w:t>
      </w:r>
      <w:r w:rsidRPr="006D0023">
        <w:rPr>
          <w:rStyle w:val="apple-converted-space"/>
          <w:rFonts w:ascii="Arial" w:hAnsi="Arial" w:cs="Arial"/>
          <w:color w:val="000000" w:themeColor="text1"/>
          <w:sz w:val="23"/>
          <w:szCs w:val="23"/>
          <w:shd w:val="clear" w:color="auto" w:fill="FBFBFB"/>
        </w:rPr>
        <w:t> </w:t>
      </w:r>
      <w:r w:rsidRPr="006D0023">
        <w:rPr>
          <w:rFonts w:ascii="Arial" w:hAnsi="Arial" w:cs="Arial"/>
          <w:i/>
          <w:iCs/>
          <w:color w:val="000000" w:themeColor="text1"/>
          <w:sz w:val="23"/>
          <w:szCs w:val="23"/>
        </w:rPr>
        <w:t>Hansard: Commons Chamber,</w:t>
      </w:r>
      <w:r w:rsidRPr="006D0023">
        <w:rPr>
          <w:rFonts w:ascii="Arial" w:hAnsi="Arial" w:cs="Arial"/>
          <w:color w:val="000000" w:themeColor="text1"/>
          <w:sz w:val="23"/>
          <w:szCs w:val="23"/>
          <w:shd w:val="clear" w:color="auto" w:fill="FBFBFB"/>
        </w:rPr>
        <w:t> 16th October, 738. Available at: </w:t>
      </w:r>
      <w:hyperlink r:id="rId4" w:history="1">
        <w:r w:rsidRPr="006D0023">
          <w:rPr>
            <w:rStyle w:val="Hyperlink"/>
            <w:rFonts w:ascii="Arial" w:hAnsi="Arial" w:cs="Arial"/>
            <w:color w:val="000000" w:themeColor="text1"/>
            <w:sz w:val="23"/>
            <w:szCs w:val="23"/>
          </w:rPr>
          <w:t>https://hansard.parliament.uk/commons/2023-10-16/debates/50D29A75-C1E4-4FFC-A77D-11BBC20BCD99/PrisonCapacity</w:t>
        </w:r>
      </w:hyperlink>
      <w:r w:rsidRPr="006D0023">
        <w:rPr>
          <w:rFonts w:ascii="Arial" w:hAnsi="Arial" w:cs="Arial"/>
          <w:color w:val="000000" w:themeColor="text1"/>
          <w:sz w:val="23"/>
          <w:szCs w:val="23"/>
          <w:shd w:val="clear" w:color="auto" w:fill="FBFBFB"/>
        </w:rPr>
        <w:t> (Accessed: 27.04.2024).</w:t>
      </w:r>
    </w:p>
    <w:p w14:paraId="775339FD" w14:textId="77777777" w:rsidR="006B4D42" w:rsidRPr="00F01A53" w:rsidRDefault="006B4D42" w:rsidP="006B4D42">
      <w:pPr>
        <w:rPr>
          <w:rFonts w:ascii="Arial" w:hAnsi="Arial" w:cs="Arial"/>
          <w:color w:val="000000" w:themeColor="text1"/>
          <w:sz w:val="23"/>
          <w:szCs w:val="23"/>
          <w:shd w:val="clear" w:color="auto" w:fill="FBFBFB"/>
        </w:rPr>
      </w:pPr>
    </w:p>
    <w:p w14:paraId="1644154E" w14:textId="1AC10D1B"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themeColor="text1"/>
          <w:kern w:val="0"/>
          <w:lang w:eastAsia="en-GB"/>
          <w14:ligatures w14:val="none"/>
        </w:rPr>
        <w:t>Criminal Justice Inspectorates (2014). </w:t>
      </w:r>
      <w:r w:rsidRPr="00F01A53">
        <w:rPr>
          <w:rFonts w:ascii="Arial" w:eastAsia="Times New Roman" w:hAnsi="Arial" w:cs="Arial"/>
          <w:i/>
          <w:iCs/>
          <w:color w:val="000000" w:themeColor="text1"/>
          <w:kern w:val="0"/>
          <w:lang w:eastAsia="en-GB"/>
          <w14:ligatures w14:val="none"/>
        </w:rPr>
        <w:t xml:space="preserve">OPERATION SAFEGUARD A report on exploratory work by HM Inspectorate </w:t>
      </w:r>
      <w:r w:rsidRPr="00F01A53">
        <w:rPr>
          <w:rFonts w:ascii="Arial" w:eastAsia="Times New Roman" w:hAnsi="Arial" w:cs="Arial"/>
          <w:i/>
          <w:iCs/>
          <w:color w:val="000000"/>
          <w:kern w:val="0"/>
          <w:lang w:eastAsia="en-GB"/>
          <w14:ligatures w14:val="none"/>
        </w:rPr>
        <w:t>of Prisons and HM Inspectorate of Constabulary Contents</w:t>
      </w:r>
      <w:r w:rsidRPr="00F01A53">
        <w:rPr>
          <w:rFonts w:ascii="Arial" w:eastAsia="Times New Roman" w:hAnsi="Arial" w:cs="Arial"/>
          <w:color w:val="000000"/>
          <w:kern w:val="0"/>
          <w:lang w:eastAsia="en-GB"/>
          <w14:ligatures w14:val="none"/>
        </w:rPr>
        <w:t>. Available at: https://www.justiceinspectorates.gov.uk/hmiprisons/wp-content/uploads/sites/4/2014/07/operation_safeguard-rps1.pdf.</w:t>
      </w:r>
    </w:p>
    <w:p w14:paraId="4CF20855" w14:textId="115711C4"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 xml:space="preserve">Criminal Justice </w:t>
      </w:r>
      <w:r w:rsidR="006D0023" w:rsidRPr="00F01A53">
        <w:rPr>
          <w:rFonts w:ascii="Arial" w:eastAsia="Times New Roman" w:hAnsi="Arial" w:cs="Arial"/>
          <w:color w:val="000000"/>
          <w:kern w:val="0"/>
          <w:lang w:eastAsia="en-GB"/>
          <w14:ligatures w14:val="none"/>
        </w:rPr>
        <w:t>Inspectorates</w:t>
      </w:r>
      <w:r w:rsidRPr="00F01A53">
        <w:rPr>
          <w:rFonts w:ascii="Arial" w:eastAsia="Times New Roman" w:hAnsi="Arial" w:cs="Arial"/>
          <w:color w:val="000000"/>
          <w:kern w:val="0"/>
          <w:lang w:eastAsia="en-GB"/>
          <w14:ligatures w14:val="none"/>
        </w:rPr>
        <w:t xml:space="preserve"> (2014). </w:t>
      </w:r>
      <w:r w:rsidRPr="00F01A53">
        <w:rPr>
          <w:rFonts w:ascii="Arial" w:eastAsia="Times New Roman" w:hAnsi="Arial" w:cs="Arial"/>
          <w:i/>
          <w:iCs/>
          <w:color w:val="000000"/>
          <w:kern w:val="0"/>
          <w:lang w:eastAsia="en-GB"/>
          <w14:ligatures w14:val="none"/>
        </w:rPr>
        <w:t>Human rights scoping Expectations: criteria for assessing the treatment of prisoners and conditions in prisons</w:t>
      </w:r>
      <w:r w:rsidRPr="00F01A53">
        <w:rPr>
          <w:rFonts w:ascii="Arial" w:eastAsia="Times New Roman" w:hAnsi="Arial" w:cs="Arial"/>
          <w:color w:val="000000"/>
          <w:kern w:val="0"/>
          <w:lang w:eastAsia="en-GB"/>
          <w14:ligatures w14:val="none"/>
        </w:rPr>
        <w:t>. Available at: https://www.justiceinspectorates.gov.uk/hmiprisons/wp-content/uploads/sites/4/2017/07/Human-rights-scoping-FINAL.pdf [Accessed 30 Jun. 2020].</w:t>
      </w:r>
    </w:p>
    <w:p w14:paraId="7C368B27" w14:textId="386AF20E" w:rsid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Emby, A. (2014). </w:t>
      </w:r>
      <w:r w:rsidRPr="00F01A53">
        <w:rPr>
          <w:rFonts w:ascii="Arial" w:eastAsia="Times New Roman" w:hAnsi="Arial" w:cs="Arial"/>
          <w:i/>
          <w:iCs/>
          <w:color w:val="000000"/>
          <w:kern w:val="0"/>
          <w:lang w:eastAsia="en-GB"/>
          <w14:ligatures w14:val="none"/>
        </w:rPr>
        <w:t>HUMAN RIGHTS INFORMATION BOOKLET FOR PRISONERS</w:t>
      </w:r>
      <w:r w:rsidRPr="00F01A53">
        <w:rPr>
          <w:rFonts w:ascii="Arial" w:eastAsia="Times New Roman" w:hAnsi="Arial" w:cs="Arial"/>
          <w:color w:val="000000"/>
          <w:kern w:val="0"/>
          <w:lang w:eastAsia="en-GB"/>
          <w14:ligatures w14:val="none"/>
        </w:rPr>
        <w:t xml:space="preserve">.  Available at: </w:t>
      </w:r>
      <w:hyperlink r:id="rId5" w:history="1">
        <w:r w:rsidR="000128D2" w:rsidRPr="00F01A53">
          <w:rPr>
            <w:rStyle w:val="Hyperlink"/>
            <w:rFonts w:ascii="Arial" w:eastAsia="Times New Roman" w:hAnsi="Arial" w:cs="Arial"/>
            <w:kern w:val="0"/>
            <w:lang w:eastAsia="en-GB"/>
            <w14:ligatures w14:val="none"/>
          </w:rPr>
          <w:t>https://prisonreformtrust.org.uk/wp-content/uploads/2021/11/human-rights-bookletdigital.pdf</w:t>
        </w:r>
      </w:hyperlink>
      <w:r w:rsidRPr="00F01A53">
        <w:rPr>
          <w:rFonts w:ascii="Arial" w:eastAsia="Times New Roman" w:hAnsi="Arial" w:cs="Arial"/>
          <w:color w:val="000000"/>
          <w:kern w:val="0"/>
          <w:lang w:eastAsia="en-GB"/>
          <w14:ligatures w14:val="none"/>
        </w:rPr>
        <w:t>.</w:t>
      </w:r>
    </w:p>
    <w:p w14:paraId="74AB1319" w14:textId="77777777" w:rsidR="000128D2" w:rsidRPr="00F01A53" w:rsidRDefault="000128D2" w:rsidP="00F01A53">
      <w:pPr>
        <w:spacing w:after="240" w:line="360" w:lineRule="atLeast"/>
        <w:rPr>
          <w:rFonts w:ascii="Arial" w:eastAsia="Times New Roman" w:hAnsi="Arial" w:cs="Arial"/>
          <w:color w:val="000000"/>
          <w:kern w:val="0"/>
          <w:lang w:eastAsia="en-GB"/>
          <w14:ligatures w14:val="none"/>
        </w:rPr>
      </w:pPr>
    </w:p>
    <w:p w14:paraId="5385550C" w14:textId="7777777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lastRenderedPageBreak/>
        <w:t xml:space="preserve">Esposito, M., Salerno, M., Di </w:t>
      </w:r>
      <w:proofErr w:type="spellStart"/>
      <w:r w:rsidRPr="00F01A53">
        <w:rPr>
          <w:rFonts w:ascii="Arial" w:eastAsia="Times New Roman" w:hAnsi="Arial" w:cs="Arial"/>
          <w:color w:val="000000"/>
          <w:kern w:val="0"/>
          <w:lang w:eastAsia="en-GB"/>
          <w14:ligatures w14:val="none"/>
        </w:rPr>
        <w:t>Nunno</w:t>
      </w:r>
      <w:proofErr w:type="spellEnd"/>
      <w:r w:rsidRPr="00F01A53">
        <w:rPr>
          <w:rFonts w:ascii="Arial" w:eastAsia="Times New Roman" w:hAnsi="Arial" w:cs="Arial"/>
          <w:color w:val="000000"/>
          <w:kern w:val="0"/>
          <w:lang w:eastAsia="en-GB"/>
          <w14:ligatures w14:val="none"/>
        </w:rPr>
        <w:t xml:space="preserve">, N., </w:t>
      </w:r>
      <w:proofErr w:type="spellStart"/>
      <w:r w:rsidRPr="00F01A53">
        <w:rPr>
          <w:rFonts w:ascii="Arial" w:eastAsia="Times New Roman" w:hAnsi="Arial" w:cs="Arial"/>
          <w:color w:val="000000"/>
          <w:kern w:val="0"/>
          <w:lang w:eastAsia="en-GB"/>
          <w14:ligatures w14:val="none"/>
        </w:rPr>
        <w:t>Ministeri</w:t>
      </w:r>
      <w:proofErr w:type="spellEnd"/>
      <w:r w:rsidRPr="00F01A53">
        <w:rPr>
          <w:rFonts w:ascii="Arial" w:eastAsia="Times New Roman" w:hAnsi="Arial" w:cs="Arial"/>
          <w:color w:val="000000"/>
          <w:kern w:val="0"/>
          <w:lang w:eastAsia="en-GB"/>
          <w14:ligatures w14:val="none"/>
        </w:rPr>
        <w:t xml:space="preserve">, F., </w:t>
      </w:r>
      <w:proofErr w:type="spellStart"/>
      <w:r w:rsidRPr="00F01A53">
        <w:rPr>
          <w:rFonts w:ascii="Arial" w:eastAsia="Times New Roman" w:hAnsi="Arial" w:cs="Arial"/>
          <w:color w:val="000000"/>
          <w:kern w:val="0"/>
          <w:lang w:eastAsia="en-GB"/>
          <w14:ligatures w14:val="none"/>
        </w:rPr>
        <w:t>Liberto</w:t>
      </w:r>
      <w:proofErr w:type="spellEnd"/>
      <w:r w:rsidRPr="00F01A53">
        <w:rPr>
          <w:rFonts w:ascii="Arial" w:eastAsia="Times New Roman" w:hAnsi="Arial" w:cs="Arial"/>
          <w:color w:val="000000"/>
          <w:kern w:val="0"/>
          <w:lang w:eastAsia="en-GB"/>
          <w14:ligatures w14:val="none"/>
        </w:rPr>
        <w:t>, A. and Sessa, F. (2022). The Risk of COVID-19 Infection in Prisons and Prevention Strategies: A Systematic Review and a New Strategic Protocol of Prevention. </w:t>
      </w:r>
      <w:r w:rsidRPr="00F01A53">
        <w:rPr>
          <w:rFonts w:ascii="Arial" w:eastAsia="Times New Roman" w:hAnsi="Arial" w:cs="Arial"/>
          <w:i/>
          <w:iCs/>
          <w:color w:val="000000"/>
          <w:kern w:val="0"/>
          <w:lang w:eastAsia="en-GB"/>
          <w14:ligatures w14:val="none"/>
        </w:rPr>
        <w:t>Healthcare</w:t>
      </w:r>
      <w:r w:rsidRPr="00F01A53">
        <w:rPr>
          <w:rFonts w:ascii="Arial" w:eastAsia="Times New Roman" w:hAnsi="Arial" w:cs="Arial"/>
          <w:color w:val="000000"/>
          <w:kern w:val="0"/>
          <w:lang w:eastAsia="en-GB"/>
          <w14:ligatures w14:val="none"/>
        </w:rPr>
        <w:t xml:space="preserve">, 10(2), p.270.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://doi.org/10.3390/healthcare10020270</w:t>
      </w:r>
      <w:proofErr w:type="gramEnd"/>
      <w:r w:rsidRPr="00F01A53">
        <w:rPr>
          <w:rFonts w:ascii="Arial" w:eastAsia="Times New Roman" w:hAnsi="Arial" w:cs="Arial"/>
          <w:color w:val="000000"/>
          <w:kern w:val="0"/>
          <w:lang w:eastAsia="en-GB"/>
          <w14:ligatures w14:val="none"/>
        </w:rPr>
        <w:t>.</w:t>
      </w:r>
    </w:p>
    <w:p w14:paraId="3D1C8D31" w14:textId="603C7CEA"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Home Office (2023a). </w:t>
      </w:r>
      <w:r w:rsidRPr="00F01A53">
        <w:rPr>
          <w:rFonts w:ascii="Arial" w:eastAsia="Times New Roman" w:hAnsi="Arial" w:cs="Arial"/>
          <w:i/>
          <w:iCs/>
          <w:color w:val="000000"/>
          <w:kern w:val="0"/>
          <w:lang w:eastAsia="en-GB"/>
          <w14:ligatures w14:val="none"/>
        </w:rPr>
        <w:t>Foreign prison rental to ensure public protection</w:t>
      </w:r>
      <w:r w:rsidRPr="00F01A53">
        <w:rPr>
          <w:rFonts w:ascii="Arial" w:eastAsia="Times New Roman" w:hAnsi="Arial" w:cs="Arial"/>
          <w:color w:val="000000"/>
          <w:kern w:val="0"/>
          <w:lang w:eastAsia="en-GB"/>
          <w14:ligatures w14:val="none"/>
        </w:rPr>
        <w:t>. GOV.UK. Available at: https://www.gov.uk/government/news/foreign-prison-rental-to-ensure-public-protection [Accessed 30 Oct. 2023].</w:t>
      </w:r>
    </w:p>
    <w:p w14:paraId="0B6176DB" w14:textId="5F6CE7C4"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Home Office (2023b). </w:t>
      </w:r>
      <w:r w:rsidRPr="00F01A53">
        <w:rPr>
          <w:rFonts w:ascii="Arial" w:eastAsia="Times New Roman" w:hAnsi="Arial" w:cs="Arial"/>
          <w:i/>
          <w:iCs/>
          <w:color w:val="000000"/>
          <w:kern w:val="0"/>
          <w:lang w:eastAsia="en-GB"/>
          <w14:ligatures w14:val="none"/>
        </w:rPr>
        <w:t xml:space="preserve">Police officer uplift, final position as </w:t>
      </w:r>
      <w:proofErr w:type="gramStart"/>
      <w:r w:rsidRPr="00F01A53">
        <w:rPr>
          <w:rFonts w:ascii="Arial" w:eastAsia="Times New Roman" w:hAnsi="Arial" w:cs="Arial"/>
          <w:i/>
          <w:iCs/>
          <w:color w:val="000000"/>
          <w:kern w:val="0"/>
          <w:lang w:eastAsia="en-GB"/>
          <w14:ligatures w14:val="none"/>
        </w:rPr>
        <w:t>at</w:t>
      </w:r>
      <w:proofErr w:type="gramEnd"/>
      <w:r w:rsidRPr="00F01A53">
        <w:rPr>
          <w:rFonts w:ascii="Arial" w:eastAsia="Times New Roman" w:hAnsi="Arial" w:cs="Arial"/>
          <w:i/>
          <w:iCs/>
          <w:color w:val="000000"/>
          <w:kern w:val="0"/>
          <w:lang w:eastAsia="en-GB"/>
          <w14:ligatures w14:val="none"/>
        </w:rPr>
        <w:t xml:space="preserve"> March 2023</w:t>
      </w:r>
      <w:r w:rsidRPr="00F01A53">
        <w:rPr>
          <w:rFonts w:ascii="Arial" w:eastAsia="Times New Roman" w:hAnsi="Arial" w:cs="Arial"/>
          <w:color w:val="000000"/>
          <w:kern w:val="0"/>
          <w:lang w:eastAsia="en-GB"/>
          <w14:ligatures w14:val="none"/>
        </w:rPr>
        <w:t>. GOV.UK. Available at: https://www.gov.uk/government/statistics/police-officer-uplift-final-position-as-at-march-2023/police-officer-uplift-final-position-as-at-march-2023.</w:t>
      </w:r>
    </w:p>
    <w:p w14:paraId="3519722C" w14:textId="3DD052F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Home Office (2023c). </w:t>
      </w:r>
      <w:r w:rsidRPr="00F01A53">
        <w:rPr>
          <w:rFonts w:ascii="Arial" w:eastAsia="Times New Roman" w:hAnsi="Arial" w:cs="Arial"/>
          <w:i/>
          <w:iCs/>
          <w:color w:val="000000"/>
          <w:kern w:val="0"/>
          <w:lang w:eastAsia="en-GB"/>
          <w14:ligatures w14:val="none"/>
        </w:rPr>
        <w:t xml:space="preserve">Safety in Custody Statistics, </w:t>
      </w:r>
      <w:proofErr w:type="gramStart"/>
      <w:r w:rsidRPr="00F01A53">
        <w:rPr>
          <w:rFonts w:ascii="Arial" w:eastAsia="Times New Roman" w:hAnsi="Arial" w:cs="Arial"/>
          <w:i/>
          <w:iCs/>
          <w:color w:val="000000"/>
          <w:kern w:val="0"/>
          <w:lang w:eastAsia="en-GB"/>
          <w14:ligatures w14:val="none"/>
        </w:rPr>
        <w:t>England</w:t>
      </w:r>
      <w:proofErr w:type="gramEnd"/>
      <w:r w:rsidRPr="00F01A53">
        <w:rPr>
          <w:rFonts w:ascii="Arial" w:eastAsia="Times New Roman" w:hAnsi="Arial" w:cs="Arial"/>
          <w:i/>
          <w:iCs/>
          <w:color w:val="000000"/>
          <w:kern w:val="0"/>
          <w:lang w:eastAsia="en-GB"/>
          <w14:ligatures w14:val="none"/>
        </w:rPr>
        <w:t xml:space="preserve"> and Wales: Deaths in Prison Custody to June 2023 Assaults and Self-harm to March 2023</w:t>
      </w:r>
      <w:r w:rsidRPr="00F01A53">
        <w:rPr>
          <w:rFonts w:ascii="Arial" w:eastAsia="Times New Roman" w:hAnsi="Arial" w:cs="Arial"/>
          <w:color w:val="000000"/>
          <w:kern w:val="0"/>
          <w:lang w:eastAsia="en-GB"/>
          <w14:ligatures w14:val="none"/>
        </w:rPr>
        <w:t>. GOV.UK. Available at: https://www.gov.uk/government/statistics/safety-in-custody-quarterly-update-to-march-2023/safety-in-custody-statistics-england-and-wales-deaths-in-prison-custody-to-june-2023-assaults-and-self-harm-to-march-2023.</w:t>
      </w:r>
    </w:p>
    <w:p w14:paraId="2C3DC7D2" w14:textId="4D992B8D" w:rsidR="00F01A53" w:rsidRPr="00BC4C17"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Home Office (2024). </w:t>
      </w:r>
      <w:r w:rsidRPr="00F01A53">
        <w:rPr>
          <w:rFonts w:ascii="Arial" w:eastAsia="Times New Roman" w:hAnsi="Arial" w:cs="Arial"/>
          <w:i/>
          <w:iCs/>
          <w:color w:val="000000"/>
          <w:kern w:val="0"/>
          <w:lang w:eastAsia="en-GB"/>
          <w14:ligatures w14:val="none"/>
        </w:rPr>
        <w:t>Offender management statistics quarterly: October to December 2023 and annual 2023</w:t>
      </w:r>
      <w:r w:rsidRPr="00F01A53">
        <w:rPr>
          <w:rFonts w:ascii="Arial" w:eastAsia="Times New Roman" w:hAnsi="Arial" w:cs="Arial"/>
          <w:color w:val="000000"/>
          <w:kern w:val="0"/>
          <w:lang w:eastAsia="en-GB"/>
          <w14:ligatures w14:val="none"/>
        </w:rPr>
        <w:t xml:space="preserve">. GOV.UK. Available at: </w:t>
      </w:r>
      <w:hyperlink r:id="rId6" w:history="1">
        <w:r w:rsidR="00924C26" w:rsidRPr="00F01A53">
          <w:rPr>
            <w:rStyle w:val="Hyperlink"/>
            <w:rFonts w:ascii="Arial" w:eastAsia="Times New Roman" w:hAnsi="Arial" w:cs="Arial"/>
            <w:kern w:val="0"/>
            <w:lang w:eastAsia="en-GB"/>
            <w14:ligatures w14:val="none"/>
          </w:rPr>
          <w:t>https://www.gov.uk/government/statistics/offender-management-statistics-quarterly-october-to-december-2023/offender-management-statistics-quarterly-october-to-december-2023-and-annual-2023</w:t>
        </w:r>
      </w:hyperlink>
      <w:r w:rsidRPr="00F01A53">
        <w:rPr>
          <w:rFonts w:ascii="Arial" w:eastAsia="Times New Roman" w:hAnsi="Arial" w:cs="Arial"/>
          <w:color w:val="000000"/>
          <w:kern w:val="0"/>
          <w:lang w:eastAsia="en-GB"/>
          <w14:ligatures w14:val="none"/>
        </w:rPr>
        <w:t>.</w:t>
      </w:r>
    </w:p>
    <w:p w14:paraId="592781DA" w14:textId="0F0ACBA8" w:rsidR="00F01A53" w:rsidRPr="00BC4C17"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 xml:space="preserve">Johnson, L., </w:t>
      </w:r>
      <w:proofErr w:type="spellStart"/>
      <w:r w:rsidRPr="00F01A53">
        <w:rPr>
          <w:rFonts w:ascii="Arial" w:eastAsia="Times New Roman" w:hAnsi="Arial" w:cs="Arial"/>
          <w:color w:val="000000"/>
          <w:kern w:val="0"/>
          <w:lang w:eastAsia="en-GB"/>
          <w14:ligatures w14:val="none"/>
        </w:rPr>
        <w:t>Gutridge</w:t>
      </w:r>
      <w:proofErr w:type="spellEnd"/>
      <w:r w:rsidRPr="00F01A53">
        <w:rPr>
          <w:rFonts w:ascii="Arial" w:eastAsia="Times New Roman" w:hAnsi="Arial" w:cs="Arial"/>
          <w:color w:val="000000"/>
          <w:kern w:val="0"/>
          <w:lang w:eastAsia="en-GB"/>
          <w14:ligatures w14:val="none"/>
        </w:rPr>
        <w:t xml:space="preserve">, K., Parkes, J., Roy, A. and </w:t>
      </w:r>
      <w:proofErr w:type="spellStart"/>
      <w:r w:rsidRPr="00F01A53">
        <w:rPr>
          <w:rFonts w:ascii="Arial" w:eastAsia="Times New Roman" w:hAnsi="Arial" w:cs="Arial"/>
          <w:color w:val="000000"/>
          <w:kern w:val="0"/>
          <w:lang w:eastAsia="en-GB"/>
          <w14:ligatures w14:val="none"/>
        </w:rPr>
        <w:t>Plugge</w:t>
      </w:r>
      <w:proofErr w:type="spellEnd"/>
      <w:r w:rsidRPr="00F01A53">
        <w:rPr>
          <w:rFonts w:ascii="Arial" w:eastAsia="Times New Roman" w:hAnsi="Arial" w:cs="Arial"/>
          <w:color w:val="000000"/>
          <w:kern w:val="0"/>
          <w:lang w:eastAsia="en-GB"/>
          <w14:ligatures w14:val="none"/>
        </w:rPr>
        <w:t>, E. (2021). Scoping review of mental health in prisons through the COVID-19 pandemic. </w:t>
      </w:r>
      <w:r w:rsidRPr="00F01A53">
        <w:rPr>
          <w:rFonts w:ascii="Arial" w:eastAsia="Times New Roman" w:hAnsi="Arial" w:cs="Arial"/>
          <w:i/>
          <w:iCs/>
          <w:color w:val="000000"/>
          <w:kern w:val="0"/>
          <w:lang w:eastAsia="en-GB"/>
          <w14:ligatures w14:val="none"/>
        </w:rPr>
        <w:t>BMJ Open</w:t>
      </w:r>
      <w:r w:rsidRPr="00F01A53">
        <w:rPr>
          <w:rFonts w:ascii="Arial" w:eastAsia="Times New Roman" w:hAnsi="Arial" w:cs="Arial"/>
          <w:color w:val="000000"/>
          <w:kern w:val="0"/>
          <w:lang w:eastAsia="en-GB"/>
          <w14:ligatures w14:val="none"/>
        </w:rPr>
        <w:t xml:space="preserve">, 11(5), p.e046547.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://doi.org/10.1136/bmjopen-2020-046547</w:t>
      </w:r>
      <w:proofErr w:type="gramEnd"/>
      <w:r w:rsidRPr="00F01A53">
        <w:rPr>
          <w:rFonts w:ascii="Arial" w:eastAsia="Times New Roman" w:hAnsi="Arial" w:cs="Arial"/>
          <w:color w:val="000000"/>
          <w:kern w:val="0"/>
          <w:lang w:eastAsia="en-GB"/>
          <w14:ligatures w14:val="none"/>
        </w:rPr>
        <w:t>.</w:t>
      </w:r>
    </w:p>
    <w:p w14:paraId="2D112BC5" w14:textId="331B56F2" w:rsidR="0042550E" w:rsidRPr="00F01A53" w:rsidRDefault="0042550E" w:rsidP="00F01A53">
      <w:pPr>
        <w:spacing w:after="240" w:line="360" w:lineRule="atLeast"/>
        <w:rPr>
          <w:rFonts w:ascii="Arial" w:eastAsia="Times New Roman" w:hAnsi="Arial" w:cs="Arial"/>
          <w:color w:val="000000"/>
          <w:kern w:val="0"/>
          <w:lang w:eastAsia="en-GB"/>
          <w14:ligatures w14:val="none"/>
        </w:rPr>
      </w:pPr>
      <w:r w:rsidRPr="00BC4C17">
        <w:rPr>
          <w:rFonts w:ascii="Arial" w:eastAsia="Times New Roman" w:hAnsi="Arial" w:cs="Arial"/>
          <w:color w:val="000000"/>
          <w:kern w:val="0"/>
          <w:lang w:eastAsia="en-GB"/>
          <w14:ligatures w14:val="none"/>
        </w:rPr>
        <w:t>Jones.</w:t>
      </w:r>
      <w:r w:rsidR="0009439B" w:rsidRPr="00BC4C17">
        <w:rPr>
          <w:rFonts w:ascii="Arial" w:eastAsia="Times New Roman" w:hAnsi="Arial" w:cs="Arial"/>
          <w:color w:val="000000"/>
          <w:kern w:val="0"/>
          <w:lang w:eastAsia="en-GB"/>
          <w14:ligatures w14:val="none"/>
        </w:rPr>
        <w:t xml:space="preserve"> C</w:t>
      </w:r>
      <w:r w:rsidRPr="00BC4C17">
        <w:rPr>
          <w:rFonts w:ascii="Arial" w:eastAsia="Times New Roman" w:hAnsi="Arial" w:cs="Arial"/>
          <w:color w:val="000000"/>
          <w:kern w:val="0"/>
          <w:lang w:eastAsia="en-GB"/>
          <w14:ligatures w14:val="none"/>
        </w:rPr>
        <w:t xml:space="preserve"> &amp; Lally, C. (2024). Prison population growth: drivers, implications, and policy considerations. Parliamentary Office of Science and Technology. </w:t>
      </w:r>
    </w:p>
    <w:p w14:paraId="5BAD7BBC" w14:textId="5737CB65"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Justice Committee (2019). </w:t>
      </w:r>
      <w:r w:rsidRPr="00F01A53">
        <w:rPr>
          <w:rFonts w:ascii="Arial" w:eastAsia="Times New Roman" w:hAnsi="Arial" w:cs="Arial"/>
          <w:i/>
          <w:iCs/>
          <w:color w:val="000000"/>
          <w:kern w:val="0"/>
          <w:lang w:eastAsia="en-GB"/>
          <w14:ligatures w14:val="none"/>
        </w:rPr>
        <w:t>Prison population 2022: planning for the future - Justice Committee</w:t>
      </w:r>
      <w:r w:rsidRPr="00F01A53">
        <w:rPr>
          <w:rFonts w:ascii="Arial" w:eastAsia="Times New Roman" w:hAnsi="Arial" w:cs="Arial"/>
          <w:color w:val="000000"/>
          <w:kern w:val="0"/>
          <w:lang w:eastAsia="en-GB"/>
          <w14:ligatures w14:val="none"/>
        </w:rPr>
        <w:t>. publications.parliament.uk. Available at: https://publications.parliament.uk/pa/cm201719/cmselect/cmjust/483/full-report.html.</w:t>
      </w:r>
    </w:p>
    <w:p w14:paraId="2970B896" w14:textId="7777777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Maruna, S., McNaull, G. and O’Neill, N. (2022). The COVID-19 Pandemic and the Future of the Prison. </w:t>
      </w:r>
      <w:r w:rsidRPr="00F01A53">
        <w:rPr>
          <w:rFonts w:ascii="Arial" w:eastAsia="Times New Roman" w:hAnsi="Arial" w:cs="Arial"/>
          <w:i/>
          <w:iCs/>
          <w:color w:val="000000"/>
          <w:kern w:val="0"/>
          <w:lang w:eastAsia="en-GB"/>
          <w14:ligatures w14:val="none"/>
        </w:rPr>
        <w:t>Crime and Justice</w:t>
      </w:r>
      <w:r w:rsidRPr="00F01A53">
        <w:rPr>
          <w:rFonts w:ascii="Arial" w:eastAsia="Times New Roman" w:hAnsi="Arial" w:cs="Arial"/>
          <w:color w:val="000000"/>
          <w:kern w:val="0"/>
          <w:lang w:eastAsia="en-GB"/>
          <w14:ligatures w14:val="none"/>
        </w:rPr>
        <w:t xml:space="preserve">.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://doi.org/10.1086/722434</w:t>
      </w:r>
      <w:proofErr w:type="gramEnd"/>
      <w:r w:rsidRPr="00F01A53">
        <w:rPr>
          <w:rFonts w:ascii="Arial" w:eastAsia="Times New Roman" w:hAnsi="Arial" w:cs="Arial"/>
          <w:color w:val="000000"/>
          <w:kern w:val="0"/>
          <w:lang w:eastAsia="en-GB"/>
          <w14:ligatures w14:val="none"/>
        </w:rPr>
        <w:t>.</w:t>
      </w:r>
    </w:p>
    <w:p w14:paraId="64660B70" w14:textId="1362A2FA"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Ministry of Justice (2023). </w:t>
      </w:r>
      <w:r w:rsidRPr="00F01A53">
        <w:rPr>
          <w:rFonts w:ascii="Arial" w:eastAsia="Times New Roman" w:hAnsi="Arial" w:cs="Arial"/>
          <w:i/>
          <w:iCs/>
          <w:color w:val="000000"/>
          <w:kern w:val="0"/>
          <w:lang w:eastAsia="en-GB"/>
          <w14:ligatures w14:val="none"/>
        </w:rPr>
        <w:t xml:space="preserve">Safety in Custody Statistics, </w:t>
      </w:r>
      <w:proofErr w:type="gramStart"/>
      <w:r w:rsidRPr="00F01A53">
        <w:rPr>
          <w:rFonts w:ascii="Arial" w:eastAsia="Times New Roman" w:hAnsi="Arial" w:cs="Arial"/>
          <w:i/>
          <w:iCs/>
          <w:color w:val="000000"/>
          <w:kern w:val="0"/>
          <w:lang w:eastAsia="en-GB"/>
          <w14:ligatures w14:val="none"/>
        </w:rPr>
        <w:t>England</w:t>
      </w:r>
      <w:proofErr w:type="gramEnd"/>
      <w:r w:rsidRPr="00F01A53">
        <w:rPr>
          <w:rFonts w:ascii="Arial" w:eastAsia="Times New Roman" w:hAnsi="Arial" w:cs="Arial"/>
          <w:i/>
          <w:iCs/>
          <w:color w:val="000000"/>
          <w:kern w:val="0"/>
          <w:lang w:eastAsia="en-GB"/>
          <w14:ligatures w14:val="none"/>
        </w:rPr>
        <w:t xml:space="preserve"> and Wales: Deaths in Prison Custody to June 2023 Assaults and Self-harm to March 2023</w:t>
      </w:r>
      <w:r w:rsidRPr="00F01A53">
        <w:rPr>
          <w:rFonts w:ascii="Arial" w:eastAsia="Times New Roman" w:hAnsi="Arial" w:cs="Arial"/>
          <w:color w:val="000000"/>
          <w:kern w:val="0"/>
          <w:lang w:eastAsia="en-GB"/>
          <w14:ligatures w14:val="none"/>
        </w:rPr>
        <w:t xml:space="preserve">. GOV.UK. </w:t>
      </w:r>
      <w:r w:rsidRPr="00F01A53">
        <w:rPr>
          <w:rFonts w:ascii="Arial" w:eastAsia="Times New Roman" w:hAnsi="Arial" w:cs="Arial"/>
          <w:color w:val="000000"/>
          <w:kern w:val="0"/>
          <w:lang w:eastAsia="en-GB"/>
          <w14:ligatures w14:val="none"/>
        </w:rPr>
        <w:lastRenderedPageBreak/>
        <w:t>Available at: https://www.gov.uk/government/statistics/safety-in-custody-quarterly-update-to-march-2023/safety-in-custody-statistics-england-and-wales-deaths-in-prison-custody-to-june-2023-assaults-and-self-harm-to-march-2023.</w:t>
      </w:r>
    </w:p>
    <w:p w14:paraId="39D1A353" w14:textId="4A94CD91"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Ministry of Justice (2024). </w:t>
      </w:r>
      <w:r w:rsidRPr="00F01A53">
        <w:rPr>
          <w:rFonts w:ascii="Arial" w:eastAsia="Times New Roman" w:hAnsi="Arial" w:cs="Arial"/>
          <w:i/>
          <w:iCs/>
          <w:color w:val="000000"/>
          <w:kern w:val="0"/>
          <w:lang w:eastAsia="en-GB"/>
          <w14:ligatures w14:val="none"/>
        </w:rPr>
        <w:t xml:space="preserve">Prison Population Projections 2023 to 2028, </w:t>
      </w:r>
      <w:proofErr w:type="gramStart"/>
      <w:r w:rsidRPr="00F01A53">
        <w:rPr>
          <w:rFonts w:ascii="Arial" w:eastAsia="Times New Roman" w:hAnsi="Arial" w:cs="Arial"/>
          <w:i/>
          <w:iCs/>
          <w:color w:val="000000"/>
          <w:kern w:val="0"/>
          <w:lang w:eastAsia="en-GB"/>
          <w14:ligatures w14:val="none"/>
        </w:rPr>
        <w:t>England</w:t>
      </w:r>
      <w:proofErr w:type="gramEnd"/>
      <w:r w:rsidRPr="00F01A53">
        <w:rPr>
          <w:rFonts w:ascii="Arial" w:eastAsia="Times New Roman" w:hAnsi="Arial" w:cs="Arial"/>
          <w:i/>
          <w:iCs/>
          <w:color w:val="000000"/>
          <w:kern w:val="0"/>
          <w:lang w:eastAsia="en-GB"/>
          <w14:ligatures w14:val="none"/>
        </w:rPr>
        <w:t xml:space="preserve"> and Wales</w:t>
      </w:r>
      <w:r w:rsidRPr="00F01A53">
        <w:rPr>
          <w:rFonts w:ascii="Arial" w:eastAsia="Times New Roman" w:hAnsi="Arial" w:cs="Arial"/>
          <w:color w:val="000000"/>
          <w:kern w:val="0"/>
          <w:lang w:eastAsia="en-GB"/>
          <w14:ligatures w14:val="none"/>
        </w:rPr>
        <w:t>.  Available at: https://assets.publishing.service.gov.uk/media/65df5123b8da630f42c86271/Prison_Population_Projections_2023_to_2028.pdf [Accessed 3 Mar. 2024].</w:t>
      </w:r>
    </w:p>
    <w:p w14:paraId="3A73869D" w14:textId="35DD3C6D"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Nuffield Trust (2020). </w:t>
      </w:r>
      <w:r w:rsidRPr="00F01A53">
        <w:rPr>
          <w:rFonts w:ascii="Arial" w:eastAsia="Times New Roman" w:hAnsi="Arial" w:cs="Arial"/>
          <w:i/>
          <w:iCs/>
          <w:color w:val="000000"/>
          <w:kern w:val="0"/>
          <w:lang w:eastAsia="en-GB"/>
          <w14:ligatures w14:val="none"/>
        </w:rPr>
        <w:t>Locked out? Prisoners’ use of hospital care</w:t>
      </w:r>
      <w:r w:rsidRPr="00F01A53">
        <w:rPr>
          <w:rFonts w:ascii="Arial" w:eastAsia="Times New Roman" w:hAnsi="Arial" w:cs="Arial"/>
          <w:color w:val="000000"/>
          <w:kern w:val="0"/>
          <w:lang w:eastAsia="en-GB"/>
          <w14:ligatures w14:val="none"/>
        </w:rPr>
        <w:t>. The Nuffield Trust. Available at: https://www.nuffieldtrust.org.uk/research/locked-out-prisoners-use-of-hospital-care.</w:t>
      </w:r>
    </w:p>
    <w:p w14:paraId="7CFFF83E" w14:textId="7777777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 xml:space="preserve">Pont, J., </w:t>
      </w:r>
      <w:proofErr w:type="spellStart"/>
      <w:r w:rsidRPr="00F01A53">
        <w:rPr>
          <w:rFonts w:ascii="Arial" w:eastAsia="Times New Roman" w:hAnsi="Arial" w:cs="Arial"/>
          <w:color w:val="000000"/>
          <w:kern w:val="0"/>
          <w:lang w:eastAsia="en-GB"/>
          <w14:ligatures w14:val="none"/>
        </w:rPr>
        <w:t>Enggist</w:t>
      </w:r>
      <w:proofErr w:type="spellEnd"/>
      <w:r w:rsidRPr="00F01A53">
        <w:rPr>
          <w:rFonts w:ascii="Arial" w:eastAsia="Times New Roman" w:hAnsi="Arial" w:cs="Arial"/>
          <w:color w:val="000000"/>
          <w:kern w:val="0"/>
          <w:lang w:eastAsia="en-GB"/>
          <w14:ligatures w14:val="none"/>
        </w:rPr>
        <w:t xml:space="preserve">, S., </w:t>
      </w:r>
      <w:proofErr w:type="spellStart"/>
      <w:r w:rsidRPr="00F01A53">
        <w:rPr>
          <w:rFonts w:ascii="Arial" w:eastAsia="Times New Roman" w:hAnsi="Arial" w:cs="Arial"/>
          <w:color w:val="000000"/>
          <w:kern w:val="0"/>
          <w:lang w:eastAsia="en-GB"/>
          <w14:ligatures w14:val="none"/>
        </w:rPr>
        <w:t>Stöver</w:t>
      </w:r>
      <w:proofErr w:type="spellEnd"/>
      <w:r w:rsidRPr="00F01A53">
        <w:rPr>
          <w:rFonts w:ascii="Arial" w:eastAsia="Times New Roman" w:hAnsi="Arial" w:cs="Arial"/>
          <w:color w:val="000000"/>
          <w:kern w:val="0"/>
          <w:lang w:eastAsia="en-GB"/>
          <w14:ligatures w14:val="none"/>
        </w:rPr>
        <w:t xml:space="preserve">, H., Baggio, S., </w:t>
      </w:r>
      <w:proofErr w:type="spellStart"/>
      <w:r w:rsidRPr="00F01A53">
        <w:rPr>
          <w:rFonts w:ascii="Arial" w:eastAsia="Times New Roman" w:hAnsi="Arial" w:cs="Arial"/>
          <w:color w:val="000000"/>
          <w:kern w:val="0"/>
          <w:lang w:eastAsia="en-GB"/>
          <w14:ligatures w14:val="none"/>
        </w:rPr>
        <w:t>Gétaz</w:t>
      </w:r>
      <w:proofErr w:type="spellEnd"/>
      <w:r w:rsidRPr="00F01A53">
        <w:rPr>
          <w:rFonts w:ascii="Arial" w:eastAsia="Times New Roman" w:hAnsi="Arial" w:cs="Arial"/>
          <w:color w:val="000000"/>
          <w:kern w:val="0"/>
          <w:lang w:eastAsia="en-GB"/>
          <w14:ligatures w14:val="none"/>
        </w:rPr>
        <w:t>, L. and Wolff, H. (2021). COVID-19—The Case for Rethinking Health and Human Rights in Prisons. </w:t>
      </w:r>
      <w:r w:rsidRPr="00F01A53">
        <w:rPr>
          <w:rFonts w:ascii="Arial" w:eastAsia="Times New Roman" w:hAnsi="Arial" w:cs="Arial"/>
          <w:i/>
          <w:iCs/>
          <w:color w:val="000000"/>
          <w:kern w:val="0"/>
          <w:lang w:eastAsia="en-GB"/>
          <w14:ligatures w14:val="none"/>
        </w:rPr>
        <w:t>American Journal of Public Health</w:t>
      </w:r>
      <w:r w:rsidRPr="00F01A53">
        <w:rPr>
          <w:rFonts w:ascii="Arial" w:eastAsia="Times New Roman" w:hAnsi="Arial" w:cs="Arial"/>
          <w:color w:val="000000"/>
          <w:kern w:val="0"/>
          <w:lang w:eastAsia="en-GB"/>
          <w14:ligatures w14:val="none"/>
        </w:rPr>
        <w:t xml:space="preserve">, 111(6), pp.1081–1085.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://doi.org/10.2105/ajph.2021.306170</w:t>
      </w:r>
      <w:proofErr w:type="gramEnd"/>
      <w:r w:rsidRPr="00F01A53">
        <w:rPr>
          <w:rFonts w:ascii="Arial" w:eastAsia="Times New Roman" w:hAnsi="Arial" w:cs="Arial"/>
          <w:color w:val="000000"/>
          <w:kern w:val="0"/>
          <w:lang w:eastAsia="en-GB"/>
          <w14:ligatures w14:val="none"/>
        </w:rPr>
        <w:t>.</w:t>
      </w:r>
    </w:p>
    <w:p w14:paraId="02E3601B" w14:textId="7F5E901B"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Pope, T., Davies, N. and Guerin, B. (2020). </w:t>
      </w:r>
      <w:r w:rsidRPr="00F01A53">
        <w:rPr>
          <w:rFonts w:ascii="Arial" w:eastAsia="Times New Roman" w:hAnsi="Arial" w:cs="Arial"/>
          <w:i/>
          <w:iCs/>
          <w:color w:val="000000"/>
          <w:kern w:val="0"/>
          <w:lang w:eastAsia="en-GB"/>
          <w14:ligatures w14:val="none"/>
        </w:rPr>
        <w:t xml:space="preserve">The criminal justice system How government reforms and coronavirus will affect policing, </w:t>
      </w:r>
      <w:proofErr w:type="gramStart"/>
      <w:r w:rsidRPr="00F01A53">
        <w:rPr>
          <w:rFonts w:ascii="Arial" w:eastAsia="Times New Roman" w:hAnsi="Arial" w:cs="Arial"/>
          <w:i/>
          <w:iCs/>
          <w:color w:val="000000"/>
          <w:kern w:val="0"/>
          <w:lang w:eastAsia="en-GB"/>
          <w14:ligatures w14:val="none"/>
        </w:rPr>
        <w:t>courts</w:t>
      </w:r>
      <w:proofErr w:type="gramEnd"/>
      <w:r w:rsidRPr="00F01A53">
        <w:rPr>
          <w:rFonts w:ascii="Arial" w:eastAsia="Times New Roman" w:hAnsi="Arial" w:cs="Arial"/>
          <w:i/>
          <w:iCs/>
          <w:color w:val="000000"/>
          <w:kern w:val="0"/>
          <w:lang w:eastAsia="en-GB"/>
          <w14:ligatures w14:val="none"/>
        </w:rPr>
        <w:t xml:space="preserve"> and prisons</w:t>
      </w:r>
      <w:r w:rsidRPr="00F01A53">
        <w:rPr>
          <w:rFonts w:ascii="Arial" w:eastAsia="Times New Roman" w:hAnsi="Arial" w:cs="Arial"/>
          <w:color w:val="000000"/>
          <w:kern w:val="0"/>
          <w:lang w:eastAsia="en-GB"/>
          <w14:ligatures w14:val="none"/>
        </w:rPr>
        <w:t>. Available at: https://apo.org.au/sites/default/files/resource-files/2020-04/apo-nid303714.pdf [Accessed 15 Mar. 2023].</w:t>
      </w:r>
    </w:p>
    <w:p w14:paraId="67EAAFC4" w14:textId="3F7D1A32"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Prison Reform Trust (2022). </w:t>
      </w:r>
      <w:r w:rsidRPr="00F01A53">
        <w:rPr>
          <w:rFonts w:ascii="Arial" w:eastAsia="Times New Roman" w:hAnsi="Arial" w:cs="Arial"/>
          <w:i/>
          <w:iCs/>
          <w:color w:val="000000"/>
          <w:kern w:val="0"/>
          <w:lang w:eastAsia="en-GB"/>
          <w14:ligatures w14:val="none"/>
        </w:rPr>
        <w:t xml:space="preserve">Bromley Briefings Prison </w:t>
      </w:r>
      <w:proofErr w:type="spellStart"/>
      <w:r w:rsidRPr="00F01A53">
        <w:rPr>
          <w:rFonts w:ascii="Arial" w:eastAsia="Times New Roman" w:hAnsi="Arial" w:cs="Arial"/>
          <w:i/>
          <w:iCs/>
          <w:color w:val="000000"/>
          <w:kern w:val="0"/>
          <w:lang w:eastAsia="en-GB"/>
          <w14:ligatures w14:val="none"/>
        </w:rPr>
        <w:t>Factfile</w:t>
      </w:r>
      <w:proofErr w:type="spellEnd"/>
      <w:r w:rsidRPr="00F01A53">
        <w:rPr>
          <w:rFonts w:ascii="Arial" w:eastAsia="Times New Roman" w:hAnsi="Arial" w:cs="Arial"/>
          <w:color w:val="000000"/>
          <w:kern w:val="0"/>
          <w:lang w:eastAsia="en-GB"/>
          <w14:ligatures w14:val="none"/>
        </w:rPr>
        <w:t xml:space="preserve">. </w:t>
      </w:r>
      <w:r w:rsidRPr="00F01A53">
        <w:rPr>
          <w:rFonts w:ascii="Arial" w:eastAsia="Times New Roman" w:hAnsi="Arial" w:cs="Arial"/>
          <w:i/>
          <w:iCs/>
          <w:color w:val="000000"/>
          <w:kern w:val="0"/>
          <w:lang w:eastAsia="en-GB"/>
          <w14:ligatures w14:val="none"/>
        </w:rPr>
        <w:t>Prison Reform Trust</w:t>
      </w:r>
      <w:r w:rsidRPr="00F01A53">
        <w:rPr>
          <w:rFonts w:ascii="Arial" w:eastAsia="Times New Roman" w:hAnsi="Arial" w:cs="Arial"/>
          <w:color w:val="000000"/>
          <w:kern w:val="0"/>
          <w:lang w:eastAsia="en-GB"/>
          <w14:ligatures w14:val="none"/>
        </w:rPr>
        <w:t>. Available at: https://prisonreformtrust.org.uk/wp-content/uploads/2022/02/Winter-2022-Factfile.pdf.</w:t>
      </w:r>
    </w:p>
    <w:p w14:paraId="3165E8BE" w14:textId="0B5CB85E"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Prison Reform Trust (2023). </w:t>
      </w:r>
      <w:r w:rsidRPr="00F01A53">
        <w:rPr>
          <w:rFonts w:ascii="Arial" w:eastAsia="Times New Roman" w:hAnsi="Arial" w:cs="Arial"/>
          <w:i/>
          <w:iCs/>
          <w:color w:val="000000"/>
          <w:kern w:val="0"/>
          <w:lang w:eastAsia="en-GB"/>
          <w14:ligatures w14:val="none"/>
        </w:rPr>
        <w:t>Prison: the facts</w:t>
      </w:r>
      <w:r w:rsidRPr="00F01A53">
        <w:rPr>
          <w:rFonts w:ascii="Arial" w:eastAsia="Times New Roman" w:hAnsi="Arial" w:cs="Arial"/>
          <w:color w:val="000000"/>
          <w:kern w:val="0"/>
          <w:lang w:eastAsia="en-GB"/>
          <w14:ligatures w14:val="none"/>
        </w:rPr>
        <w:t>. Available at: https://prisonreformtrust.org.uk/wp-content/uploads/2023/06/prison_the_facts_2023.pdf.</w:t>
      </w:r>
    </w:p>
    <w:p w14:paraId="2D9E9924" w14:textId="7777777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Schliehe, A., Philo, C., Carlin, B., Fallon, C. and Penna, G. (2022). Lockdown under lockdown? Pandemic, the carceral and COVID</w:t>
      </w:r>
      <w:r w:rsidRPr="00F01A53">
        <w:rPr>
          <w:rFonts w:ascii="Cambria Math" w:eastAsia="Times New Roman" w:hAnsi="Cambria Math" w:cs="Cambria Math"/>
          <w:color w:val="000000"/>
          <w:kern w:val="0"/>
          <w:lang w:eastAsia="en-GB"/>
          <w14:ligatures w14:val="none"/>
        </w:rPr>
        <w:t>‐</w:t>
      </w:r>
      <w:r w:rsidRPr="00F01A53">
        <w:rPr>
          <w:rFonts w:ascii="Arial" w:eastAsia="Times New Roman" w:hAnsi="Arial" w:cs="Arial"/>
          <w:color w:val="000000"/>
          <w:kern w:val="0"/>
          <w:lang w:eastAsia="en-GB"/>
          <w14:ligatures w14:val="none"/>
        </w:rPr>
        <w:t>19 in British prisons. </w:t>
      </w:r>
      <w:r w:rsidRPr="00F01A53">
        <w:rPr>
          <w:rFonts w:ascii="Arial" w:eastAsia="Times New Roman" w:hAnsi="Arial" w:cs="Arial"/>
          <w:i/>
          <w:iCs/>
          <w:color w:val="000000"/>
          <w:kern w:val="0"/>
          <w:lang w:eastAsia="en-GB"/>
          <w14:ligatures w14:val="none"/>
        </w:rPr>
        <w:t>Transactions of the Institute of British Geographers</w:t>
      </w:r>
      <w:r w:rsidRPr="00F01A53">
        <w:rPr>
          <w:rFonts w:ascii="Arial" w:eastAsia="Times New Roman" w:hAnsi="Arial" w:cs="Arial"/>
          <w:color w:val="000000"/>
          <w:kern w:val="0"/>
          <w:lang w:eastAsia="en-GB"/>
          <w14:ligatures w14:val="none"/>
        </w:rPr>
        <w:t xml:space="preserve">, 47(4).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://doi.org/10.1111/tran.12557</w:t>
      </w:r>
      <w:proofErr w:type="gramEnd"/>
      <w:r w:rsidRPr="00F01A53">
        <w:rPr>
          <w:rFonts w:ascii="Arial" w:eastAsia="Times New Roman" w:hAnsi="Arial" w:cs="Arial"/>
          <w:color w:val="000000"/>
          <w:kern w:val="0"/>
          <w:lang w:eastAsia="en-GB"/>
          <w14:ligatures w14:val="none"/>
        </w:rPr>
        <w:t>.</w:t>
      </w:r>
    </w:p>
    <w:p w14:paraId="3865C4EF" w14:textId="3D642DF5"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Secretary of State for Justice (2023). </w:t>
      </w:r>
      <w:r w:rsidRPr="00F01A53">
        <w:rPr>
          <w:rFonts w:ascii="Arial" w:eastAsia="Times New Roman" w:hAnsi="Arial" w:cs="Arial"/>
          <w:i/>
          <w:iCs/>
          <w:color w:val="000000"/>
          <w:kern w:val="0"/>
          <w:lang w:eastAsia="en-GB"/>
          <w14:ligatures w14:val="none"/>
        </w:rPr>
        <w:t>Prisons and Probation Ombudsman Annual Report 2022/23</w:t>
      </w:r>
      <w:r w:rsidRPr="00F01A53">
        <w:rPr>
          <w:rFonts w:ascii="Arial" w:eastAsia="Times New Roman" w:hAnsi="Arial" w:cs="Arial"/>
          <w:color w:val="000000"/>
          <w:kern w:val="0"/>
          <w:lang w:eastAsia="en-GB"/>
          <w14:ligatures w14:val="none"/>
        </w:rPr>
        <w:t xml:space="preserve">. Home </w:t>
      </w:r>
      <w:proofErr w:type="gramStart"/>
      <w:r w:rsidRPr="00F01A53">
        <w:rPr>
          <w:rFonts w:ascii="Arial" w:eastAsia="Times New Roman" w:hAnsi="Arial" w:cs="Arial"/>
          <w:color w:val="000000"/>
          <w:kern w:val="0"/>
          <w:lang w:eastAsia="en-GB"/>
          <w14:ligatures w14:val="none"/>
        </w:rPr>
        <w:t>Office ,</w:t>
      </w:r>
      <w:proofErr w:type="gramEnd"/>
      <w:r w:rsidRPr="00F01A53">
        <w:rPr>
          <w:rFonts w:ascii="Arial" w:eastAsia="Times New Roman" w:hAnsi="Arial" w:cs="Arial"/>
          <w:color w:val="000000"/>
          <w:kern w:val="0"/>
          <w:lang w:eastAsia="en-GB"/>
          <w14:ligatures w14:val="none"/>
        </w:rPr>
        <w:t xml:space="preserve"> pp.36–38. Available at: https://assets.publishing.service.gov.uk/government/uploads/system/uploads/attachment_data/file/1185028/Prisons_and_Probation_Ombudsman_2022_to_2023_Annual_Report.pdf [Accessed 1 Mar. 2024].</w:t>
      </w:r>
    </w:p>
    <w:p w14:paraId="3340C9E9" w14:textId="5A684B23"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lastRenderedPageBreak/>
        <w:t xml:space="preserve">Suchada Thaneerat, Naiyana Noonil and Rewwadee Petsirasan (2022). Quality of Life, Health </w:t>
      </w:r>
      <w:proofErr w:type="spellStart"/>
      <w:r w:rsidRPr="00F01A53">
        <w:rPr>
          <w:rFonts w:ascii="Arial" w:eastAsia="Times New Roman" w:hAnsi="Arial" w:cs="Arial"/>
          <w:color w:val="000000"/>
          <w:kern w:val="0"/>
          <w:lang w:eastAsia="en-GB"/>
          <w14:ligatures w14:val="none"/>
        </w:rPr>
        <w:t>Behavior</w:t>
      </w:r>
      <w:proofErr w:type="spellEnd"/>
      <w:r w:rsidRPr="00F01A53">
        <w:rPr>
          <w:rFonts w:ascii="Arial" w:eastAsia="Times New Roman" w:hAnsi="Arial" w:cs="Arial"/>
          <w:color w:val="000000"/>
          <w:kern w:val="0"/>
          <w:lang w:eastAsia="en-GB"/>
          <w14:ligatures w14:val="none"/>
        </w:rPr>
        <w:t>, and Health Service Needs of Prisoners with Chronic Illness in Province Southern Region. </w:t>
      </w:r>
      <w:r w:rsidRPr="00F01A53">
        <w:rPr>
          <w:rFonts w:ascii="Arial" w:eastAsia="Times New Roman" w:hAnsi="Arial" w:cs="Arial"/>
          <w:i/>
          <w:iCs/>
          <w:color w:val="000000"/>
          <w:kern w:val="0"/>
          <w:lang w:eastAsia="en-GB"/>
          <w14:ligatures w14:val="none"/>
        </w:rPr>
        <w:t>Science, Technology, and Social Sciences Procedia</w:t>
      </w:r>
      <w:r w:rsidRPr="00F01A53">
        <w:rPr>
          <w:rFonts w:ascii="Arial" w:eastAsia="Times New Roman" w:hAnsi="Arial" w:cs="Arial"/>
          <w:color w:val="000000"/>
          <w:kern w:val="0"/>
          <w:lang w:eastAsia="en-GB"/>
          <w14:ligatures w14:val="none"/>
        </w:rPr>
        <w:t xml:space="preserve">, 2022(1), </w:t>
      </w:r>
      <w:proofErr w:type="gramStart"/>
      <w:r w:rsidRPr="00F01A53">
        <w:rPr>
          <w:rFonts w:ascii="Arial" w:eastAsia="Times New Roman" w:hAnsi="Arial" w:cs="Arial"/>
          <w:color w:val="000000"/>
          <w:kern w:val="0"/>
          <w:lang w:eastAsia="en-GB"/>
          <w14:ligatures w14:val="none"/>
        </w:rPr>
        <w:t>pp.GHIEE</w:t>
      </w:r>
      <w:proofErr w:type="gramEnd"/>
      <w:r w:rsidRPr="00F01A53">
        <w:rPr>
          <w:rFonts w:ascii="Arial" w:eastAsia="Times New Roman" w:hAnsi="Arial" w:cs="Arial"/>
          <w:color w:val="000000"/>
          <w:kern w:val="0"/>
          <w:lang w:eastAsia="en-GB"/>
          <w14:ligatures w14:val="none"/>
        </w:rPr>
        <w:t>03–GHIEE03. Available at: https://wjst.wu.ac.th/index.php/stssp/article/view/25651 [Accessed 23 Apr. 2024].</w:t>
      </w:r>
    </w:p>
    <w:p w14:paraId="578EB540" w14:textId="30D562FD"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Taylor, C. (2024). </w:t>
      </w:r>
      <w:r w:rsidRPr="00F01A53">
        <w:rPr>
          <w:rFonts w:ascii="Arial" w:eastAsia="Times New Roman" w:hAnsi="Arial" w:cs="Arial"/>
          <w:i/>
          <w:iCs/>
          <w:color w:val="000000"/>
          <w:kern w:val="0"/>
          <w:lang w:eastAsia="en-GB"/>
          <w14:ligatures w14:val="none"/>
        </w:rPr>
        <w:t>Why the Prison Population Crisis Is Everyone’s Concern</w:t>
      </w:r>
      <w:r w:rsidRPr="00F01A53">
        <w:rPr>
          <w:rFonts w:ascii="Arial" w:eastAsia="Times New Roman" w:hAnsi="Arial" w:cs="Arial"/>
          <w:color w:val="000000"/>
          <w:kern w:val="0"/>
          <w:lang w:eastAsia="en-GB"/>
          <w14:ligatures w14:val="none"/>
        </w:rPr>
        <w:t>.  www.justiceinspectorates.gov.uk. Available at: https://www.justiceinspectorates.gov.uk/hmiprisons/chief-inspectors-blog/why-the-prison-population-crisis-is-everyones-concern/.</w:t>
      </w:r>
    </w:p>
    <w:p w14:paraId="18CC4EA4" w14:textId="68073565"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United Nations Office on Drugs and Crime (2013). </w:t>
      </w:r>
      <w:r w:rsidRPr="00F01A53">
        <w:rPr>
          <w:rFonts w:ascii="Arial" w:eastAsia="Times New Roman" w:hAnsi="Arial" w:cs="Arial"/>
          <w:i/>
          <w:iCs/>
          <w:color w:val="000000"/>
          <w:kern w:val="0"/>
          <w:lang w:eastAsia="en-GB"/>
          <w14:ligatures w14:val="none"/>
        </w:rPr>
        <w:t xml:space="preserve">Handbook on strategies to reduce overcrowding in prisons CRIMINAL JUSTICE HANDBOOK SERIES In cooperation with the </w:t>
      </w:r>
      <w:r w:rsidR="00BC4C17" w:rsidRPr="00F01A53">
        <w:rPr>
          <w:rFonts w:ascii="Arial" w:eastAsia="Times New Roman" w:hAnsi="Arial" w:cs="Arial"/>
          <w:i/>
          <w:iCs/>
          <w:color w:val="000000"/>
          <w:kern w:val="0"/>
          <w:lang w:eastAsia="en-GB"/>
          <w14:ligatures w14:val="none"/>
        </w:rPr>
        <w:t>International</w:t>
      </w:r>
      <w:r w:rsidRPr="00F01A53">
        <w:rPr>
          <w:rFonts w:ascii="Arial" w:eastAsia="Times New Roman" w:hAnsi="Arial" w:cs="Arial"/>
          <w:i/>
          <w:iCs/>
          <w:color w:val="000000"/>
          <w:kern w:val="0"/>
          <w:lang w:eastAsia="en-GB"/>
          <w14:ligatures w14:val="none"/>
        </w:rPr>
        <w:t xml:space="preserve"> </w:t>
      </w:r>
      <w:r w:rsidR="00BC4C17" w:rsidRPr="00F01A53">
        <w:rPr>
          <w:rFonts w:ascii="Arial" w:eastAsia="Times New Roman" w:hAnsi="Arial" w:cs="Arial"/>
          <w:i/>
          <w:iCs/>
          <w:color w:val="000000"/>
          <w:kern w:val="0"/>
          <w:lang w:eastAsia="en-GB"/>
          <w14:ligatures w14:val="none"/>
        </w:rPr>
        <w:t>Committee</w:t>
      </w:r>
      <w:r w:rsidRPr="00F01A53">
        <w:rPr>
          <w:rFonts w:ascii="Arial" w:eastAsia="Times New Roman" w:hAnsi="Arial" w:cs="Arial"/>
          <w:i/>
          <w:iCs/>
          <w:color w:val="000000"/>
          <w:kern w:val="0"/>
          <w:lang w:eastAsia="en-GB"/>
          <w14:ligatures w14:val="none"/>
        </w:rPr>
        <w:t xml:space="preserve"> of the red Cross</w:t>
      </w:r>
      <w:r w:rsidRPr="00F01A53">
        <w:rPr>
          <w:rFonts w:ascii="Arial" w:eastAsia="Times New Roman" w:hAnsi="Arial" w:cs="Arial"/>
          <w:color w:val="000000"/>
          <w:kern w:val="0"/>
          <w:lang w:eastAsia="en-GB"/>
          <w14:ligatures w14:val="none"/>
        </w:rPr>
        <w:t>. Available at: https://www.unodc.org/documents/justice-and-prison-reform/Overcrowding_in_prisons_Ebook.pdf.</w:t>
      </w:r>
    </w:p>
    <w:p w14:paraId="70F19CC0" w14:textId="7777777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 xml:space="preserve">Wilburn, J., Blakey, E., </w:t>
      </w:r>
      <w:proofErr w:type="spellStart"/>
      <w:r w:rsidRPr="00F01A53">
        <w:rPr>
          <w:rFonts w:ascii="Arial" w:eastAsia="Times New Roman" w:hAnsi="Arial" w:cs="Arial"/>
          <w:color w:val="000000"/>
          <w:kern w:val="0"/>
          <w:lang w:eastAsia="en-GB"/>
          <w14:ligatures w14:val="none"/>
        </w:rPr>
        <w:t>Trindall</w:t>
      </w:r>
      <w:proofErr w:type="spellEnd"/>
      <w:r w:rsidRPr="00F01A53">
        <w:rPr>
          <w:rFonts w:ascii="Arial" w:eastAsia="Times New Roman" w:hAnsi="Arial" w:cs="Arial"/>
          <w:color w:val="000000"/>
          <w:kern w:val="0"/>
          <w:lang w:eastAsia="en-GB"/>
          <w14:ligatures w14:val="none"/>
        </w:rPr>
        <w:t xml:space="preserve">, A., Burr, H., Tanti, V., Doolan, S., Palmer, I., Jewell, T. and Balakrishnan, R. (2021). COVID-19 within a large UK prison with a high number of vulnerable adults, march to </w:t>
      </w:r>
      <w:proofErr w:type="spellStart"/>
      <w:r w:rsidRPr="00F01A53">
        <w:rPr>
          <w:rFonts w:ascii="Arial" w:eastAsia="Times New Roman" w:hAnsi="Arial" w:cs="Arial"/>
          <w:color w:val="000000"/>
          <w:kern w:val="0"/>
          <w:lang w:eastAsia="en-GB"/>
          <w14:ligatures w14:val="none"/>
        </w:rPr>
        <w:t>june</w:t>
      </w:r>
      <w:proofErr w:type="spellEnd"/>
      <w:r w:rsidRPr="00F01A53">
        <w:rPr>
          <w:rFonts w:ascii="Arial" w:eastAsia="Times New Roman" w:hAnsi="Arial" w:cs="Arial"/>
          <w:color w:val="000000"/>
          <w:kern w:val="0"/>
          <w:lang w:eastAsia="en-GB"/>
          <w14:ligatures w14:val="none"/>
        </w:rPr>
        <w:t xml:space="preserve"> 2020: An outbreak investigation and screening event. </w:t>
      </w:r>
      <w:r w:rsidRPr="00F01A53">
        <w:rPr>
          <w:rFonts w:ascii="Arial" w:eastAsia="Times New Roman" w:hAnsi="Arial" w:cs="Arial"/>
          <w:i/>
          <w:iCs/>
          <w:color w:val="000000"/>
          <w:kern w:val="0"/>
          <w:lang w:eastAsia="en-GB"/>
          <w14:ligatures w14:val="none"/>
        </w:rPr>
        <w:t>International Journal of Infectious Diseases</w:t>
      </w:r>
      <w:r w:rsidRPr="00F01A53">
        <w:rPr>
          <w:rFonts w:ascii="Arial" w:eastAsia="Times New Roman" w:hAnsi="Arial" w:cs="Arial"/>
          <w:color w:val="000000"/>
          <w:kern w:val="0"/>
          <w:lang w:eastAsia="en-GB"/>
          <w14:ligatures w14:val="none"/>
        </w:rPr>
        <w:t xml:space="preserve">, 104, pp.349–353.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://doi.org/10.1016/j.ijid.2021.01.027</w:t>
      </w:r>
      <w:proofErr w:type="gramEnd"/>
      <w:r w:rsidRPr="00F01A53">
        <w:rPr>
          <w:rFonts w:ascii="Arial" w:eastAsia="Times New Roman" w:hAnsi="Arial" w:cs="Arial"/>
          <w:color w:val="000000"/>
          <w:kern w:val="0"/>
          <w:lang w:eastAsia="en-GB"/>
          <w14:ligatures w14:val="none"/>
        </w:rPr>
        <w:t>.</w:t>
      </w:r>
    </w:p>
    <w:p w14:paraId="00177448" w14:textId="77777777" w:rsidR="00F01A53" w:rsidRPr="00F01A53" w:rsidRDefault="00F01A53" w:rsidP="00F01A53">
      <w:pPr>
        <w:spacing w:after="240" w:line="360" w:lineRule="atLeast"/>
        <w:rPr>
          <w:rFonts w:ascii="Arial" w:eastAsia="Times New Roman" w:hAnsi="Arial" w:cs="Arial"/>
          <w:color w:val="000000"/>
          <w:kern w:val="0"/>
          <w:lang w:eastAsia="en-GB"/>
          <w14:ligatures w14:val="none"/>
        </w:rPr>
      </w:pPr>
      <w:r w:rsidRPr="00F01A53">
        <w:rPr>
          <w:rFonts w:ascii="Arial" w:eastAsia="Times New Roman" w:hAnsi="Arial" w:cs="Arial"/>
          <w:color w:val="000000"/>
          <w:kern w:val="0"/>
          <w:lang w:eastAsia="en-GB"/>
          <w14:ligatures w14:val="none"/>
        </w:rPr>
        <w:t xml:space="preserve">Zou, D., Lakhani, B., Reynolds, R., </w:t>
      </w:r>
      <w:proofErr w:type="spellStart"/>
      <w:r w:rsidRPr="00F01A53">
        <w:rPr>
          <w:rFonts w:ascii="Arial" w:eastAsia="Times New Roman" w:hAnsi="Arial" w:cs="Arial"/>
          <w:color w:val="000000"/>
          <w:kern w:val="0"/>
          <w:lang w:eastAsia="en-GB"/>
          <w14:ligatures w14:val="none"/>
        </w:rPr>
        <w:t>Umer</w:t>
      </w:r>
      <w:proofErr w:type="spellEnd"/>
      <w:r w:rsidRPr="00F01A53">
        <w:rPr>
          <w:rFonts w:ascii="Arial" w:eastAsia="Times New Roman" w:hAnsi="Arial" w:cs="Arial"/>
          <w:color w:val="000000"/>
          <w:kern w:val="0"/>
          <w:lang w:eastAsia="en-GB"/>
          <w14:ligatures w14:val="none"/>
        </w:rPr>
        <w:t xml:space="preserve">, M., King, A.J. and Stead, R. (2021). </w:t>
      </w:r>
      <w:r w:rsidRPr="00F01A53">
        <w:rPr>
          <w:rFonts w:ascii="Arial" w:eastAsia="Times New Roman" w:hAnsi="Arial" w:cs="Arial"/>
          <w:i/>
          <w:iCs/>
          <w:color w:val="000000"/>
          <w:kern w:val="0"/>
          <w:lang w:eastAsia="en-GB"/>
          <w14:ligatures w14:val="none"/>
        </w:rPr>
        <w:t>Quantification of missed hospital appointments and related harm for prisoners attending ophthalmology services.</w:t>
      </w:r>
      <w:r w:rsidRPr="00F01A53">
        <w:rPr>
          <w:rFonts w:ascii="Arial" w:eastAsia="Times New Roman" w:hAnsi="Arial" w:cs="Arial"/>
          <w:color w:val="000000"/>
          <w:kern w:val="0"/>
          <w:lang w:eastAsia="en-GB"/>
          <w14:ligatures w14:val="none"/>
        </w:rPr>
        <w:t> </w:t>
      </w:r>
      <w:r w:rsidRPr="00F01A53">
        <w:rPr>
          <w:rFonts w:ascii="Arial" w:eastAsia="Times New Roman" w:hAnsi="Arial" w:cs="Arial"/>
          <w:i/>
          <w:iCs/>
          <w:color w:val="000000"/>
          <w:kern w:val="0"/>
          <w:lang w:eastAsia="en-GB"/>
          <w14:ligatures w14:val="none"/>
        </w:rPr>
        <w:t>Eye</w:t>
      </w:r>
      <w:r w:rsidRPr="00F01A53">
        <w:rPr>
          <w:rFonts w:ascii="Arial" w:eastAsia="Times New Roman" w:hAnsi="Arial" w:cs="Arial"/>
          <w:color w:val="000000"/>
          <w:kern w:val="0"/>
          <w:lang w:eastAsia="en-GB"/>
          <w14:ligatures w14:val="none"/>
        </w:rPr>
        <w:t xml:space="preserve">. </w:t>
      </w:r>
      <w:proofErr w:type="spellStart"/>
      <w:proofErr w:type="gramStart"/>
      <w:r w:rsidRPr="00F01A53">
        <w:rPr>
          <w:rFonts w:ascii="Arial" w:eastAsia="Times New Roman" w:hAnsi="Arial" w:cs="Arial"/>
          <w:color w:val="000000"/>
          <w:kern w:val="0"/>
          <w:lang w:eastAsia="en-GB"/>
          <w14:ligatures w14:val="none"/>
        </w:rPr>
        <w:t>doi:https</w:t>
      </w:r>
      <w:proofErr w:type="spellEnd"/>
      <w:r w:rsidRPr="00F01A53">
        <w:rPr>
          <w:rFonts w:ascii="Arial" w:eastAsia="Times New Roman" w:hAnsi="Arial" w:cs="Arial"/>
          <w:color w:val="000000"/>
          <w:kern w:val="0"/>
          <w:lang w:eastAsia="en-GB"/>
          <w14:ligatures w14:val="none"/>
        </w:rPr>
        <w:t>://doi.org/10.1038/s41433-021-01823-4</w:t>
      </w:r>
      <w:proofErr w:type="gramEnd"/>
      <w:r w:rsidRPr="00F01A53">
        <w:rPr>
          <w:rFonts w:ascii="Arial" w:eastAsia="Times New Roman" w:hAnsi="Arial" w:cs="Arial"/>
          <w:color w:val="000000"/>
          <w:kern w:val="0"/>
          <w:lang w:eastAsia="en-GB"/>
          <w14:ligatures w14:val="none"/>
        </w:rPr>
        <w:t>.</w:t>
      </w:r>
    </w:p>
    <w:p w14:paraId="0F816101" w14:textId="77777777" w:rsidR="004C3E87" w:rsidRPr="00BC4C17" w:rsidRDefault="004C3E87" w:rsidP="00396F0E">
      <w:pPr>
        <w:rPr>
          <w:rFonts w:ascii="Arial" w:hAnsi="Arial" w:cs="Arial"/>
        </w:rPr>
      </w:pPr>
    </w:p>
    <w:p w14:paraId="662094B5" w14:textId="77777777" w:rsidR="004C3E87" w:rsidRPr="00BC4C17" w:rsidRDefault="004C3E87" w:rsidP="00396F0E">
      <w:pPr>
        <w:rPr>
          <w:rFonts w:ascii="Arial" w:hAnsi="Arial" w:cs="Arial"/>
        </w:rPr>
      </w:pPr>
    </w:p>
    <w:p w14:paraId="14AA5187" w14:textId="77777777" w:rsidR="004C3E87" w:rsidRDefault="004C3E87" w:rsidP="00396F0E">
      <w:pPr>
        <w:rPr>
          <w:rFonts w:ascii="Calibri" w:hAnsi="Calibri" w:cs="Calibri"/>
        </w:rPr>
      </w:pPr>
    </w:p>
    <w:p w14:paraId="3EDDDB67" w14:textId="77777777" w:rsidR="004C3E87" w:rsidRDefault="004C3E87" w:rsidP="00396F0E">
      <w:pPr>
        <w:rPr>
          <w:rFonts w:ascii="Calibri" w:hAnsi="Calibri" w:cs="Calibri"/>
        </w:rPr>
      </w:pPr>
    </w:p>
    <w:p w14:paraId="34CDD9BC" w14:textId="77777777" w:rsidR="004C3E87" w:rsidRDefault="004C3E87" w:rsidP="00396F0E">
      <w:pPr>
        <w:rPr>
          <w:rFonts w:ascii="Calibri" w:hAnsi="Calibri" w:cs="Calibri"/>
        </w:rPr>
      </w:pPr>
    </w:p>
    <w:p w14:paraId="6281441D" w14:textId="77777777" w:rsidR="004C3E87" w:rsidRDefault="004C3E87" w:rsidP="00396F0E">
      <w:pPr>
        <w:rPr>
          <w:rFonts w:ascii="Calibri" w:hAnsi="Calibri" w:cs="Calibri"/>
        </w:rPr>
      </w:pPr>
    </w:p>
    <w:p w14:paraId="0352E1B4" w14:textId="77777777" w:rsidR="004C3E87" w:rsidRDefault="004C3E87" w:rsidP="00396F0E">
      <w:pPr>
        <w:rPr>
          <w:rFonts w:ascii="Calibri" w:hAnsi="Calibri" w:cs="Calibri"/>
        </w:rPr>
      </w:pPr>
    </w:p>
    <w:p w14:paraId="059A4EFC" w14:textId="77777777" w:rsidR="004C3E87" w:rsidRDefault="004C3E87" w:rsidP="00396F0E">
      <w:pPr>
        <w:rPr>
          <w:rFonts w:ascii="Calibri" w:hAnsi="Calibri" w:cs="Calibri"/>
        </w:rPr>
      </w:pPr>
    </w:p>
    <w:p w14:paraId="7EC82673" w14:textId="77777777" w:rsidR="00BD74AC" w:rsidRDefault="00BD74AC" w:rsidP="00396F0E"/>
    <w:sectPr w:rsidR="00BD74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A2C"/>
    <w:rsid w:val="00003009"/>
    <w:rsid w:val="000128D2"/>
    <w:rsid w:val="000272D7"/>
    <w:rsid w:val="00036E93"/>
    <w:rsid w:val="0003758D"/>
    <w:rsid w:val="0005168D"/>
    <w:rsid w:val="0009439B"/>
    <w:rsid w:val="0009482F"/>
    <w:rsid w:val="000B13BD"/>
    <w:rsid w:val="000C0D7B"/>
    <w:rsid w:val="000C734B"/>
    <w:rsid w:val="000D4C6A"/>
    <w:rsid w:val="000D7FEF"/>
    <w:rsid w:val="000E396E"/>
    <w:rsid w:val="001005C9"/>
    <w:rsid w:val="001214C6"/>
    <w:rsid w:val="0015277A"/>
    <w:rsid w:val="001722CA"/>
    <w:rsid w:val="00181DCD"/>
    <w:rsid w:val="001827EE"/>
    <w:rsid w:val="001A2276"/>
    <w:rsid w:val="001B375C"/>
    <w:rsid w:val="001B6944"/>
    <w:rsid w:val="001D3D48"/>
    <w:rsid w:val="001E70C5"/>
    <w:rsid w:val="001E74FB"/>
    <w:rsid w:val="00231BC7"/>
    <w:rsid w:val="00234CBD"/>
    <w:rsid w:val="00255F01"/>
    <w:rsid w:val="0029579D"/>
    <w:rsid w:val="00295A1D"/>
    <w:rsid w:val="002A7579"/>
    <w:rsid w:val="002D5A05"/>
    <w:rsid w:val="002D6041"/>
    <w:rsid w:val="002E0CB3"/>
    <w:rsid w:val="002E30D0"/>
    <w:rsid w:val="002E36CC"/>
    <w:rsid w:val="002F0570"/>
    <w:rsid w:val="002F0AA2"/>
    <w:rsid w:val="002F4234"/>
    <w:rsid w:val="002F5A66"/>
    <w:rsid w:val="00300FBE"/>
    <w:rsid w:val="00303F15"/>
    <w:rsid w:val="00304263"/>
    <w:rsid w:val="00315FD7"/>
    <w:rsid w:val="00324866"/>
    <w:rsid w:val="00327E1A"/>
    <w:rsid w:val="00340E02"/>
    <w:rsid w:val="0034455B"/>
    <w:rsid w:val="003512C7"/>
    <w:rsid w:val="003519D3"/>
    <w:rsid w:val="00355E5C"/>
    <w:rsid w:val="00374DAE"/>
    <w:rsid w:val="0038795B"/>
    <w:rsid w:val="00394FB9"/>
    <w:rsid w:val="00396BE8"/>
    <w:rsid w:val="00396F0E"/>
    <w:rsid w:val="003B30E3"/>
    <w:rsid w:val="003B6D26"/>
    <w:rsid w:val="003C022E"/>
    <w:rsid w:val="003D1979"/>
    <w:rsid w:val="003D3A84"/>
    <w:rsid w:val="003F4332"/>
    <w:rsid w:val="00416B86"/>
    <w:rsid w:val="0042148E"/>
    <w:rsid w:val="00422EB3"/>
    <w:rsid w:val="0042550E"/>
    <w:rsid w:val="00452D09"/>
    <w:rsid w:val="00455DD6"/>
    <w:rsid w:val="00462BBD"/>
    <w:rsid w:val="00470F83"/>
    <w:rsid w:val="00480393"/>
    <w:rsid w:val="00480678"/>
    <w:rsid w:val="0049283D"/>
    <w:rsid w:val="004A3DA4"/>
    <w:rsid w:val="004B003D"/>
    <w:rsid w:val="004B1DCD"/>
    <w:rsid w:val="004B3D6B"/>
    <w:rsid w:val="004B3EAB"/>
    <w:rsid w:val="004C3E87"/>
    <w:rsid w:val="00511AF1"/>
    <w:rsid w:val="00525285"/>
    <w:rsid w:val="00575806"/>
    <w:rsid w:val="00584D4E"/>
    <w:rsid w:val="005862ED"/>
    <w:rsid w:val="005C47B6"/>
    <w:rsid w:val="005C6186"/>
    <w:rsid w:val="005D0DE1"/>
    <w:rsid w:val="005D4700"/>
    <w:rsid w:val="00606FFA"/>
    <w:rsid w:val="0061446E"/>
    <w:rsid w:val="00617E75"/>
    <w:rsid w:val="00624A1B"/>
    <w:rsid w:val="0063004C"/>
    <w:rsid w:val="00660715"/>
    <w:rsid w:val="006678A3"/>
    <w:rsid w:val="00672EE3"/>
    <w:rsid w:val="00684709"/>
    <w:rsid w:val="00690F34"/>
    <w:rsid w:val="00695C2B"/>
    <w:rsid w:val="006A711D"/>
    <w:rsid w:val="006B4D42"/>
    <w:rsid w:val="006D0023"/>
    <w:rsid w:val="006D067B"/>
    <w:rsid w:val="006D3106"/>
    <w:rsid w:val="006F6555"/>
    <w:rsid w:val="00723843"/>
    <w:rsid w:val="00737D2A"/>
    <w:rsid w:val="00741A85"/>
    <w:rsid w:val="00742D5A"/>
    <w:rsid w:val="00744BA0"/>
    <w:rsid w:val="00747F24"/>
    <w:rsid w:val="007666CA"/>
    <w:rsid w:val="007666CC"/>
    <w:rsid w:val="00766A98"/>
    <w:rsid w:val="00774E7E"/>
    <w:rsid w:val="00776D73"/>
    <w:rsid w:val="007B3A22"/>
    <w:rsid w:val="007B7DE1"/>
    <w:rsid w:val="007C1E1A"/>
    <w:rsid w:val="007E367F"/>
    <w:rsid w:val="007F0FDA"/>
    <w:rsid w:val="00813BDD"/>
    <w:rsid w:val="00832426"/>
    <w:rsid w:val="00832C89"/>
    <w:rsid w:val="008520AB"/>
    <w:rsid w:val="0085330E"/>
    <w:rsid w:val="00876F3E"/>
    <w:rsid w:val="00883EBC"/>
    <w:rsid w:val="008C14E7"/>
    <w:rsid w:val="008F3BB7"/>
    <w:rsid w:val="009031A8"/>
    <w:rsid w:val="00923A41"/>
    <w:rsid w:val="00924C26"/>
    <w:rsid w:val="00926165"/>
    <w:rsid w:val="00937776"/>
    <w:rsid w:val="00941DD3"/>
    <w:rsid w:val="00944BD7"/>
    <w:rsid w:val="0096793D"/>
    <w:rsid w:val="00981DDC"/>
    <w:rsid w:val="00982871"/>
    <w:rsid w:val="0098455B"/>
    <w:rsid w:val="00993941"/>
    <w:rsid w:val="009952B6"/>
    <w:rsid w:val="009A7F0D"/>
    <w:rsid w:val="009C7507"/>
    <w:rsid w:val="00A10BF9"/>
    <w:rsid w:val="00A1568B"/>
    <w:rsid w:val="00A2396B"/>
    <w:rsid w:val="00A268E0"/>
    <w:rsid w:val="00A34A32"/>
    <w:rsid w:val="00A83E1C"/>
    <w:rsid w:val="00A903B5"/>
    <w:rsid w:val="00A93B74"/>
    <w:rsid w:val="00A944F0"/>
    <w:rsid w:val="00AA3F7E"/>
    <w:rsid w:val="00AD70E3"/>
    <w:rsid w:val="00B04F5F"/>
    <w:rsid w:val="00B21A1C"/>
    <w:rsid w:val="00B31D31"/>
    <w:rsid w:val="00B3653E"/>
    <w:rsid w:val="00B83C52"/>
    <w:rsid w:val="00B860DC"/>
    <w:rsid w:val="00B91710"/>
    <w:rsid w:val="00B921F9"/>
    <w:rsid w:val="00BB05EA"/>
    <w:rsid w:val="00BC4C17"/>
    <w:rsid w:val="00BC6A2C"/>
    <w:rsid w:val="00BD74AC"/>
    <w:rsid w:val="00BF0739"/>
    <w:rsid w:val="00C37377"/>
    <w:rsid w:val="00C52651"/>
    <w:rsid w:val="00C56EA5"/>
    <w:rsid w:val="00C723FB"/>
    <w:rsid w:val="00C764D9"/>
    <w:rsid w:val="00C92227"/>
    <w:rsid w:val="00CB08E0"/>
    <w:rsid w:val="00CC1E53"/>
    <w:rsid w:val="00CC3E92"/>
    <w:rsid w:val="00CE2425"/>
    <w:rsid w:val="00CE2A98"/>
    <w:rsid w:val="00CF24A2"/>
    <w:rsid w:val="00D43EA9"/>
    <w:rsid w:val="00D47475"/>
    <w:rsid w:val="00D47806"/>
    <w:rsid w:val="00D81340"/>
    <w:rsid w:val="00D81E36"/>
    <w:rsid w:val="00D83B1D"/>
    <w:rsid w:val="00D90410"/>
    <w:rsid w:val="00DB606A"/>
    <w:rsid w:val="00DC058F"/>
    <w:rsid w:val="00DC6186"/>
    <w:rsid w:val="00DE502C"/>
    <w:rsid w:val="00DF0005"/>
    <w:rsid w:val="00DF7B6A"/>
    <w:rsid w:val="00E11425"/>
    <w:rsid w:val="00E14BAE"/>
    <w:rsid w:val="00E15940"/>
    <w:rsid w:val="00E2104C"/>
    <w:rsid w:val="00E641F4"/>
    <w:rsid w:val="00E64785"/>
    <w:rsid w:val="00E66BF6"/>
    <w:rsid w:val="00E831FB"/>
    <w:rsid w:val="00E87334"/>
    <w:rsid w:val="00E95046"/>
    <w:rsid w:val="00E9550C"/>
    <w:rsid w:val="00E961AF"/>
    <w:rsid w:val="00EB1FEC"/>
    <w:rsid w:val="00EB3A7C"/>
    <w:rsid w:val="00ED20EF"/>
    <w:rsid w:val="00ED71AE"/>
    <w:rsid w:val="00EE6FA7"/>
    <w:rsid w:val="00EF21F3"/>
    <w:rsid w:val="00F01A53"/>
    <w:rsid w:val="00F0314D"/>
    <w:rsid w:val="00F21E91"/>
    <w:rsid w:val="00F2252F"/>
    <w:rsid w:val="00F306A6"/>
    <w:rsid w:val="00F36428"/>
    <w:rsid w:val="00F4144A"/>
    <w:rsid w:val="00F44015"/>
    <w:rsid w:val="00F5651A"/>
    <w:rsid w:val="00F6016B"/>
    <w:rsid w:val="00F6281B"/>
    <w:rsid w:val="00F704F1"/>
    <w:rsid w:val="00F844BC"/>
    <w:rsid w:val="00FA1E5A"/>
    <w:rsid w:val="00FA21AB"/>
    <w:rsid w:val="00FA4108"/>
    <w:rsid w:val="00FA68E7"/>
    <w:rsid w:val="00FC04A8"/>
    <w:rsid w:val="00FC59C0"/>
    <w:rsid w:val="00FE0893"/>
    <w:rsid w:val="00FF0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382F9D"/>
  <w15:chartTrackingRefBased/>
  <w15:docId w15:val="{7CAB441B-C537-1243-90EF-4082C3AB3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A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A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A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A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A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A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A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A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A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A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A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A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A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A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A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A2C"/>
    <w:rPr>
      <w:rFonts w:eastAsiaTheme="majorEastAsia" w:cstheme="majorBidi"/>
      <w:color w:val="272727" w:themeColor="text1" w:themeTint="D8"/>
    </w:rPr>
  </w:style>
  <w:style w:type="paragraph" w:styleId="Title">
    <w:name w:val="Title"/>
    <w:basedOn w:val="Normal"/>
    <w:next w:val="Normal"/>
    <w:link w:val="TitleChar"/>
    <w:uiPriority w:val="10"/>
    <w:qFormat/>
    <w:rsid w:val="00BC6A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A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A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A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A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6A2C"/>
    <w:rPr>
      <w:i/>
      <w:iCs/>
      <w:color w:val="404040" w:themeColor="text1" w:themeTint="BF"/>
    </w:rPr>
  </w:style>
  <w:style w:type="paragraph" w:styleId="ListParagraph">
    <w:name w:val="List Paragraph"/>
    <w:basedOn w:val="Normal"/>
    <w:uiPriority w:val="34"/>
    <w:qFormat/>
    <w:rsid w:val="00BC6A2C"/>
    <w:pPr>
      <w:ind w:left="720"/>
      <w:contextualSpacing/>
    </w:pPr>
  </w:style>
  <w:style w:type="character" w:styleId="IntenseEmphasis">
    <w:name w:val="Intense Emphasis"/>
    <w:basedOn w:val="DefaultParagraphFont"/>
    <w:uiPriority w:val="21"/>
    <w:qFormat/>
    <w:rsid w:val="00BC6A2C"/>
    <w:rPr>
      <w:i/>
      <w:iCs/>
      <w:color w:val="0F4761" w:themeColor="accent1" w:themeShade="BF"/>
    </w:rPr>
  </w:style>
  <w:style w:type="paragraph" w:styleId="IntenseQuote">
    <w:name w:val="Intense Quote"/>
    <w:basedOn w:val="Normal"/>
    <w:next w:val="Normal"/>
    <w:link w:val="IntenseQuoteChar"/>
    <w:uiPriority w:val="30"/>
    <w:qFormat/>
    <w:rsid w:val="00BC6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A2C"/>
    <w:rPr>
      <w:i/>
      <w:iCs/>
      <w:color w:val="0F4761" w:themeColor="accent1" w:themeShade="BF"/>
    </w:rPr>
  </w:style>
  <w:style w:type="character" w:styleId="IntenseReference">
    <w:name w:val="Intense Reference"/>
    <w:basedOn w:val="DefaultParagraphFont"/>
    <w:uiPriority w:val="32"/>
    <w:qFormat/>
    <w:rsid w:val="00BC6A2C"/>
    <w:rPr>
      <w:b/>
      <w:bCs/>
      <w:smallCaps/>
      <w:color w:val="0F4761" w:themeColor="accent1" w:themeShade="BF"/>
      <w:spacing w:val="5"/>
    </w:rPr>
  </w:style>
  <w:style w:type="character" w:styleId="SubtleEmphasis">
    <w:name w:val="Subtle Emphasis"/>
    <w:basedOn w:val="DefaultParagraphFont"/>
    <w:uiPriority w:val="19"/>
    <w:qFormat/>
    <w:rsid w:val="00B83C52"/>
    <w:rPr>
      <w:i/>
      <w:iCs/>
      <w:color w:val="404040" w:themeColor="text1" w:themeTint="BF"/>
    </w:rPr>
  </w:style>
  <w:style w:type="character" w:styleId="Hyperlink">
    <w:name w:val="Hyperlink"/>
    <w:basedOn w:val="DefaultParagraphFont"/>
    <w:uiPriority w:val="99"/>
    <w:unhideWhenUsed/>
    <w:rsid w:val="00E9550C"/>
    <w:rPr>
      <w:color w:val="467886" w:themeColor="hyperlink"/>
      <w:u w:val="single"/>
    </w:rPr>
  </w:style>
  <w:style w:type="character" w:styleId="UnresolvedMention">
    <w:name w:val="Unresolved Mention"/>
    <w:basedOn w:val="DefaultParagraphFont"/>
    <w:uiPriority w:val="99"/>
    <w:semiHidden/>
    <w:unhideWhenUsed/>
    <w:rsid w:val="00E9550C"/>
    <w:rPr>
      <w:color w:val="605E5C"/>
      <w:shd w:val="clear" w:color="auto" w:fill="E1DFDD"/>
    </w:rPr>
  </w:style>
  <w:style w:type="character" w:styleId="FollowedHyperlink">
    <w:name w:val="FollowedHyperlink"/>
    <w:basedOn w:val="DefaultParagraphFont"/>
    <w:uiPriority w:val="99"/>
    <w:semiHidden/>
    <w:unhideWhenUsed/>
    <w:rsid w:val="0009482F"/>
    <w:rPr>
      <w:color w:val="96607D" w:themeColor="followedHyperlink"/>
      <w:u w:val="single"/>
    </w:rPr>
  </w:style>
  <w:style w:type="character" w:customStyle="1" w:styleId="apple-converted-space">
    <w:name w:val="apple-converted-space"/>
    <w:basedOn w:val="DefaultParagraphFont"/>
    <w:rsid w:val="00EF21F3"/>
  </w:style>
  <w:style w:type="paragraph" w:styleId="NormalWeb">
    <w:name w:val="Normal (Web)"/>
    <w:basedOn w:val="Normal"/>
    <w:uiPriority w:val="99"/>
    <w:unhideWhenUsed/>
    <w:rsid w:val="0066071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606FFA"/>
    <w:rPr>
      <w:sz w:val="16"/>
      <w:szCs w:val="16"/>
    </w:rPr>
  </w:style>
  <w:style w:type="paragraph" w:styleId="CommentText">
    <w:name w:val="annotation text"/>
    <w:basedOn w:val="Normal"/>
    <w:link w:val="CommentTextChar"/>
    <w:uiPriority w:val="99"/>
    <w:semiHidden/>
    <w:unhideWhenUsed/>
    <w:rsid w:val="00606FFA"/>
    <w:rPr>
      <w:sz w:val="20"/>
      <w:szCs w:val="20"/>
    </w:rPr>
  </w:style>
  <w:style w:type="character" w:customStyle="1" w:styleId="CommentTextChar">
    <w:name w:val="Comment Text Char"/>
    <w:basedOn w:val="DefaultParagraphFont"/>
    <w:link w:val="CommentText"/>
    <w:uiPriority w:val="99"/>
    <w:semiHidden/>
    <w:rsid w:val="00606FFA"/>
    <w:rPr>
      <w:sz w:val="20"/>
      <w:szCs w:val="20"/>
    </w:rPr>
  </w:style>
  <w:style w:type="paragraph" w:styleId="CommentSubject">
    <w:name w:val="annotation subject"/>
    <w:basedOn w:val="CommentText"/>
    <w:next w:val="CommentText"/>
    <w:link w:val="CommentSubjectChar"/>
    <w:uiPriority w:val="99"/>
    <w:semiHidden/>
    <w:unhideWhenUsed/>
    <w:rsid w:val="00606FFA"/>
    <w:rPr>
      <w:b/>
      <w:bCs/>
    </w:rPr>
  </w:style>
  <w:style w:type="character" w:customStyle="1" w:styleId="CommentSubjectChar">
    <w:name w:val="Comment Subject Char"/>
    <w:basedOn w:val="CommentTextChar"/>
    <w:link w:val="CommentSubject"/>
    <w:uiPriority w:val="99"/>
    <w:semiHidden/>
    <w:rsid w:val="00606F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09780">
      <w:bodyDiv w:val="1"/>
      <w:marLeft w:val="0"/>
      <w:marRight w:val="0"/>
      <w:marTop w:val="0"/>
      <w:marBottom w:val="0"/>
      <w:divBdr>
        <w:top w:val="none" w:sz="0" w:space="0" w:color="auto"/>
        <w:left w:val="none" w:sz="0" w:space="0" w:color="auto"/>
        <w:bottom w:val="none" w:sz="0" w:space="0" w:color="auto"/>
        <w:right w:val="none" w:sz="0" w:space="0" w:color="auto"/>
      </w:divBdr>
      <w:divsChild>
        <w:div w:id="1440567001">
          <w:marLeft w:val="0"/>
          <w:marRight w:val="0"/>
          <w:marTop w:val="0"/>
          <w:marBottom w:val="0"/>
          <w:divBdr>
            <w:top w:val="none" w:sz="0" w:space="0" w:color="auto"/>
            <w:left w:val="none" w:sz="0" w:space="0" w:color="auto"/>
            <w:bottom w:val="none" w:sz="0" w:space="0" w:color="auto"/>
            <w:right w:val="none" w:sz="0" w:space="0" w:color="auto"/>
          </w:divBdr>
        </w:div>
      </w:divsChild>
    </w:div>
    <w:div w:id="217715867">
      <w:bodyDiv w:val="1"/>
      <w:marLeft w:val="0"/>
      <w:marRight w:val="0"/>
      <w:marTop w:val="0"/>
      <w:marBottom w:val="0"/>
      <w:divBdr>
        <w:top w:val="none" w:sz="0" w:space="0" w:color="auto"/>
        <w:left w:val="none" w:sz="0" w:space="0" w:color="auto"/>
        <w:bottom w:val="none" w:sz="0" w:space="0" w:color="auto"/>
        <w:right w:val="none" w:sz="0" w:space="0" w:color="auto"/>
      </w:divBdr>
    </w:div>
    <w:div w:id="280693657">
      <w:bodyDiv w:val="1"/>
      <w:marLeft w:val="0"/>
      <w:marRight w:val="0"/>
      <w:marTop w:val="0"/>
      <w:marBottom w:val="0"/>
      <w:divBdr>
        <w:top w:val="none" w:sz="0" w:space="0" w:color="auto"/>
        <w:left w:val="none" w:sz="0" w:space="0" w:color="auto"/>
        <w:bottom w:val="none" w:sz="0" w:space="0" w:color="auto"/>
        <w:right w:val="none" w:sz="0" w:space="0" w:color="auto"/>
      </w:divBdr>
      <w:divsChild>
        <w:div w:id="1863476188">
          <w:marLeft w:val="0"/>
          <w:marRight w:val="0"/>
          <w:marTop w:val="0"/>
          <w:marBottom w:val="0"/>
          <w:divBdr>
            <w:top w:val="none" w:sz="0" w:space="0" w:color="auto"/>
            <w:left w:val="none" w:sz="0" w:space="0" w:color="auto"/>
            <w:bottom w:val="none" w:sz="0" w:space="0" w:color="auto"/>
            <w:right w:val="none" w:sz="0" w:space="0" w:color="auto"/>
          </w:divBdr>
          <w:divsChild>
            <w:div w:id="697900220">
              <w:marLeft w:val="0"/>
              <w:marRight w:val="0"/>
              <w:marTop w:val="0"/>
              <w:marBottom w:val="0"/>
              <w:divBdr>
                <w:top w:val="none" w:sz="0" w:space="0" w:color="auto"/>
                <w:left w:val="none" w:sz="0" w:space="0" w:color="auto"/>
                <w:bottom w:val="none" w:sz="0" w:space="0" w:color="auto"/>
                <w:right w:val="none" w:sz="0" w:space="0" w:color="auto"/>
              </w:divBdr>
              <w:divsChild>
                <w:div w:id="177786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760529">
      <w:bodyDiv w:val="1"/>
      <w:marLeft w:val="0"/>
      <w:marRight w:val="0"/>
      <w:marTop w:val="0"/>
      <w:marBottom w:val="0"/>
      <w:divBdr>
        <w:top w:val="none" w:sz="0" w:space="0" w:color="auto"/>
        <w:left w:val="none" w:sz="0" w:space="0" w:color="auto"/>
        <w:bottom w:val="none" w:sz="0" w:space="0" w:color="auto"/>
        <w:right w:val="none" w:sz="0" w:space="0" w:color="auto"/>
      </w:divBdr>
      <w:divsChild>
        <w:div w:id="1103451486">
          <w:marLeft w:val="0"/>
          <w:marRight w:val="0"/>
          <w:marTop w:val="0"/>
          <w:marBottom w:val="0"/>
          <w:divBdr>
            <w:top w:val="none" w:sz="0" w:space="0" w:color="auto"/>
            <w:left w:val="none" w:sz="0" w:space="0" w:color="auto"/>
            <w:bottom w:val="none" w:sz="0" w:space="0" w:color="auto"/>
            <w:right w:val="none" w:sz="0" w:space="0" w:color="auto"/>
          </w:divBdr>
          <w:divsChild>
            <w:div w:id="291908172">
              <w:marLeft w:val="0"/>
              <w:marRight w:val="0"/>
              <w:marTop w:val="0"/>
              <w:marBottom w:val="0"/>
              <w:divBdr>
                <w:top w:val="none" w:sz="0" w:space="0" w:color="auto"/>
                <w:left w:val="none" w:sz="0" w:space="0" w:color="auto"/>
                <w:bottom w:val="none" w:sz="0" w:space="0" w:color="auto"/>
                <w:right w:val="none" w:sz="0" w:space="0" w:color="auto"/>
              </w:divBdr>
              <w:divsChild>
                <w:div w:id="70474238">
                  <w:marLeft w:val="0"/>
                  <w:marRight w:val="0"/>
                  <w:marTop w:val="0"/>
                  <w:marBottom w:val="0"/>
                  <w:divBdr>
                    <w:top w:val="none" w:sz="0" w:space="0" w:color="auto"/>
                    <w:left w:val="none" w:sz="0" w:space="0" w:color="auto"/>
                    <w:bottom w:val="none" w:sz="0" w:space="0" w:color="auto"/>
                    <w:right w:val="none" w:sz="0" w:space="0" w:color="auto"/>
                  </w:divBdr>
                  <w:divsChild>
                    <w:div w:id="47923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877128">
      <w:bodyDiv w:val="1"/>
      <w:marLeft w:val="0"/>
      <w:marRight w:val="0"/>
      <w:marTop w:val="0"/>
      <w:marBottom w:val="0"/>
      <w:divBdr>
        <w:top w:val="none" w:sz="0" w:space="0" w:color="auto"/>
        <w:left w:val="none" w:sz="0" w:space="0" w:color="auto"/>
        <w:bottom w:val="none" w:sz="0" w:space="0" w:color="auto"/>
        <w:right w:val="none" w:sz="0" w:space="0" w:color="auto"/>
      </w:divBdr>
      <w:divsChild>
        <w:div w:id="2100443057">
          <w:marLeft w:val="0"/>
          <w:marRight w:val="0"/>
          <w:marTop w:val="0"/>
          <w:marBottom w:val="0"/>
          <w:divBdr>
            <w:top w:val="none" w:sz="0" w:space="0" w:color="auto"/>
            <w:left w:val="none" w:sz="0" w:space="0" w:color="auto"/>
            <w:bottom w:val="none" w:sz="0" w:space="0" w:color="auto"/>
            <w:right w:val="none" w:sz="0" w:space="0" w:color="auto"/>
          </w:divBdr>
        </w:div>
      </w:divsChild>
    </w:div>
    <w:div w:id="541139188">
      <w:bodyDiv w:val="1"/>
      <w:marLeft w:val="0"/>
      <w:marRight w:val="0"/>
      <w:marTop w:val="0"/>
      <w:marBottom w:val="0"/>
      <w:divBdr>
        <w:top w:val="none" w:sz="0" w:space="0" w:color="auto"/>
        <w:left w:val="none" w:sz="0" w:space="0" w:color="auto"/>
        <w:bottom w:val="none" w:sz="0" w:space="0" w:color="auto"/>
        <w:right w:val="none" w:sz="0" w:space="0" w:color="auto"/>
      </w:divBdr>
    </w:div>
    <w:div w:id="905603050">
      <w:bodyDiv w:val="1"/>
      <w:marLeft w:val="0"/>
      <w:marRight w:val="0"/>
      <w:marTop w:val="0"/>
      <w:marBottom w:val="0"/>
      <w:divBdr>
        <w:top w:val="none" w:sz="0" w:space="0" w:color="auto"/>
        <w:left w:val="none" w:sz="0" w:space="0" w:color="auto"/>
        <w:bottom w:val="none" w:sz="0" w:space="0" w:color="auto"/>
        <w:right w:val="none" w:sz="0" w:space="0" w:color="auto"/>
      </w:divBdr>
    </w:div>
    <w:div w:id="1368991677">
      <w:bodyDiv w:val="1"/>
      <w:marLeft w:val="0"/>
      <w:marRight w:val="0"/>
      <w:marTop w:val="0"/>
      <w:marBottom w:val="0"/>
      <w:divBdr>
        <w:top w:val="none" w:sz="0" w:space="0" w:color="auto"/>
        <w:left w:val="none" w:sz="0" w:space="0" w:color="auto"/>
        <w:bottom w:val="none" w:sz="0" w:space="0" w:color="auto"/>
        <w:right w:val="none" w:sz="0" w:space="0" w:color="auto"/>
      </w:divBdr>
      <w:divsChild>
        <w:div w:id="1383748766">
          <w:marLeft w:val="0"/>
          <w:marRight w:val="0"/>
          <w:marTop w:val="0"/>
          <w:marBottom w:val="0"/>
          <w:divBdr>
            <w:top w:val="none" w:sz="0" w:space="0" w:color="auto"/>
            <w:left w:val="none" w:sz="0" w:space="0" w:color="auto"/>
            <w:bottom w:val="none" w:sz="0" w:space="0" w:color="auto"/>
            <w:right w:val="none" w:sz="0" w:space="0" w:color="auto"/>
          </w:divBdr>
          <w:divsChild>
            <w:div w:id="455292804">
              <w:marLeft w:val="0"/>
              <w:marRight w:val="0"/>
              <w:marTop w:val="0"/>
              <w:marBottom w:val="0"/>
              <w:divBdr>
                <w:top w:val="none" w:sz="0" w:space="0" w:color="auto"/>
                <w:left w:val="none" w:sz="0" w:space="0" w:color="auto"/>
                <w:bottom w:val="none" w:sz="0" w:space="0" w:color="auto"/>
                <w:right w:val="none" w:sz="0" w:space="0" w:color="auto"/>
              </w:divBdr>
              <w:divsChild>
                <w:div w:id="450249049">
                  <w:marLeft w:val="0"/>
                  <w:marRight w:val="0"/>
                  <w:marTop w:val="0"/>
                  <w:marBottom w:val="0"/>
                  <w:divBdr>
                    <w:top w:val="none" w:sz="0" w:space="0" w:color="auto"/>
                    <w:left w:val="none" w:sz="0" w:space="0" w:color="auto"/>
                    <w:bottom w:val="none" w:sz="0" w:space="0" w:color="auto"/>
                    <w:right w:val="none" w:sz="0" w:space="0" w:color="auto"/>
                  </w:divBdr>
                  <w:divsChild>
                    <w:div w:id="3914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302140">
      <w:bodyDiv w:val="1"/>
      <w:marLeft w:val="0"/>
      <w:marRight w:val="0"/>
      <w:marTop w:val="0"/>
      <w:marBottom w:val="0"/>
      <w:divBdr>
        <w:top w:val="none" w:sz="0" w:space="0" w:color="auto"/>
        <w:left w:val="none" w:sz="0" w:space="0" w:color="auto"/>
        <w:bottom w:val="none" w:sz="0" w:space="0" w:color="auto"/>
        <w:right w:val="none" w:sz="0" w:space="0" w:color="auto"/>
      </w:divBdr>
      <w:divsChild>
        <w:div w:id="1997684119">
          <w:marLeft w:val="0"/>
          <w:marRight w:val="0"/>
          <w:marTop w:val="0"/>
          <w:marBottom w:val="0"/>
          <w:divBdr>
            <w:top w:val="none" w:sz="0" w:space="0" w:color="auto"/>
            <w:left w:val="none" w:sz="0" w:space="0" w:color="auto"/>
            <w:bottom w:val="none" w:sz="0" w:space="0" w:color="auto"/>
            <w:right w:val="none" w:sz="0" w:space="0" w:color="auto"/>
          </w:divBdr>
        </w:div>
      </w:divsChild>
    </w:div>
    <w:div w:id="2108502571">
      <w:bodyDiv w:val="1"/>
      <w:marLeft w:val="0"/>
      <w:marRight w:val="0"/>
      <w:marTop w:val="0"/>
      <w:marBottom w:val="0"/>
      <w:divBdr>
        <w:top w:val="none" w:sz="0" w:space="0" w:color="auto"/>
        <w:left w:val="none" w:sz="0" w:space="0" w:color="auto"/>
        <w:bottom w:val="none" w:sz="0" w:space="0" w:color="auto"/>
        <w:right w:val="none" w:sz="0" w:space="0" w:color="auto"/>
      </w:divBdr>
      <w:divsChild>
        <w:div w:id="297491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statistics/offender-management-statistics-quarterly-october-to-december-2023/offender-management-statistics-quarterly-october-to-december-2023-and-annual-2023" TargetMode="External"/><Relationship Id="rId5" Type="http://schemas.openxmlformats.org/officeDocument/2006/relationships/hyperlink" Target="https://prisonreformtrust.org.uk/wp-content/uploads/2021/11/human-rights-bookletdigital.pdf" TargetMode="External"/><Relationship Id="rId4" Type="http://schemas.openxmlformats.org/officeDocument/2006/relationships/hyperlink" Target="https://hansard.parliament.uk/commons/2023-10-16/debates/50D29A75-C1E4-4FFC-A77D-11BBC20BCD99/PrisonCapa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346</TotalTime>
  <Pages>11</Pages>
  <Words>3763</Words>
  <Characters>21452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Collins (2223837)</dc:creator>
  <cp:keywords/>
  <dc:description/>
  <cp:lastModifiedBy>Kimberley Collins (2223837)</cp:lastModifiedBy>
  <cp:revision>228</cp:revision>
  <dcterms:created xsi:type="dcterms:W3CDTF">2024-04-13T09:34:00Z</dcterms:created>
  <dcterms:modified xsi:type="dcterms:W3CDTF">2024-04-29T15:59:00Z</dcterms:modified>
</cp:coreProperties>
</file>