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6EA92" w14:textId="14F643D5" w:rsidR="00006EAB" w:rsidRPr="00006EAB" w:rsidRDefault="00006EAB" w:rsidP="00006EAB">
      <w:pPr>
        <w:jc w:val="center"/>
        <w:rPr>
          <w:rFonts w:ascii="Calibri" w:hAnsi="Calibri" w:cs="Calibri"/>
          <w:b/>
          <w:bCs/>
          <w:sz w:val="48"/>
          <w:szCs w:val="48"/>
        </w:rPr>
      </w:pPr>
      <w:r w:rsidRPr="00006EAB">
        <w:rPr>
          <w:rFonts w:ascii="Calibri" w:hAnsi="Calibri" w:cs="Calibri"/>
          <w:b/>
          <w:bCs/>
          <w:sz w:val="48"/>
          <w:szCs w:val="48"/>
        </w:rPr>
        <w:t>A report on site specificity</w:t>
      </w:r>
    </w:p>
    <w:p w14:paraId="076B4D0B" w14:textId="48C8052C" w:rsidR="004B6263" w:rsidRPr="00006EAB" w:rsidRDefault="00006EAB" w:rsidP="00006EAB">
      <w:pPr>
        <w:rPr>
          <w:rFonts w:ascii="Calibri" w:hAnsi="Calibri" w:cs="Calibri"/>
          <w:b/>
          <w:bCs/>
          <w:sz w:val="28"/>
          <w:szCs w:val="28"/>
        </w:rPr>
      </w:pPr>
      <w:r w:rsidRPr="00006EAB">
        <w:rPr>
          <w:rFonts w:ascii="Calibri" w:hAnsi="Calibri" w:cs="Calibri"/>
          <w:b/>
          <w:bCs/>
          <w:sz w:val="28"/>
          <w:szCs w:val="28"/>
        </w:rPr>
        <w:t xml:space="preserve">by Hannah Davies </w:t>
      </w:r>
    </w:p>
    <w:p w14:paraId="5A3FBA2D" w14:textId="32B5FD5B" w:rsidR="00006EAB" w:rsidRPr="00006EAB" w:rsidRDefault="00006EAB" w:rsidP="00006EAB">
      <w:pPr>
        <w:rPr>
          <w:rFonts w:ascii="Calibri" w:hAnsi="Calibri" w:cs="Calibri"/>
          <w:b/>
          <w:bCs/>
          <w:sz w:val="28"/>
          <w:szCs w:val="28"/>
        </w:rPr>
      </w:pPr>
      <w:r w:rsidRPr="00006EAB">
        <w:rPr>
          <w:rFonts w:ascii="Calibri" w:hAnsi="Calibri" w:cs="Calibri"/>
          <w:b/>
          <w:bCs/>
          <w:sz w:val="28"/>
          <w:szCs w:val="28"/>
        </w:rPr>
        <w:t>2203436</w:t>
      </w:r>
    </w:p>
    <w:p w14:paraId="7F9624FE" w14:textId="77777777" w:rsidR="00006EAB" w:rsidRPr="00006EAB" w:rsidRDefault="00006EAB">
      <w:pPr>
        <w:rPr>
          <w:rFonts w:ascii="Calibri" w:hAnsi="Calibri" w:cs="Calibri"/>
        </w:rPr>
      </w:pPr>
    </w:p>
    <w:p w14:paraId="1F4B74F1" w14:textId="77777777" w:rsidR="00006EAB" w:rsidRPr="00006EAB" w:rsidRDefault="00006EAB" w:rsidP="00006EAB">
      <w:pPr>
        <w:spacing w:after="160" w:line="259" w:lineRule="auto"/>
        <w:rPr>
          <w:rFonts w:ascii="Calibri" w:hAnsi="Calibri" w:cs="Calibri"/>
          <w:b/>
          <w:bCs/>
          <w:sz w:val="28"/>
          <w:szCs w:val="28"/>
          <w:u w:val="single"/>
        </w:rPr>
      </w:pPr>
      <w:r w:rsidRPr="00006EAB">
        <w:rPr>
          <w:rFonts w:ascii="Calibri" w:hAnsi="Calibri" w:cs="Calibri"/>
          <w:b/>
          <w:bCs/>
          <w:sz w:val="28"/>
          <w:szCs w:val="28"/>
          <w:u w:val="single"/>
        </w:rPr>
        <w:t>How does a site dictate what work is made?</w:t>
      </w:r>
    </w:p>
    <w:p w14:paraId="26B1614D" w14:textId="6EAEE029" w:rsidR="00006EAB" w:rsidRDefault="00006EAB">
      <w:pPr>
        <w:rPr>
          <w:rFonts w:ascii="Calibri" w:hAnsi="Calibri" w:cs="Calibri"/>
        </w:rPr>
      </w:pPr>
      <w:r w:rsidRPr="00006EAB">
        <w:rPr>
          <w:rFonts w:ascii="Calibri" w:hAnsi="Calibri" w:cs="Calibri"/>
        </w:rPr>
        <w:t>A site dictates what work is made by influencing its content, form, and meaning based on the physical, social, and cultural characteristics of the location. The site’s history, architecture, function, and the way people interact with it shape</w:t>
      </w:r>
      <w:r w:rsidR="00716D4A">
        <w:rPr>
          <w:rFonts w:ascii="Calibri" w:hAnsi="Calibri" w:cs="Calibri"/>
        </w:rPr>
        <w:t>s</w:t>
      </w:r>
      <w:r w:rsidRPr="00006EAB">
        <w:rPr>
          <w:rFonts w:ascii="Calibri" w:hAnsi="Calibri" w:cs="Calibri"/>
        </w:rPr>
        <w:t xml:space="preserve"> the artist's response, creating a unique relationship between the artwork and its environment. The work often emerges from the site’s specific context, altering how the space is experienced or understood. In this way, the site not only provides a physical platform for the art but also becomes integral to its message. </w:t>
      </w:r>
    </w:p>
    <w:p w14:paraId="15FF0D65" w14:textId="77777777" w:rsidR="00D05B97" w:rsidRDefault="00D05B97">
      <w:pPr>
        <w:rPr>
          <w:rFonts w:ascii="Calibri" w:hAnsi="Calibri" w:cs="Calibri"/>
        </w:rPr>
      </w:pPr>
    </w:p>
    <w:p w14:paraId="7E462C50" w14:textId="2A8A856F" w:rsidR="00011091" w:rsidRPr="00011091" w:rsidRDefault="00011091" w:rsidP="00011091">
      <w:pPr>
        <w:rPr>
          <w:rFonts w:ascii="Calibri" w:hAnsi="Calibri" w:cs="Calibri"/>
        </w:rPr>
      </w:pPr>
      <w:r w:rsidRPr="00011091">
        <w:rPr>
          <w:rFonts w:ascii="Calibri" w:hAnsi="Calibri" w:cs="Calibri"/>
        </w:rPr>
        <w:t xml:space="preserve">"Face 2 Face" (2007) by JR is a powerful example of site-specific art, where the location directly shapes both the form and meaning. The project took place along the Israeli-Palestinian border, particularly in cities like Jerusalem and Bethlehem, using public walls and barriers as canvases. JR pasted large-scale portraits of Israelis and Palestinians side by side on these </w:t>
      </w:r>
      <w:r w:rsidR="005A230C">
        <w:rPr>
          <w:rFonts w:ascii="Calibri" w:hAnsi="Calibri" w:cs="Calibri"/>
        </w:rPr>
        <w:t xml:space="preserve">problematic </w:t>
      </w:r>
      <w:r w:rsidRPr="00011091">
        <w:rPr>
          <w:rFonts w:ascii="Calibri" w:hAnsi="Calibri" w:cs="Calibri"/>
        </w:rPr>
        <w:t>walls, turning the separation barrier into a platform for dialogue. The form of the work</w:t>
      </w:r>
      <w:r w:rsidR="00D00653">
        <w:rPr>
          <w:rFonts w:ascii="Calibri" w:hAnsi="Calibri" w:cs="Calibri"/>
        </w:rPr>
        <w:t xml:space="preserve">: </w:t>
      </w:r>
      <w:r w:rsidRPr="00011091">
        <w:rPr>
          <w:rFonts w:ascii="Calibri" w:hAnsi="Calibri" w:cs="Calibri"/>
        </w:rPr>
        <w:t>massive black-and-white photographs</w:t>
      </w:r>
      <w:r w:rsidR="00D00653">
        <w:rPr>
          <w:rFonts w:ascii="Calibri" w:hAnsi="Calibri" w:cs="Calibri"/>
        </w:rPr>
        <w:t xml:space="preserve">, </w:t>
      </w:r>
      <w:r w:rsidRPr="00011091">
        <w:rPr>
          <w:rFonts w:ascii="Calibri" w:hAnsi="Calibri" w:cs="Calibri"/>
        </w:rPr>
        <w:t>was dictated by the harsh, brutalist architecture of the separation wall. These vast, urban surfaces, as Thompson (2015) notes, "amplify the symbolic power of the artwork," making it inseparable from its geopolitical environment.</w:t>
      </w:r>
      <w:r>
        <w:rPr>
          <w:rFonts w:ascii="Calibri" w:hAnsi="Calibri" w:cs="Calibri"/>
        </w:rPr>
        <w:t xml:space="preserve"> </w:t>
      </w:r>
      <w:r w:rsidRPr="00011091">
        <w:rPr>
          <w:rFonts w:ascii="Calibri" w:hAnsi="Calibri" w:cs="Calibri"/>
        </w:rPr>
        <w:t xml:space="preserve">The meaning of "Face 2 Face" is deeply tied to its Middle Eastern context. The walls, which physically divide people, carry a long history of conflict, making them highly charged spaces. By placing portraits on the very barriers that divide communities, JR </w:t>
      </w:r>
      <w:r w:rsidR="005A230C">
        <w:rPr>
          <w:rFonts w:ascii="Calibri" w:hAnsi="Calibri" w:cs="Calibri"/>
        </w:rPr>
        <w:t>undermines</w:t>
      </w:r>
      <w:r w:rsidRPr="00011091">
        <w:rPr>
          <w:rFonts w:ascii="Calibri" w:hAnsi="Calibri" w:cs="Calibri"/>
        </w:rPr>
        <w:t xml:space="preserve"> the wall’s function, using it to promote empathy and shared humanity (Kwon, 2004). Without this specific context, the artwork would lose much of its impact, as the site’s historical and political tension </w:t>
      </w:r>
      <w:r w:rsidR="005A230C">
        <w:rPr>
          <w:rFonts w:ascii="Calibri" w:hAnsi="Calibri" w:cs="Calibri"/>
        </w:rPr>
        <w:t>enhances</w:t>
      </w:r>
      <w:r w:rsidRPr="00011091">
        <w:rPr>
          <w:rFonts w:ascii="Calibri" w:hAnsi="Calibri" w:cs="Calibri"/>
        </w:rPr>
        <w:t xml:space="preserve"> the work’s </w:t>
      </w:r>
      <w:r w:rsidR="00E6536E" w:rsidRPr="00011091">
        <w:rPr>
          <w:rFonts w:ascii="Calibri" w:hAnsi="Calibri" w:cs="Calibri"/>
        </w:rPr>
        <w:t>relevance,</w:t>
      </w:r>
      <w:r>
        <w:rPr>
          <w:rFonts w:ascii="Calibri" w:hAnsi="Calibri" w:cs="Calibri"/>
        </w:rPr>
        <w:t xml:space="preserve"> and </w:t>
      </w:r>
      <w:r w:rsidRPr="00011091">
        <w:rPr>
          <w:rFonts w:ascii="Calibri" w:hAnsi="Calibri" w:cs="Calibri"/>
        </w:rPr>
        <w:t>the work would not have the same relevance outside the region’s conflict-ridden context. As Kwon (2004) states, "site-specificity cannot be separated from the spatial, social, and political conditions," and JR’s work demonstrates this powerfully.</w:t>
      </w:r>
    </w:p>
    <w:p w14:paraId="735BAC5A" w14:textId="651EF0F2" w:rsidR="007B0016" w:rsidRDefault="007B0016" w:rsidP="00011091">
      <w:pPr>
        <w:rPr>
          <w:rFonts w:ascii="Calibri" w:hAnsi="Calibri" w:cs="Calibri"/>
        </w:rPr>
      </w:pPr>
    </w:p>
    <w:p w14:paraId="223C17F4" w14:textId="580A22C5" w:rsidR="00E6536E" w:rsidRPr="00E6536E" w:rsidRDefault="00E6536E" w:rsidP="00E6536E">
      <w:pPr>
        <w:rPr>
          <w:rFonts w:ascii="Calibri" w:hAnsi="Calibri" w:cs="Calibri"/>
        </w:rPr>
      </w:pPr>
      <w:r w:rsidRPr="00E6536E">
        <w:rPr>
          <w:rFonts w:ascii="Calibri" w:hAnsi="Calibri" w:cs="Calibri"/>
        </w:rPr>
        <w:t xml:space="preserve">"Spiral Jetty" (1970) by Robert Smithson is a </w:t>
      </w:r>
      <w:r w:rsidR="005A230C">
        <w:rPr>
          <w:rFonts w:ascii="Calibri" w:hAnsi="Calibri" w:cs="Calibri"/>
        </w:rPr>
        <w:t xml:space="preserve">classic </w:t>
      </w:r>
      <w:r w:rsidRPr="00E6536E">
        <w:rPr>
          <w:rFonts w:ascii="Calibri" w:hAnsi="Calibri" w:cs="Calibri"/>
        </w:rPr>
        <w:t xml:space="preserve">example of site-specific art, where the form and meaning are intricately linked to its location on the north-eastern shore of the Great Salt Lake in Utah. This </w:t>
      </w:r>
      <w:r w:rsidR="005A230C">
        <w:rPr>
          <w:rFonts w:ascii="Calibri" w:hAnsi="Calibri" w:cs="Calibri"/>
        </w:rPr>
        <w:t xml:space="preserve">impressive </w:t>
      </w:r>
      <w:r w:rsidRPr="00E6536E">
        <w:rPr>
          <w:rFonts w:ascii="Calibri" w:hAnsi="Calibri" w:cs="Calibri"/>
        </w:rPr>
        <w:t xml:space="preserve">earthwork, a 1,500-foot-long spiral of mud, salt crystals, and basalt rock, reflects Smithson’s fascination with the environment. The spiral form mimics natural patterns, highlighting the </w:t>
      </w:r>
      <w:r w:rsidR="005A230C" w:rsidRPr="00E6536E">
        <w:rPr>
          <w:rFonts w:ascii="Calibri" w:hAnsi="Calibri" w:cs="Calibri"/>
        </w:rPr>
        <w:t>connection</w:t>
      </w:r>
      <w:r w:rsidRPr="00E6536E">
        <w:rPr>
          <w:rFonts w:ascii="Calibri" w:hAnsi="Calibri" w:cs="Calibri"/>
        </w:rPr>
        <w:t xml:space="preserve"> between the artwork and its surroundings (Kwon, 2004). As Smithson noted, "The spiral is a natural form and represents the cycles of life" (Smithson, 1971).</w:t>
      </w:r>
      <w:r>
        <w:rPr>
          <w:rFonts w:ascii="Calibri" w:hAnsi="Calibri" w:cs="Calibri"/>
        </w:rPr>
        <w:t xml:space="preserve"> </w:t>
      </w:r>
      <w:r w:rsidRPr="00E6536E">
        <w:rPr>
          <w:rFonts w:ascii="Calibri" w:hAnsi="Calibri" w:cs="Calibri"/>
        </w:rPr>
        <w:t xml:space="preserve">The meaning of "Spiral Jetty" is deeply tied to its geological context. The Great Salt Lake’s saline waters and barren landscape </w:t>
      </w:r>
      <w:r w:rsidR="005A230C" w:rsidRPr="00E6536E">
        <w:rPr>
          <w:rFonts w:ascii="Calibri" w:hAnsi="Calibri" w:cs="Calibri"/>
        </w:rPr>
        <w:t>symboli</w:t>
      </w:r>
      <w:r w:rsidR="005A230C">
        <w:rPr>
          <w:rFonts w:ascii="Calibri" w:hAnsi="Calibri" w:cs="Calibri"/>
        </w:rPr>
        <w:t xml:space="preserve">se </w:t>
      </w:r>
      <w:r w:rsidR="005A230C" w:rsidRPr="00E6536E">
        <w:rPr>
          <w:rFonts w:ascii="Calibri" w:hAnsi="Calibri" w:cs="Calibri"/>
        </w:rPr>
        <w:t>themes</w:t>
      </w:r>
      <w:r w:rsidRPr="00E6536E">
        <w:rPr>
          <w:rFonts w:ascii="Calibri" w:hAnsi="Calibri" w:cs="Calibri"/>
        </w:rPr>
        <w:t xml:space="preserve"> of time, decay, and humanity's relationship with nature (Rosenthal, 1995). The fluctuating water levels create an evolving interaction with the artwork; at times submerged, it compels viewers to confront the idea of </w:t>
      </w:r>
      <w:r w:rsidR="005A230C" w:rsidRPr="00E6536E">
        <w:rPr>
          <w:rFonts w:ascii="Calibri" w:hAnsi="Calibri" w:cs="Calibri"/>
        </w:rPr>
        <w:t>temporariness</w:t>
      </w:r>
      <w:r w:rsidRPr="00E6536E">
        <w:rPr>
          <w:rFonts w:ascii="Calibri" w:hAnsi="Calibri" w:cs="Calibri"/>
        </w:rPr>
        <w:t xml:space="preserve">. As noted by Thompson (2015), the work "forces engagement beyond mere observation." The remoteness of the site emphasizes its connection to natural processes rather than human observation. </w:t>
      </w:r>
    </w:p>
    <w:p w14:paraId="6DB11B5B" w14:textId="77777777" w:rsidR="00CB52D8" w:rsidRDefault="00CB52D8">
      <w:pPr>
        <w:rPr>
          <w:rFonts w:ascii="Calibri" w:hAnsi="Calibri" w:cs="Calibri"/>
        </w:rPr>
      </w:pPr>
    </w:p>
    <w:p w14:paraId="265D5A21" w14:textId="5A680FC8" w:rsidR="00EF0F04" w:rsidRDefault="00DC62A3" w:rsidP="00DC62A3">
      <w:pPr>
        <w:rPr>
          <w:rFonts w:ascii="Calibri" w:hAnsi="Calibri" w:cs="Calibri"/>
        </w:rPr>
      </w:pPr>
      <w:r w:rsidRPr="00DC62A3">
        <w:rPr>
          <w:rFonts w:ascii="Calibri" w:hAnsi="Calibri" w:cs="Calibri"/>
        </w:rPr>
        <w:lastRenderedPageBreak/>
        <w:t xml:space="preserve">"Face 2 Face" (2007) by JR and "Spiral Jetty" (1970) by Robert Smithson </w:t>
      </w:r>
      <w:r w:rsidR="005A230C" w:rsidRPr="00DC62A3">
        <w:rPr>
          <w:rFonts w:ascii="Calibri" w:hAnsi="Calibri" w:cs="Calibri"/>
        </w:rPr>
        <w:t>illustrate</w:t>
      </w:r>
      <w:r w:rsidR="005A230C">
        <w:rPr>
          <w:rFonts w:ascii="Calibri" w:hAnsi="Calibri" w:cs="Calibri"/>
        </w:rPr>
        <w:t xml:space="preserve"> </w:t>
      </w:r>
      <w:r w:rsidRPr="00DC62A3">
        <w:rPr>
          <w:rFonts w:ascii="Calibri" w:hAnsi="Calibri" w:cs="Calibri"/>
        </w:rPr>
        <w:t xml:space="preserve">distinct approaches to site-specific art, shaped by their contrasting cultural and geographical contexts. "Face 2 Face" is deeply </w:t>
      </w:r>
      <w:r w:rsidR="0025662D" w:rsidRPr="00DC62A3">
        <w:rPr>
          <w:rFonts w:ascii="Calibri" w:hAnsi="Calibri" w:cs="Calibri"/>
        </w:rPr>
        <w:t>rooted</w:t>
      </w:r>
      <w:r w:rsidRPr="00DC62A3">
        <w:rPr>
          <w:rFonts w:ascii="Calibri" w:hAnsi="Calibri" w:cs="Calibri"/>
        </w:rPr>
        <w:t xml:space="preserve"> in the Middle Eastern realities of social, religious, and territorial conflict. The separation barrier and urban landscapes of Israel and the West Bank dictate the form and message of the artwork, which humanizes both sides of the conflict through portraits of Israelis and Palestinians</w:t>
      </w:r>
      <w:r w:rsidR="005A230C">
        <w:rPr>
          <w:rFonts w:ascii="Calibri" w:hAnsi="Calibri" w:cs="Calibri"/>
        </w:rPr>
        <w:t xml:space="preserve"> showing humour</w:t>
      </w:r>
      <w:r w:rsidRPr="00DC62A3">
        <w:rPr>
          <w:rFonts w:ascii="Calibri" w:hAnsi="Calibri" w:cs="Calibri"/>
        </w:rPr>
        <w:t>. This site-specific nature engages directly with the geopolitical divisions of the region, using art to challenge power structures and promote peace</w:t>
      </w:r>
      <w:r w:rsidR="00D00653">
        <w:rPr>
          <w:rFonts w:ascii="Calibri" w:hAnsi="Calibri" w:cs="Calibri"/>
        </w:rPr>
        <w:t xml:space="preserve">, </w:t>
      </w:r>
      <w:r w:rsidRPr="00DC62A3">
        <w:rPr>
          <w:rFonts w:ascii="Calibri" w:hAnsi="Calibri" w:cs="Calibri"/>
        </w:rPr>
        <w:t>an essential theme in contemporary Middle Eastern art (Sussman, 2017).</w:t>
      </w:r>
      <w:r>
        <w:rPr>
          <w:rFonts w:ascii="Calibri" w:hAnsi="Calibri" w:cs="Calibri"/>
        </w:rPr>
        <w:t xml:space="preserve"> </w:t>
      </w:r>
      <w:r w:rsidRPr="00DC62A3">
        <w:rPr>
          <w:rFonts w:ascii="Calibri" w:hAnsi="Calibri" w:cs="Calibri"/>
        </w:rPr>
        <w:t xml:space="preserve">In contrast, "Spiral Jetty" reflects a Western perspective focused on </w:t>
      </w:r>
      <w:r w:rsidR="005A230C" w:rsidRPr="00DC62A3">
        <w:rPr>
          <w:rFonts w:ascii="Calibri" w:hAnsi="Calibri" w:cs="Calibri"/>
        </w:rPr>
        <w:t>an</w:t>
      </w:r>
      <w:r w:rsidRPr="00DC62A3">
        <w:rPr>
          <w:rFonts w:ascii="Calibri" w:hAnsi="Calibri" w:cs="Calibri"/>
        </w:rPr>
        <w:t xml:space="preserve"> </w:t>
      </w:r>
      <w:r w:rsidR="005A230C" w:rsidRPr="00DC62A3">
        <w:rPr>
          <w:rFonts w:ascii="Calibri" w:hAnsi="Calibri" w:cs="Calibri"/>
        </w:rPr>
        <w:t>introspective</w:t>
      </w:r>
      <w:r w:rsidRPr="00DC62A3">
        <w:rPr>
          <w:rFonts w:ascii="Calibri" w:hAnsi="Calibri" w:cs="Calibri"/>
        </w:rPr>
        <w:t xml:space="preserve"> relationship with nature. The remote and </w:t>
      </w:r>
      <w:r w:rsidR="005A230C" w:rsidRPr="00DC62A3">
        <w:rPr>
          <w:rFonts w:ascii="Calibri" w:hAnsi="Calibri" w:cs="Calibri"/>
        </w:rPr>
        <w:t>desolate</w:t>
      </w:r>
      <w:r w:rsidRPr="00DC62A3">
        <w:rPr>
          <w:rFonts w:ascii="Calibri" w:hAnsi="Calibri" w:cs="Calibri"/>
        </w:rPr>
        <w:t xml:space="preserve"> site of the Great Salt Lake shapes a work that </w:t>
      </w:r>
      <w:r w:rsidR="005A230C" w:rsidRPr="00DC62A3">
        <w:rPr>
          <w:rFonts w:ascii="Calibri" w:hAnsi="Calibri" w:cs="Calibri"/>
        </w:rPr>
        <w:t>highlights</w:t>
      </w:r>
      <w:r w:rsidRPr="00DC62A3">
        <w:rPr>
          <w:rFonts w:ascii="Calibri" w:hAnsi="Calibri" w:cs="Calibri"/>
        </w:rPr>
        <w:t xml:space="preserve"> environmental awareness, time, and humanity's insignificance in the vastness of the natural world. Rather than addressing human conflict, Smithson’s work engages with themes of </w:t>
      </w:r>
      <w:r w:rsidR="004512CC">
        <w:rPr>
          <w:rFonts w:ascii="Calibri" w:hAnsi="Calibri" w:cs="Calibri"/>
        </w:rPr>
        <w:t xml:space="preserve">decay </w:t>
      </w:r>
      <w:r w:rsidRPr="00DC62A3">
        <w:rPr>
          <w:rFonts w:ascii="Calibri" w:hAnsi="Calibri" w:cs="Calibri"/>
        </w:rPr>
        <w:t xml:space="preserve">and transformation, which are central to the land art movement (Bishop, 2004). Ultimately, both artworks demonstrate how site specificity profoundly influences their form and meaning, yet they do so in ways that highlight the </w:t>
      </w:r>
      <w:r w:rsidR="004512CC" w:rsidRPr="00DC62A3">
        <w:rPr>
          <w:rFonts w:ascii="Calibri" w:hAnsi="Calibri" w:cs="Calibri"/>
        </w:rPr>
        <w:t>differing</w:t>
      </w:r>
      <w:r w:rsidRPr="00DC62A3">
        <w:rPr>
          <w:rFonts w:ascii="Calibri" w:hAnsi="Calibri" w:cs="Calibri"/>
        </w:rPr>
        <w:t xml:space="preserve"> cultural and historical narratives </w:t>
      </w:r>
      <w:r w:rsidR="004512CC" w:rsidRPr="00DC62A3">
        <w:rPr>
          <w:rFonts w:ascii="Calibri" w:hAnsi="Calibri" w:cs="Calibri"/>
        </w:rPr>
        <w:t>distinctive</w:t>
      </w:r>
      <w:r w:rsidRPr="00DC62A3">
        <w:rPr>
          <w:rFonts w:ascii="Calibri" w:hAnsi="Calibri" w:cs="Calibri"/>
        </w:rPr>
        <w:t xml:space="preserve"> in each </w:t>
      </w:r>
      <w:r w:rsidR="00D00653">
        <w:rPr>
          <w:rFonts w:ascii="Calibri" w:hAnsi="Calibri" w:cs="Calibri"/>
        </w:rPr>
        <w:t xml:space="preserve">site’s </w:t>
      </w:r>
      <w:r w:rsidRPr="00DC62A3">
        <w:rPr>
          <w:rFonts w:ascii="Calibri" w:hAnsi="Calibri" w:cs="Calibri"/>
        </w:rPr>
        <w:t>context.</w:t>
      </w:r>
    </w:p>
    <w:p w14:paraId="79E8F70F" w14:textId="77777777" w:rsidR="00DC62A3" w:rsidRDefault="00DC62A3" w:rsidP="00DC62A3">
      <w:pPr>
        <w:rPr>
          <w:rFonts w:ascii="Calibri" w:hAnsi="Calibri" w:cs="Calibri"/>
        </w:rPr>
      </w:pPr>
    </w:p>
    <w:p w14:paraId="5EE72E80" w14:textId="1AE013E9" w:rsidR="00EF0F04" w:rsidRPr="00EF0F04" w:rsidRDefault="00D00653" w:rsidP="00EF0F04">
      <w:pPr>
        <w:rPr>
          <w:rFonts w:ascii="Calibri" w:hAnsi="Calibri" w:cs="Calibri"/>
        </w:rPr>
      </w:pPr>
      <w:r>
        <w:rPr>
          <w:rFonts w:ascii="Calibri" w:hAnsi="Calibri" w:cs="Calibri"/>
        </w:rPr>
        <w:t>To conclude i</w:t>
      </w:r>
      <w:r w:rsidR="00EF0F04" w:rsidRPr="00EF0F04">
        <w:rPr>
          <w:rFonts w:ascii="Calibri" w:hAnsi="Calibri" w:cs="Calibri"/>
        </w:rPr>
        <w:t xml:space="preserve">n both "Face 2 Face" and "Spiral Jetty", the site </w:t>
      </w:r>
      <w:r w:rsidR="004512CC" w:rsidRPr="00EF0F04">
        <w:rPr>
          <w:rFonts w:ascii="Calibri" w:hAnsi="Calibri" w:cs="Calibri"/>
        </w:rPr>
        <w:t>commands</w:t>
      </w:r>
      <w:r w:rsidR="00EF0F04" w:rsidRPr="00EF0F04">
        <w:rPr>
          <w:rFonts w:ascii="Calibri" w:hAnsi="Calibri" w:cs="Calibri"/>
        </w:rPr>
        <w:t xml:space="preserve"> not only the form but the deeper meaning of the work, illustrating the profound influence of location on artistic creation. "Face 2 Face" responds to the geopolitical tensions of the Middle East, using the separation wall as a symbol of </w:t>
      </w:r>
      <w:r w:rsidR="004512CC" w:rsidRPr="00EF0F04">
        <w:rPr>
          <w:rFonts w:ascii="Calibri" w:hAnsi="Calibri" w:cs="Calibri"/>
        </w:rPr>
        <w:t>separation</w:t>
      </w:r>
      <w:r w:rsidR="00EF0F04" w:rsidRPr="00EF0F04">
        <w:rPr>
          <w:rFonts w:ascii="Calibri" w:hAnsi="Calibri" w:cs="Calibri"/>
        </w:rPr>
        <w:t xml:space="preserve"> and </w:t>
      </w:r>
      <w:r w:rsidR="004512CC" w:rsidRPr="00EF0F04">
        <w:rPr>
          <w:rFonts w:ascii="Calibri" w:hAnsi="Calibri" w:cs="Calibri"/>
        </w:rPr>
        <w:t>compromise</w:t>
      </w:r>
      <w:r w:rsidR="00EF0F04" w:rsidRPr="00EF0F04">
        <w:rPr>
          <w:rFonts w:ascii="Calibri" w:hAnsi="Calibri" w:cs="Calibri"/>
        </w:rPr>
        <w:t xml:space="preserve">, directly engaging with social realities. In contrast, "Spiral Jetty" reflects the Western fascination with natural forces, using the </w:t>
      </w:r>
      <w:r w:rsidR="004512CC" w:rsidRPr="00EF0F04">
        <w:rPr>
          <w:rFonts w:ascii="Calibri" w:hAnsi="Calibri" w:cs="Calibri"/>
        </w:rPr>
        <w:t>immeasurable</w:t>
      </w:r>
      <w:r w:rsidR="00EF0F04" w:rsidRPr="00EF0F04">
        <w:rPr>
          <w:rFonts w:ascii="Calibri" w:hAnsi="Calibri" w:cs="Calibri"/>
        </w:rPr>
        <w:t xml:space="preserve">, </w:t>
      </w:r>
      <w:r w:rsidR="004512CC" w:rsidRPr="00EF0F04">
        <w:rPr>
          <w:rFonts w:ascii="Calibri" w:hAnsi="Calibri" w:cs="Calibri"/>
        </w:rPr>
        <w:t>secluded</w:t>
      </w:r>
      <w:r w:rsidR="00EF0F04" w:rsidRPr="00EF0F04">
        <w:rPr>
          <w:rFonts w:ascii="Calibri" w:hAnsi="Calibri" w:cs="Calibri"/>
        </w:rPr>
        <w:t xml:space="preserve"> landscape to explore themes of time and humanity’s insignificance. These works highlight how sites</w:t>
      </w:r>
      <w:r w:rsidR="00EF0F04">
        <w:rPr>
          <w:rFonts w:ascii="Calibri" w:hAnsi="Calibri" w:cs="Calibri"/>
        </w:rPr>
        <w:t xml:space="preserve">, </w:t>
      </w:r>
      <w:r w:rsidR="00EF0F04" w:rsidRPr="00EF0F04">
        <w:rPr>
          <w:rFonts w:ascii="Calibri" w:hAnsi="Calibri" w:cs="Calibri"/>
        </w:rPr>
        <w:t>whether shaped by political conflict or natural geography</w:t>
      </w:r>
      <w:r w:rsidR="00EF0F04">
        <w:rPr>
          <w:rFonts w:ascii="Calibri" w:hAnsi="Calibri" w:cs="Calibri"/>
        </w:rPr>
        <w:t xml:space="preserve"> </w:t>
      </w:r>
      <w:r w:rsidR="00EF0F04" w:rsidRPr="00EF0F04">
        <w:rPr>
          <w:rFonts w:ascii="Calibri" w:hAnsi="Calibri" w:cs="Calibri"/>
        </w:rPr>
        <w:t>fundamentally shape the purpose and message of art.</w:t>
      </w:r>
    </w:p>
    <w:p w14:paraId="65EFD9B0" w14:textId="77777777" w:rsidR="00EF0F04" w:rsidRPr="00EF0F04" w:rsidRDefault="00EF0F04" w:rsidP="00EF0F04">
      <w:pPr>
        <w:rPr>
          <w:rFonts w:ascii="Calibri" w:hAnsi="Calibri" w:cs="Calibri"/>
        </w:rPr>
      </w:pPr>
    </w:p>
    <w:p w14:paraId="4EE53446" w14:textId="77777777" w:rsidR="00EF0F04" w:rsidRPr="00EF0F04" w:rsidRDefault="00EF0F04" w:rsidP="00EF0F04">
      <w:pPr>
        <w:rPr>
          <w:rFonts w:ascii="Calibri" w:hAnsi="Calibri" w:cs="Calibri"/>
        </w:rPr>
      </w:pPr>
    </w:p>
    <w:p w14:paraId="4A13454F" w14:textId="77777777" w:rsidR="00EF0F04" w:rsidRPr="00EF0F04" w:rsidRDefault="00EF0F04" w:rsidP="00EF0F04">
      <w:pPr>
        <w:rPr>
          <w:rFonts w:ascii="Calibri" w:hAnsi="Calibri" w:cs="Calibri"/>
        </w:rPr>
      </w:pPr>
    </w:p>
    <w:p w14:paraId="6056C668" w14:textId="77777777" w:rsidR="00EF0F04" w:rsidRPr="00EF0F04" w:rsidRDefault="00EF0F04" w:rsidP="00EF0F04">
      <w:pPr>
        <w:rPr>
          <w:rFonts w:ascii="Calibri" w:hAnsi="Calibri" w:cs="Calibri"/>
        </w:rPr>
      </w:pPr>
    </w:p>
    <w:p w14:paraId="7C067465" w14:textId="77777777" w:rsidR="00EF0F04" w:rsidRPr="00EF0F04" w:rsidRDefault="00EF0F04" w:rsidP="00EF0F04">
      <w:pPr>
        <w:rPr>
          <w:rFonts w:ascii="Calibri" w:hAnsi="Calibri" w:cs="Calibri"/>
        </w:rPr>
      </w:pPr>
    </w:p>
    <w:p w14:paraId="1EAC471F" w14:textId="73C47315" w:rsidR="00EF0F04" w:rsidRDefault="00011091" w:rsidP="00EF0F04">
      <w:pPr>
        <w:rPr>
          <w:rFonts w:ascii="Calibri" w:hAnsi="Calibri" w:cs="Calibri"/>
        </w:rPr>
      </w:pPr>
      <w:r>
        <w:rPr>
          <w:rFonts w:ascii="Calibri" w:hAnsi="Calibri" w:cs="Calibri"/>
        </w:rPr>
        <w:t>bibliography:</w:t>
      </w:r>
    </w:p>
    <w:p w14:paraId="0D49771D" w14:textId="77777777" w:rsidR="00011091" w:rsidRDefault="00011091" w:rsidP="00EF0F04">
      <w:pPr>
        <w:rPr>
          <w:rFonts w:ascii="Calibri" w:hAnsi="Calibri" w:cs="Calibri"/>
        </w:rPr>
      </w:pPr>
    </w:p>
    <w:p w14:paraId="6DE97117" w14:textId="77777777" w:rsidR="00DC62A3" w:rsidRPr="00DC62A3" w:rsidRDefault="00DC62A3" w:rsidP="00DC62A3">
      <w:pPr>
        <w:rPr>
          <w:rFonts w:ascii="Calibri" w:hAnsi="Calibri" w:cs="Calibri"/>
        </w:rPr>
      </w:pPr>
      <w:r w:rsidRPr="00DC62A3">
        <w:rPr>
          <w:rFonts w:ascii="Calibri" w:hAnsi="Calibri" w:cs="Calibri"/>
        </w:rPr>
        <w:t>Kwon, M. (2004) One Place after Another: Site-Specific Art and Locational Identity. MIT Press.</w:t>
      </w:r>
    </w:p>
    <w:p w14:paraId="2FA46290" w14:textId="77777777" w:rsidR="00DC62A3" w:rsidRPr="00DC62A3" w:rsidRDefault="00DC62A3" w:rsidP="00DC62A3">
      <w:pPr>
        <w:rPr>
          <w:rFonts w:ascii="Calibri" w:hAnsi="Calibri" w:cs="Calibri"/>
        </w:rPr>
      </w:pPr>
      <w:r w:rsidRPr="00DC62A3">
        <w:rPr>
          <w:rFonts w:ascii="Calibri" w:hAnsi="Calibri" w:cs="Calibri"/>
        </w:rPr>
        <w:t>URL: https://mitpress.mit.edu/9780262220690/one-place-after-another/</w:t>
      </w:r>
    </w:p>
    <w:p w14:paraId="4E6B85EE" w14:textId="77777777" w:rsidR="00DC62A3" w:rsidRDefault="00DC62A3" w:rsidP="00DC62A3">
      <w:pPr>
        <w:rPr>
          <w:rFonts w:ascii="Calibri" w:hAnsi="Calibri" w:cs="Calibri"/>
        </w:rPr>
      </w:pPr>
    </w:p>
    <w:p w14:paraId="5065F4AB" w14:textId="6C5D329C" w:rsidR="00DC62A3" w:rsidRPr="00DC62A3" w:rsidRDefault="00DC62A3" w:rsidP="00DC62A3">
      <w:pPr>
        <w:rPr>
          <w:rFonts w:ascii="Calibri" w:hAnsi="Calibri" w:cs="Calibri"/>
        </w:rPr>
      </w:pPr>
      <w:r w:rsidRPr="00DC62A3">
        <w:rPr>
          <w:rFonts w:ascii="Calibri" w:hAnsi="Calibri" w:cs="Calibri"/>
        </w:rPr>
        <w:t>Thompson, N. (2015) Seeing Power: Art and Activism in the 21st Century. Melville House.</w:t>
      </w:r>
    </w:p>
    <w:p w14:paraId="72683376" w14:textId="77777777" w:rsidR="00DC62A3" w:rsidRPr="00DC62A3" w:rsidRDefault="00DC62A3" w:rsidP="00DC62A3">
      <w:pPr>
        <w:rPr>
          <w:rFonts w:ascii="Calibri" w:hAnsi="Calibri" w:cs="Calibri"/>
        </w:rPr>
      </w:pPr>
      <w:r w:rsidRPr="00DC62A3">
        <w:rPr>
          <w:rFonts w:ascii="Calibri" w:hAnsi="Calibri" w:cs="Calibri"/>
        </w:rPr>
        <w:t>URL: https://www.mhpbooks.com/books/seeing-power/</w:t>
      </w:r>
    </w:p>
    <w:p w14:paraId="5CC789D6" w14:textId="77777777" w:rsidR="00DC62A3" w:rsidRDefault="00DC62A3" w:rsidP="00DC62A3">
      <w:pPr>
        <w:rPr>
          <w:rFonts w:ascii="Calibri" w:hAnsi="Calibri" w:cs="Calibri"/>
        </w:rPr>
      </w:pPr>
    </w:p>
    <w:p w14:paraId="228B32ED" w14:textId="0DFDCDA9" w:rsidR="00DC62A3" w:rsidRPr="00DC62A3" w:rsidRDefault="00DC62A3" w:rsidP="00DC62A3">
      <w:pPr>
        <w:rPr>
          <w:rFonts w:ascii="Calibri" w:hAnsi="Calibri" w:cs="Calibri"/>
        </w:rPr>
      </w:pPr>
      <w:r w:rsidRPr="00DC62A3">
        <w:rPr>
          <w:rFonts w:ascii="Calibri" w:hAnsi="Calibri" w:cs="Calibri"/>
        </w:rPr>
        <w:t>Rosenthal, M. (1995) Land Art. London: Phaidon Press.</w:t>
      </w:r>
    </w:p>
    <w:p w14:paraId="512D67B7" w14:textId="77777777" w:rsidR="00DC62A3" w:rsidRPr="00DC62A3" w:rsidRDefault="00DC62A3" w:rsidP="00DC62A3">
      <w:pPr>
        <w:rPr>
          <w:rFonts w:ascii="Calibri" w:hAnsi="Calibri" w:cs="Calibri"/>
        </w:rPr>
      </w:pPr>
      <w:r w:rsidRPr="00DC62A3">
        <w:rPr>
          <w:rFonts w:ascii="Calibri" w:hAnsi="Calibri" w:cs="Calibri"/>
        </w:rPr>
        <w:t>URL: https://www.phaidon.com/store/art/land-art-9780714833686/</w:t>
      </w:r>
    </w:p>
    <w:p w14:paraId="04D5996D" w14:textId="77777777" w:rsidR="00DC62A3" w:rsidRDefault="00DC62A3" w:rsidP="00DC62A3">
      <w:pPr>
        <w:rPr>
          <w:rFonts w:ascii="Calibri" w:hAnsi="Calibri" w:cs="Calibri"/>
        </w:rPr>
      </w:pPr>
    </w:p>
    <w:p w14:paraId="55F0CB78" w14:textId="6DFFAE7B" w:rsidR="00DC62A3" w:rsidRPr="00DC62A3" w:rsidRDefault="00DC62A3" w:rsidP="00DC62A3">
      <w:pPr>
        <w:rPr>
          <w:rFonts w:ascii="Calibri" w:hAnsi="Calibri" w:cs="Calibri"/>
        </w:rPr>
      </w:pPr>
      <w:r w:rsidRPr="00DC62A3">
        <w:rPr>
          <w:rFonts w:ascii="Calibri" w:hAnsi="Calibri" w:cs="Calibri"/>
        </w:rPr>
        <w:t>Smithson, R. (1971) The Spiral Jetty. Available at: https://www.diaart.org/sites/default/files/SpiralJetty_Panel_English.pdf (Accessed: October 2024).</w:t>
      </w:r>
    </w:p>
    <w:p w14:paraId="67D68990" w14:textId="77777777" w:rsidR="00DC62A3" w:rsidRDefault="00DC62A3" w:rsidP="00DC62A3">
      <w:pPr>
        <w:rPr>
          <w:rFonts w:ascii="Calibri" w:hAnsi="Calibri" w:cs="Calibri"/>
        </w:rPr>
      </w:pPr>
    </w:p>
    <w:p w14:paraId="11BA9B54" w14:textId="69A7DD02" w:rsidR="00DC62A3" w:rsidRPr="00DC62A3" w:rsidRDefault="00DC62A3" w:rsidP="00DC62A3">
      <w:pPr>
        <w:rPr>
          <w:rFonts w:ascii="Calibri" w:hAnsi="Calibri" w:cs="Calibri"/>
        </w:rPr>
      </w:pPr>
      <w:r w:rsidRPr="00DC62A3">
        <w:rPr>
          <w:rFonts w:ascii="Calibri" w:hAnsi="Calibri" w:cs="Calibri"/>
        </w:rPr>
        <w:t>Bishop, C. (2004) Installation Art: A Critical History. London: Tate Publishing.</w:t>
      </w:r>
    </w:p>
    <w:p w14:paraId="3EE5AC19" w14:textId="77777777" w:rsidR="00DC62A3" w:rsidRPr="00DC62A3" w:rsidRDefault="00DC62A3" w:rsidP="00DC62A3">
      <w:pPr>
        <w:rPr>
          <w:rFonts w:ascii="Calibri" w:hAnsi="Calibri" w:cs="Calibri"/>
        </w:rPr>
      </w:pPr>
      <w:r w:rsidRPr="00DC62A3">
        <w:rPr>
          <w:rFonts w:ascii="Calibri" w:hAnsi="Calibri" w:cs="Calibri"/>
        </w:rPr>
        <w:lastRenderedPageBreak/>
        <w:t>URL: https://www.tate.org.uk/art/books/installation-art</w:t>
      </w:r>
    </w:p>
    <w:p w14:paraId="3930BAC8" w14:textId="77777777" w:rsidR="00DC62A3" w:rsidRDefault="00DC62A3" w:rsidP="00DC62A3">
      <w:pPr>
        <w:rPr>
          <w:rFonts w:ascii="Calibri" w:hAnsi="Calibri" w:cs="Calibri"/>
        </w:rPr>
      </w:pPr>
    </w:p>
    <w:p w14:paraId="0C0818F8" w14:textId="2C685279" w:rsidR="00DC62A3" w:rsidRPr="00DC62A3" w:rsidRDefault="00DC62A3" w:rsidP="00DC62A3">
      <w:pPr>
        <w:rPr>
          <w:rFonts w:ascii="Calibri" w:hAnsi="Calibri" w:cs="Calibri"/>
        </w:rPr>
      </w:pPr>
      <w:r w:rsidRPr="00DC62A3">
        <w:rPr>
          <w:rFonts w:ascii="Calibri" w:hAnsi="Calibri" w:cs="Calibri"/>
        </w:rPr>
        <w:t>Sussman, E. (2017) Art in the Age of Terrorism. New York: University of California Press.</w:t>
      </w:r>
    </w:p>
    <w:p w14:paraId="2DB2AC6D" w14:textId="77777777" w:rsidR="00DC62A3" w:rsidRPr="00DC62A3" w:rsidRDefault="00DC62A3" w:rsidP="00DC62A3">
      <w:pPr>
        <w:rPr>
          <w:rFonts w:ascii="Calibri" w:hAnsi="Calibri" w:cs="Calibri"/>
        </w:rPr>
      </w:pPr>
      <w:r w:rsidRPr="00DC62A3">
        <w:rPr>
          <w:rFonts w:ascii="Calibri" w:hAnsi="Calibri" w:cs="Calibri"/>
        </w:rPr>
        <w:t>URL: https://www.ucpress.edu/book/9780520292926/art-in-the-age-of-terrorism</w:t>
      </w:r>
    </w:p>
    <w:p w14:paraId="7BECA81D" w14:textId="77777777" w:rsidR="00DC62A3" w:rsidRDefault="00DC62A3" w:rsidP="00DC62A3">
      <w:pPr>
        <w:rPr>
          <w:rFonts w:ascii="Calibri" w:hAnsi="Calibri" w:cs="Calibri"/>
        </w:rPr>
      </w:pPr>
    </w:p>
    <w:p w14:paraId="6DD9672C" w14:textId="1D7A67CB" w:rsidR="00CB52D8" w:rsidRPr="00006EAB" w:rsidRDefault="00DC62A3" w:rsidP="00DC62A3">
      <w:pPr>
        <w:rPr>
          <w:rFonts w:ascii="Calibri" w:hAnsi="Calibri" w:cs="Calibri"/>
        </w:rPr>
      </w:pPr>
      <w:r w:rsidRPr="00DC62A3">
        <w:rPr>
          <w:rFonts w:ascii="Calibri" w:hAnsi="Calibri" w:cs="Calibri"/>
        </w:rPr>
        <w:t>JR (2007) Face 2 Face. [Art installation] Israel/West Bank. Available at: https://www.jr-art.net/projects/face-2-face</w:t>
      </w:r>
    </w:p>
    <w:sectPr w:rsidR="00CB52D8" w:rsidRPr="00006E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F86356"/>
    <w:multiLevelType w:val="hybridMultilevel"/>
    <w:tmpl w:val="47922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5395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EAB"/>
    <w:rsid w:val="00006EAB"/>
    <w:rsid w:val="00011091"/>
    <w:rsid w:val="0025662D"/>
    <w:rsid w:val="003D0B00"/>
    <w:rsid w:val="004512CC"/>
    <w:rsid w:val="004B6263"/>
    <w:rsid w:val="005A230C"/>
    <w:rsid w:val="00716D4A"/>
    <w:rsid w:val="007B0016"/>
    <w:rsid w:val="00B445AA"/>
    <w:rsid w:val="00B5411A"/>
    <w:rsid w:val="00CA3794"/>
    <w:rsid w:val="00CB52D8"/>
    <w:rsid w:val="00CD520B"/>
    <w:rsid w:val="00D00653"/>
    <w:rsid w:val="00D05B97"/>
    <w:rsid w:val="00D27123"/>
    <w:rsid w:val="00D5370A"/>
    <w:rsid w:val="00DC62A3"/>
    <w:rsid w:val="00E20817"/>
    <w:rsid w:val="00E6536E"/>
    <w:rsid w:val="00EF0F04"/>
    <w:rsid w:val="00F22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09CA6A"/>
  <w15:chartTrackingRefBased/>
  <w15:docId w15:val="{A4E21B8F-9040-1641-8295-5A4540DE4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E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6E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6E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6E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6E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6E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6E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6E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6E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E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6E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6E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6E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6E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6E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6E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6E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6EAB"/>
    <w:rPr>
      <w:rFonts w:eastAsiaTheme="majorEastAsia" w:cstheme="majorBidi"/>
      <w:color w:val="272727" w:themeColor="text1" w:themeTint="D8"/>
    </w:rPr>
  </w:style>
  <w:style w:type="paragraph" w:styleId="Title">
    <w:name w:val="Title"/>
    <w:basedOn w:val="Normal"/>
    <w:next w:val="Normal"/>
    <w:link w:val="TitleChar"/>
    <w:uiPriority w:val="10"/>
    <w:qFormat/>
    <w:rsid w:val="00006E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6E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6E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6E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6E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06EAB"/>
    <w:rPr>
      <w:i/>
      <w:iCs/>
      <w:color w:val="404040" w:themeColor="text1" w:themeTint="BF"/>
    </w:rPr>
  </w:style>
  <w:style w:type="paragraph" w:styleId="ListParagraph">
    <w:name w:val="List Paragraph"/>
    <w:basedOn w:val="Normal"/>
    <w:uiPriority w:val="34"/>
    <w:qFormat/>
    <w:rsid w:val="00006EAB"/>
    <w:pPr>
      <w:ind w:left="720"/>
      <w:contextualSpacing/>
    </w:pPr>
  </w:style>
  <w:style w:type="character" w:styleId="IntenseEmphasis">
    <w:name w:val="Intense Emphasis"/>
    <w:basedOn w:val="DefaultParagraphFont"/>
    <w:uiPriority w:val="21"/>
    <w:qFormat/>
    <w:rsid w:val="00006EAB"/>
    <w:rPr>
      <w:i/>
      <w:iCs/>
      <w:color w:val="0F4761" w:themeColor="accent1" w:themeShade="BF"/>
    </w:rPr>
  </w:style>
  <w:style w:type="paragraph" w:styleId="IntenseQuote">
    <w:name w:val="Intense Quote"/>
    <w:basedOn w:val="Normal"/>
    <w:next w:val="Normal"/>
    <w:link w:val="IntenseQuoteChar"/>
    <w:uiPriority w:val="30"/>
    <w:qFormat/>
    <w:rsid w:val="00006E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6EAB"/>
    <w:rPr>
      <w:i/>
      <w:iCs/>
      <w:color w:val="0F4761" w:themeColor="accent1" w:themeShade="BF"/>
    </w:rPr>
  </w:style>
  <w:style w:type="character" w:styleId="IntenseReference">
    <w:name w:val="Intense Reference"/>
    <w:basedOn w:val="DefaultParagraphFont"/>
    <w:uiPriority w:val="32"/>
    <w:qFormat/>
    <w:rsid w:val="00006EAB"/>
    <w:rPr>
      <w:b/>
      <w:bCs/>
      <w:smallCaps/>
      <w:color w:val="0F4761" w:themeColor="accent1" w:themeShade="BF"/>
      <w:spacing w:val="5"/>
    </w:rPr>
  </w:style>
  <w:style w:type="paragraph" w:styleId="NormalWeb">
    <w:name w:val="Normal (Web)"/>
    <w:basedOn w:val="Normal"/>
    <w:uiPriority w:val="99"/>
    <w:semiHidden/>
    <w:unhideWhenUsed/>
    <w:rsid w:val="00E6536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6536E"/>
  </w:style>
  <w:style w:type="character" w:styleId="Emphasis">
    <w:name w:val="Emphasis"/>
    <w:basedOn w:val="DefaultParagraphFont"/>
    <w:uiPriority w:val="20"/>
    <w:qFormat/>
    <w:rsid w:val="00E6536E"/>
    <w:rPr>
      <w:i/>
      <w:iCs/>
    </w:rPr>
  </w:style>
  <w:style w:type="character" w:customStyle="1" w:styleId="overflow-hidden">
    <w:name w:val="overflow-hidden"/>
    <w:basedOn w:val="DefaultParagraphFont"/>
    <w:rsid w:val="00E6536E"/>
  </w:style>
  <w:style w:type="character" w:styleId="Hyperlink">
    <w:name w:val="Hyperlink"/>
    <w:basedOn w:val="DefaultParagraphFont"/>
    <w:uiPriority w:val="99"/>
    <w:unhideWhenUsed/>
    <w:rsid w:val="00DC62A3"/>
    <w:rPr>
      <w:color w:val="467886" w:themeColor="hyperlink"/>
      <w:u w:val="single"/>
    </w:rPr>
  </w:style>
  <w:style w:type="character" w:styleId="UnresolvedMention">
    <w:name w:val="Unresolved Mention"/>
    <w:basedOn w:val="DefaultParagraphFont"/>
    <w:uiPriority w:val="99"/>
    <w:semiHidden/>
    <w:unhideWhenUsed/>
    <w:rsid w:val="00DC62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61374">
      <w:bodyDiv w:val="1"/>
      <w:marLeft w:val="0"/>
      <w:marRight w:val="0"/>
      <w:marTop w:val="0"/>
      <w:marBottom w:val="0"/>
      <w:divBdr>
        <w:top w:val="none" w:sz="0" w:space="0" w:color="auto"/>
        <w:left w:val="none" w:sz="0" w:space="0" w:color="auto"/>
        <w:bottom w:val="none" w:sz="0" w:space="0" w:color="auto"/>
        <w:right w:val="none" w:sz="0" w:space="0" w:color="auto"/>
      </w:divBdr>
      <w:divsChild>
        <w:div w:id="257249507">
          <w:marLeft w:val="0"/>
          <w:marRight w:val="0"/>
          <w:marTop w:val="0"/>
          <w:marBottom w:val="0"/>
          <w:divBdr>
            <w:top w:val="none" w:sz="0" w:space="0" w:color="auto"/>
            <w:left w:val="none" w:sz="0" w:space="0" w:color="auto"/>
            <w:bottom w:val="none" w:sz="0" w:space="0" w:color="auto"/>
            <w:right w:val="none" w:sz="0" w:space="0" w:color="auto"/>
          </w:divBdr>
          <w:divsChild>
            <w:div w:id="1189903602">
              <w:marLeft w:val="0"/>
              <w:marRight w:val="0"/>
              <w:marTop w:val="0"/>
              <w:marBottom w:val="0"/>
              <w:divBdr>
                <w:top w:val="none" w:sz="0" w:space="0" w:color="auto"/>
                <w:left w:val="none" w:sz="0" w:space="0" w:color="auto"/>
                <w:bottom w:val="none" w:sz="0" w:space="0" w:color="auto"/>
                <w:right w:val="none" w:sz="0" w:space="0" w:color="auto"/>
              </w:divBdr>
              <w:divsChild>
                <w:div w:id="1581407037">
                  <w:marLeft w:val="0"/>
                  <w:marRight w:val="0"/>
                  <w:marTop w:val="0"/>
                  <w:marBottom w:val="0"/>
                  <w:divBdr>
                    <w:top w:val="none" w:sz="0" w:space="0" w:color="auto"/>
                    <w:left w:val="none" w:sz="0" w:space="0" w:color="auto"/>
                    <w:bottom w:val="none" w:sz="0" w:space="0" w:color="auto"/>
                    <w:right w:val="none" w:sz="0" w:space="0" w:color="auto"/>
                  </w:divBdr>
                  <w:divsChild>
                    <w:div w:id="99052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253248">
          <w:marLeft w:val="0"/>
          <w:marRight w:val="0"/>
          <w:marTop w:val="0"/>
          <w:marBottom w:val="0"/>
          <w:divBdr>
            <w:top w:val="none" w:sz="0" w:space="0" w:color="auto"/>
            <w:left w:val="none" w:sz="0" w:space="0" w:color="auto"/>
            <w:bottom w:val="none" w:sz="0" w:space="0" w:color="auto"/>
            <w:right w:val="none" w:sz="0" w:space="0" w:color="auto"/>
          </w:divBdr>
          <w:divsChild>
            <w:div w:id="2112040629">
              <w:marLeft w:val="0"/>
              <w:marRight w:val="0"/>
              <w:marTop w:val="0"/>
              <w:marBottom w:val="0"/>
              <w:divBdr>
                <w:top w:val="none" w:sz="0" w:space="0" w:color="auto"/>
                <w:left w:val="none" w:sz="0" w:space="0" w:color="auto"/>
                <w:bottom w:val="none" w:sz="0" w:space="0" w:color="auto"/>
                <w:right w:val="none" w:sz="0" w:space="0" w:color="auto"/>
              </w:divBdr>
              <w:divsChild>
                <w:div w:id="1239902946">
                  <w:marLeft w:val="0"/>
                  <w:marRight w:val="0"/>
                  <w:marTop w:val="0"/>
                  <w:marBottom w:val="0"/>
                  <w:divBdr>
                    <w:top w:val="none" w:sz="0" w:space="0" w:color="auto"/>
                    <w:left w:val="none" w:sz="0" w:space="0" w:color="auto"/>
                    <w:bottom w:val="none" w:sz="0" w:space="0" w:color="auto"/>
                    <w:right w:val="none" w:sz="0" w:space="0" w:color="auto"/>
                  </w:divBdr>
                  <w:divsChild>
                    <w:div w:id="60634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729961">
      <w:bodyDiv w:val="1"/>
      <w:marLeft w:val="0"/>
      <w:marRight w:val="0"/>
      <w:marTop w:val="0"/>
      <w:marBottom w:val="0"/>
      <w:divBdr>
        <w:top w:val="none" w:sz="0" w:space="0" w:color="auto"/>
        <w:left w:val="none" w:sz="0" w:space="0" w:color="auto"/>
        <w:bottom w:val="none" w:sz="0" w:space="0" w:color="auto"/>
        <w:right w:val="none" w:sz="0" w:space="0" w:color="auto"/>
      </w:divBdr>
    </w:div>
    <w:div w:id="250089103">
      <w:bodyDiv w:val="1"/>
      <w:marLeft w:val="0"/>
      <w:marRight w:val="0"/>
      <w:marTop w:val="0"/>
      <w:marBottom w:val="0"/>
      <w:divBdr>
        <w:top w:val="none" w:sz="0" w:space="0" w:color="auto"/>
        <w:left w:val="none" w:sz="0" w:space="0" w:color="auto"/>
        <w:bottom w:val="none" w:sz="0" w:space="0" w:color="auto"/>
        <w:right w:val="none" w:sz="0" w:space="0" w:color="auto"/>
      </w:divBdr>
    </w:div>
    <w:div w:id="825440043">
      <w:bodyDiv w:val="1"/>
      <w:marLeft w:val="0"/>
      <w:marRight w:val="0"/>
      <w:marTop w:val="0"/>
      <w:marBottom w:val="0"/>
      <w:divBdr>
        <w:top w:val="none" w:sz="0" w:space="0" w:color="auto"/>
        <w:left w:val="none" w:sz="0" w:space="0" w:color="auto"/>
        <w:bottom w:val="none" w:sz="0" w:space="0" w:color="auto"/>
        <w:right w:val="none" w:sz="0" w:space="0" w:color="auto"/>
      </w:divBdr>
      <w:divsChild>
        <w:div w:id="163402322">
          <w:marLeft w:val="0"/>
          <w:marRight w:val="0"/>
          <w:marTop w:val="0"/>
          <w:marBottom w:val="0"/>
          <w:divBdr>
            <w:top w:val="none" w:sz="0" w:space="0" w:color="auto"/>
            <w:left w:val="none" w:sz="0" w:space="0" w:color="auto"/>
            <w:bottom w:val="none" w:sz="0" w:space="0" w:color="auto"/>
            <w:right w:val="none" w:sz="0" w:space="0" w:color="auto"/>
          </w:divBdr>
          <w:divsChild>
            <w:div w:id="308754192">
              <w:marLeft w:val="0"/>
              <w:marRight w:val="0"/>
              <w:marTop w:val="0"/>
              <w:marBottom w:val="0"/>
              <w:divBdr>
                <w:top w:val="none" w:sz="0" w:space="0" w:color="auto"/>
                <w:left w:val="none" w:sz="0" w:space="0" w:color="auto"/>
                <w:bottom w:val="none" w:sz="0" w:space="0" w:color="auto"/>
                <w:right w:val="none" w:sz="0" w:space="0" w:color="auto"/>
              </w:divBdr>
              <w:divsChild>
                <w:div w:id="1143085248">
                  <w:marLeft w:val="0"/>
                  <w:marRight w:val="0"/>
                  <w:marTop w:val="0"/>
                  <w:marBottom w:val="0"/>
                  <w:divBdr>
                    <w:top w:val="none" w:sz="0" w:space="0" w:color="auto"/>
                    <w:left w:val="none" w:sz="0" w:space="0" w:color="auto"/>
                    <w:bottom w:val="none" w:sz="0" w:space="0" w:color="auto"/>
                    <w:right w:val="none" w:sz="0" w:space="0" w:color="auto"/>
                  </w:divBdr>
                  <w:divsChild>
                    <w:div w:id="37173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295068">
          <w:marLeft w:val="0"/>
          <w:marRight w:val="0"/>
          <w:marTop w:val="0"/>
          <w:marBottom w:val="0"/>
          <w:divBdr>
            <w:top w:val="none" w:sz="0" w:space="0" w:color="auto"/>
            <w:left w:val="none" w:sz="0" w:space="0" w:color="auto"/>
            <w:bottom w:val="none" w:sz="0" w:space="0" w:color="auto"/>
            <w:right w:val="none" w:sz="0" w:space="0" w:color="auto"/>
          </w:divBdr>
          <w:divsChild>
            <w:div w:id="935479473">
              <w:marLeft w:val="0"/>
              <w:marRight w:val="0"/>
              <w:marTop w:val="0"/>
              <w:marBottom w:val="0"/>
              <w:divBdr>
                <w:top w:val="none" w:sz="0" w:space="0" w:color="auto"/>
                <w:left w:val="none" w:sz="0" w:space="0" w:color="auto"/>
                <w:bottom w:val="none" w:sz="0" w:space="0" w:color="auto"/>
                <w:right w:val="none" w:sz="0" w:space="0" w:color="auto"/>
              </w:divBdr>
              <w:divsChild>
                <w:div w:id="379211042">
                  <w:marLeft w:val="0"/>
                  <w:marRight w:val="0"/>
                  <w:marTop w:val="0"/>
                  <w:marBottom w:val="0"/>
                  <w:divBdr>
                    <w:top w:val="none" w:sz="0" w:space="0" w:color="auto"/>
                    <w:left w:val="none" w:sz="0" w:space="0" w:color="auto"/>
                    <w:bottom w:val="none" w:sz="0" w:space="0" w:color="auto"/>
                    <w:right w:val="none" w:sz="0" w:space="0" w:color="auto"/>
                  </w:divBdr>
                  <w:divsChild>
                    <w:div w:id="998389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690668">
      <w:bodyDiv w:val="1"/>
      <w:marLeft w:val="0"/>
      <w:marRight w:val="0"/>
      <w:marTop w:val="0"/>
      <w:marBottom w:val="0"/>
      <w:divBdr>
        <w:top w:val="none" w:sz="0" w:space="0" w:color="auto"/>
        <w:left w:val="none" w:sz="0" w:space="0" w:color="auto"/>
        <w:bottom w:val="none" w:sz="0" w:space="0" w:color="auto"/>
        <w:right w:val="none" w:sz="0" w:space="0" w:color="auto"/>
      </w:divBdr>
    </w:div>
    <w:div w:id="1374579448">
      <w:bodyDiv w:val="1"/>
      <w:marLeft w:val="0"/>
      <w:marRight w:val="0"/>
      <w:marTop w:val="0"/>
      <w:marBottom w:val="0"/>
      <w:divBdr>
        <w:top w:val="none" w:sz="0" w:space="0" w:color="auto"/>
        <w:left w:val="none" w:sz="0" w:space="0" w:color="auto"/>
        <w:bottom w:val="none" w:sz="0" w:space="0" w:color="auto"/>
        <w:right w:val="none" w:sz="0" w:space="0" w:color="auto"/>
      </w:divBdr>
    </w:div>
    <w:div w:id="1703744814">
      <w:bodyDiv w:val="1"/>
      <w:marLeft w:val="0"/>
      <w:marRight w:val="0"/>
      <w:marTop w:val="0"/>
      <w:marBottom w:val="0"/>
      <w:divBdr>
        <w:top w:val="none" w:sz="0" w:space="0" w:color="auto"/>
        <w:left w:val="none" w:sz="0" w:space="0" w:color="auto"/>
        <w:bottom w:val="none" w:sz="0" w:space="0" w:color="auto"/>
        <w:right w:val="none" w:sz="0" w:space="0" w:color="auto"/>
      </w:divBdr>
    </w:div>
    <w:div w:id="1795824303">
      <w:bodyDiv w:val="1"/>
      <w:marLeft w:val="0"/>
      <w:marRight w:val="0"/>
      <w:marTop w:val="0"/>
      <w:marBottom w:val="0"/>
      <w:divBdr>
        <w:top w:val="none" w:sz="0" w:space="0" w:color="auto"/>
        <w:left w:val="none" w:sz="0" w:space="0" w:color="auto"/>
        <w:bottom w:val="none" w:sz="0" w:space="0" w:color="auto"/>
        <w:right w:val="none" w:sz="0" w:space="0" w:color="auto"/>
      </w:divBdr>
    </w:div>
    <w:div w:id="1920016573">
      <w:bodyDiv w:val="1"/>
      <w:marLeft w:val="0"/>
      <w:marRight w:val="0"/>
      <w:marTop w:val="0"/>
      <w:marBottom w:val="0"/>
      <w:divBdr>
        <w:top w:val="none" w:sz="0" w:space="0" w:color="auto"/>
        <w:left w:val="none" w:sz="0" w:space="0" w:color="auto"/>
        <w:bottom w:val="none" w:sz="0" w:space="0" w:color="auto"/>
        <w:right w:val="none" w:sz="0" w:space="0" w:color="auto"/>
      </w:divBdr>
    </w:div>
    <w:div w:id="2145806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3</Pages>
  <Words>964</Words>
  <Characters>5495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Davies</dc:creator>
  <cp:keywords/>
  <dc:description/>
  <cp:lastModifiedBy>Hannah Davies (2203436)</cp:lastModifiedBy>
  <cp:revision>6</cp:revision>
  <dcterms:created xsi:type="dcterms:W3CDTF">2024-10-22T12:52:00Z</dcterms:created>
  <dcterms:modified xsi:type="dcterms:W3CDTF">2024-10-22T13:59:00Z</dcterms:modified>
</cp:coreProperties>
</file>