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9345153"/>
        <w:docPartObj>
          <w:docPartGallery w:val="Cover Pages"/>
          <w:docPartUnique/>
        </w:docPartObj>
      </w:sdtPr>
      <w:sdtEndPr>
        <w:rPr>
          <w:sz w:val="40"/>
          <w:szCs w:val="40"/>
        </w:rPr>
      </w:sdtEndPr>
      <w:sdtContent>
        <w:p w14:paraId="251C9AE8" w14:textId="638C9C63" w:rsidR="005443DE" w:rsidRDefault="005443DE">
          <w:r>
            <w:rPr>
              <w:noProof/>
            </w:rPr>
            <mc:AlternateContent>
              <mc:Choice Requires="wpg">
                <w:drawing>
                  <wp:anchor distT="0" distB="0" distL="114300" distR="114300" simplePos="0" relativeHeight="251662336" behindDoc="0" locked="0" layoutInCell="1" allowOverlap="1" wp14:anchorId="556F7299" wp14:editId="2F8C39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D55ED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B39F9A0" wp14:editId="75F76A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9B198E" w14:textId="42CD14D6" w:rsidR="005443DE" w:rsidRDefault="00527567">
                                <w:pPr>
                                  <w:pStyle w:val="NoSpacing"/>
                                  <w:jc w:val="right"/>
                                  <w:rPr>
                                    <w:color w:val="595959" w:themeColor="text1" w:themeTint="A6"/>
                                    <w:sz w:val="20"/>
                                    <w:szCs w:val="20"/>
                                  </w:rPr>
                                </w:pPr>
                                <w:r>
                                  <w:rPr>
                                    <w:color w:val="595959" w:themeColor="text1" w:themeTint="A6"/>
                                    <w:sz w:val="20"/>
                                    <w:szCs w:val="20"/>
                                  </w:rPr>
                                  <w:t>LCHS4003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B39F9A0"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59B198E" w14:textId="42CD14D6" w:rsidR="005443DE" w:rsidRDefault="00527567">
                          <w:pPr>
                            <w:pStyle w:val="NoSpacing"/>
                            <w:jc w:val="right"/>
                            <w:rPr>
                              <w:color w:val="595959" w:themeColor="text1" w:themeTint="A6"/>
                              <w:sz w:val="20"/>
                              <w:szCs w:val="20"/>
                            </w:rPr>
                          </w:pPr>
                          <w:r>
                            <w:rPr>
                              <w:color w:val="595959" w:themeColor="text1" w:themeTint="A6"/>
                              <w:sz w:val="20"/>
                              <w:szCs w:val="20"/>
                            </w:rPr>
                            <w:t>LCHS4003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FC8E6B" wp14:editId="564FC64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A8AA34" w14:textId="7FE24526" w:rsidR="005443DE" w:rsidRDefault="005443D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3DC2">
                                      <w:rPr>
                                        <w:caps/>
                                        <w:color w:val="156082" w:themeColor="accent1"/>
                                        <w:sz w:val="64"/>
                                        <w:szCs w:val="64"/>
                                      </w:rPr>
                                      <w:t xml:space="preserve">Report on Mrs Thompson’s Case </w:t>
                                    </w:r>
                                    <w:r w:rsidR="00202496">
                                      <w:rPr>
                                        <w:caps/>
                                        <w:color w:val="156082" w:themeColor="accent1"/>
                                        <w:sz w:val="64"/>
                                        <w:szCs w:val="64"/>
                                      </w:rPr>
                                      <w:t>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9649D0" w14:textId="76706453" w:rsidR="005443DE" w:rsidRDefault="00202496">
                                    <w:pPr>
                                      <w:jc w:val="right"/>
                                      <w:rPr>
                                        <w:smallCaps/>
                                        <w:color w:val="404040" w:themeColor="text1" w:themeTint="BF"/>
                                        <w:sz w:val="36"/>
                                        <w:szCs w:val="36"/>
                                      </w:rPr>
                                    </w:pPr>
                                    <w:r>
                                      <w:rPr>
                                        <w:color w:val="404040" w:themeColor="text1" w:themeTint="BF"/>
                                        <w:sz w:val="36"/>
                                        <w:szCs w:val="36"/>
                                      </w:rPr>
                                      <w:t>Introduction to Public Health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FC8E6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0A8AA34" w14:textId="7FE24526" w:rsidR="005443DE" w:rsidRDefault="005443D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3DC2">
                                <w:rPr>
                                  <w:caps/>
                                  <w:color w:val="156082" w:themeColor="accent1"/>
                                  <w:sz w:val="64"/>
                                  <w:szCs w:val="64"/>
                                </w:rPr>
                                <w:t xml:space="preserve">Report on Mrs Thompson’s Case </w:t>
                              </w:r>
                              <w:r w:rsidR="00202496">
                                <w:rPr>
                                  <w:caps/>
                                  <w:color w:val="156082" w:themeColor="accent1"/>
                                  <w:sz w:val="64"/>
                                  <w:szCs w:val="64"/>
                                </w:rPr>
                                <w:t>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9649D0" w14:textId="76706453" w:rsidR="005443DE" w:rsidRDefault="00202496">
                              <w:pPr>
                                <w:jc w:val="right"/>
                                <w:rPr>
                                  <w:smallCaps/>
                                  <w:color w:val="404040" w:themeColor="text1" w:themeTint="BF"/>
                                  <w:sz w:val="36"/>
                                  <w:szCs w:val="36"/>
                                </w:rPr>
                              </w:pPr>
                              <w:r>
                                <w:rPr>
                                  <w:color w:val="404040" w:themeColor="text1" w:themeTint="BF"/>
                                  <w:sz w:val="36"/>
                                  <w:szCs w:val="36"/>
                                </w:rPr>
                                <w:t>Introduction to Public Health</w:t>
                              </w:r>
                            </w:p>
                          </w:sdtContent>
                        </w:sdt>
                      </w:txbxContent>
                    </v:textbox>
                    <w10:wrap type="square" anchorx="page" anchory="page"/>
                  </v:shape>
                </w:pict>
              </mc:Fallback>
            </mc:AlternateContent>
          </w:r>
        </w:p>
        <w:p w14:paraId="6CA04E3E" w14:textId="245878A7" w:rsidR="005443DE" w:rsidRDefault="00E604A2">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60288" behindDoc="0" locked="0" layoutInCell="1" allowOverlap="1" wp14:anchorId="31959F4B" wp14:editId="073E8A78">
                    <wp:simplePos x="0" y="0"/>
                    <wp:positionH relativeFrom="page">
                      <wp:posOffset>222738</wp:posOffset>
                    </wp:positionH>
                    <wp:positionV relativeFrom="page">
                      <wp:posOffset>8745415</wp:posOffset>
                    </wp:positionV>
                    <wp:extent cx="7104185" cy="398585"/>
                    <wp:effectExtent l="0" t="0" r="0" b="1905"/>
                    <wp:wrapSquare wrapText="bothSides"/>
                    <wp:docPr id="152" name="Text Box 159"/>
                    <wp:cNvGraphicFramePr/>
                    <a:graphic xmlns:a="http://schemas.openxmlformats.org/drawingml/2006/main">
                      <a:graphicData uri="http://schemas.microsoft.com/office/word/2010/wordprocessingShape">
                        <wps:wsp>
                          <wps:cNvSpPr txBox="1"/>
                          <wps:spPr>
                            <a:xfrm>
                              <a:off x="0" y="0"/>
                              <a:ext cx="7104185" cy="3985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9CDDBC" w14:textId="6282B294" w:rsidR="005443DE" w:rsidRDefault="005443DE">
                                    <w:pPr>
                                      <w:pStyle w:val="NoSpacing"/>
                                      <w:jc w:val="right"/>
                                      <w:rPr>
                                        <w:color w:val="595959" w:themeColor="text1" w:themeTint="A6"/>
                                        <w:sz w:val="28"/>
                                        <w:szCs w:val="28"/>
                                      </w:rPr>
                                    </w:pPr>
                                    <w:r>
                                      <w:rPr>
                                        <w:color w:val="595959" w:themeColor="text1" w:themeTint="A6"/>
                                        <w:sz w:val="28"/>
                                        <w:szCs w:val="28"/>
                                      </w:rPr>
                                      <w:t>Sobia Zafar</w:t>
                                    </w:r>
                                    <w:r w:rsidR="00527567">
                                      <w:rPr>
                                        <w:color w:val="595959" w:themeColor="text1" w:themeTint="A6"/>
                                        <w:sz w:val="28"/>
                                        <w:szCs w:val="28"/>
                                      </w:rPr>
                                      <w:t xml:space="preserve">    </w:t>
                                    </w:r>
                                    <w:r w:rsidR="00E604A2">
                                      <w:rPr>
                                        <w:color w:val="595959" w:themeColor="text1" w:themeTint="A6"/>
                                        <w:sz w:val="28"/>
                                        <w:szCs w:val="28"/>
                                      </w:rPr>
                                      <w:t>2522561</w:t>
                                    </w:r>
                                  </w:p>
                                </w:sdtContent>
                              </w:sdt>
                              <w:p w14:paraId="3DF33B48" w14:textId="614C94A3" w:rsidR="005443DE" w:rsidRDefault="005443DE" w:rsidP="0058518C">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8518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959F4B" id="Text Box 159" o:spid="_x0000_s1028" type="#_x0000_t202" style="position:absolute;margin-left:17.55pt;margin-top:688.6pt;width:559.4pt;height:31.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9CDDBC" w14:textId="6282B294" w:rsidR="005443DE" w:rsidRDefault="005443DE">
                              <w:pPr>
                                <w:pStyle w:val="NoSpacing"/>
                                <w:jc w:val="right"/>
                                <w:rPr>
                                  <w:color w:val="595959" w:themeColor="text1" w:themeTint="A6"/>
                                  <w:sz w:val="28"/>
                                  <w:szCs w:val="28"/>
                                </w:rPr>
                              </w:pPr>
                              <w:r>
                                <w:rPr>
                                  <w:color w:val="595959" w:themeColor="text1" w:themeTint="A6"/>
                                  <w:sz w:val="28"/>
                                  <w:szCs w:val="28"/>
                                </w:rPr>
                                <w:t>Sobia Zafar</w:t>
                              </w:r>
                              <w:r w:rsidR="00527567">
                                <w:rPr>
                                  <w:color w:val="595959" w:themeColor="text1" w:themeTint="A6"/>
                                  <w:sz w:val="28"/>
                                  <w:szCs w:val="28"/>
                                </w:rPr>
                                <w:t xml:space="preserve">    </w:t>
                              </w:r>
                              <w:r w:rsidR="00E604A2">
                                <w:rPr>
                                  <w:color w:val="595959" w:themeColor="text1" w:themeTint="A6"/>
                                  <w:sz w:val="28"/>
                                  <w:szCs w:val="28"/>
                                </w:rPr>
                                <w:t>2522561</w:t>
                              </w:r>
                            </w:p>
                          </w:sdtContent>
                        </w:sdt>
                        <w:p w14:paraId="3DF33B48" w14:textId="614C94A3" w:rsidR="005443DE" w:rsidRDefault="005443DE" w:rsidP="0058518C">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8518C">
                                <w:rPr>
                                  <w:color w:val="595959" w:themeColor="text1" w:themeTint="A6"/>
                                  <w:sz w:val="18"/>
                                  <w:szCs w:val="18"/>
                                </w:rPr>
                                <w:t xml:space="preserve">     </w:t>
                              </w:r>
                            </w:sdtContent>
                          </w:sdt>
                        </w:p>
                      </w:txbxContent>
                    </v:textbox>
                    <w10:wrap type="square" anchorx="page" anchory="page"/>
                  </v:shape>
                </w:pict>
              </mc:Fallback>
            </mc:AlternateContent>
          </w:r>
          <w:r w:rsidR="005443DE">
            <w:rPr>
              <w:sz w:val="40"/>
              <w:szCs w:val="40"/>
            </w:rPr>
            <w:br w:type="page"/>
          </w:r>
        </w:p>
      </w:sdtContent>
    </w:sdt>
    <w:sdt>
      <w:sdtPr>
        <w:rPr>
          <w:rFonts w:asciiTheme="minorHAnsi" w:eastAsiaTheme="minorHAnsi" w:hAnsiTheme="minorHAnsi" w:cstheme="minorBidi"/>
          <w:color w:val="auto"/>
          <w:kern w:val="2"/>
          <w:sz w:val="24"/>
          <w:szCs w:val="24"/>
          <w:lang w:val="en-GB"/>
          <w14:ligatures w14:val="standardContextual"/>
        </w:rPr>
        <w:id w:val="-1443142262"/>
        <w:docPartObj>
          <w:docPartGallery w:val="Table of Contents"/>
          <w:docPartUnique/>
        </w:docPartObj>
      </w:sdtPr>
      <w:sdtEndPr>
        <w:rPr>
          <w:b/>
          <w:bCs/>
          <w:noProof/>
        </w:rPr>
      </w:sdtEndPr>
      <w:sdtContent>
        <w:p w14:paraId="24470C56" w14:textId="2E256BAB" w:rsidR="003F0ADF" w:rsidRPr="008B1A5B" w:rsidRDefault="004C2914" w:rsidP="008B1A5B">
          <w:pPr>
            <w:pStyle w:val="TOCHeading"/>
          </w:pPr>
          <w:r>
            <w:t xml:space="preserve"> </w:t>
          </w:r>
          <w:r w:rsidR="003F0ADF">
            <w:t>Contents</w:t>
          </w:r>
        </w:p>
        <w:p w14:paraId="7E477028" w14:textId="1DE44405" w:rsidR="003F0ADF" w:rsidRDefault="003F0A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678683" w:history="1">
            <w:r w:rsidRPr="00D86AAD">
              <w:rPr>
                <w:rStyle w:val="Hyperlink"/>
                <w:noProof/>
              </w:rPr>
              <w:t>Introduction</w:t>
            </w:r>
            <w:r>
              <w:rPr>
                <w:noProof/>
                <w:webHidden/>
              </w:rPr>
              <w:tab/>
            </w:r>
            <w:r>
              <w:rPr>
                <w:noProof/>
                <w:webHidden/>
              </w:rPr>
              <w:fldChar w:fldCharType="begin"/>
            </w:r>
            <w:r>
              <w:rPr>
                <w:noProof/>
                <w:webHidden/>
              </w:rPr>
              <w:instrText xml:space="preserve"> PAGEREF _Toc234678683 \h </w:instrText>
            </w:r>
            <w:r>
              <w:rPr>
                <w:noProof/>
                <w:webHidden/>
              </w:rPr>
            </w:r>
            <w:r>
              <w:rPr>
                <w:noProof/>
                <w:webHidden/>
              </w:rPr>
              <w:fldChar w:fldCharType="separate"/>
            </w:r>
            <w:r>
              <w:rPr>
                <w:noProof/>
                <w:webHidden/>
              </w:rPr>
              <w:t>1</w:t>
            </w:r>
            <w:r>
              <w:rPr>
                <w:noProof/>
                <w:webHidden/>
              </w:rPr>
              <w:fldChar w:fldCharType="end"/>
            </w:r>
          </w:hyperlink>
        </w:p>
        <w:p w14:paraId="15A6B016" w14:textId="2D3D0316" w:rsidR="003F0ADF" w:rsidRDefault="003F0ADF">
          <w:pPr>
            <w:pStyle w:val="TOC1"/>
            <w:tabs>
              <w:tab w:val="right" w:leader="dot" w:pos="9016"/>
            </w:tabs>
            <w:rPr>
              <w:rFonts w:eastAsiaTheme="minorEastAsia"/>
              <w:noProof/>
              <w:lang w:eastAsia="en-GB"/>
            </w:rPr>
          </w:pPr>
          <w:hyperlink w:anchor="_Toc234678684" w:history="1">
            <w:r w:rsidRPr="00D86AAD">
              <w:rPr>
                <w:rStyle w:val="Hyperlink"/>
                <w:noProof/>
              </w:rPr>
              <w:t>1. The Importance of Effective Communication</w:t>
            </w:r>
            <w:r>
              <w:rPr>
                <w:noProof/>
                <w:webHidden/>
              </w:rPr>
              <w:tab/>
            </w:r>
            <w:r>
              <w:rPr>
                <w:noProof/>
                <w:webHidden/>
              </w:rPr>
              <w:fldChar w:fldCharType="begin"/>
            </w:r>
            <w:r>
              <w:rPr>
                <w:noProof/>
                <w:webHidden/>
              </w:rPr>
              <w:instrText xml:space="preserve"> PAGEREF _Toc234678684 \h </w:instrText>
            </w:r>
            <w:r>
              <w:rPr>
                <w:noProof/>
                <w:webHidden/>
              </w:rPr>
            </w:r>
            <w:r>
              <w:rPr>
                <w:noProof/>
                <w:webHidden/>
              </w:rPr>
              <w:fldChar w:fldCharType="separate"/>
            </w:r>
            <w:r>
              <w:rPr>
                <w:noProof/>
                <w:webHidden/>
              </w:rPr>
              <w:t>2</w:t>
            </w:r>
            <w:r>
              <w:rPr>
                <w:noProof/>
                <w:webHidden/>
              </w:rPr>
              <w:fldChar w:fldCharType="end"/>
            </w:r>
          </w:hyperlink>
        </w:p>
        <w:p w14:paraId="36BDF1B7" w14:textId="1F706E0A" w:rsidR="003F0ADF" w:rsidRDefault="003F0ADF">
          <w:pPr>
            <w:pStyle w:val="TOC1"/>
            <w:tabs>
              <w:tab w:val="right" w:leader="dot" w:pos="9016"/>
            </w:tabs>
            <w:rPr>
              <w:rFonts w:eastAsiaTheme="minorEastAsia"/>
              <w:noProof/>
              <w:lang w:eastAsia="en-GB"/>
            </w:rPr>
          </w:pPr>
          <w:hyperlink w:anchor="_Toc234678685" w:history="1">
            <w:r w:rsidRPr="00D86AAD">
              <w:rPr>
                <w:rStyle w:val="Hyperlink"/>
                <w:noProof/>
              </w:rPr>
              <w:t>Shannon and Weaver Communication Model (1948)</w:t>
            </w:r>
            <w:r>
              <w:rPr>
                <w:noProof/>
                <w:webHidden/>
              </w:rPr>
              <w:tab/>
            </w:r>
            <w:r>
              <w:rPr>
                <w:noProof/>
                <w:webHidden/>
              </w:rPr>
              <w:fldChar w:fldCharType="begin"/>
            </w:r>
            <w:r>
              <w:rPr>
                <w:noProof/>
                <w:webHidden/>
              </w:rPr>
              <w:instrText xml:space="preserve"> PAGEREF _Toc234678685 \h </w:instrText>
            </w:r>
            <w:r>
              <w:rPr>
                <w:noProof/>
                <w:webHidden/>
              </w:rPr>
            </w:r>
            <w:r>
              <w:rPr>
                <w:noProof/>
                <w:webHidden/>
              </w:rPr>
              <w:fldChar w:fldCharType="separate"/>
            </w:r>
            <w:r>
              <w:rPr>
                <w:noProof/>
                <w:webHidden/>
              </w:rPr>
              <w:t>3</w:t>
            </w:r>
            <w:r>
              <w:rPr>
                <w:noProof/>
                <w:webHidden/>
              </w:rPr>
              <w:fldChar w:fldCharType="end"/>
            </w:r>
          </w:hyperlink>
        </w:p>
        <w:p w14:paraId="2FEEDC63" w14:textId="515E39C5" w:rsidR="003F0ADF" w:rsidRDefault="003F0ADF">
          <w:pPr>
            <w:pStyle w:val="TOC1"/>
            <w:tabs>
              <w:tab w:val="right" w:leader="dot" w:pos="9016"/>
            </w:tabs>
            <w:rPr>
              <w:rFonts w:eastAsiaTheme="minorEastAsia"/>
              <w:noProof/>
              <w:lang w:eastAsia="en-GB"/>
            </w:rPr>
          </w:pPr>
          <w:hyperlink w:anchor="_Toc234678686" w:history="1">
            <w:r w:rsidRPr="00D86AAD">
              <w:rPr>
                <w:rStyle w:val="Hyperlink"/>
                <w:noProof/>
              </w:rPr>
              <w:t>Components of the Model</w:t>
            </w:r>
            <w:r>
              <w:rPr>
                <w:noProof/>
                <w:webHidden/>
              </w:rPr>
              <w:tab/>
            </w:r>
            <w:r>
              <w:rPr>
                <w:noProof/>
                <w:webHidden/>
              </w:rPr>
              <w:fldChar w:fldCharType="begin"/>
            </w:r>
            <w:r>
              <w:rPr>
                <w:noProof/>
                <w:webHidden/>
              </w:rPr>
              <w:instrText xml:space="preserve"> PAGEREF _Toc234678686 \h </w:instrText>
            </w:r>
            <w:r>
              <w:rPr>
                <w:noProof/>
                <w:webHidden/>
              </w:rPr>
            </w:r>
            <w:r>
              <w:rPr>
                <w:noProof/>
                <w:webHidden/>
              </w:rPr>
              <w:fldChar w:fldCharType="separate"/>
            </w:r>
            <w:r>
              <w:rPr>
                <w:noProof/>
                <w:webHidden/>
              </w:rPr>
              <w:t>3</w:t>
            </w:r>
            <w:r>
              <w:rPr>
                <w:noProof/>
                <w:webHidden/>
              </w:rPr>
              <w:fldChar w:fldCharType="end"/>
            </w:r>
          </w:hyperlink>
        </w:p>
        <w:p w14:paraId="798992CF" w14:textId="3D03F2F4" w:rsidR="003F0ADF" w:rsidRDefault="003F0ADF">
          <w:pPr>
            <w:pStyle w:val="TOC1"/>
            <w:tabs>
              <w:tab w:val="right" w:leader="dot" w:pos="9016"/>
            </w:tabs>
            <w:rPr>
              <w:rFonts w:eastAsiaTheme="minorEastAsia"/>
              <w:noProof/>
              <w:lang w:eastAsia="en-GB"/>
            </w:rPr>
          </w:pPr>
          <w:hyperlink w:anchor="_Toc234678687" w:history="1">
            <w:r w:rsidRPr="00D86AAD">
              <w:rPr>
                <w:rStyle w:val="Hyperlink"/>
                <w:noProof/>
              </w:rPr>
              <w:t>2. The Importance of Good Administrative Skills</w:t>
            </w:r>
            <w:r>
              <w:rPr>
                <w:noProof/>
                <w:webHidden/>
              </w:rPr>
              <w:tab/>
            </w:r>
            <w:r>
              <w:rPr>
                <w:noProof/>
                <w:webHidden/>
              </w:rPr>
              <w:fldChar w:fldCharType="begin"/>
            </w:r>
            <w:r>
              <w:rPr>
                <w:noProof/>
                <w:webHidden/>
              </w:rPr>
              <w:instrText xml:space="preserve"> PAGEREF _Toc234678687 \h </w:instrText>
            </w:r>
            <w:r>
              <w:rPr>
                <w:noProof/>
                <w:webHidden/>
              </w:rPr>
            </w:r>
            <w:r>
              <w:rPr>
                <w:noProof/>
                <w:webHidden/>
              </w:rPr>
              <w:fldChar w:fldCharType="separate"/>
            </w:r>
            <w:r>
              <w:rPr>
                <w:noProof/>
                <w:webHidden/>
              </w:rPr>
              <w:t>3</w:t>
            </w:r>
            <w:r>
              <w:rPr>
                <w:noProof/>
                <w:webHidden/>
              </w:rPr>
              <w:fldChar w:fldCharType="end"/>
            </w:r>
          </w:hyperlink>
        </w:p>
        <w:p w14:paraId="2DD20F07" w14:textId="32D3B5DF" w:rsidR="003F0ADF" w:rsidRDefault="003F0ADF">
          <w:pPr>
            <w:pStyle w:val="TOC1"/>
            <w:tabs>
              <w:tab w:val="right" w:leader="dot" w:pos="9016"/>
            </w:tabs>
            <w:rPr>
              <w:rFonts w:eastAsiaTheme="minorEastAsia"/>
              <w:noProof/>
              <w:lang w:eastAsia="en-GB"/>
            </w:rPr>
          </w:pPr>
          <w:hyperlink w:anchor="_Toc234678688" w:history="1">
            <w:r w:rsidRPr="00D86AAD">
              <w:rPr>
                <w:rStyle w:val="Hyperlink"/>
                <w:noProof/>
              </w:rPr>
              <w:t>3. Collaborative Working</w:t>
            </w:r>
            <w:r>
              <w:rPr>
                <w:noProof/>
                <w:webHidden/>
              </w:rPr>
              <w:tab/>
            </w:r>
            <w:r>
              <w:rPr>
                <w:noProof/>
                <w:webHidden/>
              </w:rPr>
              <w:fldChar w:fldCharType="begin"/>
            </w:r>
            <w:r>
              <w:rPr>
                <w:noProof/>
                <w:webHidden/>
              </w:rPr>
              <w:instrText xml:space="preserve"> PAGEREF _Toc234678688 \h </w:instrText>
            </w:r>
            <w:r>
              <w:rPr>
                <w:noProof/>
                <w:webHidden/>
              </w:rPr>
            </w:r>
            <w:r>
              <w:rPr>
                <w:noProof/>
                <w:webHidden/>
              </w:rPr>
              <w:fldChar w:fldCharType="separate"/>
            </w:r>
            <w:r>
              <w:rPr>
                <w:noProof/>
                <w:webHidden/>
              </w:rPr>
              <w:t>5</w:t>
            </w:r>
            <w:r>
              <w:rPr>
                <w:noProof/>
                <w:webHidden/>
              </w:rPr>
              <w:fldChar w:fldCharType="end"/>
            </w:r>
          </w:hyperlink>
        </w:p>
        <w:p w14:paraId="6E9754E2" w14:textId="18AF10B7" w:rsidR="003F0ADF" w:rsidRDefault="003F0ADF">
          <w:pPr>
            <w:pStyle w:val="TOC1"/>
            <w:tabs>
              <w:tab w:val="right" w:leader="dot" w:pos="9016"/>
            </w:tabs>
            <w:rPr>
              <w:rFonts w:eastAsiaTheme="minorEastAsia"/>
              <w:noProof/>
              <w:lang w:eastAsia="en-GB"/>
            </w:rPr>
          </w:pPr>
          <w:hyperlink w:anchor="_Toc234678689" w:history="1">
            <w:r w:rsidRPr="00D86AAD">
              <w:rPr>
                <w:rStyle w:val="Hyperlink"/>
                <w:noProof/>
              </w:rPr>
              <w:t>Conclusion</w:t>
            </w:r>
            <w:r>
              <w:rPr>
                <w:noProof/>
                <w:webHidden/>
              </w:rPr>
              <w:tab/>
            </w:r>
            <w:r>
              <w:rPr>
                <w:noProof/>
                <w:webHidden/>
              </w:rPr>
              <w:fldChar w:fldCharType="begin"/>
            </w:r>
            <w:r>
              <w:rPr>
                <w:noProof/>
                <w:webHidden/>
              </w:rPr>
              <w:instrText xml:space="preserve"> PAGEREF _Toc234678689 \h </w:instrText>
            </w:r>
            <w:r>
              <w:rPr>
                <w:noProof/>
                <w:webHidden/>
              </w:rPr>
            </w:r>
            <w:r>
              <w:rPr>
                <w:noProof/>
                <w:webHidden/>
              </w:rPr>
              <w:fldChar w:fldCharType="separate"/>
            </w:r>
            <w:r>
              <w:rPr>
                <w:noProof/>
                <w:webHidden/>
              </w:rPr>
              <w:t>6</w:t>
            </w:r>
            <w:r>
              <w:rPr>
                <w:noProof/>
                <w:webHidden/>
              </w:rPr>
              <w:fldChar w:fldCharType="end"/>
            </w:r>
          </w:hyperlink>
        </w:p>
        <w:p w14:paraId="3EA05E09" w14:textId="7FA7C465" w:rsidR="003F0ADF" w:rsidRDefault="003F0ADF">
          <w:pPr>
            <w:pStyle w:val="TOC1"/>
            <w:tabs>
              <w:tab w:val="right" w:leader="dot" w:pos="9016"/>
            </w:tabs>
            <w:rPr>
              <w:rFonts w:eastAsiaTheme="minorEastAsia"/>
              <w:noProof/>
              <w:lang w:eastAsia="en-GB"/>
            </w:rPr>
          </w:pPr>
          <w:hyperlink w:anchor="_Toc234678690" w:history="1">
            <w:r w:rsidRPr="00D86AAD">
              <w:rPr>
                <w:rStyle w:val="Hyperlink"/>
                <w:noProof/>
              </w:rPr>
              <w:t>References:</w:t>
            </w:r>
            <w:r>
              <w:rPr>
                <w:noProof/>
                <w:webHidden/>
              </w:rPr>
              <w:tab/>
            </w:r>
            <w:r>
              <w:rPr>
                <w:noProof/>
                <w:webHidden/>
              </w:rPr>
              <w:fldChar w:fldCharType="begin"/>
            </w:r>
            <w:r>
              <w:rPr>
                <w:noProof/>
                <w:webHidden/>
              </w:rPr>
              <w:instrText xml:space="preserve"> PAGEREF _Toc234678690 \h </w:instrText>
            </w:r>
            <w:r>
              <w:rPr>
                <w:noProof/>
                <w:webHidden/>
              </w:rPr>
            </w:r>
            <w:r>
              <w:rPr>
                <w:noProof/>
                <w:webHidden/>
              </w:rPr>
              <w:fldChar w:fldCharType="separate"/>
            </w:r>
            <w:r>
              <w:rPr>
                <w:noProof/>
                <w:webHidden/>
              </w:rPr>
              <w:t>7</w:t>
            </w:r>
            <w:r>
              <w:rPr>
                <w:noProof/>
                <w:webHidden/>
              </w:rPr>
              <w:fldChar w:fldCharType="end"/>
            </w:r>
          </w:hyperlink>
        </w:p>
        <w:p w14:paraId="54B11496" w14:textId="6226498E" w:rsidR="003F0ADF" w:rsidRDefault="003F0ADF">
          <w:r>
            <w:rPr>
              <w:b/>
              <w:bCs/>
              <w:noProof/>
            </w:rPr>
            <w:fldChar w:fldCharType="end"/>
          </w:r>
        </w:p>
      </w:sdtContent>
    </w:sdt>
    <w:p w14:paraId="1DCBD15E" w14:textId="77777777" w:rsidR="00BE5BBA" w:rsidRDefault="00BE5BBA" w:rsidP="004B6FD1">
      <w:pPr>
        <w:pStyle w:val="Heading1"/>
      </w:pPr>
    </w:p>
    <w:p w14:paraId="46D6E508" w14:textId="77777777" w:rsidR="003F0ADF" w:rsidRDefault="003F0ADF" w:rsidP="003F0ADF"/>
    <w:p w14:paraId="25947D09" w14:textId="77777777" w:rsidR="003F0ADF" w:rsidRDefault="003F0ADF" w:rsidP="003F0ADF"/>
    <w:p w14:paraId="5D56CE87" w14:textId="77777777" w:rsidR="003F0ADF" w:rsidRDefault="003F0ADF" w:rsidP="003F0ADF"/>
    <w:p w14:paraId="39662CC2" w14:textId="77777777" w:rsidR="003F0ADF" w:rsidRDefault="003F0ADF" w:rsidP="003F0ADF"/>
    <w:p w14:paraId="44783F76" w14:textId="77777777" w:rsidR="003F0ADF" w:rsidRDefault="003F0ADF" w:rsidP="003F0ADF"/>
    <w:p w14:paraId="74F22733" w14:textId="77777777" w:rsidR="003F0ADF" w:rsidRDefault="003F0ADF" w:rsidP="003F0ADF"/>
    <w:p w14:paraId="58D00CE1" w14:textId="77777777" w:rsidR="003F0ADF" w:rsidRDefault="003F0ADF" w:rsidP="003F0ADF"/>
    <w:p w14:paraId="511E7581" w14:textId="77777777" w:rsidR="003F0ADF" w:rsidRDefault="003F0ADF" w:rsidP="003F0ADF"/>
    <w:p w14:paraId="680CD21F" w14:textId="77777777" w:rsidR="003F0ADF" w:rsidRDefault="003F0ADF" w:rsidP="003F0ADF"/>
    <w:p w14:paraId="714CE552" w14:textId="77777777" w:rsidR="003F0ADF" w:rsidRDefault="003F0ADF" w:rsidP="003F0ADF"/>
    <w:p w14:paraId="5C447023" w14:textId="77777777" w:rsidR="003F0ADF" w:rsidRDefault="003F0ADF" w:rsidP="003F0ADF"/>
    <w:p w14:paraId="71B669B7" w14:textId="77777777" w:rsidR="003F0ADF" w:rsidRDefault="003F0ADF" w:rsidP="003F0ADF"/>
    <w:p w14:paraId="753E7EAE" w14:textId="77777777" w:rsidR="003F0ADF" w:rsidRDefault="003F0ADF" w:rsidP="003F0ADF"/>
    <w:p w14:paraId="38F17A9E" w14:textId="77777777" w:rsidR="003F0ADF" w:rsidRDefault="003F0ADF" w:rsidP="003F0ADF"/>
    <w:p w14:paraId="7F7D5439" w14:textId="77777777" w:rsidR="003F0ADF" w:rsidRPr="003F0ADF" w:rsidRDefault="003F0ADF" w:rsidP="003F0ADF"/>
    <w:p w14:paraId="4D31C6AD" w14:textId="5E442D95" w:rsidR="005165BA" w:rsidRPr="0057398D" w:rsidRDefault="005165BA" w:rsidP="004B6FD1">
      <w:pPr>
        <w:pStyle w:val="Heading1"/>
      </w:pPr>
      <w:bookmarkStart w:id="0" w:name="_Toc234678497"/>
      <w:bookmarkStart w:id="1" w:name="_Toc234678683"/>
      <w:r w:rsidRPr="0057398D">
        <w:lastRenderedPageBreak/>
        <w:t>Introduction</w:t>
      </w:r>
      <w:bookmarkEnd w:id="0"/>
      <w:bookmarkEnd w:id="1"/>
    </w:p>
    <w:p w14:paraId="099FB55D" w14:textId="77777777" w:rsidR="005165BA" w:rsidRPr="00A26C67" w:rsidRDefault="005165BA" w:rsidP="005165BA">
      <w:pPr>
        <w:spacing w:line="360" w:lineRule="auto"/>
        <w:rPr>
          <w:rFonts w:ascii="Arial" w:hAnsi="Arial" w:cs="Arial"/>
          <w:sz w:val="22"/>
          <w:szCs w:val="22"/>
        </w:rPr>
      </w:pPr>
      <w:r w:rsidRPr="00A26C67">
        <w:rPr>
          <w:rFonts w:ascii="Arial" w:hAnsi="Arial" w:cs="Arial"/>
          <w:sz w:val="22"/>
          <w:szCs w:val="22"/>
        </w:rPr>
        <w:t>Health and social care professionals have a responsibility to deliver safe, person-centred care that promotes the wellbeing, dignity and independence of individuals (NICE, 2023). Effective communication, accurate administration and collaborative working are fundamental components of high-quality care, particularly for older adults with complex needs (Health and Care Professions Council (HCPC), 2023). Mrs Thompson, an 84-year-old woman recently discharged from hospital following pneumonia, presents several challenges that require coordinated support. She lives alone in sheltered housing, receives domiciliary care twice daily and has mild dementia, which affects her ability to remember medication. Recent incidents, including missed medication resulting in increased confusion and being found outdoors without appropriate clothing, highlight the need for effective communication, accurate record keeping and multi-agency collaboration. This report discusses the importance of communication with Mrs Thompson and her family, explores professional administrative responsibilities including record keeping and data protection, and examines collaborative approaches between health and social care professionals to improve outcomes and reduce future risks.</w:t>
      </w:r>
    </w:p>
    <w:p w14:paraId="4EFD7472" w14:textId="4977E00E" w:rsidR="005165BA" w:rsidRPr="005165BA" w:rsidRDefault="005165BA" w:rsidP="005F2E4B">
      <w:pPr>
        <w:pStyle w:val="Heading1"/>
      </w:pPr>
    </w:p>
    <w:p w14:paraId="6C691413" w14:textId="77777777" w:rsidR="005165BA" w:rsidRPr="005165BA" w:rsidRDefault="005165BA" w:rsidP="005F2E4B">
      <w:pPr>
        <w:pStyle w:val="Heading1"/>
      </w:pPr>
      <w:bookmarkStart w:id="2" w:name="_Toc234678684"/>
      <w:r w:rsidRPr="005165BA">
        <w:t>1. The Importance of Effective Communication</w:t>
      </w:r>
      <w:bookmarkEnd w:id="2"/>
    </w:p>
    <w:p w14:paraId="163414DE" w14:textId="77777777" w:rsidR="005165BA" w:rsidRPr="00E1171C" w:rsidRDefault="005165BA" w:rsidP="005165BA">
      <w:pPr>
        <w:spacing w:line="360" w:lineRule="auto"/>
        <w:rPr>
          <w:rFonts w:ascii="Arial" w:hAnsi="Arial" w:cs="Arial"/>
          <w:sz w:val="22"/>
          <w:szCs w:val="22"/>
        </w:rPr>
      </w:pPr>
      <w:r w:rsidRPr="00E1171C">
        <w:rPr>
          <w:rFonts w:ascii="Arial" w:hAnsi="Arial" w:cs="Arial"/>
          <w:sz w:val="22"/>
          <w:szCs w:val="22"/>
        </w:rPr>
        <w:t>Effective communication is essential within health and social care because it promotes person-centred care, supports informed decision-making and helps maintain the safety and wellbeing of service users (NICE, 2023; Skills for Care, 2023). In Mrs Thompson's case, communication is especially important because mild dementia may affect her memory, understanding and ability to manage medication independently (Alzheimer's Society, 2023).</w:t>
      </w:r>
    </w:p>
    <w:p w14:paraId="671134C7" w14:textId="05381971" w:rsidR="005165BA" w:rsidRPr="00E1171C" w:rsidRDefault="005165BA" w:rsidP="005165BA">
      <w:pPr>
        <w:spacing w:line="360" w:lineRule="auto"/>
        <w:rPr>
          <w:rFonts w:ascii="Arial" w:hAnsi="Arial" w:cs="Arial"/>
          <w:sz w:val="22"/>
          <w:szCs w:val="22"/>
        </w:rPr>
      </w:pPr>
      <w:r w:rsidRPr="00E1171C">
        <w:rPr>
          <w:rFonts w:ascii="Arial" w:hAnsi="Arial" w:cs="Arial"/>
          <w:sz w:val="22"/>
          <w:szCs w:val="22"/>
        </w:rPr>
        <w:t xml:space="preserve">Professionals should communicate with Mrs Thompson using clear, simple and respectful language while allowing extra time for her to process information (NICE, 2018). Speaking slowly, maintaining eye contact and checking her understanding through open questions can help reduce confusion </w:t>
      </w:r>
      <w:r w:rsidR="005D7862">
        <w:rPr>
          <w:rFonts w:ascii="Arial" w:hAnsi="Arial" w:cs="Arial"/>
          <w:sz w:val="22"/>
          <w:szCs w:val="22"/>
        </w:rPr>
        <w:t xml:space="preserve">and </w:t>
      </w:r>
      <w:r w:rsidR="003A6127">
        <w:rPr>
          <w:rFonts w:ascii="Arial" w:hAnsi="Arial" w:cs="Arial"/>
          <w:sz w:val="22"/>
          <w:szCs w:val="22"/>
        </w:rPr>
        <w:t xml:space="preserve">language barriers </w:t>
      </w:r>
      <w:r w:rsidRPr="00E1171C">
        <w:rPr>
          <w:rFonts w:ascii="Arial" w:hAnsi="Arial" w:cs="Arial"/>
          <w:sz w:val="22"/>
          <w:szCs w:val="22"/>
        </w:rPr>
        <w:t>(Skills for Care, 2023). Written reminders, medication charts and visual prompts may also support her memory (Alzheimer's Society, 2023). Active listening is equally important, ensuring that Mrs Thompson feels respected and involved in decisions about her care (Egan, 2019). This reflects the principles of person-centred care outlined within the Care Act 2014.</w:t>
      </w:r>
    </w:p>
    <w:p w14:paraId="1A22B5F9" w14:textId="77777777" w:rsidR="005165BA" w:rsidRPr="005F6722" w:rsidRDefault="005165BA" w:rsidP="005165BA">
      <w:pPr>
        <w:spacing w:line="360" w:lineRule="auto"/>
        <w:rPr>
          <w:rFonts w:ascii="Arial" w:hAnsi="Arial" w:cs="Arial"/>
          <w:sz w:val="22"/>
          <w:szCs w:val="22"/>
        </w:rPr>
      </w:pPr>
      <w:r w:rsidRPr="005F6722">
        <w:rPr>
          <w:rFonts w:ascii="Arial" w:hAnsi="Arial" w:cs="Arial"/>
          <w:sz w:val="22"/>
          <w:szCs w:val="22"/>
        </w:rPr>
        <w:lastRenderedPageBreak/>
        <w:t>Communication with family members is equally significant. With Mrs Thompson's consent, or where it is in her best interests if she lacks capacity under the Mental Capacity Act 2005, professionals should share relevant information about her health, medication and support needs (Department of Health and Social Care, 2022). Family members often provide valuable information about changes in behaviour, routines and preferences that professionals may not observe during brief visits (SCIE, 2023). Regular meetings and clear updates can encourage partnership working and improve continuity of care (NICE, 2023).</w:t>
      </w:r>
    </w:p>
    <w:p w14:paraId="3C528358" w14:textId="77777777" w:rsidR="00EF25A9" w:rsidRDefault="005165BA" w:rsidP="00EF25A9">
      <w:pPr>
        <w:spacing w:line="360" w:lineRule="auto"/>
        <w:rPr>
          <w:rFonts w:ascii="Arial" w:hAnsi="Arial" w:cs="Arial"/>
          <w:sz w:val="22"/>
          <w:szCs w:val="22"/>
        </w:rPr>
      </w:pPr>
      <w:r w:rsidRPr="005F6722">
        <w:rPr>
          <w:rFonts w:ascii="Arial" w:hAnsi="Arial" w:cs="Arial"/>
          <w:sz w:val="22"/>
          <w:szCs w:val="22"/>
        </w:rPr>
        <w:t>The Equality Act 2010 underpins all communication within health and social care by protecting individuals from discrimination based on protected characteristics, including age and disability (Equality Act, 2010). As Mrs Thompson has dementia, reasonable adjustments should be made to ensure she can access information and participate in decisions (NICE, 2018). These adjustments might include providing information in larger print, using memory aids, minimising distractions during conversations and allowing sufficient time for discussion. Professionals must avoid making assumptions based solely on Mrs Thompson's age or cognitive impairment and should always treat her with dignity, respect and compassion (HCPC, 2023).</w:t>
      </w:r>
      <w:r w:rsidR="00EF25A9">
        <w:rPr>
          <w:rFonts w:ascii="Arial" w:hAnsi="Arial" w:cs="Arial"/>
          <w:sz w:val="22"/>
          <w:szCs w:val="22"/>
        </w:rPr>
        <w:t xml:space="preserve"> </w:t>
      </w:r>
    </w:p>
    <w:p w14:paraId="136FF36C" w14:textId="12F42C41" w:rsidR="00EF25A9" w:rsidRPr="00EF25A9" w:rsidRDefault="00EF25A9" w:rsidP="00EF25A9">
      <w:pPr>
        <w:spacing w:line="360" w:lineRule="auto"/>
        <w:rPr>
          <w:rFonts w:ascii="Arial" w:hAnsi="Arial" w:cs="Arial"/>
          <w:sz w:val="22"/>
          <w:szCs w:val="22"/>
        </w:rPr>
      </w:pPr>
      <w:r w:rsidRPr="00EF25A9">
        <w:rPr>
          <w:rFonts w:ascii="Arial" w:hAnsi="Arial" w:cs="Arial"/>
          <w:sz w:val="22"/>
          <w:szCs w:val="22"/>
        </w:rPr>
        <w:t>Although Mrs Thompson's first language is assumed to be English, health and social care professionals should always assess whether language or communication barriers exist. Where individuals speak a different language or have difficulty understanding information, professional interpreters should be used rather than relying on family members. This promotes accurate communication, informed consent and confidentiality. The Equality Act 2010 requires reasonable adjustments to ensure equal access to healthcare for all individuals.</w:t>
      </w:r>
    </w:p>
    <w:p w14:paraId="40ABD8B7" w14:textId="48DA2D3B" w:rsidR="005165BA" w:rsidRDefault="005165BA" w:rsidP="005165BA">
      <w:pPr>
        <w:spacing w:line="360" w:lineRule="auto"/>
        <w:rPr>
          <w:rFonts w:ascii="Arial" w:hAnsi="Arial" w:cs="Arial"/>
          <w:sz w:val="22"/>
          <w:szCs w:val="22"/>
        </w:rPr>
      </w:pPr>
    </w:p>
    <w:p w14:paraId="42BE8CB6" w14:textId="77777777" w:rsidR="008951C9" w:rsidRPr="005F6722" w:rsidRDefault="008951C9" w:rsidP="005165BA">
      <w:pPr>
        <w:spacing w:line="360" w:lineRule="auto"/>
        <w:rPr>
          <w:rFonts w:ascii="Arial" w:hAnsi="Arial" w:cs="Arial"/>
          <w:sz w:val="22"/>
          <w:szCs w:val="22"/>
        </w:rPr>
      </w:pPr>
    </w:p>
    <w:p w14:paraId="1BA5B45B" w14:textId="77777777" w:rsidR="005165BA" w:rsidRPr="005165BA" w:rsidRDefault="005165BA" w:rsidP="005F2E4B">
      <w:pPr>
        <w:pStyle w:val="Heading1"/>
      </w:pPr>
      <w:bookmarkStart w:id="3" w:name="_Toc234678685"/>
      <w:r w:rsidRPr="005165BA">
        <w:t>Shannon and Weaver Communication Model (1948)</w:t>
      </w:r>
      <w:bookmarkEnd w:id="3"/>
    </w:p>
    <w:p w14:paraId="371281CD" w14:textId="7D5593E0" w:rsidR="005165BA" w:rsidRPr="004134CF" w:rsidRDefault="00E86DEB" w:rsidP="005F2E4B">
      <w:pPr>
        <w:pStyle w:val="Heading1"/>
      </w:pPr>
      <w:r>
        <w:t xml:space="preserve"> </w:t>
      </w:r>
      <w:bookmarkStart w:id="4" w:name="_Toc234678686"/>
      <w:r w:rsidR="005165BA" w:rsidRPr="005165BA">
        <w:t>Components of the Model</w:t>
      </w:r>
      <w:bookmarkEnd w:id="4"/>
    </w:p>
    <w:p w14:paraId="5C0A583B" w14:textId="35BA0E31"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t>1. Information Source (Sender)</w:t>
      </w:r>
      <w:r w:rsidRPr="005165BA">
        <w:rPr>
          <w:rFonts w:ascii="Arial" w:hAnsi="Arial" w:cs="Arial"/>
          <w:b/>
          <w:bCs/>
          <w:sz w:val="22"/>
          <w:szCs w:val="22"/>
        </w:rPr>
        <w:br/>
      </w:r>
      <w:r w:rsidRPr="005F2401">
        <w:rPr>
          <w:rFonts w:ascii="Arial" w:hAnsi="Arial" w:cs="Arial"/>
          <w:sz w:val="22"/>
          <w:szCs w:val="22"/>
        </w:rPr>
        <w:t>The person or organisation that creates the message</w:t>
      </w:r>
      <w:r w:rsidR="00D26DA3">
        <w:rPr>
          <w:rFonts w:ascii="Arial" w:hAnsi="Arial" w:cs="Arial"/>
          <w:sz w:val="22"/>
          <w:szCs w:val="22"/>
        </w:rPr>
        <w:t>.</w:t>
      </w:r>
    </w:p>
    <w:p w14:paraId="13E7C992" w14:textId="1CCAB232"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lastRenderedPageBreak/>
        <w:t>2. Transmitter (Encoder)</w:t>
      </w:r>
      <w:r w:rsidRPr="005165BA">
        <w:rPr>
          <w:rFonts w:ascii="Arial" w:hAnsi="Arial" w:cs="Arial"/>
          <w:b/>
          <w:bCs/>
          <w:sz w:val="22"/>
          <w:szCs w:val="22"/>
        </w:rPr>
        <w:br/>
      </w:r>
      <w:r w:rsidRPr="0064251C">
        <w:rPr>
          <w:rFonts w:ascii="Arial" w:hAnsi="Arial" w:cs="Arial"/>
          <w:sz w:val="22"/>
          <w:szCs w:val="22"/>
        </w:rPr>
        <w:t>Converts the message into signals that can be transmitted, such as speech, text or radio waves</w:t>
      </w:r>
      <w:r w:rsidR="00D26DA3">
        <w:rPr>
          <w:rFonts w:ascii="Arial" w:hAnsi="Arial" w:cs="Arial"/>
          <w:sz w:val="22"/>
          <w:szCs w:val="22"/>
        </w:rPr>
        <w:t>.</w:t>
      </w:r>
    </w:p>
    <w:p w14:paraId="3E2C9C5D" w14:textId="6913DFFE"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t>3. Channel</w:t>
      </w:r>
      <w:r w:rsidRPr="005165BA">
        <w:rPr>
          <w:rFonts w:ascii="Arial" w:hAnsi="Arial" w:cs="Arial"/>
          <w:b/>
          <w:bCs/>
          <w:sz w:val="22"/>
          <w:szCs w:val="22"/>
        </w:rPr>
        <w:br/>
      </w:r>
      <w:r w:rsidRPr="0064251C">
        <w:rPr>
          <w:rFonts w:ascii="Arial" w:hAnsi="Arial" w:cs="Arial"/>
          <w:sz w:val="22"/>
          <w:szCs w:val="22"/>
        </w:rPr>
        <w:t>The medium through which the message travels, such as telephone, email, face-to-face conversation or television</w:t>
      </w:r>
      <w:r w:rsidR="00D26DA3">
        <w:rPr>
          <w:rFonts w:ascii="Arial" w:hAnsi="Arial" w:cs="Arial"/>
          <w:sz w:val="22"/>
          <w:szCs w:val="22"/>
        </w:rPr>
        <w:t>.</w:t>
      </w:r>
    </w:p>
    <w:p w14:paraId="507769B6" w14:textId="7E1EB806" w:rsidR="005165BA" w:rsidRPr="0064251C" w:rsidRDefault="005165BA" w:rsidP="005165BA">
      <w:pPr>
        <w:spacing w:line="360" w:lineRule="auto"/>
        <w:rPr>
          <w:rFonts w:ascii="Arial" w:hAnsi="Arial" w:cs="Arial"/>
          <w:sz w:val="22"/>
          <w:szCs w:val="22"/>
        </w:rPr>
      </w:pPr>
      <w:r w:rsidRPr="005165BA">
        <w:rPr>
          <w:rFonts w:ascii="Arial" w:hAnsi="Arial" w:cs="Arial"/>
          <w:b/>
          <w:bCs/>
          <w:sz w:val="22"/>
          <w:szCs w:val="22"/>
        </w:rPr>
        <w:t>4. Noise</w:t>
      </w:r>
      <w:r w:rsidRPr="005165BA">
        <w:rPr>
          <w:rFonts w:ascii="Arial" w:hAnsi="Arial" w:cs="Arial"/>
          <w:b/>
          <w:bCs/>
          <w:sz w:val="22"/>
          <w:szCs w:val="22"/>
        </w:rPr>
        <w:br/>
      </w:r>
      <w:r w:rsidRPr="0064251C">
        <w:rPr>
          <w:rFonts w:ascii="Arial" w:hAnsi="Arial" w:cs="Arial"/>
          <w:sz w:val="22"/>
          <w:szCs w:val="22"/>
        </w:rPr>
        <w:t>Any interference that distorts or interrupts the message</w:t>
      </w:r>
      <w:r w:rsidR="00D26DA3">
        <w:rPr>
          <w:rFonts w:ascii="Arial" w:hAnsi="Arial" w:cs="Arial"/>
          <w:sz w:val="22"/>
          <w:szCs w:val="22"/>
        </w:rPr>
        <w:t xml:space="preserve">. </w:t>
      </w:r>
      <w:r w:rsidRPr="0064251C">
        <w:rPr>
          <w:rFonts w:ascii="Arial" w:hAnsi="Arial" w:cs="Arial"/>
          <w:sz w:val="22"/>
          <w:szCs w:val="22"/>
        </w:rPr>
        <w:t>Noise can be:</w:t>
      </w:r>
    </w:p>
    <w:p w14:paraId="101F415D"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Physical (loud sounds) </w:t>
      </w:r>
    </w:p>
    <w:p w14:paraId="1A1B42E3"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Technical (poor internet connection) </w:t>
      </w:r>
    </w:p>
    <w:p w14:paraId="22E1B77D"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Semantic (misunderstood language) </w:t>
      </w:r>
    </w:p>
    <w:p w14:paraId="4848F2A7" w14:textId="77777777" w:rsidR="005165BA" w:rsidRPr="0064251C" w:rsidRDefault="005165BA" w:rsidP="005165BA">
      <w:pPr>
        <w:numPr>
          <w:ilvl w:val="0"/>
          <w:numId w:val="5"/>
        </w:numPr>
        <w:spacing w:line="360" w:lineRule="auto"/>
        <w:rPr>
          <w:rFonts w:ascii="Arial" w:hAnsi="Arial" w:cs="Arial"/>
          <w:sz w:val="22"/>
          <w:szCs w:val="22"/>
        </w:rPr>
      </w:pPr>
      <w:r w:rsidRPr="0064251C">
        <w:rPr>
          <w:rFonts w:ascii="Arial" w:hAnsi="Arial" w:cs="Arial"/>
          <w:sz w:val="22"/>
          <w:szCs w:val="22"/>
        </w:rPr>
        <w:t xml:space="preserve">Psychological (stress and emotions) </w:t>
      </w:r>
    </w:p>
    <w:p w14:paraId="3191CC02" w14:textId="05C24987" w:rsidR="005165BA" w:rsidRPr="005165BA" w:rsidRDefault="005165BA" w:rsidP="005165BA">
      <w:pPr>
        <w:spacing w:line="360" w:lineRule="auto"/>
        <w:rPr>
          <w:rFonts w:ascii="Arial" w:hAnsi="Arial" w:cs="Arial"/>
          <w:b/>
          <w:bCs/>
          <w:sz w:val="22"/>
          <w:szCs w:val="22"/>
        </w:rPr>
      </w:pPr>
      <w:r w:rsidRPr="005165BA">
        <w:rPr>
          <w:rFonts w:ascii="Arial" w:hAnsi="Arial" w:cs="Arial"/>
          <w:b/>
          <w:bCs/>
          <w:sz w:val="22"/>
          <w:szCs w:val="22"/>
        </w:rPr>
        <w:t>5. Receiver (Decoder)</w:t>
      </w:r>
      <w:r w:rsidRPr="005165BA">
        <w:rPr>
          <w:rFonts w:ascii="Arial" w:hAnsi="Arial" w:cs="Arial"/>
          <w:b/>
          <w:bCs/>
          <w:sz w:val="22"/>
          <w:szCs w:val="22"/>
        </w:rPr>
        <w:br/>
      </w:r>
      <w:r w:rsidRPr="0064251C">
        <w:rPr>
          <w:rFonts w:ascii="Arial" w:hAnsi="Arial" w:cs="Arial"/>
          <w:sz w:val="22"/>
          <w:szCs w:val="22"/>
        </w:rPr>
        <w:t>Interprets and converts the received signal back into a meaningful message</w:t>
      </w:r>
      <w:r w:rsidR="00D26DA3">
        <w:rPr>
          <w:rFonts w:ascii="Arial" w:hAnsi="Arial" w:cs="Arial"/>
          <w:sz w:val="22"/>
          <w:szCs w:val="22"/>
        </w:rPr>
        <w:t>.</w:t>
      </w:r>
    </w:p>
    <w:p w14:paraId="414C2C50" w14:textId="03DE0BB5" w:rsidR="005165BA" w:rsidRPr="0064251C" w:rsidRDefault="005165BA" w:rsidP="005165BA">
      <w:pPr>
        <w:spacing w:line="360" w:lineRule="auto"/>
        <w:rPr>
          <w:rFonts w:ascii="Arial" w:hAnsi="Arial" w:cs="Arial"/>
          <w:sz w:val="22"/>
          <w:szCs w:val="22"/>
        </w:rPr>
      </w:pPr>
      <w:r w:rsidRPr="005165BA">
        <w:rPr>
          <w:rFonts w:ascii="Arial" w:hAnsi="Arial" w:cs="Arial"/>
          <w:b/>
          <w:bCs/>
          <w:sz w:val="22"/>
          <w:szCs w:val="22"/>
        </w:rPr>
        <w:t>6. Destination</w:t>
      </w:r>
      <w:r w:rsidRPr="005165BA">
        <w:rPr>
          <w:rFonts w:ascii="Arial" w:hAnsi="Arial" w:cs="Arial"/>
          <w:b/>
          <w:bCs/>
          <w:sz w:val="22"/>
          <w:szCs w:val="22"/>
        </w:rPr>
        <w:br/>
      </w:r>
      <w:r w:rsidRPr="0064251C">
        <w:rPr>
          <w:rFonts w:ascii="Arial" w:hAnsi="Arial" w:cs="Arial"/>
          <w:sz w:val="22"/>
          <w:szCs w:val="22"/>
        </w:rPr>
        <w:t>The intended recipient of the message.</w:t>
      </w:r>
    </w:p>
    <w:p w14:paraId="224CCCC2" w14:textId="7DD35559"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 xml:space="preserve">In Mrs Thompson's case, the Shannon and Weaver model can be applied </w:t>
      </w:r>
      <w:r w:rsidR="00D26DA3">
        <w:rPr>
          <w:rFonts w:ascii="Arial" w:hAnsi="Arial" w:cs="Arial"/>
          <w:sz w:val="22"/>
          <w:szCs w:val="22"/>
        </w:rPr>
        <w:t>to the communication of medication instructions and care information by healthcare professionals</w:t>
      </w:r>
      <w:r w:rsidRPr="0064251C">
        <w:rPr>
          <w:rFonts w:ascii="Arial" w:hAnsi="Arial" w:cs="Arial"/>
          <w:sz w:val="22"/>
          <w:szCs w:val="22"/>
        </w:rPr>
        <w:t>. The professional acts as the sender, the spoken or written message is transmitted through a communication channel, and Mrs Thompson becomes the receiver. Dementia, hearing difficulties, environmental distractions</w:t>
      </w:r>
      <w:r w:rsidR="00D26DA3">
        <w:rPr>
          <w:rFonts w:ascii="Arial" w:hAnsi="Arial" w:cs="Arial"/>
          <w:sz w:val="22"/>
          <w:szCs w:val="22"/>
        </w:rPr>
        <w:t>, or misunderstandings of instructions may act as sources</w:t>
      </w:r>
      <w:r w:rsidRPr="0064251C">
        <w:rPr>
          <w:rFonts w:ascii="Arial" w:hAnsi="Arial" w:cs="Arial"/>
          <w:sz w:val="22"/>
          <w:szCs w:val="22"/>
        </w:rPr>
        <w:t xml:space="preserve"> of noise that interfere with the communication process. Therefore, professionals should use clear language, written reminders and regular checks of understanding to minimise communication barriers and ensure safe, person-centred care (</w:t>
      </w:r>
      <w:proofErr w:type="spellStart"/>
      <w:r w:rsidRPr="0064251C">
        <w:rPr>
          <w:rFonts w:ascii="Arial" w:hAnsi="Arial" w:cs="Arial"/>
          <w:sz w:val="22"/>
          <w:szCs w:val="22"/>
        </w:rPr>
        <w:t>McQuail</w:t>
      </w:r>
      <w:proofErr w:type="spellEnd"/>
      <w:r w:rsidRPr="0064251C">
        <w:rPr>
          <w:rFonts w:ascii="Arial" w:hAnsi="Arial" w:cs="Arial"/>
          <w:sz w:val="22"/>
          <w:szCs w:val="22"/>
        </w:rPr>
        <w:t xml:space="preserve"> and Windahl, 2015; NICE, 2018).</w:t>
      </w:r>
    </w:p>
    <w:p w14:paraId="06A5C437" w14:textId="582E509A" w:rsidR="005165BA" w:rsidRPr="002B1DCD" w:rsidRDefault="005165BA" w:rsidP="005165BA">
      <w:pPr>
        <w:spacing w:line="360" w:lineRule="auto"/>
        <w:rPr>
          <w:rFonts w:ascii="Arial" w:hAnsi="Arial" w:cs="Arial"/>
          <w:sz w:val="22"/>
          <w:szCs w:val="22"/>
        </w:rPr>
      </w:pPr>
      <w:r w:rsidRPr="0064251C">
        <w:rPr>
          <w:rFonts w:ascii="Arial" w:hAnsi="Arial" w:cs="Arial"/>
          <w:sz w:val="22"/>
          <w:szCs w:val="22"/>
        </w:rPr>
        <w:t>Overall, effective communication supports safe medication management, encourages independence, strengthens relationships with family members and enables professionals to identify concerns before they escalate into safeguarding issues (Care Quality Commission, 2023).</w:t>
      </w:r>
    </w:p>
    <w:p w14:paraId="20652190" w14:textId="77777777" w:rsidR="005165BA" w:rsidRPr="005165BA" w:rsidRDefault="005165BA" w:rsidP="005F2E4B">
      <w:pPr>
        <w:pStyle w:val="Heading1"/>
      </w:pPr>
      <w:bookmarkStart w:id="5" w:name="_Toc234678687"/>
      <w:r w:rsidRPr="005165BA">
        <w:lastRenderedPageBreak/>
        <w:t>2. The Importance of Good Administrative Skills</w:t>
      </w:r>
      <w:bookmarkEnd w:id="5"/>
    </w:p>
    <w:p w14:paraId="62C551E6"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Good administrative skills are fundamental in maintaining safe, accountable and high-quality health and social care practice (Care Quality Commission, 2023). Accurate documentation, timely reporting and secure information management help professionals provide consistent care while meeting legal and professional responsibilities (Nursing and Midwifery Council, 2018).</w:t>
      </w:r>
    </w:p>
    <w:p w14:paraId="46E3D46C"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In Mrs Thompson's case, the missed medication was appropriately recorded through the service's incident reporting process. Incident reporting enables organisations to identify risks, investigate contributing factors and implement improvements to prevent recurrence (Care Quality Commission, 2023). Recording that Mrs Thompson missed medication and subsequently experienced increased confusion provides essential evidence supporting the medication review requested by her healthcare team.</w:t>
      </w:r>
    </w:p>
    <w:p w14:paraId="2D591458"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Record keeping should follow professional standards by being accurate, factual, legible, dated and completed as soon as possible after events occur (NMC, 2018). Documentation should distinguish clearly between observed facts and professional opinions. For example, recording that Mrs Thompson missed medication for two consecutive days and was later observed to be confused provides objective evidence that can support clinical decision-making (HCPC, 2023).</w:t>
      </w:r>
    </w:p>
    <w:p w14:paraId="4D6E3707"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The Data Protection Act 2018, which incorporates the UK General Data Protection Regulation (UK GDPR), governs how personal information is collected, stored and shared (Data Protection Act, 2018). Mrs Thompson's medical records contain sensitive personal information that must remain confidential. Information should only be accessed by professionals directly involved in her care and shared on a need-to-know basis (Information Commissioner's Office, 2023). Electronic records should be password protected, while paper records should be securely stored. Organisations must also ensure that information is accurate, kept up to date and retained only for the required period (ICO, 2023).</w:t>
      </w:r>
    </w:p>
    <w:p w14:paraId="1841F730"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Information sharing is essential but must always balance confidentiality with safeguarding responsibilities (Department of Health and Social Care, 2022). If professionals believe Mrs Thompson is at risk of significant harm due to self-neglect or cognitive decline, relevant information may be shared with appropriate agencies without consent where legally justified (Care Act, 2014). The Care Act 2014 places a duty on local authorities to safeguard adults with care and support needs who may be experiencing abuse or neglect, including self-neglect.</w:t>
      </w:r>
    </w:p>
    <w:p w14:paraId="35B4B8A4"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lastRenderedPageBreak/>
        <w:t>Several policy frameworks support effective administrative practice. The Care Quality Commission (CQC) Fundamental Standards require providers to maintain accurate, complete and contemporaneous records (CQC, 2023). Similarly, the Health and Social Care Act 2008 (Regulated Activities) Regulations 2014 emphasise safe care, good governance and effective record management. NICE (2022) guidance on medicines management also highlights the importance of regular medication reviews for individuals with cognitive impairment and clear documentation of medication administration.</w:t>
      </w:r>
    </w:p>
    <w:p w14:paraId="711C3B00"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Good administrative practice also includes maintaining communication records, documenting risk assessments and updating care plans following changes in health status (NMC, 2018). Following Mrs Thompson's recent incidents, her care plan should be reviewed to consider additional medication support, environmental risk assessments and increased monitoring for wandering behaviours (NICE, 2022).</w:t>
      </w:r>
    </w:p>
    <w:p w14:paraId="63105D84"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Accurate administration improves continuity of care, facilitates communication between professionals and supports accountability. It also protects both service users and practitioners by providing evidence of decisions and interventions delivered (HCPC, 2023).</w:t>
      </w:r>
    </w:p>
    <w:p w14:paraId="05E08E2A" w14:textId="3BF8A91B" w:rsidR="005165BA" w:rsidRPr="005165BA" w:rsidRDefault="005165BA" w:rsidP="005165BA">
      <w:pPr>
        <w:spacing w:line="360" w:lineRule="auto"/>
        <w:rPr>
          <w:rFonts w:ascii="Arial" w:hAnsi="Arial" w:cs="Arial"/>
          <w:b/>
          <w:bCs/>
          <w:sz w:val="22"/>
          <w:szCs w:val="22"/>
        </w:rPr>
      </w:pPr>
    </w:p>
    <w:p w14:paraId="7C4412C9" w14:textId="77777777" w:rsidR="00B037D0" w:rsidRDefault="00B037D0" w:rsidP="005165BA">
      <w:pPr>
        <w:spacing w:line="360" w:lineRule="auto"/>
        <w:rPr>
          <w:rFonts w:ascii="Arial" w:hAnsi="Arial" w:cs="Arial"/>
          <w:b/>
          <w:bCs/>
          <w:sz w:val="22"/>
          <w:szCs w:val="22"/>
        </w:rPr>
      </w:pPr>
    </w:p>
    <w:p w14:paraId="12BA8261" w14:textId="70620AC5" w:rsidR="005165BA" w:rsidRPr="005165BA" w:rsidRDefault="005165BA" w:rsidP="003F0ADF">
      <w:pPr>
        <w:pStyle w:val="Heading1"/>
      </w:pPr>
      <w:bookmarkStart w:id="6" w:name="_Toc234678688"/>
      <w:r w:rsidRPr="005165BA">
        <w:t>3. Collaborative Working</w:t>
      </w:r>
      <w:bookmarkEnd w:id="6"/>
    </w:p>
    <w:p w14:paraId="182881A8"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Collaborative working enables professionals from different disciplines to combine their expertise and provide coordinated, person-centred care (NICE, 2023). Mrs Thompson's needs require input from several professionals, including her GP, community nurse, domiciliary care workers, pharmacist, social worker and local authority safeguarding team.</w:t>
      </w:r>
    </w:p>
    <w:p w14:paraId="6502C945"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The GP plays an important role in reviewing medication, assessing cognitive decline and monitoring Mrs Thompson's overall health following her pneumonia (NICE, 2022). Community nurses may monitor her recovery, assess medication adherence and identify early signs of deterioration. Domiciliary care workers provide daily observations, assist with medication and report concerns promptly. Pharmacists can advise on medication compliance aids, while social workers coordinate support services and safeguarding interventions where necessary (Skills for Care, 2023).</w:t>
      </w:r>
    </w:p>
    <w:p w14:paraId="36F04198"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 xml:space="preserve">Effective collaboration relies on clear communication, mutual respect and shared decision-making (SCIE, 2023). Regular multidisciplinary meetings allow professionals to discuss Mrs Thompson's progress, review risks and update care plans. Shared electronic records and </w:t>
      </w:r>
      <w:r w:rsidRPr="0064251C">
        <w:rPr>
          <w:rFonts w:ascii="Arial" w:hAnsi="Arial" w:cs="Arial"/>
          <w:sz w:val="22"/>
          <w:szCs w:val="22"/>
        </w:rPr>
        <w:lastRenderedPageBreak/>
        <w:t>agreed communication pathways improve information sharing while reducing duplication of work (NHS England, 2023).</w:t>
      </w:r>
    </w:p>
    <w:p w14:paraId="3A1142C7"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Despite these benefits, multi-agency working can present challenges. Different organisations may use separate record systems, making information sharing more difficult. Professionals may also have varying priorities, workloads or interpretations of confidentiality legislation. Delays in communication can affect continuity of care and increase risks for vulnerable individuals (SCIE, 2023).</w:t>
      </w:r>
    </w:p>
    <w:p w14:paraId="433BAEF9"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 xml:space="preserve">Several strategies can overcome these challenges. </w:t>
      </w:r>
      <w:r w:rsidRPr="00D26DA3">
        <w:rPr>
          <w:rFonts w:ascii="Arial" w:hAnsi="Arial" w:cs="Arial"/>
          <w:sz w:val="22"/>
          <w:szCs w:val="22"/>
        </w:rPr>
        <w:t>Establishing clearly defined roles and responsibilities helps prevent confusion.</w:t>
      </w:r>
      <w:r w:rsidRPr="0064251C">
        <w:rPr>
          <w:rFonts w:ascii="Arial" w:hAnsi="Arial" w:cs="Arial"/>
          <w:sz w:val="22"/>
          <w:szCs w:val="22"/>
        </w:rPr>
        <w:t xml:space="preserve"> Using secure digital information-sharing systems enables timely communication while complying with the Data Protection Act 2018. Regular multidisciplinary meetings promote collaborative decision-making and ensure that all professionals contribute their expertise. Ongoing training in communication, safeguarding and information governance further strengthens partnership working (Care Quality Commission, 2023).</w:t>
      </w:r>
    </w:p>
    <w:p w14:paraId="63B468C3"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By working collaboratively, professionals can respond proactively to Mrs Thompson's changing needs, reduce medication errors, improve safety and promote her independence while maintaining high standards of care (NICE, 2023).</w:t>
      </w:r>
    </w:p>
    <w:p w14:paraId="1B23E6AC" w14:textId="28A779CE" w:rsidR="005165BA" w:rsidRDefault="005165BA" w:rsidP="005165BA">
      <w:pPr>
        <w:spacing w:line="360" w:lineRule="auto"/>
        <w:rPr>
          <w:rFonts w:ascii="Arial" w:hAnsi="Arial" w:cs="Arial"/>
          <w:b/>
          <w:bCs/>
          <w:sz w:val="22"/>
          <w:szCs w:val="22"/>
        </w:rPr>
      </w:pPr>
    </w:p>
    <w:p w14:paraId="61E5A58C" w14:textId="77777777" w:rsidR="0026342D" w:rsidRPr="005165BA" w:rsidRDefault="0026342D" w:rsidP="005165BA">
      <w:pPr>
        <w:spacing w:line="360" w:lineRule="auto"/>
        <w:rPr>
          <w:rFonts w:ascii="Arial" w:hAnsi="Arial" w:cs="Arial"/>
          <w:b/>
          <w:bCs/>
          <w:sz w:val="22"/>
          <w:szCs w:val="22"/>
        </w:rPr>
      </w:pPr>
    </w:p>
    <w:p w14:paraId="4B550231" w14:textId="77777777" w:rsidR="005165BA" w:rsidRPr="005165BA" w:rsidRDefault="005165BA" w:rsidP="003F0ADF">
      <w:pPr>
        <w:pStyle w:val="Heading1"/>
      </w:pPr>
      <w:bookmarkStart w:id="7" w:name="_Toc234678689"/>
      <w:r w:rsidRPr="005165BA">
        <w:t>Conclusion</w:t>
      </w:r>
      <w:bookmarkEnd w:id="7"/>
    </w:p>
    <w:p w14:paraId="1741E400" w14:textId="77777777" w:rsidR="005165BA" w:rsidRPr="0064251C" w:rsidRDefault="005165BA" w:rsidP="005165BA">
      <w:pPr>
        <w:spacing w:line="360" w:lineRule="auto"/>
        <w:rPr>
          <w:rFonts w:ascii="Arial" w:hAnsi="Arial" w:cs="Arial"/>
          <w:sz w:val="22"/>
          <w:szCs w:val="22"/>
        </w:rPr>
      </w:pPr>
      <w:r w:rsidRPr="0064251C">
        <w:rPr>
          <w:rFonts w:ascii="Arial" w:hAnsi="Arial" w:cs="Arial"/>
          <w:sz w:val="22"/>
          <w:szCs w:val="22"/>
        </w:rPr>
        <w:t xml:space="preserve">Mrs Thompson's case demonstrates the importance of communication, administration and collaborative working in delivering safe, effective and person-centred health and social care (NICE, 2023). Effective communication enables professionals to build trusting relationships, involve service users in decisions and make reasonable adjustments in accordance with the Equality Act 2010. Good administrative practice ensures that records are accurate, confidential and compliant with the Data Protection Act 2018 and relevant professional standards (NMC, 2018). Finally, collaborative working between healthcare professionals, social care providers and local authorities supports coordinated care planning, safeguarding and risk management (SCIE, 2023). Together, these principles improve continuity of care, enhance patient safety and promote positive health outcomes. By applying legislation, professional standards and evidence-based practice, health and social care professionals can ensure that individuals such as Mrs Thompson receive high-quality care that respects </w:t>
      </w:r>
      <w:r w:rsidRPr="0064251C">
        <w:rPr>
          <w:rFonts w:ascii="Arial" w:hAnsi="Arial" w:cs="Arial"/>
          <w:sz w:val="22"/>
          <w:szCs w:val="22"/>
        </w:rPr>
        <w:lastRenderedPageBreak/>
        <w:t>their dignity, independence and individual needs while reducing the likelihood of future incidents (Care Act, 2014; NICE, 2023).</w:t>
      </w:r>
    </w:p>
    <w:p w14:paraId="4CE03548" w14:textId="77777777" w:rsidR="00E34244" w:rsidRPr="004A42E0" w:rsidRDefault="00E34244" w:rsidP="004A42E0">
      <w:pPr>
        <w:spacing w:line="360" w:lineRule="auto"/>
        <w:rPr>
          <w:rFonts w:ascii="Arial" w:hAnsi="Arial" w:cs="Arial"/>
          <w:sz w:val="22"/>
          <w:szCs w:val="22"/>
        </w:rPr>
      </w:pPr>
    </w:p>
    <w:p w14:paraId="10F45102" w14:textId="77777777" w:rsidR="00497F72" w:rsidRDefault="00497F72" w:rsidP="004A42E0">
      <w:pPr>
        <w:spacing w:line="360" w:lineRule="auto"/>
        <w:rPr>
          <w:rFonts w:ascii="Arial" w:hAnsi="Arial" w:cs="Arial"/>
          <w:b/>
          <w:bCs/>
          <w:sz w:val="22"/>
          <w:szCs w:val="22"/>
          <w:u w:val="single"/>
        </w:rPr>
      </w:pPr>
    </w:p>
    <w:p w14:paraId="79D8E7CB" w14:textId="77777777" w:rsidR="00497F72" w:rsidRDefault="00497F72" w:rsidP="004A42E0">
      <w:pPr>
        <w:spacing w:line="360" w:lineRule="auto"/>
        <w:rPr>
          <w:rFonts w:ascii="Arial" w:hAnsi="Arial" w:cs="Arial"/>
          <w:b/>
          <w:bCs/>
          <w:sz w:val="22"/>
          <w:szCs w:val="22"/>
          <w:u w:val="single"/>
        </w:rPr>
      </w:pPr>
    </w:p>
    <w:p w14:paraId="0E62FAC5" w14:textId="77777777" w:rsidR="00B92CAA" w:rsidRDefault="00B92CAA" w:rsidP="004A42E0">
      <w:pPr>
        <w:spacing w:line="360" w:lineRule="auto"/>
        <w:rPr>
          <w:rFonts w:ascii="Arial" w:hAnsi="Arial" w:cs="Arial"/>
          <w:b/>
          <w:bCs/>
          <w:sz w:val="22"/>
          <w:szCs w:val="22"/>
          <w:u w:val="single"/>
        </w:rPr>
      </w:pPr>
    </w:p>
    <w:p w14:paraId="23234B29" w14:textId="77777777" w:rsidR="00B92CAA" w:rsidRDefault="00B92CAA" w:rsidP="004A42E0">
      <w:pPr>
        <w:spacing w:line="360" w:lineRule="auto"/>
        <w:rPr>
          <w:rFonts w:ascii="Arial" w:hAnsi="Arial" w:cs="Arial"/>
          <w:b/>
          <w:bCs/>
          <w:sz w:val="22"/>
          <w:szCs w:val="22"/>
          <w:u w:val="single"/>
        </w:rPr>
      </w:pPr>
    </w:p>
    <w:p w14:paraId="598DECDC" w14:textId="77777777" w:rsidR="00B92CAA" w:rsidRDefault="00B92CAA" w:rsidP="004A42E0">
      <w:pPr>
        <w:spacing w:line="360" w:lineRule="auto"/>
        <w:rPr>
          <w:rFonts w:ascii="Arial" w:hAnsi="Arial" w:cs="Arial"/>
          <w:b/>
          <w:bCs/>
          <w:sz w:val="22"/>
          <w:szCs w:val="22"/>
          <w:u w:val="single"/>
        </w:rPr>
      </w:pPr>
    </w:p>
    <w:p w14:paraId="762884DC" w14:textId="77777777" w:rsidR="00B92CAA" w:rsidRDefault="00B92CAA" w:rsidP="004A42E0">
      <w:pPr>
        <w:spacing w:line="360" w:lineRule="auto"/>
        <w:rPr>
          <w:rFonts w:ascii="Arial" w:hAnsi="Arial" w:cs="Arial"/>
          <w:b/>
          <w:bCs/>
          <w:sz w:val="22"/>
          <w:szCs w:val="22"/>
          <w:u w:val="single"/>
        </w:rPr>
      </w:pPr>
    </w:p>
    <w:p w14:paraId="0C90D258" w14:textId="77777777" w:rsidR="00B92CAA" w:rsidRDefault="00B92CAA" w:rsidP="004A42E0">
      <w:pPr>
        <w:spacing w:line="360" w:lineRule="auto"/>
        <w:rPr>
          <w:rFonts w:ascii="Arial" w:hAnsi="Arial" w:cs="Arial"/>
          <w:b/>
          <w:bCs/>
          <w:sz w:val="22"/>
          <w:szCs w:val="22"/>
          <w:u w:val="single"/>
        </w:rPr>
      </w:pPr>
    </w:p>
    <w:p w14:paraId="653104C5" w14:textId="47E08D12" w:rsidR="00E34244" w:rsidRPr="00F7769D" w:rsidRDefault="00F7769D" w:rsidP="003F0ADF">
      <w:pPr>
        <w:pStyle w:val="Heading1"/>
      </w:pPr>
      <w:bookmarkStart w:id="8" w:name="_Toc234678690"/>
      <w:r w:rsidRPr="00F7769D">
        <w:t>References</w:t>
      </w:r>
      <w:r w:rsidR="001012EB" w:rsidRPr="00F7769D">
        <w:t>:</w:t>
      </w:r>
      <w:bookmarkEnd w:id="8"/>
    </w:p>
    <w:p w14:paraId="7A186563"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Care Quality Commission (CQC) (2023) </w:t>
      </w:r>
      <w:r w:rsidRPr="004A42E0">
        <w:rPr>
          <w:rFonts w:ascii="Arial" w:hAnsi="Arial" w:cs="Arial"/>
          <w:i/>
          <w:iCs/>
          <w:sz w:val="22"/>
          <w:szCs w:val="22"/>
        </w:rPr>
        <w:t>Fundamental standards</w:t>
      </w:r>
      <w:r w:rsidRPr="004A42E0">
        <w:rPr>
          <w:rFonts w:ascii="Arial" w:hAnsi="Arial" w:cs="Arial"/>
          <w:sz w:val="22"/>
          <w:szCs w:val="22"/>
        </w:rPr>
        <w:t xml:space="preserve">. Available at: </w:t>
      </w:r>
      <w:hyperlink r:id="rId10" w:history="1">
        <w:r w:rsidRPr="004A42E0">
          <w:rPr>
            <w:rStyle w:val="Hyperlink"/>
            <w:rFonts w:ascii="Arial" w:hAnsi="Arial" w:cs="Arial"/>
            <w:sz w:val="22"/>
            <w:szCs w:val="22"/>
          </w:rPr>
          <w:t>https://www.cqc.org.uk/what-we-do/how-we-do-our-job/fundamental-standards</w:t>
        </w:r>
      </w:hyperlink>
      <w:r w:rsidRPr="004A42E0">
        <w:rPr>
          <w:rFonts w:ascii="Arial" w:hAnsi="Arial" w:cs="Arial"/>
          <w:sz w:val="22"/>
          <w:szCs w:val="22"/>
        </w:rPr>
        <w:t xml:space="preserve"> (Accessed: 29 June 2026).</w:t>
      </w:r>
    </w:p>
    <w:p w14:paraId="14F66D78"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Department of Health and Social Care (2014) </w:t>
      </w:r>
      <w:r w:rsidRPr="004A42E0">
        <w:rPr>
          <w:rFonts w:ascii="Arial" w:hAnsi="Arial" w:cs="Arial"/>
          <w:i/>
          <w:iCs/>
          <w:sz w:val="22"/>
          <w:szCs w:val="22"/>
        </w:rPr>
        <w:t>Care Act 2014</w:t>
      </w:r>
      <w:r w:rsidRPr="004A42E0">
        <w:rPr>
          <w:rFonts w:ascii="Arial" w:hAnsi="Arial" w:cs="Arial"/>
          <w:sz w:val="22"/>
          <w:szCs w:val="22"/>
        </w:rPr>
        <w:t xml:space="preserve">. London: The Stationery Office. Available at: </w:t>
      </w:r>
      <w:hyperlink r:id="rId11" w:history="1">
        <w:r w:rsidRPr="004A42E0">
          <w:rPr>
            <w:rStyle w:val="Hyperlink"/>
            <w:rFonts w:ascii="Arial" w:hAnsi="Arial" w:cs="Arial"/>
            <w:sz w:val="22"/>
            <w:szCs w:val="22"/>
          </w:rPr>
          <w:t>https://www.legislation.gov.uk/ukpga/2014/23/contents/enacted</w:t>
        </w:r>
      </w:hyperlink>
      <w:r w:rsidRPr="004A42E0">
        <w:rPr>
          <w:rFonts w:ascii="Arial" w:hAnsi="Arial" w:cs="Arial"/>
          <w:sz w:val="22"/>
          <w:szCs w:val="22"/>
        </w:rPr>
        <w:t xml:space="preserve"> (Accessed: 29 June 2026).</w:t>
      </w:r>
    </w:p>
    <w:p w14:paraId="4CD25AA7"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Egan, G. (2019) </w:t>
      </w:r>
      <w:r w:rsidRPr="004A42E0">
        <w:rPr>
          <w:rFonts w:ascii="Arial" w:hAnsi="Arial" w:cs="Arial"/>
          <w:i/>
          <w:iCs/>
          <w:sz w:val="22"/>
          <w:szCs w:val="22"/>
        </w:rPr>
        <w:t>The Skilled Helper: A Problem-Management and Opportunity-Development Approach to Helping</w:t>
      </w:r>
      <w:r w:rsidRPr="004A42E0">
        <w:rPr>
          <w:rFonts w:ascii="Arial" w:hAnsi="Arial" w:cs="Arial"/>
          <w:sz w:val="22"/>
          <w:szCs w:val="22"/>
        </w:rPr>
        <w:t xml:space="preserve">. 11th </w:t>
      </w:r>
      <w:proofErr w:type="spellStart"/>
      <w:r w:rsidRPr="004A42E0">
        <w:rPr>
          <w:rFonts w:ascii="Arial" w:hAnsi="Arial" w:cs="Arial"/>
          <w:sz w:val="22"/>
          <w:szCs w:val="22"/>
        </w:rPr>
        <w:t>edn</w:t>
      </w:r>
      <w:proofErr w:type="spellEnd"/>
      <w:r w:rsidRPr="004A42E0">
        <w:rPr>
          <w:rFonts w:ascii="Arial" w:hAnsi="Arial" w:cs="Arial"/>
          <w:sz w:val="22"/>
          <w:szCs w:val="22"/>
        </w:rPr>
        <w:t>. Boston: Cengage Learning.</w:t>
      </w:r>
    </w:p>
    <w:p w14:paraId="3CEC8C23"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(2005) </w:t>
      </w:r>
      <w:r w:rsidRPr="004A42E0">
        <w:rPr>
          <w:rFonts w:ascii="Arial" w:hAnsi="Arial" w:cs="Arial"/>
          <w:i/>
          <w:iCs/>
          <w:sz w:val="22"/>
          <w:szCs w:val="22"/>
        </w:rPr>
        <w:t>Mental Capacity Act 2005</w:t>
      </w:r>
      <w:r w:rsidRPr="004A42E0">
        <w:rPr>
          <w:rFonts w:ascii="Arial" w:hAnsi="Arial" w:cs="Arial"/>
          <w:sz w:val="22"/>
          <w:szCs w:val="22"/>
        </w:rPr>
        <w:t xml:space="preserve">. London: The Stationery Office. Available at: </w:t>
      </w:r>
      <w:hyperlink r:id="rId12" w:history="1">
        <w:r w:rsidRPr="004A42E0">
          <w:rPr>
            <w:rStyle w:val="Hyperlink"/>
            <w:rFonts w:ascii="Arial" w:hAnsi="Arial" w:cs="Arial"/>
            <w:sz w:val="22"/>
            <w:szCs w:val="22"/>
          </w:rPr>
          <w:t>https://www.legislation.gov.uk/ukpga/2005/9/contents</w:t>
        </w:r>
      </w:hyperlink>
      <w:r w:rsidRPr="004A42E0">
        <w:rPr>
          <w:rFonts w:ascii="Arial" w:hAnsi="Arial" w:cs="Arial"/>
          <w:sz w:val="22"/>
          <w:szCs w:val="22"/>
        </w:rPr>
        <w:t xml:space="preserve"> (Accessed: 29 June 2026).</w:t>
      </w:r>
    </w:p>
    <w:p w14:paraId="59C901E4"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(2010) </w:t>
      </w:r>
      <w:r w:rsidRPr="004A42E0">
        <w:rPr>
          <w:rFonts w:ascii="Arial" w:hAnsi="Arial" w:cs="Arial"/>
          <w:i/>
          <w:iCs/>
          <w:sz w:val="22"/>
          <w:szCs w:val="22"/>
        </w:rPr>
        <w:t>Equality Act 2010</w:t>
      </w:r>
      <w:r w:rsidRPr="004A42E0">
        <w:rPr>
          <w:rFonts w:ascii="Arial" w:hAnsi="Arial" w:cs="Arial"/>
          <w:sz w:val="22"/>
          <w:szCs w:val="22"/>
        </w:rPr>
        <w:t xml:space="preserve">. London: The Stationery Office. Available at: </w:t>
      </w:r>
      <w:hyperlink r:id="rId13" w:history="1">
        <w:r w:rsidRPr="004A42E0">
          <w:rPr>
            <w:rStyle w:val="Hyperlink"/>
            <w:rFonts w:ascii="Arial" w:hAnsi="Arial" w:cs="Arial"/>
            <w:sz w:val="22"/>
            <w:szCs w:val="22"/>
          </w:rPr>
          <w:t>https://www.legislation.gov.uk/ukpga/2010/15/contents</w:t>
        </w:r>
      </w:hyperlink>
      <w:r w:rsidRPr="004A42E0">
        <w:rPr>
          <w:rFonts w:ascii="Arial" w:hAnsi="Arial" w:cs="Arial"/>
          <w:sz w:val="22"/>
          <w:szCs w:val="22"/>
        </w:rPr>
        <w:t xml:space="preserve"> (Accessed: 29 June 2026).</w:t>
      </w:r>
    </w:p>
    <w:p w14:paraId="0F5A663E"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(2014) </w:t>
      </w:r>
      <w:r w:rsidRPr="004A42E0">
        <w:rPr>
          <w:rFonts w:ascii="Arial" w:hAnsi="Arial" w:cs="Arial"/>
          <w:i/>
          <w:iCs/>
          <w:sz w:val="22"/>
          <w:szCs w:val="22"/>
        </w:rPr>
        <w:t>Health and Social Care Act 2008 (Regulated Activities) Regulations 2014</w:t>
      </w:r>
      <w:r w:rsidRPr="004A42E0">
        <w:rPr>
          <w:rFonts w:ascii="Arial" w:hAnsi="Arial" w:cs="Arial"/>
          <w:sz w:val="22"/>
          <w:szCs w:val="22"/>
        </w:rPr>
        <w:t xml:space="preserve">. London: The Stationery Office. Available at: </w:t>
      </w:r>
      <w:hyperlink r:id="rId14" w:history="1">
        <w:r w:rsidRPr="004A42E0">
          <w:rPr>
            <w:rStyle w:val="Hyperlink"/>
            <w:rFonts w:ascii="Arial" w:hAnsi="Arial" w:cs="Arial"/>
            <w:sz w:val="22"/>
            <w:szCs w:val="22"/>
          </w:rPr>
          <w:t>https://www.legislation.gov.uk/uksi/2014/2936/contents/made</w:t>
        </w:r>
      </w:hyperlink>
      <w:r w:rsidRPr="004A42E0">
        <w:rPr>
          <w:rFonts w:ascii="Arial" w:hAnsi="Arial" w:cs="Arial"/>
          <w:sz w:val="22"/>
          <w:szCs w:val="22"/>
        </w:rPr>
        <w:t xml:space="preserve"> (Accessed: 29 June 2026).</w:t>
      </w:r>
    </w:p>
    <w:p w14:paraId="1A1106E8"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t xml:space="preserve">Great Britain (2018) </w:t>
      </w:r>
      <w:r w:rsidRPr="004A42E0">
        <w:rPr>
          <w:rFonts w:ascii="Arial" w:hAnsi="Arial" w:cs="Arial"/>
          <w:i/>
          <w:iCs/>
          <w:sz w:val="22"/>
          <w:szCs w:val="22"/>
        </w:rPr>
        <w:t>Data Protection Act 2018</w:t>
      </w:r>
      <w:r w:rsidRPr="004A42E0">
        <w:rPr>
          <w:rFonts w:ascii="Arial" w:hAnsi="Arial" w:cs="Arial"/>
          <w:sz w:val="22"/>
          <w:szCs w:val="22"/>
        </w:rPr>
        <w:t xml:space="preserve">. London: The Stationery Office. Available at: </w:t>
      </w:r>
      <w:hyperlink r:id="rId15" w:history="1">
        <w:r w:rsidRPr="004A42E0">
          <w:rPr>
            <w:rStyle w:val="Hyperlink"/>
            <w:rFonts w:ascii="Arial" w:hAnsi="Arial" w:cs="Arial"/>
            <w:sz w:val="22"/>
            <w:szCs w:val="22"/>
          </w:rPr>
          <w:t>https://www.legislation.gov.uk/ukpga/2018/12/contents</w:t>
        </w:r>
      </w:hyperlink>
      <w:r w:rsidRPr="004A42E0">
        <w:rPr>
          <w:rFonts w:ascii="Arial" w:hAnsi="Arial" w:cs="Arial"/>
          <w:sz w:val="22"/>
          <w:szCs w:val="22"/>
        </w:rPr>
        <w:t xml:space="preserve"> (Accessed: 29 June 2026).</w:t>
      </w:r>
    </w:p>
    <w:p w14:paraId="1A42B678" w14:textId="77777777" w:rsidR="001012EB" w:rsidRPr="004A42E0" w:rsidRDefault="001012EB" w:rsidP="004A42E0">
      <w:pPr>
        <w:spacing w:line="360" w:lineRule="auto"/>
        <w:rPr>
          <w:rFonts w:ascii="Arial" w:hAnsi="Arial" w:cs="Arial"/>
          <w:sz w:val="22"/>
          <w:szCs w:val="22"/>
        </w:rPr>
      </w:pPr>
      <w:r w:rsidRPr="004A42E0">
        <w:rPr>
          <w:rFonts w:ascii="Arial" w:hAnsi="Arial" w:cs="Arial"/>
          <w:sz w:val="22"/>
          <w:szCs w:val="22"/>
        </w:rPr>
        <w:lastRenderedPageBreak/>
        <w:t xml:space="preserve">National Institute for Health and Care Excellence (NICE) (2022) </w:t>
      </w:r>
      <w:r w:rsidRPr="004A42E0">
        <w:rPr>
          <w:rFonts w:ascii="Arial" w:hAnsi="Arial" w:cs="Arial"/>
          <w:i/>
          <w:iCs/>
          <w:sz w:val="22"/>
          <w:szCs w:val="22"/>
        </w:rPr>
        <w:t>Managing medicines for adults receiving social care in the community (NG67)</w:t>
      </w:r>
      <w:r w:rsidRPr="004A42E0">
        <w:rPr>
          <w:rFonts w:ascii="Arial" w:hAnsi="Arial" w:cs="Arial"/>
          <w:sz w:val="22"/>
          <w:szCs w:val="22"/>
        </w:rPr>
        <w:t xml:space="preserve">. Available at: </w:t>
      </w:r>
      <w:hyperlink r:id="rId16" w:history="1">
        <w:r w:rsidRPr="004A42E0">
          <w:rPr>
            <w:rStyle w:val="Hyperlink"/>
            <w:rFonts w:ascii="Arial" w:hAnsi="Arial" w:cs="Arial"/>
            <w:sz w:val="22"/>
            <w:szCs w:val="22"/>
          </w:rPr>
          <w:t>https://www.nice.org.uk/guidance/ng67</w:t>
        </w:r>
      </w:hyperlink>
      <w:r w:rsidRPr="004A42E0">
        <w:rPr>
          <w:rFonts w:ascii="Arial" w:hAnsi="Arial" w:cs="Arial"/>
          <w:sz w:val="22"/>
          <w:szCs w:val="22"/>
        </w:rPr>
        <w:t xml:space="preserve"> (Accessed: 29 June 2026).</w:t>
      </w:r>
    </w:p>
    <w:p w14:paraId="01D21D71" w14:textId="77777777" w:rsidR="00001D2F" w:rsidRPr="004A42E0" w:rsidRDefault="00001D2F" w:rsidP="004A42E0">
      <w:pPr>
        <w:spacing w:line="360" w:lineRule="auto"/>
        <w:rPr>
          <w:rFonts w:ascii="Arial" w:hAnsi="Arial" w:cs="Arial"/>
          <w:sz w:val="22"/>
          <w:szCs w:val="22"/>
        </w:rPr>
      </w:pPr>
    </w:p>
    <w:p w14:paraId="67E745D0" w14:textId="77777777" w:rsidR="00001D2F" w:rsidRPr="004A42E0" w:rsidRDefault="00001D2F" w:rsidP="004A42E0">
      <w:pPr>
        <w:spacing w:line="360" w:lineRule="auto"/>
        <w:rPr>
          <w:rFonts w:ascii="Arial" w:hAnsi="Arial" w:cs="Arial"/>
          <w:sz w:val="22"/>
          <w:szCs w:val="22"/>
        </w:rPr>
      </w:pPr>
    </w:p>
    <w:p w14:paraId="4DF34E05" w14:textId="77777777" w:rsidR="001012EB" w:rsidRPr="004A42E0" w:rsidRDefault="001012EB" w:rsidP="004A42E0">
      <w:pPr>
        <w:spacing w:line="360" w:lineRule="auto"/>
        <w:rPr>
          <w:rFonts w:ascii="Arial" w:hAnsi="Arial" w:cs="Arial"/>
          <w:sz w:val="22"/>
          <w:szCs w:val="22"/>
        </w:rPr>
      </w:pPr>
    </w:p>
    <w:p w14:paraId="254DAABD" w14:textId="77777777" w:rsidR="00CA4F63" w:rsidRPr="004A42E0" w:rsidRDefault="00CA4F63" w:rsidP="004A42E0">
      <w:pPr>
        <w:spacing w:line="360" w:lineRule="auto"/>
        <w:rPr>
          <w:rFonts w:ascii="Arial" w:hAnsi="Arial" w:cs="Arial"/>
          <w:sz w:val="22"/>
          <w:szCs w:val="22"/>
        </w:rPr>
      </w:pPr>
    </w:p>
    <w:sectPr w:rsidR="00CA4F63" w:rsidRPr="004A42E0" w:rsidSect="005443DE">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E5927" w14:textId="77777777" w:rsidR="00270EB7" w:rsidRDefault="00270EB7" w:rsidP="00527567">
      <w:pPr>
        <w:spacing w:after="0" w:line="240" w:lineRule="auto"/>
      </w:pPr>
      <w:r>
        <w:separator/>
      </w:r>
    </w:p>
  </w:endnote>
  <w:endnote w:type="continuationSeparator" w:id="0">
    <w:p w14:paraId="7E1C8409" w14:textId="77777777" w:rsidR="00270EB7" w:rsidRDefault="00270EB7" w:rsidP="00527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6B3FA" w14:textId="5CD9EDE9" w:rsidR="00527567" w:rsidRPr="00527567" w:rsidRDefault="00527567">
    <w:pPr>
      <w:pStyle w:val="Footer"/>
      <w:rPr>
        <w:lang w:val="en-US"/>
      </w:rPr>
    </w:pPr>
    <w:r>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C115F" w14:textId="77777777" w:rsidR="00270EB7" w:rsidRDefault="00270EB7" w:rsidP="00527567">
      <w:pPr>
        <w:spacing w:after="0" w:line="240" w:lineRule="auto"/>
      </w:pPr>
      <w:r>
        <w:separator/>
      </w:r>
    </w:p>
  </w:footnote>
  <w:footnote w:type="continuationSeparator" w:id="0">
    <w:p w14:paraId="1A33D301" w14:textId="77777777" w:rsidR="00270EB7" w:rsidRDefault="00270EB7" w:rsidP="00527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9497C"/>
    <w:multiLevelType w:val="multilevel"/>
    <w:tmpl w:val="DBEC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70EB8"/>
    <w:multiLevelType w:val="multilevel"/>
    <w:tmpl w:val="A714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A5D93"/>
    <w:multiLevelType w:val="multilevel"/>
    <w:tmpl w:val="40BE4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55347D"/>
    <w:multiLevelType w:val="multilevel"/>
    <w:tmpl w:val="A656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9B1B8E"/>
    <w:multiLevelType w:val="multilevel"/>
    <w:tmpl w:val="B3C630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3425689">
    <w:abstractNumId w:val="3"/>
  </w:num>
  <w:num w:numId="2" w16cid:durableId="825050938">
    <w:abstractNumId w:val="0"/>
  </w:num>
  <w:num w:numId="3" w16cid:durableId="21706533">
    <w:abstractNumId w:val="4"/>
  </w:num>
  <w:num w:numId="4" w16cid:durableId="852034373">
    <w:abstractNumId w:val="1"/>
  </w:num>
  <w:num w:numId="5" w16cid:durableId="1505634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11"/>
    <w:rsid w:val="00001D2F"/>
    <w:rsid w:val="00036B73"/>
    <w:rsid w:val="000B2D5E"/>
    <w:rsid w:val="001012EB"/>
    <w:rsid w:val="00177958"/>
    <w:rsid w:val="001A7260"/>
    <w:rsid w:val="00202496"/>
    <w:rsid w:val="00252263"/>
    <w:rsid w:val="002554A6"/>
    <w:rsid w:val="0026342D"/>
    <w:rsid w:val="00270EB7"/>
    <w:rsid w:val="002B1DCD"/>
    <w:rsid w:val="002B7519"/>
    <w:rsid w:val="002D3241"/>
    <w:rsid w:val="003700D5"/>
    <w:rsid w:val="00390785"/>
    <w:rsid w:val="003A6127"/>
    <w:rsid w:val="003B204D"/>
    <w:rsid w:val="003E11D0"/>
    <w:rsid w:val="003F0ADF"/>
    <w:rsid w:val="004134CF"/>
    <w:rsid w:val="00497F72"/>
    <w:rsid w:val="004A42E0"/>
    <w:rsid w:val="004B6FD1"/>
    <w:rsid w:val="004C173A"/>
    <w:rsid w:val="004C2914"/>
    <w:rsid w:val="004D494F"/>
    <w:rsid w:val="004E07F8"/>
    <w:rsid w:val="005165BA"/>
    <w:rsid w:val="00527567"/>
    <w:rsid w:val="005443DE"/>
    <w:rsid w:val="0057398D"/>
    <w:rsid w:val="00581455"/>
    <w:rsid w:val="00584656"/>
    <w:rsid w:val="0058518C"/>
    <w:rsid w:val="005D7862"/>
    <w:rsid w:val="005F2401"/>
    <w:rsid w:val="005F2E4B"/>
    <w:rsid w:val="005F6722"/>
    <w:rsid w:val="0064251C"/>
    <w:rsid w:val="006B650F"/>
    <w:rsid w:val="006B7A7B"/>
    <w:rsid w:val="007243C6"/>
    <w:rsid w:val="0074023A"/>
    <w:rsid w:val="007C726D"/>
    <w:rsid w:val="008864B6"/>
    <w:rsid w:val="008951C9"/>
    <w:rsid w:val="008B1A5B"/>
    <w:rsid w:val="008D02DA"/>
    <w:rsid w:val="00914A11"/>
    <w:rsid w:val="009D6B62"/>
    <w:rsid w:val="00A26C67"/>
    <w:rsid w:val="00A565FE"/>
    <w:rsid w:val="00AC3AC8"/>
    <w:rsid w:val="00B037D0"/>
    <w:rsid w:val="00B92CAA"/>
    <w:rsid w:val="00BA3DC2"/>
    <w:rsid w:val="00BC372E"/>
    <w:rsid w:val="00BD1718"/>
    <w:rsid w:val="00BE5BBA"/>
    <w:rsid w:val="00C8289E"/>
    <w:rsid w:val="00CA4F63"/>
    <w:rsid w:val="00CC5BFA"/>
    <w:rsid w:val="00D26DA3"/>
    <w:rsid w:val="00D77A72"/>
    <w:rsid w:val="00DE30C9"/>
    <w:rsid w:val="00E1171C"/>
    <w:rsid w:val="00E34244"/>
    <w:rsid w:val="00E604A2"/>
    <w:rsid w:val="00E65710"/>
    <w:rsid w:val="00E71ABE"/>
    <w:rsid w:val="00E86DEB"/>
    <w:rsid w:val="00EF25A9"/>
    <w:rsid w:val="00F36C94"/>
    <w:rsid w:val="00F47174"/>
    <w:rsid w:val="00F7769D"/>
    <w:rsid w:val="00FC6AC4"/>
    <w:rsid w:val="00FF3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713DD"/>
  <w15:chartTrackingRefBased/>
  <w15:docId w15:val="{ADA75547-8CF9-4905-83E4-C4F63BC35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A11"/>
    <w:rPr>
      <w:rFonts w:eastAsiaTheme="majorEastAsia" w:cstheme="majorBidi"/>
      <w:color w:val="272727" w:themeColor="text1" w:themeTint="D8"/>
    </w:rPr>
  </w:style>
  <w:style w:type="paragraph" w:styleId="Title">
    <w:name w:val="Title"/>
    <w:basedOn w:val="Normal"/>
    <w:next w:val="Normal"/>
    <w:link w:val="TitleChar"/>
    <w:uiPriority w:val="10"/>
    <w:qFormat/>
    <w:rsid w:val="00914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A11"/>
    <w:pPr>
      <w:spacing w:before="160"/>
      <w:jc w:val="center"/>
    </w:pPr>
    <w:rPr>
      <w:i/>
      <w:iCs/>
      <w:color w:val="404040" w:themeColor="text1" w:themeTint="BF"/>
    </w:rPr>
  </w:style>
  <w:style w:type="character" w:customStyle="1" w:styleId="QuoteChar">
    <w:name w:val="Quote Char"/>
    <w:basedOn w:val="DefaultParagraphFont"/>
    <w:link w:val="Quote"/>
    <w:uiPriority w:val="29"/>
    <w:rsid w:val="00914A11"/>
    <w:rPr>
      <w:i/>
      <w:iCs/>
      <w:color w:val="404040" w:themeColor="text1" w:themeTint="BF"/>
    </w:rPr>
  </w:style>
  <w:style w:type="paragraph" w:styleId="ListParagraph">
    <w:name w:val="List Paragraph"/>
    <w:basedOn w:val="Normal"/>
    <w:uiPriority w:val="34"/>
    <w:qFormat/>
    <w:rsid w:val="00914A11"/>
    <w:pPr>
      <w:ind w:left="720"/>
      <w:contextualSpacing/>
    </w:pPr>
  </w:style>
  <w:style w:type="character" w:styleId="IntenseEmphasis">
    <w:name w:val="Intense Emphasis"/>
    <w:basedOn w:val="DefaultParagraphFont"/>
    <w:uiPriority w:val="21"/>
    <w:qFormat/>
    <w:rsid w:val="00914A11"/>
    <w:rPr>
      <w:i/>
      <w:iCs/>
      <w:color w:val="0F4761" w:themeColor="accent1" w:themeShade="BF"/>
    </w:rPr>
  </w:style>
  <w:style w:type="paragraph" w:styleId="IntenseQuote">
    <w:name w:val="Intense Quote"/>
    <w:basedOn w:val="Normal"/>
    <w:next w:val="Normal"/>
    <w:link w:val="IntenseQuoteChar"/>
    <w:uiPriority w:val="30"/>
    <w:qFormat/>
    <w:rsid w:val="00914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A11"/>
    <w:rPr>
      <w:i/>
      <w:iCs/>
      <w:color w:val="0F4761" w:themeColor="accent1" w:themeShade="BF"/>
    </w:rPr>
  </w:style>
  <w:style w:type="character" w:styleId="IntenseReference">
    <w:name w:val="Intense Reference"/>
    <w:basedOn w:val="DefaultParagraphFont"/>
    <w:uiPriority w:val="32"/>
    <w:qFormat/>
    <w:rsid w:val="00914A11"/>
    <w:rPr>
      <w:b/>
      <w:bCs/>
      <w:smallCaps/>
      <w:color w:val="0F4761" w:themeColor="accent1" w:themeShade="BF"/>
      <w:spacing w:val="5"/>
    </w:rPr>
  </w:style>
  <w:style w:type="character" w:styleId="Hyperlink">
    <w:name w:val="Hyperlink"/>
    <w:basedOn w:val="DefaultParagraphFont"/>
    <w:uiPriority w:val="99"/>
    <w:unhideWhenUsed/>
    <w:rsid w:val="001012EB"/>
    <w:rPr>
      <w:color w:val="467886" w:themeColor="hyperlink"/>
      <w:u w:val="single"/>
    </w:rPr>
  </w:style>
  <w:style w:type="character" w:styleId="UnresolvedMention">
    <w:name w:val="Unresolved Mention"/>
    <w:basedOn w:val="DefaultParagraphFont"/>
    <w:uiPriority w:val="99"/>
    <w:semiHidden/>
    <w:unhideWhenUsed/>
    <w:rsid w:val="001012EB"/>
    <w:rPr>
      <w:color w:val="605E5C"/>
      <w:shd w:val="clear" w:color="auto" w:fill="E1DFDD"/>
    </w:rPr>
  </w:style>
  <w:style w:type="paragraph" w:styleId="TOCHeading">
    <w:name w:val="TOC Heading"/>
    <w:basedOn w:val="Heading1"/>
    <w:next w:val="Normal"/>
    <w:uiPriority w:val="39"/>
    <w:unhideWhenUsed/>
    <w:qFormat/>
    <w:rsid w:val="004B6FD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B6FD1"/>
    <w:pPr>
      <w:spacing w:after="100"/>
    </w:pPr>
  </w:style>
  <w:style w:type="paragraph" w:styleId="NoSpacing">
    <w:name w:val="No Spacing"/>
    <w:link w:val="NoSpacingChar"/>
    <w:uiPriority w:val="1"/>
    <w:qFormat/>
    <w:rsid w:val="005443D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443DE"/>
    <w:rPr>
      <w:rFonts w:eastAsiaTheme="minorEastAsia"/>
      <w:kern w:val="0"/>
      <w:sz w:val="22"/>
      <w:szCs w:val="22"/>
      <w:lang w:val="en-US"/>
      <w14:ligatures w14:val="none"/>
    </w:rPr>
  </w:style>
  <w:style w:type="paragraph" w:styleId="Header">
    <w:name w:val="header"/>
    <w:basedOn w:val="Normal"/>
    <w:link w:val="HeaderChar"/>
    <w:uiPriority w:val="99"/>
    <w:unhideWhenUsed/>
    <w:rsid w:val="00527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567"/>
  </w:style>
  <w:style w:type="paragraph" w:styleId="Footer">
    <w:name w:val="footer"/>
    <w:basedOn w:val="Normal"/>
    <w:link w:val="FooterChar"/>
    <w:uiPriority w:val="99"/>
    <w:unhideWhenUsed/>
    <w:rsid w:val="00527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5/9/cont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ice.org.uk/guidance/ng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enacted" TargetMode="External"/><Relationship Id="rId5" Type="http://schemas.openxmlformats.org/officeDocument/2006/relationships/webSettings" Target="webSettings.xml"/><Relationship Id="rId15" Type="http://schemas.openxmlformats.org/officeDocument/2006/relationships/hyperlink" Target="https://www.legislation.gov.uk/ukpga/2018/12/contents" TargetMode="External"/><Relationship Id="rId10" Type="http://schemas.openxmlformats.org/officeDocument/2006/relationships/hyperlink" Target="https://www.cqc.org.uk/what-we-do/how-we-do-our-job/fundamental-standard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si/2014/2936/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608DC-81BB-4649-A93B-2EE29A47D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10</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Mrs Thompson’s Case Study</dc:title>
  <dc:subject>Introduction to Public Health</dc:subject>
  <dc:creator>Sobia Zafar    2522561</dc:creator>
  <cp:keywords/>
  <dc:description/>
  <cp:lastModifiedBy>Sobia Zafar</cp:lastModifiedBy>
  <cp:revision>67</cp:revision>
  <dcterms:created xsi:type="dcterms:W3CDTF">2026-06-29T18:38:00Z</dcterms:created>
  <dcterms:modified xsi:type="dcterms:W3CDTF">2026-07-20T03:53:00Z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da2bf056-b8a5-4700-8637-148214178237</vt:lpwstr>
  </property>
</Properties>
</file>