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3CC0F" w14:textId="77777777" w:rsidR="00836AEB" w:rsidRDefault="00836AEB" w:rsidP="00163B46">
      <w:pPr>
        <w:spacing w:line="720" w:lineRule="auto"/>
        <w:jc w:val="center"/>
        <w:rPr>
          <w:b/>
          <w:bCs/>
          <w:lang w:val="en-GB"/>
        </w:rPr>
      </w:pPr>
    </w:p>
    <w:p w14:paraId="76BF7FD1" w14:textId="18A88284" w:rsidR="00792E93" w:rsidRDefault="00163B46" w:rsidP="00163B46">
      <w:pPr>
        <w:spacing w:line="720" w:lineRule="auto"/>
        <w:jc w:val="center"/>
        <w:rPr>
          <w:b/>
          <w:bCs/>
          <w:lang w:val="en-GB"/>
        </w:rPr>
      </w:pPr>
      <w:r>
        <w:rPr>
          <w:b/>
          <w:bCs/>
          <w:lang w:val="en-GB"/>
        </w:rPr>
        <w:t xml:space="preserve">Name – Shivcharan Mistry </w:t>
      </w:r>
    </w:p>
    <w:p w14:paraId="7631ABC6" w14:textId="77777777" w:rsidR="00163B46" w:rsidRDefault="00163B46" w:rsidP="00163B46">
      <w:pPr>
        <w:spacing w:line="720" w:lineRule="auto"/>
        <w:jc w:val="center"/>
        <w:rPr>
          <w:b/>
          <w:bCs/>
          <w:lang w:val="en-GB"/>
        </w:rPr>
      </w:pPr>
    </w:p>
    <w:p w14:paraId="5A86FE0C" w14:textId="7F9B5146" w:rsidR="00163B46" w:rsidRDefault="00163B46" w:rsidP="00163B46">
      <w:pPr>
        <w:spacing w:line="720" w:lineRule="auto"/>
        <w:jc w:val="center"/>
        <w:rPr>
          <w:b/>
          <w:bCs/>
          <w:lang w:val="en-GB"/>
        </w:rPr>
      </w:pPr>
      <w:r>
        <w:rPr>
          <w:b/>
          <w:bCs/>
          <w:lang w:val="en-GB"/>
        </w:rPr>
        <w:t xml:space="preserve">Student Id – 2244603 </w:t>
      </w:r>
    </w:p>
    <w:p w14:paraId="391524F2" w14:textId="77777777" w:rsidR="00163B46" w:rsidRDefault="00163B46" w:rsidP="00163B46">
      <w:pPr>
        <w:spacing w:line="720" w:lineRule="auto"/>
        <w:jc w:val="center"/>
        <w:rPr>
          <w:b/>
          <w:bCs/>
          <w:lang w:val="en-GB"/>
        </w:rPr>
      </w:pPr>
    </w:p>
    <w:p w14:paraId="0E20BA70" w14:textId="5227E564" w:rsidR="00163B46" w:rsidRDefault="00163B46" w:rsidP="00163B46">
      <w:pPr>
        <w:spacing w:line="720" w:lineRule="auto"/>
        <w:jc w:val="center"/>
        <w:rPr>
          <w:b/>
          <w:bCs/>
          <w:lang w:val="en-GB"/>
        </w:rPr>
      </w:pPr>
      <w:r>
        <w:rPr>
          <w:b/>
          <w:bCs/>
          <w:lang w:val="en-GB"/>
        </w:rPr>
        <w:t>Subject Name – Corporate Finance (LCMB7005)</w:t>
      </w:r>
    </w:p>
    <w:p w14:paraId="68B65301" w14:textId="77777777" w:rsidR="00163B46" w:rsidRDefault="00163B46" w:rsidP="00163B46">
      <w:pPr>
        <w:spacing w:line="720" w:lineRule="auto"/>
        <w:jc w:val="center"/>
        <w:rPr>
          <w:b/>
          <w:bCs/>
          <w:lang w:val="en-GB"/>
        </w:rPr>
      </w:pPr>
    </w:p>
    <w:p w14:paraId="1E16123A" w14:textId="4A5F12D6" w:rsidR="00163B46" w:rsidRDefault="00163B46" w:rsidP="00163B46">
      <w:pPr>
        <w:spacing w:line="720" w:lineRule="auto"/>
        <w:jc w:val="center"/>
        <w:rPr>
          <w:b/>
          <w:bCs/>
          <w:lang w:val="en-GB"/>
        </w:rPr>
      </w:pPr>
      <w:r>
        <w:rPr>
          <w:b/>
          <w:bCs/>
          <w:lang w:val="en-GB"/>
        </w:rPr>
        <w:t>Assignment name - Corporate Finance</w:t>
      </w:r>
    </w:p>
    <w:p w14:paraId="2911BD9F" w14:textId="77777777" w:rsidR="00163B46" w:rsidRDefault="00163B46" w:rsidP="00163B46">
      <w:pPr>
        <w:spacing w:line="720" w:lineRule="auto"/>
        <w:jc w:val="center"/>
        <w:rPr>
          <w:b/>
          <w:bCs/>
          <w:lang w:val="en-GB"/>
        </w:rPr>
      </w:pPr>
    </w:p>
    <w:p w14:paraId="3FEF2DE8" w14:textId="14A61C98" w:rsidR="00163B46" w:rsidRDefault="00163B46" w:rsidP="00163B46">
      <w:pPr>
        <w:spacing w:line="720" w:lineRule="auto"/>
        <w:jc w:val="center"/>
        <w:rPr>
          <w:b/>
          <w:bCs/>
          <w:lang w:val="en-GB"/>
        </w:rPr>
      </w:pPr>
      <w:r>
        <w:rPr>
          <w:b/>
          <w:bCs/>
          <w:lang w:val="en-GB"/>
        </w:rPr>
        <w:t xml:space="preserve">Professor Name – David Jenkins </w:t>
      </w:r>
    </w:p>
    <w:p w14:paraId="57AE495C" w14:textId="77777777" w:rsidR="00163B46" w:rsidRDefault="00163B46" w:rsidP="00163B46">
      <w:pPr>
        <w:jc w:val="center"/>
        <w:rPr>
          <w:b/>
          <w:bCs/>
          <w:lang w:val="en-GB"/>
        </w:rPr>
      </w:pPr>
    </w:p>
    <w:p w14:paraId="66AED619" w14:textId="77777777" w:rsidR="00163B46" w:rsidRDefault="00163B46" w:rsidP="00163B46">
      <w:pPr>
        <w:jc w:val="center"/>
        <w:rPr>
          <w:b/>
          <w:bCs/>
          <w:lang w:val="en-GB"/>
        </w:rPr>
      </w:pPr>
    </w:p>
    <w:p w14:paraId="2D896050" w14:textId="77777777" w:rsidR="00163B46" w:rsidRDefault="00163B46" w:rsidP="00163B46">
      <w:pPr>
        <w:jc w:val="center"/>
        <w:rPr>
          <w:b/>
          <w:bCs/>
          <w:lang w:val="en-GB"/>
        </w:rPr>
      </w:pPr>
    </w:p>
    <w:p w14:paraId="6F03559B" w14:textId="77777777" w:rsidR="00163B46" w:rsidRDefault="00163B46" w:rsidP="00163B46">
      <w:pPr>
        <w:jc w:val="center"/>
        <w:rPr>
          <w:b/>
          <w:bCs/>
          <w:lang w:val="en-GB"/>
        </w:rPr>
      </w:pPr>
    </w:p>
    <w:p w14:paraId="603ED99D" w14:textId="77777777" w:rsidR="00163B46" w:rsidRDefault="00163B46" w:rsidP="00163B46">
      <w:pPr>
        <w:jc w:val="center"/>
        <w:rPr>
          <w:b/>
          <w:bCs/>
          <w:lang w:val="en-GB"/>
        </w:rPr>
      </w:pPr>
    </w:p>
    <w:p w14:paraId="3F1E026C" w14:textId="77777777" w:rsidR="00163B46" w:rsidRDefault="00163B46" w:rsidP="00163B46">
      <w:pPr>
        <w:jc w:val="center"/>
        <w:rPr>
          <w:b/>
          <w:bCs/>
          <w:lang w:val="en-GB"/>
        </w:rPr>
      </w:pPr>
    </w:p>
    <w:p w14:paraId="7851BDB1" w14:textId="77777777" w:rsidR="00163B46" w:rsidRDefault="00163B46" w:rsidP="00163B46">
      <w:pPr>
        <w:jc w:val="center"/>
        <w:rPr>
          <w:b/>
          <w:bCs/>
          <w:lang w:val="en-GB"/>
        </w:rPr>
      </w:pPr>
    </w:p>
    <w:p w14:paraId="28BD4922" w14:textId="77777777" w:rsidR="00163B46" w:rsidRDefault="00163B46" w:rsidP="00163B46">
      <w:pPr>
        <w:jc w:val="center"/>
        <w:rPr>
          <w:b/>
          <w:bCs/>
          <w:lang w:val="en-GB"/>
        </w:rPr>
      </w:pPr>
    </w:p>
    <w:p w14:paraId="47A4A28D" w14:textId="77777777" w:rsidR="00163B46" w:rsidRDefault="00163B46" w:rsidP="00163B46">
      <w:pPr>
        <w:jc w:val="center"/>
        <w:rPr>
          <w:b/>
          <w:bCs/>
          <w:lang w:val="en-GB"/>
        </w:rPr>
      </w:pPr>
    </w:p>
    <w:p w14:paraId="28F181B2" w14:textId="77777777" w:rsidR="00163B46" w:rsidRDefault="00163B46" w:rsidP="00163B46">
      <w:pPr>
        <w:jc w:val="center"/>
        <w:rPr>
          <w:b/>
          <w:bCs/>
          <w:lang w:val="en-GB"/>
        </w:rPr>
      </w:pPr>
    </w:p>
    <w:p w14:paraId="04471F8D" w14:textId="77777777" w:rsidR="00163B46" w:rsidRDefault="00163B46" w:rsidP="00163B46">
      <w:pPr>
        <w:jc w:val="center"/>
        <w:rPr>
          <w:b/>
          <w:bCs/>
          <w:lang w:val="en-GB"/>
        </w:rPr>
      </w:pPr>
    </w:p>
    <w:p w14:paraId="7C058FCA" w14:textId="77777777" w:rsidR="00163B46" w:rsidRDefault="00163B46" w:rsidP="00163B46">
      <w:pPr>
        <w:jc w:val="center"/>
        <w:rPr>
          <w:b/>
          <w:bCs/>
          <w:lang w:val="en-GB"/>
        </w:rPr>
      </w:pPr>
    </w:p>
    <w:p w14:paraId="10BF130A" w14:textId="77777777" w:rsidR="00163B46" w:rsidRDefault="00163B46" w:rsidP="00163B46">
      <w:pPr>
        <w:jc w:val="center"/>
        <w:rPr>
          <w:b/>
          <w:bCs/>
          <w:lang w:val="en-GB"/>
        </w:rPr>
      </w:pPr>
    </w:p>
    <w:p w14:paraId="70D25F14" w14:textId="77777777" w:rsidR="00163B46" w:rsidRDefault="00163B46" w:rsidP="00163B46">
      <w:pPr>
        <w:jc w:val="center"/>
        <w:rPr>
          <w:b/>
          <w:bCs/>
          <w:lang w:val="en-GB"/>
        </w:rPr>
      </w:pPr>
    </w:p>
    <w:p w14:paraId="1690C1E9" w14:textId="77777777" w:rsidR="00163B46" w:rsidRDefault="00163B46" w:rsidP="00163B46">
      <w:pPr>
        <w:jc w:val="center"/>
        <w:rPr>
          <w:b/>
          <w:bCs/>
          <w:lang w:val="en-GB"/>
        </w:rPr>
      </w:pPr>
    </w:p>
    <w:p w14:paraId="25BF1A5A" w14:textId="77777777" w:rsidR="00163B46" w:rsidRDefault="00163B46" w:rsidP="00163B46">
      <w:pPr>
        <w:jc w:val="center"/>
        <w:rPr>
          <w:b/>
          <w:bCs/>
          <w:lang w:val="en-GB"/>
        </w:rPr>
      </w:pPr>
    </w:p>
    <w:sdt>
      <w:sdtPr>
        <w:rPr>
          <w:rFonts w:ascii="Arial" w:eastAsia="Arial MT" w:hAnsi="Arial" w:cs="Arial MT"/>
          <w:color w:val="auto"/>
          <w:sz w:val="28"/>
          <w:szCs w:val="22"/>
        </w:rPr>
        <w:id w:val="1967232580"/>
        <w:docPartObj>
          <w:docPartGallery w:val="Table of Contents"/>
          <w:docPartUnique/>
        </w:docPartObj>
      </w:sdtPr>
      <w:sdtEndPr>
        <w:rPr>
          <w:b/>
          <w:bCs/>
          <w:noProof/>
        </w:rPr>
      </w:sdtEndPr>
      <w:sdtContent>
        <w:p w14:paraId="340C6A40" w14:textId="77777777" w:rsidR="00163B46" w:rsidRDefault="00163B46" w:rsidP="00163B46">
          <w:pPr>
            <w:pStyle w:val="TOCHeading"/>
            <w:jc w:val="center"/>
          </w:pPr>
        </w:p>
        <w:p w14:paraId="362946BF" w14:textId="5A957DEA" w:rsidR="00163B46" w:rsidRDefault="00163B46" w:rsidP="00163B46">
          <w:pPr>
            <w:pStyle w:val="TOCHeading"/>
            <w:jc w:val="center"/>
          </w:pPr>
          <w:r>
            <w:t>Table of Contents</w:t>
          </w:r>
        </w:p>
        <w:p w14:paraId="7EB8DA17" w14:textId="21F4FF07" w:rsidR="002B3659" w:rsidRDefault="00163B46">
          <w:pPr>
            <w:pStyle w:val="TOC1"/>
            <w:rPr>
              <w:rFonts w:asciiTheme="minorHAnsi" w:eastAsiaTheme="minorEastAsia" w:hAnsiTheme="minorHAnsi" w:cstheme="minorBidi"/>
              <w:noProof/>
              <w:kern w:val="2"/>
              <w:sz w:val="22"/>
              <w:lang w:val="en-GB" w:eastAsia="zh-CN"/>
              <w14:ligatures w14:val="standardContextual"/>
            </w:rPr>
          </w:pPr>
          <w:r>
            <w:fldChar w:fldCharType="begin"/>
          </w:r>
          <w:r>
            <w:instrText xml:space="preserve"> TOC \o "1-3" \h \z \u </w:instrText>
          </w:r>
          <w:r>
            <w:fldChar w:fldCharType="separate"/>
          </w:r>
          <w:hyperlink w:anchor="_Toc151378343" w:history="1">
            <w:r w:rsidR="002B3659" w:rsidRPr="00607790">
              <w:rPr>
                <w:rStyle w:val="Hyperlink"/>
                <w:noProof/>
              </w:rPr>
              <w:t>Part – A</w:t>
            </w:r>
            <w:r w:rsidR="002B3659">
              <w:rPr>
                <w:noProof/>
                <w:webHidden/>
              </w:rPr>
              <w:tab/>
            </w:r>
            <w:r w:rsidR="002B3659">
              <w:rPr>
                <w:noProof/>
                <w:webHidden/>
              </w:rPr>
              <w:fldChar w:fldCharType="begin"/>
            </w:r>
            <w:r w:rsidR="002B3659">
              <w:rPr>
                <w:noProof/>
                <w:webHidden/>
              </w:rPr>
              <w:instrText xml:space="preserve"> PAGEREF _Toc151378343 \h </w:instrText>
            </w:r>
            <w:r w:rsidR="002B3659">
              <w:rPr>
                <w:noProof/>
                <w:webHidden/>
              </w:rPr>
            </w:r>
            <w:r w:rsidR="002B3659">
              <w:rPr>
                <w:noProof/>
                <w:webHidden/>
              </w:rPr>
              <w:fldChar w:fldCharType="separate"/>
            </w:r>
            <w:r w:rsidR="002B3659">
              <w:rPr>
                <w:noProof/>
                <w:webHidden/>
              </w:rPr>
              <w:t>1</w:t>
            </w:r>
            <w:r w:rsidR="002B3659">
              <w:rPr>
                <w:noProof/>
                <w:webHidden/>
              </w:rPr>
              <w:fldChar w:fldCharType="end"/>
            </w:r>
          </w:hyperlink>
        </w:p>
        <w:p w14:paraId="1493A6A9" w14:textId="1DAEFF17"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4" w:history="1">
            <w:r w:rsidRPr="00607790">
              <w:rPr>
                <w:rStyle w:val="Hyperlink"/>
                <w:noProof/>
              </w:rPr>
              <w:t>1. Introduction</w:t>
            </w:r>
            <w:r>
              <w:rPr>
                <w:noProof/>
                <w:webHidden/>
              </w:rPr>
              <w:tab/>
            </w:r>
            <w:r>
              <w:rPr>
                <w:noProof/>
                <w:webHidden/>
              </w:rPr>
              <w:fldChar w:fldCharType="begin"/>
            </w:r>
            <w:r>
              <w:rPr>
                <w:noProof/>
                <w:webHidden/>
              </w:rPr>
              <w:instrText xml:space="preserve"> PAGEREF _Toc151378344 \h </w:instrText>
            </w:r>
            <w:r>
              <w:rPr>
                <w:noProof/>
                <w:webHidden/>
              </w:rPr>
            </w:r>
            <w:r>
              <w:rPr>
                <w:noProof/>
                <w:webHidden/>
              </w:rPr>
              <w:fldChar w:fldCharType="separate"/>
            </w:r>
            <w:r>
              <w:rPr>
                <w:noProof/>
                <w:webHidden/>
              </w:rPr>
              <w:t>1</w:t>
            </w:r>
            <w:r>
              <w:rPr>
                <w:noProof/>
                <w:webHidden/>
              </w:rPr>
              <w:fldChar w:fldCharType="end"/>
            </w:r>
          </w:hyperlink>
        </w:p>
        <w:p w14:paraId="7F6D5012" w14:textId="7653A379"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5" w:history="1">
            <w:r w:rsidRPr="00607790">
              <w:rPr>
                <w:rStyle w:val="Hyperlink"/>
                <w:noProof/>
              </w:rPr>
              <w:t>2. Changes in Vodafone PLC Board of Directors</w:t>
            </w:r>
            <w:r>
              <w:rPr>
                <w:noProof/>
                <w:webHidden/>
              </w:rPr>
              <w:tab/>
            </w:r>
            <w:r>
              <w:rPr>
                <w:noProof/>
                <w:webHidden/>
              </w:rPr>
              <w:fldChar w:fldCharType="begin"/>
            </w:r>
            <w:r>
              <w:rPr>
                <w:noProof/>
                <w:webHidden/>
              </w:rPr>
              <w:instrText xml:space="preserve"> PAGEREF _Toc151378345 \h </w:instrText>
            </w:r>
            <w:r>
              <w:rPr>
                <w:noProof/>
                <w:webHidden/>
              </w:rPr>
            </w:r>
            <w:r>
              <w:rPr>
                <w:noProof/>
                <w:webHidden/>
              </w:rPr>
              <w:fldChar w:fldCharType="separate"/>
            </w:r>
            <w:r>
              <w:rPr>
                <w:noProof/>
                <w:webHidden/>
              </w:rPr>
              <w:t>1</w:t>
            </w:r>
            <w:r>
              <w:rPr>
                <w:noProof/>
                <w:webHidden/>
              </w:rPr>
              <w:fldChar w:fldCharType="end"/>
            </w:r>
          </w:hyperlink>
        </w:p>
        <w:p w14:paraId="1FA5C8F6" w14:textId="14468DB1"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6" w:history="1">
            <w:r w:rsidRPr="00607790">
              <w:rPr>
                <w:rStyle w:val="Hyperlink"/>
                <w:noProof/>
                <w:lang w:val="en-GB"/>
              </w:rPr>
              <w:t>3. Significant changes in financial performance and earnings</w:t>
            </w:r>
            <w:r>
              <w:rPr>
                <w:noProof/>
                <w:webHidden/>
              </w:rPr>
              <w:tab/>
            </w:r>
            <w:r>
              <w:rPr>
                <w:noProof/>
                <w:webHidden/>
              </w:rPr>
              <w:fldChar w:fldCharType="begin"/>
            </w:r>
            <w:r>
              <w:rPr>
                <w:noProof/>
                <w:webHidden/>
              </w:rPr>
              <w:instrText xml:space="preserve"> PAGEREF _Toc151378346 \h </w:instrText>
            </w:r>
            <w:r>
              <w:rPr>
                <w:noProof/>
                <w:webHidden/>
              </w:rPr>
            </w:r>
            <w:r>
              <w:rPr>
                <w:noProof/>
                <w:webHidden/>
              </w:rPr>
              <w:fldChar w:fldCharType="separate"/>
            </w:r>
            <w:r>
              <w:rPr>
                <w:noProof/>
                <w:webHidden/>
              </w:rPr>
              <w:t>1</w:t>
            </w:r>
            <w:r>
              <w:rPr>
                <w:noProof/>
                <w:webHidden/>
              </w:rPr>
              <w:fldChar w:fldCharType="end"/>
            </w:r>
          </w:hyperlink>
        </w:p>
        <w:p w14:paraId="361B5A1D" w14:textId="00FBFB5A"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7" w:history="1">
            <w:r w:rsidRPr="00607790">
              <w:rPr>
                <w:rStyle w:val="Hyperlink"/>
                <w:noProof/>
              </w:rPr>
              <w:t>4. Liquidity Ratio</w:t>
            </w:r>
            <w:r>
              <w:rPr>
                <w:noProof/>
                <w:webHidden/>
              </w:rPr>
              <w:tab/>
            </w:r>
            <w:r>
              <w:rPr>
                <w:noProof/>
                <w:webHidden/>
              </w:rPr>
              <w:fldChar w:fldCharType="begin"/>
            </w:r>
            <w:r>
              <w:rPr>
                <w:noProof/>
                <w:webHidden/>
              </w:rPr>
              <w:instrText xml:space="preserve"> PAGEREF _Toc151378347 \h </w:instrText>
            </w:r>
            <w:r>
              <w:rPr>
                <w:noProof/>
                <w:webHidden/>
              </w:rPr>
            </w:r>
            <w:r>
              <w:rPr>
                <w:noProof/>
                <w:webHidden/>
              </w:rPr>
              <w:fldChar w:fldCharType="separate"/>
            </w:r>
            <w:r>
              <w:rPr>
                <w:noProof/>
                <w:webHidden/>
              </w:rPr>
              <w:t>3</w:t>
            </w:r>
            <w:r>
              <w:rPr>
                <w:noProof/>
                <w:webHidden/>
              </w:rPr>
              <w:fldChar w:fldCharType="end"/>
            </w:r>
          </w:hyperlink>
        </w:p>
        <w:p w14:paraId="525CCEB8" w14:textId="7F2CFDBB"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48" w:history="1">
            <w:r w:rsidRPr="00607790">
              <w:rPr>
                <w:rStyle w:val="Hyperlink"/>
                <w:noProof/>
                <w:shd w:val="clear" w:color="auto" w:fill="FBFBFB"/>
              </w:rPr>
              <w:t>5. Current Ratio</w:t>
            </w:r>
            <w:r>
              <w:rPr>
                <w:noProof/>
                <w:webHidden/>
              </w:rPr>
              <w:tab/>
            </w:r>
            <w:r>
              <w:rPr>
                <w:noProof/>
                <w:webHidden/>
              </w:rPr>
              <w:fldChar w:fldCharType="begin"/>
            </w:r>
            <w:r>
              <w:rPr>
                <w:noProof/>
                <w:webHidden/>
              </w:rPr>
              <w:instrText xml:space="preserve"> PAGEREF _Toc151378348 \h </w:instrText>
            </w:r>
            <w:r>
              <w:rPr>
                <w:noProof/>
                <w:webHidden/>
              </w:rPr>
            </w:r>
            <w:r>
              <w:rPr>
                <w:noProof/>
                <w:webHidden/>
              </w:rPr>
              <w:fldChar w:fldCharType="separate"/>
            </w:r>
            <w:r>
              <w:rPr>
                <w:noProof/>
                <w:webHidden/>
              </w:rPr>
              <w:t>3</w:t>
            </w:r>
            <w:r>
              <w:rPr>
                <w:noProof/>
                <w:webHidden/>
              </w:rPr>
              <w:fldChar w:fldCharType="end"/>
            </w:r>
          </w:hyperlink>
        </w:p>
        <w:p w14:paraId="4D734DEC" w14:textId="016FF84F"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49" w:history="1">
            <w:r w:rsidRPr="00607790">
              <w:rPr>
                <w:rStyle w:val="Hyperlink"/>
                <w:noProof/>
              </w:rPr>
              <w:t>5.1 The Strategic Significance of the Current Ratio</w:t>
            </w:r>
            <w:r>
              <w:rPr>
                <w:noProof/>
                <w:webHidden/>
              </w:rPr>
              <w:tab/>
            </w:r>
            <w:r>
              <w:rPr>
                <w:noProof/>
                <w:webHidden/>
              </w:rPr>
              <w:fldChar w:fldCharType="begin"/>
            </w:r>
            <w:r>
              <w:rPr>
                <w:noProof/>
                <w:webHidden/>
              </w:rPr>
              <w:instrText xml:space="preserve"> PAGEREF _Toc151378349 \h </w:instrText>
            </w:r>
            <w:r>
              <w:rPr>
                <w:noProof/>
                <w:webHidden/>
              </w:rPr>
            </w:r>
            <w:r>
              <w:rPr>
                <w:noProof/>
                <w:webHidden/>
              </w:rPr>
              <w:fldChar w:fldCharType="separate"/>
            </w:r>
            <w:r>
              <w:rPr>
                <w:noProof/>
                <w:webHidden/>
              </w:rPr>
              <w:t>4</w:t>
            </w:r>
            <w:r>
              <w:rPr>
                <w:noProof/>
                <w:webHidden/>
              </w:rPr>
              <w:fldChar w:fldCharType="end"/>
            </w:r>
          </w:hyperlink>
        </w:p>
        <w:p w14:paraId="5B8131D9" w14:textId="58A5B377"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50" w:history="1">
            <w:r w:rsidRPr="00607790">
              <w:rPr>
                <w:rStyle w:val="Hyperlink"/>
                <w:noProof/>
              </w:rPr>
              <w:t>5.2 Table Analysis</w:t>
            </w:r>
            <w:r>
              <w:rPr>
                <w:noProof/>
                <w:webHidden/>
              </w:rPr>
              <w:tab/>
            </w:r>
            <w:r>
              <w:rPr>
                <w:noProof/>
                <w:webHidden/>
              </w:rPr>
              <w:fldChar w:fldCharType="begin"/>
            </w:r>
            <w:r>
              <w:rPr>
                <w:noProof/>
                <w:webHidden/>
              </w:rPr>
              <w:instrText xml:space="preserve"> PAGEREF _Toc151378350 \h </w:instrText>
            </w:r>
            <w:r>
              <w:rPr>
                <w:noProof/>
                <w:webHidden/>
              </w:rPr>
            </w:r>
            <w:r>
              <w:rPr>
                <w:noProof/>
                <w:webHidden/>
              </w:rPr>
              <w:fldChar w:fldCharType="separate"/>
            </w:r>
            <w:r>
              <w:rPr>
                <w:noProof/>
                <w:webHidden/>
              </w:rPr>
              <w:t>5</w:t>
            </w:r>
            <w:r>
              <w:rPr>
                <w:noProof/>
                <w:webHidden/>
              </w:rPr>
              <w:fldChar w:fldCharType="end"/>
            </w:r>
          </w:hyperlink>
        </w:p>
        <w:p w14:paraId="066226E1" w14:textId="5A92F3A8"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51" w:history="1">
            <w:r w:rsidRPr="00607790">
              <w:rPr>
                <w:rStyle w:val="Hyperlink"/>
                <w:noProof/>
                <w:shd w:val="clear" w:color="auto" w:fill="FFFFFF"/>
              </w:rPr>
              <w:t>6. Cash Ratio: A Measure of Immediate Liquidity</w:t>
            </w:r>
            <w:r>
              <w:rPr>
                <w:noProof/>
                <w:webHidden/>
              </w:rPr>
              <w:tab/>
            </w:r>
            <w:r>
              <w:rPr>
                <w:noProof/>
                <w:webHidden/>
              </w:rPr>
              <w:fldChar w:fldCharType="begin"/>
            </w:r>
            <w:r>
              <w:rPr>
                <w:noProof/>
                <w:webHidden/>
              </w:rPr>
              <w:instrText xml:space="preserve"> PAGEREF _Toc151378351 \h </w:instrText>
            </w:r>
            <w:r>
              <w:rPr>
                <w:noProof/>
                <w:webHidden/>
              </w:rPr>
            </w:r>
            <w:r>
              <w:rPr>
                <w:noProof/>
                <w:webHidden/>
              </w:rPr>
              <w:fldChar w:fldCharType="separate"/>
            </w:r>
            <w:r>
              <w:rPr>
                <w:noProof/>
                <w:webHidden/>
              </w:rPr>
              <w:t>5</w:t>
            </w:r>
            <w:r>
              <w:rPr>
                <w:noProof/>
                <w:webHidden/>
              </w:rPr>
              <w:fldChar w:fldCharType="end"/>
            </w:r>
          </w:hyperlink>
        </w:p>
        <w:p w14:paraId="7E7A3F6E" w14:textId="1F77EA6F"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52" w:history="1">
            <w:r w:rsidRPr="00607790">
              <w:rPr>
                <w:rStyle w:val="Hyperlink"/>
                <w:noProof/>
              </w:rPr>
              <w:t>6.1 Why I choose Cash Ratio</w:t>
            </w:r>
            <w:r>
              <w:rPr>
                <w:noProof/>
                <w:webHidden/>
              </w:rPr>
              <w:tab/>
            </w:r>
            <w:r>
              <w:rPr>
                <w:noProof/>
                <w:webHidden/>
              </w:rPr>
              <w:fldChar w:fldCharType="begin"/>
            </w:r>
            <w:r>
              <w:rPr>
                <w:noProof/>
                <w:webHidden/>
              </w:rPr>
              <w:instrText xml:space="preserve"> PAGEREF _Toc151378352 \h </w:instrText>
            </w:r>
            <w:r>
              <w:rPr>
                <w:noProof/>
                <w:webHidden/>
              </w:rPr>
            </w:r>
            <w:r>
              <w:rPr>
                <w:noProof/>
                <w:webHidden/>
              </w:rPr>
              <w:fldChar w:fldCharType="separate"/>
            </w:r>
            <w:r>
              <w:rPr>
                <w:noProof/>
                <w:webHidden/>
              </w:rPr>
              <w:t>6</w:t>
            </w:r>
            <w:r>
              <w:rPr>
                <w:noProof/>
                <w:webHidden/>
              </w:rPr>
              <w:fldChar w:fldCharType="end"/>
            </w:r>
          </w:hyperlink>
        </w:p>
        <w:p w14:paraId="32E059EB" w14:textId="0110845E"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53" w:history="1">
            <w:r w:rsidRPr="00607790">
              <w:rPr>
                <w:rStyle w:val="Hyperlink"/>
                <w:noProof/>
              </w:rPr>
              <w:t>6.2 Table Analysis of Cash Ratio</w:t>
            </w:r>
            <w:r>
              <w:rPr>
                <w:noProof/>
                <w:webHidden/>
              </w:rPr>
              <w:tab/>
            </w:r>
            <w:r>
              <w:rPr>
                <w:noProof/>
                <w:webHidden/>
              </w:rPr>
              <w:fldChar w:fldCharType="begin"/>
            </w:r>
            <w:r>
              <w:rPr>
                <w:noProof/>
                <w:webHidden/>
              </w:rPr>
              <w:instrText xml:space="preserve"> PAGEREF _Toc151378353 \h </w:instrText>
            </w:r>
            <w:r>
              <w:rPr>
                <w:noProof/>
                <w:webHidden/>
              </w:rPr>
            </w:r>
            <w:r>
              <w:rPr>
                <w:noProof/>
                <w:webHidden/>
              </w:rPr>
              <w:fldChar w:fldCharType="separate"/>
            </w:r>
            <w:r>
              <w:rPr>
                <w:noProof/>
                <w:webHidden/>
              </w:rPr>
              <w:t>7</w:t>
            </w:r>
            <w:r>
              <w:rPr>
                <w:noProof/>
                <w:webHidden/>
              </w:rPr>
              <w:fldChar w:fldCharType="end"/>
            </w:r>
          </w:hyperlink>
        </w:p>
        <w:p w14:paraId="63E6690E" w14:textId="17ABE6BA"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54" w:history="1">
            <w:r w:rsidRPr="00607790">
              <w:rPr>
                <w:rStyle w:val="Hyperlink"/>
                <w:noProof/>
              </w:rPr>
              <w:t>7. Leverage Ratio</w:t>
            </w:r>
            <w:r>
              <w:rPr>
                <w:noProof/>
                <w:webHidden/>
              </w:rPr>
              <w:tab/>
            </w:r>
            <w:r>
              <w:rPr>
                <w:noProof/>
                <w:webHidden/>
              </w:rPr>
              <w:fldChar w:fldCharType="begin"/>
            </w:r>
            <w:r>
              <w:rPr>
                <w:noProof/>
                <w:webHidden/>
              </w:rPr>
              <w:instrText xml:space="preserve"> PAGEREF _Toc151378354 \h </w:instrText>
            </w:r>
            <w:r>
              <w:rPr>
                <w:noProof/>
                <w:webHidden/>
              </w:rPr>
            </w:r>
            <w:r>
              <w:rPr>
                <w:noProof/>
                <w:webHidden/>
              </w:rPr>
              <w:fldChar w:fldCharType="separate"/>
            </w:r>
            <w:r>
              <w:rPr>
                <w:noProof/>
                <w:webHidden/>
              </w:rPr>
              <w:t>8</w:t>
            </w:r>
            <w:r>
              <w:rPr>
                <w:noProof/>
                <w:webHidden/>
              </w:rPr>
              <w:fldChar w:fldCharType="end"/>
            </w:r>
          </w:hyperlink>
        </w:p>
        <w:p w14:paraId="19593261" w14:textId="3144CF90" w:rsidR="002B3659" w:rsidRDefault="002B3659">
          <w:pPr>
            <w:pStyle w:val="TOC1"/>
            <w:rPr>
              <w:rFonts w:asciiTheme="minorHAnsi" w:eastAsiaTheme="minorEastAsia" w:hAnsiTheme="minorHAnsi" w:cstheme="minorBidi"/>
              <w:noProof/>
              <w:kern w:val="2"/>
              <w:sz w:val="22"/>
              <w:lang w:val="en-GB" w:eastAsia="zh-CN"/>
              <w14:ligatures w14:val="standardContextual"/>
            </w:rPr>
          </w:pPr>
          <w:hyperlink w:anchor="_Toc151378355" w:history="1">
            <w:r w:rsidRPr="00607790">
              <w:rPr>
                <w:rStyle w:val="Hyperlink"/>
                <w:noProof/>
              </w:rPr>
              <w:t>8. Debt to Assets Ratio</w:t>
            </w:r>
            <w:r>
              <w:rPr>
                <w:noProof/>
                <w:webHidden/>
              </w:rPr>
              <w:tab/>
            </w:r>
            <w:r>
              <w:rPr>
                <w:noProof/>
                <w:webHidden/>
              </w:rPr>
              <w:fldChar w:fldCharType="begin"/>
            </w:r>
            <w:r>
              <w:rPr>
                <w:noProof/>
                <w:webHidden/>
              </w:rPr>
              <w:instrText xml:space="preserve"> PAGEREF _Toc151378355 \h </w:instrText>
            </w:r>
            <w:r>
              <w:rPr>
                <w:noProof/>
                <w:webHidden/>
              </w:rPr>
            </w:r>
            <w:r>
              <w:rPr>
                <w:noProof/>
                <w:webHidden/>
              </w:rPr>
              <w:fldChar w:fldCharType="separate"/>
            </w:r>
            <w:r>
              <w:rPr>
                <w:noProof/>
                <w:webHidden/>
              </w:rPr>
              <w:t>8</w:t>
            </w:r>
            <w:r>
              <w:rPr>
                <w:noProof/>
                <w:webHidden/>
              </w:rPr>
              <w:fldChar w:fldCharType="end"/>
            </w:r>
          </w:hyperlink>
        </w:p>
        <w:p w14:paraId="0DEE631F" w14:textId="6482E7B0" w:rsidR="002B3659" w:rsidRDefault="002B3659">
          <w:pPr>
            <w:pStyle w:val="TOC2"/>
            <w:tabs>
              <w:tab w:val="right" w:leader="dot" w:pos="10456"/>
            </w:tabs>
            <w:rPr>
              <w:rFonts w:asciiTheme="minorHAnsi" w:eastAsiaTheme="minorEastAsia" w:hAnsiTheme="minorHAnsi" w:cstheme="minorBidi"/>
              <w:noProof/>
              <w:kern w:val="2"/>
              <w:sz w:val="22"/>
              <w:lang w:val="en-GB" w:eastAsia="zh-CN"/>
              <w14:ligatures w14:val="standardContextual"/>
            </w:rPr>
          </w:pPr>
          <w:hyperlink w:anchor="_Toc151378356" w:history="1">
            <w:r w:rsidRPr="00607790">
              <w:rPr>
                <w:rStyle w:val="Hyperlink"/>
                <w:noProof/>
              </w:rPr>
              <w:t>8.1 Why I choose Debt to Assets Ratio</w:t>
            </w:r>
            <w:r>
              <w:rPr>
                <w:noProof/>
                <w:webHidden/>
              </w:rPr>
              <w:tab/>
            </w:r>
            <w:r>
              <w:rPr>
                <w:noProof/>
                <w:webHidden/>
              </w:rPr>
              <w:fldChar w:fldCharType="begin"/>
            </w:r>
            <w:r>
              <w:rPr>
                <w:noProof/>
                <w:webHidden/>
              </w:rPr>
              <w:instrText xml:space="preserve"> PAGEREF _Toc151378356 \h </w:instrText>
            </w:r>
            <w:r>
              <w:rPr>
                <w:noProof/>
                <w:webHidden/>
              </w:rPr>
            </w:r>
            <w:r>
              <w:rPr>
                <w:noProof/>
                <w:webHidden/>
              </w:rPr>
              <w:fldChar w:fldCharType="separate"/>
            </w:r>
            <w:r>
              <w:rPr>
                <w:noProof/>
                <w:webHidden/>
              </w:rPr>
              <w:t>8</w:t>
            </w:r>
            <w:r>
              <w:rPr>
                <w:noProof/>
                <w:webHidden/>
              </w:rPr>
              <w:fldChar w:fldCharType="end"/>
            </w:r>
          </w:hyperlink>
        </w:p>
        <w:p w14:paraId="688BCE0C" w14:textId="0D5D525D" w:rsidR="00163B46" w:rsidRDefault="00163B46">
          <w:r>
            <w:rPr>
              <w:b/>
              <w:bCs/>
              <w:noProof/>
            </w:rPr>
            <w:fldChar w:fldCharType="end"/>
          </w:r>
        </w:p>
      </w:sdtContent>
    </w:sdt>
    <w:p w14:paraId="7A7AAF89" w14:textId="77777777" w:rsidR="00163B46" w:rsidRDefault="00163B46" w:rsidP="00163B46">
      <w:pPr>
        <w:jc w:val="center"/>
        <w:rPr>
          <w:b/>
          <w:bCs/>
        </w:rPr>
      </w:pPr>
    </w:p>
    <w:p w14:paraId="430C6A2D" w14:textId="77777777" w:rsidR="00163B46" w:rsidRDefault="00163B46" w:rsidP="00163B46">
      <w:pPr>
        <w:jc w:val="center"/>
        <w:rPr>
          <w:b/>
          <w:bCs/>
        </w:rPr>
      </w:pPr>
    </w:p>
    <w:p w14:paraId="406A0219" w14:textId="77777777" w:rsidR="00163B46" w:rsidRDefault="00163B46" w:rsidP="00163B46">
      <w:pPr>
        <w:jc w:val="center"/>
        <w:rPr>
          <w:b/>
          <w:bCs/>
        </w:rPr>
      </w:pPr>
    </w:p>
    <w:p w14:paraId="3C9F4C58" w14:textId="77777777" w:rsidR="00163B46" w:rsidRDefault="00163B46" w:rsidP="00163B46">
      <w:pPr>
        <w:jc w:val="center"/>
        <w:rPr>
          <w:b/>
          <w:bCs/>
        </w:rPr>
      </w:pPr>
    </w:p>
    <w:p w14:paraId="39F1DEB1" w14:textId="77777777" w:rsidR="00163B46" w:rsidRDefault="00163B46" w:rsidP="00163B46">
      <w:pPr>
        <w:jc w:val="center"/>
        <w:rPr>
          <w:b/>
          <w:bCs/>
        </w:rPr>
      </w:pPr>
    </w:p>
    <w:p w14:paraId="7EC16F09" w14:textId="77777777" w:rsidR="00163B46" w:rsidRDefault="00163B46" w:rsidP="00163B46">
      <w:pPr>
        <w:jc w:val="center"/>
        <w:rPr>
          <w:b/>
          <w:bCs/>
        </w:rPr>
      </w:pPr>
    </w:p>
    <w:p w14:paraId="37080826" w14:textId="77777777" w:rsidR="00163B46" w:rsidRDefault="00163B46" w:rsidP="00163B46">
      <w:pPr>
        <w:jc w:val="center"/>
        <w:rPr>
          <w:b/>
          <w:bCs/>
        </w:rPr>
      </w:pPr>
    </w:p>
    <w:p w14:paraId="4CCE71B5" w14:textId="77777777" w:rsidR="00163B46" w:rsidRDefault="00163B46" w:rsidP="00163B46">
      <w:pPr>
        <w:jc w:val="center"/>
        <w:rPr>
          <w:b/>
          <w:bCs/>
        </w:rPr>
      </w:pPr>
    </w:p>
    <w:p w14:paraId="6F7E973D" w14:textId="77777777" w:rsidR="00163B46" w:rsidRDefault="00163B46" w:rsidP="00163B46">
      <w:pPr>
        <w:jc w:val="center"/>
        <w:rPr>
          <w:b/>
          <w:bCs/>
        </w:rPr>
      </w:pPr>
    </w:p>
    <w:p w14:paraId="644F0540" w14:textId="77777777" w:rsidR="00163B46" w:rsidRDefault="00163B46" w:rsidP="00163B46">
      <w:pPr>
        <w:jc w:val="center"/>
        <w:rPr>
          <w:b/>
          <w:bCs/>
        </w:rPr>
      </w:pPr>
    </w:p>
    <w:p w14:paraId="1FD52330" w14:textId="77777777" w:rsidR="00163B46" w:rsidRDefault="00163B46" w:rsidP="00163B46">
      <w:pPr>
        <w:jc w:val="center"/>
        <w:rPr>
          <w:b/>
          <w:bCs/>
        </w:rPr>
      </w:pPr>
    </w:p>
    <w:p w14:paraId="5C150A4F" w14:textId="77777777" w:rsidR="00163B46" w:rsidRDefault="00163B46" w:rsidP="00163B46">
      <w:pPr>
        <w:jc w:val="center"/>
        <w:rPr>
          <w:b/>
          <w:bCs/>
        </w:rPr>
      </w:pPr>
    </w:p>
    <w:p w14:paraId="6759F2BA" w14:textId="77777777" w:rsidR="00163B46" w:rsidRDefault="00163B46" w:rsidP="00163B46">
      <w:pPr>
        <w:jc w:val="center"/>
        <w:rPr>
          <w:b/>
          <w:bCs/>
        </w:rPr>
      </w:pPr>
    </w:p>
    <w:p w14:paraId="21F40A4F" w14:textId="77777777" w:rsidR="00163B46" w:rsidRDefault="00163B46" w:rsidP="00163B46">
      <w:pPr>
        <w:jc w:val="center"/>
        <w:rPr>
          <w:b/>
          <w:bCs/>
        </w:rPr>
      </w:pPr>
    </w:p>
    <w:p w14:paraId="6146B9B8" w14:textId="77777777" w:rsidR="00163B46" w:rsidRDefault="00163B46" w:rsidP="00163B46">
      <w:pPr>
        <w:jc w:val="center"/>
        <w:rPr>
          <w:b/>
          <w:bCs/>
        </w:rPr>
      </w:pPr>
    </w:p>
    <w:p w14:paraId="181B6B37" w14:textId="77777777" w:rsidR="00163B46" w:rsidRDefault="00163B46" w:rsidP="00163B46">
      <w:pPr>
        <w:jc w:val="center"/>
        <w:rPr>
          <w:b/>
          <w:bCs/>
        </w:rPr>
      </w:pPr>
    </w:p>
    <w:p w14:paraId="0E9B6374" w14:textId="77777777" w:rsidR="00163B46" w:rsidRDefault="00163B46" w:rsidP="00163B46">
      <w:pPr>
        <w:jc w:val="center"/>
        <w:rPr>
          <w:b/>
          <w:bCs/>
        </w:rPr>
      </w:pPr>
    </w:p>
    <w:p w14:paraId="7B9DC02B" w14:textId="77777777" w:rsidR="00163B46" w:rsidRDefault="00163B46" w:rsidP="00163B46">
      <w:pPr>
        <w:jc w:val="center"/>
        <w:rPr>
          <w:b/>
          <w:bCs/>
        </w:rPr>
      </w:pPr>
    </w:p>
    <w:p w14:paraId="1798D4AE" w14:textId="77777777" w:rsidR="00163B46" w:rsidRDefault="00163B46" w:rsidP="00163B46">
      <w:pPr>
        <w:jc w:val="center"/>
        <w:rPr>
          <w:b/>
          <w:bCs/>
        </w:rPr>
      </w:pPr>
    </w:p>
    <w:p w14:paraId="440EF1FC" w14:textId="77777777" w:rsidR="00163B46" w:rsidRDefault="00163B46" w:rsidP="00163B46">
      <w:pPr>
        <w:jc w:val="center"/>
        <w:rPr>
          <w:b/>
          <w:bCs/>
        </w:rPr>
      </w:pPr>
    </w:p>
    <w:p w14:paraId="46CB25C2" w14:textId="77777777" w:rsidR="00163B46" w:rsidRDefault="00163B46" w:rsidP="00163B46">
      <w:pPr>
        <w:jc w:val="center"/>
        <w:rPr>
          <w:b/>
          <w:bCs/>
        </w:rPr>
      </w:pPr>
    </w:p>
    <w:p w14:paraId="5BD3CD9E" w14:textId="77777777" w:rsidR="00163B46" w:rsidRDefault="00163B46" w:rsidP="00163B46">
      <w:pPr>
        <w:jc w:val="center"/>
        <w:rPr>
          <w:b/>
          <w:bCs/>
        </w:rPr>
      </w:pPr>
    </w:p>
    <w:p w14:paraId="4D5D7D97" w14:textId="77777777" w:rsidR="00163B46" w:rsidRDefault="00163B46" w:rsidP="00163B46">
      <w:pPr>
        <w:jc w:val="center"/>
        <w:rPr>
          <w:b/>
          <w:bCs/>
        </w:rPr>
      </w:pPr>
    </w:p>
    <w:p w14:paraId="445518A0" w14:textId="77777777" w:rsidR="00163B46" w:rsidRDefault="00163B46" w:rsidP="00163B46">
      <w:pPr>
        <w:jc w:val="center"/>
        <w:rPr>
          <w:b/>
          <w:bCs/>
        </w:rPr>
      </w:pPr>
    </w:p>
    <w:p w14:paraId="513B4B17" w14:textId="77777777" w:rsidR="00163B46" w:rsidRDefault="00163B46" w:rsidP="00163B46">
      <w:pPr>
        <w:jc w:val="center"/>
        <w:rPr>
          <w:b/>
          <w:bCs/>
        </w:rPr>
      </w:pPr>
    </w:p>
    <w:p w14:paraId="5FAA7E06" w14:textId="77777777" w:rsidR="00163B46" w:rsidRDefault="00163B46" w:rsidP="00163B46">
      <w:pPr>
        <w:jc w:val="center"/>
        <w:rPr>
          <w:b/>
          <w:bCs/>
        </w:rPr>
      </w:pPr>
    </w:p>
    <w:p w14:paraId="7791BDEF" w14:textId="77777777" w:rsidR="00163B46" w:rsidRDefault="00163B46" w:rsidP="00163B46">
      <w:pPr>
        <w:jc w:val="center"/>
        <w:rPr>
          <w:b/>
          <w:bCs/>
        </w:rPr>
      </w:pPr>
    </w:p>
    <w:p w14:paraId="360B8435" w14:textId="77777777" w:rsidR="00163B46" w:rsidRDefault="00163B46" w:rsidP="00163B46">
      <w:pPr>
        <w:jc w:val="center"/>
        <w:rPr>
          <w:b/>
          <w:bCs/>
        </w:rPr>
      </w:pPr>
    </w:p>
    <w:p w14:paraId="71984066" w14:textId="77777777" w:rsidR="00163B46" w:rsidRDefault="00163B46" w:rsidP="00163B46">
      <w:pPr>
        <w:jc w:val="center"/>
        <w:rPr>
          <w:b/>
          <w:bCs/>
        </w:rPr>
      </w:pPr>
    </w:p>
    <w:p w14:paraId="7DBB8934" w14:textId="77777777" w:rsidR="00163B46" w:rsidRDefault="00163B46" w:rsidP="00163B46">
      <w:pPr>
        <w:jc w:val="center"/>
        <w:rPr>
          <w:b/>
          <w:bCs/>
        </w:rPr>
      </w:pPr>
    </w:p>
    <w:p w14:paraId="6C4EAD03" w14:textId="77777777" w:rsidR="00163B46" w:rsidRDefault="00163B46" w:rsidP="00163B46">
      <w:pPr>
        <w:jc w:val="center"/>
        <w:rPr>
          <w:b/>
          <w:bCs/>
        </w:rPr>
      </w:pPr>
    </w:p>
    <w:p w14:paraId="2088CB33" w14:textId="77777777" w:rsidR="00163B46" w:rsidRDefault="00163B46" w:rsidP="00163B46">
      <w:pPr>
        <w:jc w:val="center"/>
        <w:rPr>
          <w:b/>
          <w:bCs/>
        </w:rPr>
      </w:pPr>
    </w:p>
    <w:p w14:paraId="776AD4A4" w14:textId="77777777" w:rsidR="00163B46" w:rsidRDefault="00163B46" w:rsidP="00163B46">
      <w:pPr>
        <w:jc w:val="center"/>
        <w:rPr>
          <w:b/>
          <w:bCs/>
        </w:rPr>
      </w:pPr>
    </w:p>
    <w:p w14:paraId="4836FBD1" w14:textId="77777777" w:rsidR="00C2049E" w:rsidRDefault="00C2049E" w:rsidP="00163B46">
      <w:pPr>
        <w:pStyle w:val="Heading1"/>
        <w:sectPr w:rsidR="00C2049E" w:rsidSect="006817CA">
          <w:footerReference w:type="default" r:id="rId8"/>
          <w:footerReference w:type="first" r:id="rId9"/>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81"/>
        </w:sectPr>
      </w:pPr>
    </w:p>
    <w:p w14:paraId="59514EBA" w14:textId="4649301D" w:rsidR="00163B46" w:rsidRDefault="00163B46" w:rsidP="00163B46">
      <w:pPr>
        <w:pStyle w:val="Heading1"/>
      </w:pPr>
      <w:bookmarkStart w:id="0" w:name="_Toc151378343"/>
      <w:r>
        <w:lastRenderedPageBreak/>
        <w:t>Part – A</w:t>
      </w:r>
      <w:bookmarkEnd w:id="0"/>
    </w:p>
    <w:p w14:paraId="6D85CB2F" w14:textId="77777777" w:rsidR="00163B46" w:rsidRDefault="00163B46" w:rsidP="00163B46">
      <w:pPr>
        <w:rPr>
          <w:sz w:val="24"/>
          <w:szCs w:val="20"/>
        </w:rPr>
      </w:pPr>
    </w:p>
    <w:p w14:paraId="21B3DC95" w14:textId="75C299FA" w:rsidR="00163B46" w:rsidRDefault="00987A74" w:rsidP="00987A74">
      <w:pPr>
        <w:pStyle w:val="Heading1"/>
      </w:pPr>
      <w:bookmarkStart w:id="1" w:name="_Toc151378344"/>
      <w:r>
        <w:t xml:space="preserve">1. </w:t>
      </w:r>
      <w:r w:rsidR="00163B46">
        <w:t>Introduction</w:t>
      </w:r>
      <w:bookmarkEnd w:id="1"/>
    </w:p>
    <w:p w14:paraId="2373810E" w14:textId="44404A63" w:rsidR="00163B46" w:rsidRDefault="00163B46" w:rsidP="00163B46">
      <w:pPr>
        <w:rPr>
          <w:sz w:val="24"/>
          <w:szCs w:val="20"/>
        </w:rPr>
      </w:pPr>
    </w:p>
    <w:p w14:paraId="403B3090" w14:textId="04D3CFBD" w:rsidR="00836AEB" w:rsidRDefault="00836AEB" w:rsidP="00601395">
      <w:pPr>
        <w:spacing w:before="20" w:after="10" w:line="360" w:lineRule="auto"/>
        <w:jc w:val="both"/>
        <w:rPr>
          <w:sz w:val="24"/>
          <w:szCs w:val="20"/>
        </w:rPr>
      </w:pPr>
      <w:r w:rsidRPr="00836AEB">
        <w:rPr>
          <w:sz w:val="24"/>
          <w:szCs w:val="20"/>
        </w:rPr>
        <w:t>Vodafone Group PLC was founded in 1991 and is a multinational British telecommunications company with its headquarters located in London. In the 1990s, Vodafone experienced rapid expansion due to its acquisition of cellular operators in countries such as Germany, Italy, Spain, and the Netherlands. Vodafone operated in more than 25 countries at the beginning of the 2000s and was the biggest mobile telecommunications company in the world by revenue</w:t>
      </w:r>
      <w:r>
        <w:rPr>
          <w:sz w:val="24"/>
          <w:szCs w:val="20"/>
        </w:rPr>
        <w:t xml:space="preserve"> (Vodafone, 2023)</w:t>
      </w:r>
      <w:r w:rsidR="007C7366">
        <w:rPr>
          <w:sz w:val="24"/>
          <w:szCs w:val="20"/>
        </w:rPr>
        <w:t>.</w:t>
      </w:r>
    </w:p>
    <w:p w14:paraId="6FB7D82D" w14:textId="77777777" w:rsidR="00601395" w:rsidRPr="00601395" w:rsidRDefault="00601395" w:rsidP="00601395">
      <w:pPr>
        <w:spacing w:before="2" w:after="10" w:line="360" w:lineRule="auto"/>
        <w:jc w:val="both"/>
        <w:rPr>
          <w:sz w:val="8"/>
          <w:szCs w:val="4"/>
        </w:rPr>
      </w:pPr>
    </w:p>
    <w:p w14:paraId="70B325A0" w14:textId="3FF32E0F" w:rsidR="00F167FC" w:rsidRPr="00F167FC" w:rsidRDefault="00836AEB" w:rsidP="006817CA">
      <w:pPr>
        <w:spacing w:before="20" w:after="10" w:line="360" w:lineRule="auto"/>
        <w:jc w:val="both"/>
        <w:rPr>
          <w:sz w:val="24"/>
          <w:szCs w:val="20"/>
        </w:rPr>
      </w:pPr>
      <w:r w:rsidRPr="00836AEB">
        <w:rPr>
          <w:sz w:val="24"/>
          <w:szCs w:val="20"/>
        </w:rPr>
        <w:t>This deal cemented Vodafone's position as the biggest mobile operator in the world at the time, and it made headlines in 2000 when it paid a record-breaking £112 billion to acquire the German telecom company Mannesmann. Over the next ten years, Vodafone continued to grow internationally, and in 2007 it acquired a majority stake in India's Hutchison Essar</w:t>
      </w:r>
      <w:r>
        <w:rPr>
          <w:sz w:val="24"/>
          <w:szCs w:val="20"/>
        </w:rPr>
        <w:t xml:space="preserve"> (Vodafone</w:t>
      </w:r>
      <w:r w:rsidR="00601395">
        <w:rPr>
          <w:sz w:val="24"/>
          <w:szCs w:val="20"/>
        </w:rPr>
        <w:t>, 2023)</w:t>
      </w:r>
      <w:r w:rsidR="007C7366">
        <w:rPr>
          <w:sz w:val="24"/>
          <w:szCs w:val="20"/>
        </w:rPr>
        <w:t>.</w:t>
      </w:r>
    </w:p>
    <w:p w14:paraId="30A4502E" w14:textId="28FC436B" w:rsidR="00163B46" w:rsidRDefault="00F167FC" w:rsidP="006817CA">
      <w:pPr>
        <w:pStyle w:val="Heading1"/>
      </w:pPr>
      <w:bookmarkStart w:id="2" w:name="_Toc151378345"/>
      <w:r>
        <w:t xml:space="preserve">2. </w:t>
      </w:r>
      <w:r w:rsidRPr="00F167FC">
        <w:t>Changes in Vodafone PLC Board of Directors</w:t>
      </w:r>
      <w:bookmarkEnd w:id="2"/>
    </w:p>
    <w:p w14:paraId="6E1F146E" w14:textId="77777777" w:rsidR="00F167FC" w:rsidRPr="00F167FC" w:rsidRDefault="00F167FC" w:rsidP="00F167FC">
      <w:pPr>
        <w:jc w:val="both"/>
        <w:rPr>
          <w:sz w:val="24"/>
          <w:szCs w:val="20"/>
        </w:rPr>
      </w:pPr>
    </w:p>
    <w:p w14:paraId="39D9AAD3" w14:textId="2BAA3DA1" w:rsidR="007C7366" w:rsidRDefault="00F167FC" w:rsidP="007C7366">
      <w:pPr>
        <w:spacing w:line="360" w:lineRule="auto"/>
        <w:jc w:val="both"/>
        <w:rPr>
          <w:sz w:val="24"/>
          <w:szCs w:val="20"/>
        </w:rPr>
      </w:pPr>
      <w:r w:rsidRPr="00F167FC">
        <w:rPr>
          <w:sz w:val="24"/>
          <w:szCs w:val="20"/>
        </w:rPr>
        <w:t>In 2018, Vittorio Colao stepped down as CEO after 10 years in the role. His successor, Nick Read, was named Group Chief Executive</w:t>
      </w:r>
      <w:r w:rsidR="007C7366">
        <w:rPr>
          <w:sz w:val="24"/>
          <w:szCs w:val="20"/>
        </w:rPr>
        <w:t xml:space="preserve"> (Vodafone, 2018).</w:t>
      </w:r>
    </w:p>
    <w:p w14:paraId="6CB67D73" w14:textId="7A31E3C6" w:rsidR="007C7366" w:rsidRDefault="007C7366" w:rsidP="007C7366">
      <w:pPr>
        <w:spacing w:line="360" w:lineRule="auto"/>
        <w:jc w:val="both"/>
        <w:rPr>
          <w:sz w:val="24"/>
          <w:szCs w:val="20"/>
          <w:lang w:val="en-GB"/>
        </w:rPr>
      </w:pPr>
      <w:r w:rsidRPr="007C7366">
        <w:rPr>
          <w:sz w:val="24"/>
          <w:szCs w:val="20"/>
          <w:lang w:val="en-GB"/>
        </w:rPr>
        <w:t>In 2019, Margherita Della Valle assumed the role of CFO from Nick Read, who had previously served as both CEO and CFO</w:t>
      </w:r>
      <w:r>
        <w:rPr>
          <w:sz w:val="24"/>
          <w:szCs w:val="20"/>
          <w:lang w:val="en-GB"/>
        </w:rPr>
        <w:t xml:space="preserve"> (Vodafone, 2019)</w:t>
      </w:r>
    </w:p>
    <w:p w14:paraId="66EC545C" w14:textId="77777777" w:rsidR="00AC7484" w:rsidRDefault="007C7366" w:rsidP="00AC7484">
      <w:pPr>
        <w:spacing w:line="360" w:lineRule="auto"/>
        <w:rPr>
          <w:sz w:val="24"/>
          <w:szCs w:val="20"/>
          <w:lang w:val="en-GB"/>
        </w:rPr>
      </w:pPr>
      <w:r w:rsidRPr="007C7366">
        <w:rPr>
          <w:sz w:val="24"/>
          <w:szCs w:val="20"/>
          <w:lang w:val="en-GB"/>
        </w:rPr>
        <w:t>Badrinath, who previously held the position of CEO for Vodafone's operations in Africa, Asia, and the Middle East, has recently become a non-executive director on the board in 2021</w:t>
      </w:r>
      <w:r>
        <w:rPr>
          <w:sz w:val="24"/>
          <w:szCs w:val="20"/>
          <w:lang w:val="en-GB"/>
        </w:rPr>
        <w:t xml:space="preserve"> (Vodafone, 2021)</w:t>
      </w:r>
    </w:p>
    <w:p w14:paraId="41931D72" w14:textId="53044C34" w:rsidR="00AC7484" w:rsidRDefault="00AC7484" w:rsidP="00AC7484">
      <w:pPr>
        <w:spacing w:line="360" w:lineRule="auto"/>
        <w:jc w:val="both"/>
        <w:rPr>
          <w:rFonts w:eastAsia="Times New Roman" w:cs="Arial"/>
          <w:color w:val="1F1F1F"/>
          <w:sz w:val="24"/>
          <w:szCs w:val="24"/>
          <w:lang w:val="en-GB" w:eastAsia="zh-CN"/>
        </w:rPr>
      </w:pPr>
      <w:r w:rsidRPr="00AC7484">
        <w:rPr>
          <w:rFonts w:eastAsia="Times New Roman" w:cs="Arial"/>
          <w:color w:val="1F1F1F"/>
          <w:sz w:val="24"/>
          <w:szCs w:val="24"/>
          <w:lang w:val="en-GB" w:eastAsia="zh-CN"/>
        </w:rPr>
        <w:t>The company's strategic shift towards restructuring and improving financial performance is evident in the recent changes to its board of directors. The appointments of Nick Read as CEO and Margherita Della Valle as CFO have been met with positive appraisal, as have the addition of Kumar Mangalam Birla to the board as a non-executive director, due to the breadth of knowledge he brings to the table.</w:t>
      </w:r>
    </w:p>
    <w:p w14:paraId="1B9A1DDE" w14:textId="1757CE33" w:rsidR="00064DFE" w:rsidRDefault="00AC7484" w:rsidP="00064DFE">
      <w:pPr>
        <w:pStyle w:val="Heading1"/>
        <w:rPr>
          <w:lang w:val="en-GB"/>
        </w:rPr>
      </w:pPr>
      <w:bookmarkStart w:id="3" w:name="_Toc151378346"/>
      <w:r>
        <w:rPr>
          <w:lang w:val="en-GB"/>
        </w:rPr>
        <w:t xml:space="preserve">3. </w:t>
      </w:r>
      <w:r w:rsidR="00064DFE" w:rsidRPr="00064DFE">
        <w:rPr>
          <w:lang w:val="en-GB"/>
        </w:rPr>
        <w:t>Significant changes in financial performance and earnings</w:t>
      </w:r>
      <w:bookmarkEnd w:id="3"/>
    </w:p>
    <w:p w14:paraId="65FE2346" w14:textId="77777777" w:rsidR="00064DFE" w:rsidRPr="00064DFE" w:rsidRDefault="00064DFE" w:rsidP="00064DFE">
      <w:pPr>
        <w:rPr>
          <w:sz w:val="24"/>
          <w:szCs w:val="20"/>
          <w:lang w:val="en-GB"/>
        </w:rPr>
      </w:pPr>
    </w:p>
    <w:p w14:paraId="7F81FAA1" w14:textId="3FA79DDD" w:rsidR="006C330B" w:rsidRPr="007B6E82" w:rsidRDefault="00064DFE" w:rsidP="007B6E82">
      <w:pPr>
        <w:spacing w:line="360" w:lineRule="auto"/>
        <w:jc w:val="both"/>
        <w:rPr>
          <w:sz w:val="22"/>
          <w:szCs w:val="18"/>
          <w:lang w:val="en-GB"/>
        </w:rPr>
      </w:pPr>
      <w:r w:rsidRPr="00064DFE">
        <w:rPr>
          <w:rFonts w:cs="Arial"/>
          <w:color w:val="1F1F1F"/>
          <w:sz w:val="24"/>
          <w:szCs w:val="20"/>
          <w:shd w:val="clear" w:color="auto" w:fill="FFFFFF"/>
        </w:rPr>
        <w:t>The pronounced changes in Vodafone PLC's financial performance and earnings over the past five years are attributable to the COVID-19 pandemic and the company's ongoing efforts to transform itself in response to the changing telecommunications landscape</w:t>
      </w:r>
      <w:r w:rsidR="00FB44EA">
        <w:rPr>
          <w:rFonts w:cs="Arial"/>
          <w:color w:val="1F1F1F"/>
          <w:sz w:val="24"/>
          <w:szCs w:val="20"/>
          <w:shd w:val="clear" w:color="auto" w:fill="FFFFFF"/>
        </w:rPr>
        <w:t>.</w:t>
      </w:r>
    </w:p>
    <w:p w14:paraId="14031677" w14:textId="0ABED841" w:rsidR="006C330B" w:rsidRDefault="00CD3B9C" w:rsidP="00163B46">
      <w:r>
        <w:rPr>
          <w:noProof/>
        </w:rPr>
        <w:lastRenderedPageBreak/>
        <w:pict w14:anchorId="567AEC63">
          <v:rect id="_x0000_s2052" style="position:absolute;margin-left:-35pt;margin-top:-35.15pt;width:592.5pt;height:838.7pt;z-index:-251658240" wrapcoords="-29 -21 -29 21600 21629 21600 21629 -21 -29 -21" fillcolor="black [3213]">
            <w10:wrap type="through"/>
          </v:rect>
        </w:pict>
      </w:r>
      <w:r>
        <w:rPr>
          <w:noProof/>
        </w:rPr>
        <w:drawing>
          <wp:inline distT="0" distB="0" distL="0" distR="0" wp14:anchorId="5795F1A4" wp14:editId="6AD1615B">
            <wp:extent cx="6684542" cy="9392943"/>
            <wp:effectExtent l="0" t="0" r="0" b="0"/>
            <wp:docPr id="1962706872" name="Picture 3"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06872" name="Picture 3" descr="A black and white text on a black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684542" cy="9392943"/>
                    </a:xfrm>
                    <a:prstGeom prst="rect">
                      <a:avLst/>
                    </a:prstGeom>
                  </pic:spPr>
                </pic:pic>
              </a:graphicData>
            </a:graphic>
          </wp:inline>
        </w:drawing>
      </w:r>
    </w:p>
    <w:p w14:paraId="678F231A" w14:textId="77777777" w:rsidR="006C330B" w:rsidRDefault="006C330B" w:rsidP="00163B46"/>
    <w:p w14:paraId="0869E18B" w14:textId="77777777" w:rsidR="006C330B" w:rsidRDefault="006C330B" w:rsidP="00163B46"/>
    <w:p w14:paraId="044C2FD8" w14:textId="1BC8F89B" w:rsidR="00CD3B9C" w:rsidRDefault="00CD3B9C" w:rsidP="00CD3B9C">
      <w:pPr>
        <w:spacing w:line="360" w:lineRule="auto"/>
        <w:jc w:val="both"/>
        <w:rPr>
          <w:sz w:val="24"/>
          <w:szCs w:val="20"/>
        </w:rPr>
      </w:pPr>
      <w:r w:rsidRPr="00CD3B9C">
        <w:rPr>
          <w:sz w:val="24"/>
          <w:szCs w:val="20"/>
        </w:rPr>
        <w:t xml:space="preserve">Over the past five years, Vodafone has experienced ups and downs. They made significant losses in the </w:t>
      </w:r>
      <w:r w:rsidRPr="00CD3B9C">
        <w:rPr>
          <w:sz w:val="24"/>
          <w:szCs w:val="20"/>
        </w:rPr>
        <w:t>past but</w:t>
      </w:r>
      <w:r w:rsidRPr="00CD3B9C">
        <w:rPr>
          <w:sz w:val="24"/>
          <w:szCs w:val="20"/>
        </w:rPr>
        <w:t xml:space="preserve"> have recently returned to steady profit growth. Expanding into Europe and Africa helped to offset difficulties in Spain and India.</w:t>
      </w:r>
    </w:p>
    <w:p w14:paraId="039F2953" w14:textId="64E0EEE6" w:rsidR="00CD3B9C" w:rsidRDefault="00760859" w:rsidP="00CD3B9C">
      <w:pPr>
        <w:pStyle w:val="Heading1"/>
      </w:pPr>
      <w:bookmarkStart w:id="4" w:name="_Toc151378347"/>
      <w:r>
        <w:t xml:space="preserve">4. </w:t>
      </w:r>
      <w:r w:rsidR="00CD3B9C">
        <w:t>Liquidity Ratio</w:t>
      </w:r>
      <w:bookmarkEnd w:id="4"/>
    </w:p>
    <w:p w14:paraId="3A48C4DC" w14:textId="77777777" w:rsidR="00760859" w:rsidRDefault="00760859" w:rsidP="00760859"/>
    <w:p w14:paraId="3F361B92" w14:textId="51DD6E2A" w:rsidR="006C330B" w:rsidRDefault="00760859" w:rsidP="00760859">
      <w:pPr>
        <w:spacing w:line="360" w:lineRule="auto"/>
        <w:jc w:val="both"/>
        <w:rPr>
          <w:rFonts w:cs="Arial"/>
          <w:color w:val="333333"/>
          <w:sz w:val="24"/>
          <w:szCs w:val="24"/>
          <w:shd w:val="clear" w:color="auto" w:fill="FBFBFB"/>
        </w:rPr>
      </w:pPr>
      <w:r w:rsidRPr="00760859">
        <w:rPr>
          <w:sz w:val="24"/>
          <w:szCs w:val="20"/>
        </w:rPr>
        <w:t>Liquidity ratios measure how well a company can pay its short-term debts. The three main liquidity ratios are the current ratio, quick ratio, and cash ratio. The current ratio is the most basic liquidity ratio and is calculated by dividing current assets by current liabilities. A higher current ratio means that the company has more assets to pay off its short-term debts. The quick ratio is a more conservative measure of liquidity because it excludes inventory from current assets. The cash ratio is the most conservative liquidity ratio and is calculated by dividing cash and marketable securities by current liabilities. A higher cash ratio means that the company has more cash on hand to pay off its short-term debts. Investors and analysts use liquidity ratios to assess a company's short-term financial health</w:t>
      </w:r>
      <w:r w:rsidR="003E3244">
        <w:rPr>
          <w:sz w:val="24"/>
          <w:szCs w:val="20"/>
        </w:rPr>
        <w:t>.</w:t>
      </w:r>
      <w:r w:rsidR="007659DD">
        <w:rPr>
          <w:sz w:val="24"/>
          <w:szCs w:val="20"/>
        </w:rPr>
        <w:t xml:space="preserve"> </w:t>
      </w:r>
      <w:r w:rsidR="007659DD" w:rsidRPr="007659DD">
        <w:rPr>
          <w:rFonts w:cs="Arial"/>
          <w:color w:val="333333"/>
          <w:sz w:val="24"/>
          <w:szCs w:val="24"/>
          <w:shd w:val="clear" w:color="auto" w:fill="FBFBFB"/>
        </w:rPr>
        <w:t>Lalithchandraa</w:t>
      </w:r>
      <w:r w:rsidR="007659DD" w:rsidRPr="007659DD">
        <w:rPr>
          <w:rFonts w:cs="Arial"/>
          <w:color w:val="333333"/>
          <w:sz w:val="24"/>
          <w:szCs w:val="24"/>
          <w:shd w:val="clear" w:color="auto" w:fill="FBFBFB"/>
        </w:rPr>
        <w:t xml:space="preserve"> </w:t>
      </w:r>
      <w:r w:rsidR="007659DD" w:rsidRPr="007659DD">
        <w:rPr>
          <w:rFonts w:cs="Arial"/>
          <w:color w:val="333333"/>
          <w:sz w:val="24"/>
          <w:szCs w:val="24"/>
          <w:shd w:val="clear" w:color="auto" w:fill="FBFBFB"/>
        </w:rPr>
        <w:t>and Rajendhiran</w:t>
      </w:r>
      <w:r w:rsidR="007659DD" w:rsidRPr="007659DD">
        <w:rPr>
          <w:rFonts w:cs="Arial"/>
          <w:color w:val="333333"/>
          <w:sz w:val="24"/>
          <w:szCs w:val="24"/>
          <w:shd w:val="clear" w:color="auto" w:fill="FBFBFB"/>
        </w:rPr>
        <w:t xml:space="preserve"> </w:t>
      </w:r>
      <w:r w:rsidR="007659DD" w:rsidRPr="007659DD">
        <w:rPr>
          <w:rFonts w:cs="Arial"/>
          <w:color w:val="333333"/>
          <w:sz w:val="24"/>
          <w:szCs w:val="24"/>
          <w:shd w:val="clear" w:color="auto" w:fill="FBFBFB"/>
        </w:rPr>
        <w:t>(2021</w:t>
      </w:r>
      <w:r w:rsidR="007659DD" w:rsidRPr="007659DD">
        <w:rPr>
          <w:rFonts w:cs="Arial"/>
          <w:color w:val="333333"/>
          <w:sz w:val="24"/>
          <w:szCs w:val="24"/>
          <w:shd w:val="clear" w:color="auto" w:fill="FBFBFB"/>
        </w:rPr>
        <w:t>, pp. 1113-1114</w:t>
      </w:r>
      <w:r w:rsidR="007659DD" w:rsidRPr="007659DD">
        <w:rPr>
          <w:rFonts w:cs="Arial"/>
          <w:color w:val="333333"/>
          <w:sz w:val="24"/>
          <w:szCs w:val="24"/>
          <w:shd w:val="clear" w:color="auto" w:fill="FBFBFB"/>
        </w:rPr>
        <w:t>)</w:t>
      </w:r>
    </w:p>
    <w:p w14:paraId="5EE58E30" w14:textId="77777777" w:rsidR="003E3244" w:rsidRDefault="003E3244" w:rsidP="003E3244">
      <w:pPr>
        <w:spacing w:line="360" w:lineRule="auto"/>
        <w:jc w:val="both"/>
        <w:rPr>
          <w:rFonts w:cs="Arial"/>
          <w:color w:val="333333"/>
          <w:sz w:val="24"/>
          <w:szCs w:val="24"/>
          <w:shd w:val="clear" w:color="auto" w:fill="FBFBFB"/>
        </w:rPr>
      </w:pPr>
    </w:p>
    <w:p w14:paraId="4B070DB7" w14:textId="298498C5" w:rsidR="003E3244" w:rsidRPr="00987A74" w:rsidRDefault="003E3244" w:rsidP="00987A74">
      <w:pPr>
        <w:spacing w:line="360" w:lineRule="auto"/>
        <w:jc w:val="both"/>
        <w:rPr>
          <w:rFonts w:cs="Arial"/>
          <w:sz w:val="24"/>
          <w:szCs w:val="24"/>
          <w:shd w:val="clear" w:color="auto" w:fill="FBFBFB"/>
        </w:rPr>
      </w:pPr>
      <w:r w:rsidRPr="00987A74">
        <w:rPr>
          <w:rFonts w:cs="Arial"/>
          <w:sz w:val="24"/>
          <w:szCs w:val="24"/>
          <w:shd w:val="clear" w:color="auto" w:fill="FBFBFB"/>
        </w:rPr>
        <w:t>There are five types of Liquidity Ratios:</w:t>
      </w:r>
    </w:p>
    <w:p w14:paraId="68A5FCD8" w14:textId="77777777" w:rsidR="003E3244" w:rsidRPr="00987A74" w:rsidRDefault="003E3244" w:rsidP="00987A74">
      <w:pPr>
        <w:spacing w:line="360" w:lineRule="auto"/>
        <w:jc w:val="both"/>
        <w:rPr>
          <w:rFonts w:cs="Arial"/>
          <w:sz w:val="24"/>
          <w:szCs w:val="24"/>
          <w:shd w:val="clear" w:color="auto" w:fill="FBFBFB"/>
        </w:rPr>
      </w:pPr>
    </w:p>
    <w:p w14:paraId="42E1E2BB" w14:textId="7F4B1B5B" w:rsidR="003E3244" w:rsidRPr="00987A74" w:rsidRDefault="003E3244" w:rsidP="00987A74">
      <w:pPr>
        <w:pStyle w:val="ListParagraph"/>
        <w:numPr>
          <w:ilvl w:val="0"/>
          <w:numId w:val="5"/>
        </w:numPr>
        <w:spacing w:line="360" w:lineRule="auto"/>
        <w:jc w:val="both"/>
        <w:rPr>
          <w:rFonts w:cs="Arial"/>
          <w:sz w:val="24"/>
          <w:szCs w:val="24"/>
          <w:shd w:val="clear" w:color="auto" w:fill="FBFBFB"/>
        </w:rPr>
      </w:pPr>
      <w:r w:rsidRPr="00987A74">
        <w:rPr>
          <w:rFonts w:cs="Arial"/>
          <w:sz w:val="24"/>
          <w:szCs w:val="24"/>
          <w:shd w:val="clear" w:color="auto" w:fill="FBFBFB"/>
        </w:rPr>
        <w:t>Current Ratio – (Current Assets / Current Liabilities)</w:t>
      </w:r>
    </w:p>
    <w:p w14:paraId="6EC3E7DD" w14:textId="6E7E5855" w:rsidR="003E3244" w:rsidRPr="00987A74" w:rsidRDefault="003E3244" w:rsidP="00987A74">
      <w:pPr>
        <w:pStyle w:val="ListParagraph"/>
        <w:numPr>
          <w:ilvl w:val="0"/>
          <w:numId w:val="5"/>
        </w:numPr>
        <w:spacing w:line="360" w:lineRule="auto"/>
        <w:jc w:val="both"/>
        <w:rPr>
          <w:rFonts w:cs="Arial"/>
          <w:sz w:val="24"/>
          <w:szCs w:val="24"/>
          <w:shd w:val="clear" w:color="auto" w:fill="FBFBFB"/>
        </w:rPr>
      </w:pPr>
      <w:r w:rsidRPr="00987A74">
        <w:rPr>
          <w:rFonts w:cs="Arial"/>
          <w:sz w:val="24"/>
          <w:szCs w:val="24"/>
          <w:shd w:val="clear" w:color="auto" w:fill="FBFBFB"/>
        </w:rPr>
        <w:t>Quick Ratio – (Current Assets - Inventory) / Current Liabilities</w:t>
      </w:r>
    </w:p>
    <w:p w14:paraId="6CA2F182" w14:textId="45263974" w:rsidR="003E3244" w:rsidRPr="00987A74" w:rsidRDefault="003E3244" w:rsidP="00987A74">
      <w:pPr>
        <w:pStyle w:val="ListParagraph"/>
        <w:numPr>
          <w:ilvl w:val="0"/>
          <w:numId w:val="5"/>
        </w:numPr>
        <w:spacing w:line="360" w:lineRule="auto"/>
        <w:jc w:val="both"/>
        <w:rPr>
          <w:rFonts w:cs="Arial"/>
          <w:sz w:val="24"/>
          <w:szCs w:val="24"/>
          <w:shd w:val="clear" w:color="auto" w:fill="FBFBFB"/>
        </w:rPr>
      </w:pPr>
      <w:r w:rsidRPr="00987A74">
        <w:rPr>
          <w:rFonts w:cs="Arial"/>
          <w:sz w:val="24"/>
          <w:szCs w:val="24"/>
          <w:shd w:val="clear" w:color="auto" w:fill="FBFBFB"/>
        </w:rPr>
        <w:t>Cash Ratio – (Cash and Cash Equivalents) / Current Liabilities</w:t>
      </w:r>
    </w:p>
    <w:p w14:paraId="44729C27" w14:textId="26A4A513" w:rsidR="00987A74" w:rsidRDefault="003E3244" w:rsidP="00987A74">
      <w:pPr>
        <w:pStyle w:val="ListParagraph"/>
        <w:numPr>
          <w:ilvl w:val="0"/>
          <w:numId w:val="5"/>
        </w:numPr>
        <w:spacing w:line="360" w:lineRule="auto"/>
        <w:jc w:val="both"/>
        <w:rPr>
          <w:rFonts w:cs="Arial"/>
          <w:sz w:val="24"/>
          <w:szCs w:val="24"/>
          <w:shd w:val="clear" w:color="auto" w:fill="FBFBFB"/>
        </w:rPr>
      </w:pPr>
      <w:r w:rsidRPr="00987A74">
        <w:rPr>
          <w:rFonts w:cs="Arial"/>
          <w:sz w:val="24"/>
          <w:szCs w:val="24"/>
          <w:shd w:val="clear" w:color="auto" w:fill="FBFBFB"/>
        </w:rPr>
        <w:t>Operating Ratio – (Operating Cash Flow / Current Liabilities</w:t>
      </w:r>
    </w:p>
    <w:p w14:paraId="43069137" w14:textId="3020DC68" w:rsidR="00987A74" w:rsidRDefault="00987A74" w:rsidP="00987A74">
      <w:pPr>
        <w:pStyle w:val="Heading1"/>
        <w:rPr>
          <w:shd w:val="clear" w:color="auto" w:fill="FBFBFB"/>
        </w:rPr>
      </w:pPr>
      <w:bookmarkStart w:id="5" w:name="_Toc151378348"/>
      <w:r>
        <w:rPr>
          <w:shd w:val="clear" w:color="auto" w:fill="FBFBFB"/>
        </w:rPr>
        <w:t>5. Current Ratio</w:t>
      </w:r>
      <w:bookmarkEnd w:id="5"/>
    </w:p>
    <w:p w14:paraId="67BFA48F" w14:textId="77777777" w:rsidR="00987A74" w:rsidRDefault="00987A74" w:rsidP="00987A74"/>
    <w:p w14:paraId="5DAB83E9" w14:textId="650F10D6" w:rsidR="00987A74" w:rsidRDefault="005E7966" w:rsidP="00987A74">
      <w:pPr>
        <w:spacing w:line="360" w:lineRule="auto"/>
        <w:jc w:val="both"/>
        <w:rPr>
          <w:sz w:val="24"/>
          <w:szCs w:val="24"/>
        </w:rPr>
      </w:pPr>
      <w:r w:rsidRPr="005E7966">
        <w:rPr>
          <w:sz w:val="24"/>
          <w:szCs w:val="20"/>
        </w:rPr>
        <w:t>The current ratio is a financial metric that assesses a company's ability to pay off its short-term liabilities, such as accounts payable, with its current assets, which are assets that can be converted into cash within one year</w:t>
      </w:r>
      <w:r w:rsidR="006F157C">
        <w:rPr>
          <w:sz w:val="24"/>
          <w:szCs w:val="20"/>
        </w:rPr>
        <w:t xml:space="preserve"> </w:t>
      </w:r>
      <w:r w:rsidR="006F157C" w:rsidRPr="006F157C">
        <w:rPr>
          <w:sz w:val="24"/>
          <w:szCs w:val="24"/>
        </w:rPr>
        <w:t>(Nuryani and Sunarsi, 2020)</w:t>
      </w:r>
      <w:r w:rsidRPr="005E7966">
        <w:rPr>
          <w:sz w:val="24"/>
          <w:szCs w:val="20"/>
        </w:rPr>
        <w:t xml:space="preserve">. It is calculated by dividing current assets by current liabilities. </w:t>
      </w:r>
      <w:r w:rsidR="006F157C">
        <w:rPr>
          <w:sz w:val="24"/>
          <w:szCs w:val="20"/>
        </w:rPr>
        <w:t xml:space="preserve">According to </w:t>
      </w:r>
      <w:r w:rsidR="006F157C" w:rsidRPr="006F157C">
        <w:rPr>
          <w:sz w:val="24"/>
          <w:szCs w:val="24"/>
        </w:rPr>
        <w:t>(Nuryani and Sunarsi, 2020</w:t>
      </w:r>
      <w:r w:rsidR="006F157C" w:rsidRPr="006F157C">
        <w:rPr>
          <w:sz w:val="24"/>
          <w:szCs w:val="24"/>
        </w:rPr>
        <w:t>)</w:t>
      </w:r>
      <w:r w:rsidR="006F157C">
        <w:rPr>
          <w:sz w:val="24"/>
          <w:szCs w:val="24"/>
        </w:rPr>
        <w:t>,</w:t>
      </w:r>
      <w:r w:rsidR="006F157C">
        <w:rPr>
          <w:sz w:val="24"/>
          <w:szCs w:val="20"/>
        </w:rPr>
        <w:t xml:space="preserve"> a</w:t>
      </w:r>
      <w:r w:rsidRPr="005E7966">
        <w:rPr>
          <w:sz w:val="24"/>
          <w:szCs w:val="20"/>
        </w:rPr>
        <w:t xml:space="preserve"> higher current ratio indicates a stronger financial position and a greater ability to meet short-term obligations. A healthy current ratio typically falls between 1.5 and 3. However, a current ratio below 1 suggests that the company may face difficulties in paying its short-term debts, potentially leading to financial distress. While the current ratio is a valuable tool for evaluating liquidity risk, it has limitations. It does not consider the quality of assets or the company's long-term sustainability.</w:t>
      </w:r>
      <w:r>
        <w:rPr>
          <w:sz w:val="24"/>
          <w:szCs w:val="20"/>
        </w:rPr>
        <w:t xml:space="preserve"> </w:t>
      </w:r>
      <w:bookmarkStart w:id="6" w:name="_Hlk151340728"/>
      <w:r w:rsidR="006F157C" w:rsidRPr="006F157C">
        <w:rPr>
          <w:sz w:val="24"/>
          <w:szCs w:val="24"/>
        </w:rPr>
        <w:t>(</w:t>
      </w:r>
      <w:r w:rsidRPr="006F157C">
        <w:rPr>
          <w:sz w:val="24"/>
          <w:szCs w:val="24"/>
        </w:rPr>
        <w:t>Nuryani</w:t>
      </w:r>
      <w:r w:rsidR="006F157C" w:rsidRPr="006F157C">
        <w:rPr>
          <w:sz w:val="24"/>
          <w:szCs w:val="24"/>
        </w:rPr>
        <w:t xml:space="preserve"> </w:t>
      </w:r>
      <w:r w:rsidRPr="006F157C">
        <w:rPr>
          <w:sz w:val="24"/>
          <w:szCs w:val="24"/>
        </w:rPr>
        <w:t>and Sunarsi</w:t>
      </w:r>
      <w:r w:rsidRPr="006F157C">
        <w:rPr>
          <w:sz w:val="24"/>
          <w:szCs w:val="24"/>
        </w:rPr>
        <w:t xml:space="preserve">, </w:t>
      </w:r>
      <w:r w:rsidRPr="006F157C">
        <w:rPr>
          <w:sz w:val="24"/>
          <w:szCs w:val="24"/>
        </w:rPr>
        <w:t>2020)</w:t>
      </w:r>
      <w:bookmarkEnd w:id="6"/>
    </w:p>
    <w:p w14:paraId="59BBF268" w14:textId="77777777" w:rsidR="006F157C" w:rsidRDefault="006F157C" w:rsidP="00987A74">
      <w:pPr>
        <w:spacing w:line="360" w:lineRule="auto"/>
        <w:jc w:val="both"/>
        <w:rPr>
          <w:sz w:val="24"/>
          <w:szCs w:val="24"/>
        </w:rPr>
      </w:pPr>
    </w:p>
    <w:p w14:paraId="739ADE7F" w14:textId="364A56FD" w:rsidR="006F157C" w:rsidRPr="006F157C" w:rsidRDefault="006F157C" w:rsidP="006F157C">
      <w:pPr>
        <w:pStyle w:val="Heading2"/>
        <w:rPr>
          <w:sz w:val="32"/>
          <w:szCs w:val="32"/>
        </w:rPr>
      </w:pPr>
      <w:bookmarkStart w:id="7" w:name="_Toc151378349"/>
      <w:r>
        <w:rPr>
          <w:sz w:val="32"/>
          <w:szCs w:val="32"/>
        </w:rPr>
        <w:t>5.</w:t>
      </w:r>
      <w:r w:rsidR="00A1246F">
        <w:rPr>
          <w:sz w:val="32"/>
          <w:szCs w:val="32"/>
        </w:rPr>
        <w:t>1</w:t>
      </w:r>
      <w:r>
        <w:rPr>
          <w:sz w:val="32"/>
          <w:szCs w:val="32"/>
        </w:rPr>
        <w:t xml:space="preserve"> </w:t>
      </w:r>
      <w:r w:rsidRPr="006F157C">
        <w:rPr>
          <w:sz w:val="32"/>
          <w:szCs w:val="32"/>
        </w:rPr>
        <w:t>The Strategic Significance of the Current Ratio</w:t>
      </w:r>
      <w:bookmarkEnd w:id="7"/>
    </w:p>
    <w:p w14:paraId="5882CA1A" w14:textId="77777777" w:rsidR="00987A74" w:rsidRDefault="00987A74" w:rsidP="00987A74"/>
    <w:p w14:paraId="5A76F0E5" w14:textId="655E4834" w:rsidR="006F76A3" w:rsidRPr="006F76A3" w:rsidRDefault="006F76A3" w:rsidP="006F76A3">
      <w:pPr>
        <w:spacing w:line="360" w:lineRule="auto"/>
        <w:jc w:val="both"/>
        <w:rPr>
          <w:sz w:val="24"/>
          <w:szCs w:val="20"/>
        </w:rPr>
      </w:pPr>
      <w:r w:rsidRPr="006F76A3">
        <w:rPr>
          <w:sz w:val="24"/>
          <w:szCs w:val="20"/>
        </w:rPr>
        <w:t>The current ratio is a helpful tool to assess Vodafone PLC's short-term financial health. It quickly shows how well the company can pay off its short-term debts using its current assets. A current ratio much higher than 1 suggests that the company has strong working capital management and can easily meet its short-term obligations. However, it is important to use the current ratio along with other ratios and indicators to fully understand Vodafone's overall financial health and identify potential risks related to cash flow timing and industry-specific issues.</w:t>
      </w:r>
    </w:p>
    <w:p w14:paraId="33A1196E" w14:textId="77777777" w:rsidR="00987A74" w:rsidRPr="00987A74" w:rsidRDefault="00987A74" w:rsidP="00987A74"/>
    <w:p w14:paraId="55098C66" w14:textId="194BCFCA" w:rsidR="00987A74" w:rsidRDefault="006F76A3" w:rsidP="00987A74">
      <w:pPr>
        <w:rPr>
          <w:sz w:val="24"/>
          <w:szCs w:val="20"/>
        </w:rPr>
      </w:pPr>
      <w:r w:rsidRPr="006F76A3">
        <w:rPr>
          <w:sz w:val="24"/>
          <w:szCs w:val="20"/>
        </w:rPr>
        <w:t>Current Ratio Formula = (Current Assets / Current Liabilities)</w:t>
      </w:r>
    </w:p>
    <w:p w14:paraId="1FA7ABF5" w14:textId="77777777" w:rsidR="006F76A3" w:rsidRDefault="006F76A3" w:rsidP="00987A74">
      <w:pPr>
        <w:rPr>
          <w:sz w:val="24"/>
          <w:szCs w:val="20"/>
        </w:rPr>
      </w:pPr>
    </w:p>
    <w:p w14:paraId="0F30D1A1" w14:textId="2DF8D7CF" w:rsidR="006F76A3" w:rsidRPr="006F76A3" w:rsidRDefault="006F76A3" w:rsidP="00987A74">
      <w:pPr>
        <w:rPr>
          <w:sz w:val="24"/>
          <w:szCs w:val="20"/>
        </w:rPr>
      </w:pPr>
    </w:p>
    <w:p w14:paraId="74B4C737" w14:textId="58554E47" w:rsidR="00223D83" w:rsidRPr="00223D83" w:rsidRDefault="00223D83" w:rsidP="00223D83">
      <w:pPr>
        <w:pStyle w:val="Caption"/>
        <w:keepNext/>
        <w:jc w:val="center"/>
        <w:rPr>
          <w:sz w:val="24"/>
          <w:szCs w:val="24"/>
        </w:rPr>
      </w:pPr>
      <w:r w:rsidRPr="00223D83">
        <w:rPr>
          <w:sz w:val="24"/>
          <w:szCs w:val="24"/>
        </w:rPr>
        <w:t xml:space="preserve">Table </w:t>
      </w:r>
      <w:r w:rsidRPr="00223D83">
        <w:rPr>
          <w:sz w:val="24"/>
          <w:szCs w:val="24"/>
        </w:rPr>
        <w:fldChar w:fldCharType="begin"/>
      </w:r>
      <w:r w:rsidRPr="00223D83">
        <w:rPr>
          <w:sz w:val="24"/>
          <w:szCs w:val="24"/>
        </w:rPr>
        <w:instrText xml:space="preserve"> SEQ Table \* ARABIC </w:instrText>
      </w:r>
      <w:r w:rsidRPr="00223D83">
        <w:rPr>
          <w:sz w:val="24"/>
          <w:szCs w:val="24"/>
        </w:rPr>
        <w:fldChar w:fldCharType="separate"/>
      </w:r>
      <w:r w:rsidR="003F2DD6">
        <w:rPr>
          <w:noProof/>
          <w:sz w:val="24"/>
          <w:szCs w:val="24"/>
        </w:rPr>
        <w:t>1</w:t>
      </w:r>
      <w:r w:rsidRPr="00223D83">
        <w:rPr>
          <w:sz w:val="24"/>
          <w:szCs w:val="24"/>
        </w:rPr>
        <w:fldChar w:fldCharType="end"/>
      </w:r>
      <w:r w:rsidRPr="00223D83">
        <w:rPr>
          <w:sz w:val="24"/>
          <w:szCs w:val="24"/>
        </w:rPr>
        <w:t>: Comparative Analysis of Vodafone PLC, British Telecommunication, and THREE in the Telecom Arena"</w:t>
      </w:r>
    </w:p>
    <w:tbl>
      <w:tblPr>
        <w:tblStyle w:val="PlainTable1"/>
        <w:tblpPr w:leftFromText="180" w:rightFromText="180" w:vertAnchor="text" w:horzAnchor="margin" w:tblpY="125"/>
        <w:tblW w:w="0" w:type="auto"/>
        <w:tblLook w:val="04A0" w:firstRow="1" w:lastRow="0" w:firstColumn="1" w:lastColumn="0" w:noHBand="0" w:noVBand="1"/>
      </w:tblPr>
      <w:tblGrid>
        <w:gridCol w:w="1738"/>
        <w:gridCol w:w="1499"/>
        <w:gridCol w:w="1489"/>
        <w:gridCol w:w="1489"/>
        <w:gridCol w:w="1489"/>
        <w:gridCol w:w="1489"/>
        <w:gridCol w:w="1489"/>
      </w:tblGrid>
      <w:tr w:rsidR="00684927" w14:paraId="4E5376A8" w14:textId="77777777" w:rsidTr="006849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8" w:type="dxa"/>
          </w:tcPr>
          <w:p w14:paraId="076448F5" w14:textId="03B7EB45" w:rsidR="00684927" w:rsidRPr="00684927" w:rsidRDefault="00684927" w:rsidP="00684927">
            <w:pPr>
              <w:jc w:val="center"/>
              <w:rPr>
                <w:b w:val="0"/>
                <w:bCs w:val="0"/>
                <w:sz w:val="24"/>
                <w:szCs w:val="24"/>
              </w:rPr>
            </w:pPr>
            <w:r w:rsidRPr="000E10C2">
              <w:rPr>
                <w:color w:val="000000" w:themeColor="text1"/>
                <w:sz w:val="24"/>
                <w:szCs w:val="24"/>
              </w:rPr>
              <w:t>Company Name</w:t>
            </w:r>
          </w:p>
        </w:tc>
        <w:tc>
          <w:tcPr>
            <w:tcW w:w="1499" w:type="dxa"/>
          </w:tcPr>
          <w:p w14:paraId="2D4F8AEA" w14:textId="77777777" w:rsidR="00684927" w:rsidRDefault="00684927" w:rsidP="00684927">
            <w:pPr>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p>
        </w:tc>
        <w:tc>
          <w:tcPr>
            <w:tcW w:w="1489" w:type="dxa"/>
          </w:tcPr>
          <w:p w14:paraId="5F90F76A" w14:textId="656D1BFA"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2022</w:t>
            </w:r>
          </w:p>
        </w:tc>
        <w:tc>
          <w:tcPr>
            <w:tcW w:w="1489" w:type="dxa"/>
          </w:tcPr>
          <w:p w14:paraId="5770977D" w14:textId="4E6128F4"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2021</w:t>
            </w:r>
          </w:p>
        </w:tc>
        <w:tc>
          <w:tcPr>
            <w:tcW w:w="1489" w:type="dxa"/>
          </w:tcPr>
          <w:p w14:paraId="15708B87" w14:textId="71E0C4D9"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2020</w:t>
            </w:r>
          </w:p>
        </w:tc>
        <w:tc>
          <w:tcPr>
            <w:tcW w:w="1489" w:type="dxa"/>
          </w:tcPr>
          <w:p w14:paraId="19A569DA" w14:textId="5191F66B"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2019</w:t>
            </w:r>
          </w:p>
        </w:tc>
        <w:tc>
          <w:tcPr>
            <w:tcW w:w="1489" w:type="dxa"/>
          </w:tcPr>
          <w:p w14:paraId="79DA7F52" w14:textId="175EACCD" w:rsidR="00684927" w:rsidRDefault="00684927" w:rsidP="00684927">
            <w:pPr>
              <w:spacing w:line="480" w:lineRule="auto"/>
              <w:jc w:val="center"/>
              <w:cnfStyle w:val="100000000000" w:firstRow="1" w:lastRow="0" w:firstColumn="0" w:lastColumn="0" w:oddVBand="0" w:evenVBand="0" w:oddHBand="0" w:evenHBand="0" w:firstRowFirstColumn="0" w:firstRowLastColumn="0" w:lastRowFirstColumn="0" w:lastRowLastColumn="0"/>
              <w:rPr>
                <w:b w:val="0"/>
                <w:bCs w:val="0"/>
                <w:sz w:val="24"/>
                <w:szCs w:val="24"/>
              </w:rPr>
            </w:pPr>
            <w:r w:rsidRPr="000E10C2">
              <w:rPr>
                <w:color w:val="000000" w:themeColor="text1"/>
                <w:sz w:val="24"/>
                <w:szCs w:val="24"/>
              </w:rPr>
              <w:t>2018</w:t>
            </w:r>
          </w:p>
        </w:tc>
      </w:tr>
      <w:tr w:rsidR="00684927" w14:paraId="18FB924F" w14:textId="77777777" w:rsidTr="00684927">
        <w:trPr>
          <w:cnfStyle w:val="000000100000" w:firstRow="0" w:lastRow="0" w:firstColumn="0" w:lastColumn="0" w:oddVBand="0" w:evenVBand="0" w:oddHBand="1" w:evenHBand="0" w:firstRowFirstColumn="0" w:firstRowLastColumn="0" w:lastRowFirstColumn="0" w:lastRowLastColumn="0"/>
          <w:trHeight w:val="690"/>
        </w:trPr>
        <w:tc>
          <w:tcPr>
            <w:cnfStyle w:val="001000000000" w:firstRow="0" w:lastRow="0" w:firstColumn="1" w:lastColumn="0" w:oddVBand="0" w:evenVBand="0" w:oddHBand="0" w:evenHBand="0" w:firstRowFirstColumn="0" w:firstRowLastColumn="0" w:lastRowFirstColumn="0" w:lastRowLastColumn="0"/>
            <w:tcW w:w="1738" w:type="dxa"/>
            <w:vMerge w:val="restart"/>
          </w:tcPr>
          <w:p w14:paraId="7D585063" w14:textId="77777777" w:rsidR="00684927" w:rsidRPr="000E10C2" w:rsidRDefault="00684927" w:rsidP="00684927">
            <w:pPr>
              <w:jc w:val="center"/>
              <w:rPr>
                <w:color w:val="000000" w:themeColor="text1"/>
                <w:sz w:val="24"/>
                <w:szCs w:val="24"/>
              </w:rPr>
            </w:pPr>
            <w:r w:rsidRPr="000E10C2">
              <w:rPr>
                <w:color w:val="000000" w:themeColor="text1"/>
                <w:sz w:val="24"/>
                <w:szCs w:val="24"/>
              </w:rPr>
              <w:t>BT Group Limited</w:t>
            </w:r>
          </w:p>
          <w:p w14:paraId="72FBED42" w14:textId="4010DFA6" w:rsidR="00684927" w:rsidRDefault="00684927" w:rsidP="00684927">
            <w:pPr>
              <w:jc w:val="center"/>
              <w:rPr>
                <w:b w:val="0"/>
                <w:bCs w:val="0"/>
                <w:sz w:val="24"/>
                <w:szCs w:val="24"/>
              </w:rPr>
            </w:pPr>
            <w:r w:rsidRPr="000E10C2">
              <w:rPr>
                <w:color w:val="000000" w:themeColor="text1"/>
                <w:sz w:val="24"/>
                <w:szCs w:val="24"/>
              </w:rPr>
              <w:t>(Figures in Pounds Million)</w:t>
            </w:r>
          </w:p>
        </w:tc>
        <w:tc>
          <w:tcPr>
            <w:tcW w:w="1499" w:type="dxa"/>
          </w:tcPr>
          <w:p w14:paraId="45CA0233" w14:textId="6260BC8B" w:rsidR="00684927" w:rsidRDefault="00684927" w:rsidP="00684927">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Current Assets</w:t>
            </w:r>
          </w:p>
        </w:tc>
        <w:tc>
          <w:tcPr>
            <w:tcW w:w="1489" w:type="dxa"/>
          </w:tcPr>
          <w:p w14:paraId="342E0726" w14:textId="77777777"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rFonts w:cs="Calibri"/>
                <w:color w:val="000000" w:themeColor="text1"/>
              </w:rPr>
            </w:pPr>
            <w:r w:rsidRPr="000E10C2">
              <w:rPr>
                <w:rFonts w:cs="Calibri"/>
                <w:color w:val="000000" w:themeColor="text1"/>
              </w:rPr>
              <w:t>8,908</w:t>
            </w:r>
          </w:p>
          <w:p w14:paraId="71C336DD" w14:textId="77777777"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64D510CC" w14:textId="77777777"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10,400</w:t>
            </w:r>
          </w:p>
          <w:p w14:paraId="691CC268" w14:textId="77777777"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0F5AEF05" w14:textId="5CF253B3"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11,992</w:t>
            </w:r>
          </w:p>
        </w:tc>
        <w:tc>
          <w:tcPr>
            <w:tcW w:w="1489" w:type="dxa"/>
          </w:tcPr>
          <w:p w14:paraId="2E904120" w14:textId="5781E1F4"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10,444</w:t>
            </w:r>
          </w:p>
        </w:tc>
        <w:tc>
          <w:tcPr>
            <w:tcW w:w="1489" w:type="dxa"/>
          </w:tcPr>
          <w:p w14:paraId="6F1F25D7" w14:textId="2CC62502"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8,349</w:t>
            </w:r>
          </w:p>
        </w:tc>
      </w:tr>
      <w:tr w:rsidR="00684927" w14:paraId="29D7B8CF" w14:textId="77777777" w:rsidTr="00684927">
        <w:trPr>
          <w:trHeight w:val="690"/>
        </w:trPr>
        <w:tc>
          <w:tcPr>
            <w:cnfStyle w:val="001000000000" w:firstRow="0" w:lastRow="0" w:firstColumn="1" w:lastColumn="0" w:oddVBand="0" w:evenVBand="0" w:oddHBand="0" w:evenHBand="0" w:firstRowFirstColumn="0" w:firstRowLastColumn="0" w:lastRowFirstColumn="0" w:lastRowLastColumn="0"/>
            <w:tcW w:w="1738" w:type="dxa"/>
            <w:vMerge/>
          </w:tcPr>
          <w:p w14:paraId="32F24426" w14:textId="77777777" w:rsidR="00684927" w:rsidRPr="000E10C2" w:rsidRDefault="00684927" w:rsidP="00684927">
            <w:pPr>
              <w:jc w:val="center"/>
              <w:rPr>
                <w:color w:val="000000" w:themeColor="text1"/>
                <w:sz w:val="24"/>
                <w:szCs w:val="24"/>
              </w:rPr>
            </w:pPr>
          </w:p>
        </w:tc>
        <w:tc>
          <w:tcPr>
            <w:tcW w:w="1499" w:type="dxa"/>
          </w:tcPr>
          <w:p w14:paraId="132D34B5" w14:textId="7B4E6EE0" w:rsidR="00684927" w:rsidRPr="000E10C2" w:rsidRDefault="00684927" w:rsidP="00684927">
            <w:pPr>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Current Liabilities</w:t>
            </w:r>
          </w:p>
        </w:tc>
        <w:tc>
          <w:tcPr>
            <w:tcW w:w="1489" w:type="dxa"/>
            <w:shd w:val="clear" w:color="auto" w:fill="F2F2F2" w:themeFill="background1" w:themeFillShade="F2"/>
          </w:tcPr>
          <w:p w14:paraId="484BC17F" w14:textId="22C536E0"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rFonts w:cs="Calibri"/>
                <w:color w:val="000000" w:themeColor="text1"/>
              </w:rPr>
            </w:pPr>
            <w:r w:rsidRPr="000E10C2">
              <w:rPr>
                <w:color w:val="000000" w:themeColor="text1"/>
                <w:sz w:val="24"/>
                <w:szCs w:val="24"/>
              </w:rPr>
              <w:t>9,046</w:t>
            </w:r>
          </w:p>
        </w:tc>
        <w:tc>
          <w:tcPr>
            <w:tcW w:w="1489" w:type="dxa"/>
            <w:shd w:val="clear" w:color="auto" w:fill="F2F2F2" w:themeFill="background1" w:themeFillShade="F2"/>
          </w:tcPr>
          <w:p w14:paraId="1D4AF264" w14:textId="2D0B1608"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9,006</w:t>
            </w:r>
          </w:p>
        </w:tc>
        <w:tc>
          <w:tcPr>
            <w:tcW w:w="1489" w:type="dxa"/>
            <w:shd w:val="clear" w:color="auto" w:fill="F2F2F2" w:themeFill="background1" w:themeFillShade="F2"/>
          </w:tcPr>
          <w:p w14:paraId="5F41A438" w14:textId="1D58EA14"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10,986</w:t>
            </w:r>
          </w:p>
        </w:tc>
        <w:tc>
          <w:tcPr>
            <w:tcW w:w="1489" w:type="dxa"/>
            <w:shd w:val="clear" w:color="auto" w:fill="F2F2F2" w:themeFill="background1" w:themeFillShade="F2"/>
          </w:tcPr>
          <w:p w14:paraId="7445D387" w14:textId="7718CB71"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9,602</w:t>
            </w:r>
          </w:p>
        </w:tc>
        <w:tc>
          <w:tcPr>
            <w:tcW w:w="1489" w:type="dxa"/>
            <w:shd w:val="clear" w:color="auto" w:fill="F2F2F2" w:themeFill="background1" w:themeFillShade="F2"/>
          </w:tcPr>
          <w:p w14:paraId="35D0E46B" w14:textId="0D41A783" w:rsidR="00684927" w:rsidRPr="000E10C2"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10,185</w:t>
            </w:r>
          </w:p>
        </w:tc>
      </w:tr>
      <w:tr w:rsidR="00684927" w14:paraId="313A532D" w14:textId="77777777" w:rsidTr="00684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8" w:type="dxa"/>
          </w:tcPr>
          <w:p w14:paraId="06289514" w14:textId="77777777" w:rsidR="00684927" w:rsidRDefault="00684927" w:rsidP="00684927">
            <w:pPr>
              <w:jc w:val="center"/>
              <w:rPr>
                <w:b w:val="0"/>
                <w:bCs w:val="0"/>
                <w:sz w:val="24"/>
                <w:szCs w:val="24"/>
              </w:rPr>
            </w:pPr>
          </w:p>
        </w:tc>
        <w:tc>
          <w:tcPr>
            <w:tcW w:w="1499" w:type="dxa"/>
          </w:tcPr>
          <w:p w14:paraId="5DEBD277" w14:textId="04DF084F" w:rsidR="00684927" w:rsidRDefault="00684927" w:rsidP="00684927">
            <w:pPr>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3AF613E5" w14:textId="4888346F" w:rsidR="00684927" w:rsidRDefault="00684927" w:rsidP="00684927">
            <w:pPr>
              <w:spacing w:line="480" w:lineRule="auto"/>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0D660AEA" w14:textId="7CEF8D55"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1EBD7ADE" w14:textId="4046F346"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661F518A" w14:textId="0DF30D03"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c>
          <w:tcPr>
            <w:tcW w:w="1489" w:type="dxa"/>
          </w:tcPr>
          <w:p w14:paraId="5A88127E" w14:textId="3338326B"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p>
        </w:tc>
      </w:tr>
      <w:tr w:rsidR="00684927" w14:paraId="055154F1" w14:textId="77777777" w:rsidTr="00684927">
        <w:trPr>
          <w:trHeight w:val="760"/>
        </w:trPr>
        <w:tc>
          <w:tcPr>
            <w:cnfStyle w:val="001000000000" w:firstRow="0" w:lastRow="0" w:firstColumn="1" w:lastColumn="0" w:oddVBand="0" w:evenVBand="0" w:oddHBand="0" w:evenHBand="0" w:firstRowFirstColumn="0" w:firstRowLastColumn="0" w:lastRowFirstColumn="0" w:lastRowLastColumn="0"/>
            <w:tcW w:w="1738" w:type="dxa"/>
            <w:vMerge w:val="restart"/>
          </w:tcPr>
          <w:p w14:paraId="2595B24D" w14:textId="7327653C" w:rsidR="00684927" w:rsidRDefault="00684927" w:rsidP="00684927">
            <w:pPr>
              <w:jc w:val="center"/>
              <w:rPr>
                <w:b w:val="0"/>
                <w:bCs w:val="0"/>
                <w:sz w:val="24"/>
                <w:szCs w:val="24"/>
              </w:rPr>
            </w:pPr>
            <w:r w:rsidRPr="000E10C2">
              <w:rPr>
                <w:color w:val="000000" w:themeColor="text1"/>
                <w:sz w:val="24"/>
                <w:szCs w:val="24"/>
              </w:rPr>
              <w:t>Vodafone Limited</w:t>
            </w:r>
            <w:r w:rsidRPr="000E10C2">
              <w:rPr>
                <w:color w:val="000000" w:themeColor="text1"/>
                <w:sz w:val="24"/>
                <w:szCs w:val="24"/>
              </w:rPr>
              <w:br/>
            </w:r>
            <w:r w:rsidRPr="000E10C2">
              <w:rPr>
                <w:color w:val="000000" w:themeColor="text1"/>
              </w:rPr>
              <w:t>(Figures in Euro Million)</w:t>
            </w:r>
          </w:p>
        </w:tc>
        <w:tc>
          <w:tcPr>
            <w:tcW w:w="1499" w:type="dxa"/>
          </w:tcPr>
          <w:p w14:paraId="7AE5FC5A" w14:textId="1B901F8C" w:rsidR="00684927" w:rsidRDefault="00684927" w:rsidP="00684927">
            <w:pPr>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Current Liabilities</w:t>
            </w:r>
          </w:p>
        </w:tc>
        <w:tc>
          <w:tcPr>
            <w:tcW w:w="1489" w:type="dxa"/>
          </w:tcPr>
          <w:p w14:paraId="640EF45E" w14:textId="22E49A07"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9,046</w:t>
            </w:r>
          </w:p>
        </w:tc>
        <w:tc>
          <w:tcPr>
            <w:tcW w:w="1489" w:type="dxa"/>
          </w:tcPr>
          <w:p w14:paraId="2CC194BD" w14:textId="36F5C2BB"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9,006</w:t>
            </w:r>
          </w:p>
        </w:tc>
        <w:tc>
          <w:tcPr>
            <w:tcW w:w="1489" w:type="dxa"/>
          </w:tcPr>
          <w:p w14:paraId="1973E14B" w14:textId="5EAEB9B7"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10,986</w:t>
            </w:r>
          </w:p>
        </w:tc>
        <w:tc>
          <w:tcPr>
            <w:tcW w:w="1489" w:type="dxa"/>
          </w:tcPr>
          <w:p w14:paraId="0D96AA6E" w14:textId="4F4A7151"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9,602</w:t>
            </w:r>
          </w:p>
        </w:tc>
        <w:tc>
          <w:tcPr>
            <w:tcW w:w="1489" w:type="dxa"/>
          </w:tcPr>
          <w:p w14:paraId="6814E991" w14:textId="2CC6F954"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r w:rsidRPr="000E10C2">
              <w:rPr>
                <w:color w:val="000000" w:themeColor="text1"/>
                <w:sz w:val="24"/>
                <w:szCs w:val="24"/>
              </w:rPr>
              <w:t>10,185</w:t>
            </w:r>
          </w:p>
        </w:tc>
      </w:tr>
      <w:tr w:rsidR="00684927" w14:paraId="0101C5AD" w14:textId="77777777" w:rsidTr="00684927">
        <w:trPr>
          <w:cnfStyle w:val="000000100000" w:firstRow="0" w:lastRow="0" w:firstColumn="0" w:lastColumn="0" w:oddVBand="0" w:evenVBand="0" w:oddHBand="1" w:evenHBand="0" w:firstRowFirstColumn="0" w:firstRowLastColumn="0" w:lastRowFirstColumn="0" w:lastRowLastColumn="0"/>
          <w:trHeight w:val="760"/>
        </w:trPr>
        <w:tc>
          <w:tcPr>
            <w:cnfStyle w:val="001000000000" w:firstRow="0" w:lastRow="0" w:firstColumn="1" w:lastColumn="0" w:oddVBand="0" w:evenVBand="0" w:oddHBand="0" w:evenHBand="0" w:firstRowFirstColumn="0" w:firstRowLastColumn="0" w:lastRowFirstColumn="0" w:lastRowLastColumn="0"/>
            <w:tcW w:w="1738" w:type="dxa"/>
            <w:vMerge/>
          </w:tcPr>
          <w:p w14:paraId="4B81B70C" w14:textId="77777777" w:rsidR="00684927" w:rsidRPr="000E10C2" w:rsidRDefault="00684927" w:rsidP="00684927">
            <w:pPr>
              <w:jc w:val="center"/>
              <w:rPr>
                <w:color w:val="000000" w:themeColor="text1"/>
                <w:sz w:val="24"/>
                <w:szCs w:val="24"/>
              </w:rPr>
            </w:pPr>
          </w:p>
        </w:tc>
        <w:tc>
          <w:tcPr>
            <w:tcW w:w="1499" w:type="dxa"/>
          </w:tcPr>
          <w:p w14:paraId="19D673A9" w14:textId="77777777" w:rsidR="00684927" w:rsidRPr="000E10C2" w:rsidRDefault="00684927" w:rsidP="00684927">
            <w:pPr>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Current</w:t>
            </w:r>
          </w:p>
          <w:p w14:paraId="4A5828B1" w14:textId="531FE4A6" w:rsidR="00684927" w:rsidRPr="000E10C2" w:rsidRDefault="00684927" w:rsidP="00684927">
            <w:pPr>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Liabilities</w:t>
            </w:r>
          </w:p>
        </w:tc>
        <w:tc>
          <w:tcPr>
            <w:tcW w:w="1489" w:type="dxa"/>
            <w:shd w:val="nil"/>
          </w:tcPr>
          <w:p w14:paraId="331DE645" w14:textId="09938E5F"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33,647</w:t>
            </w:r>
          </w:p>
        </w:tc>
        <w:tc>
          <w:tcPr>
            <w:tcW w:w="1489" w:type="dxa"/>
            <w:shd w:val="nil"/>
          </w:tcPr>
          <w:p w14:paraId="1D17A1FC" w14:textId="7CC992B9"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28,711</w:t>
            </w:r>
          </w:p>
        </w:tc>
        <w:tc>
          <w:tcPr>
            <w:tcW w:w="1489" w:type="dxa"/>
            <w:shd w:val="nil"/>
          </w:tcPr>
          <w:p w14:paraId="2EAE0DE0" w14:textId="5C0EB698"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33,385</w:t>
            </w:r>
          </w:p>
        </w:tc>
        <w:tc>
          <w:tcPr>
            <w:tcW w:w="1489" w:type="dxa"/>
            <w:shd w:val="nil"/>
          </w:tcPr>
          <w:p w14:paraId="66570F3B" w14:textId="3B7FDAEF"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32,456</w:t>
            </w:r>
          </w:p>
        </w:tc>
        <w:tc>
          <w:tcPr>
            <w:tcW w:w="1489" w:type="dxa"/>
            <w:shd w:val="nil"/>
          </w:tcPr>
          <w:p w14:paraId="34F047DD" w14:textId="32FEC403" w:rsidR="00684927" w:rsidRPr="000E10C2"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28,025</w:t>
            </w:r>
          </w:p>
        </w:tc>
      </w:tr>
      <w:tr w:rsidR="00684927" w14:paraId="1E5BDA73" w14:textId="77777777" w:rsidTr="00684927">
        <w:tc>
          <w:tcPr>
            <w:cnfStyle w:val="001000000000" w:firstRow="0" w:lastRow="0" w:firstColumn="1" w:lastColumn="0" w:oddVBand="0" w:evenVBand="0" w:oddHBand="0" w:evenHBand="0" w:firstRowFirstColumn="0" w:firstRowLastColumn="0" w:lastRowFirstColumn="0" w:lastRowLastColumn="0"/>
            <w:tcW w:w="1738" w:type="dxa"/>
          </w:tcPr>
          <w:p w14:paraId="1C345F4B" w14:textId="77777777" w:rsidR="00684927" w:rsidRDefault="00684927" w:rsidP="00684927">
            <w:pPr>
              <w:jc w:val="center"/>
              <w:rPr>
                <w:b w:val="0"/>
                <w:bCs w:val="0"/>
                <w:sz w:val="24"/>
                <w:szCs w:val="24"/>
              </w:rPr>
            </w:pPr>
          </w:p>
        </w:tc>
        <w:tc>
          <w:tcPr>
            <w:tcW w:w="1499" w:type="dxa"/>
          </w:tcPr>
          <w:p w14:paraId="20388D80" w14:textId="545D28C0" w:rsidR="00684927" w:rsidRDefault="00684927" w:rsidP="00684927">
            <w:pPr>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34992564" w14:textId="2F6BC479"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723C4883" w14:textId="3D3B850B"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0DB6CBF8" w14:textId="23FD087E"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38BB9EAB" w14:textId="79ED69B4"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c>
          <w:tcPr>
            <w:tcW w:w="1489" w:type="dxa"/>
          </w:tcPr>
          <w:p w14:paraId="10C2DB18" w14:textId="08C147D5" w:rsidR="00684927" w:rsidRDefault="00684927" w:rsidP="00684927">
            <w:pPr>
              <w:spacing w:line="480" w:lineRule="auto"/>
              <w:jc w:val="center"/>
              <w:cnfStyle w:val="000000000000" w:firstRow="0" w:lastRow="0" w:firstColumn="0" w:lastColumn="0" w:oddVBand="0" w:evenVBand="0" w:oddHBand="0" w:evenHBand="0" w:firstRowFirstColumn="0" w:firstRowLastColumn="0" w:lastRowFirstColumn="0" w:lastRowLastColumn="0"/>
              <w:rPr>
                <w:b/>
                <w:bCs/>
                <w:sz w:val="24"/>
                <w:szCs w:val="24"/>
              </w:rPr>
            </w:pPr>
          </w:p>
        </w:tc>
      </w:tr>
      <w:tr w:rsidR="00684927" w14:paraId="5582D4E4" w14:textId="77777777" w:rsidTr="00684927">
        <w:trPr>
          <w:cnfStyle w:val="000000100000" w:firstRow="0" w:lastRow="0" w:firstColumn="0" w:lastColumn="0" w:oddVBand="0" w:evenVBand="0" w:oddHBand="1" w:evenHBand="0" w:firstRowFirstColumn="0" w:firstRowLastColumn="0" w:lastRowFirstColumn="0" w:lastRowLastColumn="0"/>
          <w:trHeight w:val="965"/>
        </w:trPr>
        <w:tc>
          <w:tcPr>
            <w:cnfStyle w:val="001000000000" w:firstRow="0" w:lastRow="0" w:firstColumn="1" w:lastColumn="0" w:oddVBand="0" w:evenVBand="0" w:oddHBand="0" w:evenHBand="0" w:firstRowFirstColumn="0" w:firstRowLastColumn="0" w:lastRowFirstColumn="0" w:lastRowLastColumn="0"/>
            <w:tcW w:w="1738" w:type="dxa"/>
            <w:vMerge w:val="restart"/>
          </w:tcPr>
          <w:p w14:paraId="6A7FB6A1" w14:textId="77777777" w:rsidR="00684927" w:rsidRPr="000E10C2" w:rsidRDefault="00684927" w:rsidP="00684927">
            <w:pPr>
              <w:jc w:val="center"/>
              <w:rPr>
                <w:b w:val="0"/>
                <w:bCs w:val="0"/>
                <w:color w:val="000000" w:themeColor="text1"/>
                <w:sz w:val="24"/>
                <w:szCs w:val="24"/>
              </w:rPr>
            </w:pPr>
            <w:r w:rsidRPr="000E10C2">
              <w:rPr>
                <w:color w:val="000000" w:themeColor="text1"/>
                <w:sz w:val="24"/>
                <w:szCs w:val="24"/>
              </w:rPr>
              <w:t>Three Limited</w:t>
            </w:r>
            <w:r w:rsidRPr="000E10C2">
              <w:rPr>
                <w:color w:val="000000" w:themeColor="text1"/>
                <w:sz w:val="24"/>
                <w:szCs w:val="24"/>
              </w:rPr>
              <w:br/>
              <w:t>(Figures in Pounds Million)</w:t>
            </w:r>
          </w:p>
          <w:p w14:paraId="408E1FE5" w14:textId="77777777" w:rsidR="00684927" w:rsidRPr="000E10C2" w:rsidRDefault="00684927" w:rsidP="00684927">
            <w:pPr>
              <w:jc w:val="center"/>
              <w:rPr>
                <w:b w:val="0"/>
                <w:bCs w:val="0"/>
                <w:color w:val="000000" w:themeColor="text1"/>
                <w:sz w:val="24"/>
                <w:szCs w:val="24"/>
              </w:rPr>
            </w:pPr>
            <w:r w:rsidRPr="000E10C2">
              <w:rPr>
                <w:color w:val="000000" w:themeColor="text1"/>
                <w:sz w:val="24"/>
                <w:szCs w:val="24"/>
              </w:rPr>
              <w:t>Consolidated</w:t>
            </w:r>
          </w:p>
          <w:p w14:paraId="44D82021" w14:textId="276A7321" w:rsidR="00684927" w:rsidRDefault="00684927" w:rsidP="00684927">
            <w:pPr>
              <w:jc w:val="center"/>
              <w:rPr>
                <w:b w:val="0"/>
                <w:bCs w:val="0"/>
                <w:sz w:val="24"/>
                <w:szCs w:val="24"/>
              </w:rPr>
            </w:pPr>
            <w:r w:rsidRPr="000E10C2">
              <w:rPr>
                <w:color w:val="000000" w:themeColor="text1"/>
                <w:sz w:val="24"/>
                <w:szCs w:val="24"/>
              </w:rPr>
              <w:t>Statement</w:t>
            </w:r>
          </w:p>
        </w:tc>
        <w:tc>
          <w:tcPr>
            <w:tcW w:w="1499" w:type="dxa"/>
          </w:tcPr>
          <w:p w14:paraId="32556E3A" w14:textId="39CF71C9" w:rsidR="00684927" w:rsidRDefault="00684927" w:rsidP="00684927">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Current Assets</w:t>
            </w:r>
          </w:p>
        </w:tc>
        <w:tc>
          <w:tcPr>
            <w:tcW w:w="1489" w:type="dxa"/>
          </w:tcPr>
          <w:p w14:paraId="1272718D" w14:textId="664CF9B8"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429,693</w:t>
            </w:r>
          </w:p>
        </w:tc>
        <w:tc>
          <w:tcPr>
            <w:tcW w:w="1489" w:type="dxa"/>
          </w:tcPr>
          <w:p w14:paraId="4B7AF6D4" w14:textId="3214EF8C"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355,550</w:t>
            </w:r>
          </w:p>
        </w:tc>
        <w:tc>
          <w:tcPr>
            <w:tcW w:w="1489" w:type="dxa"/>
          </w:tcPr>
          <w:p w14:paraId="475BFD3B" w14:textId="68369052"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287,782</w:t>
            </w:r>
          </w:p>
        </w:tc>
        <w:tc>
          <w:tcPr>
            <w:tcW w:w="1489" w:type="dxa"/>
          </w:tcPr>
          <w:p w14:paraId="2F0E8E96" w14:textId="104B780D"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286,067</w:t>
            </w:r>
          </w:p>
        </w:tc>
        <w:tc>
          <w:tcPr>
            <w:tcW w:w="1489" w:type="dxa"/>
          </w:tcPr>
          <w:p w14:paraId="5C80D546" w14:textId="3A495188" w:rsidR="00684927" w:rsidRDefault="00684927" w:rsidP="00684927">
            <w:pPr>
              <w:spacing w:line="480" w:lineRule="auto"/>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E10C2">
              <w:rPr>
                <w:color w:val="000000" w:themeColor="text1"/>
                <w:sz w:val="24"/>
                <w:szCs w:val="24"/>
              </w:rPr>
              <w:t>339,213</w:t>
            </w:r>
          </w:p>
        </w:tc>
      </w:tr>
      <w:tr w:rsidR="00223D83" w14:paraId="2E75A04B" w14:textId="77777777" w:rsidTr="00684927">
        <w:trPr>
          <w:trHeight w:val="965"/>
        </w:trPr>
        <w:tc>
          <w:tcPr>
            <w:cnfStyle w:val="001000000000" w:firstRow="0" w:lastRow="0" w:firstColumn="1" w:lastColumn="0" w:oddVBand="0" w:evenVBand="0" w:oddHBand="0" w:evenHBand="0" w:firstRowFirstColumn="0" w:firstRowLastColumn="0" w:lastRowFirstColumn="0" w:lastRowLastColumn="0"/>
            <w:tcW w:w="1738" w:type="dxa"/>
            <w:vMerge/>
            <w:shd w:val="clear" w:color="auto" w:fill="F2F2F2" w:themeFill="background1" w:themeFillShade="F2"/>
          </w:tcPr>
          <w:p w14:paraId="0839A7DB" w14:textId="77777777" w:rsidR="00223D83" w:rsidRPr="000E10C2" w:rsidRDefault="00223D83" w:rsidP="00223D83">
            <w:pPr>
              <w:jc w:val="center"/>
              <w:rPr>
                <w:color w:val="000000" w:themeColor="text1"/>
                <w:sz w:val="24"/>
                <w:szCs w:val="24"/>
              </w:rPr>
            </w:pPr>
          </w:p>
        </w:tc>
        <w:tc>
          <w:tcPr>
            <w:tcW w:w="1499" w:type="dxa"/>
            <w:shd w:val="clear" w:color="auto" w:fill="F2F2F2" w:themeFill="background1" w:themeFillShade="F2"/>
          </w:tcPr>
          <w:p w14:paraId="13502FDB" w14:textId="77777777" w:rsidR="00223D83" w:rsidRPr="000E10C2" w:rsidRDefault="00223D83" w:rsidP="00223D83">
            <w:pPr>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Current</w:t>
            </w:r>
          </w:p>
          <w:p w14:paraId="26E93B47" w14:textId="0648A527" w:rsidR="00223D83" w:rsidRPr="000E10C2" w:rsidRDefault="00223D83" w:rsidP="00223D83">
            <w:pPr>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Liabilities</w:t>
            </w:r>
          </w:p>
        </w:tc>
        <w:tc>
          <w:tcPr>
            <w:tcW w:w="1489" w:type="dxa"/>
            <w:shd w:val="clear" w:color="auto" w:fill="F2F2F2" w:themeFill="background1" w:themeFillShade="F2"/>
          </w:tcPr>
          <w:p w14:paraId="5C93C78B" w14:textId="47AB67B9"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243,629</w:t>
            </w:r>
          </w:p>
        </w:tc>
        <w:tc>
          <w:tcPr>
            <w:tcW w:w="1489" w:type="dxa"/>
            <w:shd w:val="clear" w:color="auto" w:fill="F2F2F2" w:themeFill="background1" w:themeFillShade="F2"/>
          </w:tcPr>
          <w:p w14:paraId="2C5AF48B" w14:textId="15B7125B"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218,430</w:t>
            </w:r>
          </w:p>
        </w:tc>
        <w:tc>
          <w:tcPr>
            <w:tcW w:w="1489" w:type="dxa"/>
            <w:shd w:val="clear" w:color="auto" w:fill="F2F2F2" w:themeFill="background1" w:themeFillShade="F2"/>
          </w:tcPr>
          <w:p w14:paraId="38643231" w14:textId="2B47E0FC"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179,960</w:t>
            </w:r>
          </w:p>
        </w:tc>
        <w:tc>
          <w:tcPr>
            <w:tcW w:w="1489" w:type="dxa"/>
            <w:shd w:val="clear" w:color="auto" w:fill="F2F2F2" w:themeFill="background1" w:themeFillShade="F2"/>
          </w:tcPr>
          <w:p w14:paraId="76E65664" w14:textId="7F8EF8A9"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186,908</w:t>
            </w:r>
          </w:p>
        </w:tc>
        <w:tc>
          <w:tcPr>
            <w:tcW w:w="1489" w:type="dxa"/>
            <w:shd w:val="clear" w:color="auto" w:fill="F2F2F2" w:themeFill="background1" w:themeFillShade="F2"/>
          </w:tcPr>
          <w:p w14:paraId="7D8D3D4D" w14:textId="2AE678C9" w:rsidR="00223D83" w:rsidRPr="000E10C2" w:rsidRDefault="00223D83" w:rsidP="00223D83">
            <w:pPr>
              <w:spacing w:line="48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257,224</w:t>
            </w:r>
          </w:p>
        </w:tc>
      </w:tr>
    </w:tbl>
    <w:p w14:paraId="67905A60" w14:textId="77777777" w:rsidR="00987A74" w:rsidRPr="00987A74" w:rsidRDefault="00987A74" w:rsidP="00987A74"/>
    <w:p w14:paraId="10BF7999" w14:textId="77777777" w:rsidR="003E3244" w:rsidRPr="003E3244" w:rsidRDefault="003E3244" w:rsidP="003E3244">
      <w:pPr>
        <w:spacing w:line="360" w:lineRule="auto"/>
        <w:jc w:val="center"/>
        <w:rPr>
          <w:b/>
          <w:bCs/>
        </w:rPr>
      </w:pPr>
    </w:p>
    <w:p w14:paraId="1ABED8D8" w14:textId="48AB8526" w:rsidR="00760859" w:rsidRDefault="00760859" w:rsidP="003E3244">
      <w:pPr>
        <w:rPr>
          <w:b/>
          <w:bCs/>
          <w:sz w:val="24"/>
          <w:szCs w:val="24"/>
        </w:rPr>
      </w:pPr>
    </w:p>
    <w:p w14:paraId="762AF14E" w14:textId="77777777" w:rsidR="003E3244" w:rsidRPr="003E3244" w:rsidRDefault="003E3244" w:rsidP="003E3244">
      <w:pPr>
        <w:jc w:val="center"/>
        <w:rPr>
          <w:sz w:val="24"/>
          <w:szCs w:val="24"/>
        </w:rPr>
      </w:pPr>
    </w:p>
    <w:p w14:paraId="559BDC60" w14:textId="77777777" w:rsidR="006C330B" w:rsidRDefault="006C330B" w:rsidP="00163B46"/>
    <w:p w14:paraId="66D6C321" w14:textId="7C214CA4" w:rsidR="00223D83" w:rsidRPr="00223D83" w:rsidRDefault="00223D83" w:rsidP="00223D83">
      <w:pPr>
        <w:pStyle w:val="Caption"/>
        <w:keepNext/>
        <w:rPr>
          <w:sz w:val="24"/>
          <w:szCs w:val="24"/>
        </w:rPr>
      </w:pPr>
    </w:p>
    <w:tbl>
      <w:tblPr>
        <w:tblStyle w:val="PlainTable1"/>
        <w:tblW w:w="10740" w:type="dxa"/>
        <w:tblLook w:val="04A0" w:firstRow="1" w:lastRow="0" w:firstColumn="1" w:lastColumn="0" w:noHBand="0" w:noVBand="1"/>
      </w:tblPr>
      <w:tblGrid>
        <w:gridCol w:w="2120"/>
        <w:gridCol w:w="2433"/>
        <w:gridCol w:w="2386"/>
        <w:gridCol w:w="3801"/>
      </w:tblGrid>
      <w:tr w:rsidR="00223D83" w:rsidRPr="000E10C2" w14:paraId="430DE4EE" w14:textId="77777777" w:rsidTr="00223D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40" w:type="dxa"/>
            <w:gridSpan w:val="4"/>
          </w:tcPr>
          <w:p w14:paraId="1A622ABA" w14:textId="7FF59548" w:rsidR="00223D83" w:rsidRPr="000E10C2" w:rsidRDefault="00223D83" w:rsidP="00223D83">
            <w:pPr>
              <w:jc w:val="center"/>
              <w:rPr>
                <w:b w:val="0"/>
                <w:bCs w:val="0"/>
                <w:color w:val="000000" w:themeColor="text1"/>
                <w:sz w:val="24"/>
                <w:szCs w:val="24"/>
              </w:rPr>
            </w:pPr>
            <w:r w:rsidRPr="000E10C2">
              <w:rPr>
                <w:color w:val="000000" w:themeColor="text1"/>
                <w:sz w:val="24"/>
                <w:szCs w:val="24"/>
              </w:rPr>
              <w:t>Current Ratio</w:t>
            </w:r>
          </w:p>
        </w:tc>
      </w:tr>
      <w:tr w:rsidR="00223D83" w:rsidRPr="000E10C2" w14:paraId="68766947" w14:textId="77777777" w:rsidTr="00223D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14:paraId="0714639E" w14:textId="77777777" w:rsidR="00223D83" w:rsidRPr="000E10C2" w:rsidRDefault="00223D83" w:rsidP="00393F28">
            <w:pPr>
              <w:rPr>
                <w:color w:val="000000" w:themeColor="text1"/>
                <w:sz w:val="24"/>
                <w:szCs w:val="24"/>
              </w:rPr>
            </w:pPr>
            <w:r w:rsidRPr="000E10C2">
              <w:rPr>
                <w:color w:val="000000" w:themeColor="text1"/>
                <w:sz w:val="24"/>
                <w:szCs w:val="24"/>
              </w:rPr>
              <w:t>Year</w:t>
            </w:r>
          </w:p>
        </w:tc>
        <w:tc>
          <w:tcPr>
            <w:tcW w:w="2433" w:type="dxa"/>
          </w:tcPr>
          <w:p w14:paraId="343E601E"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BT Limited</w:t>
            </w:r>
          </w:p>
        </w:tc>
        <w:tc>
          <w:tcPr>
            <w:tcW w:w="2386" w:type="dxa"/>
          </w:tcPr>
          <w:p w14:paraId="57FA2FD2"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Vodafone Limited</w:t>
            </w:r>
          </w:p>
        </w:tc>
        <w:tc>
          <w:tcPr>
            <w:tcW w:w="3801" w:type="dxa"/>
          </w:tcPr>
          <w:p w14:paraId="34096BB9"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Three Limited</w:t>
            </w:r>
          </w:p>
        </w:tc>
      </w:tr>
      <w:tr w:rsidR="00223D83" w:rsidRPr="000E10C2" w14:paraId="082FC637" w14:textId="77777777" w:rsidTr="00223D83">
        <w:tc>
          <w:tcPr>
            <w:cnfStyle w:val="001000000000" w:firstRow="0" w:lastRow="0" w:firstColumn="1" w:lastColumn="0" w:oddVBand="0" w:evenVBand="0" w:oddHBand="0" w:evenHBand="0" w:firstRowFirstColumn="0" w:firstRowLastColumn="0" w:lastRowFirstColumn="0" w:lastRowLastColumn="0"/>
            <w:tcW w:w="2120" w:type="dxa"/>
          </w:tcPr>
          <w:p w14:paraId="21B1B72A" w14:textId="77777777" w:rsidR="00223D83" w:rsidRPr="000E10C2" w:rsidRDefault="00223D83" w:rsidP="00393F28">
            <w:pPr>
              <w:rPr>
                <w:color w:val="000000" w:themeColor="text1"/>
                <w:sz w:val="24"/>
                <w:szCs w:val="24"/>
              </w:rPr>
            </w:pPr>
            <w:r w:rsidRPr="000E10C2">
              <w:rPr>
                <w:color w:val="000000" w:themeColor="text1"/>
                <w:sz w:val="24"/>
                <w:szCs w:val="24"/>
              </w:rPr>
              <w:t>2022</w:t>
            </w:r>
          </w:p>
        </w:tc>
        <w:tc>
          <w:tcPr>
            <w:tcW w:w="2433" w:type="dxa"/>
          </w:tcPr>
          <w:p w14:paraId="39CC8F17"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rFonts w:cs="Calibri"/>
                <w:color w:val="000000" w:themeColor="text1"/>
              </w:rPr>
            </w:pPr>
            <w:r w:rsidRPr="000E10C2">
              <w:rPr>
                <w:rFonts w:cs="Calibri"/>
                <w:color w:val="000000" w:themeColor="text1"/>
              </w:rPr>
              <w:t>0.98</w:t>
            </w:r>
          </w:p>
        </w:tc>
        <w:tc>
          <w:tcPr>
            <w:tcW w:w="2386" w:type="dxa"/>
          </w:tcPr>
          <w:p w14:paraId="779A2E1C"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0.82</w:t>
            </w:r>
          </w:p>
        </w:tc>
        <w:tc>
          <w:tcPr>
            <w:tcW w:w="3801" w:type="dxa"/>
          </w:tcPr>
          <w:p w14:paraId="70E7D052"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1.76</w:t>
            </w:r>
          </w:p>
        </w:tc>
      </w:tr>
      <w:tr w:rsidR="00223D83" w:rsidRPr="000E10C2" w14:paraId="1B92052B" w14:textId="77777777" w:rsidTr="00223D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0" w:type="dxa"/>
          </w:tcPr>
          <w:p w14:paraId="2BD3D92A" w14:textId="77777777" w:rsidR="00223D83" w:rsidRPr="000E10C2" w:rsidRDefault="00223D83" w:rsidP="00393F28">
            <w:pPr>
              <w:rPr>
                <w:color w:val="000000" w:themeColor="text1"/>
                <w:sz w:val="24"/>
                <w:szCs w:val="24"/>
              </w:rPr>
            </w:pPr>
            <w:r w:rsidRPr="000E10C2">
              <w:rPr>
                <w:color w:val="000000" w:themeColor="text1"/>
                <w:sz w:val="24"/>
                <w:szCs w:val="24"/>
              </w:rPr>
              <w:t>2021</w:t>
            </w:r>
          </w:p>
        </w:tc>
        <w:tc>
          <w:tcPr>
            <w:tcW w:w="2433" w:type="dxa"/>
          </w:tcPr>
          <w:p w14:paraId="793EE809"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1.15</w:t>
            </w:r>
          </w:p>
        </w:tc>
        <w:tc>
          <w:tcPr>
            <w:tcW w:w="2386" w:type="dxa"/>
          </w:tcPr>
          <w:p w14:paraId="7D58A1EB"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0.94</w:t>
            </w:r>
          </w:p>
        </w:tc>
        <w:tc>
          <w:tcPr>
            <w:tcW w:w="3801" w:type="dxa"/>
          </w:tcPr>
          <w:p w14:paraId="4C48AFED"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1.63</w:t>
            </w:r>
          </w:p>
        </w:tc>
      </w:tr>
      <w:tr w:rsidR="00223D83" w:rsidRPr="000E10C2" w14:paraId="1F6893AD" w14:textId="77777777" w:rsidTr="00223D83">
        <w:tc>
          <w:tcPr>
            <w:cnfStyle w:val="001000000000" w:firstRow="0" w:lastRow="0" w:firstColumn="1" w:lastColumn="0" w:oddVBand="0" w:evenVBand="0" w:oddHBand="0" w:evenHBand="0" w:firstRowFirstColumn="0" w:firstRowLastColumn="0" w:lastRowFirstColumn="0" w:lastRowLastColumn="0"/>
            <w:tcW w:w="2120" w:type="dxa"/>
          </w:tcPr>
          <w:p w14:paraId="4BDD15F1" w14:textId="77777777" w:rsidR="00223D83" w:rsidRPr="000E10C2" w:rsidRDefault="00223D83" w:rsidP="00393F28">
            <w:pPr>
              <w:rPr>
                <w:color w:val="000000" w:themeColor="text1"/>
                <w:sz w:val="24"/>
                <w:szCs w:val="24"/>
              </w:rPr>
            </w:pPr>
            <w:r w:rsidRPr="000E10C2">
              <w:rPr>
                <w:color w:val="000000" w:themeColor="text1"/>
                <w:sz w:val="24"/>
                <w:szCs w:val="24"/>
              </w:rPr>
              <w:t>2020</w:t>
            </w:r>
          </w:p>
        </w:tc>
        <w:tc>
          <w:tcPr>
            <w:tcW w:w="2433" w:type="dxa"/>
          </w:tcPr>
          <w:p w14:paraId="7B9F97C9"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1.09</w:t>
            </w:r>
          </w:p>
        </w:tc>
        <w:tc>
          <w:tcPr>
            <w:tcW w:w="2386" w:type="dxa"/>
          </w:tcPr>
          <w:p w14:paraId="348F0709"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1.00</w:t>
            </w:r>
          </w:p>
        </w:tc>
        <w:tc>
          <w:tcPr>
            <w:tcW w:w="3801" w:type="dxa"/>
          </w:tcPr>
          <w:p w14:paraId="6E0DB869"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1.60</w:t>
            </w:r>
          </w:p>
        </w:tc>
      </w:tr>
      <w:tr w:rsidR="00223D83" w:rsidRPr="000E10C2" w14:paraId="2D45FBFB" w14:textId="77777777" w:rsidTr="00223D83">
        <w:trPr>
          <w:cnfStyle w:val="000000100000" w:firstRow="0" w:lastRow="0" w:firstColumn="0" w:lastColumn="0" w:oddVBand="0" w:evenVBand="0" w:oddHBand="1" w:evenHBand="0" w:firstRowFirstColumn="0" w:firstRowLastColumn="0" w:lastRowFirstColumn="0" w:lastRowLastColumn="0"/>
          <w:trHeight w:val="58"/>
        </w:trPr>
        <w:tc>
          <w:tcPr>
            <w:cnfStyle w:val="001000000000" w:firstRow="0" w:lastRow="0" w:firstColumn="1" w:lastColumn="0" w:oddVBand="0" w:evenVBand="0" w:oddHBand="0" w:evenHBand="0" w:firstRowFirstColumn="0" w:firstRowLastColumn="0" w:lastRowFirstColumn="0" w:lastRowLastColumn="0"/>
            <w:tcW w:w="2120" w:type="dxa"/>
          </w:tcPr>
          <w:p w14:paraId="09F60D52" w14:textId="77777777" w:rsidR="00223D83" w:rsidRPr="000E10C2" w:rsidRDefault="00223D83" w:rsidP="00393F28">
            <w:pPr>
              <w:rPr>
                <w:color w:val="000000" w:themeColor="text1"/>
                <w:sz w:val="24"/>
                <w:szCs w:val="24"/>
              </w:rPr>
            </w:pPr>
            <w:r w:rsidRPr="000E10C2">
              <w:rPr>
                <w:color w:val="000000" w:themeColor="text1"/>
                <w:sz w:val="24"/>
                <w:szCs w:val="24"/>
              </w:rPr>
              <w:t>2019</w:t>
            </w:r>
          </w:p>
        </w:tc>
        <w:tc>
          <w:tcPr>
            <w:tcW w:w="2433" w:type="dxa"/>
          </w:tcPr>
          <w:p w14:paraId="3F69C27A"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1.09</w:t>
            </w:r>
          </w:p>
        </w:tc>
        <w:tc>
          <w:tcPr>
            <w:tcW w:w="2386" w:type="dxa"/>
          </w:tcPr>
          <w:p w14:paraId="5756AB4B"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1.23</w:t>
            </w:r>
          </w:p>
        </w:tc>
        <w:tc>
          <w:tcPr>
            <w:tcW w:w="3801" w:type="dxa"/>
          </w:tcPr>
          <w:p w14:paraId="32F64872" w14:textId="77777777" w:rsidR="00223D83" w:rsidRPr="000E10C2" w:rsidRDefault="00223D83"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1.53</w:t>
            </w:r>
          </w:p>
        </w:tc>
      </w:tr>
      <w:tr w:rsidR="00223D83" w:rsidRPr="000E10C2" w14:paraId="0C636001" w14:textId="77777777" w:rsidTr="00223D83">
        <w:tc>
          <w:tcPr>
            <w:cnfStyle w:val="001000000000" w:firstRow="0" w:lastRow="0" w:firstColumn="1" w:lastColumn="0" w:oddVBand="0" w:evenVBand="0" w:oddHBand="0" w:evenHBand="0" w:firstRowFirstColumn="0" w:firstRowLastColumn="0" w:lastRowFirstColumn="0" w:lastRowLastColumn="0"/>
            <w:tcW w:w="2120" w:type="dxa"/>
          </w:tcPr>
          <w:p w14:paraId="70E0995B" w14:textId="77777777" w:rsidR="00223D83" w:rsidRPr="000E10C2" w:rsidRDefault="00223D83" w:rsidP="00393F28">
            <w:pPr>
              <w:rPr>
                <w:color w:val="000000" w:themeColor="text1"/>
                <w:sz w:val="24"/>
                <w:szCs w:val="24"/>
              </w:rPr>
            </w:pPr>
            <w:r w:rsidRPr="000E10C2">
              <w:rPr>
                <w:color w:val="000000" w:themeColor="text1"/>
                <w:sz w:val="24"/>
                <w:szCs w:val="24"/>
              </w:rPr>
              <w:t>2018</w:t>
            </w:r>
          </w:p>
        </w:tc>
        <w:tc>
          <w:tcPr>
            <w:tcW w:w="2433" w:type="dxa"/>
          </w:tcPr>
          <w:p w14:paraId="73683BB4"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0.82</w:t>
            </w:r>
          </w:p>
        </w:tc>
        <w:tc>
          <w:tcPr>
            <w:tcW w:w="2386" w:type="dxa"/>
          </w:tcPr>
          <w:p w14:paraId="00C76E24"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0.86</w:t>
            </w:r>
          </w:p>
        </w:tc>
        <w:tc>
          <w:tcPr>
            <w:tcW w:w="3801" w:type="dxa"/>
          </w:tcPr>
          <w:p w14:paraId="7DD91764" w14:textId="77777777" w:rsidR="00223D83" w:rsidRPr="000E10C2" w:rsidRDefault="00223D83"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1.32</w:t>
            </w:r>
          </w:p>
        </w:tc>
      </w:tr>
    </w:tbl>
    <w:p w14:paraId="537041EE" w14:textId="77777777" w:rsidR="006C330B" w:rsidRDefault="006C330B" w:rsidP="00163B46"/>
    <w:p w14:paraId="59C18FB9" w14:textId="17501587" w:rsidR="00223D83" w:rsidRDefault="00223D83" w:rsidP="00223D83">
      <w:pPr>
        <w:pStyle w:val="Caption"/>
        <w:keepNext/>
        <w:jc w:val="center"/>
        <w:rPr>
          <w:sz w:val="24"/>
          <w:szCs w:val="24"/>
        </w:rPr>
      </w:pPr>
      <w:r w:rsidRPr="00223D83">
        <w:rPr>
          <w:sz w:val="24"/>
          <w:szCs w:val="24"/>
        </w:rPr>
        <w:t xml:space="preserve">Table </w:t>
      </w:r>
      <w:r w:rsidRPr="00223D83">
        <w:rPr>
          <w:sz w:val="24"/>
          <w:szCs w:val="24"/>
        </w:rPr>
        <w:fldChar w:fldCharType="begin"/>
      </w:r>
      <w:r w:rsidRPr="00223D83">
        <w:rPr>
          <w:sz w:val="24"/>
          <w:szCs w:val="24"/>
        </w:rPr>
        <w:instrText xml:space="preserve"> SEQ Table \* ARABIC </w:instrText>
      </w:r>
      <w:r w:rsidRPr="00223D83">
        <w:rPr>
          <w:sz w:val="24"/>
          <w:szCs w:val="24"/>
        </w:rPr>
        <w:fldChar w:fldCharType="separate"/>
      </w:r>
      <w:r w:rsidR="003F2DD6">
        <w:rPr>
          <w:noProof/>
          <w:sz w:val="24"/>
          <w:szCs w:val="24"/>
        </w:rPr>
        <w:t>2</w:t>
      </w:r>
      <w:r w:rsidRPr="00223D83">
        <w:rPr>
          <w:sz w:val="24"/>
          <w:szCs w:val="24"/>
        </w:rPr>
        <w:fldChar w:fldCharType="end"/>
      </w:r>
      <w:r w:rsidRPr="00223D83">
        <w:rPr>
          <w:sz w:val="24"/>
          <w:szCs w:val="24"/>
        </w:rPr>
        <w:t>: Current Ratios of all three competitors</w:t>
      </w:r>
    </w:p>
    <w:p w14:paraId="481DDD45" w14:textId="74016BF5" w:rsidR="00223D83" w:rsidRPr="00223D83" w:rsidRDefault="00223D83" w:rsidP="00223D83">
      <w:r w:rsidRPr="000E10C2">
        <w:rPr>
          <w:b/>
          <w:bCs/>
          <w:noProof/>
          <w:color w:val="000000" w:themeColor="text1"/>
          <w:sz w:val="24"/>
          <w:szCs w:val="24"/>
        </w:rPr>
        <w:drawing>
          <wp:inline distT="0" distB="0" distL="0" distR="0" wp14:anchorId="75978738" wp14:editId="6AF87D5D">
            <wp:extent cx="6781800" cy="3302000"/>
            <wp:effectExtent l="0" t="0" r="0" b="0"/>
            <wp:docPr id="48747224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1C18AB" w14:textId="77777777" w:rsidR="006C330B" w:rsidRDefault="006C330B" w:rsidP="00163B46"/>
    <w:p w14:paraId="1891073C" w14:textId="2B23BF8A" w:rsidR="00223D83" w:rsidRPr="00223D83" w:rsidRDefault="00A82974" w:rsidP="00223D83">
      <w:pPr>
        <w:pStyle w:val="Caption"/>
        <w:keepNext/>
        <w:jc w:val="center"/>
        <w:rPr>
          <w:sz w:val="24"/>
          <w:szCs w:val="24"/>
        </w:rPr>
      </w:pPr>
      <w:r>
        <w:rPr>
          <w:sz w:val="24"/>
          <w:szCs w:val="24"/>
        </w:rPr>
        <w:t>Figure</w:t>
      </w:r>
      <w:r w:rsidR="00223D83" w:rsidRPr="00223D83">
        <w:rPr>
          <w:sz w:val="24"/>
          <w:szCs w:val="24"/>
        </w:rPr>
        <w:t xml:space="preserve"> </w:t>
      </w:r>
      <w:r>
        <w:rPr>
          <w:sz w:val="24"/>
          <w:szCs w:val="24"/>
        </w:rPr>
        <w:t>1</w:t>
      </w:r>
      <w:r w:rsidR="00223D83" w:rsidRPr="00223D83">
        <w:rPr>
          <w:sz w:val="24"/>
          <w:szCs w:val="24"/>
        </w:rPr>
        <w:t>: Current Ratios in Bar Graph with explanation in detail</w:t>
      </w:r>
    </w:p>
    <w:p w14:paraId="7130DB55" w14:textId="53334F99" w:rsidR="006C330B" w:rsidRDefault="00A1246F" w:rsidP="00A1246F">
      <w:pPr>
        <w:pStyle w:val="Heading2"/>
        <w:rPr>
          <w:sz w:val="32"/>
          <w:szCs w:val="32"/>
        </w:rPr>
      </w:pPr>
      <w:bookmarkStart w:id="8" w:name="_Toc151378350"/>
      <w:r>
        <w:rPr>
          <w:sz w:val="32"/>
          <w:szCs w:val="32"/>
        </w:rPr>
        <w:t>5.2 Table Analysis</w:t>
      </w:r>
      <w:bookmarkEnd w:id="8"/>
    </w:p>
    <w:p w14:paraId="096778D7" w14:textId="77777777" w:rsidR="00A1246F" w:rsidRDefault="00A1246F" w:rsidP="00A1246F"/>
    <w:p w14:paraId="54A14026" w14:textId="47403DB6" w:rsidR="00EC2E37" w:rsidRDefault="00EC2E37" w:rsidP="00EC2E37">
      <w:pPr>
        <w:spacing w:line="360" w:lineRule="auto"/>
        <w:jc w:val="both"/>
        <w:rPr>
          <w:rStyle w:val="animating"/>
          <w:rFonts w:cs="Arial"/>
          <w:color w:val="1F1F1F"/>
          <w:sz w:val="24"/>
          <w:szCs w:val="20"/>
          <w:shd w:val="clear" w:color="auto" w:fill="FFFFFF"/>
        </w:rPr>
      </w:pPr>
      <w:r w:rsidRPr="00EC2E37">
        <w:rPr>
          <w:rFonts w:cs="Arial"/>
          <w:color w:val="1F1F1F"/>
          <w:sz w:val="24"/>
          <w:szCs w:val="20"/>
          <w:shd w:val="clear" w:color="auto" w:fill="FFFFFF"/>
        </w:rPr>
        <w:t>An analysis of the current ratios of BT, Vodafone, and Three from 2018 to 2022 reveals contrasting trends in their liquidity positions. BT's current ratio declined from 0.82 to 0.98, indicating a weakening liquidity profile. Vodafone's current ratio exhibited greater variability, ranging between 0.86 and 1.23, suggesting fluctuations in its ability to meet short-term obligations. In contrast, Three's current ratio experienced a steady upward trajectory,</w:t>
      </w:r>
      <w:r w:rsidRPr="00EC2E37">
        <w:rPr>
          <w:rStyle w:val="animating"/>
          <w:rFonts w:cs="Arial"/>
          <w:color w:val="1F1F1F"/>
          <w:sz w:val="24"/>
          <w:szCs w:val="20"/>
          <w:shd w:val="clear" w:color="auto" w:fill="FFFFFF"/>
        </w:rPr>
        <w:t xml:space="preserve"> increasing from 1.32 to 1.76. This growth implies an enhanced liquidity position and a stronger capacity to fulfill short-term debt obligations. These trends underscore the divergent financial health and liquidity management strategies adopted by the three telecommunications companies during the analyzed period.</w:t>
      </w:r>
    </w:p>
    <w:p w14:paraId="7164DED8" w14:textId="0B689C48" w:rsidR="00EC2E37" w:rsidRDefault="00EC2E37" w:rsidP="00EC2E37">
      <w:pPr>
        <w:pStyle w:val="Heading1"/>
        <w:rPr>
          <w:shd w:val="clear" w:color="auto" w:fill="FFFFFF"/>
        </w:rPr>
      </w:pPr>
      <w:bookmarkStart w:id="9" w:name="_Toc151378351"/>
      <w:r>
        <w:rPr>
          <w:shd w:val="clear" w:color="auto" w:fill="FFFFFF"/>
        </w:rPr>
        <w:t xml:space="preserve">6. </w:t>
      </w:r>
      <w:r w:rsidRPr="00EC2E37">
        <w:rPr>
          <w:shd w:val="clear" w:color="auto" w:fill="FFFFFF"/>
        </w:rPr>
        <w:t>Cash Ratio: A Measure of Immediate Liquidity</w:t>
      </w:r>
      <w:bookmarkEnd w:id="9"/>
    </w:p>
    <w:p w14:paraId="5186B1C4" w14:textId="77777777" w:rsidR="00EC2E37" w:rsidRDefault="00EC2E37" w:rsidP="00EC2E37"/>
    <w:p w14:paraId="50AEFB40" w14:textId="77777777" w:rsidR="00EC2E37" w:rsidRPr="00EC2E37" w:rsidRDefault="00EC2E37" w:rsidP="00EC2E37">
      <w:pPr>
        <w:spacing w:line="360" w:lineRule="auto"/>
        <w:jc w:val="both"/>
        <w:rPr>
          <w:sz w:val="24"/>
          <w:szCs w:val="20"/>
        </w:rPr>
      </w:pPr>
      <w:r w:rsidRPr="00EC2E37">
        <w:rPr>
          <w:sz w:val="24"/>
          <w:szCs w:val="20"/>
        </w:rPr>
        <w:t xml:space="preserve">The cash ratio is a financial metric that assesses a company's ability to meet its short-term </w:t>
      </w:r>
      <w:r w:rsidRPr="00EC2E37">
        <w:rPr>
          <w:sz w:val="24"/>
          <w:szCs w:val="20"/>
        </w:rPr>
        <w:lastRenderedPageBreak/>
        <w:t>obligations using only its most liquid assets, namely cash and cash equivalents (Titman et al., 2014). Unlike the current ratio, which includes assets like inventory and accounts receivable, the cash ratio focuses exclusively on the most readily available resources. This makes it a more conservative measure of liquidity.</w:t>
      </w:r>
    </w:p>
    <w:p w14:paraId="63E998E5" w14:textId="77777777" w:rsidR="00EC2E37" w:rsidRPr="00EC2E37" w:rsidRDefault="00EC2E37" w:rsidP="00EC2E37">
      <w:pPr>
        <w:spacing w:line="360" w:lineRule="auto"/>
        <w:jc w:val="both"/>
        <w:rPr>
          <w:sz w:val="24"/>
          <w:szCs w:val="20"/>
        </w:rPr>
      </w:pPr>
    </w:p>
    <w:p w14:paraId="139B7072" w14:textId="43878BC5" w:rsidR="00EC2E37" w:rsidRPr="00EC2E37" w:rsidRDefault="00FB14A6" w:rsidP="00EC2E37">
      <w:pPr>
        <w:spacing w:line="360" w:lineRule="auto"/>
        <w:jc w:val="both"/>
        <w:rPr>
          <w:sz w:val="24"/>
          <w:szCs w:val="20"/>
        </w:rPr>
      </w:pPr>
      <w:r>
        <w:rPr>
          <w:sz w:val="24"/>
          <w:szCs w:val="20"/>
        </w:rPr>
        <w:t xml:space="preserve">According to </w:t>
      </w:r>
      <w:r w:rsidRPr="00EC2E37">
        <w:rPr>
          <w:sz w:val="24"/>
          <w:szCs w:val="20"/>
        </w:rPr>
        <w:t>(Titman et al., 2014)</w:t>
      </w:r>
      <w:r>
        <w:rPr>
          <w:sz w:val="24"/>
          <w:szCs w:val="20"/>
        </w:rPr>
        <w:t>, a</w:t>
      </w:r>
      <w:r w:rsidR="00EC2E37" w:rsidRPr="00EC2E37">
        <w:rPr>
          <w:sz w:val="24"/>
          <w:szCs w:val="20"/>
        </w:rPr>
        <w:t xml:space="preserve"> ratio of less than 0.2 is considered low, indicating potential difficulties in meeting short-term commitments. Conversely, a higher ratio suggests better liquidity and a stronger capacity to fulfill debt obligations. However, there is no universally ideal cash ratio, as industry standards and market conditions may influence its interpretation.</w:t>
      </w:r>
    </w:p>
    <w:p w14:paraId="4D35846E" w14:textId="77777777" w:rsidR="00EC2E37" w:rsidRPr="00EC2E37" w:rsidRDefault="00EC2E37" w:rsidP="00EC2E37">
      <w:pPr>
        <w:spacing w:line="360" w:lineRule="auto"/>
        <w:jc w:val="both"/>
        <w:rPr>
          <w:sz w:val="24"/>
          <w:szCs w:val="20"/>
        </w:rPr>
      </w:pPr>
    </w:p>
    <w:p w14:paraId="19264096" w14:textId="77777777" w:rsidR="00EC2E37" w:rsidRPr="00EC2E37" w:rsidRDefault="00EC2E37" w:rsidP="00EC2E37">
      <w:pPr>
        <w:spacing w:line="360" w:lineRule="auto"/>
        <w:jc w:val="both"/>
        <w:rPr>
          <w:sz w:val="24"/>
          <w:szCs w:val="20"/>
        </w:rPr>
      </w:pPr>
      <w:r w:rsidRPr="00EC2E37">
        <w:rPr>
          <w:sz w:val="24"/>
          <w:szCs w:val="20"/>
        </w:rPr>
        <w:t>One of the drawbacks of the cash ratio is that it doesn't account for the timing of receivables, which can impact a company's ability to convert them into cash quickly. Additionally, it doesn't consider how market conditions might affect the liquidity of assets.</w:t>
      </w:r>
    </w:p>
    <w:p w14:paraId="6B887F0D" w14:textId="77777777" w:rsidR="00EC2E37" w:rsidRDefault="00EC2E37" w:rsidP="00EC2E37"/>
    <w:p w14:paraId="4217F0D9" w14:textId="6E7EF747" w:rsidR="00EC2E37" w:rsidRDefault="00EC2E37" w:rsidP="00FB14A6">
      <w:pPr>
        <w:spacing w:line="360" w:lineRule="auto"/>
        <w:jc w:val="both"/>
        <w:rPr>
          <w:sz w:val="24"/>
          <w:szCs w:val="20"/>
        </w:rPr>
      </w:pPr>
      <w:r w:rsidRPr="00FB14A6">
        <w:rPr>
          <w:sz w:val="24"/>
          <w:szCs w:val="20"/>
        </w:rPr>
        <w:t>In essence, the cash ratio serves as a simplified tool for evaluating a company's immediate liquidity position, focusing solely on cash and cash equivalents. It provides valuable insights into a company's ability to meet its short-term debts, but it should be interpreted within the context of industry norms and market conditions.</w:t>
      </w:r>
    </w:p>
    <w:p w14:paraId="7DAF1F97" w14:textId="77777777" w:rsidR="00FB14A6" w:rsidRDefault="00FB14A6" w:rsidP="00FB14A6"/>
    <w:p w14:paraId="049FA05F" w14:textId="77777777" w:rsidR="00DF5C4E" w:rsidRDefault="00FB14A6" w:rsidP="00DF5C4E">
      <w:pPr>
        <w:pStyle w:val="Heading2"/>
        <w:rPr>
          <w:sz w:val="32"/>
          <w:szCs w:val="32"/>
        </w:rPr>
      </w:pPr>
      <w:bookmarkStart w:id="10" w:name="_Toc151378352"/>
      <w:r w:rsidRPr="00FB14A6">
        <w:rPr>
          <w:sz w:val="32"/>
          <w:szCs w:val="32"/>
        </w:rPr>
        <w:t>6.1 Why I choose Cash Ratio</w:t>
      </w:r>
      <w:bookmarkEnd w:id="10"/>
      <w:r w:rsidRPr="00FB14A6">
        <w:rPr>
          <w:sz w:val="32"/>
          <w:szCs w:val="32"/>
        </w:rPr>
        <w:t xml:space="preserve"> </w:t>
      </w:r>
    </w:p>
    <w:p w14:paraId="7024FC0F" w14:textId="77777777" w:rsidR="00DF5C4E" w:rsidRPr="00DF5C4E" w:rsidRDefault="00DF5C4E" w:rsidP="00DF5C4E">
      <w:pPr>
        <w:spacing w:line="360" w:lineRule="auto"/>
        <w:rPr>
          <w:sz w:val="24"/>
          <w:szCs w:val="20"/>
          <w:shd w:val="clear" w:color="auto" w:fill="FFFFFF"/>
        </w:rPr>
      </w:pPr>
    </w:p>
    <w:p w14:paraId="543841E4" w14:textId="63404C62" w:rsidR="00FB14A6" w:rsidRDefault="00DF5C4E" w:rsidP="00DF5C4E">
      <w:pPr>
        <w:spacing w:line="360" w:lineRule="auto"/>
        <w:jc w:val="both"/>
        <w:rPr>
          <w:rStyle w:val="animating"/>
          <w:rFonts w:cs="Arial"/>
          <w:color w:val="1F1F1F"/>
          <w:sz w:val="24"/>
          <w:szCs w:val="24"/>
          <w:shd w:val="clear" w:color="auto" w:fill="FFFFFF"/>
        </w:rPr>
      </w:pPr>
      <w:r w:rsidRPr="00DF5C4E">
        <w:rPr>
          <w:sz w:val="24"/>
          <w:szCs w:val="24"/>
          <w:shd w:val="clear" w:color="auto" w:fill="FFFFFF"/>
        </w:rPr>
        <w:t>The cash ratio</w:t>
      </w:r>
      <w:r w:rsidR="00A82974">
        <w:rPr>
          <w:sz w:val="24"/>
          <w:szCs w:val="24"/>
          <w:shd w:val="clear" w:color="auto" w:fill="FFFFFF"/>
        </w:rPr>
        <w:t>s</w:t>
      </w:r>
      <w:r w:rsidRPr="00DF5C4E">
        <w:rPr>
          <w:sz w:val="24"/>
          <w:szCs w:val="24"/>
          <w:shd w:val="clear" w:color="auto" w:fill="FFFFFF"/>
        </w:rPr>
        <w:t xml:space="preserve"> </w:t>
      </w:r>
      <w:proofErr w:type="gramStart"/>
      <w:r w:rsidRPr="00DF5C4E">
        <w:rPr>
          <w:sz w:val="24"/>
          <w:szCs w:val="24"/>
          <w:shd w:val="clear" w:color="auto" w:fill="FFFFFF"/>
        </w:rPr>
        <w:t>is</w:t>
      </w:r>
      <w:proofErr w:type="gramEnd"/>
      <w:r w:rsidRPr="00DF5C4E">
        <w:rPr>
          <w:sz w:val="24"/>
          <w:szCs w:val="24"/>
          <w:shd w:val="clear" w:color="auto" w:fill="FFFFFF"/>
        </w:rPr>
        <w:t xml:space="preserve"> a simple way to measure a company's ability to pay its bills in the short term. It is calculated by dividing cash and cash equivalents by current liabilities.</w:t>
      </w:r>
      <w:r w:rsidRPr="00DF5C4E">
        <w:rPr>
          <w:rStyle w:val="animating"/>
          <w:rFonts w:cs="Arial"/>
          <w:color w:val="1F1F1F"/>
          <w:sz w:val="24"/>
          <w:szCs w:val="24"/>
          <w:shd w:val="clear" w:color="auto" w:fill="FFFFFF"/>
        </w:rPr>
        <w:t xml:space="preserve"> A higher cash ratio indicates that a company has more cash available to pay its bills, which is a good sign. However, it is important to look at the cash ratio along with other financial measures to get a complete picture of a company's financial health.</w:t>
      </w:r>
    </w:p>
    <w:p w14:paraId="498CFDCC" w14:textId="77777777" w:rsidR="00DF5C4E" w:rsidRDefault="00DF5C4E" w:rsidP="00DF5C4E">
      <w:pPr>
        <w:spacing w:line="360" w:lineRule="auto"/>
        <w:jc w:val="both"/>
        <w:rPr>
          <w:rStyle w:val="animating"/>
          <w:rFonts w:cs="Arial"/>
          <w:color w:val="1F1F1F"/>
          <w:sz w:val="24"/>
          <w:szCs w:val="24"/>
          <w:shd w:val="clear" w:color="auto" w:fill="FFFFFF"/>
        </w:rPr>
      </w:pPr>
    </w:p>
    <w:p w14:paraId="079685F5" w14:textId="753CA333" w:rsidR="00DF5C4E" w:rsidRDefault="00DF5C4E" w:rsidP="00DF5C4E">
      <w:pPr>
        <w:spacing w:line="360" w:lineRule="auto"/>
        <w:jc w:val="both"/>
        <w:rPr>
          <w:rStyle w:val="animating"/>
          <w:rFonts w:cs="Arial"/>
          <w:color w:val="1F1F1F"/>
          <w:sz w:val="24"/>
          <w:szCs w:val="24"/>
          <w:shd w:val="clear" w:color="auto" w:fill="FFFFFF"/>
        </w:rPr>
      </w:pPr>
      <w:r>
        <w:rPr>
          <w:rStyle w:val="animating"/>
          <w:rFonts w:cs="Arial"/>
          <w:color w:val="1F1F1F"/>
          <w:sz w:val="24"/>
          <w:szCs w:val="24"/>
          <w:shd w:val="clear" w:color="auto" w:fill="FFFFFF"/>
        </w:rPr>
        <w:t xml:space="preserve">Cash Ratio Formula = (Cash and Cash Equivalents) / Current Liabilities </w:t>
      </w:r>
    </w:p>
    <w:p w14:paraId="5353CBE3" w14:textId="771760F0" w:rsidR="00A82974" w:rsidRDefault="00A82974" w:rsidP="00A82974">
      <w:pPr>
        <w:pStyle w:val="Caption"/>
        <w:keepNext/>
      </w:pPr>
    </w:p>
    <w:tbl>
      <w:tblPr>
        <w:tblStyle w:val="PlainTable1"/>
        <w:tblW w:w="0" w:type="auto"/>
        <w:tblLook w:val="0000" w:firstRow="0" w:lastRow="0" w:firstColumn="0" w:lastColumn="0" w:noHBand="0" w:noVBand="0"/>
      </w:tblPr>
      <w:tblGrid>
        <w:gridCol w:w="2720"/>
        <w:gridCol w:w="2542"/>
        <w:gridCol w:w="1084"/>
        <w:gridCol w:w="1084"/>
        <w:gridCol w:w="1084"/>
        <w:gridCol w:w="1084"/>
        <w:gridCol w:w="1084"/>
      </w:tblGrid>
      <w:tr w:rsidR="00DF5C4E" w:rsidRPr="000E10C2" w14:paraId="786D41BA" w14:textId="77777777" w:rsidTr="00A82974">
        <w:trPr>
          <w:cnfStyle w:val="000000100000" w:firstRow="0" w:lastRow="0" w:firstColumn="0" w:lastColumn="0" w:oddVBand="0" w:evenVBand="0" w:oddHBand="1" w:evenHBand="0" w:firstRowFirstColumn="0" w:firstRowLastColumn="0" w:lastRowFirstColumn="0" w:lastRowLastColumn="0"/>
          <w:trHeight w:val="433"/>
        </w:trPr>
        <w:tc>
          <w:tcPr>
            <w:cnfStyle w:val="000010000000" w:firstRow="0" w:lastRow="0" w:firstColumn="0" w:lastColumn="0" w:oddVBand="1" w:evenVBand="0" w:oddHBand="0" w:evenHBand="0" w:firstRowFirstColumn="0" w:firstRowLastColumn="0" w:lastRowFirstColumn="0" w:lastRowLastColumn="0"/>
            <w:tcW w:w="0" w:type="auto"/>
          </w:tcPr>
          <w:p w14:paraId="20032993" w14:textId="77777777" w:rsidR="00DF5C4E" w:rsidRPr="00DF5C4E" w:rsidRDefault="00DF5C4E" w:rsidP="00DF5C4E">
            <w:pPr>
              <w:jc w:val="center"/>
              <w:rPr>
                <w:b/>
                <w:bCs/>
                <w:color w:val="000000" w:themeColor="text1"/>
                <w:sz w:val="24"/>
                <w:szCs w:val="24"/>
              </w:rPr>
            </w:pPr>
            <w:r w:rsidRPr="00DF5C4E">
              <w:rPr>
                <w:b/>
                <w:bCs/>
                <w:color w:val="000000" w:themeColor="text1"/>
                <w:sz w:val="24"/>
                <w:szCs w:val="24"/>
              </w:rPr>
              <w:t>Company Name</w:t>
            </w:r>
          </w:p>
        </w:tc>
        <w:tc>
          <w:tcPr>
            <w:tcW w:w="0" w:type="auto"/>
          </w:tcPr>
          <w:p w14:paraId="345EA5F3"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E1121F0" w14:textId="77777777" w:rsidR="00DF5C4E" w:rsidRPr="000E10C2" w:rsidRDefault="00DF5C4E" w:rsidP="00393F28">
            <w:pPr>
              <w:rPr>
                <w:color w:val="000000" w:themeColor="text1"/>
                <w:sz w:val="24"/>
                <w:szCs w:val="24"/>
              </w:rPr>
            </w:pPr>
            <w:r w:rsidRPr="000E10C2">
              <w:rPr>
                <w:color w:val="000000" w:themeColor="text1"/>
                <w:sz w:val="24"/>
                <w:szCs w:val="24"/>
              </w:rPr>
              <w:t>2022</w:t>
            </w:r>
          </w:p>
        </w:tc>
        <w:tc>
          <w:tcPr>
            <w:tcW w:w="0" w:type="auto"/>
          </w:tcPr>
          <w:p w14:paraId="624FB2AD"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2021</w:t>
            </w:r>
          </w:p>
        </w:tc>
        <w:tc>
          <w:tcPr>
            <w:cnfStyle w:val="000010000000" w:firstRow="0" w:lastRow="0" w:firstColumn="0" w:lastColumn="0" w:oddVBand="1" w:evenVBand="0" w:oddHBand="0" w:evenHBand="0" w:firstRowFirstColumn="0" w:firstRowLastColumn="0" w:lastRowFirstColumn="0" w:lastRowLastColumn="0"/>
            <w:tcW w:w="0" w:type="auto"/>
          </w:tcPr>
          <w:p w14:paraId="2686836C" w14:textId="77777777" w:rsidR="00DF5C4E" w:rsidRPr="000E10C2" w:rsidRDefault="00DF5C4E" w:rsidP="00393F28">
            <w:pPr>
              <w:rPr>
                <w:color w:val="000000" w:themeColor="text1"/>
                <w:sz w:val="24"/>
                <w:szCs w:val="24"/>
              </w:rPr>
            </w:pPr>
            <w:r w:rsidRPr="000E10C2">
              <w:rPr>
                <w:color w:val="000000" w:themeColor="text1"/>
                <w:sz w:val="24"/>
                <w:szCs w:val="24"/>
              </w:rPr>
              <w:t>2020</w:t>
            </w:r>
          </w:p>
        </w:tc>
        <w:tc>
          <w:tcPr>
            <w:tcW w:w="0" w:type="auto"/>
          </w:tcPr>
          <w:p w14:paraId="116C8148"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2019</w:t>
            </w:r>
          </w:p>
        </w:tc>
        <w:tc>
          <w:tcPr>
            <w:cnfStyle w:val="000010000000" w:firstRow="0" w:lastRow="0" w:firstColumn="0" w:lastColumn="0" w:oddVBand="1" w:evenVBand="0" w:oddHBand="0" w:evenHBand="0" w:firstRowFirstColumn="0" w:firstRowLastColumn="0" w:lastRowFirstColumn="0" w:lastRowLastColumn="0"/>
            <w:tcW w:w="0" w:type="auto"/>
          </w:tcPr>
          <w:p w14:paraId="0AA85FBB" w14:textId="77777777" w:rsidR="00DF5C4E" w:rsidRPr="000E10C2" w:rsidRDefault="00DF5C4E" w:rsidP="00393F28">
            <w:pPr>
              <w:rPr>
                <w:color w:val="000000" w:themeColor="text1"/>
                <w:sz w:val="24"/>
                <w:szCs w:val="24"/>
              </w:rPr>
            </w:pPr>
            <w:r w:rsidRPr="000E10C2">
              <w:rPr>
                <w:color w:val="000000" w:themeColor="text1"/>
                <w:sz w:val="24"/>
                <w:szCs w:val="24"/>
              </w:rPr>
              <w:t>2018</w:t>
            </w:r>
          </w:p>
        </w:tc>
      </w:tr>
      <w:tr w:rsidR="00DF5C4E" w:rsidRPr="000E10C2" w14:paraId="56BB5223" w14:textId="77777777" w:rsidTr="00A82974">
        <w:trPr>
          <w:trHeight w:val="433"/>
        </w:trPr>
        <w:tc>
          <w:tcPr>
            <w:cnfStyle w:val="000010000000" w:firstRow="0" w:lastRow="0" w:firstColumn="0" w:lastColumn="0" w:oddVBand="1" w:evenVBand="0" w:oddHBand="0" w:evenHBand="0" w:firstRowFirstColumn="0" w:firstRowLastColumn="0" w:lastRowFirstColumn="0" w:lastRowLastColumn="0"/>
            <w:tcW w:w="0" w:type="auto"/>
            <w:vMerge w:val="restart"/>
          </w:tcPr>
          <w:p w14:paraId="127F70A3"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BT Group Limited</w:t>
            </w:r>
          </w:p>
          <w:p w14:paraId="3E10DEA1"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(Figures in Pounds Million)</w:t>
            </w:r>
          </w:p>
        </w:tc>
        <w:tc>
          <w:tcPr>
            <w:tcW w:w="0" w:type="auto"/>
          </w:tcPr>
          <w:p w14:paraId="28398FEB"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Cash and Cash Equivalents</w:t>
            </w:r>
          </w:p>
        </w:tc>
        <w:tc>
          <w:tcPr>
            <w:cnfStyle w:val="000010000000" w:firstRow="0" w:lastRow="0" w:firstColumn="0" w:lastColumn="0" w:oddVBand="1" w:evenVBand="0" w:oddHBand="0" w:evenHBand="0" w:firstRowFirstColumn="0" w:firstRowLastColumn="0" w:lastRowFirstColumn="0" w:lastRowLastColumn="0"/>
            <w:tcW w:w="0" w:type="auto"/>
          </w:tcPr>
          <w:p w14:paraId="43530483" w14:textId="77777777" w:rsidR="00DF5C4E" w:rsidRPr="000E10C2" w:rsidRDefault="00DF5C4E" w:rsidP="00393F28">
            <w:pPr>
              <w:rPr>
                <w:color w:val="000000" w:themeColor="text1"/>
                <w:sz w:val="24"/>
                <w:szCs w:val="24"/>
              </w:rPr>
            </w:pPr>
            <w:r w:rsidRPr="000E10C2">
              <w:rPr>
                <w:color w:val="000000" w:themeColor="text1"/>
                <w:sz w:val="24"/>
                <w:szCs w:val="24"/>
              </w:rPr>
              <w:t>777</w:t>
            </w:r>
          </w:p>
        </w:tc>
        <w:tc>
          <w:tcPr>
            <w:tcW w:w="0" w:type="auto"/>
          </w:tcPr>
          <w:p w14:paraId="62E0DCC5"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1,000</w:t>
            </w:r>
          </w:p>
          <w:p w14:paraId="678260D5"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0FC9C178" w14:textId="77777777" w:rsidR="00DF5C4E" w:rsidRPr="000E10C2" w:rsidRDefault="00DF5C4E" w:rsidP="00393F28">
            <w:pPr>
              <w:rPr>
                <w:color w:val="000000" w:themeColor="text1"/>
                <w:sz w:val="24"/>
                <w:szCs w:val="24"/>
              </w:rPr>
            </w:pPr>
            <w:r w:rsidRPr="000E10C2">
              <w:rPr>
                <w:color w:val="000000" w:themeColor="text1"/>
                <w:sz w:val="24"/>
                <w:szCs w:val="24"/>
              </w:rPr>
              <w:t>1,549</w:t>
            </w:r>
          </w:p>
        </w:tc>
        <w:tc>
          <w:tcPr>
            <w:tcW w:w="0" w:type="auto"/>
          </w:tcPr>
          <w:p w14:paraId="4A0FD642"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1,666</w:t>
            </w:r>
          </w:p>
        </w:tc>
        <w:tc>
          <w:tcPr>
            <w:cnfStyle w:val="000010000000" w:firstRow="0" w:lastRow="0" w:firstColumn="0" w:lastColumn="0" w:oddVBand="1" w:evenVBand="0" w:oddHBand="0" w:evenHBand="0" w:firstRowFirstColumn="0" w:firstRowLastColumn="0" w:lastRowFirstColumn="0" w:lastRowLastColumn="0"/>
            <w:tcW w:w="0" w:type="auto"/>
          </w:tcPr>
          <w:p w14:paraId="5C9B8E9F" w14:textId="77777777" w:rsidR="00DF5C4E" w:rsidRPr="000E10C2" w:rsidRDefault="00DF5C4E" w:rsidP="00393F28">
            <w:pPr>
              <w:rPr>
                <w:color w:val="000000" w:themeColor="text1"/>
                <w:sz w:val="24"/>
                <w:szCs w:val="24"/>
              </w:rPr>
            </w:pPr>
            <w:r w:rsidRPr="000E10C2">
              <w:rPr>
                <w:color w:val="000000" w:themeColor="text1"/>
                <w:sz w:val="24"/>
                <w:szCs w:val="24"/>
              </w:rPr>
              <w:t>528</w:t>
            </w:r>
          </w:p>
        </w:tc>
      </w:tr>
      <w:tr w:rsidR="00DF5C4E" w:rsidRPr="000E10C2" w14:paraId="4E7709DA" w14:textId="77777777" w:rsidTr="00A82974">
        <w:trPr>
          <w:cnfStyle w:val="000000100000" w:firstRow="0" w:lastRow="0" w:firstColumn="0" w:lastColumn="0" w:oddVBand="0" w:evenVBand="0" w:oddHBand="1" w:evenHBand="0" w:firstRowFirstColumn="0" w:firstRowLastColumn="0" w:lastRowFirstColumn="0" w:lastRowLastColumn="0"/>
          <w:trHeight w:val="451"/>
        </w:trPr>
        <w:tc>
          <w:tcPr>
            <w:cnfStyle w:val="000010000000" w:firstRow="0" w:lastRow="0" w:firstColumn="0" w:lastColumn="0" w:oddVBand="1" w:evenVBand="0" w:oddHBand="0" w:evenHBand="0" w:firstRowFirstColumn="0" w:firstRowLastColumn="0" w:lastRowFirstColumn="0" w:lastRowLastColumn="0"/>
            <w:tcW w:w="0" w:type="auto"/>
            <w:vMerge/>
          </w:tcPr>
          <w:p w14:paraId="6B4AE387" w14:textId="77777777" w:rsidR="00DF5C4E" w:rsidRPr="00DF5C4E" w:rsidRDefault="00DF5C4E" w:rsidP="00393F28">
            <w:pPr>
              <w:rPr>
                <w:b/>
                <w:bCs/>
                <w:color w:val="000000" w:themeColor="text1"/>
                <w:sz w:val="24"/>
                <w:szCs w:val="24"/>
              </w:rPr>
            </w:pPr>
          </w:p>
        </w:tc>
        <w:tc>
          <w:tcPr>
            <w:tcW w:w="0" w:type="auto"/>
          </w:tcPr>
          <w:p w14:paraId="33079194"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Current Liabilities</w:t>
            </w:r>
          </w:p>
        </w:tc>
        <w:tc>
          <w:tcPr>
            <w:cnfStyle w:val="000010000000" w:firstRow="0" w:lastRow="0" w:firstColumn="0" w:lastColumn="0" w:oddVBand="1" w:evenVBand="0" w:oddHBand="0" w:evenHBand="0" w:firstRowFirstColumn="0" w:firstRowLastColumn="0" w:lastRowFirstColumn="0" w:lastRowLastColumn="0"/>
            <w:tcW w:w="0" w:type="auto"/>
          </w:tcPr>
          <w:p w14:paraId="4468A505" w14:textId="77777777" w:rsidR="00DF5C4E" w:rsidRPr="000E10C2" w:rsidRDefault="00DF5C4E" w:rsidP="00393F28">
            <w:pPr>
              <w:rPr>
                <w:color w:val="000000" w:themeColor="text1"/>
                <w:sz w:val="24"/>
                <w:szCs w:val="24"/>
              </w:rPr>
            </w:pPr>
            <w:r w:rsidRPr="000E10C2">
              <w:rPr>
                <w:color w:val="000000" w:themeColor="text1"/>
                <w:sz w:val="24"/>
                <w:szCs w:val="24"/>
              </w:rPr>
              <w:t>9,046</w:t>
            </w:r>
          </w:p>
        </w:tc>
        <w:tc>
          <w:tcPr>
            <w:tcW w:w="0" w:type="auto"/>
          </w:tcPr>
          <w:p w14:paraId="7D8F8AE0"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9,006</w:t>
            </w:r>
          </w:p>
        </w:tc>
        <w:tc>
          <w:tcPr>
            <w:cnfStyle w:val="000010000000" w:firstRow="0" w:lastRow="0" w:firstColumn="0" w:lastColumn="0" w:oddVBand="1" w:evenVBand="0" w:oddHBand="0" w:evenHBand="0" w:firstRowFirstColumn="0" w:firstRowLastColumn="0" w:lastRowFirstColumn="0" w:lastRowLastColumn="0"/>
            <w:tcW w:w="0" w:type="auto"/>
          </w:tcPr>
          <w:p w14:paraId="06CFC052" w14:textId="77777777" w:rsidR="00DF5C4E" w:rsidRPr="000E10C2" w:rsidRDefault="00DF5C4E" w:rsidP="00393F28">
            <w:pPr>
              <w:rPr>
                <w:color w:val="000000" w:themeColor="text1"/>
                <w:sz w:val="24"/>
                <w:szCs w:val="24"/>
              </w:rPr>
            </w:pPr>
            <w:r w:rsidRPr="000E10C2">
              <w:rPr>
                <w:color w:val="000000" w:themeColor="text1"/>
                <w:sz w:val="24"/>
                <w:szCs w:val="24"/>
              </w:rPr>
              <w:t>10,986</w:t>
            </w:r>
          </w:p>
        </w:tc>
        <w:tc>
          <w:tcPr>
            <w:tcW w:w="0" w:type="auto"/>
          </w:tcPr>
          <w:p w14:paraId="6B11B086"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9,602</w:t>
            </w:r>
          </w:p>
        </w:tc>
        <w:tc>
          <w:tcPr>
            <w:cnfStyle w:val="000010000000" w:firstRow="0" w:lastRow="0" w:firstColumn="0" w:lastColumn="0" w:oddVBand="1" w:evenVBand="0" w:oddHBand="0" w:evenHBand="0" w:firstRowFirstColumn="0" w:firstRowLastColumn="0" w:lastRowFirstColumn="0" w:lastRowLastColumn="0"/>
            <w:tcW w:w="0" w:type="auto"/>
          </w:tcPr>
          <w:p w14:paraId="20AE015D" w14:textId="77777777" w:rsidR="00DF5C4E" w:rsidRPr="000E10C2" w:rsidRDefault="00DF5C4E" w:rsidP="00393F28">
            <w:pPr>
              <w:rPr>
                <w:color w:val="000000" w:themeColor="text1"/>
                <w:sz w:val="24"/>
                <w:szCs w:val="24"/>
              </w:rPr>
            </w:pPr>
            <w:r w:rsidRPr="000E10C2">
              <w:rPr>
                <w:color w:val="000000" w:themeColor="text1"/>
                <w:sz w:val="24"/>
                <w:szCs w:val="24"/>
              </w:rPr>
              <w:t>10,185</w:t>
            </w:r>
          </w:p>
        </w:tc>
      </w:tr>
      <w:tr w:rsidR="00DF5C4E" w:rsidRPr="000E10C2" w14:paraId="5DEC1A1E" w14:textId="77777777" w:rsidTr="00A82974">
        <w:trPr>
          <w:trHeight w:val="451"/>
        </w:trPr>
        <w:tc>
          <w:tcPr>
            <w:cnfStyle w:val="000010000000" w:firstRow="0" w:lastRow="0" w:firstColumn="0" w:lastColumn="0" w:oddVBand="1" w:evenVBand="0" w:oddHBand="0" w:evenHBand="0" w:firstRowFirstColumn="0" w:firstRowLastColumn="0" w:lastRowFirstColumn="0" w:lastRowLastColumn="0"/>
            <w:tcW w:w="0" w:type="auto"/>
          </w:tcPr>
          <w:p w14:paraId="5AA18089" w14:textId="77777777" w:rsidR="00DF5C4E" w:rsidRPr="00DF5C4E" w:rsidRDefault="00DF5C4E" w:rsidP="00393F28">
            <w:pPr>
              <w:rPr>
                <w:b/>
                <w:bCs/>
                <w:color w:val="000000" w:themeColor="text1"/>
                <w:sz w:val="24"/>
                <w:szCs w:val="24"/>
              </w:rPr>
            </w:pPr>
          </w:p>
        </w:tc>
        <w:tc>
          <w:tcPr>
            <w:tcW w:w="0" w:type="auto"/>
          </w:tcPr>
          <w:p w14:paraId="00CCEEA6"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50EC18D7" w14:textId="77777777" w:rsidR="00DF5C4E" w:rsidRPr="000E10C2" w:rsidRDefault="00DF5C4E" w:rsidP="00393F28">
            <w:pPr>
              <w:rPr>
                <w:color w:val="000000" w:themeColor="text1"/>
                <w:sz w:val="24"/>
                <w:szCs w:val="24"/>
              </w:rPr>
            </w:pPr>
          </w:p>
        </w:tc>
        <w:tc>
          <w:tcPr>
            <w:tcW w:w="0" w:type="auto"/>
          </w:tcPr>
          <w:p w14:paraId="0C81D557"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6BE21264" w14:textId="77777777" w:rsidR="00DF5C4E" w:rsidRPr="000E10C2" w:rsidRDefault="00DF5C4E" w:rsidP="00393F28">
            <w:pPr>
              <w:rPr>
                <w:color w:val="000000" w:themeColor="text1"/>
                <w:sz w:val="24"/>
                <w:szCs w:val="24"/>
              </w:rPr>
            </w:pPr>
          </w:p>
        </w:tc>
        <w:tc>
          <w:tcPr>
            <w:tcW w:w="0" w:type="auto"/>
          </w:tcPr>
          <w:p w14:paraId="5AE87179"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2562592" w14:textId="77777777" w:rsidR="00DF5C4E" w:rsidRPr="000E10C2" w:rsidRDefault="00DF5C4E" w:rsidP="00393F28">
            <w:pPr>
              <w:rPr>
                <w:color w:val="000000" w:themeColor="text1"/>
                <w:sz w:val="24"/>
                <w:szCs w:val="24"/>
              </w:rPr>
            </w:pPr>
          </w:p>
        </w:tc>
      </w:tr>
      <w:tr w:rsidR="00DF5C4E" w:rsidRPr="000E10C2" w14:paraId="11D85CB0" w14:textId="77777777" w:rsidTr="00A82974">
        <w:trPr>
          <w:cnfStyle w:val="000000100000" w:firstRow="0" w:lastRow="0" w:firstColumn="0" w:lastColumn="0" w:oddVBand="0" w:evenVBand="0" w:oddHBand="1" w:evenHBand="0" w:firstRowFirstColumn="0" w:firstRowLastColumn="0" w:lastRowFirstColumn="0" w:lastRowLastColumn="0"/>
          <w:trHeight w:val="433"/>
        </w:trPr>
        <w:tc>
          <w:tcPr>
            <w:cnfStyle w:val="000010000000" w:firstRow="0" w:lastRow="0" w:firstColumn="0" w:lastColumn="0" w:oddVBand="1" w:evenVBand="0" w:oddHBand="0" w:evenHBand="0" w:firstRowFirstColumn="0" w:firstRowLastColumn="0" w:lastRowFirstColumn="0" w:lastRowLastColumn="0"/>
            <w:tcW w:w="0" w:type="auto"/>
            <w:vMerge w:val="restart"/>
          </w:tcPr>
          <w:p w14:paraId="47C1CB75"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Vodafone Limited</w:t>
            </w:r>
            <w:r w:rsidRPr="00DF5C4E">
              <w:rPr>
                <w:b/>
                <w:bCs/>
                <w:color w:val="000000" w:themeColor="text1"/>
                <w:sz w:val="24"/>
                <w:szCs w:val="24"/>
              </w:rPr>
              <w:br/>
              <w:t>(Figures in Euro Million)</w:t>
            </w:r>
          </w:p>
        </w:tc>
        <w:tc>
          <w:tcPr>
            <w:tcW w:w="0" w:type="auto"/>
          </w:tcPr>
          <w:p w14:paraId="70A72A7B"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Cash and Cash Equivalents</w:t>
            </w:r>
          </w:p>
        </w:tc>
        <w:tc>
          <w:tcPr>
            <w:cnfStyle w:val="000010000000" w:firstRow="0" w:lastRow="0" w:firstColumn="0" w:lastColumn="0" w:oddVBand="1" w:evenVBand="0" w:oddHBand="0" w:evenHBand="0" w:firstRowFirstColumn="0" w:firstRowLastColumn="0" w:lastRowFirstColumn="0" w:lastRowLastColumn="0"/>
            <w:tcW w:w="0" w:type="auto"/>
          </w:tcPr>
          <w:p w14:paraId="5815AEDD" w14:textId="77777777" w:rsidR="00DF5C4E" w:rsidRPr="000E10C2" w:rsidRDefault="00DF5C4E" w:rsidP="00393F28">
            <w:pPr>
              <w:rPr>
                <w:color w:val="000000" w:themeColor="text1"/>
                <w:sz w:val="24"/>
                <w:szCs w:val="24"/>
              </w:rPr>
            </w:pPr>
            <w:r w:rsidRPr="000E10C2">
              <w:rPr>
                <w:color w:val="000000" w:themeColor="text1"/>
                <w:sz w:val="24"/>
                <w:szCs w:val="24"/>
              </w:rPr>
              <w:t>7,496</w:t>
            </w:r>
          </w:p>
        </w:tc>
        <w:tc>
          <w:tcPr>
            <w:tcW w:w="0" w:type="auto"/>
          </w:tcPr>
          <w:p w14:paraId="52E229A1"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5,821</w:t>
            </w:r>
          </w:p>
        </w:tc>
        <w:tc>
          <w:tcPr>
            <w:cnfStyle w:val="000010000000" w:firstRow="0" w:lastRow="0" w:firstColumn="0" w:lastColumn="0" w:oddVBand="1" w:evenVBand="0" w:oddHBand="0" w:evenHBand="0" w:firstRowFirstColumn="0" w:firstRowLastColumn="0" w:lastRowFirstColumn="0" w:lastRowLastColumn="0"/>
            <w:tcW w:w="0" w:type="auto"/>
          </w:tcPr>
          <w:p w14:paraId="4963DB0E" w14:textId="77777777" w:rsidR="00DF5C4E" w:rsidRPr="000E10C2" w:rsidRDefault="00DF5C4E" w:rsidP="00393F28">
            <w:pPr>
              <w:rPr>
                <w:color w:val="000000" w:themeColor="text1"/>
                <w:sz w:val="24"/>
                <w:szCs w:val="24"/>
              </w:rPr>
            </w:pPr>
            <w:r w:rsidRPr="000E10C2">
              <w:rPr>
                <w:color w:val="000000" w:themeColor="text1"/>
                <w:sz w:val="24"/>
                <w:szCs w:val="24"/>
              </w:rPr>
              <w:t>13,284</w:t>
            </w:r>
          </w:p>
        </w:tc>
        <w:tc>
          <w:tcPr>
            <w:tcW w:w="0" w:type="auto"/>
          </w:tcPr>
          <w:p w14:paraId="16D79290"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13,637</w:t>
            </w:r>
          </w:p>
        </w:tc>
        <w:tc>
          <w:tcPr>
            <w:cnfStyle w:val="000010000000" w:firstRow="0" w:lastRow="0" w:firstColumn="0" w:lastColumn="0" w:oddVBand="1" w:evenVBand="0" w:oddHBand="0" w:evenHBand="0" w:firstRowFirstColumn="0" w:firstRowLastColumn="0" w:lastRowFirstColumn="0" w:lastRowLastColumn="0"/>
            <w:tcW w:w="0" w:type="auto"/>
          </w:tcPr>
          <w:p w14:paraId="671E560F" w14:textId="77777777" w:rsidR="00DF5C4E" w:rsidRPr="000E10C2" w:rsidRDefault="00DF5C4E" w:rsidP="00393F28">
            <w:pPr>
              <w:rPr>
                <w:color w:val="000000" w:themeColor="text1"/>
                <w:sz w:val="24"/>
                <w:szCs w:val="24"/>
              </w:rPr>
            </w:pPr>
            <w:r w:rsidRPr="000E10C2">
              <w:rPr>
                <w:color w:val="000000" w:themeColor="text1"/>
                <w:sz w:val="24"/>
                <w:szCs w:val="24"/>
              </w:rPr>
              <w:t>4,674</w:t>
            </w:r>
          </w:p>
        </w:tc>
      </w:tr>
      <w:tr w:rsidR="00A82974" w:rsidRPr="000E10C2" w14:paraId="2014660A" w14:textId="77777777" w:rsidTr="00A82974">
        <w:trPr>
          <w:trHeight w:val="413"/>
        </w:trPr>
        <w:tc>
          <w:tcPr>
            <w:cnfStyle w:val="000010000000" w:firstRow="0" w:lastRow="0" w:firstColumn="0" w:lastColumn="0" w:oddVBand="1" w:evenVBand="0" w:oddHBand="0" w:evenHBand="0" w:firstRowFirstColumn="0" w:firstRowLastColumn="0" w:lastRowFirstColumn="0" w:lastRowLastColumn="0"/>
            <w:tcW w:w="0" w:type="auto"/>
            <w:vMerge/>
          </w:tcPr>
          <w:p w14:paraId="34687A3F" w14:textId="77777777" w:rsidR="00DF5C4E" w:rsidRPr="00DF5C4E" w:rsidRDefault="00DF5C4E" w:rsidP="00393F28">
            <w:pPr>
              <w:rPr>
                <w:b/>
                <w:bCs/>
                <w:color w:val="000000" w:themeColor="text1"/>
                <w:sz w:val="24"/>
                <w:szCs w:val="24"/>
              </w:rPr>
            </w:pPr>
          </w:p>
        </w:tc>
        <w:tc>
          <w:tcPr>
            <w:tcW w:w="0" w:type="auto"/>
          </w:tcPr>
          <w:p w14:paraId="2726801B"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Current</w:t>
            </w:r>
          </w:p>
          <w:p w14:paraId="0B0D4EA6"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lastRenderedPageBreak/>
              <w:t>Liabilities</w:t>
            </w:r>
          </w:p>
        </w:tc>
        <w:tc>
          <w:tcPr>
            <w:cnfStyle w:val="000010000000" w:firstRow="0" w:lastRow="0" w:firstColumn="0" w:lastColumn="0" w:oddVBand="1" w:evenVBand="0" w:oddHBand="0" w:evenHBand="0" w:firstRowFirstColumn="0" w:firstRowLastColumn="0" w:lastRowFirstColumn="0" w:lastRowLastColumn="0"/>
            <w:tcW w:w="0" w:type="auto"/>
          </w:tcPr>
          <w:p w14:paraId="188EEAAF" w14:textId="77777777" w:rsidR="00DF5C4E" w:rsidRPr="000E10C2" w:rsidRDefault="00DF5C4E" w:rsidP="00393F28">
            <w:pPr>
              <w:rPr>
                <w:color w:val="000000" w:themeColor="text1"/>
                <w:sz w:val="24"/>
                <w:szCs w:val="24"/>
              </w:rPr>
            </w:pPr>
            <w:r w:rsidRPr="000E10C2">
              <w:rPr>
                <w:color w:val="000000" w:themeColor="text1"/>
                <w:sz w:val="24"/>
                <w:szCs w:val="24"/>
              </w:rPr>
              <w:lastRenderedPageBreak/>
              <w:t>33,647</w:t>
            </w:r>
          </w:p>
        </w:tc>
        <w:tc>
          <w:tcPr>
            <w:tcW w:w="0" w:type="auto"/>
          </w:tcPr>
          <w:p w14:paraId="3DCDEDC7"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28,711</w:t>
            </w:r>
          </w:p>
        </w:tc>
        <w:tc>
          <w:tcPr>
            <w:cnfStyle w:val="000010000000" w:firstRow="0" w:lastRow="0" w:firstColumn="0" w:lastColumn="0" w:oddVBand="1" w:evenVBand="0" w:oddHBand="0" w:evenHBand="0" w:firstRowFirstColumn="0" w:firstRowLastColumn="0" w:lastRowFirstColumn="0" w:lastRowLastColumn="0"/>
            <w:tcW w:w="0" w:type="auto"/>
          </w:tcPr>
          <w:p w14:paraId="2027B998" w14:textId="77777777" w:rsidR="00DF5C4E" w:rsidRPr="000E10C2" w:rsidRDefault="00DF5C4E" w:rsidP="00393F28">
            <w:pPr>
              <w:rPr>
                <w:color w:val="000000" w:themeColor="text1"/>
                <w:sz w:val="24"/>
                <w:szCs w:val="24"/>
              </w:rPr>
            </w:pPr>
            <w:r w:rsidRPr="000E10C2">
              <w:rPr>
                <w:color w:val="000000" w:themeColor="text1"/>
                <w:sz w:val="24"/>
                <w:szCs w:val="24"/>
              </w:rPr>
              <w:t>33,385</w:t>
            </w:r>
          </w:p>
        </w:tc>
        <w:tc>
          <w:tcPr>
            <w:tcW w:w="0" w:type="auto"/>
          </w:tcPr>
          <w:p w14:paraId="2F07CEF1"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32,456</w:t>
            </w:r>
          </w:p>
        </w:tc>
        <w:tc>
          <w:tcPr>
            <w:cnfStyle w:val="000010000000" w:firstRow="0" w:lastRow="0" w:firstColumn="0" w:lastColumn="0" w:oddVBand="1" w:evenVBand="0" w:oddHBand="0" w:evenHBand="0" w:firstRowFirstColumn="0" w:firstRowLastColumn="0" w:lastRowFirstColumn="0" w:lastRowLastColumn="0"/>
            <w:tcW w:w="0" w:type="auto"/>
          </w:tcPr>
          <w:p w14:paraId="599ABB68" w14:textId="77777777" w:rsidR="00DF5C4E" w:rsidRPr="000E10C2" w:rsidRDefault="00DF5C4E" w:rsidP="00393F28">
            <w:pPr>
              <w:rPr>
                <w:color w:val="000000" w:themeColor="text1"/>
                <w:sz w:val="24"/>
                <w:szCs w:val="24"/>
              </w:rPr>
            </w:pPr>
            <w:r w:rsidRPr="000E10C2">
              <w:rPr>
                <w:color w:val="000000" w:themeColor="text1"/>
                <w:sz w:val="24"/>
                <w:szCs w:val="24"/>
              </w:rPr>
              <w:t>28,025</w:t>
            </w:r>
          </w:p>
        </w:tc>
      </w:tr>
      <w:tr w:rsidR="00DF5C4E" w:rsidRPr="000E10C2" w14:paraId="5D4823F8" w14:textId="77777777" w:rsidTr="00A82974">
        <w:trPr>
          <w:cnfStyle w:val="000000100000" w:firstRow="0" w:lastRow="0" w:firstColumn="0" w:lastColumn="0" w:oddVBand="0" w:evenVBand="0" w:oddHBand="1" w:evenHBand="0" w:firstRowFirstColumn="0" w:firstRowLastColumn="0" w:lastRowFirstColumn="0" w:lastRowLastColumn="0"/>
          <w:trHeight w:val="413"/>
        </w:trPr>
        <w:tc>
          <w:tcPr>
            <w:cnfStyle w:val="000010000000" w:firstRow="0" w:lastRow="0" w:firstColumn="0" w:lastColumn="0" w:oddVBand="1" w:evenVBand="0" w:oddHBand="0" w:evenHBand="0" w:firstRowFirstColumn="0" w:firstRowLastColumn="0" w:lastRowFirstColumn="0" w:lastRowLastColumn="0"/>
            <w:tcW w:w="0" w:type="auto"/>
          </w:tcPr>
          <w:p w14:paraId="3D714E36" w14:textId="77777777" w:rsidR="00DF5C4E" w:rsidRPr="00DF5C4E" w:rsidRDefault="00DF5C4E" w:rsidP="00393F28">
            <w:pPr>
              <w:rPr>
                <w:b/>
                <w:bCs/>
                <w:color w:val="000000" w:themeColor="text1"/>
                <w:sz w:val="24"/>
                <w:szCs w:val="24"/>
              </w:rPr>
            </w:pPr>
          </w:p>
        </w:tc>
        <w:tc>
          <w:tcPr>
            <w:tcW w:w="0" w:type="auto"/>
          </w:tcPr>
          <w:p w14:paraId="3ED24FD9"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54E16B1" w14:textId="77777777" w:rsidR="00DF5C4E" w:rsidRPr="000E10C2" w:rsidRDefault="00DF5C4E" w:rsidP="00393F28">
            <w:pPr>
              <w:rPr>
                <w:color w:val="000000" w:themeColor="text1"/>
                <w:sz w:val="24"/>
                <w:szCs w:val="24"/>
              </w:rPr>
            </w:pPr>
          </w:p>
        </w:tc>
        <w:tc>
          <w:tcPr>
            <w:tcW w:w="0" w:type="auto"/>
          </w:tcPr>
          <w:p w14:paraId="3FC95C7E"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AEE1F99" w14:textId="77777777" w:rsidR="00DF5C4E" w:rsidRPr="000E10C2" w:rsidRDefault="00DF5C4E" w:rsidP="00393F28">
            <w:pPr>
              <w:rPr>
                <w:color w:val="000000" w:themeColor="text1"/>
                <w:sz w:val="24"/>
                <w:szCs w:val="24"/>
              </w:rPr>
            </w:pPr>
          </w:p>
        </w:tc>
        <w:tc>
          <w:tcPr>
            <w:tcW w:w="0" w:type="auto"/>
          </w:tcPr>
          <w:p w14:paraId="0C3EF18C"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65C54DD7" w14:textId="77777777" w:rsidR="00DF5C4E" w:rsidRPr="000E10C2" w:rsidRDefault="00DF5C4E" w:rsidP="00393F28">
            <w:pPr>
              <w:rPr>
                <w:color w:val="000000" w:themeColor="text1"/>
                <w:sz w:val="24"/>
                <w:szCs w:val="24"/>
              </w:rPr>
            </w:pPr>
          </w:p>
        </w:tc>
      </w:tr>
      <w:tr w:rsidR="00A82974" w:rsidRPr="000E10C2" w14:paraId="5B1272A8" w14:textId="77777777" w:rsidTr="00A82974">
        <w:trPr>
          <w:trHeight w:val="1006"/>
        </w:trPr>
        <w:tc>
          <w:tcPr>
            <w:cnfStyle w:val="000010000000" w:firstRow="0" w:lastRow="0" w:firstColumn="0" w:lastColumn="0" w:oddVBand="1" w:evenVBand="0" w:oddHBand="0" w:evenHBand="0" w:firstRowFirstColumn="0" w:firstRowLastColumn="0" w:lastRowFirstColumn="0" w:lastRowLastColumn="0"/>
            <w:tcW w:w="0" w:type="auto"/>
            <w:vMerge w:val="restart"/>
          </w:tcPr>
          <w:p w14:paraId="499B5EA1"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Three Limited</w:t>
            </w:r>
            <w:r w:rsidRPr="00DF5C4E">
              <w:rPr>
                <w:b/>
                <w:bCs/>
                <w:color w:val="000000" w:themeColor="text1"/>
                <w:sz w:val="24"/>
                <w:szCs w:val="24"/>
              </w:rPr>
              <w:br/>
              <w:t>(Figures in Pounds Million)</w:t>
            </w:r>
          </w:p>
          <w:p w14:paraId="688A2DE3"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Consolidated</w:t>
            </w:r>
          </w:p>
          <w:p w14:paraId="180F50C8" w14:textId="77777777" w:rsidR="00DF5C4E" w:rsidRPr="00DF5C4E" w:rsidRDefault="00DF5C4E" w:rsidP="00393F28">
            <w:pPr>
              <w:jc w:val="center"/>
              <w:rPr>
                <w:b/>
                <w:bCs/>
                <w:color w:val="000000" w:themeColor="text1"/>
                <w:sz w:val="24"/>
                <w:szCs w:val="24"/>
              </w:rPr>
            </w:pPr>
            <w:r w:rsidRPr="00DF5C4E">
              <w:rPr>
                <w:b/>
                <w:bCs/>
                <w:color w:val="000000" w:themeColor="text1"/>
                <w:sz w:val="24"/>
                <w:szCs w:val="24"/>
              </w:rPr>
              <w:t>Statement</w:t>
            </w:r>
          </w:p>
        </w:tc>
        <w:tc>
          <w:tcPr>
            <w:tcW w:w="0" w:type="auto"/>
          </w:tcPr>
          <w:p w14:paraId="1E9AD10A"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Cash and Cash Equivalents</w:t>
            </w:r>
          </w:p>
        </w:tc>
        <w:tc>
          <w:tcPr>
            <w:cnfStyle w:val="000010000000" w:firstRow="0" w:lastRow="0" w:firstColumn="0" w:lastColumn="0" w:oddVBand="1" w:evenVBand="0" w:oddHBand="0" w:evenHBand="0" w:firstRowFirstColumn="0" w:firstRowLastColumn="0" w:lastRowFirstColumn="0" w:lastRowLastColumn="0"/>
            <w:tcW w:w="0" w:type="auto"/>
          </w:tcPr>
          <w:p w14:paraId="345231F1" w14:textId="77777777" w:rsidR="00DF5C4E" w:rsidRPr="000E10C2" w:rsidRDefault="00DF5C4E" w:rsidP="00393F28">
            <w:pPr>
              <w:rPr>
                <w:color w:val="000000" w:themeColor="text1"/>
                <w:sz w:val="24"/>
                <w:szCs w:val="24"/>
              </w:rPr>
            </w:pPr>
            <w:r w:rsidRPr="000E10C2">
              <w:rPr>
                <w:color w:val="000000" w:themeColor="text1"/>
                <w:sz w:val="24"/>
                <w:szCs w:val="24"/>
              </w:rPr>
              <w:t>65,809</w:t>
            </w:r>
          </w:p>
        </w:tc>
        <w:tc>
          <w:tcPr>
            <w:tcW w:w="0" w:type="auto"/>
          </w:tcPr>
          <w:p w14:paraId="5052C510"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57,526</w:t>
            </w:r>
          </w:p>
        </w:tc>
        <w:tc>
          <w:tcPr>
            <w:cnfStyle w:val="000010000000" w:firstRow="0" w:lastRow="0" w:firstColumn="0" w:lastColumn="0" w:oddVBand="1" w:evenVBand="0" w:oddHBand="0" w:evenHBand="0" w:firstRowFirstColumn="0" w:firstRowLastColumn="0" w:lastRowFirstColumn="0" w:lastRowLastColumn="0"/>
            <w:tcW w:w="0" w:type="auto"/>
          </w:tcPr>
          <w:p w14:paraId="125EE0D7" w14:textId="77777777" w:rsidR="00DF5C4E" w:rsidRPr="000E10C2" w:rsidRDefault="00DF5C4E" w:rsidP="00393F28">
            <w:pPr>
              <w:rPr>
                <w:color w:val="000000" w:themeColor="text1"/>
                <w:sz w:val="24"/>
                <w:szCs w:val="24"/>
              </w:rPr>
            </w:pPr>
            <w:r w:rsidRPr="000E10C2">
              <w:rPr>
                <w:color w:val="000000" w:themeColor="text1"/>
                <w:sz w:val="24"/>
                <w:szCs w:val="24"/>
              </w:rPr>
              <w:t>50,363</w:t>
            </w:r>
          </w:p>
        </w:tc>
        <w:tc>
          <w:tcPr>
            <w:tcW w:w="0" w:type="auto"/>
          </w:tcPr>
          <w:p w14:paraId="5CE44C67" w14:textId="77777777" w:rsidR="00DF5C4E" w:rsidRPr="000E10C2" w:rsidRDefault="00DF5C4E"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15,093</w:t>
            </w:r>
          </w:p>
        </w:tc>
        <w:tc>
          <w:tcPr>
            <w:cnfStyle w:val="000010000000" w:firstRow="0" w:lastRow="0" w:firstColumn="0" w:lastColumn="0" w:oddVBand="1" w:evenVBand="0" w:oddHBand="0" w:evenHBand="0" w:firstRowFirstColumn="0" w:firstRowLastColumn="0" w:lastRowFirstColumn="0" w:lastRowLastColumn="0"/>
            <w:tcW w:w="0" w:type="auto"/>
          </w:tcPr>
          <w:p w14:paraId="3D540361" w14:textId="77777777" w:rsidR="00DF5C4E" w:rsidRPr="000E10C2" w:rsidRDefault="00DF5C4E" w:rsidP="00393F28">
            <w:pPr>
              <w:rPr>
                <w:color w:val="000000" w:themeColor="text1"/>
                <w:sz w:val="24"/>
                <w:szCs w:val="24"/>
              </w:rPr>
            </w:pPr>
            <w:r w:rsidRPr="000E10C2">
              <w:rPr>
                <w:color w:val="000000" w:themeColor="text1"/>
                <w:sz w:val="24"/>
                <w:szCs w:val="24"/>
              </w:rPr>
              <w:t>50,844</w:t>
            </w:r>
          </w:p>
        </w:tc>
      </w:tr>
      <w:tr w:rsidR="00A82974" w:rsidRPr="000E10C2" w14:paraId="4D7E12D4" w14:textId="77777777" w:rsidTr="00A82974">
        <w:trPr>
          <w:cnfStyle w:val="000000100000" w:firstRow="0" w:lastRow="0" w:firstColumn="0" w:lastColumn="0" w:oddVBand="0" w:evenVBand="0" w:oddHBand="1" w:evenHBand="0" w:firstRowFirstColumn="0" w:firstRowLastColumn="0" w:lastRowFirstColumn="0" w:lastRowLastColumn="0"/>
          <w:trHeight w:val="413"/>
        </w:trPr>
        <w:tc>
          <w:tcPr>
            <w:cnfStyle w:val="000010000000" w:firstRow="0" w:lastRow="0" w:firstColumn="0" w:lastColumn="0" w:oddVBand="1" w:evenVBand="0" w:oddHBand="0" w:evenHBand="0" w:firstRowFirstColumn="0" w:firstRowLastColumn="0" w:lastRowFirstColumn="0" w:lastRowLastColumn="0"/>
            <w:tcW w:w="0" w:type="auto"/>
            <w:vMerge/>
          </w:tcPr>
          <w:p w14:paraId="6DC58FBD" w14:textId="77777777" w:rsidR="00DF5C4E" w:rsidRPr="000E10C2" w:rsidRDefault="00DF5C4E" w:rsidP="00393F28">
            <w:pPr>
              <w:rPr>
                <w:color w:val="000000" w:themeColor="text1"/>
                <w:sz w:val="24"/>
                <w:szCs w:val="24"/>
              </w:rPr>
            </w:pPr>
          </w:p>
        </w:tc>
        <w:tc>
          <w:tcPr>
            <w:tcW w:w="0" w:type="auto"/>
          </w:tcPr>
          <w:p w14:paraId="4F283767"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 xml:space="preserve">Current Liabilities </w:t>
            </w:r>
          </w:p>
        </w:tc>
        <w:tc>
          <w:tcPr>
            <w:cnfStyle w:val="000010000000" w:firstRow="0" w:lastRow="0" w:firstColumn="0" w:lastColumn="0" w:oddVBand="1" w:evenVBand="0" w:oddHBand="0" w:evenHBand="0" w:firstRowFirstColumn="0" w:firstRowLastColumn="0" w:lastRowFirstColumn="0" w:lastRowLastColumn="0"/>
            <w:tcW w:w="0" w:type="auto"/>
          </w:tcPr>
          <w:p w14:paraId="54E23A11" w14:textId="77777777" w:rsidR="00DF5C4E" w:rsidRPr="000E10C2" w:rsidRDefault="00DF5C4E" w:rsidP="00393F28">
            <w:pPr>
              <w:rPr>
                <w:color w:val="000000" w:themeColor="text1"/>
                <w:sz w:val="24"/>
                <w:szCs w:val="24"/>
              </w:rPr>
            </w:pPr>
            <w:r w:rsidRPr="000E10C2">
              <w:rPr>
                <w:color w:val="000000" w:themeColor="text1"/>
                <w:sz w:val="24"/>
                <w:szCs w:val="24"/>
              </w:rPr>
              <w:t>243,629</w:t>
            </w:r>
          </w:p>
        </w:tc>
        <w:tc>
          <w:tcPr>
            <w:tcW w:w="0" w:type="auto"/>
          </w:tcPr>
          <w:p w14:paraId="05DA7B3E"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218,430</w:t>
            </w:r>
          </w:p>
        </w:tc>
        <w:tc>
          <w:tcPr>
            <w:cnfStyle w:val="000010000000" w:firstRow="0" w:lastRow="0" w:firstColumn="0" w:lastColumn="0" w:oddVBand="1" w:evenVBand="0" w:oddHBand="0" w:evenHBand="0" w:firstRowFirstColumn="0" w:firstRowLastColumn="0" w:lastRowFirstColumn="0" w:lastRowLastColumn="0"/>
            <w:tcW w:w="0" w:type="auto"/>
          </w:tcPr>
          <w:p w14:paraId="29B69D91" w14:textId="77777777" w:rsidR="00DF5C4E" w:rsidRPr="000E10C2" w:rsidRDefault="00DF5C4E" w:rsidP="00393F28">
            <w:pPr>
              <w:rPr>
                <w:color w:val="000000" w:themeColor="text1"/>
                <w:sz w:val="24"/>
                <w:szCs w:val="24"/>
              </w:rPr>
            </w:pPr>
            <w:r w:rsidRPr="000E10C2">
              <w:rPr>
                <w:color w:val="000000" w:themeColor="text1"/>
                <w:sz w:val="24"/>
                <w:szCs w:val="24"/>
              </w:rPr>
              <w:t>179,960</w:t>
            </w:r>
          </w:p>
        </w:tc>
        <w:tc>
          <w:tcPr>
            <w:tcW w:w="0" w:type="auto"/>
          </w:tcPr>
          <w:p w14:paraId="5DC78550" w14:textId="77777777" w:rsidR="00DF5C4E" w:rsidRPr="000E10C2" w:rsidRDefault="00DF5C4E"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186,908</w:t>
            </w:r>
          </w:p>
        </w:tc>
        <w:tc>
          <w:tcPr>
            <w:cnfStyle w:val="000010000000" w:firstRow="0" w:lastRow="0" w:firstColumn="0" w:lastColumn="0" w:oddVBand="1" w:evenVBand="0" w:oddHBand="0" w:evenHBand="0" w:firstRowFirstColumn="0" w:firstRowLastColumn="0" w:lastRowFirstColumn="0" w:lastRowLastColumn="0"/>
            <w:tcW w:w="0" w:type="auto"/>
          </w:tcPr>
          <w:p w14:paraId="4A522C66" w14:textId="77777777" w:rsidR="00DF5C4E" w:rsidRPr="000E10C2" w:rsidRDefault="00DF5C4E" w:rsidP="00393F28">
            <w:pPr>
              <w:rPr>
                <w:color w:val="000000" w:themeColor="text1"/>
                <w:sz w:val="24"/>
                <w:szCs w:val="24"/>
              </w:rPr>
            </w:pPr>
            <w:r w:rsidRPr="000E10C2">
              <w:rPr>
                <w:color w:val="000000" w:themeColor="text1"/>
                <w:sz w:val="24"/>
                <w:szCs w:val="24"/>
              </w:rPr>
              <w:t>257,224</w:t>
            </w:r>
          </w:p>
        </w:tc>
      </w:tr>
    </w:tbl>
    <w:p w14:paraId="6C56A08C" w14:textId="6648D198" w:rsidR="00DF5C4E" w:rsidRPr="00CF721D" w:rsidRDefault="00A82974" w:rsidP="00A82974">
      <w:pPr>
        <w:pStyle w:val="Caption"/>
        <w:jc w:val="center"/>
        <w:rPr>
          <w:sz w:val="24"/>
          <w:szCs w:val="24"/>
        </w:rPr>
      </w:pPr>
      <w:r w:rsidRPr="00CF721D">
        <w:rPr>
          <w:sz w:val="24"/>
          <w:szCs w:val="24"/>
        </w:rPr>
        <w:t>Table 3: "Comparing Telecom Giants: Vodafone vs. BT vs. THREE in Euros."</w:t>
      </w:r>
    </w:p>
    <w:p w14:paraId="7B57D5A7" w14:textId="34FD6BA8" w:rsidR="00A82974" w:rsidRDefault="00A82974" w:rsidP="00A82974"/>
    <w:p w14:paraId="257B6671" w14:textId="77777777" w:rsidR="00A82974" w:rsidRDefault="00A82974" w:rsidP="00A82974"/>
    <w:tbl>
      <w:tblPr>
        <w:tblStyle w:val="TableGrid"/>
        <w:tblpPr w:leftFromText="180" w:rightFromText="180" w:vertAnchor="text" w:tblpXSpec="center" w:tblpY="1"/>
        <w:tblOverlap w:val="never"/>
        <w:tblW w:w="10774" w:type="dxa"/>
        <w:jc w:val="center"/>
        <w:tblLook w:val="04A0" w:firstRow="1" w:lastRow="0" w:firstColumn="1" w:lastColumn="0" w:noHBand="0" w:noVBand="1"/>
      </w:tblPr>
      <w:tblGrid>
        <w:gridCol w:w="3077"/>
        <w:gridCol w:w="1364"/>
        <w:gridCol w:w="2084"/>
        <w:gridCol w:w="4249"/>
      </w:tblGrid>
      <w:tr w:rsidR="00A82974" w:rsidRPr="000E10C2" w14:paraId="1D442E5A" w14:textId="77777777" w:rsidTr="00CF721D">
        <w:trPr>
          <w:jc w:val="center"/>
        </w:trPr>
        <w:tc>
          <w:tcPr>
            <w:tcW w:w="10774" w:type="dxa"/>
            <w:gridSpan w:val="4"/>
          </w:tcPr>
          <w:p w14:paraId="7949BF7E" w14:textId="77777777" w:rsidR="00A82974" w:rsidRPr="00CF721D" w:rsidRDefault="00A82974" w:rsidP="00CF721D">
            <w:pPr>
              <w:jc w:val="center"/>
              <w:rPr>
                <w:b/>
                <w:bCs/>
                <w:color w:val="000000" w:themeColor="text1"/>
                <w:sz w:val="24"/>
                <w:szCs w:val="24"/>
              </w:rPr>
            </w:pPr>
            <w:r w:rsidRPr="00CF721D">
              <w:rPr>
                <w:b/>
                <w:bCs/>
                <w:color w:val="000000" w:themeColor="text1"/>
                <w:sz w:val="24"/>
                <w:szCs w:val="24"/>
              </w:rPr>
              <w:t>Cash Ratio</w:t>
            </w:r>
          </w:p>
        </w:tc>
      </w:tr>
      <w:tr w:rsidR="00A82974" w:rsidRPr="000E10C2" w14:paraId="122431F3" w14:textId="77777777" w:rsidTr="00CF721D">
        <w:trPr>
          <w:jc w:val="center"/>
        </w:trPr>
        <w:tc>
          <w:tcPr>
            <w:tcW w:w="3077" w:type="dxa"/>
          </w:tcPr>
          <w:p w14:paraId="5BB2E39F" w14:textId="77777777" w:rsidR="00A82974" w:rsidRPr="000E10C2" w:rsidRDefault="00A82974" w:rsidP="00CF721D">
            <w:pPr>
              <w:jc w:val="center"/>
              <w:rPr>
                <w:color w:val="000000" w:themeColor="text1"/>
                <w:sz w:val="24"/>
                <w:szCs w:val="24"/>
              </w:rPr>
            </w:pPr>
            <w:r w:rsidRPr="000E10C2">
              <w:rPr>
                <w:color w:val="000000" w:themeColor="text1"/>
                <w:sz w:val="24"/>
                <w:szCs w:val="24"/>
              </w:rPr>
              <w:t>Year</w:t>
            </w:r>
          </w:p>
        </w:tc>
        <w:tc>
          <w:tcPr>
            <w:tcW w:w="0" w:type="auto"/>
          </w:tcPr>
          <w:p w14:paraId="78D33C0D" w14:textId="77777777" w:rsidR="00A82974" w:rsidRPr="00CF721D" w:rsidRDefault="00A82974" w:rsidP="00CF721D">
            <w:pPr>
              <w:jc w:val="center"/>
              <w:rPr>
                <w:color w:val="000000" w:themeColor="text1"/>
                <w:sz w:val="24"/>
                <w:szCs w:val="24"/>
              </w:rPr>
            </w:pPr>
            <w:r w:rsidRPr="00CF721D">
              <w:rPr>
                <w:color w:val="000000" w:themeColor="text1"/>
                <w:sz w:val="24"/>
                <w:szCs w:val="24"/>
              </w:rPr>
              <w:t>BT Limited</w:t>
            </w:r>
          </w:p>
        </w:tc>
        <w:tc>
          <w:tcPr>
            <w:tcW w:w="0" w:type="auto"/>
          </w:tcPr>
          <w:p w14:paraId="5AB3B123" w14:textId="77777777" w:rsidR="00A82974" w:rsidRPr="00CF721D" w:rsidRDefault="00A82974" w:rsidP="00CF721D">
            <w:pPr>
              <w:jc w:val="center"/>
              <w:rPr>
                <w:color w:val="000000" w:themeColor="text1"/>
                <w:sz w:val="24"/>
                <w:szCs w:val="24"/>
              </w:rPr>
            </w:pPr>
            <w:r w:rsidRPr="00CF721D">
              <w:rPr>
                <w:color w:val="000000" w:themeColor="text1"/>
                <w:sz w:val="24"/>
                <w:szCs w:val="24"/>
              </w:rPr>
              <w:t>Vodafone Limited</w:t>
            </w:r>
          </w:p>
        </w:tc>
        <w:tc>
          <w:tcPr>
            <w:tcW w:w="4249" w:type="dxa"/>
          </w:tcPr>
          <w:p w14:paraId="3A9F73A4" w14:textId="77777777" w:rsidR="00A82974" w:rsidRPr="00CF721D" w:rsidRDefault="00A82974" w:rsidP="00CF721D">
            <w:pPr>
              <w:jc w:val="center"/>
              <w:rPr>
                <w:color w:val="000000" w:themeColor="text1"/>
                <w:sz w:val="24"/>
                <w:szCs w:val="24"/>
              </w:rPr>
            </w:pPr>
            <w:r w:rsidRPr="00CF721D">
              <w:rPr>
                <w:color w:val="000000" w:themeColor="text1"/>
                <w:sz w:val="24"/>
                <w:szCs w:val="24"/>
              </w:rPr>
              <w:t>Three Limited</w:t>
            </w:r>
          </w:p>
        </w:tc>
      </w:tr>
      <w:tr w:rsidR="00A82974" w:rsidRPr="000E10C2" w14:paraId="35EA7027" w14:textId="77777777" w:rsidTr="00CF721D">
        <w:trPr>
          <w:jc w:val="center"/>
        </w:trPr>
        <w:tc>
          <w:tcPr>
            <w:tcW w:w="3077" w:type="dxa"/>
          </w:tcPr>
          <w:p w14:paraId="119CE2D0" w14:textId="77777777" w:rsidR="00A82974" w:rsidRPr="000E10C2" w:rsidRDefault="00A82974" w:rsidP="00CF721D">
            <w:pPr>
              <w:jc w:val="center"/>
              <w:rPr>
                <w:color w:val="000000" w:themeColor="text1"/>
                <w:sz w:val="24"/>
                <w:szCs w:val="24"/>
              </w:rPr>
            </w:pPr>
            <w:r w:rsidRPr="000E10C2">
              <w:rPr>
                <w:color w:val="000000" w:themeColor="text1"/>
                <w:sz w:val="24"/>
                <w:szCs w:val="24"/>
              </w:rPr>
              <w:t>2022</w:t>
            </w:r>
          </w:p>
        </w:tc>
        <w:tc>
          <w:tcPr>
            <w:tcW w:w="0" w:type="auto"/>
          </w:tcPr>
          <w:p w14:paraId="4AB60D7E" w14:textId="77777777" w:rsidR="00A82974" w:rsidRPr="00CF721D" w:rsidRDefault="00A82974" w:rsidP="00CF721D">
            <w:pPr>
              <w:jc w:val="center"/>
              <w:rPr>
                <w:rFonts w:cs="Calibri"/>
                <w:color w:val="000000" w:themeColor="text1"/>
                <w:sz w:val="24"/>
                <w:szCs w:val="24"/>
              </w:rPr>
            </w:pPr>
            <w:r w:rsidRPr="00CF721D">
              <w:rPr>
                <w:rFonts w:cs="Calibri"/>
                <w:color w:val="000000" w:themeColor="text1"/>
                <w:sz w:val="24"/>
                <w:szCs w:val="24"/>
              </w:rPr>
              <w:t>0.09</w:t>
            </w:r>
          </w:p>
        </w:tc>
        <w:tc>
          <w:tcPr>
            <w:tcW w:w="0" w:type="auto"/>
          </w:tcPr>
          <w:p w14:paraId="45308300" w14:textId="77777777" w:rsidR="00A82974" w:rsidRPr="00CF721D" w:rsidRDefault="00A82974" w:rsidP="00CF721D">
            <w:pPr>
              <w:jc w:val="center"/>
              <w:rPr>
                <w:color w:val="000000" w:themeColor="text1"/>
                <w:sz w:val="24"/>
                <w:szCs w:val="24"/>
              </w:rPr>
            </w:pPr>
            <w:r w:rsidRPr="00CF721D">
              <w:rPr>
                <w:color w:val="000000" w:themeColor="text1"/>
                <w:sz w:val="24"/>
                <w:szCs w:val="24"/>
              </w:rPr>
              <w:t>0.22</w:t>
            </w:r>
          </w:p>
        </w:tc>
        <w:tc>
          <w:tcPr>
            <w:tcW w:w="4249" w:type="dxa"/>
          </w:tcPr>
          <w:p w14:paraId="711E63E0" w14:textId="77777777" w:rsidR="00A82974" w:rsidRPr="00CF721D" w:rsidRDefault="00A82974" w:rsidP="00CF721D">
            <w:pPr>
              <w:jc w:val="center"/>
              <w:rPr>
                <w:color w:val="000000" w:themeColor="text1"/>
                <w:sz w:val="24"/>
                <w:szCs w:val="24"/>
              </w:rPr>
            </w:pPr>
            <w:r w:rsidRPr="00CF721D">
              <w:rPr>
                <w:color w:val="000000" w:themeColor="text1"/>
                <w:sz w:val="24"/>
                <w:szCs w:val="24"/>
              </w:rPr>
              <w:t>0.27</w:t>
            </w:r>
          </w:p>
        </w:tc>
      </w:tr>
      <w:tr w:rsidR="00A82974" w:rsidRPr="000E10C2" w14:paraId="40C8B9E4" w14:textId="77777777" w:rsidTr="00CF721D">
        <w:trPr>
          <w:jc w:val="center"/>
        </w:trPr>
        <w:tc>
          <w:tcPr>
            <w:tcW w:w="3077" w:type="dxa"/>
          </w:tcPr>
          <w:p w14:paraId="7DDD51AB" w14:textId="77777777" w:rsidR="00A82974" w:rsidRPr="000E10C2" w:rsidRDefault="00A82974" w:rsidP="00CF721D">
            <w:pPr>
              <w:jc w:val="center"/>
              <w:rPr>
                <w:color w:val="000000" w:themeColor="text1"/>
                <w:sz w:val="24"/>
                <w:szCs w:val="24"/>
              </w:rPr>
            </w:pPr>
            <w:r w:rsidRPr="000E10C2">
              <w:rPr>
                <w:color w:val="000000" w:themeColor="text1"/>
                <w:sz w:val="24"/>
                <w:szCs w:val="24"/>
              </w:rPr>
              <w:t>2021</w:t>
            </w:r>
          </w:p>
        </w:tc>
        <w:tc>
          <w:tcPr>
            <w:tcW w:w="0" w:type="auto"/>
          </w:tcPr>
          <w:p w14:paraId="2E931498" w14:textId="77777777" w:rsidR="00A82974" w:rsidRPr="00CF721D" w:rsidRDefault="00A82974" w:rsidP="00CF721D">
            <w:pPr>
              <w:jc w:val="center"/>
              <w:rPr>
                <w:color w:val="000000" w:themeColor="text1"/>
                <w:sz w:val="24"/>
                <w:szCs w:val="24"/>
              </w:rPr>
            </w:pPr>
            <w:r w:rsidRPr="00CF721D">
              <w:rPr>
                <w:color w:val="000000" w:themeColor="text1"/>
                <w:sz w:val="24"/>
                <w:szCs w:val="24"/>
              </w:rPr>
              <w:t>0.11</w:t>
            </w:r>
          </w:p>
        </w:tc>
        <w:tc>
          <w:tcPr>
            <w:tcW w:w="0" w:type="auto"/>
          </w:tcPr>
          <w:p w14:paraId="5B89CE47" w14:textId="77777777" w:rsidR="00A82974" w:rsidRPr="00CF721D" w:rsidRDefault="00A82974" w:rsidP="00CF721D">
            <w:pPr>
              <w:jc w:val="center"/>
              <w:rPr>
                <w:color w:val="000000" w:themeColor="text1"/>
                <w:sz w:val="24"/>
                <w:szCs w:val="24"/>
              </w:rPr>
            </w:pPr>
            <w:r w:rsidRPr="00CF721D">
              <w:rPr>
                <w:color w:val="000000" w:themeColor="text1"/>
                <w:sz w:val="24"/>
                <w:szCs w:val="24"/>
              </w:rPr>
              <w:t>0.20</w:t>
            </w:r>
          </w:p>
        </w:tc>
        <w:tc>
          <w:tcPr>
            <w:tcW w:w="4249" w:type="dxa"/>
          </w:tcPr>
          <w:p w14:paraId="50BB696F" w14:textId="77777777" w:rsidR="00A82974" w:rsidRPr="00CF721D" w:rsidRDefault="00A82974" w:rsidP="00CF721D">
            <w:pPr>
              <w:jc w:val="center"/>
              <w:rPr>
                <w:color w:val="000000" w:themeColor="text1"/>
                <w:sz w:val="24"/>
                <w:szCs w:val="24"/>
              </w:rPr>
            </w:pPr>
            <w:r w:rsidRPr="00CF721D">
              <w:rPr>
                <w:color w:val="000000" w:themeColor="text1"/>
                <w:sz w:val="24"/>
                <w:szCs w:val="24"/>
              </w:rPr>
              <w:t>0.26</w:t>
            </w:r>
          </w:p>
        </w:tc>
      </w:tr>
      <w:tr w:rsidR="00A82974" w:rsidRPr="000E10C2" w14:paraId="2418A9E8" w14:textId="77777777" w:rsidTr="00CF721D">
        <w:trPr>
          <w:jc w:val="center"/>
        </w:trPr>
        <w:tc>
          <w:tcPr>
            <w:tcW w:w="3077" w:type="dxa"/>
          </w:tcPr>
          <w:p w14:paraId="6F902F40" w14:textId="77777777" w:rsidR="00A82974" w:rsidRPr="000E10C2" w:rsidRDefault="00A82974" w:rsidP="00CF721D">
            <w:pPr>
              <w:jc w:val="center"/>
              <w:rPr>
                <w:color w:val="000000" w:themeColor="text1"/>
                <w:sz w:val="24"/>
                <w:szCs w:val="24"/>
              </w:rPr>
            </w:pPr>
            <w:r w:rsidRPr="000E10C2">
              <w:rPr>
                <w:color w:val="000000" w:themeColor="text1"/>
                <w:sz w:val="24"/>
                <w:szCs w:val="24"/>
              </w:rPr>
              <w:t>2020</w:t>
            </w:r>
          </w:p>
        </w:tc>
        <w:tc>
          <w:tcPr>
            <w:tcW w:w="0" w:type="auto"/>
          </w:tcPr>
          <w:p w14:paraId="097198C6" w14:textId="77777777" w:rsidR="00A82974" w:rsidRPr="00CF721D" w:rsidRDefault="00A82974" w:rsidP="00CF721D">
            <w:pPr>
              <w:jc w:val="center"/>
              <w:rPr>
                <w:color w:val="000000" w:themeColor="text1"/>
                <w:sz w:val="24"/>
                <w:szCs w:val="24"/>
              </w:rPr>
            </w:pPr>
            <w:r w:rsidRPr="00CF721D">
              <w:rPr>
                <w:color w:val="000000" w:themeColor="text1"/>
                <w:sz w:val="24"/>
                <w:szCs w:val="24"/>
              </w:rPr>
              <w:t>0.14</w:t>
            </w:r>
          </w:p>
        </w:tc>
        <w:tc>
          <w:tcPr>
            <w:tcW w:w="0" w:type="auto"/>
          </w:tcPr>
          <w:p w14:paraId="65FE9468" w14:textId="77777777" w:rsidR="00A82974" w:rsidRPr="00CF721D" w:rsidRDefault="00A82974" w:rsidP="00CF721D">
            <w:pPr>
              <w:jc w:val="center"/>
              <w:rPr>
                <w:color w:val="000000" w:themeColor="text1"/>
                <w:sz w:val="24"/>
                <w:szCs w:val="24"/>
              </w:rPr>
            </w:pPr>
            <w:r w:rsidRPr="00CF721D">
              <w:rPr>
                <w:color w:val="000000" w:themeColor="text1"/>
                <w:sz w:val="24"/>
                <w:szCs w:val="24"/>
              </w:rPr>
              <w:t>0.37</w:t>
            </w:r>
          </w:p>
        </w:tc>
        <w:tc>
          <w:tcPr>
            <w:tcW w:w="4249" w:type="dxa"/>
          </w:tcPr>
          <w:p w14:paraId="729047A0" w14:textId="77777777" w:rsidR="00A82974" w:rsidRPr="00CF721D" w:rsidRDefault="00A82974" w:rsidP="00CF721D">
            <w:pPr>
              <w:jc w:val="center"/>
              <w:rPr>
                <w:color w:val="000000" w:themeColor="text1"/>
                <w:sz w:val="24"/>
                <w:szCs w:val="24"/>
              </w:rPr>
            </w:pPr>
            <w:r w:rsidRPr="00CF721D">
              <w:rPr>
                <w:color w:val="000000" w:themeColor="text1"/>
                <w:sz w:val="24"/>
                <w:szCs w:val="24"/>
              </w:rPr>
              <w:t>0.28</w:t>
            </w:r>
          </w:p>
        </w:tc>
      </w:tr>
      <w:tr w:rsidR="00A82974" w:rsidRPr="000E10C2" w14:paraId="70B98361" w14:textId="77777777" w:rsidTr="00CF721D">
        <w:trPr>
          <w:trHeight w:val="58"/>
          <w:jc w:val="center"/>
        </w:trPr>
        <w:tc>
          <w:tcPr>
            <w:tcW w:w="3077" w:type="dxa"/>
          </w:tcPr>
          <w:p w14:paraId="613AE898" w14:textId="77777777" w:rsidR="00A82974" w:rsidRPr="000E10C2" w:rsidRDefault="00A82974" w:rsidP="00CF721D">
            <w:pPr>
              <w:jc w:val="center"/>
              <w:rPr>
                <w:color w:val="000000" w:themeColor="text1"/>
                <w:sz w:val="24"/>
                <w:szCs w:val="24"/>
              </w:rPr>
            </w:pPr>
            <w:r w:rsidRPr="000E10C2">
              <w:rPr>
                <w:color w:val="000000" w:themeColor="text1"/>
                <w:sz w:val="24"/>
                <w:szCs w:val="24"/>
              </w:rPr>
              <w:t>2019</w:t>
            </w:r>
          </w:p>
        </w:tc>
        <w:tc>
          <w:tcPr>
            <w:tcW w:w="0" w:type="auto"/>
          </w:tcPr>
          <w:p w14:paraId="2BF9FBB7" w14:textId="77777777" w:rsidR="00A82974" w:rsidRPr="00CF721D" w:rsidRDefault="00A82974" w:rsidP="00CF721D">
            <w:pPr>
              <w:jc w:val="center"/>
              <w:rPr>
                <w:color w:val="000000" w:themeColor="text1"/>
                <w:sz w:val="24"/>
                <w:szCs w:val="24"/>
              </w:rPr>
            </w:pPr>
            <w:r w:rsidRPr="00CF721D">
              <w:rPr>
                <w:color w:val="000000" w:themeColor="text1"/>
                <w:sz w:val="24"/>
                <w:szCs w:val="24"/>
              </w:rPr>
              <w:t>0.17</w:t>
            </w:r>
          </w:p>
        </w:tc>
        <w:tc>
          <w:tcPr>
            <w:tcW w:w="0" w:type="auto"/>
          </w:tcPr>
          <w:p w14:paraId="303A75EC" w14:textId="77777777" w:rsidR="00A82974" w:rsidRPr="00CF721D" w:rsidRDefault="00A82974" w:rsidP="00CF721D">
            <w:pPr>
              <w:jc w:val="center"/>
              <w:rPr>
                <w:color w:val="000000" w:themeColor="text1"/>
                <w:sz w:val="24"/>
                <w:szCs w:val="24"/>
              </w:rPr>
            </w:pPr>
            <w:r w:rsidRPr="00CF721D">
              <w:rPr>
                <w:color w:val="000000" w:themeColor="text1"/>
                <w:sz w:val="24"/>
                <w:szCs w:val="24"/>
              </w:rPr>
              <w:t>0.53</w:t>
            </w:r>
          </w:p>
        </w:tc>
        <w:tc>
          <w:tcPr>
            <w:tcW w:w="4249" w:type="dxa"/>
          </w:tcPr>
          <w:p w14:paraId="4DCA9B6D" w14:textId="77777777" w:rsidR="00A82974" w:rsidRPr="00CF721D" w:rsidRDefault="00A82974" w:rsidP="00CF721D">
            <w:pPr>
              <w:jc w:val="center"/>
              <w:rPr>
                <w:color w:val="000000" w:themeColor="text1"/>
                <w:sz w:val="24"/>
                <w:szCs w:val="24"/>
              </w:rPr>
            </w:pPr>
            <w:r w:rsidRPr="00CF721D">
              <w:rPr>
                <w:color w:val="000000" w:themeColor="text1"/>
                <w:sz w:val="24"/>
                <w:szCs w:val="24"/>
              </w:rPr>
              <w:t>0.08</w:t>
            </w:r>
          </w:p>
        </w:tc>
      </w:tr>
      <w:tr w:rsidR="00A82974" w:rsidRPr="000E10C2" w14:paraId="7C6D8284" w14:textId="77777777" w:rsidTr="00CF721D">
        <w:trPr>
          <w:jc w:val="center"/>
        </w:trPr>
        <w:tc>
          <w:tcPr>
            <w:tcW w:w="3077" w:type="dxa"/>
          </w:tcPr>
          <w:p w14:paraId="17F217D4" w14:textId="77777777" w:rsidR="00A82974" w:rsidRPr="000E10C2" w:rsidRDefault="00A82974" w:rsidP="00CF721D">
            <w:pPr>
              <w:jc w:val="center"/>
              <w:rPr>
                <w:color w:val="000000" w:themeColor="text1"/>
                <w:sz w:val="24"/>
                <w:szCs w:val="24"/>
              </w:rPr>
            </w:pPr>
            <w:r w:rsidRPr="000E10C2">
              <w:rPr>
                <w:color w:val="000000" w:themeColor="text1"/>
                <w:sz w:val="24"/>
                <w:szCs w:val="24"/>
              </w:rPr>
              <w:t>2018</w:t>
            </w:r>
          </w:p>
        </w:tc>
        <w:tc>
          <w:tcPr>
            <w:tcW w:w="0" w:type="auto"/>
          </w:tcPr>
          <w:p w14:paraId="3D88CF98" w14:textId="77777777" w:rsidR="00A82974" w:rsidRPr="00CF721D" w:rsidRDefault="00A82974" w:rsidP="00CF721D">
            <w:pPr>
              <w:jc w:val="center"/>
              <w:rPr>
                <w:color w:val="000000" w:themeColor="text1"/>
                <w:sz w:val="24"/>
                <w:szCs w:val="24"/>
              </w:rPr>
            </w:pPr>
            <w:r w:rsidRPr="00CF721D">
              <w:rPr>
                <w:color w:val="000000" w:themeColor="text1"/>
                <w:sz w:val="24"/>
                <w:szCs w:val="24"/>
              </w:rPr>
              <w:t>0.05</w:t>
            </w:r>
          </w:p>
        </w:tc>
        <w:tc>
          <w:tcPr>
            <w:tcW w:w="0" w:type="auto"/>
          </w:tcPr>
          <w:p w14:paraId="4490E12C" w14:textId="77777777" w:rsidR="00A82974" w:rsidRPr="00CF721D" w:rsidRDefault="00A82974" w:rsidP="00CF721D">
            <w:pPr>
              <w:jc w:val="center"/>
              <w:rPr>
                <w:color w:val="000000" w:themeColor="text1"/>
                <w:sz w:val="24"/>
                <w:szCs w:val="24"/>
              </w:rPr>
            </w:pPr>
            <w:r w:rsidRPr="00CF721D">
              <w:rPr>
                <w:color w:val="000000" w:themeColor="text1"/>
                <w:sz w:val="24"/>
                <w:szCs w:val="24"/>
              </w:rPr>
              <w:t>0.12</w:t>
            </w:r>
          </w:p>
        </w:tc>
        <w:tc>
          <w:tcPr>
            <w:tcW w:w="4249" w:type="dxa"/>
          </w:tcPr>
          <w:p w14:paraId="051B1E7E" w14:textId="77777777" w:rsidR="00A82974" w:rsidRPr="00CF721D" w:rsidRDefault="00A82974" w:rsidP="00CF721D">
            <w:pPr>
              <w:jc w:val="center"/>
              <w:rPr>
                <w:color w:val="000000" w:themeColor="text1"/>
                <w:sz w:val="24"/>
                <w:szCs w:val="24"/>
              </w:rPr>
            </w:pPr>
            <w:r w:rsidRPr="00CF721D">
              <w:rPr>
                <w:color w:val="000000" w:themeColor="text1"/>
                <w:sz w:val="24"/>
                <w:szCs w:val="24"/>
              </w:rPr>
              <w:t>0.20</w:t>
            </w:r>
          </w:p>
        </w:tc>
      </w:tr>
    </w:tbl>
    <w:p w14:paraId="10932D9E" w14:textId="60A9AE5A" w:rsidR="00A82974" w:rsidRPr="00CF721D" w:rsidRDefault="00A82974" w:rsidP="001221EC">
      <w:pPr>
        <w:pStyle w:val="Caption"/>
        <w:jc w:val="center"/>
        <w:rPr>
          <w:noProof/>
          <w:sz w:val="24"/>
          <w:szCs w:val="24"/>
        </w:rPr>
      </w:pPr>
      <w:r w:rsidRPr="00CF721D">
        <w:rPr>
          <w:sz w:val="24"/>
          <w:szCs w:val="24"/>
        </w:rPr>
        <w:t>Table 4</w:t>
      </w:r>
      <w:r w:rsidRPr="00CF721D">
        <w:rPr>
          <w:noProof/>
          <w:sz w:val="24"/>
          <w:szCs w:val="24"/>
        </w:rPr>
        <w:t>: Cash Ratio Analysis</w:t>
      </w:r>
    </w:p>
    <w:p w14:paraId="002A13D6" w14:textId="77777777" w:rsidR="00CF721D" w:rsidRDefault="00CF721D" w:rsidP="00CF721D"/>
    <w:p w14:paraId="23431DDA" w14:textId="77777777" w:rsidR="00CF721D" w:rsidRDefault="00CF721D" w:rsidP="00CF721D">
      <w:pPr>
        <w:keepNext/>
      </w:pPr>
      <w:r w:rsidRPr="000E10C2">
        <w:rPr>
          <w:noProof/>
          <w:color w:val="000000" w:themeColor="text1"/>
        </w:rPr>
        <w:drawing>
          <wp:inline distT="0" distB="0" distL="0" distR="0" wp14:anchorId="4D439298" wp14:editId="58E70B31">
            <wp:extent cx="6756400" cy="3924300"/>
            <wp:effectExtent l="0" t="0" r="0" b="0"/>
            <wp:docPr id="174509906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B4539F9" w14:textId="0194F294" w:rsidR="00CF721D" w:rsidRDefault="00CF721D" w:rsidP="00CF721D">
      <w:pPr>
        <w:pStyle w:val="Caption"/>
        <w:jc w:val="center"/>
        <w:rPr>
          <w:sz w:val="24"/>
          <w:szCs w:val="24"/>
        </w:rPr>
      </w:pPr>
      <w:r w:rsidRPr="00CF721D">
        <w:rPr>
          <w:sz w:val="24"/>
          <w:szCs w:val="24"/>
        </w:rPr>
        <w:t>Figure 2: Cash Ratio Analysis</w:t>
      </w:r>
    </w:p>
    <w:p w14:paraId="64B2FE7D" w14:textId="26D093B0" w:rsidR="00CF721D" w:rsidRDefault="00CF721D" w:rsidP="00CF721D">
      <w:pPr>
        <w:pStyle w:val="Heading2"/>
        <w:rPr>
          <w:sz w:val="32"/>
          <w:szCs w:val="32"/>
        </w:rPr>
      </w:pPr>
      <w:bookmarkStart w:id="11" w:name="_Toc151378353"/>
      <w:r>
        <w:rPr>
          <w:sz w:val="32"/>
          <w:szCs w:val="32"/>
        </w:rPr>
        <w:t>6.2 Table Analysis of Cash Ratio</w:t>
      </w:r>
      <w:bookmarkEnd w:id="11"/>
    </w:p>
    <w:p w14:paraId="3CCE4F4F" w14:textId="77777777" w:rsidR="00CF721D" w:rsidRDefault="00CF721D" w:rsidP="00CF721D"/>
    <w:p w14:paraId="4AA3ACE5" w14:textId="77777777" w:rsidR="002B3659" w:rsidRDefault="00CF721D" w:rsidP="00CF721D">
      <w:pPr>
        <w:pStyle w:val="NormalWeb"/>
        <w:shd w:val="clear" w:color="auto" w:fill="FFFFFF"/>
        <w:spacing w:before="360" w:beforeAutospacing="0" w:after="360" w:afterAutospacing="0" w:line="360" w:lineRule="auto"/>
        <w:jc w:val="both"/>
        <w:rPr>
          <w:rFonts w:ascii="Arial" w:hAnsi="Arial" w:cs="Arial"/>
          <w:color w:val="1F1F1F"/>
        </w:rPr>
      </w:pPr>
      <w:r>
        <w:rPr>
          <w:rFonts w:ascii="Arial" w:hAnsi="Arial" w:cs="Arial"/>
          <w:color w:val="1F1F1F"/>
        </w:rPr>
        <w:t xml:space="preserve">BT's cash ratio in 2018 was low, at 0.05, which means it had limited ability to pay its short-term bills with cash. Vodafone's cash ratio was higher, at 0.12, and Three's was even higher, at 0.20. </w:t>
      </w:r>
    </w:p>
    <w:p w14:paraId="00B4F73D" w14:textId="174A6A18" w:rsidR="00CF721D" w:rsidRDefault="00CF721D" w:rsidP="00CF721D">
      <w:pPr>
        <w:pStyle w:val="NormalWeb"/>
        <w:shd w:val="clear" w:color="auto" w:fill="FFFFFF"/>
        <w:spacing w:before="360" w:beforeAutospacing="0" w:after="360" w:afterAutospacing="0" w:line="360" w:lineRule="auto"/>
        <w:jc w:val="both"/>
        <w:rPr>
          <w:rFonts w:ascii="Arial" w:hAnsi="Arial" w:cs="Arial"/>
          <w:color w:val="1F1F1F"/>
        </w:rPr>
      </w:pPr>
      <w:r>
        <w:rPr>
          <w:rFonts w:ascii="Arial" w:hAnsi="Arial" w:cs="Arial"/>
          <w:color w:val="1F1F1F"/>
        </w:rPr>
        <w:lastRenderedPageBreak/>
        <w:t>BT's cash ratio has been consistently low over time, ranging from 0.05 to 0.14. This means that BT has not had a lot of cash on hand to pay its bills. Vodafone's cash ratio has been more variable, ranging from 0.12 to 0.53. This means that Vodafone has sometimes had a lot of cash on hand and sometimes not very much. Three's cash ratio has been the most stable, ranging from 0.08 to 0.28.</w:t>
      </w:r>
      <w:r>
        <w:rPr>
          <w:rStyle w:val="animating"/>
          <w:rFonts w:ascii="Arial" w:hAnsi="Arial" w:cs="Arial"/>
          <w:color w:val="1F1F1F"/>
        </w:rPr>
        <w:t xml:space="preserve"> This means that Three has generally had a healthy amount of cash on hand to pay its bills.</w:t>
      </w:r>
    </w:p>
    <w:p w14:paraId="1E9F5F29" w14:textId="63125DB1" w:rsidR="00CF721D" w:rsidRDefault="00CF721D" w:rsidP="00CF721D">
      <w:pPr>
        <w:pStyle w:val="NormalWeb"/>
        <w:shd w:val="clear" w:color="auto" w:fill="FFFFFF"/>
        <w:spacing w:before="360" w:beforeAutospacing="0" w:after="360" w:afterAutospacing="0" w:line="360" w:lineRule="auto"/>
        <w:jc w:val="both"/>
        <w:rPr>
          <w:rStyle w:val="animating"/>
          <w:rFonts w:ascii="Arial" w:hAnsi="Arial" w:cs="Arial"/>
          <w:color w:val="1F1F1F"/>
        </w:rPr>
      </w:pPr>
      <w:r>
        <w:rPr>
          <w:rStyle w:val="animating"/>
          <w:rFonts w:ascii="Arial" w:hAnsi="Arial" w:cs="Arial"/>
          <w:color w:val="1F1F1F"/>
        </w:rPr>
        <w:t>Overall,</w:t>
      </w:r>
      <w:r>
        <w:rPr>
          <w:rStyle w:val="animating"/>
          <w:rFonts w:ascii="Arial" w:hAnsi="Arial" w:cs="Arial"/>
          <w:color w:val="1F1F1F"/>
        </w:rPr>
        <w:t xml:space="preserve"> </w:t>
      </w:r>
      <w:r>
        <w:rPr>
          <w:rStyle w:val="animating"/>
          <w:rFonts w:ascii="Arial" w:hAnsi="Arial" w:cs="Arial"/>
          <w:color w:val="1F1F1F"/>
        </w:rPr>
        <w:t xml:space="preserve">BT has the weakest liquidity position of the three companies, while </w:t>
      </w:r>
      <w:proofErr w:type="gramStart"/>
      <w:r>
        <w:rPr>
          <w:rStyle w:val="animating"/>
          <w:rFonts w:ascii="Arial" w:hAnsi="Arial" w:cs="Arial"/>
          <w:color w:val="1F1F1F"/>
        </w:rPr>
        <w:t>Three</w:t>
      </w:r>
      <w:proofErr w:type="gramEnd"/>
      <w:r>
        <w:rPr>
          <w:rStyle w:val="animating"/>
          <w:rFonts w:ascii="Arial" w:hAnsi="Arial" w:cs="Arial"/>
          <w:color w:val="1F1F1F"/>
        </w:rPr>
        <w:t xml:space="preserve"> has the strongest. Vodafone's liquidity position is somewhere in between.</w:t>
      </w:r>
    </w:p>
    <w:p w14:paraId="0E1B4014" w14:textId="558D7452" w:rsidR="00CF721D" w:rsidRDefault="00CF721D" w:rsidP="00CF721D">
      <w:pPr>
        <w:pStyle w:val="Heading1"/>
      </w:pPr>
      <w:bookmarkStart w:id="12" w:name="_Toc151378354"/>
      <w:r>
        <w:t>7. Leverage Ratio</w:t>
      </w:r>
      <w:bookmarkEnd w:id="12"/>
    </w:p>
    <w:p w14:paraId="33FB1119" w14:textId="77777777" w:rsidR="00CF721D" w:rsidRDefault="00CF721D" w:rsidP="00CF721D">
      <w:pPr>
        <w:rPr>
          <w:sz w:val="24"/>
          <w:szCs w:val="20"/>
        </w:rPr>
      </w:pPr>
    </w:p>
    <w:p w14:paraId="616A9413" w14:textId="30D3659F" w:rsidR="000E7E3B" w:rsidRDefault="004F3535" w:rsidP="000E7E3B">
      <w:pPr>
        <w:spacing w:line="360" w:lineRule="auto"/>
        <w:jc w:val="both"/>
        <w:rPr>
          <w:sz w:val="24"/>
          <w:szCs w:val="20"/>
        </w:rPr>
      </w:pPr>
      <w:r>
        <w:rPr>
          <w:sz w:val="24"/>
          <w:szCs w:val="20"/>
        </w:rPr>
        <w:t>According to (Dermine, 2015), a</w:t>
      </w:r>
      <w:r w:rsidR="000E7E3B" w:rsidRPr="000E7E3B">
        <w:rPr>
          <w:sz w:val="24"/>
          <w:szCs w:val="20"/>
        </w:rPr>
        <w:t xml:space="preserve"> leverage ratio is a financial measure that shows how much debt a company has compared to its assets, equity, or earnings. It tells you how much risk a company is taking by borrowing money. A higher leverage ratio means more risk, while a lower leverage ratio means less risk. The ideal leverage ratio for a company will depend on its industry and market factors.</w:t>
      </w:r>
    </w:p>
    <w:p w14:paraId="63810FB1" w14:textId="6357998E" w:rsidR="004F3535" w:rsidRPr="004F3535" w:rsidRDefault="004F3535" w:rsidP="004F3535">
      <w:pPr>
        <w:spacing w:line="360" w:lineRule="auto"/>
        <w:jc w:val="both"/>
        <w:rPr>
          <w:sz w:val="24"/>
          <w:szCs w:val="20"/>
        </w:rPr>
      </w:pPr>
      <w:r w:rsidRPr="004F3535">
        <w:rPr>
          <w:sz w:val="24"/>
          <w:szCs w:val="20"/>
        </w:rPr>
        <w:t xml:space="preserve">There are five types of Leverage ratio which </w:t>
      </w:r>
      <w:r w:rsidRPr="004F3535">
        <w:rPr>
          <w:sz w:val="24"/>
          <w:szCs w:val="20"/>
        </w:rPr>
        <w:t>used most</w:t>
      </w:r>
      <w:r w:rsidRPr="004F3535">
        <w:rPr>
          <w:sz w:val="24"/>
          <w:szCs w:val="20"/>
        </w:rPr>
        <w:t xml:space="preserve"> to calculate Leverage ratio</w:t>
      </w:r>
      <w:r>
        <w:rPr>
          <w:sz w:val="24"/>
          <w:szCs w:val="20"/>
        </w:rPr>
        <w:t>s.</w:t>
      </w:r>
    </w:p>
    <w:p w14:paraId="6943E4D2" w14:textId="558D9849" w:rsidR="004F3535" w:rsidRPr="004F3535" w:rsidRDefault="004F3535" w:rsidP="004F3535">
      <w:pPr>
        <w:pStyle w:val="ListParagraph"/>
        <w:numPr>
          <w:ilvl w:val="0"/>
          <w:numId w:val="9"/>
        </w:numPr>
        <w:spacing w:line="360" w:lineRule="auto"/>
        <w:rPr>
          <w:sz w:val="24"/>
          <w:szCs w:val="20"/>
        </w:rPr>
      </w:pPr>
      <w:r w:rsidRPr="004F3535">
        <w:rPr>
          <w:sz w:val="24"/>
          <w:szCs w:val="20"/>
        </w:rPr>
        <w:t>Debt-to-Assets Ratio = Total Debt / Total Assets</w:t>
      </w:r>
    </w:p>
    <w:p w14:paraId="6CAE3F3A" w14:textId="48C6AD08" w:rsidR="004F3535" w:rsidRPr="004F3535" w:rsidRDefault="004F3535" w:rsidP="004F3535">
      <w:pPr>
        <w:pStyle w:val="ListParagraph"/>
        <w:numPr>
          <w:ilvl w:val="0"/>
          <w:numId w:val="9"/>
        </w:numPr>
        <w:spacing w:line="360" w:lineRule="auto"/>
        <w:rPr>
          <w:sz w:val="24"/>
          <w:szCs w:val="20"/>
        </w:rPr>
      </w:pPr>
      <w:r w:rsidRPr="004F3535">
        <w:rPr>
          <w:sz w:val="24"/>
          <w:szCs w:val="20"/>
        </w:rPr>
        <w:t>Debt-to-Equity Ratio = Total Debt / Total Equity</w:t>
      </w:r>
    </w:p>
    <w:p w14:paraId="73BC8655" w14:textId="7FD0BCCA" w:rsidR="004F3535" w:rsidRPr="004F3535" w:rsidRDefault="004F3535" w:rsidP="004F3535">
      <w:pPr>
        <w:pStyle w:val="ListParagraph"/>
        <w:numPr>
          <w:ilvl w:val="0"/>
          <w:numId w:val="9"/>
        </w:numPr>
        <w:spacing w:line="360" w:lineRule="auto"/>
        <w:rPr>
          <w:sz w:val="24"/>
          <w:szCs w:val="20"/>
        </w:rPr>
      </w:pPr>
      <w:r w:rsidRPr="004F3535">
        <w:rPr>
          <w:sz w:val="24"/>
          <w:szCs w:val="20"/>
        </w:rPr>
        <w:t>Debt-to-Capital Ratio = Today Debt / (Total Debt + Total Equity)</w:t>
      </w:r>
    </w:p>
    <w:p w14:paraId="227A6B3C" w14:textId="3D171F69" w:rsidR="004F3535" w:rsidRPr="004F3535" w:rsidRDefault="004F3535" w:rsidP="004F3535">
      <w:pPr>
        <w:pStyle w:val="ListParagraph"/>
        <w:numPr>
          <w:ilvl w:val="0"/>
          <w:numId w:val="9"/>
        </w:numPr>
        <w:spacing w:line="360" w:lineRule="auto"/>
        <w:rPr>
          <w:sz w:val="24"/>
          <w:szCs w:val="20"/>
        </w:rPr>
      </w:pPr>
      <w:r w:rsidRPr="004F3535">
        <w:rPr>
          <w:sz w:val="24"/>
          <w:szCs w:val="20"/>
        </w:rPr>
        <w:t>Debt-to-EBITDA Ratio = Total Debt / Earnings Before Interest Taxes Depreciation &amp; Amortization (EBITDA)</w:t>
      </w:r>
    </w:p>
    <w:p w14:paraId="4AD0B833" w14:textId="2A95CC18" w:rsidR="004F3535" w:rsidRDefault="004F3535" w:rsidP="004F3535">
      <w:pPr>
        <w:pStyle w:val="ListParagraph"/>
        <w:numPr>
          <w:ilvl w:val="0"/>
          <w:numId w:val="9"/>
        </w:numPr>
        <w:spacing w:line="360" w:lineRule="auto"/>
        <w:rPr>
          <w:sz w:val="24"/>
          <w:szCs w:val="20"/>
        </w:rPr>
      </w:pPr>
      <w:r w:rsidRPr="004F3535">
        <w:rPr>
          <w:sz w:val="24"/>
          <w:szCs w:val="20"/>
        </w:rPr>
        <w:t>Asset-to-Equity Ratio = Total Assets / Total Equity</w:t>
      </w:r>
    </w:p>
    <w:p w14:paraId="1B5ADFF8" w14:textId="35B39B00" w:rsidR="004F3535" w:rsidRDefault="004F3535" w:rsidP="004F3535">
      <w:pPr>
        <w:pStyle w:val="Heading1"/>
      </w:pPr>
      <w:bookmarkStart w:id="13" w:name="_Toc151378355"/>
      <w:r>
        <w:t>8. Debt to Assets Ratio</w:t>
      </w:r>
      <w:bookmarkEnd w:id="13"/>
    </w:p>
    <w:p w14:paraId="12D99192" w14:textId="77777777" w:rsidR="004F3535" w:rsidRDefault="004F3535" w:rsidP="004F3535">
      <w:pPr>
        <w:spacing w:line="360" w:lineRule="auto"/>
        <w:jc w:val="both"/>
        <w:rPr>
          <w:sz w:val="24"/>
          <w:szCs w:val="20"/>
        </w:rPr>
      </w:pPr>
    </w:p>
    <w:p w14:paraId="77DB9206" w14:textId="3CFF7594" w:rsidR="004F3535" w:rsidRDefault="004F3535" w:rsidP="004F3535">
      <w:pPr>
        <w:spacing w:line="360" w:lineRule="auto"/>
        <w:jc w:val="both"/>
        <w:rPr>
          <w:sz w:val="24"/>
          <w:szCs w:val="20"/>
        </w:rPr>
      </w:pPr>
      <w:r w:rsidRPr="004F3535">
        <w:rPr>
          <w:sz w:val="24"/>
          <w:szCs w:val="20"/>
        </w:rPr>
        <w:t xml:space="preserve">The debt to asset ratio is a financial indicator that quantifies how much of a company's assets are financed by debt as opposed to </w:t>
      </w:r>
      <w:r w:rsidRPr="002B3659">
        <w:rPr>
          <w:sz w:val="24"/>
          <w:szCs w:val="24"/>
        </w:rPr>
        <w:t>equity (</w:t>
      </w:r>
      <w:r w:rsidR="002B3659" w:rsidRPr="002B3659">
        <w:rPr>
          <w:sz w:val="24"/>
          <w:szCs w:val="24"/>
        </w:rPr>
        <w:t>Bates,</w:t>
      </w:r>
      <w:r w:rsidR="002B3659">
        <w:rPr>
          <w:sz w:val="24"/>
          <w:szCs w:val="24"/>
        </w:rPr>
        <w:t xml:space="preserve"> </w:t>
      </w:r>
      <w:r w:rsidR="002B3659" w:rsidRPr="002B3659">
        <w:rPr>
          <w:sz w:val="24"/>
          <w:szCs w:val="24"/>
        </w:rPr>
        <w:t>T.W. et al.</w:t>
      </w:r>
      <w:r w:rsidR="002B3659" w:rsidRPr="002B3659">
        <w:rPr>
          <w:sz w:val="24"/>
          <w:szCs w:val="24"/>
        </w:rPr>
        <w:t xml:space="preserve">, </w:t>
      </w:r>
      <w:r w:rsidR="002B3659" w:rsidRPr="002B3659">
        <w:rPr>
          <w:sz w:val="24"/>
          <w:szCs w:val="24"/>
        </w:rPr>
        <w:t>2009</w:t>
      </w:r>
      <w:r w:rsidRPr="002B3659">
        <w:rPr>
          <w:sz w:val="24"/>
          <w:szCs w:val="24"/>
        </w:rPr>
        <w:t>). I</w:t>
      </w:r>
      <w:r w:rsidRPr="004F3535">
        <w:rPr>
          <w:sz w:val="24"/>
          <w:szCs w:val="20"/>
        </w:rPr>
        <w:t xml:space="preserve">t measures how heavily a corporation relies on leverage and is determined by dividing total debt by total assets. A larger ratio denotes more financial risk because it shows that more assets are backed by debt. It suggests that if economic conditions worsen, a company </w:t>
      </w:r>
      <w:r w:rsidR="002B3659" w:rsidRPr="004F3535">
        <w:rPr>
          <w:sz w:val="24"/>
          <w:szCs w:val="20"/>
        </w:rPr>
        <w:t>will</w:t>
      </w:r>
      <w:r w:rsidRPr="004F3535">
        <w:rPr>
          <w:sz w:val="24"/>
          <w:szCs w:val="20"/>
        </w:rPr>
        <w:t xml:space="preserve"> have trouble paying its creditors. A lower ratio typically denotes greater stability and less financial leverage. The debt to asset ratio measures how much debt a firm has compared to its assets to assess its sustainability and financial health</w:t>
      </w:r>
      <w:r w:rsidR="002B3659">
        <w:rPr>
          <w:sz w:val="24"/>
          <w:szCs w:val="20"/>
        </w:rPr>
        <w:t>.</w:t>
      </w:r>
    </w:p>
    <w:p w14:paraId="6F68FBAE" w14:textId="77777777" w:rsidR="002B3659" w:rsidRDefault="002B3659" w:rsidP="004F3535">
      <w:pPr>
        <w:spacing w:line="360" w:lineRule="auto"/>
        <w:jc w:val="both"/>
        <w:rPr>
          <w:sz w:val="24"/>
          <w:szCs w:val="20"/>
        </w:rPr>
      </w:pPr>
    </w:p>
    <w:p w14:paraId="185F278F" w14:textId="157D67A0" w:rsidR="002B3659" w:rsidRPr="002B3659" w:rsidRDefault="002B3659" w:rsidP="002B3659">
      <w:pPr>
        <w:pStyle w:val="Heading2"/>
        <w:rPr>
          <w:sz w:val="32"/>
          <w:szCs w:val="32"/>
        </w:rPr>
      </w:pPr>
      <w:bookmarkStart w:id="14" w:name="_Toc151378356"/>
      <w:r>
        <w:rPr>
          <w:sz w:val="32"/>
          <w:szCs w:val="32"/>
        </w:rPr>
        <w:t>8.1 Why I choose Debt to Assets Ratio</w:t>
      </w:r>
      <w:bookmarkEnd w:id="14"/>
    </w:p>
    <w:p w14:paraId="4747643D" w14:textId="77777777" w:rsidR="002B3659" w:rsidRDefault="002B3659" w:rsidP="004F3535">
      <w:pPr>
        <w:spacing w:line="360" w:lineRule="auto"/>
        <w:jc w:val="both"/>
        <w:rPr>
          <w:sz w:val="24"/>
          <w:szCs w:val="20"/>
        </w:rPr>
      </w:pPr>
    </w:p>
    <w:p w14:paraId="57DE3D3D" w14:textId="33008875" w:rsidR="002B3659" w:rsidRDefault="0064606F" w:rsidP="0064606F">
      <w:pPr>
        <w:spacing w:line="360" w:lineRule="auto"/>
        <w:jc w:val="both"/>
        <w:rPr>
          <w:sz w:val="24"/>
          <w:szCs w:val="20"/>
        </w:rPr>
      </w:pPr>
      <w:r w:rsidRPr="0064606F">
        <w:rPr>
          <w:sz w:val="24"/>
          <w:szCs w:val="20"/>
        </w:rPr>
        <w:lastRenderedPageBreak/>
        <w:t>The debt to assets ratio measures how much a company's assets are funded by debt. A lower ratio means the company is less reliant on debt and is more financially stable. A higher ratio means the company is more reliant on debt and is therefore riskier. This ratio is useful for comparing companies to each other and for evaluating a company's creditworthiness.</w:t>
      </w:r>
    </w:p>
    <w:p w14:paraId="64A2BFC8" w14:textId="77777777" w:rsidR="0064606F" w:rsidRDefault="0064606F" w:rsidP="0064606F">
      <w:pPr>
        <w:spacing w:line="360" w:lineRule="auto"/>
        <w:jc w:val="both"/>
        <w:rPr>
          <w:sz w:val="24"/>
          <w:szCs w:val="20"/>
        </w:rPr>
      </w:pPr>
    </w:p>
    <w:tbl>
      <w:tblPr>
        <w:tblStyle w:val="PlainTable1"/>
        <w:tblW w:w="0" w:type="auto"/>
        <w:tblLook w:val="0000" w:firstRow="0" w:lastRow="0" w:firstColumn="0" w:lastColumn="0" w:noHBand="0" w:noVBand="0"/>
      </w:tblPr>
      <w:tblGrid>
        <w:gridCol w:w="3296"/>
        <w:gridCol w:w="1537"/>
        <w:gridCol w:w="1162"/>
        <w:gridCol w:w="1084"/>
        <w:gridCol w:w="1084"/>
        <w:gridCol w:w="1084"/>
        <w:gridCol w:w="1084"/>
      </w:tblGrid>
      <w:tr w:rsidR="0064606F" w:rsidRPr="000E10C2" w14:paraId="63BF311C" w14:textId="77777777" w:rsidTr="0064606F">
        <w:trPr>
          <w:cnfStyle w:val="000000100000" w:firstRow="0" w:lastRow="0" w:firstColumn="0" w:lastColumn="0" w:oddVBand="0" w:evenVBand="0" w:oddHBand="1" w:evenHBand="0" w:firstRowFirstColumn="0" w:firstRowLastColumn="0" w:lastRowFirstColumn="0" w:lastRowLastColumn="0"/>
          <w:trHeight w:val="433"/>
        </w:trPr>
        <w:tc>
          <w:tcPr>
            <w:cnfStyle w:val="000010000000" w:firstRow="0" w:lastRow="0" w:firstColumn="0" w:lastColumn="0" w:oddVBand="1" w:evenVBand="0" w:oddHBand="0" w:evenHBand="0" w:firstRowFirstColumn="0" w:firstRowLastColumn="0" w:lastRowFirstColumn="0" w:lastRowLastColumn="0"/>
            <w:tcW w:w="0" w:type="auto"/>
          </w:tcPr>
          <w:p w14:paraId="5E78C291" w14:textId="77777777" w:rsidR="0064606F" w:rsidRPr="0064606F" w:rsidRDefault="0064606F" w:rsidP="0064606F">
            <w:pPr>
              <w:jc w:val="center"/>
              <w:rPr>
                <w:b/>
                <w:bCs/>
                <w:color w:val="000000" w:themeColor="text1"/>
                <w:sz w:val="24"/>
                <w:szCs w:val="24"/>
              </w:rPr>
            </w:pPr>
            <w:r w:rsidRPr="0064606F">
              <w:rPr>
                <w:b/>
                <w:bCs/>
                <w:color w:val="000000" w:themeColor="text1"/>
                <w:sz w:val="24"/>
                <w:szCs w:val="24"/>
              </w:rPr>
              <w:t>Company Name</w:t>
            </w:r>
          </w:p>
        </w:tc>
        <w:tc>
          <w:tcPr>
            <w:tcW w:w="0" w:type="auto"/>
          </w:tcPr>
          <w:p w14:paraId="59CD0F57"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2AD26535" w14:textId="77777777" w:rsidR="0064606F" w:rsidRPr="000E10C2" w:rsidRDefault="0064606F" w:rsidP="00393F28">
            <w:pPr>
              <w:rPr>
                <w:color w:val="000000" w:themeColor="text1"/>
                <w:sz w:val="24"/>
                <w:szCs w:val="24"/>
              </w:rPr>
            </w:pPr>
            <w:r w:rsidRPr="000E10C2">
              <w:rPr>
                <w:color w:val="000000" w:themeColor="text1"/>
                <w:sz w:val="24"/>
                <w:szCs w:val="24"/>
              </w:rPr>
              <w:t>2022</w:t>
            </w:r>
          </w:p>
        </w:tc>
        <w:tc>
          <w:tcPr>
            <w:tcW w:w="0" w:type="auto"/>
          </w:tcPr>
          <w:p w14:paraId="64816B9B"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2021</w:t>
            </w:r>
          </w:p>
        </w:tc>
        <w:tc>
          <w:tcPr>
            <w:cnfStyle w:val="000010000000" w:firstRow="0" w:lastRow="0" w:firstColumn="0" w:lastColumn="0" w:oddVBand="1" w:evenVBand="0" w:oddHBand="0" w:evenHBand="0" w:firstRowFirstColumn="0" w:firstRowLastColumn="0" w:lastRowFirstColumn="0" w:lastRowLastColumn="0"/>
            <w:tcW w:w="0" w:type="auto"/>
          </w:tcPr>
          <w:p w14:paraId="540A12D7" w14:textId="77777777" w:rsidR="0064606F" w:rsidRPr="000E10C2" w:rsidRDefault="0064606F" w:rsidP="00393F28">
            <w:pPr>
              <w:rPr>
                <w:color w:val="000000" w:themeColor="text1"/>
                <w:sz w:val="24"/>
                <w:szCs w:val="24"/>
              </w:rPr>
            </w:pPr>
            <w:r w:rsidRPr="000E10C2">
              <w:rPr>
                <w:color w:val="000000" w:themeColor="text1"/>
                <w:sz w:val="24"/>
                <w:szCs w:val="24"/>
              </w:rPr>
              <w:t>2020</w:t>
            </w:r>
          </w:p>
        </w:tc>
        <w:tc>
          <w:tcPr>
            <w:tcW w:w="0" w:type="auto"/>
          </w:tcPr>
          <w:p w14:paraId="2181B3C6"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2019</w:t>
            </w:r>
          </w:p>
        </w:tc>
        <w:tc>
          <w:tcPr>
            <w:cnfStyle w:val="000010000000" w:firstRow="0" w:lastRow="0" w:firstColumn="0" w:lastColumn="0" w:oddVBand="1" w:evenVBand="0" w:oddHBand="0" w:evenHBand="0" w:firstRowFirstColumn="0" w:firstRowLastColumn="0" w:lastRowFirstColumn="0" w:lastRowLastColumn="0"/>
            <w:tcW w:w="0" w:type="auto"/>
          </w:tcPr>
          <w:p w14:paraId="07DA7B77" w14:textId="77777777" w:rsidR="0064606F" w:rsidRPr="000E10C2" w:rsidRDefault="0064606F" w:rsidP="00393F28">
            <w:pPr>
              <w:rPr>
                <w:color w:val="000000" w:themeColor="text1"/>
                <w:sz w:val="24"/>
                <w:szCs w:val="24"/>
              </w:rPr>
            </w:pPr>
            <w:r w:rsidRPr="000E10C2">
              <w:rPr>
                <w:color w:val="000000" w:themeColor="text1"/>
                <w:sz w:val="24"/>
                <w:szCs w:val="24"/>
              </w:rPr>
              <w:t>2018</w:t>
            </w:r>
          </w:p>
        </w:tc>
      </w:tr>
      <w:tr w:rsidR="0064606F" w:rsidRPr="000E10C2" w14:paraId="37620BCF" w14:textId="77777777" w:rsidTr="0064606F">
        <w:trPr>
          <w:trHeight w:val="433"/>
        </w:trPr>
        <w:tc>
          <w:tcPr>
            <w:cnfStyle w:val="000010000000" w:firstRow="0" w:lastRow="0" w:firstColumn="0" w:lastColumn="0" w:oddVBand="1" w:evenVBand="0" w:oddHBand="0" w:evenHBand="0" w:firstRowFirstColumn="0" w:firstRowLastColumn="0" w:lastRowFirstColumn="0" w:lastRowLastColumn="0"/>
            <w:tcW w:w="0" w:type="auto"/>
            <w:vMerge w:val="restart"/>
          </w:tcPr>
          <w:p w14:paraId="38CBF7CF"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BT Group Limited</w:t>
            </w:r>
          </w:p>
          <w:p w14:paraId="03EE849D"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(Figures in Pounds Million)</w:t>
            </w:r>
          </w:p>
        </w:tc>
        <w:tc>
          <w:tcPr>
            <w:tcW w:w="0" w:type="auto"/>
          </w:tcPr>
          <w:p w14:paraId="7062284A"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Total Debt</w:t>
            </w:r>
          </w:p>
        </w:tc>
        <w:tc>
          <w:tcPr>
            <w:cnfStyle w:val="000010000000" w:firstRow="0" w:lastRow="0" w:firstColumn="0" w:lastColumn="0" w:oddVBand="1" w:evenVBand="0" w:oddHBand="0" w:evenHBand="0" w:firstRowFirstColumn="0" w:firstRowLastColumn="0" w:lastRowFirstColumn="0" w:lastRowLastColumn="0"/>
            <w:tcW w:w="0" w:type="auto"/>
          </w:tcPr>
          <w:p w14:paraId="00B09400" w14:textId="77777777" w:rsidR="0064606F" w:rsidRPr="000E10C2" w:rsidRDefault="0064606F" w:rsidP="00393F28">
            <w:pPr>
              <w:rPr>
                <w:color w:val="000000" w:themeColor="text1"/>
                <w:sz w:val="24"/>
                <w:szCs w:val="24"/>
              </w:rPr>
            </w:pPr>
            <w:r w:rsidRPr="000E10C2">
              <w:rPr>
                <w:color w:val="000000" w:themeColor="text1"/>
                <w:sz w:val="24"/>
                <w:szCs w:val="24"/>
              </w:rPr>
              <w:t>16,185</w:t>
            </w:r>
          </w:p>
        </w:tc>
        <w:tc>
          <w:tcPr>
            <w:tcW w:w="0" w:type="auto"/>
          </w:tcPr>
          <w:p w14:paraId="112A73E2"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16,685</w:t>
            </w:r>
          </w:p>
        </w:tc>
        <w:tc>
          <w:tcPr>
            <w:cnfStyle w:val="000010000000" w:firstRow="0" w:lastRow="0" w:firstColumn="0" w:lastColumn="0" w:oddVBand="1" w:evenVBand="0" w:oddHBand="0" w:evenHBand="0" w:firstRowFirstColumn="0" w:firstRowLastColumn="0" w:lastRowFirstColumn="0" w:lastRowLastColumn="0"/>
            <w:tcW w:w="0" w:type="auto"/>
          </w:tcPr>
          <w:p w14:paraId="24AC5B34" w14:textId="77777777" w:rsidR="0064606F" w:rsidRPr="000E10C2" w:rsidRDefault="0064606F" w:rsidP="00393F28">
            <w:pPr>
              <w:rPr>
                <w:color w:val="000000" w:themeColor="text1"/>
                <w:sz w:val="24"/>
                <w:szCs w:val="24"/>
              </w:rPr>
            </w:pPr>
            <w:r w:rsidRPr="000E10C2">
              <w:rPr>
                <w:color w:val="000000" w:themeColor="text1"/>
                <w:sz w:val="24"/>
                <w:szCs w:val="24"/>
              </w:rPr>
              <w:t>19,334</w:t>
            </w:r>
          </w:p>
        </w:tc>
        <w:tc>
          <w:tcPr>
            <w:tcW w:w="0" w:type="auto"/>
          </w:tcPr>
          <w:p w14:paraId="03339E6B"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16,876</w:t>
            </w:r>
          </w:p>
        </w:tc>
        <w:tc>
          <w:tcPr>
            <w:cnfStyle w:val="000010000000" w:firstRow="0" w:lastRow="0" w:firstColumn="0" w:lastColumn="0" w:oddVBand="1" w:evenVBand="0" w:oddHBand="0" w:evenHBand="0" w:firstRowFirstColumn="0" w:firstRowLastColumn="0" w:lastRowFirstColumn="0" w:lastRowLastColumn="0"/>
            <w:tcW w:w="0" w:type="auto"/>
          </w:tcPr>
          <w:p w14:paraId="6E511365" w14:textId="77777777" w:rsidR="0064606F" w:rsidRPr="000E10C2" w:rsidRDefault="0064606F" w:rsidP="00393F28">
            <w:pPr>
              <w:rPr>
                <w:color w:val="000000" w:themeColor="text1"/>
                <w:sz w:val="24"/>
                <w:szCs w:val="24"/>
              </w:rPr>
            </w:pPr>
            <w:r w:rsidRPr="000E10C2">
              <w:rPr>
                <w:color w:val="000000" w:themeColor="text1"/>
                <w:sz w:val="24"/>
                <w:szCs w:val="24"/>
              </w:rPr>
              <w:t>14,275</w:t>
            </w:r>
          </w:p>
        </w:tc>
      </w:tr>
      <w:tr w:rsidR="0064606F" w:rsidRPr="000E10C2" w14:paraId="1BFDB6B8" w14:textId="77777777" w:rsidTr="0064606F">
        <w:trPr>
          <w:cnfStyle w:val="000000100000" w:firstRow="0" w:lastRow="0" w:firstColumn="0" w:lastColumn="0" w:oddVBand="0" w:evenVBand="0" w:oddHBand="1" w:evenHBand="0" w:firstRowFirstColumn="0" w:firstRowLastColumn="0" w:lastRowFirstColumn="0" w:lastRowLastColumn="0"/>
          <w:trHeight w:val="451"/>
        </w:trPr>
        <w:tc>
          <w:tcPr>
            <w:cnfStyle w:val="000010000000" w:firstRow="0" w:lastRow="0" w:firstColumn="0" w:lastColumn="0" w:oddVBand="1" w:evenVBand="0" w:oddHBand="0" w:evenHBand="0" w:firstRowFirstColumn="0" w:firstRowLastColumn="0" w:lastRowFirstColumn="0" w:lastRowLastColumn="0"/>
            <w:tcW w:w="0" w:type="auto"/>
            <w:vMerge/>
          </w:tcPr>
          <w:p w14:paraId="476BCB9B" w14:textId="77777777" w:rsidR="0064606F" w:rsidRPr="0064606F" w:rsidRDefault="0064606F" w:rsidP="00393F28">
            <w:pPr>
              <w:rPr>
                <w:b/>
                <w:bCs/>
                <w:color w:val="000000" w:themeColor="text1"/>
                <w:sz w:val="24"/>
                <w:szCs w:val="24"/>
              </w:rPr>
            </w:pPr>
          </w:p>
        </w:tc>
        <w:tc>
          <w:tcPr>
            <w:tcW w:w="0" w:type="auto"/>
          </w:tcPr>
          <w:p w14:paraId="0D6ED71F"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Total Assets</w:t>
            </w:r>
          </w:p>
        </w:tc>
        <w:tc>
          <w:tcPr>
            <w:cnfStyle w:val="000010000000" w:firstRow="0" w:lastRow="0" w:firstColumn="0" w:lastColumn="0" w:oddVBand="1" w:evenVBand="0" w:oddHBand="0" w:evenHBand="0" w:firstRowFirstColumn="0" w:firstRowLastColumn="0" w:lastRowFirstColumn="0" w:lastRowLastColumn="0"/>
            <w:tcW w:w="0" w:type="auto"/>
          </w:tcPr>
          <w:p w14:paraId="703F839F" w14:textId="77777777" w:rsidR="0064606F" w:rsidRPr="000E10C2" w:rsidRDefault="0064606F" w:rsidP="00393F28">
            <w:pPr>
              <w:rPr>
                <w:rFonts w:cstheme="minorHAnsi"/>
                <w:color w:val="000000" w:themeColor="text1"/>
              </w:rPr>
            </w:pPr>
            <w:r w:rsidRPr="000E10C2">
              <w:rPr>
                <w:rFonts w:cstheme="minorHAnsi"/>
                <w:color w:val="000000" w:themeColor="text1"/>
              </w:rPr>
              <w:t>49,774</w:t>
            </w:r>
          </w:p>
          <w:p w14:paraId="4FA94FEA" w14:textId="77777777" w:rsidR="0064606F" w:rsidRPr="000E10C2" w:rsidRDefault="0064606F" w:rsidP="00393F28">
            <w:pPr>
              <w:rPr>
                <w:rFonts w:cstheme="minorHAnsi"/>
                <w:color w:val="000000" w:themeColor="text1"/>
                <w:sz w:val="24"/>
                <w:szCs w:val="24"/>
              </w:rPr>
            </w:pPr>
          </w:p>
        </w:tc>
        <w:tc>
          <w:tcPr>
            <w:tcW w:w="0" w:type="auto"/>
          </w:tcPr>
          <w:p w14:paraId="2D6BA63E"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rPr>
            </w:pPr>
            <w:r w:rsidRPr="000E10C2">
              <w:rPr>
                <w:rFonts w:cstheme="minorHAnsi"/>
                <w:color w:val="000000" w:themeColor="text1"/>
              </w:rPr>
              <w:t>50,877</w:t>
            </w:r>
          </w:p>
          <w:p w14:paraId="15D55106"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33920502" w14:textId="77777777" w:rsidR="0064606F" w:rsidRPr="000E10C2" w:rsidRDefault="0064606F" w:rsidP="00393F28">
            <w:pPr>
              <w:rPr>
                <w:rFonts w:cstheme="minorHAnsi"/>
                <w:color w:val="000000" w:themeColor="text1"/>
              </w:rPr>
            </w:pPr>
            <w:r w:rsidRPr="000E10C2">
              <w:rPr>
                <w:rFonts w:cstheme="minorHAnsi"/>
                <w:color w:val="000000" w:themeColor="text1"/>
              </w:rPr>
              <w:t>53,067</w:t>
            </w:r>
          </w:p>
          <w:p w14:paraId="03D6EF8D" w14:textId="77777777" w:rsidR="0064606F" w:rsidRPr="000E10C2" w:rsidRDefault="0064606F" w:rsidP="00393F28">
            <w:pPr>
              <w:rPr>
                <w:rFonts w:cstheme="minorHAnsi"/>
                <w:color w:val="000000" w:themeColor="text1"/>
                <w:sz w:val="24"/>
                <w:szCs w:val="24"/>
              </w:rPr>
            </w:pPr>
          </w:p>
        </w:tc>
        <w:tc>
          <w:tcPr>
            <w:tcW w:w="0" w:type="auto"/>
          </w:tcPr>
          <w:p w14:paraId="67B0B52F"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rPr>
            </w:pPr>
            <w:r w:rsidRPr="000E10C2">
              <w:rPr>
                <w:rFonts w:cstheme="minorHAnsi"/>
                <w:color w:val="000000" w:themeColor="text1"/>
              </w:rPr>
              <w:t>46,287</w:t>
            </w:r>
          </w:p>
          <w:p w14:paraId="0123B86D"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p>
        </w:tc>
        <w:tc>
          <w:tcPr>
            <w:cnfStyle w:val="000010000000" w:firstRow="0" w:lastRow="0" w:firstColumn="0" w:lastColumn="0" w:oddVBand="1" w:evenVBand="0" w:oddHBand="0" w:evenHBand="0" w:firstRowFirstColumn="0" w:firstRowLastColumn="0" w:lastRowFirstColumn="0" w:lastRowLastColumn="0"/>
            <w:tcW w:w="0" w:type="auto"/>
          </w:tcPr>
          <w:p w14:paraId="5266D3BC" w14:textId="77777777" w:rsidR="0064606F" w:rsidRPr="000E10C2" w:rsidRDefault="0064606F" w:rsidP="00393F28">
            <w:pPr>
              <w:rPr>
                <w:rFonts w:cstheme="minorHAnsi"/>
                <w:color w:val="000000" w:themeColor="text1"/>
              </w:rPr>
            </w:pPr>
            <w:r w:rsidRPr="000E10C2">
              <w:rPr>
                <w:rFonts w:cstheme="minorHAnsi"/>
                <w:color w:val="000000" w:themeColor="text1"/>
              </w:rPr>
              <w:t>42,842</w:t>
            </w:r>
          </w:p>
          <w:p w14:paraId="4DD5BE98" w14:textId="77777777" w:rsidR="0064606F" w:rsidRPr="000E10C2" w:rsidRDefault="0064606F" w:rsidP="00393F28">
            <w:pPr>
              <w:rPr>
                <w:rFonts w:cstheme="minorHAnsi"/>
                <w:color w:val="000000" w:themeColor="text1"/>
                <w:sz w:val="24"/>
                <w:szCs w:val="24"/>
              </w:rPr>
            </w:pPr>
          </w:p>
        </w:tc>
      </w:tr>
      <w:tr w:rsidR="0064606F" w:rsidRPr="000E10C2" w14:paraId="67609E6A" w14:textId="77777777" w:rsidTr="0064606F">
        <w:trPr>
          <w:trHeight w:val="433"/>
        </w:trPr>
        <w:tc>
          <w:tcPr>
            <w:cnfStyle w:val="000010000000" w:firstRow="0" w:lastRow="0" w:firstColumn="0" w:lastColumn="0" w:oddVBand="1" w:evenVBand="0" w:oddHBand="0" w:evenHBand="0" w:firstRowFirstColumn="0" w:firstRowLastColumn="0" w:lastRowFirstColumn="0" w:lastRowLastColumn="0"/>
            <w:tcW w:w="0" w:type="auto"/>
            <w:vMerge w:val="restart"/>
          </w:tcPr>
          <w:p w14:paraId="6F578117"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Vodafone Limited</w:t>
            </w:r>
            <w:r w:rsidRPr="0064606F">
              <w:rPr>
                <w:b/>
                <w:bCs/>
                <w:color w:val="000000" w:themeColor="text1"/>
                <w:sz w:val="24"/>
                <w:szCs w:val="24"/>
              </w:rPr>
              <w:br/>
              <w:t>(Figures in Euro Million)</w:t>
            </w:r>
          </w:p>
        </w:tc>
        <w:tc>
          <w:tcPr>
            <w:tcW w:w="0" w:type="auto"/>
          </w:tcPr>
          <w:p w14:paraId="0B003DCE"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Total Debt</w:t>
            </w:r>
          </w:p>
        </w:tc>
        <w:tc>
          <w:tcPr>
            <w:cnfStyle w:val="000010000000" w:firstRow="0" w:lastRow="0" w:firstColumn="0" w:lastColumn="0" w:oddVBand="1" w:evenVBand="0" w:oddHBand="0" w:evenHBand="0" w:firstRowFirstColumn="0" w:firstRowLastColumn="0" w:lastRowFirstColumn="0" w:lastRowLastColumn="0"/>
            <w:tcW w:w="0" w:type="auto"/>
          </w:tcPr>
          <w:p w14:paraId="234FB16C" w14:textId="77777777" w:rsidR="0064606F" w:rsidRPr="000E10C2" w:rsidRDefault="0064606F" w:rsidP="00393F28">
            <w:pPr>
              <w:rPr>
                <w:color w:val="000000" w:themeColor="text1"/>
                <w:sz w:val="24"/>
                <w:szCs w:val="24"/>
              </w:rPr>
            </w:pPr>
            <w:r w:rsidRPr="000E10C2">
              <w:rPr>
                <w:color w:val="000000" w:themeColor="text1"/>
                <w:sz w:val="24"/>
                <w:szCs w:val="24"/>
              </w:rPr>
              <w:t>96,976</w:t>
            </w:r>
          </w:p>
        </w:tc>
        <w:tc>
          <w:tcPr>
            <w:tcW w:w="0" w:type="auto"/>
          </w:tcPr>
          <w:p w14:paraId="43564ECE"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97,247</w:t>
            </w:r>
          </w:p>
        </w:tc>
        <w:tc>
          <w:tcPr>
            <w:cnfStyle w:val="000010000000" w:firstRow="0" w:lastRow="0" w:firstColumn="0" w:lastColumn="0" w:oddVBand="1" w:evenVBand="0" w:oddHBand="0" w:evenHBand="0" w:firstRowFirstColumn="0" w:firstRowLastColumn="0" w:lastRowFirstColumn="0" w:lastRowLastColumn="0"/>
            <w:tcW w:w="0" w:type="auto"/>
          </w:tcPr>
          <w:p w14:paraId="611A151E" w14:textId="77777777" w:rsidR="0064606F" w:rsidRPr="000E10C2" w:rsidRDefault="0064606F" w:rsidP="00393F28">
            <w:pPr>
              <w:rPr>
                <w:color w:val="000000" w:themeColor="text1"/>
                <w:sz w:val="24"/>
                <w:szCs w:val="24"/>
              </w:rPr>
            </w:pPr>
            <w:r w:rsidRPr="000E10C2">
              <w:rPr>
                <w:color w:val="000000" w:themeColor="text1"/>
                <w:sz w:val="24"/>
                <w:szCs w:val="24"/>
              </w:rPr>
              <w:t>104,492</w:t>
            </w:r>
          </w:p>
        </w:tc>
        <w:tc>
          <w:tcPr>
            <w:tcW w:w="0" w:type="auto"/>
          </w:tcPr>
          <w:p w14:paraId="40A90966"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79,507</w:t>
            </w:r>
          </w:p>
        </w:tc>
        <w:tc>
          <w:tcPr>
            <w:cnfStyle w:val="000010000000" w:firstRow="0" w:lastRow="0" w:firstColumn="0" w:lastColumn="0" w:oddVBand="1" w:evenVBand="0" w:oddHBand="0" w:evenHBand="0" w:firstRowFirstColumn="0" w:firstRowLastColumn="0" w:lastRowFirstColumn="0" w:lastRowLastColumn="0"/>
            <w:tcW w:w="0" w:type="auto"/>
          </w:tcPr>
          <w:p w14:paraId="2FDA5E4E" w14:textId="77777777" w:rsidR="0064606F" w:rsidRPr="000E10C2" w:rsidRDefault="0064606F" w:rsidP="00393F28">
            <w:pPr>
              <w:rPr>
                <w:color w:val="000000" w:themeColor="text1"/>
                <w:sz w:val="24"/>
                <w:szCs w:val="24"/>
              </w:rPr>
            </w:pPr>
            <w:r w:rsidRPr="000E10C2">
              <w:rPr>
                <w:color w:val="000000" w:themeColor="text1"/>
                <w:sz w:val="24"/>
                <w:szCs w:val="24"/>
              </w:rPr>
              <w:t>66,005</w:t>
            </w:r>
          </w:p>
        </w:tc>
      </w:tr>
      <w:tr w:rsidR="0064606F" w:rsidRPr="000E10C2" w14:paraId="494FAF2B" w14:textId="77777777" w:rsidTr="0064606F">
        <w:trPr>
          <w:cnfStyle w:val="000000100000" w:firstRow="0" w:lastRow="0" w:firstColumn="0" w:lastColumn="0" w:oddVBand="0" w:evenVBand="0" w:oddHBand="1" w:evenHBand="0" w:firstRowFirstColumn="0" w:firstRowLastColumn="0" w:lastRowFirstColumn="0" w:lastRowLastColumn="0"/>
          <w:trHeight w:val="413"/>
        </w:trPr>
        <w:tc>
          <w:tcPr>
            <w:cnfStyle w:val="000010000000" w:firstRow="0" w:lastRow="0" w:firstColumn="0" w:lastColumn="0" w:oddVBand="1" w:evenVBand="0" w:oddHBand="0" w:evenHBand="0" w:firstRowFirstColumn="0" w:firstRowLastColumn="0" w:lastRowFirstColumn="0" w:lastRowLastColumn="0"/>
            <w:tcW w:w="0" w:type="auto"/>
            <w:vMerge/>
          </w:tcPr>
          <w:p w14:paraId="00AA3EAD" w14:textId="77777777" w:rsidR="0064606F" w:rsidRPr="0064606F" w:rsidRDefault="0064606F" w:rsidP="00393F28">
            <w:pPr>
              <w:rPr>
                <w:b/>
                <w:bCs/>
                <w:color w:val="000000" w:themeColor="text1"/>
                <w:sz w:val="24"/>
                <w:szCs w:val="24"/>
              </w:rPr>
            </w:pPr>
          </w:p>
        </w:tc>
        <w:tc>
          <w:tcPr>
            <w:tcW w:w="0" w:type="auto"/>
          </w:tcPr>
          <w:p w14:paraId="1E33111F" w14:textId="77777777" w:rsidR="0064606F" w:rsidRPr="000E10C2" w:rsidRDefault="0064606F" w:rsidP="00393F28">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Total Assets</w:t>
            </w:r>
          </w:p>
        </w:tc>
        <w:tc>
          <w:tcPr>
            <w:cnfStyle w:val="000010000000" w:firstRow="0" w:lastRow="0" w:firstColumn="0" w:lastColumn="0" w:oddVBand="1" w:evenVBand="0" w:oddHBand="0" w:evenHBand="0" w:firstRowFirstColumn="0" w:firstRowLastColumn="0" w:lastRowFirstColumn="0" w:lastRowLastColumn="0"/>
            <w:tcW w:w="0" w:type="auto"/>
          </w:tcPr>
          <w:p w14:paraId="2824946D" w14:textId="77777777" w:rsidR="0064606F" w:rsidRPr="000E10C2" w:rsidRDefault="0064606F" w:rsidP="00393F28">
            <w:pPr>
              <w:rPr>
                <w:rFonts w:cstheme="minorHAnsi"/>
                <w:color w:val="000000" w:themeColor="text1"/>
              </w:rPr>
            </w:pPr>
            <w:r w:rsidRPr="000E10C2">
              <w:rPr>
                <w:rFonts w:cstheme="minorHAnsi"/>
                <w:color w:val="000000" w:themeColor="text1"/>
              </w:rPr>
              <w:t>153,</w:t>
            </w:r>
            <w:r w:rsidRPr="000E10C2">
              <w:rPr>
                <w:color w:val="000000" w:themeColor="text1"/>
                <w:sz w:val="24"/>
                <w:szCs w:val="24"/>
              </w:rPr>
              <w:t>953</w:t>
            </w:r>
          </w:p>
          <w:p w14:paraId="1E5EE77D" w14:textId="77777777" w:rsidR="0064606F" w:rsidRPr="000E10C2" w:rsidRDefault="0064606F" w:rsidP="00393F28">
            <w:pPr>
              <w:rPr>
                <w:rFonts w:cstheme="minorHAnsi"/>
                <w:color w:val="000000" w:themeColor="text1"/>
                <w:sz w:val="24"/>
                <w:szCs w:val="24"/>
              </w:rPr>
            </w:pPr>
          </w:p>
        </w:tc>
        <w:tc>
          <w:tcPr>
            <w:tcW w:w="0" w:type="auto"/>
          </w:tcPr>
          <w:p w14:paraId="39E365FD" w14:textId="77777777" w:rsidR="0064606F" w:rsidRPr="000E10C2" w:rsidRDefault="0064606F" w:rsidP="00393F28">
            <w:pPr>
              <w:spacing w:line="720"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155,063</w:t>
            </w:r>
          </w:p>
        </w:tc>
        <w:tc>
          <w:tcPr>
            <w:cnfStyle w:val="000010000000" w:firstRow="0" w:lastRow="0" w:firstColumn="0" w:lastColumn="0" w:oddVBand="1" w:evenVBand="0" w:oddHBand="0" w:evenHBand="0" w:firstRowFirstColumn="0" w:firstRowLastColumn="0" w:lastRowFirstColumn="0" w:lastRowLastColumn="0"/>
            <w:tcW w:w="0" w:type="auto"/>
          </w:tcPr>
          <w:p w14:paraId="63CC6640" w14:textId="77777777" w:rsidR="0064606F" w:rsidRPr="000E10C2" w:rsidRDefault="0064606F" w:rsidP="00393F28">
            <w:pPr>
              <w:spacing w:line="720" w:lineRule="auto"/>
              <w:rPr>
                <w:color w:val="000000" w:themeColor="text1"/>
                <w:sz w:val="24"/>
                <w:szCs w:val="24"/>
              </w:rPr>
            </w:pPr>
            <w:r w:rsidRPr="000E10C2">
              <w:rPr>
                <w:color w:val="000000" w:themeColor="text1"/>
                <w:sz w:val="24"/>
                <w:szCs w:val="24"/>
              </w:rPr>
              <w:t>168,168</w:t>
            </w:r>
          </w:p>
        </w:tc>
        <w:tc>
          <w:tcPr>
            <w:tcW w:w="0" w:type="auto"/>
          </w:tcPr>
          <w:p w14:paraId="337B8469" w14:textId="77777777" w:rsidR="0064606F" w:rsidRPr="000E10C2" w:rsidRDefault="0064606F" w:rsidP="00393F28">
            <w:pPr>
              <w:spacing w:line="720"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142,862</w:t>
            </w:r>
          </w:p>
        </w:tc>
        <w:tc>
          <w:tcPr>
            <w:cnfStyle w:val="000010000000" w:firstRow="0" w:lastRow="0" w:firstColumn="0" w:lastColumn="0" w:oddVBand="1" w:evenVBand="0" w:oddHBand="0" w:evenHBand="0" w:firstRowFirstColumn="0" w:firstRowLastColumn="0" w:lastRowFirstColumn="0" w:lastRowLastColumn="0"/>
            <w:tcW w:w="0" w:type="auto"/>
          </w:tcPr>
          <w:p w14:paraId="24937DD9" w14:textId="77777777" w:rsidR="0064606F" w:rsidRPr="000E10C2" w:rsidRDefault="0064606F" w:rsidP="00393F28">
            <w:pPr>
              <w:spacing w:line="720" w:lineRule="auto"/>
              <w:rPr>
                <w:color w:val="000000" w:themeColor="text1"/>
                <w:sz w:val="24"/>
                <w:szCs w:val="24"/>
              </w:rPr>
            </w:pPr>
            <w:r w:rsidRPr="000E10C2">
              <w:rPr>
                <w:color w:val="000000" w:themeColor="text1"/>
                <w:sz w:val="24"/>
                <w:szCs w:val="24"/>
              </w:rPr>
              <w:t>145,611</w:t>
            </w:r>
          </w:p>
        </w:tc>
      </w:tr>
      <w:tr w:rsidR="0064606F" w:rsidRPr="000E10C2" w14:paraId="186DC374" w14:textId="77777777" w:rsidTr="0064606F">
        <w:trPr>
          <w:trHeight w:val="1006"/>
        </w:trPr>
        <w:tc>
          <w:tcPr>
            <w:cnfStyle w:val="000010000000" w:firstRow="0" w:lastRow="0" w:firstColumn="0" w:lastColumn="0" w:oddVBand="1" w:evenVBand="0" w:oddHBand="0" w:evenHBand="0" w:firstRowFirstColumn="0" w:firstRowLastColumn="0" w:lastRowFirstColumn="0" w:lastRowLastColumn="0"/>
            <w:tcW w:w="0" w:type="auto"/>
            <w:vMerge w:val="restart"/>
          </w:tcPr>
          <w:p w14:paraId="10FFED73"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Three Limited</w:t>
            </w:r>
            <w:r w:rsidRPr="0064606F">
              <w:rPr>
                <w:b/>
                <w:bCs/>
                <w:color w:val="000000" w:themeColor="text1"/>
                <w:sz w:val="24"/>
                <w:szCs w:val="24"/>
              </w:rPr>
              <w:br/>
              <w:t>(Figures in Pounds Million)</w:t>
            </w:r>
          </w:p>
          <w:p w14:paraId="45450CAD"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Consolidated</w:t>
            </w:r>
          </w:p>
          <w:p w14:paraId="05040FA9" w14:textId="77777777" w:rsidR="0064606F" w:rsidRPr="0064606F" w:rsidRDefault="0064606F" w:rsidP="00393F28">
            <w:pPr>
              <w:jc w:val="center"/>
              <w:rPr>
                <w:b/>
                <w:bCs/>
                <w:color w:val="000000" w:themeColor="text1"/>
                <w:sz w:val="24"/>
                <w:szCs w:val="24"/>
              </w:rPr>
            </w:pPr>
            <w:r w:rsidRPr="0064606F">
              <w:rPr>
                <w:b/>
                <w:bCs/>
                <w:color w:val="000000" w:themeColor="text1"/>
                <w:sz w:val="24"/>
                <w:szCs w:val="24"/>
              </w:rPr>
              <w:t>Statement</w:t>
            </w:r>
          </w:p>
        </w:tc>
        <w:tc>
          <w:tcPr>
            <w:tcW w:w="0" w:type="auto"/>
          </w:tcPr>
          <w:p w14:paraId="07D96C76"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Total Debt</w:t>
            </w:r>
          </w:p>
        </w:tc>
        <w:tc>
          <w:tcPr>
            <w:cnfStyle w:val="000010000000" w:firstRow="0" w:lastRow="0" w:firstColumn="0" w:lastColumn="0" w:oddVBand="1" w:evenVBand="0" w:oddHBand="0" w:evenHBand="0" w:firstRowFirstColumn="0" w:firstRowLastColumn="0" w:lastRowFirstColumn="0" w:lastRowLastColumn="0"/>
            <w:tcW w:w="0" w:type="auto"/>
          </w:tcPr>
          <w:p w14:paraId="3B22A8D5" w14:textId="77777777" w:rsidR="0064606F" w:rsidRPr="000E10C2" w:rsidRDefault="0064606F" w:rsidP="00393F28">
            <w:pPr>
              <w:rPr>
                <w:color w:val="000000" w:themeColor="text1"/>
                <w:sz w:val="24"/>
                <w:szCs w:val="24"/>
              </w:rPr>
            </w:pPr>
            <w:r w:rsidRPr="000E10C2">
              <w:rPr>
                <w:color w:val="000000" w:themeColor="text1"/>
                <w:sz w:val="24"/>
                <w:szCs w:val="24"/>
              </w:rPr>
              <w:t>270,012</w:t>
            </w:r>
          </w:p>
        </w:tc>
        <w:tc>
          <w:tcPr>
            <w:tcW w:w="0" w:type="auto"/>
          </w:tcPr>
          <w:p w14:paraId="3BB3D589"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242,421</w:t>
            </w:r>
          </w:p>
        </w:tc>
        <w:tc>
          <w:tcPr>
            <w:cnfStyle w:val="000010000000" w:firstRow="0" w:lastRow="0" w:firstColumn="0" w:lastColumn="0" w:oddVBand="1" w:evenVBand="0" w:oddHBand="0" w:evenHBand="0" w:firstRowFirstColumn="0" w:firstRowLastColumn="0" w:lastRowFirstColumn="0" w:lastRowLastColumn="0"/>
            <w:tcW w:w="0" w:type="auto"/>
          </w:tcPr>
          <w:p w14:paraId="7D13C0A8" w14:textId="77777777" w:rsidR="0064606F" w:rsidRPr="000E10C2" w:rsidRDefault="0064606F" w:rsidP="00393F28">
            <w:pPr>
              <w:rPr>
                <w:color w:val="000000" w:themeColor="text1"/>
                <w:sz w:val="24"/>
                <w:szCs w:val="24"/>
              </w:rPr>
            </w:pPr>
            <w:r w:rsidRPr="000E10C2">
              <w:rPr>
                <w:color w:val="000000" w:themeColor="text1"/>
                <w:sz w:val="24"/>
                <w:szCs w:val="24"/>
              </w:rPr>
              <w:t>205,975</w:t>
            </w:r>
          </w:p>
        </w:tc>
        <w:tc>
          <w:tcPr>
            <w:tcW w:w="0" w:type="auto"/>
          </w:tcPr>
          <w:p w14:paraId="79D2EFB4" w14:textId="77777777" w:rsidR="0064606F" w:rsidRPr="000E10C2" w:rsidRDefault="0064606F" w:rsidP="00393F28">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0E10C2">
              <w:rPr>
                <w:color w:val="000000" w:themeColor="text1"/>
                <w:sz w:val="24"/>
                <w:szCs w:val="24"/>
              </w:rPr>
              <w:t>188,311</w:t>
            </w:r>
          </w:p>
        </w:tc>
        <w:tc>
          <w:tcPr>
            <w:cnfStyle w:val="000010000000" w:firstRow="0" w:lastRow="0" w:firstColumn="0" w:lastColumn="0" w:oddVBand="1" w:evenVBand="0" w:oddHBand="0" w:evenHBand="0" w:firstRowFirstColumn="0" w:firstRowLastColumn="0" w:lastRowFirstColumn="0" w:lastRowLastColumn="0"/>
            <w:tcW w:w="0" w:type="auto"/>
          </w:tcPr>
          <w:p w14:paraId="2C42C434" w14:textId="77777777" w:rsidR="0064606F" w:rsidRPr="000E10C2" w:rsidRDefault="0064606F" w:rsidP="00393F28">
            <w:pPr>
              <w:rPr>
                <w:color w:val="000000" w:themeColor="text1"/>
                <w:sz w:val="24"/>
                <w:szCs w:val="24"/>
              </w:rPr>
            </w:pPr>
            <w:r w:rsidRPr="000E10C2">
              <w:rPr>
                <w:color w:val="000000" w:themeColor="text1"/>
                <w:sz w:val="24"/>
                <w:szCs w:val="24"/>
              </w:rPr>
              <w:t>258,793</w:t>
            </w:r>
          </w:p>
        </w:tc>
      </w:tr>
      <w:tr w:rsidR="0064606F" w:rsidRPr="000E10C2" w14:paraId="70F1EB72" w14:textId="77777777" w:rsidTr="0064606F">
        <w:trPr>
          <w:cnfStyle w:val="000000100000" w:firstRow="0" w:lastRow="0" w:firstColumn="0" w:lastColumn="0" w:oddVBand="0" w:evenVBand="0" w:oddHBand="1" w:evenHBand="0" w:firstRowFirstColumn="0" w:firstRowLastColumn="0" w:lastRowFirstColumn="0" w:lastRowLastColumn="0"/>
          <w:trHeight w:val="1196"/>
        </w:trPr>
        <w:tc>
          <w:tcPr>
            <w:cnfStyle w:val="000010000000" w:firstRow="0" w:lastRow="0" w:firstColumn="0" w:lastColumn="0" w:oddVBand="1" w:evenVBand="0" w:oddHBand="0" w:evenHBand="0" w:firstRowFirstColumn="0" w:firstRowLastColumn="0" w:lastRowFirstColumn="0" w:lastRowLastColumn="0"/>
            <w:tcW w:w="0" w:type="auto"/>
            <w:vMerge/>
          </w:tcPr>
          <w:p w14:paraId="45EFF455" w14:textId="77777777" w:rsidR="0064606F" w:rsidRPr="000E10C2" w:rsidRDefault="0064606F" w:rsidP="00393F28">
            <w:pPr>
              <w:spacing w:before="240"/>
              <w:rPr>
                <w:color w:val="000000" w:themeColor="text1"/>
                <w:sz w:val="24"/>
                <w:szCs w:val="24"/>
              </w:rPr>
            </w:pPr>
          </w:p>
        </w:tc>
        <w:tc>
          <w:tcPr>
            <w:tcW w:w="0" w:type="auto"/>
          </w:tcPr>
          <w:p w14:paraId="217D4DC0" w14:textId="77777777" w:rsidR="0064606F" w:rsidRPr="000E10C2" w:rsidRDefault="0064606F" w:rsidP="00393F28">
            <w:pPr>
              <w:spacing w:before="240"/>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Total Assets</w:t>
            </w:r>
          </w:p>
        </w:tc>
        <w:tc>
          <w:tcPr>
            <w:cnfStyle w:val="000010000000" w:firstRow="0" w:lastRow="0" w:firstColumn="0" w:lastColumn="0" w:oddVBand="1" w:evenVBand="0" w:oddHBand="0" w:evenHBand="0" w:firstRowFirstColumn="0" w:firstRowLastColumn="0" w:lastRowFirstColumn="0" w:lastRowLastColumn="0"/>
            <w:tcW w:w="0" w:type="auto"/>
          </w:tcPr>
          <w:p w14:paraId="5F1C95AA" w14:textId="77777777" w:rsidR="0064606F" w:rsidRPr="000E10C2" w:rsidRDefault="0064606F" w:rsidP="00393F28">
            <w:pPr>
              <w:spacing w:before="240" w:line="720" w:lineRule="auto"/>
              <w:rPr>
                <w:color w:val="000000" w:themeColor="text1"/>
                <w:sz w:val="24"/>
                <w:szCs w:val="24"/>
              </w:rPr>
            </w:pPr>
            <w:r w:rsidRPr="000E10C2">
              <w:rPr>
                <w:color w:val="000000" w:themeColor="text1"/>
                <w:sz w:val="24"/>
                <w:szCs w:val="24"/>
              </w:rPr>
              <w:t>470,404</w:t>
            </w:r>
          </w:p>
        </w:tc>
        <w:tc>
          <w:tcPr>
            <w:tcW w:w="0" w:type="auto"/>
          </w:tcPr>
          <w:p w14:paraId="66A68F92" w14:textId="77777777" w:rsidR="0064606F" w:rsidRPr="000E10C2" w:rsidRDefault="0064606F" w:rsidP="00393F28">
            <w:pPr>
              <w:spacing w:before="240" w:line="720"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400,574</w:t>
            </w:r>
          </w:p>
        </w:tc>
        <w:tc>
          <w:tcPr>
            <w:cnfStyle w:val="000010000000" w:firstRow="0" w:lastRow="0" w:firstColumn="0" w:lastColumn="0" w:oddVBand="1" w:evenVBand="0" w:oddHBand="0" w:evenHBand="0" w:firstRowFirstColumn="0" w:firstRowLastColumn="0" w:lastRowFirstColumn="0" w:lastRowLastColumn="0"/>
            <w:tcW w:w="0" w:type="auto"/>
          </w:tcPr>
          <w:p w14:paraId="1EDEB4B3" w14:textId="77777777" w:rsidR="0064606F" w:rsidRPr="000E10C2" w:rsidRDefault="0064606F" w:rsidP="00393F28">
            <w:pPr>
              <w:spacing w:before="240" w:line="720" w:lineRule="auto"/>
              <w:rPr>
                <w:color w:val="000000" w:themeColor="text1"/>
                <w:sz w:val="24"/>
                <w:szCs w:val="24"/>
              </w:rPr>
            </w:pPr>
            <w:r w:rsidRPr="000E10C2">
              <w:rPr>
                <w:color w:val="000000" w:themeColor="text1"/>
                <w:sz w:val="24"/>
                <w:szCs w:val="24"/>
              </w:rPr>
              <w:t>334,492</w:t>
            </w:r>
          </w:p>
        </w:tc>
        <w:tc>
          <w:tcPr>
            <w:tcW w:w="0" w:type="auto"/>
          </w:tcPr>
          <w:p w14:paraId="60C6F6A4" w14:textId="77777777" w:rsidR="0064606F" w:rsidRPr="000E10C2" w:rsidRDefault="0064606F" w:rsidP="00393F28">
            <w:pPr>
              <w:spacing w:before="240" w:line="720"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0E10C2">
              <w:rPr>
                <w:color w:val="000000" w:themeColor="text1"/>
                <w:sz w:val="24"/>
                <w:szCs w:val="24"/>
              </w:rPr>
              <w:t>305,082</w:t>
            </w:r>
          </w:p>
        </w:tc>
        <w:tc>
          <w:tcPr>
            <w:cnfStyle w:val="000010000000" w:firstRow="0" w:lastRow="0" w:firstColumn="0" w:lastColumn="0" w:oddVBand="1" w:evenVBand="0" w:oddHBand="0" w:evenHBand="0" w:firstRowFirstColumn="0" w:firstRowLastColumn="0" w:lastRowFirstColumn="0" w:lastRowLastColumn="0"/>
            <w:tcW w:w="0" w:type="auto"/>
          </w:tcPr>
          <w:p w14:paraId="4BF0D395" w14:textId="77777777" w:rsidR="0064606F" w:rsidRPr="000E10C2" w:rsidRDefault="0064606F" w:rsidP="00393F28">
            <w:pPr>
              <w:spacing w:before="240" w:line="720" w:lineRule="auto"/>
              <w:rPr>
                <w:color w:val="000000" w:themeColor="text1"/>
                <w:sz w:val="24"/>
                <w:szCs w:val="24"/>
              </w:rPr>
            </w:pPr>
            <w:r w:rsidRPr="000E10C2">
              <w:rPr>
                <w:color w:val="000000" w:themeColor="text1"/>
                <w:sz w:val="24"/>
                <w:szCs w:val="24"/>
              </w:rPr>
              <w:t>360,464</w:t>
            </w:r>
          </w:p>
        </w:tc>
      </w:tr>
    </w:tbl>
    <w:p w14:paraId="03513C08" w14:textId="77777777" w:rsidR="0064606F" w:rsidRPr="004F3535" w:rsidRDefault="0064606F" w:rsidP="0064606F">
      <w:pPr>
        <w:spacing w:line="360" w:lineRule="auto"/>
        <w:jc w:val="both"/>
        <w:rPr>
          <w:sz w:val="24"/>
          <w:szCs w:val="20"/>
        </w:rPr>
      </w:pPr>
    </w:p>
    <w:p w14:paraId="30D2FE64" w14:textId="77883E8F" w:rsidR="00CF721D" w:rsidRDefault="0064606F" w:rsidP="0064606F">
      <w:pPr>
        <w:pStyle w:val="Caption"/>
        <w:jc w:val="center"/>
        <w:rPr>
          <w:sz w:val="24"/>
          <w:szCs w:val="24"/>
        </w:rPr>
      </w:pPr>
      <w:r w:rsidRPr="0064606F">
        <w:rPr>
          <w:sz w:val="24"/>
          <w:szCs w:val="24"/>
        </w:rPr>
        <w:t>Table 5: Analyzing Financial Landscapes of Vodafone PLC, British Telecommunication, and THREE"</w:t>
      </w:r>
    </w:p>
    <w:tbl>
      <w:tblPr>
        <w:tblStyle w:val="TableGrid"/>
        <w:tblW w:w="10740" w:type="dxa"/>
        <w:tblLook w:val="04A0" w:firstRow="1" w:lastRow="0" w:firstColumn="1" w:lastColumn="0" w:noHBand="0" w:noVBand="1"/>
      </w:tblPr>
      <w:tblGrid>
        <w:gridCol w:w="2120"/>
        <w:gridCol w:w="2433"/>
        <w:gridCol w:w="2386"/>
        <w:gridCol w:w="3801"/>
      </w:tblGrid>
      <w:tr w:rsidR="0064606F" w:rsidRPr="000E10C2" w14:paraId="113E1CFB" w14:textId="77777777" w:rsidTr="0064606F">
        <w:tc>
          <w:tcPr>
            <w:tcW w:w="10740" w:type="dxa"/>
            <w:gridSpan w:val="4"/>
          </w:tcPr>
          <w:p w14:paraId="20AC68D3" w14:textId="77777777" w:rsidR="0064606F" w:rsidRPr="000E10C2" w:rsidRDefault="0064606F" w:rsidP="0064606F">
            <w:pPr>
              <w:jc w:val="center"/>
              <w:rPr>
                <w:b/>
                <w:bCs/>
                <w:color w:val="000000" w:themeColor="text1"/>
                <w:sz w:val="24"/>
                <w:szCs w:val="24"/>
              </w:rPr>
            </w:pPr>
            <w:r w:rsidRPr="000E10C2">
              <w:rPr>
                <w:b/>
                <w:bCs/>
                <w:color w:val="000000" w:themeColor="text1"/>
                <w:sz w:val="24"/>
                <w:szCs w:val="24"/>
              </w:rPr>
              <w:t>Debt to Assets Ratio</w:t>
            </w:r>
          </w:p>
        </w:tc>
      </w:tr>
      <w:tr w:rsidR="0064606F" w:rsidRPr="000E10C2" w14:paraId="51A65000" w14:textId="77777777" w:rsidTr="0064606F">
        <w:tc>
          <w:tcPr>
            <w:tcW w:w="2120" w:type="dxa"/>
          </w:tcPr>
          <w:p w14:paraId="16EA70C0" w14:textId="77777777" w:rsidR="0064606F" w:rsidRPr="000E10C2" w:rsidRDefault="0064606F" w:rsidP="0064606F">
            <w:pPr>
              <w:jc w:val="center"/>
              <w:rPr>
                <w:color w:val="000000" w:themeColor="text1"/>
                <w:sz w:val="24"/>
                <w:szCs w:val="24"/>
              </w:rPr>
            </w:pPr>
            <w:r w:rsidRPr="000E10C2">
              <w:rPr>
                <w:color w:val="000000" w:themeColor="text1"/>
                <w:sz w:val="24"/>
                <w:szCs w:val="24"/>
              </w:rPr>
              <w:t>Year</w:t>
            </w:r>
          </w:p>
        </w:tc>
        <w:tc>
          <w:tcPr>
            <w:tcW w:w="2433" w:type="dxa"/>
          </w:tcPr>
          <w:p w14:paraId="3AF425A1" w14:textId="77777777" w:rsidR="0064606F" w:rsidRPr="000E10C2" w:rsidRDefault="0064606F" w:rsidP="0064606F">
            <w:pPr>
              <w:jc w:val="center"/>
              <w:rPr>
                <w:color w:val="000000" w:themeColor="text1"/>
                <w:sz w:val="24"/>
                <w:szCs w:val="24"/>
              </w:rPr>
            </w:pPr>
            <w:r w:rsidRPr="000E10C2">
              <w:rPr>
                <w:color w:val="000000" w:themeColor="text1"/>
                <w:sz w:val="24"/>
                <w:szCs w:val="24"/>
              </w:rPr>
              <w:t>BT Limited</w:t>
            </w:r>
          </w:p>
        </w:tc>
        <w:tc>
          <w:tcPr>
            <w:tcW w:w="2386" w:type="dxa"/>
          </w:tcPr>
          <w:p w14:paraId="43546DF3" w14:textId="77777777" w:rsidR="0064606F" w:rsidRPr="000E10C2" w:rsidRDefault="0064606F" w:rsidP="0064606F">
            <w:pPr>
              <w:jc w:val="center"/>
              <w:rPr>
                <w:color w:val="000000" w:themeColor="text1"/>
                <w:sz w:val="24"/>
                <w:szCs w:val="24"/>
              </w:rPr>
            </w:pPr>
            <w:r w:rsidRPr="000E10C2">
              <w:rPr>
                <w:color w:val="000000" w:themeColor="text1"/>
                <w:sz w:val="24"/>
                <w:szCs w:val="24"/>
              </w:rPr>
              <w:t>Vodafone Limited</w:t>
            </w:r>
          </w:p>
        </w:tc>
        <w:tc>
          <w:tcPr>
            <w:tcW w:w="3801" w:type="dxa"/>
          </w:tcPr>
          <w:p w14:paraId="190AE2AA" w14:textId="77777777" w:rsidR="0064606F" w:rsidRPr="000E10C2" w:rsidRDefault="0064606F" w:rsidP="0064606F">
            <w:pPr>
              <w:jc w:val="center"/>
              <w:rPr>
                <w:color w:val="000000" w:themeColor="text1"/>
                <w:sz w:val="24"/>
                <w:szCs w:val="24"/>
              </w:rPr>
            </w:pPr>
            <w:r w:rsidRPr="000E10C2">
              <w:rPr>
                <w:color w:val="000000" w:themeColor="text1"/>
                <w:sz w:val="24"/>
                <w:szCs w:val="24"/>
              </w:rPr>
              <w:t>Three Limited</w:t>
            </w:r>
          </w:p>
        </w:tc>
      </w:tr>
      <w:tr w:rsidR="0064606F" w:rsidRPr="000E10C2" w14:paraId="2AB03F42" w14:textId="77777777" w:rsidTr="0064606F">
        <w:tc>
          <w:tcPr>
            <w:tcW w:w="2120" w:type="dxa"/>
          </w:tcPr>
          <w:p w14:paraId="7457EB56" w14:textId="77777777" w:rsidR="0064606F" w:rsidRPr="000E10C2" w:rsidRDefault="0064606F" w:rsidP="0064606F">
            <w:pPr>
              <w:jc w:val="center"/>
              <w:rPr>
                <w:color w:val="000000" w:themeColor="text1"/>
                <w:sz w:val="24"/>
                <w:szCs w:val="24"/>
              </w:rPr>
            </w:pPr>
            <w:r w:rsidRPr="000E10C2">
              <w:rPr>
                <w:color w:val="000000" w:themeColor="text1"/>
                <w:sz w:val="24"/>
                <w:szCs w:val="24"/>
              </w:rPr>
              <w:t>2022</w:t>
            </w:r>
          </w:p>
        </w:tc>
        <w:tc>
          <w:tcPr>
            <w:tcW w:w="2433" w:type="dxa"/>
            <w:vAlign w:val="bottom"/>
          </w:tcPr>
          <w:p w14:paraId="6BEC2C30" w14:textId="77777777" w:rsidR="0064606F" w:rsidRPr="000E10C2" w:rsidRDefault="0064606F" w:rsidP="0064606F">
            <w:pPr>
              <w:jc w:val="center"/>
              <w:rPr>
                <w:color w:val="000000" w:themeColor="text1"/>
              </w:rPr>
            </w:pPr>
            <w:r w:rsidRPr="000E10C2">
              <w:rPr>
                <w:rFonts w:cs="Calibri"/>
                <w:color w:val="000000" w:themeColor="text1"/>
              </w:rPr>
              <w:t>0.33</w:t>
            </w:r>
          </w:p>
        </w:tc>
        <w:tc>
          <w:tcPr>
            <w:tcW w:w="2386" w:type="dxa"/>
            <w:vAlign w:val="bottom"/>
          </w:tcPr>
          <w:p w14:paraId="5E6827A5" w14:textId="77777777" w:rsidR="0064606F" w:rsidRPr="000E10C2" w:rsidRDefault="0064606F" w:rsidP="0064606F">
            <w:pPr>
              <w:jc w:val="center"/>
              <w:rPr>
                <w:color w:val="000000" w:themeColor="text1"/>
                <w:sz w:val="24"/>
                <w:szCs w:val="24"/>
              </w:rPr>
            </w:pPr>
            <w:r w:rsidRPr="000E10C2">
              <w:rPr>
                <w:rFonts w:cs="Calibri"/>
                <w:color w:val="000000" w:themeColor="text1"/>
              </w:rPr>
              <w:t>0.63</w:t>
            </w:r>
          </w:p>
        </w:tc>
        <w:tc>
          <w:tcPr>
            <w:tcW w:w="3801" w:type="dxa"/>
            <w:vAlign w:val="bottom"/>
          </w:tcPr>
          <w:p w14:paraId="5CC5C8AB" w14:textId="77777777" w:rsidR="0064606F" w:rsidRPr="000E10C2" w:rsidRDefault="0064606F" w:rsidP="0064606F">
            <w:pPr>
              <w:jc w:val="center"/>
              <w:rPr>
                <w:color w:val="000000" w:themeColor="text1"/>
                <w:sz w:val="24"/>
                <w:szCs w:val="24"/>
              </w:rPr>
            </w:pPr>
            <w:r w:rsidRPr="000E10C2">
              <w:rPr>
                <w:rFonts w:cs="Calibri"/>
                <w:color w:val="000000" w:themeColor="text1"/>
              </w:rPr>
              <w:t>0.57</w:t>
            </w:r>
          </w:p>
        </w:tc>
      </w:tr>
      <w:tr w:rsidR="0064606F" w:rsidRPr="000E10C2" w14:paraId="5AC31E09" w14:textId="77777777" w:rsidTr="0064606F">
        <w:tc>
          <w:tcPr>
            <w:tcW w:w="2120" w:type="dxa"/>
          </w:tcPr>
          <w:p w14:paraId="46779979" w14:textId="77777777" w:rsidR="0064606F" w:rsidRPr="000E10C2" w:rsidRDefault="0064606F" w:rsidP="0064606F">
            <w:pPr>
              <w:jc w:val="center"/>
              <w:rPr>
                <w:color w:val="000000" w:themeColor="text1"/>
                <w:sz w:val="24"/>
                <w:szCs w:val="24"/>
              </w:rPr>
            </w:pPr>
            <w:r w:rsidRPr="000E10C2">
              <w:rPr>
                <w:color w:val="000000" w:themeColor="text1"/>
                <w:sz w:val="24"/>
                <w:szCs w:val="24"/>
              </w:rPr>
              <w:t>2021</w:t>
            </w:r>
          </w:p>
        </w:tc>
        <w:tc>
          <w:tcPr>
            <w:tcW w:w="2433" w:type="dxa"/>
            <w:vAlign w:val="bottom"/>
          </w:tcPr>
          <w:p w14:paraId="75479045" w14:textId="77777777" w:rsidR="0064606F" w:rsidRPr="000E10C2" w:rsidRDefault="0064606F" w:rsidP="0064606F">
            <w:pPr>
              <w:jc w:val="center"/>
              <w:rPr>
                <w:color w:val="000000" w:themeColor="text1"/>
              </w:rPr>
            </w:pPr>
            <w:r w:rsidRPr="000E10C2">
              <w:rPr>
                <w:rFonts w:cs="Calibri"/>
                <w:color w:val="000000" w:themeColor="text1"/>
              </w:rPr>
              <w:t>0.33</w:t>
            </w:r>
          </w:p>
        </w:tc>
        <w:tc>
          <w:tcPr>
            <w:tcW w:w="2386" w:type="dxa"/>
            <w:vAlign w:val="bottom"/>
          </w:tcPr>
          <w:p w14:paraId="557694AF" w14:textId="77777777" w:rsidR="0064606F" w:rsidRPr="000E10C2" w:rsidRDefault="0064606F" w:rsidP="0064606F">
            <w:pPr>
              <w:jc w:val="center"/>
              <w:rPr>
                <w:color w:val="000000" w:themeColor="text1"/>
                <w:sz w:val="24"/>
                <w:szCs w:val="24"/>
              </w:rPr>
            </w:pPr>
            <w:r w:rsidRPr="000E10C2">
              <w:rPr>
                <w:rFonts w:cs="Calibri"/>
                <w:color w:val="000000" w:themeColor="text1"/>
              </w:rPr>
              <w:t>0.63</w:t>
            </w:r>
          </w:p>
        </w:tc>
        <w:tc>
          <w:tcPr>
            <w:tcW w:w="3801" w:type="dxa"/>
            <w:vAlign w:val="bottom"/>
          </w:tcPr>
          <w:p w14:paraId="4132F3E3" w14:textId="77777777" w:rsidR="0064606F" w:rsidRPr="000E10C2" w:rsidRDefault="0064606F" w:rsidP="0064606F">
            <w:pPr>
              <w:jc w:val="center"/>
              <w:rPr>
                <w:color w:val="000000" w:themeColor="text1"/>
                <w:sz w:val="24"/>
                <w:szCs w:val="24"/>
              </w:rPr>
            </w:pPr>
            <w:r w:rsidRPr="000E10C2">
              <w:rPr>
                <w:rFonts w:cs="Calibri"/>
                <w:color w:val="000000" w:themeColor="text1"/>
              </w:rPr>
              <w:t>0.61</w:t>
            </w:r>
          </w:p>
        </w:tc>
      </w:tr>
      <w:tr w:rsidR="0064606F" w:rsidRPr="000E10C2" w14:paraId="6DAF6C4A" w14:textId="77777777" w:rsidTr="0064606F">
        <w:tc>
          <w:tcPr>
            <w:tcW w:w="2120" w:type="dxa"/>
          </w:tcPr>
          <w:p w14:paraId="0A641F8E" w14:textId="77777777" w:rsidR="0064606F" w:rsidRPr="000E10C2" w:rsidRDefault="0064606F" w:rsidP="0064606F">
            <w:pPr>
              <w:jc w:val="center"/>
              <w:rPr>
                <w:color w:val="000000" w:themeColor="text1"/>
                <w:sz w:val="24"/>
                <w:szCs w:val="24"/>
              </w:rPr>
            </w:pPr>
            <w:r w:rsidRPr="000E10C2">
              <w:rPr>
                <w:color w:val="000000" w:themeColor="text1"/>
                <w:sz w:val="24"/>
                <w:szCs w:val="24"/>
              </w:rPr>
              <w:t>2020</w:t>
            </w:r>
          </w:p>
        </w:tc>
        <w:tc>
          <w:tcPr>
            <w:tcW w:w="2433" w:type="dxa"/>
            <w:vAlign w:val="bottom"/>
          </w:tcPr>
          <w:p w14:paraId="3E1B4DB9" w14:textId="77777777" w:rsidR="0064606F" w:rsidRPr="000E10C2" w:rsidRDefault="0064606F" w:rsidP="0064606F">
            <w:pPr>
              <w:jc w:val="center"/>
              <w:rPr>
                <w:color w:val="000000" w:themeColor="text1"/>
              </w:rPr>
            </w:pPr>
            <w:r w:rsidRPr="000E10C2">
              <w:rPr>
                <w:rFonts w:cs="Calibri"/>
                <w:color w:val="000000" w:themeColor="text1"/>
              </w:rPr>
              <w:t>0.36</w:t>
            </w:r>
          </w:p>
        </w:tc>
        <w:tc>
          <w:tcPr>
            <w:tcW w:w="2386" w:type="dxa"/>
            <w:vAlign w:val="bottom"/>
          </w:tcPr>
          <w:p w14:paraId="38818275" w14:textId="77777777" w:rsidR="0064606F" w:rsidRPr="000E10C2" w:rsidRDefault="0064606F" w:rsidP="0064606F">
            <w:pPr>
              <w:jc w:val="center"/>
              <w:rPr>
                <w:color w:val="000000" w:themeColor="text1"/>
                <w:sz w:val="24"/>
                <w:szCs w:val="24"/>
              </w:rPr>
            </w:pPr>
            <w:r w:rsidRPr="000E10C2">
              <w:rPr>
                <w:rFonts w:cs="Calibri"/>
                <w:color w:val="000000" w:themeColor="text1"/>
              </w:rPr>
              <w:t>0.62</w:t>
            </w:r>
          </w:p>
        </w:tc>
        <w:tc>
          <w:tcPr>
            <w:tcW w:w="3801" w:type="dxa"/>
            <w:vAlign w:val="bottom"/>
          </w:tcPr>
          <w:p w14:paraId="5B768A95" w14:textId="77777777" w:rsidR="0064606F" w:rsidRPr="000E10C2" w:rsidRDefault="0064606F" w:rsidP="0064606F">
            <w:pPr>
              <w:jc w:val="center"/>
              <w:rPr>
                <w:color w:val="000000" w:themeColor="text1"/>
                <w:sz w:val="24"/>
                <w:szCs w:val="24"/>
              </w:rPr>
            </w:pPr>
            <w:r w:rsidRPr="000E10C2">
              <w:rPr>
                <w:rFonts w:cs="Calibri"/>
                <w:color w:val="000000" w:themeColor="text1"/>
              </w:rPr>
              <w:t>0.62</w:t>
            </w:r>
          </w:p>
        </w:tc>
      </w:tr>
      <w:tr w:rsidR="0064606F" w:rsidRPr="000E10C2" w14:paraId="4F38521F" w14:textId="77777777" w:rsidTr="0064606F">
        <w:trPr>
          <w:trHeight w:val="58"/>
        </w:trPr>
        <w:tc>
          <w:tcPr>
            <w:tcW w:w="2120" w:type="dxa"/>
          </w:tcPr>
          <w:p w14:paraId="7DDA3DE1" w14:textId="77777777" w:rsidR="0064606F" w:rsidRPr="000E10C2" w:rsidRDefault="0064606F" w:rsidP="0064606F">
            <w:pPr>
              <w:jc w:val="center"/>
              <w:rPr>
                <w:color w:val="000000" w:themeColor="text1"/>
                <w:sz w:val="24"/>
                <w:szCs w:val="24"/>
              </w:rPr>
            </w:pPr>
            <w:r w:rsidRPr="000E10C2">
              <w:rPr>
                <w:color w:val="000000" w:themeColor="text1"/>
                <w:sz w:val="24"/>
                <w:szCs w:val="24"/>
              </w:rPr>
              <w:t>2019</w:t>
            </w:r>
          </w:p>
        </w:tc>
        <w:tc>
          <w:tcPr>
            <w:tcW w:w="2433" w:type="dxa"/>
            <w:vAlign w:val="bottom"/>
          </w:tcPr>
          <w:p w14:paraId="3884C944" w14:textId="77777777" w:rsidR="0064606F" w:rsidRPr="000E10C2" w:rsidRDefault="0064606F" w:rsidP="0064606F">
            <w:pPr>
              <w:jc w:val="center"/>
              <w:rPr>
                <w:color w:val="000000" w:themeColor="text1"/>
              </w:rPr>
            </w:pPr>
            <w:r w:rsidRPr="000E10C2">
              <w:rPr>
                <w:rFonts w:cs="Calibri"/>
                <w:color w:val="000000" w:themeColor="text1"/>
              </w:rPr>
              <w:t>0.36</w:t>
            </w:r>
          </w:p>
        </w:tc>
        <w:tc>
          <w:tcPr>
            <w:tcW w:w="2386" w:type="dxa"/>
            <w:vAlign w:val="bottom"/>
          </w:tcPr>
          <w:p w14:paraId="5929F82A" w14:textId="77777777" w:rsidR="0064606F" w:rsidRPr="000E10C2" w:rsidRDefault="0064606F" w:rsidP="0064606F">
            <w:pPr>
              <w:jc w:val="center"/>
              <w:rPr>
                <w:color w:val="000000" w:themeColor="text1"/>
                <w:sz w:val="24"/>
                <w:szCs w:val="24"/>
              </w:rPr>
            </w:pPr>
            <w:r w:rsidRPr="000E10C2">
              <w:rPr>
                <w:rFonts w:cs="Calibri"/>
                <w:color w:val="000000" w:themeColor="text1"/>
              </w:rPr>
              <w:t>0.56</w:t>
            </w:r>
          </w:p>
        </w:tc>
        <w:tc>
          <w:tcPr>
            <w:tcW w:w="3801" w:type="dxa"/>
            <w:vAlign w:val="bottom"/>
          </w:tcPr>
          <w:p w14:paraId="3A224185" w14:textId="77777777" w:rsidR="0064606F" w:rsidRPr="000E10C2" w:rsidRDefault="0064606F" w:rsidP="0064606F">
            <w:pPr>
              <w:jc w:val="center"/>
              <w:rPr>
                <w:color w:val="000000" w:themeColor="text1"/>
                <w:sz w:val="24"/>
                <w:szCs w:val="24"/>
              </w:rPr>
            </w:pPr>
            <w:r w:rsidRPr="000E10C2">
              <w:rPr>
                <w:rFonts w:cs="Calibri"/>
                <w:color w:val="000000" w:themeColor="text1"/>
              </w:rPr>
              <w:t>0.62</w:t>
            </w:r>
          </w:p>
        </w:tc>
      </w:tr>
      <w:tr w:rsidR="0064606F" w:rsidRPr="000E10C2" w14:paraId="3294AFCE" w14:textId="77777777" w:rsidTr="0064606F">
        <w:trPr>
          <w:trHeight w:val="54"/>
        </w:trPr>
        <w:tc>
          <w:tcPr>
            <w:tcW w:w="2120" w:type="dxa"/>
          </w:tcPr>
          <w:p w14:paraId="3EB3620D" w14:textId="77777777" w:rsidR="0064606F" w:rsidRPr="000E10C2" w:rsidRDefault="0064606F" w:rsidP="0064606F">
            <w:pPr>
              <w:jc w:val="center"/>
              <w:rPr>
                <w:color w:val="000000" w:themeColor="text1"/>
                <w:sz w:val="24"/>
                <w:szCs w:val="24"/>
              </w:rPr>
            </w:pPr>
            <w:r w:rsidRPr="000E10C2">
              <w:rPr>
                <w:color w:val="000000" w:themeColor="text1"/>
                <w:sz w:val="24"/>
                <w:szCs w:val="24"/>
              </w:rPr>
              <w:t>2018</w:t>
            </w:r>
          </w:p>
        </w:tc>
        <w:tc>
          <w:tcPr>
            <w:tcW w:w="2433" w:type="dxa"/>
            <w:vAlign w:val="bottom"/>
          </w:tcPr>
          <w:p w14:paraId="02C5710E" w14:textId="77777777" w:rsidR="0064606F" w:rsidRPr="000E10C2" w:rsidRDefault="0064606F" w:rsidP="0064606F">
            <w:pPr>
              <w:jc w:val="center"/>
              <w:rPr>
                <w:color w:val="000000" w:themeColor="text1"/>
              </w:rPr>
            </w:pPr>
            <w:r w:rsidRPr="000E10C2">
              <w:rPr>
                <w:rFonts w:cs="Calibri"/>
                <w:color w:val="000000" w:themeColor="text1"/>
              </w:rPr>
              <w:t>0.33</w:t>
            </w:r>
          </w:p>
        </w:tc>
        <w:tc>
          <w:tcPr>
            <w:tcW w:w="2386" w:type="dxa"/>
            <w:vAlign w:val="bottom"/>
          </w:tcPr>
          <w:p w14:paraId="6B8EE1E0" w14:textId="77777777" w:rsidR="0064606F" w:rsidRPr="000E10C2" w:rsidRDefault="0064606F" w:rsidP="0064606F">
            <w:pPr>
              <w:jc w:val="center"/>
              <w:rPr>
                <w:color w:val="000000" w:themeColor="text1"/>
                <w:sz w:val="24"/>
                <w:szCs w:val="24"/>
              </w:rPr>
            </w:pPr>
            <w:r w:rsidRPr="000E10C2">
              <w:rPr>
                <w:rFonts w:cs="Calibri"/>
                <w:color w:val="000000" w:themeColor="text1"/>
              </w:rPr>
              <w:t>0.45</w:t>
            </w:r>
          </w:p>
        </w:tc>
        <w:tc>
          <w:tcPr>
            <w:tcW w:w="3801" w:type="dxa"/>
            <w:vAlign w:val="bottom"/>
          </w:tcPr>
          <w:p w14:paraId="637C4CA1" w14:textId="77777777" w:rsidR="0064606F" w:rsidRPr="000E10C2" w:rsidRDefault="0064606F" w:rsidP="0064606F">
            <w:pPr>
              <w:jc w:val="center"/>
              <w:rPr>
                <w:color w:val="000000" w:themeColor="text1"/>
                <w:sz w:val="24"/>
                <w:szCs w:val="24"/>
              </w:rPr>
            </w:pPr>
            <w:r w:rsidRPr="000E10C2">
              <w:rPr>
                <w:rFonts w:cs="Calibri"/>
                <w:color w:val="000000" w:themeColor="text1"/>
              </w:rPr>
              <w:t>0.72</w:t>
            </w:r>
          </w:p>
        </w:tc>
      </w:tr>
    </w:tbl>
    <w:p w14:paraId="4193B15A" w14:textId="699213DA" w:rsidR="0064606F" w:rsidRPr="0064606F" w:rsidRDefault="0064606F" w:rsidP="0064606F"/>
    <w:p w14:paraId="619DE324" w14:textId="4F012939" w:rsidR="0064606F" w:rsidRDefault="0064606F" w:rsidP="0064606F">
      <w:pPr>
        <w:pStyle w:val="Caption"/>
        <w:jc w:val="center"/>
        <w:rPr>
          <w:sz w:val="24"/>
          <w:szCs w:val="24"/>
        </w:rPr>
      </w:pPr>
      <w:r w:rsidRPr="000E10C2">
        <w:rPr>
          <w:noProof/>
          <w:color w:val="000000" w:themeColor="text1"/>
        </w:rPr>
        <w:drawing>
          <wp:anchor distT="0" distB="0" distL="114300" distR="114300" simplePos="0" relativeHeight="251659776" behindDoc="1" locked="0" layoutInCell="1" allowOverlap="1" wp14:anchorId="47A9B9BE" wp14:editId="7C141296">
            <wp:simplePos x="0" y="0"/>
            <wp:positionH relativeFrom="column">
              <wp:posOffset>0</wp:posOffset>
            </wp:positionH>
            <wp:positionV relativeFrom="paragraph">
              <wp:posOffset>300990</wp:posOffset>
            </wp:positionV>
            <wp:extent cx="6648450" cy="2508250"/>
            <wp:effectExtent l="0" t="0" r="0" b="0"/>
            <wp:wrapTight wrapText="bothSides">
              <wp:wrapPolygon edited="0">
                <wp:start x="0" y="0"/>
                <wp:lineTo x="0" y="21491"/>
                <wp:lineTo x="21538" y="21491"/>
                <wp:lineTo x="21538" y="0"/>
                <wp:lineTo x="0" y="0"/>
              </wp:wrapPolygon>
            </wp:wrapTight>
            <wp:docPr id="178054322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Pr="0064606F">
        <w:rPr>
          <w:sz w:val="24"/>
          <w:szCs w:val="24"/>
        </w:rPr>
        <w:t>Table 6: Debt to Assets Ratio Analysi</w:t>
      </w:r>
      <w:r>
        <w:rPr>
          <w:sz w:val="24"/>
          <w:szCs w:val="24"/>
        </w:rPr>
        <w:t>s</w:t>
      </w:r>
    </w:p>
    <w:p w14:paraId="7C64051E" w14:textId="1CBDBBC1" w:rsidR="0064606F" w:rsidRDefault="0064606F" w:rsidP="0064606F">
      <w:pPr>
        <w:pStyle w:val="Caption"/>
        <w:jc w:val="center"/>
        <w:rPr>
          <w:sz w:val="24"/>
          <w:szCs w:val="24"/>
        </w:rPr>
      </w:pPr>
      <w:r w:rsidRPr="0064606F">
        <w:rPr>
          <w:sz w:val="24"/>
          <w:szCs w:val="24"/>
        </w:rPr>
        <w:lastRenderedPageBreak/>
        <w:t>Figure 3: Debt to Assets Ratio Analysis</w:t>
      </w:r>
    </w:p>
    <w:p w14:paraId="2B49392D" w14:textId="77777777" w:rsidR="006F0270" w:rsidRDefault="006F0270" w:rsidP="006F0270"/>
    <w:p w14:paraId="52BD27AD" w14:textId="6465AA75" w:rsidR="0064606F" w:rsidRDefault="006F0270" w:rsidP="006F0270">
      <w:pPr>
        <w:pStyle w:val="Heading2"/>
        <w:rPr>
          <w:sz w:val="32"/>
          <w:szCs w:val="32"/>
        </w:rPr>
      </w:pPr>
      <w:r w:rsidRPr="006F0270">
        <w:rPr>
          <w:sz w:val="32"/>
          <w:szCs w:val="32"/>
        </w:rPr>
        <w:t>8.2: Explanation of Debt to Assets Ratio Analysis</w:t>
      </w:r>
    </w:p>
    <w:p w14:paraId="76DFF5AC" w14:textId="77777777" w:rsidR="006F0270" w:rsidRDefault="006F0270" w:rsidP="006F0270"/>
    <w:p w14:paraId="6986A6BA" w14:textId="72D4E799" w:rsidR="006F0270" w:rsidRPr="006F0270" w:rsidRDefault="006F0270" w:rsidP="006F0270">
      <w:pPr>
        <w:spacing w:line="360" w:lineRule="auto"/>
        <w:jc w:val="both"/>
        <w:rPr>
          <w:sz w:val="24"/>
          <w:szCs w:val="20"/>
          <w:lang w:val="en-GB"/>
        </w:rPr>
      </w:pPr>
      <w:r w:rsidRPr="006F0270">
        <w:rPr>
          <w:sz w:val="24"/>
          <w:szCs w:val="20"/>
          <w:lang w:val="en-GB"/>
        </w:rPr>
        <w:t>Vodafone had the most debt among the three companies from 2018 to 2022. It used debt to finance 45% to 63% of its assets. Three Limited also had a lot of debt, using it to finance 57% to 72% of its assets. BT Limited used the least debt, financing 30% to 36% of its assets with debt. All three companies increased their use of debt from 2018 to 2019.</w:t>
      </w:r>
    </w:p>
    <w:p w14:paraId="2E432BC3" w14:textId="6DB72681" w:rsidR="006F0270" w:rsidRDefault="006F0270" w:rsidP="006F0270">
      <w:pPr>
        <w:spacing w:line="360" w:lineRule="auto"/>
        <w:jc w:val="both"/>
        <w:rPr>
          <w:sz w:val="24"/>
          <w:szCs w:val="20"/>
          <w:lang w:val="en-GB"/>
        </w:rPr>
      </w:pPr>
      <w:r w:rsidRPr="006F0270">
        <w:rPr>
          <w:sz w:val="24"/>
          <w:szCs w:val="20"/>
          <w:lang w:val="en-GB"/>
        </w:rPr>
        <w:t xml:space="preserve">In other words, Vodafone and Three Limited were more aggressive in their use of debt than BT Limited. This means that they were more willing to take on risk </w:t>
      </w:r>
      <w:proofErr w:type="gramStart"/>
      <w:r w:rsidRPr="006F0270">
        <w:rPr>
          <w:sz w:val="24"/>
          <w:szCs w:val="20"/>
          <w:lang w:val="en-GB"/>
        </w:rPr>
        <w:t>in order to</w:t>
      </w:r>
      <w:proofErr w:type="gramEnd"/>
      <w:r w:rsidRPr="006F0270">
        <w:rPr>
          <w:sz w:val="24"/>
          <w:szCs w:val="20"/>
          <w:lang w:val="en-GB"/>
        </w:rPr>
        <w:t xml:space="preserve"> finance their growth.</w:t>
      </w:r>
    </w:p>
    <w:p w14:paraId="61A606EC" w14:textId="12EC139F" w:rsidR="006F0270" w:rsidRDefault="006F0270" w:rsidP="006F0270">
      <w:pPr>
        <w:pStyle w:val="Heading1"/>
        <w:rPr>
          <w:lang w:val="en-GB"/>
        </w:rPr>
      </w:pPr>
      <w:r>
        <w:rPr>
          <w:lang w:val="en-GB"/>
        </w:rPr>
        <w:t>9. Debt to Equity Ratio</w:t>
      </w:r>
    </w:p>
    <w:p w14:paraId="6AFC99BF" w14:textId="77777777" w:rsidR="006F0270" w:rsidRPr="006F0270" w:rsidRDefault="006F0270" w:rsidP="006F0270">
      <w:pPr>
        <w:rPr>
          <w:sz w:val="24"/>
          <w:szCs w:val="20"/>
          <w:lang w:val="en-GB"/>
        </w:rPr>
      </w:pPr>
    </w:p>
    <w:p w14:paraId="476B018A" w14:textId="6D7FD167" w:rsidR="006F0270" w:rsidRPr="006F0270" w:rsidRDefault="006F0270" w:rsidP="006F0270">
      <w:pPr>
        <w:spacing w:line="360" w:lineRule="auto"/>
        <w:jc w:val="both"/>
        <w:rPr>
          <w:sz w:val="24"/>
          <w:szCs w:val="20"/>
          <w:lang w:val="en-GB"/>
        </w:rPr>
      </w:pPr>
      <w:r w:rsidRPr="006F0270">
        <w:rPr>
          <w:sz w:val="24"/>
          <w:szCs w:val="20"/>
          <w:lang w:val="en-GB"/>
        </w:rPr>
        <w:t>The debt-to-equity ratio measures how much a company owes to its creditors compared to how much it owns itself. This ratio is important because it shows how much risk a company is taking on. A higher ratio means that the company is more likely to have trouble paying its debts if its business slows down. A lower ratio means that the company is more stable and less likely to default on its loans.</w:t>
      </w:r>
    </w:p>
    <w:p w14:paraId="343E15AE" w14:textId="44725C77" w:rsidR="00093A48" w:rsidRDefault="006F0270" w:rsidP="006F0270">
      <w:pPr>
        <w:spacing w:line="360" w:lineRule="auto"/>
        <w:jc w:val="both"/>
        <w:rPr>
          <w:sz w:val="24"/>
          <w:szCs w:val="20"/>
          <w:lang w:val="en-GB"/>
        </w:rPr>
      </w:pPr>
      <w:r w:rsidRPr="006F0270">
        <w:rPr>
          <w:sz w:val="24"/>
          <w:szCs w:val="20"/>
          <w:lang w:val="en-GB"/>
        </w:rPr>
        <w:t>The debt-to-equity ratio can be used to compare companies in the same industry. This can help you see which companies are more financially healthy and less risky</w:t>
      </w:r>
      <w:r w:rsidR="00093A48">
        <w:rPr>
          <w:sz w:val="24"/>
          <w:szCs w:val="20"/>
          <w:lang w:val="en-GB"/>
        </w:rPr>
        <w:t xml:space="preserve"> (Myers and Majluf, 1984).</w:t>
      </w:r>
    </w:p>
    <w:p w14:paraId="700CD489" w14:textId="77777777" w:rsidR="00093A48" w:rsidRDefault="00093A48" w:rsidP="00093A48">
      <w:pPr>
        <w:rPr>
          <w:lang w:val="en-GB"/>
        </w:rPr>
      </w:pPr>
    </w:p>
    <w:p w14:paraId="3B7E6B38" w14:textId="77777777" w:rsidR="00093A48" w:rsidRDefault="00093A48" w:rsidP="00093A48">
      <w:pPr>
        <w:pStyle w:val="Heading2"/>
        <w:rPr>
          <w:sz w:val="32"/>
          <w:szCs w:val="32"/>
          <w:lang w:val="en-GB"/>
        </w:rPr>
      </w:pPr>
      <w:r>
        <w:rPr>
          <w:sz w:val="32"/>
          <w:szCs w:val="32"/>
          <w:lang w:val="en-GB"/>
        </w:rPr>
        <w:t>9.1 Debt to Equity Ratio analysis</w:t>
      </w:r>
    </w:p>
    <w:p w14:paraId="70974C7D" w14:textId="77777777" w:rsidR="00093A48" w:rsidRPr="00093A48" w:rsidRDefault="00093A48" w:rsidP="00093A48">
      <w:pPr>
        <w:rPr>
          <w:lang w:val="en-GB"/>
        </w:rPr>
      </w:pPr>
    </w:p>
    <w:p w14:paraId="1F83C8FC" w14:textId="5212EF98" w:rsidR="00093A48" w:rsidRPr="00093A48" w:rsidRDefault="00093A48" w:rsidP="00093A48">
      <w:pPr>
        <w:spacing w:line="360" w:lineRule="auto"/>
        <w:jc w:val="both"/>
        <w:rPr>
          <w:rFonts w:asciiTheme="majorHAnsi" w:eastAsiaTheme="majorEastAsia" w:hAnsiTheme="majorHAnsi" w:cstheme="majorBidi"/>
          <w:color w:val="1F3864" w:themeColor="accent1" w:themeShade="80"/>
          <w:szCs w:val="28"/>
          <w:lang w:val="en-GB"/>
        </w:rPr>
      </w:pPr>
      <w:r w:rsidRPr="00093A48">
        <w:rPr>
          <w:rStyle w:val="Strong"/>
          <w:rFonts w:cs="Arial"/>
          <w:b w:val="0"/>
          <w:bCs w:val="0"/>
          <w:color w:val="1F1F1F"/>
          <w:sz w:val="24"/>
          <w:szCs w:val="20"/>
        </w:rPr>
        <w:t>The debt-to-equity ratio measures a company's financial risk by comparing its debt to its equity. A lower ratio means the company is more stable, while a higher ratio means it is riskier. This ratio shows how well the company can pay off its debts if things go wrong. Tracking this ratio over time can show how the company's risk and debt capacity are changing.</w:t>
      </w:r>
    </w:p>
    <w:p w14:paraId="1DC22026" w14:textId="77777777" w:rsidR="00093A48" w:rsidRPr="00093A48" w:rsidRDefault="00093A48" w:rsidP="00093A48">
      <w:pPr>
        <w:spacing w:line="360" w:lineRule="auto"/>
        <w:jc w:val="both"/>
        <w:rPr>
          <w:sz w:val="24"/>
          <w:szCs w:val="20"/>
        </w:rPr>
      </w:pPr>
      <w:r w:rsidRPr="00093A48">
        <w:rPr>
          <w:rStyle w:val="Strong"/>
          <w:rFonts w:cs="Arial"/>
          <w:b w:val="0"/>
          <w:bCs w:val="0"/>
          <w:color w:val="1F1F1F"/>
          <w:sz w:val="24"/>
          <w:szCs w:val="20"/>
        </w:rPr>
        <w:t>This ratio is important for assessing risk and capital structure in several ways: It can be used to compare companies to each other, to assess a company's creditworthiness, and to gauge the sustainability of its debt levels.</w:t>
      </w:r>
    </w:p>
    <w:p w14:paraId="3B5818EA" w14:textId="77777777" w:rsidR="00093A48" w:rsidRDefault="00093A48" w:rsidP="00093A48">
      <w:pPr>
        <w:spacing w:line="360" w:lineRule="auto"/>
        <w:jc w:val="both"/>
        <w:rPr>
          <w:rStyle w:val="Strong"/>
          <w:rFonts w:cs="Arial"/>
          <w:b w:val="0"/>
          <w:bCs w:val="0"/>
          <w:color w:val="1F1F1F"/>
          <w:sz w:val="24"/>
          <w:szCs w:val="20"/>
        </w:rPr>
      </w:pPr>
      <w:r w:rsidRPr="00093A48">
        <w:rPr>
          <w:rStyle w:val="Strong"/>
          <w:rFonts w:cs="Arial"/>
          <w:b w:val="0"/>
          <w:bCs w:val="0"/>
          <w:color w:val="1F1F1F"/>
          <w:sz w:val="24"/>
          <w:szCs w:val="20"/>
        </w:rPr>
        <w:t>Overall, the debt-to-equity ratio is a valuable tool for assessing financial risk and leverage flexibility.</w:t>
      </w:r>
    </w:p>
    <w:p w14:paraId="780C4286" w14:textId="77777777" w:rsidR="00093A48" w:rsidRDefault="00093A48" w:rsidP="00093A48">
      <w:pPr>
        <w:spacing w:line="360" w:lineRule="auto"/>
        <w:jc w:val="both"/>
        <w:rPr>
          <w:sz w:val="24"/>
          <w:szCs w:val="20"/>
        </w:rPr>
      </w:pPr>
    </w:p>
    <w:tbl>
      <w:tblPr>
        <w:tblW w:w="0" w:type="auto"/>
        <w:tblCellMar>
          <w:left w:w="10" w:type="dxa"/>
          <w:right w:w="10" w:type="dxa"/>
        </w:tblCellMar>
        <w:tblLook w:val="0000" w:firstRow="0" w:lastRow="0" w:firstColumn="0" w:lastColumn="0" w:noHBand="0" w:noVBand="0"/>
      </w:tblPr>
      <w:tblGrid>
        <w:gridCol w:w="2815"/>
        <w:gridCol w:w="2447"/>
        <w:gridCol w:w="1084"/>
        <w:gridCol w:w="1084"/>
        <w:gridCol w:w="1084"/>
        <w:gridCol w:w="1084"/>
        <w:gridCol w:w="1084"/>
      </w:tblGrid>
      <w:tr w:rsidR="00093A48" w:rsidRPr="000E10C2" w14:paraId="784CFB11" w14:textId="77777777" w:rsidTr="00093A48">
        <w:trPr>
          <w:trHeight w:val="433"/>
        </w:trPr>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EC1A6F"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Company Name</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BED8F6" w14:textId="77777777" w:rsidR="00093A48" w:rsidRPr="000E10C2" w:rsidRDefault="00093A48" w:rsidP="00393F28">
            <w:pPr>
              <w:rPr>
                <w:color w:val="000000" w:themeColor="text1"/>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961788" w14:textId="77777777" w:rsidR="00093A48" w:rsidRPr="000E10C2" w:rsidRDefault="00093A48" w:rsidP="00393F28">
            <w:pPr>
              <w:rPr>
                <w:color w:val="000000" w:themeColor="text1"/>
                <w:sz w:val="24"/>
                <w:szCs w:val="24"/>
              </w:rPr>
            </w:pPr>
            <w:r w:rsidRPr="000E10C2">
              <w:rPr>
                <w:color w:val="000000" w:themeColor="text1"/>
                <w:sz w:val="24"/>
                <w:szCs w:val="24"/>
              </w:rPr>
              <w:t>2022</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117ECB" w14:textId="77777777" w:rsidR="00093A48" w:rsidRPr="000E10C2" w:rsidRDefault="00093A48" w:rsidP="00393F28">
            <w:pPr>
              <w:rPr>
                <w:color w:val="000000" w:themeColor="text1"/>
                <w:sz w:val="24"/>
                <w:szCs w:val="24"/>
              </w:rPr>
            </w:pPr>
            <w:r w:rsidRPr="000E10C2">
              <w:rPr>
                <w:color w:val="000000" w:themeColor="text1"/>
                <w:sz w:val="24"/>
                <w:szCs w:val="24"/>
              </w:rPr>
              <w:t>2021</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3A090A" w14:textId="77777777" w:rsidR="00093A48" w:rsidRPr="000E10C2" w:rsidRDefault="00093A48" w:rsidP="00393F28">
            <w:pPr>
              <w:rPr>
                <w:color w:val="000000" w:themeColor="text1"/>
                <w:sz w:val="24"/>
                <w:szCs w:val="24"/>
              </w:rPr>
            </w:pPr>
            <w:r w:rsidRPr="000E10C2">
              <w:rPr>
                <w:color w:val="000000" w:themeColor="text1"/>
                <w:sz w:val="24"/>
                <w:szCs w:val="24"/>
              </w:rPr>
              <w:t>2020</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79A691" w14:textId="77777777" w:rsidR="00093A48" w:rsidRPr="000E10C2" w:rsidRDefault="00093A48" w:rsidP="00393F28">
            <w:pPr>
              <w:rPr>
                <w:color w:val="000000" w:themeColor="text1"/>
                <w:sz w:val="24"/>
                <w:szCs w:val="24"/>
              </w:rPr>
            </w:pPr>
            <w:r w:rsidRPr="000E10C2">
              <w:rPr>
                <w:color w:val="000000" w:themeColor="text1"/>
                <w:sz w:val="24"/>
                <w:szCs w:val="24"/>
              </w:rPr>
              <w:t>2019</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F7CBA9" w14:textId="77777777" w:rsidR="00093A48" w:rsidRPr="000E10C2" w:rsidRDefault="00093A48" w:rsidP="00393F28">
            <w:pPr>
              <w:rPr>
                <w:color w:val="000000" w:themeColor="text1"/>
                <w:sz w:val="24"/>
                <w:szCs w:val="24"/>
              </w:rPr>
            </w:pPr>
            <w:r w:rsidRPr="000E10C2">
              <w:rPr>
                <w:color w:val="000000" w:themeColor="text1"/>
                <w:sz w:val="24"/>
                <w:szCs w:val="24"/>
              </w:rPr>
              <w:t>2018</w:t>
            </w:r>
          </w:p>
        </w:tc>
      </w:tr>
      <w:tr w:rsidR="00093A48" w:rsidRPr="000E10C2" w14:paraId="66F206D3" w14:textId="77777777" w:rsidTr="00093A48">
        <w:trPr>
          <w:trHeight w:val="433"/>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C48B1F0"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BT Group Limited</w:t>
            </w:r>
          </w:p>
          <w:p w14:paraId="4BDF1A48"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(Figures in Pounds Million)</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000AAE" w14:textId="77777777" w:rsidR="00093A48" w:rsidRPr="000E10C2" w:rsidRDefault="00093A48" w:rsidP="00093A48">
            <w:pPr>
              <w:jc w:val="center"/>
              <w:rPr>
                <w:color w:val="000000" w:themeColor="text1"/>
                <w:sz w:val="24"/>
                <w:szCs w:val="24"/>
              </w:rPr>
            </w:pPr>
            <w:r w:rsidRPr="000E10C2">
              <w:rPr>
                <w:color w:val="000000" w:themeColor="text1"/>
                <w:sz w:val="24"/>
                <w:szCs w:val="24"/>
              </w:rPr>
              <w:t>Total Debt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A69CD7" w14:textId="77777777" w:rsidR="00093A48" w:rsidRPr="000E10C2" w:rsidRDefault="00093A48" w:rsidP="00393F28">
            <w:pPr>
              <w:rPr>
                <w:color w:val="000000" w:themeColor="text1"/>
                <w:sz w:val="24"/>
                <w:szCs w:val="24"/>
              </w:rPr>
            </w:pPr>
            <w:r w:rsidRPr="000E10C2">
              <w:rPr>
                <w:color w:val="000000" w:themeColor="text1"/>
                <w:sz w:val="24"/>
                <w:szCs w:val="24"/>
              </w:rPr>
              <w:t>16,185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DB9F9A" w14:textId="77777777" w:rsidR="00093A48" w:rsidRPr="000E10C2" w:rsidRDefault="00093A48" w:rsidP="00393F28">
            <w:pPr>
              <w:rPr>
                <w:color w:val="000000" w:themeColor="text1"/>
                <w:sz w:val="24"/>
                <w:szCs w:val="24"/>
              </w:rPr>
            </w:pPr>
            <w:r w:rsidRPr="000E10C2">
              <w:rPr>
                <w:color w:val="000000" w:themeColor="text1"/>
                <w:sz w:val="24"/>
                <w:szCs w:val="24"/>
              </w:rPr>
              <w:t>16,685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8692F6" w14:textId="77777777" w:rsidR="00093A48" w:rsidRPr="000E10C2" w:rsidRDefault="00093A48" w:rsidP="00393F28">
            <w:pPr>
              <w:rPr>
                <w:color w:val="000000" w:themeColor="text1"/>
                <w:sz w:val="24"/>
                <w:szCs w:val="24"/>
              </w:rPr>
            </w:pPr>
            <w:r w:rsidRPr="000E10C2">
              <w:rPr>
                <w:color w:val="000000" w:themeColor="text1"/>
                <w:sz w:val="24"/>
                <w:szCs w:val="24"/>
              </w:rPr>
              <w:t>19,334</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0D42B" w14:textId="77777777" w:rsidR="00093A48" w:rsidRPr="000E10C2" w:rsidRDefault="00093A48" w:rsidP="00393F28">
            <w:pPr>
              <w:rPr>
                <w:color w:val="000000" w:themeColor="text1"/>
                <w:sz w:val="24"/>
                <w:szCs w:val="24"/>
              </w:rPr>
            </w:pPr>
            <w:r w:rsidRPr="000E10C2">
              <w:rPr>
                <w:color w:val="000000" w:themeColor="text1"/>
                <w:sz w:val="24"/>
                <w:szCs w:val="24"/>
              </w:rPr>
              <w:t>16,876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981F36" w14:textId="77777777" w:rsidR="00093A48" w:rsidRPr="000E10C2" w:rsidRDefault="00093A48" w:rsidP="00393F28">
            <w:pPr>
              <w:rPr>
                <w:color w:val="000000" w:themeColor="text1"/>
                <w:sz w:val="24"/>
                <w:szCs w:val="24"/>
              </w:rPr>
            </w:pPr>
            <w:r w:rsidRPr="000E10C2">
              <w:rPr>
                <w:color w:val="000000" w:themeColor="text1"/>
                <w:sz w:val="24"/>
                <w:szCs w:val="24"/>
              </w:rPr>
              <w:t>14,275</w:t>
            </w:r>
          </w:p>
        </w:tc>
      </w:tr>
      <w:tr w:rsidR="00093A48" w:rsidRPr="000E10C2" w14:paraId="29433264" w14:textId="77777777" w:rsidTr="00093A48">
        <w:trPr>
          <w:trHeight w:val="451"/>
        </w:trPr>
        <w:tc>
          <w:tcPr>
            <w:tcW w:w="0" w:type="auto"/>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DFCB86F" w14:textId="77777777" w:rsidR="00093A48" w:rsidRPr="00093A48" w:rsidRDefault="00093A48" w:rsidP="00093A48">
            <w:pPr>
              <w:jc w:val="center"/>
              <w:rPr>
                <w:b/>
                <w:bCs/>
                <w:color w:val="000000" w:themeColor="text1"/>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3C5B82" w14:textId="77777777" w:rsidR="00093A48" w:rsidRPr="000E10C2" w:rsidRDefault="00093A48" w:rsidP="00093A48">
            <w:pPr>
              <w:jc w:val="center"/>
              <w:rPr>
                <w:color w:val="000000" w:themeColor="text1"/>
                <w:sz w:val="24"/>
                <w:szCs w:val="24"/>
              </w:rPr>
            </w:pPr>
            <w:r w:rsidRPr="000E10C2">
              <w:rPr>
                <w:color w:val="000000" w:themeColor="text1"/>
                <w:sz w:val="24"/>
                <w:szCs w:val="24"/>
              </w:rPr>
              <w:t>Total Shareholder Equity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8F5456" w14:textId="77777777" w:rsidR="00093A48" w:rsidRPr="000E10C2" w:rsidRDefault="00093A48" w:rsidP="00393F28">
            <w:pPr>
              <w:rPr>
                <w:color w:val="000000" w:themeColor="text1"/>
                <w:sz w:val="24"/>
                <w:szCs w:val="24"/>
              </w:rPr>
            </w:pPr>
            <w:r w:rsidRPr="000E10C2">
              <w:rPr>
                <w:color w:val="000000" w:themeColor="text1"/>
                <w:sz w:val="24"/>
                <w:szCs w:val="24"/>
              </w:rPr>
              <w:t>15,296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A30D01" w14:textId="77777777" w:rsidR="00093A48" w:rsidRPr="000E10C2" w:rsidRDefault="00093A48" w:rsidP="00393F28">
            <w:pPr>
              <w:rPr>
                <w:color w:val="000000" w:themeColor="text1"/>
                <w:sz w:val="24"/>
                <w:szCs w:val="24"/>
              </w:rPr>
            </w:pPr>
            <w:r w:rsidRPr="000E10C2">
              <w:rPr>
                <w:color w:val="000000" w:themeColor="text1"/>
                <w:sz w:val="24"/>
                <w:szCs w:val="24"/>
              </w:rPr>
              <w:t>11,679</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36CE2E" w14:textId="77777777" w:rsidR="00093A48" w:rsidRPr="000E10C2" w:rsidRDefault="00093A48" w:rsidP="00393F28">
            <w:pPr>
              <w:rPr>
                <w:color w:val="000000" w:themeColor="text1"/>
                <w:sz w:val="24"/>
                <w:szCs w:val="24"/>
              </w:rPr>
            </w:pPr>
            <w:r w:rsidRPr="000E10C2">
              <w:rPr>
                <w:color w:val="000000" w:themeColor="text1"/>
                <w:sz w:val="24"/>
                <w:szCs w:val="24"/>
              </w:rPr>
              <w:t>14,763</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90AD5A" w14:textId="77777777" w:rsidR="00093A48" w:rsidRPr="000E10C2" w:rsidRDefault="00093A48" w:rsidP="00393F28">
            <w:pPr>
              <w:rPr>
                <w:color w:val="000000" w:themeColor="text1"/>
                <w:sz w:val="24"/>
                <w:szCs w:val="24"/>
              </w:rPr>
            </w:pPr>
            <w:r w:rsidRPr="000E10C2">
              <w:rPr>
                <w:color w:val="000000" w:themeColor="text1"/>
                <w:sz w:val="24"/>
                <w:szCs w:val="24"/>
              </w:rPr>
              <w:t>10,176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572C17" w14:textId="77777777" w:rsidR="00093A48" w:rsidRPr="000E10C2" w:rsidRDefault="00093A48" w:rsidP="00393F28">
            <w:pPr>
              <w:rPr>
                <w:color w:val="000000" w:themeColor="text1"/>
                <w:sz w:val="24"/>
                <w:szCs w:val="24"/>
              </w:rPr>
            </w:pPr>
            <w:r w:rsidRPr="000E10C2">
              <w:rPr>
                <w:color w:val="000000" w:themeColor="text1"/>
                <w:sz w:val="24"/>
                <w:szCs w:val="24"/>
              </w:rPr>
              <w:t>9,911</w:t>
            </w:r>
          </w:p>
        </w:tc>
      </w:tr>
      <w:tr w:rsidR="00093A48" w:rsidRPr="000E10C2" w14:paraId="1C13E472" w14:textId="77777777" w:rsidTr="00093A48">
        <w:trPr>
          <w:trHeight w:val="433"/>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1F0FD79"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lastRenderedPageBreak/>
              <w:t>Vodafone Limited</w:t>
            </w:r>
            <w:r w:rsidRPr="00093A48">
              <w:rPr>
                <w:b/>
                <w:bCs/>
                <w:color w:val="000000" w:themeColor="text1"/>
                <w:sz w:val="24"/>
                <w:szCs w:val="24"/>
              </w:rPr>
              <w:br/>
              <w:t>(Figures in Euro Million)</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38C7F2" w14:textId="77777777" w:rsidR="00093A48" w:rsidRPr="000E10C2" w:rsidRDefault="00093A48" w:rsidP="00093A48">
            <w:pPr>
              <w:jc w:val="center"/>
              <w:rPr>
                <w:color w:val="000000" w:themeColor="text1"/>
                <w:sz w:val="24"/>
                <w:szCs w:val="24"/>
              </w:rPr>
            </w:pPr>
            <w:r w:rsidRPr="000E10C2">
              <w:rPr>
                <w:color w:val="000000" w:themeColor="text1"/>
                <w:sz w:val="24"/>
                <w:szCs w:val="24"/>
              </w:rPr>
              <w:t>Total Debt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5B8992" w14:textId="77777777" w:rsidR="00093A48" w:rsidRPr="000E10C2" w:rsidRDefault="00093A48" w:rsidP="00393F28">
            <w:pPr>
              <w:rPr>
                <w:color w:val="000000" w:themeColor="text1"/>
                <w:sz w:val="24"/>
                <w:szCs w:val="24"/>
              </w:rPr>
            </w:pPr>
            <w:r w:rsidRPr="000E10C2">
              <w:rPr>
                <w:color w:val="000000" w:themeColor="text1"/>
                <w:sz w:val="24"/>
                <w:szCs w:val="24"/>
              </w:rPr>
              <w:t>96,976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B98D24" w14:textId="77777777" w:rsidR="00093A48" w:rsidRPr="000E10C2" w:rsidRDefault="00093A48" w:rsidP="00393F28">
            <w:pPr>
              <w:rPr>
                <w:color w:val="000000" w:themeColor="text1"/>
                <w:sz w:val="24"/>
                <w:szCs w:val="24"/>
              </w:rPr>
            </w:pPr>
            <w:r w:rsidRPr="000E10C2">
              <w:rPr>
                <w:color w:val="000000" w:themeColor="text1"/>
                <w:sz w:val="24"/>
                <w:szCs w:val="24"/>
              </w:rPr>
              <w:t>97,247</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687584" w14:textId="77777777" w:rsidR="00093A48" w:rsidRPr="000E10C2" w:rsidRDefault="00093A48" w:rsidP="00393F28">
            <w:pPr>
              <w:rPr>
                <w:color w:val="000000" w:themeColor="text1"/>
                <w:sz w:val="24"/>
                <w:szCs w:val="24"/>
              </w:rPr>
            </w:pPr>
            <w:r w:rsidRPr="000E10C2">
              <w:rPr>
                <w:color w:val="000000" w:themeColor="text1"/>
                <w:sz w:val="24"/>
                <w:szCs w:val="24"/>
              </w:rPr>
              <w:t>104,492</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71482E" w14:textId="77777777" w:rsidR="00093A48" w:rsidRPr="000E10C2" w:rsidRDefault="00093A48" w:rsidP="00393F28">
            <w:pPr>
              <w:rPr>
                <w:color w:val="000000" w:themeColor="text1"/>
                <w:sz w:val="24"/>
                <w:szCs w:val="24"/>
              </w:rPr>
            </w:pPr>
            <w:r w:rsidRPr="000E10C2">
              <w:rPr>
                <w:color w:val="000000" w:themeColor="text1"/>
                <w:sz w:val="24"/>
                <w:szCs w:val="24"/>
              </w:rPr>
              <w:t>79,507</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EAF709" w14:textId="77777777" w:rsidR="00093A48" w:rsidRPr="000E10C2" w:rsidRDefault="00093A48" w:rsidP="00393F28">
            <w:pPr>
              <w:rPr>
                <w:color w:val="000000" w:themeColor="text1"/>
                <w:sz w:val="24"/>
                <w:szCs w:val="24"/>
              </w:rPr>
            </w:pPr>
            <w:r w:rsidRPr="000E10C2">
              <w:rPr>
                <w:color w:val="000000" w:themeColor="text1"/>
                <w:sz w:val="24"/>
                <w:szCs w:val="24"/>
              </w:rPr>
              <w:t>66,005</w:t>
            </w:r>
          </w:p>
        </w:tc>
      </w:tr>
      <w:tr w:rsidR="00093A48" w:rsidRPr="000E10C2" w14:paraId="4C67581D" w14:textId="77777777" w:rsidTr="00093A48">
        <w:trPr>
          <w:trHeight w:val="413"/>
        </w:trPr>
        <w:tc>
          <w:tcPr>
            <w:tcW w:w="0" w:type="auto"/>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22FAA87" w14:textId="77777777" w:rsidR="00093A48" w:rsidRPr="00093A48" w:rsidRDefault="00093A48" w:rsidP="00093A48">
            <w:pPr>
              <w:jc w:val="center"/>
              <w:rPr>
                <w:b/>
                <w:bCs/>
                <w:color w:val="000000" w:themeColor="text1"/>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ADD0F7" w14:textId="77777777" w:rsidR="00093A48" w:rsidRPr="000E10C2" w:rsidRDefault="00093A48" w:rsidP="00093A48">
            <w:pPr>
              <w:jc w:val="center"/>
              <w:rPr>
                <w:color w:val="000000" w:themeColor="text1"/>
                <w:sz w:val="24"/>
                <w:szCs w:val="24"/>
              </w:rPr>
            </w:pPr>
            <w:r w:rsidRPr="000E10C2">
              <w:rPr>
                <w:color w:val="000000" w:themeColor="text1"/>
                <w:sz w:val="24"/>
                <w:szCs w:val="24"/>
              </w:rPr>
              <w:t>Total Shareholder Equity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3657FD" w14:textId="77777777" w:rsidR="00093A48" w:rsidRPr="000E10C2" w:rsidRDefault="00093A48" w:rsidP="00393F28">
            <w:pPr>
              <w:rPr>
                <w:color w:val="000000" w:themeColor="text1"/>
                <w:sz w:val="24"/>
                <w:szCs w:val="24"/>
              </w:rPr>
            </w:pPr>
            <w:r w:rsidRPr="000E10C2">
              <w:rPr>
                <w:color w:val="000000" w:themeColor="text1"/>
                <w:sz w:val="24"/>
                <w:szCs w:val="24"/>
              </w:rPr>
              <w:t>59,977</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DA70F5" w14:textId="77777777" w:rsidR="00093A48" w:rsidRPr="000E10C2" w:rsidRDefault="00093A48" w:rsidP="00393F28">
            <w:pPr>
              <w:rPr>
                <w:color w:val="000000" w:themeColor="text1"/>
                <w:sz w:val="24"/>
                <w:szCs w:val="24"/>
              </w:rPr>
            </w:pPr>
            <w:r w:rsidRPr="000E10C2">
              <w:rPr>
                <w:color w:val="000000" w:themeColor="text1"/>
                <w:sz w:val="24"/>
                <w:szCs w:val="24"/>
              </w:rPr>
              <w:t>57,816</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2C3DFE" w14:textId="77777777" w:rsidR="00093A48" w:rsidRPr="000E10C2" w:rsidRDefault="00093A48" w:rsidP="00393F28">
            <w:pPr>
              <w:rPr>
                <w:color w:val="000000" w:themeColor="text1"/>
                <w:sz w:val="24"/>
                <w:szCs w:val="24"/>
              </w:rPr>
            </w:pPr>
            <w:r w:rsidRPr="000E10C2">
              <w:rPr>
                <w:color w:val="000000" w:themeColor="text1"/>
                <w:sz w:val="24"/>
                <w:szCs w:val="24"/>
              </w:rPr>
              <w:t>62,625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53350F" w14:textId="77777777" w:rsidR="00093A48" w:rsidRPr="000E10C2" w:rsidRDefault="00093A48" w:rsidP="00393F28">
            <w:pPr>
              <w:rPr>
                <w:color w:val="000000" w:themeColor="text1"/>
                <w:sz w:val="24"/>
                <w:szCs w:val="24"/>
              </w:rPr>
            </w:pPr>
            <w:r w:rsidRPr="000E10C2">
              <w:rPr>
                <w:color w:val="000000" w:themeColor="text1"/>
                <w:sz w:val="24"/>
                <w:szCs w:val="24"/>
              </w:rPr>
              <w:t>63,445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2736A0" w14:textId="77777777" w:rsidR="00093A48" w:rsidRPr="000E10C2" w:rsidRDefault="00093A48" w:rsidP="00393F28">
            <w:pPr>
              <w:rPr>
                <w:color w:val="000000" w:themeColor="text1"/>
                <w:sz w:val="24"/>
                <w:szCs w:val="24"/>
              </w:rPr>
            </w:pPr>
            <w:r w:rsidRPr="000E10C2">
              <w:rPr>
                <w:color w:val="000000" w:themeColor="text1"/>
                <w:sz w:val="24"/>
                <w:szCs w:val="24"/>
              </w:rPr>
              <w:t>68,607</w:t>
            </w:r>
          </w:p>
        </w:tc>
      </w:tr>
      <w:tr w:rsidR="00093A48" w:rsidRPr="000E10C2" w14:paraId="46CB2B20" w14:textId="77777777" w:rsidTr="00093A48">
        <w:trPr>
          <w:trHeight w:val="1006"/>
        </w:trPr>
        <w:tc>
          <w:tcPr>
            <w:tcW w:w="0" w:type="auto"/>
            <w:vMerge w:val="restart"/>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vAlign w:val="center"/>
          </w:tcPr>
          <w:p w14:paraId="33AC2F05"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Three Limited</w:t>
            </w:r>
            <w:r w:rsidRPr="00093A48">
              <w:rPr>
                <w:b/>
                <w:bCs/>
                <w:color w:val="000000" w:themeColor="text1"/>
                <w:sz w:val="24"/>
                <w:szCs w:val="24"/>
              </w:rPr>
              <w:br/>
              <w:t>(Figures in Pounds Million)</w:t>
            </w:r>
          </w:p>
          <w:p w14:paraId="6F94AE87"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Consolidated</w:t>
            </w:r>
          </w:p>
          <w:p w14:paraId="35F85779" w14:textId="77777777" w:rsidR="00093A48" w:rsidRPr="00093A48" w:rsidRDefault="00093A48" w:rsidP="00093A48">
            <w:pPr>
              <w:jc w:val="center"/>
              <w:rPr>
                <w:b/>
                <w:bCs/>
                <w:color w:val="000000" w:themeColor="text1"/>
                <w:sz w:val="24"/>
                <w:szCs w:val="24"/>
              </w:rPr>
            </w:pPr>
            <w:r w:rsidRPr="00093A48">
              <w:rPr>
                <w:b/>
                <w:bCs/>
                <w:color w:val="000000" w:themeColor="text1"/>
                <w:sz w:val="24"/>
                <w:szCs w:val="24"/>
              </w:rPr>
              <w:t>Statement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407C20" w14:textId="77777777" w:rsidR="00093A48" w:rsidRPr="000E10C2" w:rsidRDefault="00093A48" w:rsidP="00093A48">
            <w:pPr>
              <w:jc w:val="center"/>
              <w:rPr>
                <w:color w:val="000000" w:themeColor="text1"/>
                <w:sz w:val="24"/>
                <w:szCs w:val="24"/>
              </w:rPr>
            </w:pPr>
            <w:r w:rsidRPr="000E10C2">
              <w:rPr>
                <w:color w:val="000000" w:themeColor="text1"/>
                <w:sz w:val="24"/>
                <w:szCs w:val="24"/>
              </w:rPr>
              <w:t>Total Debt</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E68FD3" w14:textId="77777777" w:rsidR="00093A48" w:rsidRPr="000E10C2" w:rsidRDefault="00093A48" w:rsidP="00393F28">
            <w:pPr>
              <w:rPr>
                <w:color w:val="000000" w:themeColor="text1"/>
                <w:sz w:val="24"/>
                <w:szCs w:val="24"/>
              </w:rPr>
            </w:pPr>
            <w:r w:rsidRPr="000E10C2">
              <w:rPr>
                <w:color w:val="000000" w:themeColor="text1"/>
                <w:sz w:val="24"/>
                <w:szCs w:val="24"/>
              </w:rPr>
              <w:t>270,012</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284DF8" w14:textId="77777777" w:rsidR="00093A48" w:rsidRPr="000E10C2" w:rsidRDefault="00093A48" w:rsidP="00393F28">
            <w:pPr>
              <w:rPr>
                <w:color w:val="000000" w:themeColor="text1"/>
                <w:sz w:val="24"/>
                <w:szCs w:val="24"/>
              </w:rPr>
            </w:pPr>
            <w:r w:rsidRPr="000E10C2">
              <w:rPr>
                <w:color w:val="000000" w:themeColor="text1"/>
                <w:sz w:val="24"/>
                <w:szCs w:val="24"/>
              </w:rPr>
              <w:t>242,421</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440566" w14:textId="77777777" w:rsidR="00093A48" w:rsidRPr="000E10C2" w:rsidRDefault="00093A48" w:rsidP="00393F28">
            <w:pPr>
              <w:rPr>
                <w:color w:val="000000" w:themeColor="text1"/>
                <w:sz w:val="24"/>
                <w:szCs w:val="24"/>
              </w:rPr>
            </w:pPr>
            <w:r w:rsidRPr="000E10C2">
              <w:rPr>
                <w:color w:val="000000" w:themeColor="text1"/>
                <w:sz w:val="24"/>
                <w:szCs w:val="24"/>
              </w:rPr>
              <w:t>205,975</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8FFFE1" w14:textId="77777777" w:rsidR="00093A48" w:rsidRPr="000E10C2" w:rsidRDefault="00093A48" w:rsidP="00393F28">
            <w:pPr>
              <w:rPr>
                <w:color w:val="000000" w:themeColor="text1"/>
                <w:sz w:val="24"/>
                <w:szCs w:val="24"/>
              </w:rPr>
            </w:pPr>
            <w:r w:rsidRPr="000E10C2">
              <w:rPr>
                <w:color w:val="000000" w:themeColor="text1"/>
                <w:sz w:val="24"/>
                <w:szCs w:val="24"/>
              </w:rPr>
              <w:t>188,311</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58553F" w14:textId="77777777" w:rsidR="00093A48" w:rsidRPr="000E10C2" w:rsidRDefault="00093A48" w:rsidP="00393F28">
            <w:pPr>
              <w:rPr>
                <w:color w:val="000000" w:themeColor="text1"/>
                <w:sz w:val="24"/>
                <w:szCs w:val="24"/>
              </w:rPr>
            </w:pPr>
            <w:r w:rsidRPr="000E10C2">
              <w:rPr>
                <w:color w:val="000000" w:themeColor="text1"/>
                <w:sz w:val="24"/>
                <w:szCs w:val="24"/>
              </w:rPr>
              <w:t>258,793</w:t>
            </w:r>
          </w:p>
        </w:tc>
      </w:tr>
      <w:tr w:rsidR="00093A48" w:rsidRPr="000E10C2" w14:paraId="1FDF48ED" w14:textId="77777777" w:rsidTr="00093A48">
        <w:trPr>
          <w:trHeight w:val="413"/>
        </w:trPr>
        <w:tc>
          <w:tcPr>
            <w:tcW w:w="0" w:type="auto"/>
            <w:vMerge/>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B425146" w14:textId="77777777" w:rsidR="00093A48" w:rsidRPr="000E10C2" w:rsidRDefault="00093A48" w:rsidP="00393F28">
            <w:pPr>
              <w:rPr>
                <w:color w:val="000000" w:themeColor="text1"/>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34E4CA" w14:textId="77777777" w:rsidR="00093A48" w:rsidRPr="000E10C2" w:rsidRDefault="00093A48" w:rsidP="00093A48">
            <w:pPr>
              <w:jc w:val="center"/>
              <w:rPr>
                <w:color w:val="000000" w:themeColor="text1"/>
                <w:sz w:val="24"/>
                <w:szCs w:val="24"/>
              </w:rPr>
            </w:pPr>
            <w:r w:rsidRPr="000E10C2">
              <w:rPr>
                <w:color w:val="000000" w:themeColor="text1"/>
                <w:sz w:val="24"/>
                <w:szCs w:val="24"/>
              </w:rPr>
              <w:t>Total Shareholder Equity</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39E4B0" w14:textId="77777777" w:rsidR="00093A48" w:rsidRPr="000E10C2" w:rsidRDefault="00093A48" w:rsidP="00393F28">
            <w:pPr>
              <w:rPr>
                <w:color w:val="000000" w:themeColor="text1"/>
                <w:sz w:val="24"/>
                <w:szCs w:val="24"/>
              </w:rPr>
            </w:pPr>
            <w:r w:rsidRPr="000E10C2">
              <w:rPr>
                <w:color w:val="000000" w:themeColor="text1"/>
                <w:sz w:val="24"/>
                <w:szCs w:val="24"/>
              </w:rPr>
              <w:t>200,392</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06FC78" w14:textId="77777777" w:rsidR="00093A48" w:rsidRPr="000E10C2" w:rsidRDefault="00093A48" w:rsidP="00393F28">
            <w:pPr>
              <w:rPr>
                <w:color w:val="000000" w:themeColor="text1"/>
                <w:sz w:val="24"/>
                <w:szCs w:val="24"/>
              </w:rPr>
            </w:pPr>
            <w:r w:rsidRPr="000E10C2">
              <w:rPr>
                <w:color w:val="000000" w:themeColor="text1"/>
                <w:sz w:val="24"/>
                <w:szCs w:val="24"/>
              </w:rPr>
              <w:t>158,153</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105AD7" w14:textId="77777777" w:rsidR="00093A48" w:rsidRPr="000E10C2" w:rsidRDefault="00093A48" w:rsidP="00393F28">
            <w:pPr>
              <w:rPr>
                <w:color w:val="000000" w:themeColor="text1"/>
                <w:sz w:val="24"/>
                <w:szCs w:val="24"/>
              </w:rPr>
            </w:pPr>
            <w:r w:rsidRPr="000E10C2">
              <w:rPr>
                <w:color w:val="000000" w:themeColor="text1"/>
                <w:sz w:val="24"/>
                <w:szCs w:val="24"/>
              </w:rPr>
              <w:t>128,517</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79BC60" w14:textId="77777777" w:rsidR="00093A48" w:rsidRPr="000E10C2" w:rsidRDefault="00093A48" w:rsidP="00393F28">
            <w:pPr>
              <w:rPr>
                <w:color w:val="000000" w:themeColor="text1"/>
                <w:sz w:val="24"/>
                <w:szCs w:val="24"/>
              </w:rPr>
            </w:pPr>
            <w:r w:rsidRPr="000E10C2">
              <w:rPr>
                <w:color w:val="000000" w:themeColor="text1"/>
                <w:sz w:val="24"/>
                <w:szCs w:val="24"/>
              </w:rPr>
              <w:t>116,771</w:t>
            </w:r>
          </w:p>
        </w:tc>
        <w:tc>
          <w:tcPr>
            <w:tcW w:w="0" w:type="auto"/>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3C99A6" w14:textId="77777777" w:rsidR="00093A48" w:rsidRPr="000E10C2" w:rsidRDefault="00093A48" w:rsidP="00393F28">
            <w:pPr>
              <w:rPr>
                <w:color w:val="000000" w:themeColor="text1"/>
                <w:sz w:val="24"/>
                <w:szCs w:val="24"/>
              </w:rPr>
            </w:pPr>
            <w:r w:rsidRPr="000E10C2">
              <w:rPr>
                <w:color w:val="000000" w:themeColor="text1"/>
                <w:sz w:val="24"/>
                <w:szCs w:val="24"/>
              </w:rPr>
              <w:t>101,671</w:t>
            </w:r>
          </w:p>
        </w:tc>
      </w:tr>
    </w:tbl>
    <w:p w14:paraId="3A82470A" w14:textId="1DC2AFD9" w:rsidR="00093A48" w:rsidRDefault="00093A48" w:rsidP="00093A48">
      <w:pPr>
        <w:pStyle w:val="Caption"/>
        <w:jc w:val="center"/>
        <w:rPr>
          <w:sz w:val="24"/>
          <w:szCs w:val="24"/>
        </w:rPr>
      </w:pPr>
      <w:r w:rsidRPr="00093A48">
        <w:rPr>
          <w:sz w:val="24"/>
          <w:szCs w:val="24"/>
        </w:rPr>
        <w:t xml:space="preserve">Table </w:t>
      </w:r>
      <w:r>
        <w:rPr>
          <w:sz w:val="24"/>
          <w:szCs w:val="24"/>
        </w:rPr>
        <w:t>7</w:t>
      </w:r>
      <w:r w:rsidRPr="00093A48">
        <w:rPr>
          <w:sz w:val="24"/>
          <w:szCs w:val="24"/>
        </w:rPr>
        <w:t>: A Deep Dive into the Financials of Vodafone, British Telecommunication, and THREE"</w:t>
      </w:r>
    </w:p>
    <w:p w14:paraId="5A886B82" w14:textId="77777777" w:rsidR="00093A48" w:rsidRDefault="00093A48" w:rsidP="00093A48"/>
    <w:tbl>
      <w:tblPr>
        <w:tblStyle w:val="TableGrid"/>
        <w:tblW w:w="5000" w:type="pct"/>
        <w:tblLook w:val="04A0" w:firstRow="1" w:lastRow="0" w:firstColumn="1" w:lastColumn="0" w:noHBand="0" w:noVBand="1"/>
      </w:tblPr>
      <w:tblGrid>
        <w:gridCol w:w="2108"/>
        <w:gridCol w:w="2421"/>
        <w:gridCol w:w="2374"/>
        <w:gridCol w:w="3779"/>
      </w:tblGrid>
      <w:tr w:rsidR="00093A48" w:rsidRPr="000E10C2" w14:paraId="50FAE91D" w14:textId="77777777" w:rsidTr="00093A48">
        <w:tc>
          <w:tcPr>
            <w:tcW w:w="5000" w:type="pct"/>
            <w:gridSpan w:val="4"/>
          </w:tcPr>
          <w:p w14:paraId="7ECE7211" w14:textId="77777777" w:rsidR="00093A48" w:rsidRPr="000E10C2" w:rsidRDefault="00093A48" w:rsidP="00393F28">
            <w:pPr>
              <w:jc w:val="center"/>
              <w:rPr>
                <w:b/>
                <w:bCs/>
                <w:color w:val="000000" w:themeColor="text1"/>
                <w:sz w:val="24"/>
                <w:szCs w:val="24"/>
              </w:rPr>
            </w:pPr>
            <w:r w:rsidRPr="000E10C2">
              <w:rPr>
                <w:b/>
                <w:bCs/>
                <w:color w:val="000000" w:themeColor="text1"/>
                <w:sz w:val="24"/>
                <w:szCs w:val="24"/>
              </w:rPr>
              <w:t>Debt to Equity Ratio</w:t>
            </w:r>
          </w:p>
        </w:tc>
      </w:tr>
      <w:tr w:rsidR="00093A48" w:rsidRPr="000E10C2" w14:paraId="381CB51B" w14:textId="77777777" w:rsidTr="00093A48">
        <w:tc>
          <w:tcPr>
            <w:tcW w:w="987" w:type="pct"/>
            <w:vAlign w:val="center"/>
          </w:tcPr>
          <w:p w14:paraId="44CDEFF3" w14:textId="77777777" w:rsidR="00093A48" w:rsidRPr="000E10C2" w:rsidRDefault="00093A48" w:rsidP="00093A48">
            <w:pPr>
              <w:jc w:val="center"/>
              <w:rPr>
                <w:color w:val="000000" w:themeColor="text1"/>
                <w:sz w:val="24"/>
                <w:szCs w:val="24"/>
              </w:rPr>
            </w:pPr>
            <w:r w:rsidRPr="000E10C2">
              <w:rPr>
                <w:color w:val="000000" w:themeColor="text1"/>
                <w:sz w:val="24"/>
                <w:szCs w:val="24"/>
              </w:rPr>
              <w:t>Year</w:t>
            </w:r>
          </w:p>
        </w:tc>
        <w:tc>
          <w:tcPr>
            <w:tcW w:w="1133" w:type="pct"/>
            <w:vAlign w:val="center"/>
          </w:tcPr>
          <w:p w14:paraId="2B7B2521" w14:textId="77777777" w:rsidR="00093A48" w:rsidRPr="000E10C2" w:rsidRDefault="00093A48" w:rsidP="00093A48">
            <w:pPr>
              <w:jc w:val="center"/>
              <w:rPr>
                <w:color w:val="000000" w:themeColor="text1"/>
                <w:sz w:val="24"/>
                <w:szCs w:val="24"/>
              </w:rPr>
            </w:pPr>
            <w:r w:rsidRPr="000E10C2">
              <w:rPr>
                <w:color w:val="000000" w:themeColor="text1"/>
                <w:sz w:val="24"/>
                <w:szCs w:val="24"/>
              </w:rPr>
              <w:t>BT Limited</w:t>
            </w:r>
          </w:p>
        </w:tc>
        <w:tc>
          <w:tcPr>
            <w:tcW w:w="1111" w:type="pct"/>
            <w:vAlign w:val="center"/>
          </w:tcPr>
          <w:p w14:paraId="2E4C3363" w14:textId="77777777" w:rsidR="00093A48" w:rsidRPr="000E10C2" w:rsidRDefault="00093A48" w:rsidP="00093A48">
            <w:pPr>
              <w:jc w:val="center"/>
              <w:rPr>
                <w:color w:val="000000" w:themeColor="text1"/>
                <w:sz w:val="24"/>
                <w:szCs w:val="24"/>
              </w:rPr>
            </w:pPr>
            <w:r w:rsidRPr="000E10C2">
              <w:rPr>
                <w:color w:val="000000" w:themeColor="text1"/>
                <w:sz w:val="24"/>
                <w:szCs w:val="24"/>
              </w:rPr>
              <w:t>Vodafone Limited</w:t>
            </w:r>
          </w:p>
        </w:tc>
        <w:tc>
          <w:tcPr>
            <w:tcW w:w="1770" w:type="pct"/>
            <w:vAlign w:val="center"/>
          </w:tcPr>
          <w:p w14:paraId="3C5C32FC" w14:textId="77777777" w:rsidR="00093A48" w:rsidRPr="000E10C2" w:rsidRDefault="00093A48" w:rsidP="00093A48">
            <w:pPr>
              <w:jc w:val="center"/>
              <w:rPr>
                <w:color w:val="000000" w:themeColor="text1"/>
                <w:sz w:val="24"/>
                <w:szCs w:val="24"/>
              </w:rPr>
            </w:pPr>
            <w:r w:rsidRPr="000E10C2">
              <w:rPr>
                <w:color w:val="000000" w:themeColor="text1"/>
                <w:sz w:val="24"/>
                <w:szCs w:val="24"/>
              </w:rPr>
              <w:t>Three Limited</w:t>
            </w:r>
          </w:p>
        </w:tc>
      </w:tr>
      <w:tr w:rsidR="00093A48" w:rsidRPr="000E10C2" w14:paraId="193F7A7D" w14:textId="77777777" w:rsidTr="00093A48">
        <w:tc>
          <w:tcPr>
            <w:tcW w:w="987" w:type="pct"/>
            <w:vAlign w:val="center"/>
          </w:tcPr>
          <w:p w14:paraId="405C9231" w14:textId="77777777" w:rsidR="00093A48" w:rsidRPr="000E10C2" w:rsidRDefault="00093A48" w:rsidP="00093A48">
            <w:pPr>
              <w:jc w:val="center"/>
              <w:rPr>
                <w:color w:val="000000" w:themeColor="text1"/>
                <w:sz w:val="24"/>
                <w:szCs w:val="24"/>
              </w:rPr>
            </w:pPr>
            <w:r w:rsidRPr="000E10C2">
              <w:rPr>
                <w:color w:val="000000" w:themeColor="text1"/>
                <w:sz w:val="24"/>
                <w:szCs w:val="24"/>
              </w:rPr>
              <w:t>2022</w:t>
            </w:r>
          </w:p>
        </w:tc>
        <w:tc>
          <w:tcPr>
            <w:tcW w:w="1133" w:type="pct"/>
            <w:vAlign w:val="center"/>
          </w:tcPr>
          <w:p w14:paraId="3A614348" w14:textId="77777777" w:rsidR="00093A48" w:rsidRPr="000E10C2" w:rsidRDefault="00093A48" w:rsidP="00093A48">
            <w:pPr>
              <w:jc w:val="center"/>
              <w:rPr>
                <w:rFonts w:cs="Calibri"/>
                <w:color w:val="000000" w:themeColor="text1"/>
              </w:rPr>
            </w:pPr>
            <w:r w:rsidRPr="000E10C2">
              <w:rPr>
                <w:rFonts w:cs="Calibri"/>
                <w:color w:val="000000" w:themeColor="text1"/>
              </w:rPr>
              <w:t>1.06</w:t>
            </w:r>
          </w:p>
        </w:tc>
        <w:tc>
          <w:tcPr>
            <w:tcW w:w="1111" w:type="pct"/>
            <w:vAlign w:val="center"/>
          </w:tcPr>
          <w:p w14:paraId="405F070F" w14:textId="77777777" w:rsidR="00093A48" w:rsidRPr="000E10C2" w:rsidRDefault="00093A48" w:rsidP="00093A48">
            <w:pPr>
              <w:jc w:val="center"/>
              <w:rPr>
                <w:color w:val="000000" w:themeColor="text1"/>
                <w:sz w:val="24"/>
                <w:szCs w:val="24"/>
              </w:rPr>
            </w:pPr>
            <w:r w:rsidRPr="000E10C2">
              <w:rPr>
                <w:color w:val="000000" w:themeColor="text1"/>
                <w:sz w:val="24"/>
                <w:szCs w:val="24"/>
              </w:rPr>
              <w:t>1.70</w:t>
            </w:r>
          </w:p>
        </w:tc>
        <w:tc>
          <w:tcPr>
            <w:tcW w:w="1770" w:type="pct"/>
            <w:vAlign w:val="center"/>
          </w:tcPr>
          <w:p w14:paraId="189EA57D" w14:textId="77777777" w:rsidR="00093A48" w:rsidRPr="000E10C2" w:rsidRDefault="00093A48" w:rsidP="00093A48">
            <w:pPr>
              <w:jc w:val="center"/>
              <w:rPr>
                <w:color w:val="000000" w:themeColor="text1"/>
                <w:sz w:val="24"/>
                <w:szCs w:val="24"/>
              </w:rPr>
            </w:pPr>
            <w:r w:rsidRPr="000E10C2">
              <w:rPr>
                <w:color w:val="000000" w:themeColor="text1"/>
                <w:sz w:val="24"/>
                <w:szCs w:val="24"/>
              </w:rPr>
              <w:t>1.35</w:t>
            </w:r>
          </w:p>
        </w:tc>
      </w:tr>
      <w:tr w:rsidR="00093A48" w:rsidRPr="000E10C2" w14:paraId="7C8B35F1" w14:textId="77777777" w:rsidTr="00093A48">
        <w:tc>
          <w:tcPr>
            <w:tcW w:w="987" w:type="pct"/>
            <w:vAlign w:val="center"/>
          </w:tcPr>
          <w:p w14:paraId="334ACB3A" w14:textId="77777777" w:rsidR="00093A48" w:rsidRPr="000E10C2" w:rsidRDefault="00093A48" w:rsidP="00093A48">
            <w:pPr>
              <w:jc w:val="center"/>
              <w:rPr>
                <w:color w:val="000000" w:themeColor="text1"/>
                <w:sz w:val="24"/>
                <w:szCs w:val="24"/>
              </w:rPr>
            </w:pPr>
            <w:r w:rsidRPr="000E10C2">
              <w:rPr>
                <w:color w:val="000000" w:themeColor="text1"/>
                <w:sz w:val="24"/>
                <w:szCs w:val="24"/>
              </w:rPr>
              <w:t>2021</w:t>
            </w:r>
          </w:p>
        </w:tc>
        <w:tc>
          <w:tcPr>
            <w:tcW w:w="1133" w:type="pct"/>
            <w:vAlign w:val="center"/>
          </w:tcPr>
          <w:p w14:paraId="5763444A" w14:textId="77777777" w:rsidR="00093A48" w:rsidRPr="000E10C2" w:rsidRDefault="00093A48" w:rsidP="00093A48">
            <w:pPr>
              <w:jc w:val="center"/>
              <w:rPr>
                <w:color w:val="000000" w:themeColor="text1"/>
                <w:sz w:val="24"/>
                <w:szCs w:val="24"/>
              </w:rPr>
            </w:pPr>
            <w:r w:rsidRPr="000E10C2">
              <w:rPr>
                <w:color w:val="000000" w:themeColor="text1"/>
                <w:sz w:val="24"/>
                <w:szCs w:val="24"/>
              </w:rPr>
              <w:t>1.43</w:t>
            </w:r>
          </w:p>
        </w:tc>
        <w:tc>
          <w:tcPr>
            <w:tcW w:w="1111" w:type="pct"/>
            <w:vAlign w:val="center"/>
          </w:tcPr>
          <w:p w14:paraId="163FAB05" w14:textId="77777777" w:rsidR="00093A48" w:rsidRPr="000E10C2" w:rsidRDefault="00093A48" w:rsidP="00093A48">
            <w:pPr>
              <w:jc w:val="center"/>
              <w:rPr>
                <w:color w:val="000000" w:themeColor="text1"/>
                <w:sz w:val="24"/>
                <w:szCs w:val="24"/>
              </w:rPr>
            </w:pPr>
            <w:r w:rsidRPr="000E10C2">
              <w:rPr>
                <w:color w:val="000000" w:themeColor="text1"/>
                <w:sz w:val="24"/>
                <w:szCs w:val="24"/>
              </w:rPr>
              <w:t>1.68</w:t>
            </w:r>
          </w:p>
        </w:tc>
        <w:tc>
          <w:tcPr>
            <w:tcW w:w="1770" w:type="pct"/>
            <w:vAlign w:val="center"/>
          </w:tcPr>
          <w:p w14:paraId="23909404" w14:textId="77777777" w:rsidR="00093A48" w:rsidRPr="000E10C2" w:rsidRDefault="00093A48" w:rsidP="00093A48">
            <w:pPr>
              <w:jc w:val="center"/>
              <w:rPr>
                <w:color w:val="000000" w:themeColor="text1"/>
                <w:sz w:val="24"/>
                <w:szCs w:val="24"/>
              </w:rPr>
            </w:pPr>
            <w:r w:rsidRPr="000E10C2">
              <w:rPr>
                <w:color w:val="000000" w:themeColor="text1"/>
                <w:sz w:val="24"/>
                <w:szCs w:val="24"/>
              </w:rPr>
              <w:t>1.53</w:t>
            </w:r>
          </w:p>
        </w:tc>
      </w:tr>
      <w:tr w:rsidR="00093A48" w:rsidRPr="000E10C2" w14:paraId="6FA2851F" w14:textId="77777777" w:rsidTr="00093A48">
        <w:tc>
          <w:tcPr>
            <w:tcW w:w="987" w:type="pct"/>
            <w:vAlign w:val="center"/>
          </w:tcPr>
          <w:p w14:paraId="03A14C40" w14:textId="77777777" w:rsidR="00093A48" w:rsidRPr="000E10C2" w:rsidRDefault="00093A48" w:rsidP="00093A48">
            <w:pPr>
              <w:jc w:val="center"/>
              <w:rPr>
                <w:color w:val="000000" w:themeColor="text1"/>
                <w:sz w:val="24"/>
                <w:szCs w:val="24"/>
              </w:rPr>
            </w:pPr>
            <w:r w:rsidRPr="000E10C2">
              <w:rPr>
                <w:color w:val="000000" w:themeColor="text1"/>
                <w:sz w:val="24"/>
                <w:szCs w:val="24"/>
              </w:rPr>
              <w:t>2020</w:t>
            </w:r>
          </w:p>
        </w:tc>
        <w:tc>
          <w:tcPr>
            <w:tcW w:w="1133" w:type="pct"/>
            <w:vAlign w:val="center"/>
          </w:tcPr>
          <w:p w14:paraId="5DF6E3BA" w14:textId="77777777" w:rsidR="00093A48" w:rsidRPr="000E10C2" w:rsidRDefault="00093A48" w:rsidP="00093A48">
            <w:pPr>
              <w:jc w:val="center"/>
              <w:rPr>
                <w:color w:val="000000" w:themeColor="text1"/>
                <w:sz w:val="24"/>
                <w:szCs w:val="24"/>
              </w:rPr>
            </w:pPr>
            <w:r w:rsidRPr="000E10C2">
              <w:rPr>
                <w:color w:val="000000" w:themeColor="text1"/>
                <w:sz w:val="24"/>
                <w:szCs w:val="24"/>
              </w:rPr>
              <w:t>1.31</w:t>
            </w:r>
          </w:p>
        </w:tc>
        <w:tc>
          <w:tcPr>
            <w:tcW w:w="1111" w:type="pct"/>
            <w:vAlign w:val="center"/>
          </w:tcPr>
          <w:p w14:paraId="638B446A" w14:textId="77777777" w:rsidR="00093A48" w:rsidRPr="000E10C2" w:rsidRDefault="00093A48" w:rsidP="00093A48">
            <w:pPr>
              <w:jc w:val="center"/>
              <w:rPr>
                <w:color w:val="000000" w:themeColor="text1"/>
                <w:sz w:val="24"/>
                <w:szCs w:val="24"/>
              </w:rPr>
            </w:pPr>
            <w:r w:rsidRPr="000E10C2">
              <w:rPr>
                <w:color w:val="000000" w:themeColor="text1"/>
                <w:sz w:val="24"/>
                <w:szCs w:val="24"/>
              </w:rPr>
              <w:t>1.67</w:t>
            </w:r>
          </w:p>
        </w:tc>
        <w:tc>
          <w:tcPr>
            <w:tcW w:w="1770" w:type="pct"/>
            <w:vAlign w:val="center"/>
          </w:tcPr>
          <w:p w14:paraId="70CC7B49" w14:textId="77777777" w:rsidR="00093A48" w:rsidRPr="000E10C2" w:rsidRDefault="00093A48" w:rsidP="00093A48">
            <w:pPr>
              <w:jc w:val="center"/>
              <w:rPr>
                <w:color w:val="000000" w:themeColor="text1"/>
                <w:sz w:val="24"/>
                <w:szCs w:val="24"/>
              </w:rPr>
            </w:pPr>
            <w:r w:rsidRPr="000E10C2">
              <w:rPr>
                <w:color w:val="000000" w:themeColor="text1"/>
                <w:sz w:val="24"/>
                <w:szCs w:val="24"/>
              </w:rPr>
              <w:t>1.60</w:t>
            </w:r>
          </w:p>
        </w:tc>
      </w:tr>
      <w:tr w:rsidR="00093A48" w:rsidRPr="000E10C2" w14:paraId="4A7137B1" w14:textId="77777777" w:rsidTr="00093A48">
        <w:trPr>
          <w:trHeight w:val="58"/>
        </w:trPr>
        <w:tc>
          <w:tcPr>
            <w:tcW w:w="987" w:type="pct"/>
            <w:vAlign w:val="center"/>
          </w:tcPr>
          <w:p w14:paraId="48D9DBCA" w14:textId="77777777" w:rsidR="00093A48" w:rsidRPr="000E10C2" w:rsidRDefault="00093A48" w:rsidP="00093A48">
            <w:pPr>
              <w:jc w:val="center"/>
              <w:rPr>
                <w:color w:val="000000" w:themeColor="text1"/>
                <w:sz w:val="24"/>
                <w:szCs w:val="24"/>
              </w:rPr>
            </w:pPr>
            <w:r w:rsidRPr="000E10C2">
              <w:rPr>
                <w:color w:val="000000" w:themeColor="text1"/>
                <w:sz w:val="24"/>
                <w:szCs w:val="24"/>
              </w:rPr>
              <w:t>2019</w:t>
            </w:r>
          </w:p>
        </w:tc>
        <w:tc>
          <w:tcPr>
            <w:tcW w:w="1133" w:type="pct"/>
            <w:vAlign w:val="center"/>
          </w:tcPr>
          <w:p w14:paraId="68D1B304" w14:textId="77777777" w:rsidR="00093A48" w:rsidRPr="000E10C2" w:rsidRDefault="00093A48" w:rsidP="00093A48">
            <w:pPr>
              <w:jc w:val="center"/>
              <w:rPr>
                <w:color w:val="000000" w:themeColor="text1"/>
                <w:sz w:val="24"/>
                <w:szCs w:val="24"/>
              </w:rPr>
            </w:pPr>
            <w:r w:rsidRPr="000E10C2">
              <w:rPr>
                <w:color w:val="000000" w:themeColor="text1"/>
                <w:sz w:val="24"/>
                <w:szCs w:val="24"/>
              </w:rPr>
              <w:t>1.66</w:t>
            </w:r>
          </w:p>
        </w:tc>
        <w:tc>
          <w:tcPr>
            <w:tcW w:w="1111" w:type="pct"/>
            <w:vAlign w:val="center"/>
          </w:tcPr>
          <w:p w14:paraId="4FCD8A1A" w14:textId="77777777" w:rsidR="00093A48" w:rsidRPr="000E10C2" w:rsidRDefault="00093A48" w:rsidP="00093A48">
            <w:pPr>
              <w:jc w:val="center"/>
              <w:rPr>
                <w:color w:val="000000" w:themeColor="text1"/>
                <w:sz w:val="24"/>
                <w:szCs w:val="24"/>
              </w:rPr>
            </w:pPr>
            <w:r w:rsidRPr="000E10C2">
              <w:rPr>
                <w:color w:val="000000" w:themeColor="text1"/>
                <w:sz w:val="24"/>
                <w:szCs w:val="24"/>
              </w:rPr>
              <w:t>1.25</w:t>
            </w:r>
          </w:p>
        </w:tc>
        <w:tc>
          <w:tcPr>
            <w:tcW w:w="1770" w:type="pct"/>
            <w:vAlign w:val="center"/>
          </w:tcPr>
          <w:p w14:paraId="1B37E5A2" w14:textId="77777777" w:rsidR="00093A48" w:rsidRPr="000E10C2" w:rsidRDefault="00093A48" w:rsidP="00093A48">
            <w:pPr>
              <w:jc w:val="center"/>
              <w:rPr>
                <w:color w:val="000000" w:themeColor="text1"/>
                <w:sz w:val="24"/>
                <w:szCs w:val="24"/>
              </w:rPr>
            </w:pPr>
            <w:r w:rsidRPr="000E10C2">
              <w:rPr>
                <w:color w:val="000000" w:themeColor="text1"/>
                <w:sz w:val="24"/>
                <w:szCs w:val="24"/>
              </w:rPr>
              <w:t>1.61</w:t>
            </w:r>
          </w:p>
        </w:tc>
      </w:tr>
      <w:tr w:rsidR="00093A48" w:rsidRPr="000E10C2" w14:paraId="3180B544" w14:textId="77777777" w:rsidTr="00093A48">
        <w:trPr>
          <w:trHeight w:val="54"/>
        </w:trPr>
        <w:tc>
          <w:tcPr>
            <w:tcW w:w="987" w:type="pct"/>
            <w:vAlign w:val="center"/>
          </w:tcPr>
          <w:p w14:paraId="747251D9" w14:textId="77777777" w:rsidR="00093A48" w:rsidRPr="000E10C2" w:rsidRDefault="00093A48" w:rsidP="00093A48">
            <w:pPr>
              <w:jc w:val="center"/>
              <w:rPr>
                <w:color w:val="000000" w:themeColor="text1"/>
                <w:sz w:val="24"/>
                <w:szCs w:val="24"/>
              </w:rPr>
            </w:pPr>
            <w:r w:rsidRPr="000E10C2">
              <w:rPr>
                <w:color w:val="000000" w:themeColor="text1"/>
                <w:sz w:val="24"/>
                <w:szCs w:val="24"/>
              </w:rPr>
              <w:t>2018</w:t>
            </w:r>
          </w:p>
        </w:tc>
        <w:tc>
          <w:tcPr>
            <w:tcW w:w="1133" w:type="pct"/>
            <w:vAlign w:val="center"/>
          </w:tcPr>
          <w:p w14:paraId="60BAD5C9" w14:textId="77777777" w:rsidR="00093A48" w:rsidRPr="000E10C2" w:rsidRDefault="00093A48" w:rsidP="00093A48">
            <w:pPr>
              <w:jc w:val="center"/>
              <w:rPr>
                <w:color w:val="000000" w:themeColor="text1"/>
                <w:sz w:val="24"/>
                <w:szCs w:val="24"/>
              </w:rPr>
            </w:pPr>
            <w:r w:rsidRPr="000E10C2">
              <w:rPr>
                <w:color w:val="000000" w:themeColor="text1"/>
                <w:sz w:val="24"/>
                <w:szCs w:val="24"/>
              </w:rPr>
              <w:t>1.43</w:t>
            </w:r>
          </w:p>
        </w:tc>
        <w:tc>
          <w:tcPr>
            <w:tcW w:w="1111" w:type="pct"/>
            <w:vAlign w:val="center"/>
          </w:tcPr>
          <w:p w14:paraId="7AA865D8" w14:textId="77777777" w:rsidR="00093A48" w:rsidRPr="000E10C2" w:rsidRDefault="00093A48" w:rsidP="00093A48">
            <w:pPr>
              <w:jc w:val="center"/>
              <w:rPr>
                <w:color w:val="000000" w:themeColor="text1"/>
                <w:sz w:val="24"/>
                <w:szCs w:val="24"/>
              </w:rPr>
            </w:pPr>
            <w:r w:rsidRPr="000E10C2">
              <w:rPr>
                <w:color w:val="000000" w:themeColor="text1"/>
                <w:sz w:val="24"/>
                <w:szCs w:val="24"/>
              </w:rPr>
              <w:t>0.96</w:t>
            </w:r>
          </w:p>
        </w:tc>
        <w:tc>
          <w:tcPr>
            <w:tcW w:w="1770" w:type="pct"/>
            <w:vAlign w:val="center"/>
          </w:tcPr>
          <w:p w14:paraId="295809E7" w14:textId="77777777" w:rsidR="00093A48" w:rsidRPr="000E10C2" w:rsidRDefault="00093A48" w:rsidP="00093A48">
            <w:pPr>
              <w:jc w:val="center"/>
              <w:rPr>
                <w:color w:val="000000" w:themeColor="text1"/>
                <w:sz w:val="24"/>
                <w:szCs w:val="24"/>
              </w:rPr>
            </w:pPr>
            <w:r w:rsidRPr="000E10C2">
              <w:rPr>
                <w:color w:val="000000" w:themeColor="text1"/>
                <w:sz w:val="24"/>
                <w:szCs w:val="24"/>
              </w:rPr>
              <w:t>2.55</w:t>
            </w:r>
          </w:p>
        </w:tc>
      </w:tr>
    </w:tbl>
    <w:p w14:paraId="78BF1AF1" w14:textId="60415991" w:rsidR="006F0270" w:rsidRDefault="00093A48" w:rsidP="00093A48">
      <w:pPr>
        <w:pStyle w:val="Caption"/>
        <w:jc w:val="center"/>
        <w:rPr>
          <w:sz w:val="24"/>
          <w:szCs w:val="24"/>
        </w:rPr>
      </w:pPr>
      <w:r w:rsidRPr="00093A48">
        <w:rPr>
          <w:sz w:val="24"/>
          <w:szCs w:val="24"/>
        </w:rPr>
        <w:t xml:space="preserve">Table </w:t>
      </w:r>
      <w:r w:rsidRPr="00093A48">
        <w:rPr>
          <w:sz w:val="24"/>
          <w:szCs w:val="24"/>
        </w:rPr>
        <w:fldChar w:fldCharType="begin"/>
      </w:r>
      <w:r w:rsidRPr="00093A48">
        <w:rPr>
          <w:sz w:val="24"/>
          <w:szCs w:val="24"/>
        </w:rPr>
        <w:instrText xml:space="preserve"> SEQ Table \* ARABIC </w:instrText>
      </w:r>
      <w:r w:rsidRPr="00093A48">
        <w:rPr>
          <w:sz w:val="24"/>
          <w:szCs w:val="24"/>
        </w:rPr>
        <w:fldChar w:fldCharType="separate"/>
      </w:r>
      <w:r w:rsidR="003F2DD6">
        <w:rPr>
          <w:noProof/>
          <w:sz w:val="24"/>
          <w:szCs w:val="24"/>
        </w:rPr>
        <w:t>3</w:t>
      </w:r>
      <w:r w:rsidRPr="00093A48">
        <w:rPr>
          <w:sz w:val="24"/>
          <w:szCs w:val="24"/>
        </w:rPr>
        <w:fldChar w:fldCharType="end"/>
      </w:r>
      <w:r w:rsidRPr="00093A48">
        <w:rPr>
          <w:sz w:val="24"/>
          <w:szCs w:val="24"/>
        </w:rPr>
        <w:t>: Debt to Equity Ratio Findings</w:t>
      </w:r>
    </w:p>
    <w:p w14:paraId="49A1FAC9" w14:textId="2C0FF127" w:rsidR="00093A48" w:rsidRPr="00093A48" w:rsidRDefault="00DC613B" w:rsidP="00093A48">
      <w:r w:rsidRPr="000E10C2">
        <w:rPr>
          <w:noProof/>
          <w:color w:val="000000" w:themeColor="text1"/>
        </w:rPr>
        <w:drawing>
          <wp:inline distT="0" distB="0" distL="0" distR="0" wp14:anchorId="7AA3253A" wp14:editId="01621576">
            <wp:extent cx="6705600" cy="3200400"/>
            <wp:effectExtent l="0" t="0" r="0" b="0"/>
            <wp:docPr id="180281672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2FE787C" w14:textId="67610AEE" w:rsidR="00DC613B" w:rsidRDefault="00DC613B" w:rsidP="00DC613B">
      <w:pPr>
        <w:pStyle w:val="Caption"/>
        <w:jc w:val="center"/>
        <w:rPr>
          <w:sz w:val="24"/>
          <w:szCs w:val="24"/>
        </w:rPr>
      </w:pPr>
      <w:r w:rsidRPr="00DC613B">
        <w:rPr>
          <w:sz w:val="24"/>
          <w:szCs w:val="24"/>
        </w:rPr>
        <w:t xml:space="preserve">Figure </w:t>
      </w:r>
      <w:r>
        <w:rPr>
          <w:sz w:val="24"/>
          <w:szCs w:val="24"/>
        </w:rPr>
        <w:t>4</w:t>
      </w:r>
      <w:r w:rsidRPr="00DC613B">
        <w:rPr>
          <w:sz w:val="24"/>
          <w:szCs w:val="24"/>
        </w:rPr>
        <w:t>: Debt to equity ratio findings</w:t>
      </w:r>
    </w:p>
    <w:p w14:paraId="784FE232" w14:textId="0BF4A956" w:rsidR="00DC613B" w:rsidRDefault="00DC613B" w:rsidP="00DC613B">
      <w:pPr>
        <w:pStyle w:val="Heading2"/>
        <w:rPr>
          <w:sz w:val="32"/>
          <w:szCs w:val="32"/>
        </w:rPr>
      </w:pPr>
      <w:r>
        <w:rPr>
          <w:sz w:val="32"/>
          <w:szCs w:val="32"/>
        </w:rPr>
        <w:t>9.2 Analysis of Debt-to-Equity Ratio</w:t>
      </w:r>
    </w:p>
    <w:p w14:paraId="26B281D3" w14:textId="77777777" w:rsidR="00FF14F9" w:rsidRPr="00FF14F9" w:rsidRDefault="00FF14F9" w:rsidP="00FF14F9">
      <w:pPr>
        <w:widowControl/>
        <w:shd w:val="clear" w:color="auto" w:fill="FFFFFF"/>
        <w:autoSpaceDE/>
        <w:autoSpaceDN/>
        <w:spacing w:before="360" w:after="360"/>
        <w:rPr>
          <w:rFonts w:eastAsia="Times New Roman" w:cs="Arial"/>
          <w:color w:val="1F1F1F"/>
          <w:sz w:val="24"/>
          <w:szCs w:val="24"/>
          <w:lang w:val="en-GB" w:eastAsia="zh-CN"/>
        </w:rPr>
      </w:pPr>
      <w:r w:rsidRPr="00FF14F9">
        <w:rPr>
          <w:rFonts w:eastAsia="Times New Roman" w:cs="Arial"/>
          <w:color w:val="1F1F1F"/>
          <w:sz w:val="24"/>
          <w:szCs w:val="24"/>
          <w:lang w:val="en-GB" w:eastAsia="zh-CN"/>
        </w:rPr>
        <w:t>The table shows the debt-to-equity ratio for BT Limited, Vodafone Limited, and Three Limited from 2018 to 2022. This ratio measures how much debt a company has compared to its total assets. A higher ratio means the company has more debt, which can be risky.</w:t>
      </w:r>
    </w:p>
    <w:p w14:paraId="292B3499" w14:textId="77777777" w:rsidR="00FF14F9" w:rsidRPr="00FF14F9" w:rsidRDefault="00FF14F9" w:rsidP="00FF14F9">
      <w:pPr>
        <w:widowControl/>
        <w:numPr>
          <w:ilvl w:val="0"/>
          <w:numId w:val="10"/>
        </w:numPr>
        <w:shd w:val="clear" w:color="auto" w:fill="FFFFFF"/>
        <w:autoSpaceDE/>
        <w:autoSpaceDN/>
        <w:spacing w:before="100" w:beforeAutospacing="1" w:after="150"/>
        <w:rPr>
          <w:rFonts w:eastAsia="Times New Roman" w:cs="Arial"/>
          <w:color w:val="1F1F1F"/>
          <w:sz w:val="24"/>
          <w:szCs w:val="24"/>
          <w:lang w:val="en-GB" w:eastAsia="zh-CN"/>
        </w:rPr>
      </w:pPr>
      <w:r w:rsidRPr="00FF14F9">
        <w:rPr>
          <w:rFonts w:eastAsia="Times New Roman" w:cs="Arial"/>
          <w:color w:val="1F1F1F"/>
          <w:sz w:val="24"/>
          <w:szCs w:val="24"/>
          <w:lang w:val="en-GB" w:eastAsia="zh-CN"/>
        </w:rPr>
        <w:t>In 2018, BT Limited's debt-to-equity ratio was 1.43, Vodafone Limited's was 0.96, and Three Limited's was 2.55.</w:t>
      </w:r>
    </w:p>
    <w:p w14:paraId="798DAD37" w14:textId="77777777" w:rsidR="00FF14F9" w:rsidRPr="00FF14F9" w:rsidRDefault="00FF14F9" w:rsidP="00FF14F9">
      <w:pPr>
        <w:widowControl/>
        <w:numPr>
          <w:ilvl w:val="0"/>
          <w:numId w:val="10"/>
        </w:numPr>
        <w:shd w:val="clear" w:color="auto" w:fill="FFFFFF"/>
        <w:autoSpaceDE/>
        <w:autoSpaceDN/>
        <w:spacing w:before="100" w:beforeAutospacing="1" w:after="150"/>
        <w:rPr>
          <w:rFonts w:eastAsia="Times New Roman" w:cs="Arial"/>
          <w:color w:val="1F1F1F"/>
          <w:sz w:val="24"/>
          <w:szCs w:val="24"/>
          <w:lang w:val="en-GB" w:eastAsia="zh-CN"/>
        </w:rPr>
      </w:pPr>
      <w:r w:rsidRPr="00FF14F9">
        <w:rPr>
          <w:rFonts w:eastAsia="Times New Roman" w:cs="Arial"/>
          <w:color w:val="1F1F1F"/>
          <w:sz w:val="24"/>
          <w:szCs w:val="24"/>
          <w:lang w:val="en-GB" w:eastAsia="zh-CN"/>
        </w:rPr>
        <w:t>By 2022, BT Limited's ratio had decreased to 1.06, Vodafone Limited's had increased to 1.70, and Three Limited's had decreased to 1.35.</w:t>
      </w:r>
    </w:p>
    <w:p w14:paraId="4B3B1CCD" w14:textId="77777777" w:rsidR="00FF14F9" w:rsidRDefault="00FF14F9" w:rsidP="00FF14F9">
      <w:pPr>
        <w:widowControl/>
        <w:shd w:val="clear" w:color="auto" w:fill="FFFFFF"/>
        <w:autoSpaceDE/>
        <w:autoSpaceDN/>
        <w:spacing w:before="360" w:after="360"/>
        <w:rPr>
          <w:rFonts w:eastAsia="Times New Roman" w:cs="Arial"/>
          <w:color w:val="1F1F1F"/>
          <w:sz w:val="24"/>
          <w:szCs w:val="24"/>
          <w:lang w:val="en-GB" w:eastAsia="zh-CN"/>
        </w:rPr>
      </w:pPr>
      <w:r w:rsidRPr="00FF14F9">
        <w:rPr>
          <w:rFonts w:eastAsia="Times New Roman" w:cs="Arial"/>
          <w:color w:val="1F1F1F"/>
          <w:sz w:val="24"/>
          <w:szCs w:val="24"/>
          <w:lang w:val="en-GB" w:eastAsia="zh-CN"/>
        </w:rPr>
        <w:lastRenderedPageBreak/>
        <w:t>These ratios show how financially healthy the companies are and how well they manage their debt.</w:t>
      </w:r>
    </w:p>
    <w:p w14:paraId="4CD3F27E" w14:textId="77777777" w:rsidR="00FF14F9" w:rsidRDefault="00FF14F9" w:rsidP="00FF14F9">
      <w:pPr>
        <w:pStyle w:val="Heading1"/>
        <w:rPr>
          <w:lang w:val="en-GB" w:eastAsia="zh-CN"/>
        </w:rPr>
      </w:pPr>
      <w:r>
        <w:rPr>
          <w:lang w:val="en-GB" w:eastAsia="zh-CN"/>
        </w:rPr>
        <w:t>10. What is Average Share Return</w:t>
      </w:r>
    </w:p>
    <w:p w14:paraId="41A3A713" w14:textId="77777777" w:rsidR="00FF14F9" w:rsidRPr="00FF14F9" w:rsidRDefault="00FF14F9" w:rsidP="00FF14F9">
      <w:pPr>
        <w:rPr>
          <w:lang w:val="en-GB" w:eastAsia="zh-CN"/>
        </w:rPr>
      </w:pPr>
    </w:p>
    <w:p w14:paraId="7E21AEE1" w14:textId="23140ABD" w:rsidR="00FF14F9" w:rsidRDefault="003F2DD6" w:rsidP="00FF14F9">
      <w:pPr>
        <w:spacing w:line="360" w:lineRule="auto"/>
        <w:jc w:val="both"/>
        <w:rPr>
          <w:rStyle w:val="animating"/>
          <w:rFonts w:cs="Arial"/>
          <w:color w:val="1F1F1F"/>
          <w:sz w:val="24"/>
          <w:szCs w:val="20"/>
          <w:shd w:val="clear" w:color="auto" w:fill="FFFFFF"/>
        </w:rPr>
      </w:pPr>
      <w:r>
        <w:rPr>
          <w:rStyle w:val="animating"/>
          <w:rFonts w:cs="Arial"/>
          <w:color w:val="1F1F1F"/>
          <w:sz w:val="24"/>
          <w:szCs w:val="20"/>
          <w:shd w:val="clear" w:color="auto" w:fill="FFFFFF"/>
        </w:rPr>
        <w:t>According to (Fama and French, 2008), t</w:t>
      </w:r>
      <w:r w:rsidR="00FF14F9" w:rsidRPr="00FF14F9">
        <w:rPr>
          <w:rStyle w:val="animating"/>
          <w:rFonts w:cs="Arial"/>
          <w:color w:val="1F1F1F"/>
          <w:sz w:val="24"/>
          <w:szCs w:val="20"/>
          <w:shd w:val="clear" w:color="auto" w:fill="FFFFFF"/>
        </w:rPr>
        <w:t>he average share return measures how much money an investor makes or loses from buying and selling stocks over a certain period. It's like a monthly average of how much money an investor would have made if they had bought and held the stock for the whole time. This makes it easy to compare different stocks and different time periods.</w:t>
      </w:r>
    </w:p>
    <w:tbl>
      <w:tblPr>
        <w:tblpPr w:leftFromText="180" w:rightFromText="180" w:vertAnchor="text" w:horzAnchor="margin" w:tblpXSpec="center" w:tblpY="317"/>
        <w:tblW w:w="0" w:type="auto"/>
        <w:tblLook w:val="04A0" w:firstRow="1" w:lastRow="0" w:firstColumn="1" w:lastColumn="0" w:noHBand="0" w:noVBand="1"/>
      </w:tblPr>
      <w:tblGrid>
        <w:gridCol w:w="784"/>
        <w:gridCol w:w="997"/>
        <w:gridCol w:w="997"/>
        <w:gridCol w:w="997"/>
        <w:gridCol w:w="997"/>
        <w:gridCol w:w="1393"/>
        <w:gridCol w:w="1972"/>
      </w:tblGrid>
      <w:tr w:rsidR="003F2DD6" w:rsidRPr="000E10C2" w14:paraId="046F1C9A"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A17CFC"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Date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F44AA82"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Open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84E2AB3"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High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9C8D70A"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Low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8EE7572"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Close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F1C75F3"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w:t>
            </w:r>
            <w:proofErr w:type="spellStart"/>
            <w:r w:rsidRPr="000E10C2">
              <w:rPr>
                <w:rFonts w:ascii="Calibri" w:eastAsia="Times New Roman" w:hAnsi="Calibri" w:cs="Calibri"/>
                <w:color w:val="000000" w:themeColor="text1"/>
                <w:lang w:val="en-GB" w:eastAsia="en-GB"/>
              </w:rPr>
              <w:t>Adj</w:t>
            </w:r>
            <w:proofErr w:type="spellEnd"/>
            <w:r w:rsidRPr="000E10C2">
              <w:rPr>
                <w:rFonts w:ascii="Calibri" w:eastAsia="Times New Roman" w:hAnsi="Calibri" w:cs="Calibri"/>
                <w:color w:val="000000" w:themeColor="text1"/>
                <w:lang w:val="en-GB" w:eastAsia="en-GB"/>
              </w:rPr>
              <w:t xml:space="preserve"> Close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E5B575" w14:textId="77777777" w:rsidR="003F2DD6" w:rsidRPr="000E10C2" w:rsidRDefault="003F2DD6" w:rsidP="003F2DD6">
            <w:pP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 xml:space="preserve"> Yearly Average</w:t>
            </w:r>
          </w:p>
        </w:tc>
      </w:tr>
      <w:tr w:rsidR="003F2DD6" w:rsidRPr="000E10C2" w14:paraId="5EB18299"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90448"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2018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0160ACF"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170.00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8A97A12"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170.20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8BCDA54"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149.64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010C7E6"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152.90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ED16DF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108.22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73708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3.76%</w:t>
            </w:r>
          </w:p>
        </w:tc>
      </w:tr>
      <w:tr w:rsidR="003F2DD6" w:rsidRPr="000E10C2" w14:paraId="68B81EA8"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EC1C52"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2019</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F074F7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154.00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680E56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154.30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9EE1B80"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141.48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EA1F157"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146.76</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5B46967"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110.32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3C633E"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-0.93%</w:t>
            </w:r>
          </w:p>
        </w:tc>
      </w:tr>
      <w:tr w:rsidR="003F2DD6" w:rsidRPr="000E10C2" w14:paraId="5F9D33FF"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7D0AC3"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2020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A12E516"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123.68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1EB356A"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136.43</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76CF4B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119.78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9F57FE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120.94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A379B53"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94.01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4EAF05"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1.43%</w:t>
            </w:r>
          </w:p>
        </w:tc>
      </w:tr>
      <w:tr w:rsidR="003F2DD6" w:rsidRPr="000E10C2" w14:paraId="62D5E278"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E0AE08"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2021</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2812E1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107.44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0D10EC0"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115.58</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F2FCE05"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107.44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7FF4972"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112.26</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7B153A8"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97.32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E34B8B"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-0.75%</w:t>
            </w:r>
          </w:p>
        </w:tc>
      </w:tr>
      <w:tr w:rsidR="003F2DD6" w:rsidRPr="000E10C2" w14:paraId="371D6ED3" w14:textId="77777777" w:rsidTr="003F2DD6">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5E00AB" w14:textId="77777777" w:rsidR="003F2DD6" w:rsidRPr="000E10C2" w:rsidRDefault="003F2DD6" w:rsidP="003F2DD6">
            <w:pPr>
              <w:jc w:val="right"/>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2022</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B4C694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92.67</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D6EA0E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93.40</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81EAF68"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83.24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C3BF031"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84.24</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27A3F3F"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79.41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D93D9C" w14:textId="77777777" w:rsidR="003F2DD6" w:rsidRPr="000E10C2" w:rsidRDefault="003F2DD6" w:rsidP="003F2DD6">
            <w:pPr>
              <w:jc w:val="center"/>
              <w:rPr>
                <w:rFonts w:ascii="Calibri" w:eastAsia="Times New Roman" w:hAnsi="Calibri" w:cs="Calibri"/>
                <w:color w:val="000000" w:themeColor="text1"/>
                <w:lang w:val="en-GB" w:eastAsia="en-GB"/>
              </w:rPr>
            </w:pPr>
            <w:r w:rsidRPr="000E10C2">
              <w:rPr>
                <w:rFonts w:ascii="Calibri" w:eastAsia="Times New Roman" w:hAnsi="Calibri" w:cs="Calibri"/>
                <w:color w:val="000000" w:themeColor="text1"/>
                <w:lang w:val="en-GB" w:eastAsia="en-GB"/>
              </w:rPr>
              <w:t>2.30%</w:t>
            </w:r>
          </w:p>
        </w:tc>
      </w:tr>
    </w:tbl>
    <w:p w14:paraId="607EA465" w14:textId="77777777" w:rsidR="003F2DD6" w:rsidRDefault="003F2DD6" w:rsidP="00FF14F9">
      <w:pPr>
        <w:spacing w:line="360" w:lineRule="auto"/>
        <w:jc w:val="both"/>
        <w:rPr>
          <w:rFonts w:eastAsiaTheme="majorEastAsia" w:cstheme="majorBidi"/>
          <w:color w:val="1F3864" w:themeColor="accent1" w:themeShade="80"/>
          <w:szCs w:val="28"/>
          <w:lang w:val="en-GB" w:eastAsia="zh-CN"/>
        </w:rPr>
      </w:pPr>
    </w:p>
    <w:p w14:paraId="2FD61E6B" w14:textId="77777777" w:rsidR="003F2DD6" w:rsidRPr="00FF14F9" w:rsidRDefault="003F2DD6" w:rsidP="00FF14F9">
      <w:pPr>
        <w:spacing w:line="360" w:lineRule="auto"/>
        <w:jc w:val="both"/>
        <w:rPr>
          <w:rFonts w:eastAsiaTheme="majorEastAsia" w:cstheme="majorBidi"/>
          <w:color w:val="1F3864" w:themeColor="accent1" w:themeShade="80"/>
          <w:szCs w:val="28"/>
          <w:lang w:val="en-GB" w:eastAsia="zh-CN"/>
        </w:rPr>
      </w:pPr>
    </w:p>
    <w:p w14:paraId="1C10C6A8" w14:textId="77777777" w:rsidR="00DC613B" w:rsidRPr="00FF14F9" w:rsidRDefault="00DC613B" w:rsidP="00DC613B">
      <w:pPr>
        <w:rPr>
          <w:lang w:val="en-GB"/>
        </w:rPr>
      </w:pPr>
    </w:p>
    <w:p w14:paraId="6C591656" w14:textId="77777777" w:rsidR="00DC613B" w:rsidRPr="00DC613B" w:rsidRDefault="00DC613B" w:rsidP="00DC613B"/>
    <w:p w14:paraId="4B335EAC" w14:textId="77777777" w:rsidR="00DC613B" w:rsidRPr="00DC613B" w:rsidRDefault="00DC613B" w:rsidP="00DC613B"/>
    <w:p w14:paraId="4C38E45A" w14:textId="77777777" w:rsidR="00DC613B" w:rsidRPr="00DC613B" w:rsidRDefault="00DC613B" w:rsidP="00DC613B"/>
    <w:p w14:paraId="3503EE2C" w14:textId="77777777" w:rsidR="006F0270" w:rsidRPr="006F0270" w:rsidRDefault="006F0270" w:rsidP="006F0270">
      <w:pPr>
        <w:spacing w:line="360" w:lineRule="auto"/>
        <w:jc w:val="both"/>
        <w:rPr>
          <w:sz w:val="24"/>
          <w:szCs w:val="20"/>
          <w:lang w:val="en-GB"/>
        </w:rPr>
      </w:pPr>
    </w:p>
    <w:p w14:paraId="69765A26" w14:textId="68B3AC97" w:rsidR="00CF721D" w:rsidRDefault="003F2DD6" w:rsidP="003F2DD6">
      <w:pPr>
        <w:pStyle w:val="Caption"/>
        <w:jc w:val="center"/>
        <w:rPr>
          <w:sz w:val="24"/>
          <w:szCs w:val="24"/>
        </w:rPr>
      </w:pPr>
      <w:r w:rsidRPr="003F2DD6">
        <w:rPr>
          <w:sz w:val="24"/>
          <w:szCs w:val="24"/>
        </w:rPr>
        <w:t xml:space="preserve">Table </w:t>
      </w:r>
      <w:r>
        <w:rPr>
          <w:sz w:val="24"/>
          <w:szCs w:val="24"/>
        </w:rPr>
        <w:t>9</w:t>
      </w:r>
      <w:r w:rsidRPr="003F2DD6">
        <w:rPr>
          <w:sz w:val="24"/>
          <w:szCs w:val="24"/>
        </w:rPr>
        <w:t>: Average share of return</w:t>
      </w:r>
    </w:p>
    <w:p w14:paraId="0593FE1A" w14:textId="77777777" w:rsidR="003F2DD6" w:rsidRPr="003F2DD6" w:rsidRDefault="003F2DD6" w:rsidP="003F2DD6"/>
    <w:p w14:paraId="0B9F9288" w14:textId="77777777" w:rsidR="00CF721D" w:rsidRPr="00CF721D" w:rsidRDefault="00CF721D" w:rsidP="00CF721D"/>
    <w:p w14:paraId="61288B53" w14:textId="1D7E03CF" w:rsidR="001221EC" w:rsidRDefault="001221EC" w:rsidP="001221EC"/>
    <w:p w14:paraId="242D6199" w14:textId="3A2C2DCF" w:rsidR="001221EC" w:rsidRPr="001221EC" w:rsidRDefault="003F2DD6" w:rsidP="00CF721D">
      <w:pPr>
        <w:jc w:val="center"/>
      </w:pPr>
      <w:r>
        <w:rPr>
          <w:noProof/>
        </w:rPr>
        <w:pict w14:anchorId="4537E44A">
          <v:shapetype id="_x0000_t202" coordsize="21600,21600" o:spt="202" path="m,l,21600r21600,l21600,xe">
            <v:stroke joinstyle="miter"/>
            <v:path gradientshapeok="t" o:connecttype="rect"/>
          </v:shapetype>
          <v:shape id="_x0000_s2053" type="#_x0000_t202" style="position:absolute;left:0;text-align:left;margin-left:45.5pt;margin-top:-35.6pt;width:6in;height:36pt;z-index:251664384;mso-position-horizontal-relative:text;mso-position-vertical-relative:text" stroked="f">
            <v:textbox inset="0,0,0,0">
              <w:txbxContent>
                <w:p w14:paraId="0C3DCE9E" w14:textId="30018579" w:rsidR="003F2DD6" w:rsidRPr="00AD738D" w:rsidRDefault="003F2DD6" w:rsidP="003F2DD6">
                  <w:pPr>
                    <w:pStyle w:val="Caption"/>
                    <w:rPr>
                      <w:b/>
                      <w:bCs/>
                      <w:noProof/>
                      <w:color w:val="000000" w:themeColor="text1"/>
                      <w:sz w:val="28"/>
                    </w:rPr>
                  </w:pPr>
                </w:p>
              </w:txbxContent>
            </v:textbox>
            <w10:wrap type="square"/>
          </v:shape>
        </w:pict>
      </w:r>
      <w:r w:rsidRPr="000E10C2">
        <w:rPr>
          <w:b/>
          <w:bCs/>
          <w:noProof/>
          <w:color w:val="000000" w:themeColor="text1"/>
        </w:rPr>
        <w:drawing>
          <wp:anchor distT="0" distB="0" distL="114300" distR="114300" simplePos="0" relativeHeight="251660800" behindDoc="0" locked="0" layoutInCell="1" allowOverlap="1" wp14:anchorId="50D41B79" wp14:editId="62361C9D">
            <wp:simplePos x="0" y="0"/>
            <wp:positionH relativeFrom="column">
              <wp:posOffset>577850</wp:posOffset>
            </wp:positionH>
            <wp:positionV relativeFrom="paragraph">
              <wp:posOffset>5080</wp:posOffset>
            </wp:positionV>
            <wp:extent cx="5486400" cy="3200400"/>
            <wp:effectExtent l="0" t="0" r="0" b="0"/>
            <wp:wrapSquare wrapText="bothSides"/>
            <wp:docPr id="153341344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350881D6" w14:textId="77777777" w:rsidR="00A82974" w:rsidRDefault="00A82974" w:rsidP="00A82974"/>
    <w:p w14:paraId="4E101B82" w14:textId="77777777" w:rsidR="00A82974" w:rsidRPr="00A82974" w:rsidRDefault="00A82974" w:rsidP="00A82974"/>
    <w:p w14:paraId="345083AA" w14:textId="77777777" w:rsidR="00FB14A6" w:rsidRDefault="00FB14A6" w:rsidP="00FB14A6">
      <w:pPr>
        <w:spacing w:line="360" w:lineRule="auto"/>
        <w:jc w:val="both"/>
        <w:rPr>
          <w:sz w:val="24"/>
          <w:szCs w:val="20"/>
        </w:rPr>
      </w:pPr>
    </w:p>
    <w:p w14:paraId="687B0AD2" w14:textId="77777777" w:rsidR="00FB14A6" w:rsidRPr="00FB14A6" w:rsidRDefault="00FB14A6" w:rsidP="00FB14A6">
      <w:pPr>
        <w:spacing w:line="360" w:lineRule="auto"/>
        <w:jc w:val="both"/>
        <w:rPr>
          <w:sz w:val="24"/>
          <w:szCs w:val="20"/>
        </w:rPr>
      </w:pPr>
    </w:p>
    <w:p w14:paraId="6493CA4A" w14:textId="77777777" w:rsidR="00EC2E37" w:rsidRDefault="00EC2E37" w:rsidP="00EC2E37"/>
    <w:p w14:paraId="4BC2E813" w14:textId="77777777" w:rsidR="00EC2E37" w:rsidRPr="00EC2E37" w:rsidRDefault="00EC2E37" w:rsidP="00EC2E37"/>
    <w:p w14:paraId="6F5BAF36" w14:textId="77777777" w:rsidR="00A1246F" w:rsidRDefault="00A1246F" w:rsidP="00A1246F"/>
    <w:p w14:paraId="3FA9377D" w14:textId="77777777" w:rsidR="00A1246F" w:rsidRPr="00A1246F" w:rsidRDefault="00A1246F" w:rsidP="00A1246F"/>
    <w:p w14:paraId="1B6B946A" w14:textId="77777777" w:rsidR="006C330B" w:rsidRDefault="006C330B" w:rsidP="00163B46"/>
    <w:p w14:paraId="129BE827" w14:textId="77777777" w:rsidR="006C330B" w:rsidRDefault="006C330B" w:rsidP="00163B46"/>
    <w:p w14:paraId="01C1E0C5" w14:textId="77777777" w:rsidR="006C330B" w:rsidRDefault="006C330B" w:rsidP="00163B46"/>
    <w:p w14:paraId="626598CD" w14:textId="77777777" w:rsidR="006C330B" w:rsidRDefault="006C330B" w:rsidP="00163B46"/>
    <w:p w14:paraId="1FA0B7A2" w14:textId="77777777" w:rsidR="006C330B" w:rsidRDefault="006C330B" w:rsidP="00163B46"/>
    <w:p w14:paraId="7B8CD690" w14:textId="77777777" w:rsidR="006C330B" w:rsidRDefault="006C330B" w:rsidP="00163B46"/>
    <w:p w14:paraId="344F591B" w14:textId="77777777" w:rsidR="003F2DD6" w:rsidRDefault="003F2DD6" w:rsidP="003F2DD6">
      <w:pPr>
        <w:pStyle w:val="Caption"/>
      </w:pPr>
    </w:p>
    <w:p w14:paraId="1C01B13C" w14:textId="26C1F949" w:rsidR="003F2DD6" w:rsidRDefault="003F2DD6" w:rsidP="003F2DD6">
      <w:pPr>
        <w:pStyle w:val="Caption"/>
        <w:jc w:val="center"/>
        <w:rPr>
          <w:sz w:val="24"/>
          <w:szCs w:val="24"/>
        </w:rPr>
      </w:pPr>
      <w:r>
        <w:rPr>
          <w:sz w:val="24"/>
          <w:szCs w:val="24"/>
        </w:rPr>
        <w:t>Figure</w:t>
      </w:r>
      <w:r w:rsidRPr="003F2DD6">
        <w:rPr>
          <w:sz w:val="24"/>
          <w:szCs w:val="24"/>
        </w:rPr>
        <w:t xml:space="preserve"> </w:t>
      </w:r>
      <w:r>
        <w:rPr>
          <w:sz w:val="24"/>
          <w:szCs w:val="24"/>
        </w:rPr>
        <w:t>5</w:t>
      </w:r>
      <w:r w:rsidRPr="003F2DD6">
        <w:rPr>
          <w:sz w:val="24"/>
          <w:szCs w:val="24"/>
        </w:rPr>
        <w:t>: Showing the Average Share Per Return</w:t>
      </w:r>
    </w:p>
    <w:p w14:paraId="52C72849" w14:textId="764BA9A4" w:rsidR="003F2DD6" w:rsidRDefault="003F2DD6" w:rsidP="003F2DD6">
      <w:pPr>
        <w:pStyle w:val="Heading2"/>
        <w:rPr>
          <w:sz w:val="32"/>
          <w:szCs w:val="32"/>
        </w:rPr>
      </w:pPr>
      <w:r>
        <w:rPr>
          <w:sz w:val="32"/>
          <w:szCs w:val="32"/>
        </w:rPr>
        <w:t xml:space="preserve">10.1 Table Findings </w:t>
      </w:r>
    </w:p>
    <w:p w14:paraId="5BF02F18" w14:textId="77777777" w:rsidR="003F2DD6" w:rsidRDefault="003F2DD6" w:rsidP="003F2DD6"/>
    <w:p w14:paraId="46E1D9B0" w14:textId="6D1D886F" w:rsidR="003F2DD6" w:rsidRDefault="003F2DD6" w:rsidP="003F2DD6">
      <w:pPr>
        <w:spacing w:line="360" w:lineRule="auto"/>
        <w:rPr>
          <w:sz w:val="24"/>
          <w:szCs w:val="20"/>
        </w:rPr>
      </w:pPr>
      <w:r w:rsidRPr="003F2DD6">
        <w:rPr>
          <w:sz w:val="24"/>
          <w:szCs w:val="20"/>
        </w:rPr>
        <w:t xml:space="preserve">The investment's value went up in </w:t>
      </w:r>
      <w:r w:rsidRPr="003F2DD6">
        <w:rPr>
          <w:sz w:val="24"/>
          <w:szCs w:val="20"/>
        </w:rPr>
        <w:t>2018 but</w:t>
      </w:r>
      <w:r w:rsidRPr="003F2DD6">
        <w:rPr>
          <w:sz w:val="24"/>
          <w:szCs w:val="20"/>
        </w:rPr>
        <w:t xml:space="preserve"> went down a little in 2019. It made some money in </w:t>
      </w:r>
      <w:r w:rsidRPr="003F2DD6">
        <w:rPr>
          <w:sz w:val="24"/>
          <w:szCs w:val="20"/>
        </w:rPr>
        <w:t>2020 but</w:t>
      </w:r>
      <w:r w:rsidRPr="003F2DD6">
        <w:rPr>
          <w:sz w:val="24"/>
          <w:szCs w:val="20"/>
        </w:rPr>
        <w:t xml:space="preserve"> lost a little in 2021. In 2022, it made a good amount of money. This shows that the </w:t>
      </w:r>
      <w:r w:rsidRPr="003F2DD6">
        <w:rPr>
          <w:sz w:val="24"/>
          <w:szCs w:val="20"/>
        </w:rPr>
        <w:lastRenderedPageBreak/>
        <w:t>investment can handle different market conditions.</w:t>
      </w:r>
    </w:p>
    <w:p w14:paraId="48559F28" w14:textId="17C605B8" w:rsidR="003F2DD6" w:rsidRDefault="003F2DD6" w:rsidP="003F2DD6">
      <w:pPr>
        <w:pStyle w:val="Heading1"/>
      </w:pPr>
      <w:r>
        <w:t>11. Weighted Average Cost of Capital (WACC)</w:t>
      </w:r>
    </w:p>
    <w:p w14:paraId="09BF7CAC" w14:textId="77777777" w:rsidR="003F2DD6" w:rsidRDefault="003F2DD6" w:rsidP="003F2DD6"/>
    <w:p w14:paraId="5A6250F5" w14:textId="158BB2DD" w:rsidR="003F2DD6" w:rsidRPr="003F2DD6" w:rsidRDefault="00EF4E6C" w:rsidP="003F2DD6">
      <w:pPr>
        <w:spacing w:line="360" w:lineRule="auto"/>
        <w:jc w:val="both"/>
        <w:rPr>
          <w:sz w:val="24"/>
          <w:szCs w:val="20"/>
        </w:rPr>
      </w:pPr>
      <w:r>
        <w:rPr>
          <w:sz w:val="24"/>
          <w:szCs w:val="20"/>
        </w:rPr>
        <w:t>According to (Frank and Shen, 2016), i</w:t>
      </w:r>
      <w:r w:rsidR="003F2DD6" w:rsidRPr="003F2DD6">
        <w:rPr>
          <w:sz w:val="24"/>
          <w:szCs w:val="20"/>
        </w:rPr>
        <w:t xml:space="preserve">magine a company needs money to run its business. This money comes from different sources, such as loans, selling shares, and issuing bonds. Each of these sources has a different cost, like the interest paid on a loan. The weighted average cost of capital (WACC) is like the average cost of all these different sources of money. It's like the overall rate a company </w:t>
      </w:r>
      <w:proofErr w:type="gramStart"/>
      <w:r w:rsidR="003F2DD6" w:rsidRPr="003F2DD6">
        <w:rPr>
          <w:sz w:val="24"/>
          <w:szCs w:val="20"/>
        </w:rPr>
        <w:t>has to</w:t>
      </w:r>
      <w:proofErr w:type="gramEnd"/>
      <w:r w:rsidR="003F2DD6" w:rsidRPr="003F2DD6">
        <w:rPr>
          <w:sz w:val="24"/>
          <w:szCs w:val="20"/>
        </w:rPr>
        <w:t xml:space="preserve"> pay to fund its operations.</w:t>
      </w:r>
    </w:p>
    <w:p w14:paraId="184FFC49" w14:textId="4C0C5F98" w:rsidR="003F2DD6" w:rsidRPr="003F2DD6" w:rsidRDefault="003F2DD6" w:rsidP="003F2DD6">
      <w:pPr>
        <w:spacing w:line="360" w:lineRule="auto"/>
        <w:jc w:val="both"/>
        <w:rPr>
          <w:sz w:val="24"/>
          <w:szCs w:val="20"/>
        </w:rPr>
      </w:pPr>
      <w:r w:rsidRPr="003F2DD6">
        <w:rPr>
          <w:sz w:val="24"/>
          <w:szCs w:val="20"/>
        </w:rPr>
        <w:t>WACC is important because it helps companies decide which projects to invest in. If a project's expected return is higher than WACC, it's a good investment because it will increase the company's value. But if a project's expected return is lower than WACC, it's a bad investment because it will decrease the company's value.</w:t>
      </w:r>
    </w:p>
    <w:p w14:paraId="38DAB678" w14:textId="4F8E2C9F" w:rsidR="003F2DD6" w:rsidRDefault="003F2DD6" w:rsidP="003F2DD6">
      <w:pPr>
        <w:spacing w:line="360" w:lineRule="auto"/>
        <w:jc w:val="both"/>
        <w:rPr>
          <w:sz w:val="24"/>
          <w:szCs w:val="20"/>
        </w:rPr>
      </w:pPr>
      <w:r w:rsidRPr="003F2DD6">
        <w:rPr>
          <w:sz w:val="24"/>
          <w:szCs w:val="20"/>
        </w:rPr>
        <w:t>So, WACC is a key measure in corporate finance and investing. It helps companies make decisions that will create value for their shareholders.</w:t>
      </w:r>
    </w:p>
    <w:p w14:paraId="298C1D32" w14:textId="77777777" w:rsidR="00EF4E6C" w:rsidRDefault="00EF4E6C" w:rsidP="003F2DD6">
      <w:pPr>
        <w:spacing w:line="360" w:lineRule="auto"/>
        <w:jc w:val="both"/>
        <w:rPr>
          <w:sz w:val="24"/>
          <w:szCs w:val="20"/>
        </w:rPr>
      </w:pPr>
    </w:p>
    <w:p w14:paraId="7803D076" w14:textId="77777777" w:rsidR="00EF4E6C" w:rsidRPr="00EF4E6C" w:rsidRDefault="00EF4E6C" w:rsidP="00EF4E6C">
      <w:pPr>
        <w:tabs>
          <w:tab w:val="left" w:pos="2844"/>
        </w:tabs>
        <w:spacing w:line="360" w:lineRule="auto"/>
        <w:rPr>
          <w:rFonts w:cs="Arial"/>
          <w:b/>
          <w:bCs/>
          <w:i/>
          <w:iCs/>
          <w:color w:val="000000" w:themeColor="text1"/>
          <w:sz w:val="24"/>
          <w:szCs w:val="24"/>
        </w:rPr>
      </w:pPr>
      <w:r w:rsidRPr="00EF4E6C">
        <w:rPr>
          <w:rFonts w:cs="Arial"/>
          <w:b/>
          <w:bCs/>
          <w:i/>
          <w:iCs/>
          <w:color w:val="000000" w:themeColor="text1"/>
          <w:sz w:val="24"/>
          <w:szCs w:val="24"/>
        </w:rPr>
        <w:t xml:space="preserve">Weighted average cost of capital (WACC) Formula </w:t>
      </w:r>
    </w:p>
    <w:p w14:paraId="456126F1" w14:textId="77777777" w:rsidR="00EF4E6C" w:rsidRPr="00EF4E6C" w:rsidRDefault="00EF4E6C" w:rsidP="00EF4E6C">
      <w:pPr>
        <w:spacing w:line="360" w:lineRule="auto"/>
        <w:rPr>
          <w:rFonts w:eastAsia="Times New Roman" w:cs="Arial"/>
          <w:color w:val="000000" w:themeColor="text1"/>
          <w:sz w:val="24"/>
          <w:szCs w:val="24"/>
          <w:lang w:val="en-GB" w:eastAsia="en-GB"/>
        </w:rPr>
      </w:pPr>
      <w:r w:rsidRPr="00EF4E6C">
        <w:rPr>
          <w:rFonts w:eastAsia="Times New Roman" w:cs="Arial"/>
          <w:color w:val="000000" w:themeColor="text1"/>
          <w:sz w:val="24"/>
          <w:szCs w:val="24"/>
          <w:lang w:val="en-GB" w:eastAsia="en-GB"/>
        </w:rPr>
        <w:t xml:space="preserve">WACC Formula = (E/V * Ke) + (D/V) * </w:t>
      </w:r>
      <w:proofErr w:type="spellStart"/>
      <w:r w:rsidRPr="00EF4E6C">
        <w:rPr>
          <w:rFonts w:eastAsia="Times New Roman" w:cs="Arial"/>
          <w:color w:val="000000" w:themeColor="text1"/>
          <w:sz w:val="24"/>
          <w:szCs w:val="24"/>
          <w:lang w:val="en-GB" w:eastAsia="en-GB"/>
        </w:rPr>
        <w:t>Kd</w:t>
      </w:r>
      <w:proofErr w:type="spellEnd"/>
      <w:r w:rsidRPr="00EF4E6C">
        <w:rPr>
          <w:rFonts w:eastAsia="Times New Roman" w:cs="Arial"/>
          <w:color w:val="000000" w:themeColor="text1"/>
          <w:sz w:val="24"/>
          <w:szCs w:val="24"/>
          <w:lang w:val="en-GB" w:eastAsia="en-GB"/>
        </w:rPr>
        <w:t xml:space="preserve"> * (1 – Tax rate)</w:t>
      </w:r>
    </w:p>
    <w:p w14:paraId="3B1FD0EE" w14:textId="77777777" w:rsidR="00EF4E6C" w:rsidRPr="00EF4E6C" w:rsidRDefault="00EF4E6C" w:rsidP="00EF4E6C">
      <w:pPr>
        <w:spacing w:line="360" w:lineRule="auto"/>
        <w:rPr>
          <w:rFonts w:eastAsia="Times New Roman" w:cs="Arial"/>
          <w:color w:val="000000" w:themeColor="text1"/>
          <w:sz w:val="24"/>
          <w:szCs w:val="24"/>
          <w:lang w:val="en-GB" w:eastAsia="en-GB"/>
        </w:rPr>
      </w:pPr>
    </w:p>
    <w:p w14:paraId="4E9F0B15"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We – Working equity that shows Total Equity.</w:t>
      </w:r>
    </w:p>
    <w:p w14:paraId="46790F8D"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V – Total market value of equity and debt</w:t>
      </w:r>
    </w:p>
    <w:p w14:paraId="2D5675C8"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Ke – Cost of equity.</w:t>
      </w:r>
    </w:p>
    <w:p w14:paraId="68F14029" w14:textId="77777777" w:rsidR="00EF4E6C" w:rsidRPr="00EF4E6C" w:rsidRDefault="00EF4E6C" w:rsidP="00EF4E6C">
      <w:pPr>
        <w:tabs>
          <w:tab w:val="left" w:pos="2844"/>
        </w:tabs>
        <w:spacing w:line="360" w:lineRule="auto"/>
        <w:rPr>
          <w:rFonts w:cs="Arial"/>
          <w:color w:val="000000" w:themeColor="text1"/>
          <w:sz w:val="24"/>
          <w:szCs w:val="24"/>
        </w:rPr>
      </w:pPr>
      <w:r w:rsidRPr="00EF4E6C">
        <w:rPr>
          <w:rFonts w:cs="Arial"/>
          <w:color w:val="000000" w:themeColor="text1"/>
          <w:sz w:val="24"/>
          <w:szCs w:val="24"/>
        </w:rPr>
        <w:t>Wd – Value of debt that includes long term debt.</w:t>
      </w:r>
    </w:p>
    <w:p w14:paraId="0A37622E" w14:textId="77777777" w:rsidR="00EF4E6C" w:rsidRPr="00EF4E6C" w:rsidRDefault="00EF4E6C" w:rsidP="00EF4E6C">
      <w:pPr>
        <w:tabs>
          <w:tab w:val="left" w:pos="2844"/>
        </w:tabs>
        <w:spacing w:line="360" w:lineRule="auto"/>
        <w:rPr>
          <w:rFonts w:cs="Arial"/>
          <w:color w:val="000000" w:themeColor="text1"/>
          <w:sz w:val="24"/>
          <w:szCs w:val="24"/>
        </w:rPr>
      </w:pPr>
      <w:proofErr w:type="spellStart"/>
      <w:r w:rsidRPr="00EF4E6C">
        <w:rPr>
          <w:rFonts w:cs="Arial"/>
          <w:color w:val="000000" w:themeColor="text1"/>
          <w:sz w:val="24"/>
          <w:szCs w:val="24"/>
        </w:rPr>
        <w:t>Kd</w:t>
      </w:r>
      <w:proofErr w:type="spellEnd"/>
      <w:r w:rsidRPr="00EF4E6C">
        <w:rPr>
          <w:rFonts w:cs="Arial"/>
          <w:color w:val="000000" w:themeColor="text1"/>
          <w:sz w:val="24"/>
          <w:szCs w:val="24"/>
        </w:rPr>
        <w:t xml:space="preserve"> – Cost of Debt.</w:t>
      </w:r>
    </w:p>
    <w:p w14:paraId="09BE26CD" w14:textId="77777777" w:rsidR="00EF4E6C" w:rsidRPr="00EF4E6C" w:rsidRDefault="00EF4E6C" w:rsidP="00EF4E6C">
      <w:pPr>
        <w:tabs>
          <w:tab w:val="left" w:pos="2844"/>
        </w:tabs>
        <w:spacing w:line="360" w:lineRule="auto"/>
        <w:rPr>
          <w:rFonts w:cs="Arial"/>
          <w:b/>
          <w:bCs/>
          <w:color w:val="000000" w:themeColor="text1"/>
          <w:sz w:val="24"/>
          <w:szCs w:val="24"/>
        </w:rPr>
      </w:pPr>
      <w:r w:rsidRPr="00EF4E6C">
        <w:rPr>
          <w:rFonts w:cs="Arial"/>
          <w:color w:val="000000" w:themeColor="text1"/>
          <w:sz w:val="24"/>
          <w:szCs w:val="24"/>
        </w:rPr>
        <w:t xml:space="preserve">Cost of Debt = Interest rate x (1 – Tax rate) </w:t>
      </w:r>
      <w:r w:rsidRPr="00EF4E6C">
        <w:rPr>
          <w:rFonts w:cs="Arial"/>
          <w:b/>
          <w:bCs/>
          <w:color w:val="000000" w:themeColor="text1"/>
          <w:sz w:val="24"/>
          <w:szCs w:val="24"/>
        </w:rPr>
        <w:t>UK Corporation tax rate in 2022 was 19% in 2023 Corporation tax rate is 25%</w:t>
      </w:r>
    </w:p>
    <w:p w14:paraId="0BFCB04A" w14:textId="77777777" w:rsidR="00EF4E6C" w:rsidRDefault="00EF4E6C" w:rsidP="003F2DD6">
      <w:pPr>
        <w:spacing w:line="360" w:lineRule="auto"/>
        <w:jc w:val="both"/>
        <w:rPr>
          <w:sz w:val="24"/>
          <w:szCs w:val="20"/>
        </w:rPr>
      </w:pPr>
    </w:p>
    <w:p w14:paraId="64B7E7CE"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xml:space="preserve">As per Vodafone Annual report 2022 </w:t>
      </w:r>
      <w:r w:rsidRPr="00EF4E6C">
        <w:rPr>
          <w:b/>
          <w:bCs/>
          <w:color w:val="000000" w:themeColor="text1"/>
          <w:sz w:val="24"/>
          <w:szCs w:val="20"/>
        </w:rPr>
        <w:t>(Figures in Euro Million)</w:t>
      </w:r>
    </w:p>
    <w:p w14:paraId="7E44B940"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Long-term Debt = €58,131</w:t>
      </w:r>
    </w:p>
    <w:p w14:paraId="2D83D046"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Total Equity = €56,977</w:t>
      </w:r>
    </w:p>
    <w:p w14:paraId="34D9E95E"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Total market value of equity and debt = €115,108</w:t>
      </w:r>
    </w:p>
    <w:p w14:paraId="26DA901E"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Dividend per share = €9.00</w:t>
      </w:r>
    </w:p>
    <w:p w14:paraId="29D7A7FD"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Current market value of Vodafone Stock (LSE) on 16/08/2023 = 70.54</w:t>
      </w:r>
    </w:p>
    <w:p w14:paraId="51546DA0"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Dividend Growth rate = 0.00</w:t>
      </w:r>
    </w:p>
    <w:p w14:paraId="2EFE6F5D"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Cost of equity = 12.65%</w:t>
      </w:r>
    </w:p>
    <w:p w14:paraId="72030D43"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Total interest paid in 2022 as per Annual report = €1,804</w:t>
      </w:r>
    </w:p>
    <w:p w14:paraId="7A20B24E"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lastRenderedPageBreak/>
        <w:t>Cost of Debt = 3.10%</w:t>
      </w:r>
    </w:p>
    <w:p w14:paraId="53655AFD"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xml:space="preserve">Here, is the calculation of WACC (E/V * Ke) + (D/V) * </w:t>
      </w:r>
      <w:proofErr w:type="spellStart"/>
      <w:r w:rsidRPr="00EF4E6C">
        <w:rPr>
          <w:color w:val="000000" w:themeColor="text1"/>
          <w:sz w:val="24"/>
          <w:szCs w:val="20"/>
        </w:rPr>
        <w:t>Kd</w:t>
      </w:r>
      <w:proofErr w:type="spellEnd"/>
      <w:r w:rsidRPr="00EF4E6C">
        <w:rPr>
          <w:color w:val="000000" w:themeColor="text1"/>
          <w:sz w:val="24"/>
          <w:szCs w:val="20"/>
        </w:rPr>
        <w:t xml:space="preserve"> * (1 – Tax rate)</w:t>
      </w:r>
    </w:p>
    <w:p w14:paraId="7260711A"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(56,977/115,108*12.65%) + (58,131/115,108) *3.10%*(1-19%)</w:t>
      </w:r>
    </w:p>
    <w:p w14:paraId="78DFE070"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0.062630745 + (58,131/115,108) *3.10%*(1-19%)</w:t>
      </w:r>
    </w:p>
    <w:p w14:paraId="3FB21B67"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0.062630745 + 0.012680868</w:t>
      </w:r>
    </w:p>
    <w:p w14:paraId="2ED21BDB" w14:textId="77777777" w:rsidR="00EF4E6C" w:rsidRPr="00EF4E6C" w:rsidRDefault="00EF4E6C" w:rsidP="00EF4E6C">
      <w:pPr>
        <w:tabs>
          <w:tab w:val="left" w:pos="2844"/>
        </w:tabs>
        <w:spacing w:line="360" w:lineRule="auto"/>
        <w:rPr>
          <w:color w:val="000000" w:themeColor="text1"/>
          <w:sz w:val="24"/>
          <w:szCs w:val="20"/>
        </w:rPr>
      </w:pPr>
      <w:r w:rsidRPr="00EF4E6C">
        <w:rPr>
          <w:color w:val="000000" w:themeColor="text1"/>
          <w:sz w:val="24"/>
          <w:szCs w:val="20"/>
        </w:rPr>
        <w:t>= 0.0753*100</w:t>
      </w:r>
    </w:p>
    <w:p w14:paraId="4D836771" w14:textId="77777777" w:rsidR="00EF4E6C" w:rsidRDefault="00EF4E6C" w:rsidP="00EF4E6C">
      <w:pPr>
        <w:tabs>
          <w:tab w:val="left" w:pos="2844"/>
        </w:tabs>
        <w:spacing w:line="360" w:lineRule="auto"/>
        <w:rPr>
          <w:b/>
          <w:bCs/>
          <w:color w:val="000000" w:themeColor="text1"/>
          <w:sz w:val="24"/>
          <w:szCs w:val="20"/>
        </w:rPr>
      </w:pPr>
      <w:r w:rsidRPr="00EF4E6C">
        <w:rPr>
          <w:color w:val="000000" w:themeColor="text1"/>
          <w:sz w:val="24"/>
          <w:szCs w:val="20"/>
        </w:rPr>
        <w:t>=</w:t>
      </w:r>
      <w:r w:rsidRPr="00EF4E6C">
        <w:rPr>
          <w:b/>
          <w:bCs/>
          <w:color w:val="000000" w:themeColor="text1"/>
          <w:sz w:val="24"/>
          <w:szCs w:val="20"/>
        </w:rPr>
        <w:t>7.53 WACC of Vodafone 2022</w:t>
      </w:r>
    </w:p>
    <w:p w14:paraId="1969D300" w14:textId="62152199" w:rsidR="00EF4E6C" w:rsidRDefault="00EF4E6C" w:rsidP="00EF4E6C">
      <w:pPr>
        <w:pStyle w:val="Heading2"/>
        <w:rPr>
          <w:sz w:val="32"/>
          <w:szCs w:val="32"/>
        </w:rPr>
      </w:pPr>
      <w:r>
        <w:rPr>
          <w:sz w:val="32"/>
          <w:szCs w:val="32"/>
        </w:rPr>
        <w:t xml:space="preserve">11.2 Explanation of Calculation </w:t>
      </w:r>
    </w:p>
    <w:p w14:paraId="163026B0" w14:textId="5048F006" w:rsidR="003C634D" w:rsidRDefault="00EF4E6C" w:rsidP="003C634D">
      <w:pPr>
        <w:widowControl/>
        <w:autoSpaceDE/>
        <w:autoSpaceDN/>
        <w:spacing w:before="360" w:after="360" w:line="360" w:lineRule="auto"/>
        <w:jc w:val="both"/>
        <w:rPr>
          <w:rFonts w:eastAsia="Times New Roman" w:cs="Arial"/>
          <w:sz w:val="24"/>
          <w:szCs w:val="24"/>
          <w:lang w:val="en-GB" w:eastAsia="zh-CN"/>
        </w:rPr>
      </w:pPr>
      <w:r w:rsidRPr="00EF4E6C">
        <w:rPr>
          <w:rFonts w:eastAsia="Times New Roman" w:cs="Arial"/>
          <w:sz w:val="24"/>
          <w:szCs w:val="24"/>
          <w:lang w:val="en-GB" w:eastAsia="zh-CN"/>
        </w:rPr>
        <w:t>Vodafone, a telecommunications company, considers both the cost of equity (money raised from investors) and the cost of debt (money borrowed from lenders) when determining its weighted average cost of capital (WACC) for 2022. In 2022, the cost of equity was calculated to be 5.78%, while the cost of debt was 3.10%. These two costs are combined to get a WACC of 7.53%. This means that the average cost of borrowing capital for Vodafone in 2022 was 7.53%.</w:t>
      </w:r>
    </w:p>
    <w:p w14:paraId="6D3173C7" w14:textId="77D952D4" w:rsidR="003C634D" w:rsidRDefault="003C634D" w:rsidP="003C634D">
      <w:pPr>
        <w:pStyle w:val="Heading1"/>
        <w:rPr>
          <w:lang w:val="en-GB" w:eastAsia="zh-CN"/>
        </w:rPr>
      </w:pPr>
      <w:r>
        <w:rPr>
          <w:lang w:val="en-GB" w:eastAsia="zh-CN"/>
        </w:rPr>
        <w:t>12. Critical Analysis of Ratio</w:t>
      </w:r>
    </w:p>
    <w:p w14:paraId="58662D3A" w14:textId="77777777" w:rsidR="003C634D" w:rsidRDefault="003C634D" w:rsidP="003C634D">
      <w:pPr>
        <w:rPr>
          <w:lang w:val="en-GB" w:eastAsia="zh-CN"/>
        </w:rPr>
      </w:pPr>
    </w:p>
    <w:p w14:paraId="126F2B19" w14:textId="162A034C" w:rsidR="003C634D" w:rsidRDefault="003C634D" w:rsidP="003C634D">
      <w:pPr>
        <w:spacing w:line="360" w:lineRule="auto"/>
        <w:jc w:val="both"/>
        <w:rPr>
          <w:sz w:val="24"/>
          <w:szCs w:val="20"/>
          <w:lang w:val="en-GB" w:eastAsia="zh-CN"/>
        </w:rPr>
      </w:pPr>
      <w:r w:rsidRPr="003C634D">
        <w:rPr>
          <w:sz w:val="24"/>
          <w:szCs w:val="20"/>
          <w:lang w:val="en-GB" w:eastAsia="zh-CN"/>
        </w:rPr>
        <w:t>The offered analysis examines the liquidity ratio and leverage ratio of three well-known corporations during a five-year period: BT Limited, Vodafone Limited, and Three Limited. These ratios provide insights into a company's ability to meet its short-term obligations (liquidity ratio) and its financial risk (leverage ratio).</w:t>
      </w:r>
    </w:p>
    <w:p w14:paraId="352F48C2" w14:textId="77777777" w:rsidR="003C634D" w:rsidRDefault="003C634D" w:rsidP="003C634D">
      <w:pPr>
        <w:pStyle w:val="NormalWeb"/>
        <w:shd w:val="clear" w:color="auto" w:fill="FFFFFF"/>
        <w:spacing w:before="0" w:beforeAutospacing="0" w:after="360" w:afterAutospacing="0"/>
        <w:rPr>
          <w:rFonts w:ascii="Arial" w:hAnsi="Arial" w:cs="Arial"/>
          <w:color w:val="1F1F1F"/>
        </w:rPr>
      </w:pPr>
      <w:r>
        <w:rPr>
          <w:rFonts w:ascii="Arial" w:hAnsi="Arial" w:cs="Arial"/>
          <w:color w:val="1F1F1F"/>
        </w:rPr>
        <w:br/>
        <w:t>Sure, here is a more detailed explanation of the text:</w:t>
      </w:r>
    </w:p>
    <w:p w14:paraId="720712BE" w14:textId="77777777" w:rsidR="003C634D" w:rsidRDefault="003C634D" w:rsidP="003C634D">
      <w:pPr>
        <w:pStyle w:val="NormalWeb"/>
        <w:shd w:val="clear" w:color="auto" w:fill="FFFFFF"/>
        <w:spacing w:before="360" w:beforeAutospacing="0" w:after="360" w:afterAutospacing="0"/>
        <w:rPr>
          <w:rFonts w:ascii="Arial" w:hAnsi="Arial" w:cs="Arial"/>
          <w:color w:val="1F1F1F"/>
        </w:rPr>
      </w:pPr>
      <w:r>
        <w:rPr>
          <w:rStyle w:val="Strong"/>
          <w:rFonts w:ascii="Arial" w:hAnsi="Arial" w:cs="Arial"/>
          <w:b w:val="0"/>
          <w:bCs w:val="0"/>
          <w:color w:val="1F1F1F"/>
        </w:rPr>
        <w:t>Background</w:t>
      </w:r>
    </w:p>
    <w:p w14:paraId="1466E751" w14:textId="77777777" w:rsidR="003C634D" w:rsidRDefault="003C634D" w:rsidP="003C634D">
      <w:pPr>
        <w:pStyle w:val="NormalWeb"/>
        <w:shd w:val="clear" w:color="auto" w:fill="FFFFFF"/>
        <w:spacing w:before="360" w:beforeAutospacing="0" w:after="360" w:afterAutospacing="0"/>
        <w:rPr>
          <w:rFonts w:ascii="Arial" w:hAnsi="Arial" w:cs="Arial"/>
          <w:color w:val="1F1F1F"/>
        </w:rPr>
      </w:pPr>
      <w:r>
        <w:rPr>
          <w:rFonts w:ascii="Arial" w:hAnsi="Arial" w:cs="Arial"/>
          <w:color w:val="1F1F1F"/>
        </w:rPr>
        <w:t>The offered analysis examines the liquidity ratio and leverage ratio of three well-known corporations during a five-year period: BT Limited, Vodafone Limited, and Three Limited. These ratios provide insights into a company's ability to meet its short-term obligations (liquidity ratio) and its financial risk (leverage ratio).</w:t>
      </w:r>
    </w:p>
    <w:p w14:paraId="4AC4DA07" w14:textId="77777777" w:rsidR="003C634D" w:rsidRDefault="003C634D" w:rsidP="003C634D">
      <w:pPr>
        <w:pStyle w:val="NormalWeb"/>
        <w:shd w:val="clear" w:color="auto" w:fill="FFFFFF"/>
        <w:spacing w:before="360" w:beforeAutospacing="0" w:after="360" w:afterAutospacing="0" w:line="360" w:lineRule="auto"/>
        <w:jc w:val="both"/>
        <w:rPr>
          <w:rFonts w:ascii="Arial" w:hAnsi="Arial" w:cs="Arial"/>
          <w:color w:val="1F1F1F"/>
        </w:rPr>
      </w:pPr>
      <w:r>
        <w:rPr>
          <w:rStyle w:val="Strong"/>
          <w:rFonts w:ascii="Arial" w:hAnsi="Arial" w:cs="Arial"/>
          <w:b w:val="0"/>
          <w:bCs w:val="0"/>
          <w:color w:val="1F1F1F"/>
        </w:rPr>
        <w:t>Advantages</w:t>
      </w:r>
    </w:p>
    <w:p w14:paraId="7CED22F2" w14:textId="77777777" w:rsidR="003C634D" w:rsidRDefault="003C634D" w:rsidP="003C634D">
      <w:pPr>
        <w:pStyle w:val="NormalWeb"/>
        <w:numPr>
          <w:ilvl w:val="0"/>
          <w:numId w:val="11"/>
        </w:numPr>
        <w:shd w:val="clear" w:color="auto" w:fill="FFFFFF"/>
        <w:spacing w:before="0" w:beforeAutospacing="0" w:after="360" w:afterAutospacing="0" w:line="360" w:lineRule="auto"/>
        <w:jc w:val="both"/>
        <w:rPr>
          <w:rFonts w:ascii="Arial" w:hAnsi="Arial" w:cs="Arial"/>
          <w:color w:val="1F1F1F"/>
        </w:rPr>
      </w:pPr>
      <w:r>
        <w:rPr>
          <w:rStyle w:val="Strong"/>
          <w:rFonts w:ascii="Arial" w:hAnsi="Arial" w:cs="Arial"/>
          <w:b w:val="0"/>
          <w:bCs w:val="0"/>
          <w:color w:val="1F1F1F"/>
        </w:rPr>
        <w:t>Comprehensive overview of financial health:</w:t>
      </w:r>
      <w:r>
        <w:rPr>
          <w:rFonts w:ascii="Arial" w:hAnsi="Arial" w:cs="Arial"/>
          <w:color w:val="1F1F1F"/>
        </w:rPr>
        <w:t xml:space="preserve"> The report provides a comprehensive overview of the financial health of the three companies, </w:t>
      </w:r>
      <w:proofErr w:type="gramStart"/>
      <w:r>
        <w:rPr>
          <w:rFonts w:ascii="Arial" w:hAnsi="Arial" w:cs="Arial"/>
          <w:color w:val="1F1F1F"/>
        </w:rPr>
        <w:t>taking into account</w:t>
      </w:r>
      <w:proofErr w:type="gramEnd"/>
      <w:r>
        <w:rPr>
          <w:rFonts w:ascii="Arial" w:hAnsi="Arial" w:cs="Arial"/>
          <w:color w:val="1F1F1F"/>
        </w:rPr>
        <w:t xml:space="preserve"> liquidity, debt management, and cash holding capacity. This detailed examination allows stakeholders to assess each company's overall financial viability.</w:t>
      </w:r>
    </w:p>
    <w:p w14:paraId="291941AC" w14:textId="59C9DDA8" w:rsidR="003C634D" w:rsidRDefault="003C634D" w:rsidP="003C634D">
      <w:pPr>
        <w:pStyle w:val="NormalWeb"/>
        <w:numPr>
          <w:ilvl w:val="0"/>
          <w:numId w:val="11"/>
        </w:numPr>
        <w:shd w:val="clear" w:color="auto" w:fill="FFFFFF"/>
        <w:spacing w:before="0" w:beforeAutospacing="0" w:after="360" w:afterAutospacing="0" w:line="360" w:lineRule="auto"/>
        <w:jc w:val="both"/>
        <w:rPr>
          <w:rFonts w:ascii="Arial" w:hAnsi="Arial" w:cs="Arial"/>
          <w:color w:val="1F1F1F"/>
        </w:rPr>
      </w:pPr>
      <w:r>
        <w:rPr>
          <w:rStyle w:val="Strong"/>
          <w:rFonts w:ascii="Arial" w:hAnsi="Arial" w:cs="Arial"/>
          <w:b w:val="0"/>
          <w:bCs w:val="0"/>
          <w:color w:val="1F1F1F"/>
        </w:rPr>
        <w:lastRenderedPageBreak/>
        <w:t>Benchmarking and trend identification:</w:t>
      </w:r>
      <w:r>
        <w:rPr>
          <w:rFonts w:ascii="Arial" w:hAnsi="Arial" w:cs="Arial"/>
          <w:color w:val="1F1F1F"/>
        </w:rPr>
        <w:t xml:space="preserve"> The analysis provides important insights into the relative strengths and weaknesses of the three companies by comparing their performance over the same </w:t>
      </w:r>
      <w:proofErr w:type="gramStart"/>
      <w:r>
        <w:rPr>
          <w:rFonts w:ascii="Arial" w:hAnsi="Arial" w:cs="Arial"/>
          <w:color w:val="1F1F1F"/>
        </w:rPr>
        <w:t>time period</w:t>
      </w:r>
      <w:proofErr w:type="gramEnd"/>
      <w:r>
        <w:rPr>
          <w:rFonts w:ascii="Arial" w:hAnsi="Arial" w:cs="Arial"/>
          <w:color w:val="1F1F1F"/>
        </w:rPr>
        <w:t>. This makes benchmarking easier and makes it easier to spot market trends. This comparative analysis allows stakeholders to identify which company is performing better in terms of liquidity and leverage management. Additionally, by tracking changes in these ratios over time, stakeholders can identify trends in the companies' financial health.</w:t>
      </w:r>
    </w:p>
    <w:p w14:paraId="4CE586E8" w14:textId="0690CDEE" w:rsidR="003C634D" w:rsidRPr="003C634D" w:rsidRDefault="003C634D" w:rsidP="003C634D">
      <w:pPr>
        <w:pStyle w:val="NormalWeb"/>
        <w:shd w:val="clear" w:color="auto" w:fill="FFFFFF"/>
        <w:spacing w:after="360" w:line="360" w:lineRule="auto"/>
        <w:jc w:val="both"/>
        <w:rPr>
          <w:rFonts w:ascii="Arial" w:hAnsi="Arial" w:cs="Arial"/>
          <w:color w:val="1F1F1F"/>
        </w:rPr>
      </w:pPr>
      <w:r w:rsidRPr="003C634D">
        <w:rPr>
          <w:rFonts w:ascii="Arial" w:hAnsi="Arial" w:cs="Arial"/>
          <w:color w:val="1F1F1F"/>
        </w:rPr>
        <w:t>Disadvantages</w:t>
      </w:r>
    </w:p>
    <w:p w14:paraId="5CFB7BA7" w14:textId="5A97A48E" w:rsidR="003C634D" w:rsidRPr="003C634D" w:rsidRDefault="003C634D" w:rsidP="003C634D">
      <w:pPr>
        <w:pStyle w:val="NormalWeb"/>
        <w:numPr>
          <w:ilvl w:val="0"/>
          <w:numId w:val="12"/>
        </w:numPr>
        <w:shd w:val="clear" w:color="auto" w:fill="FFFFFF"/>
        <w:spacing w:after="360" w:line="360" w:lineRule="auto"/>
        <w:jc w:val="both"/>
        <w:rPr>
          <w:rFonts w:ascii="Arial" w:hAnsi="Arial" w:cs="Arial"/>
          <w:color w:val="1F1F1F"/>
        </w:rPr>
      </w:pPr>
      <w:r w:rsidRPr="003C634D">
        <w:rPr>
          <w:rFonts w:ascii="Arial" w:hAnsi="Arial" w:cs="Arial"/>
          <w:color w:val="1F1F1F"/>
        </w:rPr>
        <w:t>Underlying causes not fully explained: While ratios give a picture of the situation, they don't fully explain the underlying issues. Ratio changes may result from intricate operational dynamics or strategic choices, which this analysis doesn't delve into. The analysis focuses on the ratios themselves and does not provide in-depth explanations for why the ratios have changed. This lack of explanation may limit the usefulness of the analysis for stakeholders who are trying to understand the root causes of changes in the companies' financial health.</w:t>
      </w:r>
    </w:p>
    <w:p w14:paraId="0B2554B5" w14:textId="2D9102D8" w:rsidR="003C634D" w:rsidRPr="003C634D" w:rsidRDefault="003C634D" w:rsidP="003C634D">
      <w:pPr>
        <w:pStyle w:val="NormalWeb"/>
        <w:numPr>
          <w:ilvl w:val="0"/>
          <w:numId w:val="12"/>
        </w:numPr>
        <w:shd w:val="clear" w:color="auto" w:fill="FFFFFF"/>
        <w:spacing w:after="360" w:line="360" w:lineRule="auto"/>
        <w:jc w:val="both"/>
        <w:rPr>
          <w:rFonts w:ascii="Arial" w:hAnsi="Arial" w:cs="Arial"/>
          <w:color w:val="1F1F1F"/>
        </w:rPr>
      </w:pPr>
      <w:r w:rsidRPr="003C634D">
        <w:rPr>
          <w:rFonts w:ascii="Arial" w:hAnsi="Arial" w:cs="Arial"/>
          <w:color w:val="1F1F1F"/>
        </w:rPr>
        <w:t xml:space="preserve">External factors not considered: The research does not </w:t>
      </w:r>
      <w:proofErr w:type="gramStart"/>
      <w:r w:rsidRPr="003C634D">
        <w:rPr>
          <w:rFonts w:ascii="Arial" w:hAnsi="Arial" w:cs="Arial"/>
          <w:color w:val="1F1F1F"/>
        </w:rPr>
        <w:t>take into account</w:t>
      </w:r>
      <w:proofErr w:type="gramEnd"/>
      <w:r w:rsidRPr="003C634D">
        <w:rPr>
          <w:rFonts w:ascii="Arial" w:hAnsi="Arial" w:cs="Arial"/>
          <w:color w:val="1F1F1F"/>
        </w:rPr>
        <w:t xml:space="preserve"> external variables that could affect financial measurements, such as macroeconomic conditions, market trends, and competitive pressures. Neglecting these factors may reduce the validity of the conclusions reached. The analysis should consider how external factors may have influenced the companies' financial performance during the five-year period. This would provide a more comprehensive understanding of the companies' financial health and the factors that may contribute to future changes.</w:t>
      </w:r>
    </w:p>
    <w:p w14:paraId="5DD33CDD" w14:textId="52A20B1C" w:rsidR="003C634D" w:rsidRPr="003C634D" w:rsidRDefault="003C634D" w:rsidP="003C634D">
      <w:pPr>
        <w:pStyle w:val="NormalWeb"/>
        <w:shd w:val="clear" w:color="auto" w:fill="FFFFFF"/>
        <w:spacing w:after="360" w:line="360" w:lineRule="auto"/>
        <w:jc w:val="both"/>
        <w:rPr>
          <w:rFonts w:ascii="Arial" w:hAnsi="Arial" w:cs="Arial"/>
          <w:color w:val="1F1F1F"/>
        </w:rPr>
      </w:pPr>
      <w:r w:rsidRPr="003C634D">
        <w:rPr>
          <w:rFonts w:ascii="Arial" w:hAnsi="Arial" w:cs="Arial"/>
          <w:color w:val="1F1F1F"/>
        </w:rPr>
        <w:t>Overall assessment</w:t>
      </w:r>
    </w:p>
    <w:p w14:paraId="5B5D9F41" w14:textId="1372F929" w:rsidR="003C634D" w:rsidRDefault="003C634D" w:rsidP="003C634D">
      <w:pPr>
        <w:pStyle w:val="NormalWeb"/>
        <w:shd w:val="clear" w:color="auto" w:fill="FFFFFF"/>
        <w:spacing w:after="360" w:line="360" w:lineRule="auto"/>
        <w:jc w:val="both"/>
        <w:rPr>
          <w:rFonts w:ascii="Arial" w:hAnsi="Arial" w:cs="Arial"/>
          <w:color w:val="1F1F1F"/>
        </w:rPr>
      </w:pPr>
      <w:r w:rsidRPr="003C634D">
        <w:rPr>
          <w:rFonts w:ascii="Arial" w:hAnsi="Arial" w:cs="Arial"/>
          <w:color w:val="1F1F1F"/>
        </w:rPr>
        <w:t>The offered analysis provides valuable insights into the financial health of BT Limited, Vodafone Limited, and Three Limited. The analysis's strengths lie in its comprehensive overview of the companies' financial health and its ability to identify trends in their liquidity and leverage management. However, the analysis could be strengthened by providing more in-depth explanations for changes in the ratios and by considering the impact of external factors on the companies' financial performance.</w:t>
      </w:r>
    </w:p>
    <w:p w14:paraId="04195327" w14:textId="6D11FFF4" w:rsidR="003C634D" w:rsidRDefault="003C634D" w:rsidP="003C634D">
      <w:pPr>
        <w:pStyle w:val="Heading1"/>
      </w:pPr>
      <w:r>
        <w:t>13. Explaining</w:t>
      </w:r>
      <w:r w:rsidRPr="003C634D">
        <w:t xml:space="preserve"> the Relationship Between Leverage Ratios and Average Returns</w:t>
      </w:r>
    </w:p>
    <w:p w14:paraId="6E4C8338" w14:textId="77777777" w:rsidR="003C634D" w:rsidRDefault="003C634D" w:rsidP="003C634D">
      <w:pPr>
        <w:rPr>
          <w:lang w:val="en-GB"/>
        </w:rPr>
      </w:pPr>
    </w:p>
    <w:p w14:paraId="0B106C43" w14:textId="5FE3568A" w:rsidR="00AF40BC" w:rsidRDefault="003C634D" w:rsidP="00AF40BC">
      <w:pPr>
        <w:spacing w:line="360" w:lineRule="auto"/>
        <w:jc w:val="both"/>
        <w:rPr>
          <w:sz w:val="24"/>
          <w:szCs w:val="20"/>
          <w:lang w:val="en-GB"/>
        </w:rPr>
      </w:pPr>
      <w:r w:rsidRPr="003C634D">
        <w:rPr>
          <w:sz w:val="24"/>
          <w:szCs w:val="20"/>
          <w:lang w:val="en-GB"/>
        </w:rPr>
        <w:t xml:space="preserve">The relationship between leverage and share returns is complicated and depends on various factors. Vodafone's low leverage and debt ratios in 2018 resulted in a moderate share return. As </w:t>
      </w:r>
      <w:r w:rsidRPr="003C634D">
        <w:rPr>
          <w:sz w:val="24"/>
          <w:szCs w:val="20"/>
          <w:lang w:val="en-GB"/>
        </w:rPr>
        <w:lastRenderedPageBreak/>
        <w:t>leverage increased in the following years, share returns fluctuated but did not necessarily increase. In 2020, despite higher leverage, returns remained constant. Leverage and debt ratios were stable in 2021 and 2022, while share returns remained consistent. This analysis suggests that the leverage-return relationship is not straightforward. While leverage can potentially boost returns, it doesn't always guarantee higher share returns. Market conditions, company performance, and industry trends likely influence leverage's impact. While leverage ratios provide valuable insights, they alone cannot fully explain share return performance. Understanding the intricate leverage-return relationship requires considering multiple factors.</w:t>
      </w:r>
    </w:p>
    <w:p w14:paraId="4136CDC1" w14:textId="71336B3C" w:rsidR="00AF40BC" w:rsidRDefault="00AF40BC" w:rsidP="00AF40BC">
      <w:pPr>
        <w:pStyle w:val="Heading1"/>
        <w:rPr>
          <w:lang w:val="en-GB"/>
        </w:rPr>
      </w:pPr>
      <w:r>
        <w:rPr>
          <w:lang w:val="en-GB"/>
        </w:rPr>
        <w:t>14. Capital Structure Theory</w:t>
      </w:r>
    </w:p>
    <w:p w14:paraId="5E536667" w14:textId="77777777" w:rsidR="00AF40BC" w:rsidRDefault="00AF40BC" w:rsidP="00AF40BC">
      <w:pPr>
        <w:rPr>
          <w:lang w:val="en-GB"/>
        </w:rPr>
      </w:pPr>
    </w:p>
    <w:p w14:paraId="6629CC0C" w14:textId="6B2BC3C8" w:rsidR="00AF40BC" w:rsidRDefault="00AF40BC" w:rsidP="00AF40BC">
      <w:pPr>
        <w:spacing w:line="360" w:lineRule="auto"/>
        <w:jc w:val="both"/>
        <w:rPr>
          <w:sz w:val="24"/>
          <w:szCs w:val="20"/>
        </w:rPr>
      </w:pPr>
      <w:r w:rsidRPr="00AF40BC">
        <w:rPr>
          <w:sz w:val="24"/>
          <w:szCs w:val="20"/>
        </w:rPr>
        <w:t>According to the Modigliani-Miller capital structure idea from 1958, (Arnold, 2013; Modigliani &amp; Miller, 1958</w:t>
      </w:r>
      <w:r>
        <w:rPr>
          <w:sz w:val="24"/>
          <w:szCs w:val="20"/>
        </w:rPr>
        <w:t xml:space="preserve">), </w:t>
      </w:r>
      <w:r w:rsidRPr="00AF40BC">
        <w:rPr>
          <w:sz w:val="24"/>
          <w:szCs w:val="20"/>
        </w:rPr>
        <w:t>they believed that how a company is funded (with debt or not) doesn't really change its overall value. They thought that if a business borrows money, its value is the same as a business that doesn't borrow, plus the value of the tax benefit from delaying loan interest payments. They thought investors could copy the results of borrowing by using their own loans, making the way a company is funded not really matter for its total value. However, later research found that in real life, things like taxes, financial problems, and conflicts within the company do affect how the funding structure influences the company's value</w:t>
      </w:r>
      <w:r>
        <w:rPr>
          <w:sz w:val="24"/>
          <w:szCs w:val="20"/>
        </w:rPr>
        <w:t xml:space="preserve"> (Arnold, 2013).</w:t>
      </w:r>
    </w:p>
    <w:p w14:paraId="21F12DD2" w14:textId="52636B66" w:rsidR="00AF40BC" w:rsidRPr="00AF40BC" w:rsidRDefault="00AF40BC" w:rsidP="00AF40BC">
      <w:pPr>
        <w:pStyle w:val="Heading1"/>
      </w:pPr>
      <w:r>
        <w:t>15. Vodafone Investments over five years</w:t>
      </w:r>
    </w:p>
    <w:p w14:paraId="17EB9F66" w14:textId="77777777" w:rsidR="00AF40BC" w:rsidRPr="00AF40BC" w:rsidRDefault="00AF40BC" w:rsidP="00AF40BC">
      <w:pPr>
        <w:spacing w:line="360" w:lineRule="auto"/>
        <w:jc w:val="both"/>
        <w:rPr>
          <w:sz w:val="24"/>
          <w:szCs w:val="20"/>
        </w:rPr>
      </w:pPr>
    </w:p>
    <w:p w14:paraId="5A5611BF" w14:textId="77777777" w:rsidR="00EF4E6C" w:rsidRPr="00EF4E6C" w:rsidRDefault="00EF4E6C" w:rsidP="00EF4E6C"/>
    <w:p w14:paraId="33304084" w14:textId="77777777" w:rsidR="00EF4E6C" w:rsidRPr="003F2DD6" w:rsidRDefault="00EF4E6C" w:rsidP="003F2DD6">
      <w:pPr>
        <w:spacing w:line="360" w:lineRule="auto"/>
        <w:jc w:val="both"/>
        <w:rPr>
          <w:sz w:val="24"/>
          <w:szCs w:val="20"/>
        </w:rPr>
      </w:pPr>
    </w:p>
    <w:p w14:paraId="0C4BF099" w14:textId="77777777" w:rsidR="006C330B" w:rsidRDefault="006C330B" w:rsidP="00163B46"/>
    <w:p w14:paraId="5BDBDEB1" w14:textId="77777777" w:rsidR="003F2DD6" w:rsidRDefault="003F2DD6" w:rsidP="00163B46"/>
    <w:p w14:paraId="65F93B4F" w14:textId="77777777" w:rsidR="003F2DD6" w:rsidRDefault="003F2DD6" w:rsidP="00163B46"/>
    <w:p w14:paraId="08F25B69" w14:textId="77777777" w:rsidR="006C330B" w:rsidRDefault="006C330B" w:rsidP="00163B46"/>
    <w:p w14:paraId="03E19D28" w14:textId="77777777" w:rsidR="006C330B" w:rsidRDefault="006C330B" w:rsidP="00163B46"/>
    <w:p w14:paraId="759F00EC" w14:textId="77777777" w:rsidR="006C330B" w:rsidRDefault="006C330B" w:rsidP="00163B46"/>
    <w:p w14:paraId="679B2F8F" w14:textId="77777777" w:rsidR="006C330B" w:rsidRDefault="006C330B" w:rsidP="00163B46"/>
    <w:p w14:paraId="0B65AA05" w14:textId="77777777" w:rsidR="006C330B" w:rsidRDefault="006C330B" w:rsidP="00163B46"/>
    <w:p w14:paraId="46920236" w14:textId="77777777" w:rsidR="006C330B" w:rsidRDefault="006C330B" w:rsidP="00163B46"/>
    <w:p w14:paraId="3D53138F" w14:textId="77777777" w:rsidR="006C330B" w:rsidRDefault="006C330B" w:rsidP="00163B46"/>
    <w:p w14:paraId="34DA1386" w14:textId="77777777" w:rsidR="006C330B" w:rsidRDefault="006C330B" w:rsidP="00163B46"/>
    <w:p w14:paraId="01FC4B69" w14:textId="77777777" w:rsidR="006C330B" w:rsidRDefault="006C330B" w:rsidP="00163B46"/>
    <w:p w14:paraId="75B08CB1" w14:textId="77777777" w:rsidR="006C330B" w:rsidRDefault="006C330B" w:rsidP="00163B46"/>
    <w:p w14:paraId="05910C46" w14:textId="77777777" w:rsidR="006C330B" w:rsidRDefault="006C330B" w:rsidP="00163B46"/>
    <w:p w14:paraId="49E82F92" w14:textId="77777777" w:rsidR="006C330B" w:rsidRDefault="006C330B" w:rsidP="00163B46"/>
    <w:p w14:paraId="1F097DB3" w14:textId="77777777" w:rsidR="006C330B" w:rsidRDefault="006C330B" w:rsidP="00163B46"/>
    <w:p w14:paraId="7CE1CE14" w14:textId="77777777" w:rsidR="006C330B" w:rsidRPr="00163B46" w:rsidRDefault="006C330B" w:rsidP="00163B46"/>
    <w:sectPr w:rsidR="006C330B" w:rsidRPr="00163B46" w:rsidSect="006817CA">
      <w:footerReference w:type="default" r:id="rId16"/>
      <w:footerReference w:type="first" r:id="rId17"/>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383D2" w14:textId="77777777" w:rsidR="002C7873" w:rsidRDefault="002C7873" w:rsidP="00163B46">
      <w:r>
        <w:separator/>
      </w:r>
    </w:p>
  </w:endnote>
  <w:endnote w:type="continuationSeparator" w:id="0">
    <w:p w14:paraId="33F55B28" w14:textId="77777777" w:rsidR="002C7873" w:rsidRDefault="002C7873" w:rsidP="00163B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77839" w14:textId="6B06143A" w:rsidR="006817CA" w:rsidRDefault="006817CA">
    <w:pPr>
      <w:pStyle w:val="Footer"/>
      <w:jc w:val="center"/>
    </w:pPr>
  </w:p>
  <w:p w14:paraId="63CAF6B4" w14:textId="77777777" w:rsidR="00C2049E" w:rsidRDefault="00C204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488534"/>
      <w:docPartObj>
        <w:docPartGallery w:val="Page Numbers (Bottom of Page)"/>
        <w:docPartUnique/>
      </w:docPartObj>
    </w:sdtPr>
    <w:sdtEndPr>
      <w:rPr>
        <w:noProof/>
      </w:rPr>
    </w:sdtEndPr>
    <w:sdtContent>
      <w:p w14:paraId="15E26EB2" w14:textId="53D43D7B" w:rsidR="006C330B" w:rsidRDefault="006C330B" w:rsidP="006817CA">
        <w:pPr>
          <w:pStyle w:val="Footer"/>
        </w:pPr>
      </w:p>
    </w:sdtContent>
  </w:sdt>
  <w:p w14:paraId="4BDDF1CA" w14:textId="77777777" w:rsidR="00C2049E" w:rsidRDefault="00C204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85957"/>
      <w:docPartObj>
        <w:docPartGallery w:val="Page Numbers (Bottom of Page)"/>
        <w:docPartUnique/>
      </w:docPartObj>
    </w:sdtPr>
    <w:sdtEndPr>
      <w:rPr>
        <w:noProof/>
      </w:rPr>
    </w:sdtEndPr>
    <w:sdtContent>
      <w:p w14:paraId="474BF076" w14:textId="77777777" w:rsidR="006817CA" w:rsidRDefault="006817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54CAC4" w14:textId="77777777" w:rsidR="006817CA" w:rsidRDefault="006817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0849272"/>
      <w:docPartObj>
        <w:docPartGallery w:val="Page Numbers (Bottom of Page)"/>
        <w:docPartUnique/>
      </w:docPartObj>
    </w:sdtPr>
    <w:sdtEndPr>
      <w:rPr>
        <w:noProof/>
      </w:rPr>
    </w:sdtEndPr>
    <w:sdtContent>
      <w:p w14:paraId="3939BA3A" w14:textId="179EA952" w:rsidR="006C330B" w:rsidRDefault="006C33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520583" w14:textId="77777777" w:rsidR="006C330B" w:rsidRDefault="006C3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C1EB6" w14:textId="77777777" w:rsidR="002C7873" w:rsidRDefault="002C7873" w:rsidP="00163B46">
      <w:r>
        <w:separator/>
      </w:r>
    </w:p>
  </w:footnote>
  <w:footnote w:type="continuationSeparator" w:id="0">
    <w:p w14:paraId="73AE80FD" w14:textId="77777777" w:rsidR="002C7873" w:rsidRDefault="002C7873" w:rsidP="00163B4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E2301"/>
    <w:multiLevelType w:val="hybridMultilevel"/>
    <w:tmpl w:val="324A9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F2649B"/>
    <w:multiLevelType w:val="hybridMultilevel"/>
    <w:tmpl w:val="78DCFD58"/>
    <w:lvl w:ilvl="0" w:tplc="22B4BD36">
      <w:start w:val="1"/>
      <w:numFmt w:val="decimal"/>
      <w:lvlText w:val="%1."/>
      <w:lvlJc w:val="left"/>
      <w:pPr>
        <w:ind w:left="720" w:hanging="360"/>
      </w:pPr>
      <w:rPr>
        <w:rFonts w:ascii="Arial" w:eastAsia="Arial MT" w:hAnsi="Arial" w:cs="Arial MT" w:hint="default"/>
        <w:color w:val="0563C1" w:themeColor="hyperlink"/>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EE3BF9"/>
    <w:multiLevelType w:val="hybridMultilevel"/>
    <w:tmpl w:val="A5F63F3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B7141EE"/>
    <w:multiLevelType w:val="multilevel"/>
    <w:tmpl w:val="2CD6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5477A4"/>
    <w:multiLevelType w:val="hybridMultilevel"/>
    <w:tmpl w:val="1616B8B6"/>
    <w:lvl w:ilvl="0" w:tplc="A4EA47D4">
      <w:numFmt w:val="bullet"/>
      <w:lvlText w:val="•"/>
      <w:lvlJc w:val="left"/>
      <w:pPr>
        <w:ind w:left="1080" w:hanging="720"/>
      </w:pPr>
      <w:rPr>
        <w:rFonts w:ascii="Arial" w:eastAsia="Arial MT"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72807"/>
    <w:multiLevelType w:val="multilevel"/>
    <w:tmpl w:val="94B422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6FA907FE"/>
    <w:multiLevelType w:val="hybridMultilevel"/>
    <w:tmpl w:val="9BB27C6A"/>
    <w:lvl w:ilvl="0" w:tplc="5B180454">
      <w:start w:val="1"/>
      <w:numFmt w:val="decimal"/>
      <w:lvlText w:val="%1."/>
      <w:lvlJc w:val="left"/>
      <w:pPr>
        <w:ind w:left="720" w:hanging="360"/>
      </w:pPr>
      <w:rPr>
        <w:rFonts w:ascii="Arial" w:eastAsia="Arial MT" w:hAnsi="Arial" w:cs="Arial MT" w:hint="default"/>
        <w:color w:val="0563C1" w:themeColor="hyperlink"/>
        <w:sz w:val="24"/>
        <w:szCs w:val="1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7E22FD"/>
    <w:multiLevelType w:val="multilevel"/>
    <w:tmpl w:val="DB7EF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A7246F"/>
    <w:multiLevelType w:val="hybridMultilevel"/>
    <w:tmpl w:val="5906A14C"/>
    <w:lvl w:ilvl="0" w:tplc="A4EA47D4">
      <w:numFmt w:val="bullet"/>
      <w:lvlText w:val="•"/>
      <w:lvlJc w:val="left"/>
      <w:pPr>
        <w:ind w:left="720" w:hanging="720"/>
      </w:pPr>
      <w:rPr>
        <w:rFonts w:ascii="Arial" w:eastAsia="Arial MT"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8011D7E"/>
    <w:multiLevelType w:val="hybridMultilevel"/>
    <w:tmpl w:val="3E7C69F0"/>
    <w:lvl w:ilvl="0" w:tplc="22B4BD36">
      <w:start w:val="1"/>
      <w:numFmt w:val="decimal"/>
      <w:lvlText w:val="%1."/>
      <w:lvlJc w:val="left"/>
      <w:pPr>
        <w:ind w:left="720" w:hanging="360"/>
      </w:pPr>
      <w:rPr>
        <w:rFonts w:ascii="Arial" w:eastAsia="Arial MT" w:hAnsi="Arial" w:cs="Arial MT" w:hint="default"/>
        <w:color w:val="0563C1" w:themeColor="hyperlink"/>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5A11A0"/>
    <w:multiLevelType w:val="hybridMultilevel"/>
    <w:tmpl w:val="A5F63F34"/>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7FD722E6"/>
    <w:multiLevelType w:val="hybridMultilevel"/>
    <w:tmpl w:val="3E9E8BD0"/>
    <w:lvl w:ilvl="0" w:tplc="5C049FD6">
      <w:numFmt w:val="bullet"/>
      <w:lvlText w:val="•"/>
      <w:lvlJc w:val="left"/>
      <w:pPr>
        <w:ind w:left="1080" w:hanging="720"/>
      </w:pPr>
      <w:rPr>
        <w:rFonts w:ascii="Arial" w:eastAsia="Arial MT"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5814797">
    <w:abstractNumId w:val="0"/>
  </w:num>
  <w:num w:numId="2" w16cid:durableId="487211122">
    <w:abstractNumId w:val="2"/>
  </w:num>
  <w:num w:numId="3" w16cid:durableId="769591873">
    <w:abstractNumId w:val="3"/>
  </w:num>
  <w:num w:numId="4" w16cid:durableId="1219242607">
    <w:abstractNumId w:val="11"/>
  </w:num>
  <w:num w:numId="5" w16cid:durableId="1474759494">
    <w:abstractNumId w:val="10"/>
  </w:num>
  <w:num w:numId="6" w16cid:durableId="2061052440">
    <w:abstractNumId w:val="1"/>
  </w:num>
  <w:num w:numId="7" w16cid:durableId="1088769809">
    <w:abstractNumId w:val="9"/>
  </w:num>
  <w:num w:numId="8" w16cid:durableId="2105222087">
    <w:abstractNumId w:val="4"/>
  </w:num>
  <w:num w:numId="9" w16cid:durableId="247275567">
    <w:abstractNumId w:val="6"/>
  </w:num>
  <w:num w:numId="10" w16cid:durableId="263533776">
    <w:abstractNumId w:val="7"/>
  </w:num>
  <w:num w:numId="11" w16cid:durableId="1539509173">
    <w:abstractNumId w:val="5"/>
  </w:num>
  <w:num w:numId="12" w16cid:durableId="8612106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4"/>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76AE2"/>
    <w:rsid w:val="00064DFE"/>
    <w:rsid w:val="00071275"/>
    <w:rsid w:val="00090D0E"/>
    <w:rsid w:val="00093A48"/>
    <w:rsid w:val="000E7E3B"/>
    <w:rsid w:val="001221EC"/>
    <w:rsid w:val="00163B46"/>
    <w:rsid w:val="001F32C0"/>
    <w:rsid w:val="00223D83"/>
    <w:rsid w:val="002B3659"/>
    <w:rsid w:val="002C7873"/>
    <w:rsid w:val="003C634D"/>
    <w:rsid w:val="003E3244"/>
    <w:rsid w:val="003F2DD6"/>
    <w:rsid w:val="004A308C"/>
    <w:rsid w:val="004F3535"/>
    <w:rsid w:val="005E7966"/>
    <w:rsid w:val="00601395"/>
    <w:rsid w:val="0064606F"/>
    <w:rsid w:val="006817CA"/>
    <w:rsid w:val="00684927"/>
    <w:rsid w:val="006C330B"/>
    <w:rsid w:val="006F0270"/>
    <w:rsid w:val="006F157C"/>
    <w:rsid w:val="006F76A3"/>
    <w:rsid w:val="00760859"/>
    <w:rsid w:val="007659DD"/>
    <w:rsid w:val="00792E93"/>
    <w:rsid w:val="007B6E82"/>
    <w:rsid w:val="007C7366"/>
    <w:rsid w:val="00836AEB"/>
    <w:rsid w:val="00965DBD"/>
    <w:rsid w:val="00976AE2"/>
    <w:rsid w:val="00987A74"/>
    <w:rsid w:val="00A1246F"/>
    <w:rsid w:val="00A82974"/>
    <w:rsid w:val="00A86856"/>
    <w:rsid w:val="00AC7484"/>
    <w:rsid w:val="00AF40BC"/>
    <w:rsid w:val="00B864F5"/>
    <w:rsid w:val="00C2049E"/>
    <w:rsid w:val="00CD3B9C"/>
    <w:rsid w:val="00CF721D"/>
    <w:rsid w:val="00D11EE4"/>
    <w:rsid w:val="00DC613B"/>
    <w:rsid w:val="00DE4585"/>
    <w:rsid w:val="00DF5C4E"/>
    <w:rsid w:val="00EC2E37"/>
    <w:rsid w:val="00EF4E6C"/>
    <w:rsid w:val="00F167FC"/>
    <w:rsid w:val="00FB14A6"/>
    <w:rsid w:val="00FB44EA"/>
    <w:rsid w:val="00FF14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138852F9"/>
  <w15:docId w15:val="{44534147-49AC-4EFE-851E-070612611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theme="majorBidi"/>
        <w:color w:val="000000" w:themeColor="text1"/>
        <w:sz w:val="28"/>
        <w:szCs w:val="3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D83"/>
    <w:pPr>
      <w:widowControl w:val="0"/>
      <w:autoSpaceDE w:val="0"/>
      <w:autoSpaceDN w:val="0"/>
      <w:spacing w:after="0" w:line="240" w:lineRule="auto"/>
    </w:pPr>
    <w:rPr>
      <w:rFonts w:eastAsia="Arial MT" w:cs="Arial MT"/>
      <w:color w:val="auto"/>
      <w:szCs w:val="22"/>
      <w:lang w:val="en-US" w:eastAsia="en-US"/>
    </w:rPr>
  </w:style>
  <w:style w:type="paragraph" w:styleId="Heading1">
    <w:name w:val="heading 1"/>
    <w:basedOn w:val="Normal"/>
    <w:next w:val="Normal"/>
    <w:link w:val="Heading1Char"/>
    <w:uiPriority w:val="9"/>
    <w:qFormat/>
    <w:rsid w:val="00F167FC"/>
    <w:pPr>
      <w:keepNext/>
      <w:keepLines/>
      <w:spacing w:before="240"/>
      <w:outlineLvl w:val="0"/>
    </w:pPr>
    <w:rPr>
      <w:rFonts w:asciiTheme="majorHAnsi" w:eastAsiaTheme="majorEastAsia" w:hAnsiTheme="majorHAnsi" w:cstheme="majorBidi"/>
      <w:color w:val="1F3864" w:themeColor="accent1" w:themeShade="80"/>
      <w:sz w:val="32"/>
      <w:szCs w:val="32"/>
    </w:rPr>
  </w:style>
  <w:style w:type="paragraph" w:styleId="Heading2">
    <w:name w:val="heading 2"/>
    <w:basedOn w:val="Normal"/>
    <w:next w:val="Normal"/>
    <w:link w:val="Heading2Char"/>
    <w:uiPriority w:val="9"/>
    <w:unhideWhenUsed/>
    <w:qFormat/>
    <w:rsid w:val="00F167FC"/>
    <w:pPr>
      <w:keepNext/>
      <w:keepLines/>
      <w:spacing w:before="40"/>
      <w:outlineLvl w:val="1"/>
    </w:pPr>
    <w:rPr>
      <w:rFonts w:asciiTheme="majorHAnsi" w:eastAsiaTheme="majorEastAsia" w:hAnsiTheme="majorHAnsi" w:cstheme="majorBidi"/>
      <w:color w:val="1F3864" w:themeColor="accent1"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3B46"/>
    <w:pPr>
      <w:tabs>
        <w:tab w:val="center" w:pos="4513"/>
        <w:tab w:val="right" w:pos="9026"/>
      </w:tabs>
    </w:pPr>
  </w:style>
  <w:style w:type="character" w:customStyle="1" w:styleId="HeaderChar">
    <w:name w:val="Header Char"/>
    <w:basedOn w:val="DefaultParagraphFont"/>
    <w:link w:val="Header"/>
    <w:uiPriority w:val="99"/>
    <w:rsid w:val="00163B46"/>
    <w:rPr>
      <w:rFonts w:eastAsia="Arial MT" w:cs="Arial MT"/>
      <w:color w:val="auto"/>
      <w:szCs w:val="22"/>
      <w:lang w:val="en-US" w:eastAsia="en-US"/>
    </w:rPr>
  </w:style>
  <w:style w:type="paragraph" w:styleId="Footer">
    <w:name w:val="footer"/>
    <w:basedOn w:val="Normal"/>
    <w:link w:val="FooterChar"/>
    <w:uiPriority w:val="99"/>
    <w:unhideWhenUsed/>
    <w:rsid w:val="00163B46"/>
    <w:pPr>
      <w:tabs>
        <w:tab w:val="center" w:pos="4513"/>
        <w:tab w:val="right" w:pos="9026"/>
      </w:tabs>
    </w:pPr>
  </w:style>
  <w:style w:type="character" w:customStyle="1" w:styleId="FooterChar">
    <w:name w:val="Footer Char"/>
    <w:basedOn w:val="DefaultParagraphFont"/>
    <w:link w:val="Footer"/>
    <w:uiPriority w:val="99"/>
    <w:rsid w:val="00163B46"/>
    <w:rPr>
      <w:rFonts w:eastAsia="Arial MT" w:cs="Arial MT"/>
      <w:color w:val="auto"/>
      <w:szCs w:val="22"/>
      <w:lang w:val="en-US" w:eastAsia="en-US"/>
    </w:rPr>
  </w:style>
  <w:style w:type="character" w:customStyle="1" w:styleId="Heading1Char">
    <w:name w:val="Heading 1 Char"/>
    <w:basedOn w:val="DefaultParagraphFont"/>
    <w:link w:val="Heading1"/>
    <w:uiPriority w:val="9"/>
    <w:rsid w:val="00F167FC"/>
    <w:rPr>
      <w:rFonts w:asciiTheme="majorHAnsi" w:eastAsiaTheme="majorEastAsia" w:hAnsiTheme="majorHAnsi"/>
      <w:color w:val="1F3864" w:themeColor="accent1" w:themeShade="80"/>
      <w:sz w:val="32"/>
      <w:lang w:val="en-US" w:eastAsia="en-US"/>
    </w:rPr>
  </w:style>
  <w:style w:type="paragraph" w:styleId="TOCHeading">
    <w:name w:val="TOC Heading"/>
    <w:basedOn w:val="Heading1"/>
    <w:next w:val="Normal"/>
    <w:uiPriority w:val="39"/>
    <w:unhideWhenUsed/>
    <w:qFormat/>
    <w:rsid w:val="00163B46"/>
    <w:pPr>
      <w:widowControl/>
      <w:autoSpaceDE/>
      <w:autoSpaceDN/>
      <w:spacing w:line="259" w:lineRule="auto"/>
      <w:outlineLvl w:val="9"/>
    </w:pPr>
  </w:style>
  <w:style w:type="paragraph" w:styleId="TOC1">
    <w:name w:val="toc 1"/>
    <w:basedOn w:val="Normal"/>
    <w:next w:val="Normal"/>
    <w:autoRedefine/>
    <w:uiPriority w:val="39"/>
    <w:unhideWhenUsed/>
    <w:rsid w:val="003E3244"/>
    <w:pPr>
      <w:tabs>
        <w:tab w:val="right" w:leader="dot" w:pos="10456"/>
      </w:tabs>
      <w:spacing w:after="100"/>
    </w:pPr>
  </w:style>
  <w:style w:type="character" w:styleId="Hyperlink">
    <w:name w:val="Hyperlink"/>
    <w:basedOn w:val="DefaultParagraphFont"/>
    <w:uiPriority w:val="99"/>
    <w:unhideWhenUsed/>
    <w:rsid w:val="00163B46"/>
    <w:rPr>
      <w:color w:val="0563C1" w:themeColor="hyperlink"/>
      <w:u w:val="single"/>
    </w:rPr>
  </w:style>
  <w:style w:type="paragraph" w:styleId="ListParagraph">
    <w:name w:val="List Paragraph"/>
    <w:basedOn w:val="Normal"/>
    <w:uiPriority w:val="34"/>
    <w:qFormat/>
    <w:rsid w:val="00163B46"/>
    <w:pPr>
      <w:ind w:left="720"/>
      <w:contextualSpacing/>
    </w:pPr>
  </w:style>
  <w:style w:type="character" w:customStyle="1" w:styleId="Heading2Char">
    <w:name w:val="Heading 2 Char"/>
    <w:basedOn w:val="DefaultParagraphFont"/>
    <w:link w:val="Heading2"/>
    <w:uiPriority w:val="9"/>
    <w:rsid w:val="00F167FC"/>
    <w:rPr>
      <w:rFonts w:asciiTheme="majorHAnsi" w:eastAsiaTheme="majorEastAsia" w:hAnsiTheme="majorHAnsi"/>
      <w:color w:val="1F3864" w:themeColor="accent1" w:themeShade="80"/>
      <w:sz w:val="26"/>
      <w:szCs w:val="26"/>
      <w:lang w:val="en-US" w:eastAsia="en-US"/>
    </w:rPr>
  </w:style>
  <w:style w:type="paragraph" w:styleId="TOC2">
    <w:name w:val="toc 2"/>
    <w:basedOn w:val="Normal"/>
    <w:next w:val="Normal"/>
    <w:autoRedefine/>
    <w:uiPriority w:val="39"/>
    <w:unhideWhenUsed/>
    <w:rsid w:val="007C7366"/>
    <w:pPr>
      <w:spacing w:after="100"/>
      <w:ind w:left="280"/>
    </w:pPr>
  </w:style>
  <w:style w:type="table" w:styleId="TableGrid">
    <w:name w:val="Table Grid"/>
    <w:basedOn w:val="TableNormal"/>
    <w:uiPriority w:val="39"/>
    <w:rsid w:val="006849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8492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223D83"/>
    <w:pPr>
      <w:spacing w:after="200"/>
    </w:pPr>
    <w:rPr>
      <w:i/>
      <w:iCs/>
      <w:color w:val="44546A" w:themeColor="text2"/>
      <w:sz w:val="18"/>
      <w:szCs w:val="18"/>
    </w:rPr>
  </w:style>
  <w:style w:type="character" w:customStyle="1" w:styleId="animating">
    <w:name w:val="animating"/>
    <w:basedOn w:val="DefaultParagraphFont"/>
    <w:rsid w:val="00EC2E37"/>
  </w:style>
  <w:style w:type="paragraph" w:styleId="NormalWeb">
    <w:name w:val="Normal (Web)"/>
    <w:basedOn w:val="Normal"/>
    <w:uiPriority w:val="99"/>
    <w:unhideWhenUsed/>
    <w:rsid w:val="00CF721D"/>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styleId="Strong">
    <w:name w:val="Strong"/>
    <w:basedOn w:val="DefaultParagraphFont"/>
    <w:uiPriority w:val="22"/>
    <w:qFormat/>
    <w:rsid w:val="00093A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43332">
      <w:bodyDiv w:val="1"/>
      <w:marLeft w:val="0"/>
      <w:marRight w:val="0"/>
      <w:marTop w:val="0"/>
      <w:marBottom w:val="0"/>
      <w:divBdr>
        <w:top w:val="none" w:sz="0" w:space="0" w:color="auto"/>
        <w:left w:val="none" w:sz="0" w:space="0" w:color="auto"/>
        <w:bottom w:val="none" w:sz="0" w:space="0" w:color="auto"/>
        <w:right w:val="none" w:sz="0" w:space="0" w:color="auto"/>
      </w:divBdr>
    </w:div>
    <w:div w:id="653488474">
      <w:bodyDiv w:val="1"/>
      <w:marLeft w:val="0"/>
      <w:marRight w:val="0"/>
      <w:marTop w:val="0"/>
      <w:marBottom w:val="0"/>
      <w:divBdr>
        <w:top w:val="none" w:sz="0" w:space="0" w:color="auto"/>
        <w:left w:val="none" w:sz="0" w:space="0" w:color="auto"/>
        <w:bottom w:val="none" w:sz="0" w:space="0" w:color="auto"/>
        <w:right w:val="none" w:sz="0" w:space="0" w:color="auto"/>
      </w:divBdr>
    </w:div>
    <w:div w:id="792136081">
      <w:bodyDiv w:val="1"/>
      <w:marLeft w:val="0"/>
      <w:marRight w:val="0"/>
      <w:marTop w:val="0"/>
      <w:marBottom w:val="0"/>
      <w:divBdr>
        <w:top w:val="none" w:sz="0" w:space="0" w:color="auto"/>
        <w:left w:val="none" w:sz="0" w:space="0" w:color="auto"/>
        <w:bottom w:val="none" w:sz="0" w:space="0" w:color="auto"/>
        <w:right w:val="none" w:sz="0" w:space="0" w:color="auto"/>
      </w:divBdr>
    </w:div>
    <w:div w:id="1007370921">
      <w:bodyDiv w:val="1"/>
      <w:marLeft w:val="0"/>
      <w:marRight w:val="0"/>
      <w:marTop w:val="0"/>
      <w:marBottom w:val="0"/>
      <w:divBdr>
        <w:top w:val="none" w:sz="0" w:space="0" w:color="auto"/>
        <w:left w:val="none" w:sz="0" w:space="0" w:color="auto"/>
        <w:bottom w:val="none" w:sz="0" w:space="0" w:color="auto"/>
        <w:right w:val="none" w:sz="0" w:space="0" w:color="auto"/>
      </w:divBdr>
      <w:divsChild>
        <w:div w:id="2117752092">
          <w:marLeft w:val="0"/>
          <w:marRight w:val="0"/>
          <w:marTop w:val="0"/>
          <w:marBottom w:val="0"/>
          <w:divBdr>
            <w:top w:val="none" w:sz="0" w:space="0" w:color="auto"/>
            <w:left w:val="none" w:sz="0" w:space="0" w:color="auto"/>
            <w:bottom w:val="none" w:sz="0" w:space="0" w:color="auto"/>
            <w:right w:val="none" w:sz="0" w:space="0" w:color="auto"/>
          </w:divBdr>
          <w:divsChild>
            <w:div w:id="1782414608">
              <w:marLeft w:val="0"/>
              <w:marRight w:val="0"/>
              <w:marTop w:val="0"/>
              <w:marBottom w:val="0"/>
              <w:divBdr>
                <w:top w:val="none" w:sz="0" w:space="0" w:color="auto"/>
                <w:left w:val="none" w:sz="0" w:space="0" w:color="auto"/>
                <w:bottom w:val="none" w:sz="0" w:space="0" w:color="auto"/>
                <w:right w:val="none" w:sz="0" w:space="0" w:color="auto"/>
              </w:divBdr>
              <w:divsChild>
                <w:div w:id="271592500">
                  <w:marLeft w:val="0"/>
                  <w:marRight w:val="0"/>
                  <w:marTop w:val="0"/>
                  <w:marBottom w:val="0"/>
                  <w:divBdr>
                    <w:top w:val="none" w:sz="0" w:space="0" w:color="auto"/>
                    <w:left w:val="none" w:sz="0" w:space="0" w:color="auto"/>
                    <w:bottom w:val="none" w:sz="0" w:space="0" w:color="auto"/>
                    <w:right w:val="none" w:sz="0" w:space="0" w:color="auto"/>
                  </w:divBdr>
                  <w:divsChild>
                    <w:div w:id="754715501">
                      <w:marLeft w:val="0"/>
                      <w:marRight w:val="0"/>
                      <w:marTop w:val="0"/>
                      <w:marBottom w:val="0"/>
                      <w:divBdr>
                        <w:top w:val="none" w:sz="0" w:space="0" w:color="auto"/>
                        <w:left w:val="none" w:sz="0" w:space="0" w:color="auto"/>
                        <w:bottom w:val="none" w:sz="0" w:space="0" w:color="auto"/>
                        <w:right w:val="none" w:sz="0" w:space="0" w:color="auto"/>
                      </w:divBdr>
                      <w:divsChild>
                        <w:div w:id="841510684">
                          <w:marLeft w:val="0"/>
                          <w:marRight w:val="0"/>
                          <w:marTop w:val="0"/>
                          <w:marBottom w:val="0"/>
                          <w:divBdr>
                            <w:top w:val="none" w:sz="0" w:space="0" w:color="auto"/>
                            <w:left w:val="none" w:sz="0" w:space="0" w:color="auto"/>
                            <w:bottom w:val="none" w:sz="0" w:space="0" w:color="auto"/>
                            <w:right w:val="none" w:sz="0" w:space="0" w:color="auto"/>
                          </w:divBdr>
                          <w:divsChild>
                            <w:div w:id="1066878131">
                              <w:marLeft w:val="0"/>
                              <w:marRight w:val="0"/>
                              <w:marTop w:val="0"/>
                              <w:marBottom w:val="0"/>
                              <w:divBdr>
                                <w:top w:val="none" w:sz="0" w:space="0" w:color="auto"/>
                                <w:left w:val="none" w:sz="0" w:space="0" w:color="auto"/>
                                <w:bottom w:val="none" w:sz="0" w:space="0" w:color="auto"/>
                                <w:right w:val="none" w:sz="0" w:space="0" w:color="auto"/>
                              </w:divBdr>
                              <w:divsChild>
                                <w:div w:id="11595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694772">
                      <w:marLeft w:val="0"/>
                      <w:marRight w:val="0"/>
                      <w:marTop w:val="0"/>
                      <w:marBottom w:val="0"/>
                      <w:divBdr>
                        <w:top w:val="none" w:sz="0" w:space="0" w:color="auto"/>
                        <w:left w:val="none" w:sz="0" w:space="0" w:color="auto"/>
                        <w:bottom w:val="none" w:sz="0" w:space="0" w:color="auto"/>
                        <w:right w:val="none" w:sz="0" w:space="0" w:color="auto"/>
                      </w:divBdr>
                      <w:divsChild>
                        <w:div w:id="770248947">
                          <w:marLeft w:val="0"/>
                          <w:marRight w:val="0"/>
                          <w:marTop w:val="240"/>
                          <w:marBottom w:val="120"/>
                          <w:divBdr>
                            <w:top w:val="none" w:sz="0" w:space="0" w:color="auto"/>
                            <w:left w:val="none" w:sz="0" w:space="0" w:color="auto"/>
                            <w:bottom w:val="none" w:sz="0" w:space="0" w:color="auto"/>
                            <w:right w:val="none" w:sz="0" w:space="0" w:color="auto"/>
                          </w:divBdr>
                          <w:divsChild>
                            <w:div w:id="815727">
                              <w:marLeft w:val="0"/>
                              <w:marRight w:val="0"/>
                              <w:marTop w:val="0"/>
                              <w:marBottom w:val="0"/>
                              <w:divBdr>
                                <w:top w:val="none" w:sz="0" w:space="0" w:color="auto"/>
                                <w:left w:val="none" w:sz="0" w:space="0" w:color="auto"/>
                                <w:bottom w:val="none" w:sz="0" w:space="0" w:color="auto"/>
                                <w:right w:val="none" w:sz="0" w:space="0" w:color="auto"/>
                              </w:divBdr>
                              <w:divsChild>
                                <w:div w:id="1367876610">
                                  <w:marLeft w:val="0"/>
                                  <w:marRight w:val="0"/>
                                  <w:marTop w:val="0"/>
                                  <w:marBottom w:val="0"/>
                                  <w:divBdr>
                                    <w:top w:val="none" w:sz="0" w:space="0" w:color="auto"/>
                                    <w:left w:val="none" w:sz="0" w:space="0" w:color="auto"/>
                                    <w:bottom w:val="none" w:sz="0" w:space="0" w:color="auto"/>
                                    <w:right w:val="none" w:sz="0" w:space="0" w:color="auto"/>
                                  </w:divBdr>
                                </w:div>
                                <w:div w:id="177251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3574109">
      <w:bodyDiv w:val="1"/>
      <w:marLeft w:val="0"/>
      <w:marRight w:val="0"/>
      <w:marTop w:val="0"/>
      <w:marBottom w:val="0"/>
      <w:divBdr>
        <w:top w:val="none" w:sz="0" w:space="0" w:color="auto"/>
        <w:left w:val="none" w:sz="0" w:space="0" w:color="auto"/>
        <w:bottom w:val="none" w:sz="0" w:space="0" w:color="auto"/>
        <w:right w:val="none" w:sz="0" w:space="0" w:color="auto"/>
      </w:divBdr>
    </w:div>
    <w:div w:id="1450473752">
      <w:bodyDiv w:val="1"/>
      <w:marLeft w:val="0"/>
      <w:marRight w:val="0"/>
      <w:marTop w:val="0"/>
      <w:marBottom w:val="0"/>
      <w:divBdr>
        <w:top w:val="none" w:sz="0" w:space="0" w:color="auto"/>
        <w:left w:val="none" w:sz="0" w:space="0" w:color="auto"/>
        <w:bottom w:val="none" w:sz="0" w:space="0" w:color="auto"/>
        <w:right w:val="none" w:sz="0" w:space="0" w:color="auto"/>
      </w:divBdr>
    </w:div>
    <w:div w:id="1467968154">
      <w:bodyDiv w:val="1"/>
      <w:marLeft w:val="0"/>
      <w:marRight w:val="0"/>
      <w:marTop w:val="0"/>
      <w:marBottom w:val="0"/>
      <w:divBdr>
        <w:top w:val="none" w:sz="0" w:space="0" w:color="auto"/>
        <w:left w:val="none" w:sz="0" w:space="0" w:color="auto"/>
        <w:bottom w:val="none" w:sz="0" w:space="0" w:color="auto"/>
        <w:right w:val="none" w:sz="0" w:space="0" w:color="auto"/>
      </w:divBdr>
    </w:div>
    <w:div w:id="1484270289">
      <w:bodyDiv w:val="1"/>
      <w:marLeft w:val="0"/>
      <w:marRight w:val="0"/>
      <w:marTop w:val="0"/>
      <w:marBottom w:val="0"/>
      <w:divBdr>
        <w:top w:val="none" w:sz="0" w:space="0" w:color="auto"/>
        <w:left w:val="none" w:sz="0" w:space="0" w:color="auto"/>
        <w:bottom w:val="none" w:sz="0" w:space="0" w:color="auto"/>
        <w:right w:val="none" w:sz="0" w:space="0" w:color="auto"/>
      </w:divBdr>
    </w:div>
    <w:div w:id="1528762543">
      <w:bodyDiv w:val="1"/>
      <w:marLeft w:val="0"/>
      <w:marRight w:val="0"/>
      <w:marTop w:val="0"/>
      <w:marBottom w:val="0"/>
      <w:divBdr>
        <w:top w:val="none" w:sz="0" w:space="0" w:color="auto"/>
        <w:left w:val="none" w:sz="0" w:space="0" w:color="auto"/>
        <w:bottom w:val="none" w:sz="0" w:space="0" w:color="auto"/>
        <w:right w:val="none" w:sz="0" w:space="0" w:color="auto"/>
      </w:divBdr>
    </w:div>
    <w:div w:id="1749881373">
      <w:bodyDiv w:val="1"/>
      <w:marLeft w:val="0"/>
      <w:marRight w:val="0"/>
      <w:marTop w:val="0"/>
      <w:marBottom w:val="0"/>
      <w:divBdr>
        <w:top w:val="none" w:sz="0" w:space="0" w:color="auto"/>
        <w:left w:val="none" w:sz="0" w:space="0" w:color="auto"/>
        <w:bottom w:val="none" w:sz="0" w:space="0" w:color="auto"/>
        <w:right w:val="none" w:sz="0" w:space="0" w:color="auto"/>
      </w:divBdr>
    </w:div>
    <w:div w:id="1771388414">
      <w:bodyDiv w:val="1"/>
      <w:marLeft w:val="0"/>
      <w:marRight w:val="0"/>
      <w:marTop w:val="0"/>
      <w:marBottom w:val="0"/>
      <w:divBdr>
        <w:top w:val="none" w:sz="0" w:space="0" w:color="auto"/>
        <w:left w:val="none" w:sz="0" w:space="0" w:color="auto"/>
        <w:bottom w:val="none" w:sz="0" w:space="0" w:color="auto"/>
        <w:right w:val="none" w:sz="0" w:space="0" w:color="auto"/>
      </w:divBdr>
    </w:div>
    <w:div w:id="1984849182">
      <w:bodyDiv w:val="1"/>
      <w:marLeft w:val="0"/>
      <w:marRight w:val="0"/>
      <w:marTop w:val="0"/>
      <w:marBottom w:val="0"/>
      <w:divBdr>
        <w:top w:val="none" w:sz="0" w:space="0" w:color="auto"/>
        <w:left w:val="none" w:sz="0" w:space="0" w:color="auto"/>
        <w:bottom w:val="none" w:sz="0" w:space="0" w:color="auto"/>
        <w:right w:val="none" w:sz="0" w:space="0" w:color="auto"/>
      </w:divBdr>
    </w:div>
    <w:div w:id="2076663768">
      <w:bodyDiv w:val="1"/>
      <w:marLeft w:val="0"/>
      <w:marRight w:val="0"/>
      <w:marTop w:val="0"/>
      <w:marBottom w:val="0"/>
      <w:divBdr>
        <w:top w:val="none" w:sz="0" w:space="0" w:color="auto"/>
        <w:left w:val="none" w:sz="0" w:space="0" w:color="auto"/>
        <w:bottom w:val="none" w:sz="0" w:space="0" w:color="auto"/>
        <w:right w:val="none" w:sz="0" w:space="0" w:color="auto"/>
      </w:divBdr>
    </w:div>
    <w:div w:id="21265414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a:t>Current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515659119845793E-2"/>
          <c:y val="0.18616813294232654"/>
          <c:w val="0.91590078171122924"/>
          <c:h val="0.59353183857882863"/>
        </c:manualLayout>
      </c:layout>
      <c:barChart>
        <c:barDir val="col"/>
        <c:grouping val="clustered"/>
        <c:varyColors val="0"/>
        <c:ser>
          <c:idx val="0"/>
          <c:order val="0"/>
          <c:tx>
            <c:strRef>
              <c:f>Sheet1!$B$1</c:f>
              <c:strCache>
                <c:ptCount val="1"/>
                <c:pt idx="0">
                  <c:v>BT Limited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2022</c:v>
                </c:pt>
                <c:pt idx="1">
                  <c:v>2021</c:v>
                </c:pt>
                <c:pt idx="2">
                  <c:v>2020</c:v>
                </c:pt>
                <c:pt idx="3">
                  <c:v>2019</c:v>
                </c:pt>
                <c:pt idx="4">
                  <c:v>2018</c:v>
                </c:pt>
              </c:numCache>
            </c:numRef>
          </c:cat>
          <c:val>
            <c:numRef>
              <c:f>Sheet1!$B$2:$B$6</c:f>
              <c:numCache>
                <c:formatCode>General</c:formatCode>
                <c:ptCount val="5"/>
                <c:pt idx="0">
                  <c:v>0.98</c:v>
                </c:pt>
                <c:pt idx="1">
                  <c:v>1.1499999999999999</c:v>
                </c:pt>
                <c:pt idx="2">
                  <c:v>1.0900000000000001</c:v>
                </c:pt>
                <c:pt idx="3">
                  <c:v>1.0900000000000001</c:v>
                </c:pt>
                <c:pt idx="4">
                  <c:v>0.82</c:v>
                </c:pt>
              </c:numCache>
            </c:numRef>
          </c:val>
          <c:extLst>
            <c:ext xmlns:c16="http://schemas.microsoft.com/office/drawing/2014/chart" uri="{C3380CC4-5D6E-409C-BE32-E72D297353CC}">
              <c16:uniqueId val="{00000000-2B7D-48B5-A987-C57CFD64F273}"/>
            </c:ext>
          </c:extLst>
        </c:ser>
        <c:ser>
          <c:idx val="1"/>
          <c:order val="1"/>
          <c:tx>
            <c:strRef>
              <c:f>Sheet1!$C$1</c:f>
              <c:strCache>
                <c:ptCount val="1"/>
                <c:pt idx="0">
                  <c:v>Vodafone Limited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2022</c:v>
                </c:pt>
                <c:pt idx="1">
                  <c:v>2021</c:v>
                </c:pt>
                <c:pt idx="2">
                  <c:v>2020</c:v>
                </c:pt>
                <c:pt idx="3">
                  <c:v>2019</c:v>
                </c:pt>
                <c:pt idx="4">
                  <c:v>2018</c:v>
                </c:pt>
              </c:numCache>
            </c:numRef>
          </c:cat>
          <c:val>
            <c:numRef>
              <c:f>Sheet1!$C$2:$C$6</c:f>
              <c:numCache>
                <c:formatCode>General</c:formatCode>
                <c:ptCount val="5"/>
                <c:pt idx="0">
                  <c:v>0.82</c:v>
                </c:pt>
                <c:pt idx="1">
                  <c:v>0.94</c:v>
                </c:pt>
                <c:pt idx="2">
                  <c:v>1</c:v>
                </c:pt>
                <c:pt idx="3">
                  <c:v>1.23</c:v>
                </c:pt>
                <c:pt idx="4">
                  <c:v>0.86</c:v>
                </c:pt>
              </c:numCache>
            </c:numRef>
          </c:val>
          <c:extLst>
            <c:ext xmlns:c16="http://schemas.microsoft.com/office/drawing/2014/chart" uri="{C3380CC4-5D6E-409C-BE32-E72D297353CC}">
              <c16:uniqueId val="{00000001-2B7D-48B5-A987-C57CFD64F273}"/>
            </c:ext>
          </c:extLst>
        </c:ser>
        <c:ser>
          <c:idx val="2"/>
          <c:order val="2"/>
          <c:tx>
            <c:strRef>
              <c:f>Sheet1!$D$1</c:f>
              <c:strCache>
                <c:ptCount val="1"/>
                <c:pt idx="0">
                  <c:v>Three Limited</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pt idx="0">
                  <c:v>1.76</c:v>
                </c:pt>
                <c:pt idx="1">
                  <c:v>1.63</c:v>
                </c:pt>
                <c:pt idx="2">
                  <c:v>1.6</c:v>
                </c:pt>
                <c:pt idx="3">
                  <c:v>1.53</c:v>
                </c:pt>
                <c:pt idx="4">
                  <c:v>1.32</c:v>
                </c:pt>
              </c:numCache>
            </c:numRef>
          </c:val>
          <c:extLst>
            <c:ext xmlns:c16="http://schemas.microsoft.com/office/drawing/2014/chart" uri="{C3380CC4-5D6E-409C-BE32-E72D297353CC}">
              <c16:uniqueId val="{00000002-2B7D-48B5-A987-C57CFD64F273}"/>
            </c:ext>
          </c:extLst>
        </c:ser>
        <c:dLbls>
          <c:showLegendKey val="0"/>
          <c:showVal val="0"/>
          <c:showCatName val="0"/>
          <c:showSerName val="0"/>
          <c:showPercent val="0"/>
          <c:showBubbleSize val="0"/>
        </c:dLbls>
        <c:gapWidth val="100"/>
        <c:overlap val="-24"/>
        <c:axId val="1220500031"/>
        <c:axId val="1220510591"/>
      </c:barChart>
      <c:catAx>
        <c:axId val="1220500031"/>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0510591"/>
        <c:crosses val="autoZero"/>
        <c:auto val="1"/>
        <c:lblAlgn val="ctr"/>
        <c:lblOffset val="100"/>
        <c:noMultiLvlLbl val="0"/>
      </c:catAx>
      <c:valAx>
        <c:axId val="12205105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05000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a:t>Cash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BT Limited</c:v>
                </c:pt>
              </c:strCache>
            </c:strRef>
          </c:tx>
          <c:spPr>
            <a:ln w="31750" cap="rnd">
              <a:solidFill>
                <a:schemeClr val="accent1"/>
              </a:solidFill>
              <a:round/>
            </a:ln>
            <a:effectLst/>
          </c:spPr>
          <c:marker>
            <c:symbol val="none"/>
          </c:marker>
          <c:cat>
            <c:numRef>
              <c:f>Sheet1!$A$2:$A$6</c:f>
              <c:numCache>
                <c:formatCode>General</c:formatCode>
                <c:ptCount val="5"/>
                <c:pt idx="0">
                  <c:v>2022</c:v>
                </c:pt>
                <c:pt idx="1">
                  <c:v>2021</c:v>
                </c:pt>
                <c:pt idx="2">
                  <c:v>2020</c:v>
                </c:pt>
                <c:pt idx="3">
                  <c:v>2019</c:v>
                </c:pt>
                <c:pt idx="4">
                  <c:v>2018</c:v>
                </c:pt>
              </c:numCache>
            </c:numRef>
          </c:cat>
          <c:val>
            <c:numRef>
              <c:f>Sheet1!$B$2:$B$6</c:f>
              <c:numCache>
                <c:formatCode>General</c:formatCode>
                <c:ptCount val="5"/>
                <c:pt idx="0">
                  <c:v>0.09</c:v>
                </c:pt>
                <c:pt idx="1">
                  <c:v>0.11</c:v>
                </c:pt>
                <c:pt idx="2">
                  <c:v>0.14000000000000001</c:v>
                </c:pt>
                <c:pt idx="3">
                  <c:v>0.17</c:v>
                </c:pt>
                <c:pt idx="4">
                  <c:v>0.05</c:v>
                </c:pt>
              </c:numCache>
            </c:numRef>
          </c:val>
          <c:smooth val="0"/>
          <c:extLst>
            <c:ext xmlns:c16="http://schemas.microsoft.com/office/drawing/2014/chart" uri="{C3380CC4-5D6E-409C-BE32-E72D297353CC}">
              <c16:uniqueId val="{00000000-96E2-4026-BB05-4A3243B5B074}"/>
            </c:ext>
          </c:extLst>
        </c:ser>
        <c:ser>
          <c:idx val="1"/>
          <c:order val="1"/>
          <c:tx>
            <c:strRef>
              <c:f>Sheet1!$C$1</c:f>
              <c:strCache>
                <c:ptCount val="1"/>
                <c:pt idx="0">
                  <c:v>Vodafone Limited</c:v>
                </c:pt>
              </c:strCache>
            </c:strRef>
          </c:tx>
          <c:spPr>
            <a:ln w="31750" cap="rnd">
              <a:solidFill>
                <a:schemeClr val="accent3"/>
              </a:solidFill>
              <a:round/>
            </a:ln>
            <a:effectLst/>
          </c:spPr>
          <c:marker>
            <c:symbol val="none"/>
          </c:marker>
          <c:cat>
            <c:numRef>
              <c:f>Sheet1!$A$2:$A$6</c:f>
              <c:numCache>
                <c:formatCode>General</c:formatCode>
                <c:ptCount val="5"/>
                <c:pt idx="0">
                  <c:v>2022</c:v>
                </c:pt>
                <c:pt idx="1">
                  <c:v>2021</c:v>
                </c:pt>
                <c:pt idx="2">
                  <c:v>2020</c:v>
                </c:pt>
                <c:pt idx="3">
                  <c:v>2019</c:v>
                </c:pt>
                <c:pt idx="4">
                  <c:v>2018</c:v>
                </c:pt>
              </c:numCache>
            </c:numRef>
          </c:cat>
          <c:val>
            <c:numRef>
              <c:f>Sheet1!$C$2:$C$6</c:f>
              <c:numCache>
                <c:formatCode>General</c:formatCode>
                <c:ptCount val="5"/>
                <c:pt idx="0">
                  <c:v>0.22</c:v>
                </c:pt>
                <c:pt idx="1">
                  <c:v>0.2</c:v>
                </c:pt>
                <c:pt idx="2">
                  <c:v>0.37</c:v>
                </c:pt>
                <c:pt idx="3">
                  <c:v>0.53</c:v>
                </c:pt>
                <c:pt idx="4">
                  <c:v>0.12</c:v>
                </c:pt>
              </c:numCache>
            </c:numRef>
          </c:val>
          <c:smooth val="0"/>
          <c:extLst>
            <c:ext xmlns:c16="http://schemas.microsoft.com/office/drawing/2014/chart" uri="{C3380CC4-5D6E-409C-BE32-E72D297353CC}">
              <c16:uniqueId val="{00000001-96E2-4026-BB05-4A3243B5B074}"/>
            </c:ext>
          </c:extLst>
        </c:ser>
        <c:ser>
          <c:idx val="2"/>
          <c:order val="2"/>
          <c:tx>
            <c:strRef>
              <c:f>Sheet1!$D$1</c:f>
              <c:strCache>
                <c:ptCount val="1"/>
                <c:pt idx="0">
                  <c:v>Three Limited</c:v>
                </c:pt>
              </c:strCache>
            </c:strRef>
          </c:tx>
          <c:spPr>
            <a:ln w="31750" cap="rnd">
              <a:solidFill>
                <a:schemeClr val="accent5"/>
              </a:solidFill>
              <a:round/>
            </a:ln>
            <a:effectLst/>
          </c:spPr>
          <c:marker>
            <c:symbol val="none"/>
          </c:marker>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pt idx="0">
                  <c:v>0.27</c:v>
                </c:pt>
                <c:pt idx="1">
                  <c:v>0.26</c:v>
                </c:pt>
                <c:pt idx="2">
                  <c:v>0.28000000000000003</c:v>
                </c:pt>
                <c:pt idx="3">
                  <c:v>0.08</c:v>
                </c:pt>
                <c:pt idx="4">
                  <c:v>0.2</c:v>
                </c:pt>
              </c:numCache>
            </c:numRef>
          </c:val>
          <c:smooth val="0"/>
          <c:extLst>
            <c:ext xmlns:c16="http://schemas.microsoft.com/office/drawing/2014/chart" uri="{C3380CC4-5D6E-409C-BE32-E72D297353CC}">
              <c16:uniqueId val="{00000002-96E2-4026-BB05-4A3243B5B074}"/>
            </c:ext>
          </c:extLst>
        </c:ser>
        <c:dLbls>
          <c:showLegendKey val="0"/>
          <c:showVal val="0"/>
          <c:showCatName val="0"/>
          <c:showSerName val="0"/>
          <c:showPercent val="0"/>
          <c:showBubbleSize val="0"/>
        </c:dLbls>
        <c:smooth val="0"/>
        <c:axId val="515141231"/>
        <c:axId val="298345807"/>
      </c:lineChart>
      <c:catAx>
        <c:axId val="51514123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98345807"/>
        <c:crosses val="autoZero"/>
        <c:auto val="1"/>
        <c:lblAlgn val="ctr"/>
        <c:lblOffset val="100"/>
        <c:noMultiLvlLbl val="0"/>
      </c:catAx>
      <c:valAx>
        <c:axId val="29834580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15141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Debt to Assets</a:t>
            </a:r>
            <a:r>
              <a:rPr lang="en-IN" baseline="0"/>
              <a:t>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BT Limited</c:v>
                </c:pt>
              </c:strCache>
            </c:strRef>
          </c:tx>
          <c:spPr>
            <a:solidFill>
              <a:schemeClr val="accent1"/>
            </a:solidFill>
            <a:ln>
              <a:noFill/>
            </a:ln>
            <a:effectLst/>
            <a:sp3d/>
          </c:spPr>
          <c:invertIfNegative val="0"/>
          <c:cat>
            <c:numRef>
              <c:f>Sheet1!$A$2:$A$6</c:f>
              <c:numCache>
                <c:formatCode>General</c:formatCode>
                <c:ptCount val="5"/>
                <c:pt idx="0">
                  <c:v>2022</c:v>
                </c:pt>
                <c:pt idx="1">
                  <c:v>2021</c:v>
                </c:pt>
                <c:pt idx="2">
                  <c:v>2020</c:v>
                </c:pt>
                <c:pt idx="3">
                  <c:v>2019</c:v>
                </c:pt>
                <c:pt idx="4">
                  <c:v>2018</c:v>
                </c:pt>
              </c:numCache>
            </c:numRef>
          </c:cat>
          <c:val>
            <c:numRef>
              <c:f>Sheet1!$B$2:$B$6</c:f>
              <c:numCache>
                <c:formatCode>General</c:formatCode>
                <c:ptCount val="5"/>
                <c:pt idx="0">
                  <c:v>0.33</c:v>
                </c:pt>
                <c:pt idx="1">
                  <c:v>0.33</c:v>
                </c:pt>
                <c:pt idx="2">
                  <c:v>0.36</c:v>
                </c:pt>
                <c:pt idx="3">
                  <c:v>0.36</c:v>
                </c:pt>
                <c:pt idx="4">
                  <c:v>0.33</c:v>
                </c:pt>
              </c:numCache>
            </c:numRef>
          </c:val>
          <c:extLst>
            <c:ext xmlns:c16="http://schemas.microsoft.com/office/drawing/2014/chart" uri="{C3380CC4-5D6E-409C-BE32-E72D297353CC}">
              <c16:uniqueId val="{00000000-8C0F-4E23-8205-8D86909C31F1}"/>
            </c:ext>
          </c:extLst>
        </c:ser>
        <c:ser>
          <c:idx val="1"/>
          <c:order val="1"/>
          <c:tx>
            <c:strRef>
              <c:f>Sheet1!$C$1</c:f>
              <c:strCache>
                <c:ptCount val="1"/>
                <c:pt idx="0">
                  <c:v>Vodafone Limited</c:v>
                </c:pt>
              </c:strCache>
            </c:strRef>
          </c:tx>
          <c:spPr>
            <a:solidFill>
              <a:schemeClr val="accent2"/>
            </a:solidFill>
            <a:ln>
              <a:noFill/>
            </a:ln>
            <a:effectLst/>
            <a:sp3d/>
          </c:spPr>
          <c:invertIfNegative val="0"/>
          <c:cat>
            <c:numRef>
              <c:f>Sheet1!$A$2:$A$6</c:f>
              <c:numCache>
                <c:formatCode>General</c:formatCode>
                <c:ptCount val="5"/>
                <c:pt idx="0">
                  <c:v>2022</c:v>
                </c:pt>
                <c:pt idx="1">
                  <c:v>2021</c:v>
                </c:pt>
                <c:pt idx="2">
                  <c:v>2020</c:v>
                </c:pt>
                <c:pt idx="3">
                  <c:v>2019</c:v>
                </c:pt>
                <c:pt idx="4">
                  <c:v>2018</c:v>
                </c:pt>
              </c:numCache>
            </c:numRef>
          </c:cat>
          <c:val>
            <c:numRef>
              <c:f>Sheet1!$C$2:$C$6</c:f>
              <c:numCache>
                <c:formatCode>General</c:formatCode>
                <c:ptCount val="5"/>
                <c:pt idx="0">
                  <c:v>0.63</c:v>
                </c:pt>
                <c:pt idx="1">
                  <c:v>0.63</c:v>
                </c:pt>
                <c:pt idx="2">
                  <c:v>0.62</c:v>
                </c:pt>
                <c:pt idx="3">
                  <c:v>0.56000000000000005</c:v>
                </c:pt>
                <c:pt idx="4">
                  <c:v>0.45</c:v>
                </c:pt>
              </c:numCache>
            </c:numRef>
          </c:val>
          <c:extLst>
            <c:ext xmlns:c16="http://schemas.microsoft.com/office/drawing/2014/chart" uri="{C3380CC4-5D6E-409C-BE32-E72D297353CC}">
              <c16:uniqueId val="{00000001-8C0F-4E23-8205-8D86909C31F1}"/>
            </c:ext>
          </c:extLst>
        </c:ser>
        <c:ser>
          <c:idx val="2"/>
          <c:order val="2"/>
          <c:tx>
            <c:strRef>
              <c:f>Sheet1!$D$1</c:f>
              <c:strCache>
                <c:ptCount val="1"/>
                <c:pt idx="0">
                  <c:v>Three Limited</c:v>
                </c:pt>
              </c:strCache>
            </c:strRef>
          </c:tx>
          <c:spPr>
            <a:solidFill>
              <a:schemeClr val="accent3"/>
            </a:solidFill>
            <a:ln>
              <a:noFill/>
            </a:ln>
            <a:effectLst/>
            <a:sp3d/>
          </c:spPr>
          <c:invertIfNegative val="0"/>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pt idx="0">
                  <c:v>0.56999999999999995</c:v>
                </c:pt>
                <c:pt idx="1">
                  <c:v>0.61</c:v>
                </c:pt>
                <c:pt idx="2">
                  <c:v>0.62</c:v>
                </c:pt>
                <c:pt idx="3">
                  <c:v>0.62</c:v>
                </c:pt>
                <c:pt idx="4">
                  <c:v>0.72</c:v>
                </c:pt>
              </c:numCache>
            </c:numRef>
          </c:val>
          <c:extLst>
            <c:ext xmlns:c16="http://schemas.microsoft.com/office/drawing/2014/chart" uri="{C3380CC4-5D6E-409C-BE32-E72D297353CC}">
              <c16:uniqueId val="{00000002-8C0F-4E23-8205-8D86909C31F1}"/>
            </c:ext>
          </c:extLst>
        </c:ser>
        <c:dLbls>
          <c:showLegendKey val="0"/>
          <c:showVal val="0"/>
          <c:showCatName val="0"/>
          <c:showSerName val="0"/>
          <c:showPercent val="0"/>
          <c:showBubbleSize val="0"/>
        </c:dLbls>
        <c:gapWidth val="150"/>
        <c:shape val="box"/>
        <c:axId val="974578032"/>
        <c:axId val="1110918480"/>
        <c:axId val="0"/>
      </c:bar3DChart>
      <c:catAx>
        <c:axId val="97457803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918480"/>
        <c:crosses val="autoZero"/>
        <c:auto val="1"/>
        <c:lblAlgn val="ctr"/>
        <c:lblOffset val="100"/>
        <c:noMultiLvlLbl val="0"/>
      </c:catAx>
      <c:valAx>
        <c:axId val="1110918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4578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Debt</a:t>
            </a:r>
            <a:r>
              <a:rPr lang="en-IN" baseline="0"/>
              <a:t> to Equity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BT Limited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2022</c:v>
                </c:pt>
                <c:pt idx="1">
                  <c:v>2021</c:v>
                </c:pt>
                <c:pt idx="2">
                  <c:v>2020</c:v>
                </c:pt>
                <c:pt idx="3">
                  <c:v>2019</c:v>
                </c:pt>
                <c:pt idx="4">
                  <c:v>2018</c:v>
                </c:pt>
              </c:numCache>
            </c:numRef>
          </c:cat>
          <c:val>
            <c:numRef>
              <c:f>Sheet1!$B$2:$B$6</c:f>
              <c:numCache>
                <c:formatCode>General</c:formatCode>
                <c:ptCount val="5"/>
                <c:pt idx="0">
                  <c:v>1.06</c:v>
                </c:pt>
                <c:pt idx="1">
                  <c:v>1.43</c:v>
                </c:pt>
                <c:pt idx="2">
                  <c:v>1.31</c:v>
                </c:pt>
                <c:pt idx="3">
                  <c:v>1.66</c:v>
                </c:pt>
                <c:pt idx="4">
                  <c:v>1.43</c:v>
                </c:pt>
              </c:numCache>
            </c:numRef>
          </c:val>
          <c:smooth val="0"/>
          <c:extLst>
            <c:ext xmlns:c16="http://schemas.microsoft.com/office/drawing/2014/chart" uri="{C3380CC4-5D6E-409C-BE32-E72D297353CC}">
              <c16:uniqueId val="{00000000-07BF-4C65-9156-7305614A5698}"/>
            </c:ext>
          </c:extLst>
        </c:ser>
        <c:ser>
          <c:idx val="1"/>
          <c:order val="1"/>
          <c:tx>
            <c:strRef>
              <c:f>Sheet1!$C$1</c:f>
              <c:strCache>
                <c:ptCount val="1"/>
                <c:pt idx="0">
                  <c:v>Vodafone PLC</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Sheet1!$A$2:$A$6</c:f>
              <c:numCache>
                <c:formatCode>General</c:formatCode>
                <c:ptCount val="5"/>
                <c:pt idx="0">
                  <c:v>2022</c:v>
                </c:pt>
                <c:pt idx="1">
                  <c:v>2021</c:v>
                </c:pt>
                <c:pt idx="2">
                  <c:v>2020</c:v>
                </c:pt>
                <c:pt idx="3">
                  <c:v>2019</c:v>
                </c:pt>
                <c:pt idx="4">
                  <c:v>2018</c:v>
                </c:pt>
              </c:numCache>
            </c:numRef>
          </c:cat>
          <c:val>
            <c:numRef>
              <c:f>Sheet1!$C$2:$C$6</c:f>
              <c:numCache>
                <c:formatCode>General</c:formatCode>
                <c:ptCount val="5"/>
                <c:pt idx="0">
                  <c:v>1.7</c:v>
                </c:pt>
                <c:pt idx="1">
                  <c:v>1.68</c:v>
                </c:pt>
                <c:pt idx="2">
                  <c:v>1.67</c:v>
                </c:pt>
                <c:pt idx="3">
                  <c:v>1.25</c:v>
                </c:pt>
                <c:pt idx="4">
                  <c:v>0.96</c:v>
                </c:pt>
              </c:numCache>
            </c:numRef>
          </c:val>
          <c:smooth val="0"/>
          <c:extLst>
            <c:ext xmlns:c16="http://schemas.microsoft.com/office/drawing/2014/chart" uri="{C3380CC4-5D6E-409C-BE32-E72D297353CC}">
              <c16:uniqueId val="{00000001-07BF-4C65-9156-7305614A5698}"/>
            </c:ext>
          </c:extLst>
        </c:ser>
        <c:ser>
          <c:idx val="2"/>
          <c:order val="2"/>
          <c:tx>
            <c:strRef>
              <c:f>Sheet1!$D$1</c:f>
              <c:strCache>
                <c:ptCount val="1"/>
                <c:pt idx="0">
                  <c:v>Three PLC</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Sheet1!$A$2:$A$6</c:f>
              <c:numCache>
                <c:formatCode>General</c:formatCode>
                <c:ptCount val="5"/>
                <c:pt idx="0">
                  <c:v>2022</c:v>
                </c:pt>
                <c:pt idx="1">
                  <c:v>2021</c:v>
                </c:pt>
                <c:pt idx="2">
                  <c:v>2020</c:v>
                </c:pt>
                <c:pt idx="3">
                  <c:v>2019</c:v>
                </c:pt>
                <c:pt idx="4">
                  <c:v>2018</c:v>
                </c:pt>
              </c:numCache>
            </c:numRef>
          </c:cat>
          <c:val>
            <c:numRef>
              <c:f>Sheet1!$D$2:$D$6</c:f>
              <c:numCache>
                <c:formatCode>General</c:formatCode>
                <c:ptCount val="5"/>
                <c:pt idx="0">
                  <c:v>1.35</c:v>
                </c:pt>
                <c:pt idx="1">
                  <c:v>1.56</c:v>
                </c:pt>
                <c:pt idx="2">
                  <c:v>1.6</c:v>
                </c:pt>
                <c:pt idx="3">
                  <c:v>1.61</c:v>
                </c:pt>
                <c:pt idx="4">
                  <c:v>2.5499999999999998</c:v>
                </c:pt>
              </c:numCache>
            </c:numRef>
          </c:val>
          <c:smooth val="0"/>
          <c:extLst>
            <c:ext xmlns:c16="http://schemas.microsoft.com/office/drawing/2014/chart" uri="{C3380CC4-5D6E-409C-BE32-E72D297353CC}">
              <c16:uniqueId val="{00000002-07BF-4C65-9156-7305614A5698}"/>
            </c:ext>
          </c:extLst>
        </c:ser>
        <c:dLbls>
          <c:showLegendKey val="0"/>
          <c:showVal val="0"/>
          <c:showCatName val="0"/>
          <c:showSerName val="0"/>
          <c:showPercent val="0"/>
          <c:showBubbleSize val="0"/>
        </c:dLbls>
        <c:marker val="1"/>
        <c:smooth val="0"/>
        <c:axId val="1568447727"/>
        <c:axId val="367797519"/>
      </c:lineChart>
      <c:catAx>
        <c:axId val="15684477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7797519"/>
        <c:crosses val="autoZero"/>
        <c:auto val="1"/>
        <c:lblAlgn val="ctr"/>
        <c:lblOffset val="100"/>
        <c:noMultiLvlLbl val="0"/>
      </c:catAx>
      <c:valAx>
        <c:axId val="367797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4477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Yearly Share Return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Average share return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2018</c:v>
                </c:pt>
                <c:pt idx="1">
                  <c:v>2019</c:v>
                </c:pt>
                <c:pt idx="2">
                  <c:v>2020</c:v>
                </c:pt>
                <c:pt idx="3">
                  <c:v>2021</c:v>
                </c:pt>
                <c:pt idx="4">
                  <c:v>2022</c:v>
                </c:pt>
              </c:numCache>
            </c:numRef>
          </c:cat>
          <c:val>
            <c:numRef>
              <c:f>Sheet1!$B$2:$B$6</c:f>
              <c:numCache>
                <c:formatCode>General</c:formatCode>
                <c:ptCount val="5"/>
                <c:pt idx="0">
                  <c:v>3.76</c:v>
                </c:pt>
                <c:pt idx="1">
                  <c:v>-0.93</c:v>
                </c:pt>
                <c:pt idx="2">
                  <c:v>1.43</c:v>
                </c:pt>
                <c:pt idx="3">
                  <c:v>-0.75</c:v>
                </c:pt>
                <c:pt idx="4">
                  <c:v>2.2999999999999998</c:v>
                </c:pt>
              </c:numCache>
            </c:numRef>
          </c:val>
          <c:smooth val="0"/>
          <c:extLst>
            <c:ext xmlns:c16="http://schemas.microsoft.com/office/drawing/2014/chart" uri="{C3380CC4-5D6E-409C-BE32-E72D297353CC}">
              <c16:uniqueId val="{00000000-E379-4337-AF08-4823C29981BE}"/>
            </c:ext>
          </c:extLst>
        </c:ser>
        <c:dLbls>
          <c:showLegendKey val="0"/>
          <c:showVal val="0"/>
          <c:showCatName val="0"/>
          <c:showSerName val="0"/>
          <c:showPercent val="0"/>
          <c:showBubbleSize val="0"/>
        </c:dLbls>
        <c:marker val="1"/>
        <c:smooth val="0"/>
        <c:axId val="800226543"/>
        <c:axId val="1191795295"/>
      </c:lineChart>
      <c:catAx>
        <c:axId val="800226543"/>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795295"/>
        <c:crosses val="autoZero"/>
        <c:auto val="1"/>
        <c:lblAlgn val="ctr"/>
        <c:lblOffset val="100"/>
        <c:noMultiLvlLbl val="0"/>
      </c:catAx>
      <c:valAx>
        <c:axId val="11917952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0226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7CED63-337F-4B15-8832-E6F3820B8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3786</TotalTime>
  <Pages>20</Pages>
  <Words>4062</Words>
  <Characters>23159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Shivcharan Mistry</dc:creator>
  <cp:keywords/>
  <dc:description/>
  <cp:lastModifiedBy>Shivcharan Mistry</cp:lastModifiedBy>
  <cp:revision>2</cp:revision>
  <dcterms:created xsi:type="dcterms:W3CDTF">2023-11-09T10:46:00Z</dcterms:created>
  <dcterms:modified xsi:type="dcterms:W3CDTF">2023-11-20T14:45:00Z</dcterms:modified>
</cp:coreProperties>
</file>