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01EC6" w14:textId="4CAED012" w:rsidR="003F29DA" w:rsidRDefault="002F340F" w:rsidP="002F340F">
      <w:pPr>
        <w:spacing w:line="360" w:lineRule="auto"/>
        <w:jc w:val="center"/>
        <w:rPr>
          <w:rFonts w:ascii="Arial" w:hAnsi="Arial" w:cs="Arial"/>
          <w:sz w:val="22"/>
          <w:szCs w:val="22"/>
        </w:rPr>
      </w:pPr>
      <w:bookmarkStart w:id="0" w:name="_Hlk219805373"/>
      <w:bookmarkEnd w:id="0"/>
      <w:r>
        <w:rPr>
          <w:noProof/>
        </w:rPr>
        <w:drawing>
          <wp:inline distT="0" distB="0" distL="0" distR="0" wp14:anchorId="697123DE" wp14:editId="3479F9FB">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p>
    <w:p w14:paraId="7D50E5C5" w14:textId="77777777" w:rsidR="002F340F" w:rsidRDefault="002F340F" w:rsidP="002F340F">
      <w:pPr>
        <w:spacing w:line="360" w:lineRule="auto"/>
        <w:jc w:val="center"/>
        <w:rPr>
          <w:rFonts w:ascii="Arial" w:hAnsi="Arial" w:cs="Arial"/>
          <w:sz w:val="22"/>
          <w:szCs w:val="22"/>
        </w:rPr>
      </w:pPr>
    </w:p>
    <w:p w14:paraId="759D5ED1" w14:textId="77777777" w:rsidR="002F340F" w:rsidRPr="003F29DA" w:rsidRDefault="002F340F" w:rsidP="006608C4">
      <w:pPr>
        <w:spacing w:line="360" w:lineRule="auto"/>
        <w:rPr>
          <w:rFonts w:ascii="Arial" w:hAnsi="Arial" w:cs="Arial"/>
          <w:sz w:val="22"/>
          <w:szCs w:val="22"/>
        </w:rPr>
      </w:pPr>
    </w:p>
    <w:p w14:paraId="7AD6B122" w14:textId="77777777" w:rsidR="002F340F" w:rsidRPr="002F340F" w:rsidRDefault="002F340F" w:rsidP="002F340F">
      <w:pPr>
        <w:spacing w:after="157" w:line="259" w:lineRule="auto"/>
        <w:ind w:left="89"/>
        <w:jc w:val="center"/>
        <w:rPr>
          <w:rFonts w:ascii="Arial" w:eastAsia="DengXian" w:hAnsi="Arial" w:cs="Arial"/>
          <w:sz w:val="36"/>
          <w:szCs w:val="22"/>
          <w:lang w:val="en-GB" w:eastAsia="zh-CN"/>
        </w:rPr>
      </w:pPr>
      <w:r w:rsidRPr="002F340F">
        <w:rPr>
          <w:rFonts w:ascii="Arial" w:eastAsia="DengXian" w:hAnsi="Arial" w:cs="Arial"/>
          <w:b/>
          <w:bCs/>
          <w:sz w:val="36"/>
          <w:szCs w:val="22"/>
          <w:lang w:val="en-GB" w:eastAsia="zh-CN"/>
        </w:rPr>
        <w:t>DISSERTATION TITLE</w:t>
      </w:r>
      <w:r w:rsidRPr="002F340F">
        <w:rPr>
          <w:rFonts w:ascii="Arial" w:eastAsia="DengXian" w:hAnsi="Arial" w:cs="Arial"/>
          <w:sz w:val="36"/>
          <w:szCs w:val="22"/>
          <w:lang w:val="en-GB" w:eastAsia="zh-CN"/>
        </w:rPr>
        <w:t xml:space="preserve">: </w:t>
      </w:r>
    </w:p>
    <w:p w14:paraId="19564C3B" w14:textId="77777777" w:rsidR="002F340F" w:rsidRPr="002F340F" w:rsidRDefault="002F340F" w:rsidP="002F340F">
      <w:pPr>
        <w:spacing w:after="157" w:line="259" w:lineRule="auto"/>
        <w:ind w:left="89"/>
        <w:jc w:val="center"/>
        <w:rPr>
          <w:rFonts w:ascii="Arial" w:eastAsia="DengXian" w:hAnsi="Arial" w:cs="Arial"/>
          <w:sz w:val="36"/>
          <w:szCs w:val="36"/>
          <w:lang w:val="en-GB" w:eastAsia="zh-CN"/>
        </w:rPr>
      </w:pPr>
      <w:r w:rsidRPr="002F340F">
        <w:rPr>
          <w:rFonts w:ascii="Arial" w:eastAsia="DengXian" w:hAnsi="Arial" w:cs="Arial"/>
          <w:sz w:val="36"/>
          <w:szCs w:val="36"/>
          <w:lang w:val="en-GB" w:eastAsia="zh-CN"/>
        </w:rPr>
        <w:t>The Effectiveness of Community-Based Physiotherapy Interventions in Reducing Falls Among Older Adult (aged 65 and above) in England Metropolitan Settings: A Systematic Review</w:t>
      </w:r>
    </w:p>
    <w:p w14:paraId="1EB7360C" w14:textId="57895804" w:rsidR="002F340F" w:rsidRPr="002F340F" w:rsidRDefault="002F340F" w:rsidP="002F340F">
      <w:pPr>
        <w:spacing w:after="42" w:line="259" w:lineRule="auto"/>
        <w:ind w:left="89"/>
        <w:jc w:val="center"/>
        <w:rPr>
          <w:rFonts w:ascii="Calibri" w:eastAsia="DengXian" w:hAnsi="Calibri" w:cs="Arial"/>
          <w:sz w:val="36"/>
          <w:szCs w:val="22"/>
          <w:lang w:val="en-GB" w:eastAsia="zh-CN"/>
        </w:rPr>
      </w:pPr>
    </w:p>
    <w:p w14:paraId="75A13031" w14:textId="77777777" w:rsidR="002F340F" w:rsidRPr="002F340F" w:rsidRDefault="002F340F" w:rsidP="002F340F">
      <w:pPr>
        <w:spacing w:after="42" w:line="259" w:lineRule="auto"/>
        <w:ind w:left="89"/>
        <w:jc w:val="center"/>
        <w:rPr>
          <w:rFonts w:ascii="Calibri" w:eastAsia="DengXian" w:hAnsi="Calibri" w:cs="Arial"/>
          <w:sz w:val="22"/>
          <w:szCs w:val="22"/>
          <w:lang w:val="en-GB" w:eastAsia="zh-CN"/>
        </w:rPr>
      </w:pPr>
    </w:p>
    <w:p w14:paraId="5B2C404C" w14:textId="77777777" w:rsidR="000D54D8" w:rsidRPr="000D54D8" w:rsidRDefault="000D54D8" w:rsidP="002F340F">
      <w:pPr>
        <w:spacing w:after="158" w:line="259" w:lineRule="auto"/>
        <w:ind w:left="59"/>
        <w:jc w:val="center"/>
        <w:rPr>
          <w:rFonts w:ascii="Arial" w:eastAsia="DengXian" w:hAnsi="Arial" w:cs="Arial"/>
          <w:b/>
          <w:bCs/>
          <w:sz w:val="28"/>
          <w:szCs w:val="28"/>
          <w:lang w:val="en-GB" w:eastAsia="zh-CN"/>
        </w:rPr>
      </w:pPr>
      <w:r w:rsidRPr="000D54D8">
        <w:rPr>
          <w:rFonts w:ascii="Arial" w:eastAsia="DengXian" w:hAnsi="Arial" w:cs="Arial"/>
          <w:b/>
          <w:bCs/>
          <w:sz w:val="28"/>
          <w:szCs w:val="28"/>
          <w:lang w:val="en-GB" w:eastAsia="zh-CN"/>
        </w:rPr>
        <w:t xml:space="preserve">Student Name: </w:t>
      </w:r>
      <w:r w:rsidR="002F340F" w:rsidRPr="000D54D8">
        <w:rPr>
          <w:rFonts w:ascii="Arial" w:eastAsia="DengXian" w:hAnsi="Arial" w:cs="Arial"/>
          <w:b/>
          <w:bCs/>
          <w:sz w:val="28"/>
          <w:szCs w:val="28"/>
          <w:lang w:val="en-GB" w:eastAsia="zh-CN"/>
        </w:rPr>
        <w:t>Foram Jadav</w:t>
      </w:r>
    </w:p>
    <w:p w14:paraId="24516A42" w14:textId="4A07F55A" w:rsidR="000D54D8" w:rsidRPr="000D54D8" w:rsidRDefault="000D54D8" w:rsidP="000D54D8">
      <w:pPr>
        <w:spacing w:after="158" w:line="259" w:lineRule="auto"/>
        <w:ind w:left="59"/>
        <w:jc w:val="center"/>
        <w:rPr>
          <w:rFonts w:ascii="Arial" w:eastAsia="DengXian" w:hAnsi="Arial" w:cs="Arial"/>
          <w:b/>
          <w:bCs/>
          <w:sz w:val="28"/>
          <w:szCs w:val="28"/>
          <w:lang w:val="en-GB" w:eastAsia="zh-CN"/>
        </w:rPr>
      </w:pPr>
      <w:r w:rsidRPr="000D54D8">
        <w:rPr>
          <w:rFonts w:ascii="Arial" w:eastAsia="DengXian" w:hAnsi="Arial" w:cs="Arial"/>
          <w:b/>
          <w:bCs/>
          <w:sz w:val="28"/>
          <w:szCs w:val="28"/>
          <w:lang w:val="en-GB" w:eastAsia="zh-CN"/>
        </w:rPr>
        <w:t>Student Number: 2424903</w:t>
      </w:r>
      <w:r w:rsidR="002F340F" w:rsidRPr="000D54D8">
        <w:rPr>
          <w:rFonts w:ascii="Calibri" w:eastAsia="DengXian" w:hAnsi="Calibri" w:cs="Arial"/>
          <w:b/>
          <w:bCs/>
          <w:sz w:val="22"/>
          <w:szCs w:val="22"/>
          <w:lang w:val="en-GB" w:eastAsia="zh-CN"/>
        </w:rPr>
        <w:t xml:space="preserve"> </w:t>
      </w:r>
    </w:p>
    <w:p w14:paraId="000C1468" w14:textId="0C74522A" w:rsidR="002F340F" w:rsidRPr="002F340F" w:rsidRDefault="002F340F" w:rsidP="00440F88">
      <w:pPr>
        <w:spacing w:after="158" w:line="259" w:lineRule="auto"/>
        <w:ind w:left="59"/>
        <w:jc w:val="center"/>
        <w:rPr>
          <w:rFonts w:ascii="Calibri" w:eastAsia="DengXian" w:hAnsi="Calibri" w:cs="Arial"/>
          <w:sz w:val="22"/>
          <w:szCs w:val="22"/>
          <w:lang w:val="en-GB" w:eastAsia="zh-CN"/>
        </w:rPr>
      </w:pPr>
      <w:r w:rsidRPr="002F340F">
        <w:rPr>
          <w:rFonts w:ascii="Calibri" w:eastAsia="DengXian" w:hAnsi="Calibri" w:cs="Arial"/>
          <w:sz w:val="22"/>
          <w:szCs w:val="22"/>
          <w:lang w:val="en-GB" w:eastAsia="zh-CN"/>
        </w:rPr>
        <w:t xml:space="preserve"> </w:t>
      </w:r>
    </w:p>
    <w:p w14:paraId="6A778F5A" w14:textId="35991336" w:rsidR="002F340F" w:rsidRPr="002F340F" w:rsidRDefault="002F340F" w:rsidP="002F340F">
      <w:pPr>
        <w:spacing w:after="158" w:line="259" w:lineRule="auto"/>
        <w:ind w:left="59"/>
        <w:jc w:val="center"/>
        <w:rPr>
          <w:rFonts w:ascii="Arial" w:eastAsia="DengXian" w:hAnsi="Arial" w:cs="Arial"/>
          <w:sz w:val="22"/>
          <w:szCs w:val="22"/>
          <w:lang w:val="en-GB" w:eastAsia="zh-CN"/>
        </w:rPr>
      </w:pPr>
    </w:p>
    <w:p w14:paraId="07C36B08" w14:textId="77777777" w:rsidR="002F340F" w:rsidRPr="002F340F" w:rsidRDefault="002F340F" w:rsidP="002F340F">
      <w:pPr>
        <w:spacing w:after="156" w:line="259" w:lineRule="auto"/>
        <w:ind w:left="59"/>
        <w:jc w:val="center"/>
        <w:rPr>
          <w:rFonts w:ascii="Arial" w:eastAsia="DengXian" w:hAnsi="Arial" w:cs="Arial"/>
          <w:lang w:val="en-GB" w:eastAsia="zh-CN"/>
        </w:rPr>
      </w:pPr>
      <w:r w:rsidRPr="002F340F">
        <w:rPr>
          <w:rFonts w:ascii="Arial" w:eastAsia="DengXian" w:hAnsi="Arial" w:cs="Arial"/>
          <w:lang w:val="en-GB" w:eastAsia="zh-CN"/>
        </w:rPr>
        <w:t>A Dissertation submitted in partial fulfilment of the requirements for the degree of Masters of Science in Public Health and Social Care in Practice</w:t>
      </w:r>
    </w:p>
    <w:p w14:paraId="6EEDD244" w14:textId="77777777" w:rsidR="002F340F" w:rsidRPr="002F340F" w:rsidRDefault="002F340F" w:rsidP="002F340F">
      <w:pPr>
        <w:spacing w:after="156" w:line="259" w:lineRule="auto"/>
        <w:ind w:left="59"/>
        <w:rPr>
          <w:rFonts w:ascii="Arial" w:eastAsia="DengXian" w:hAnsi="Arial" w:cs="Arial"/>
          <w:sz w:val="22"/>
          <w:szCs w:val="22"/>
          <w:lang w:val="en-GB" w:eastAsia="zh-CN"/>
        </w:rPr>
      </w:pPr>
    </w:p>
    <w:p w14:paraId="34A87C08" w14:textId="58F5C2E8" w:rsidR="002F340F" w:rsidRPr="002F340F" w:rsidRDefault="000D54D8" w:rsidP="002F340F">
      <w:pPr>
        <w:spacing w:after="169" w:line="259" w:lineRule="auto"/>
        <w:jc w:val="center"/>
        <w:rPr>
          <w:rFonts w:ascii="Arial" w:eastAsia="DengXian" w:hAnsi="Arial" w:cs="Arial"/>
          <w:b/>
          <w:bCs/>
          <w:sz w:val="22"/>
          <w:szCs w:val="22"/>
          <w:lang w:val="en-GB" w:eastAsia="zh-CN"/>
        </w:rPr>
      </w:pPr>
      <w:r>
        <w:rPr>
          <w:rFonts w:ascii="Arial" w:eastAsia="DengXian" w:hAnsi="Arial" w:cs="Arial"/>
          <w:b/>
          <w:bCs/>
          <w:sz w:val="22"/>
          <w:szCs w:val="22"/>
          <w:lang w:val="en-GB" w:eastAsia="zh-CN"/>
        </w:rPr>
        <w:t>Submission Date: 02/02/2026</w:t>
      </w:r>
    </w:p>
    <w:p w14:paraId="3EAB062A" w14:textId="77777777" w:rsidR="002F340F" w:rsidRPr="002F340F" w:rsidRDefault="002F340F" w:rsidP="002F340F">
      <w:pPr>
        <w:spacing w:after="169" w:line="259" w:lineRule="auto"/>
        <w:jc w:val="center"/>
        <w:rPr>
          <w:rFonts w:ascii="Arial" w:eastAsia="DengXian" w:hAnsi="Arial" w:cs="Arial"/>
          <w:b/>
          <w:bCs/>
          <w:sz w:val="22"/>
          <w:szCs w:val="22"/>
          <w:lang w:val="en-GB" w:eastAsia="zh-CN"/>
        </w:rPr>
      </w:pPr>
    </w:p>
    <w:p w14:paraId="42184922" w14:textId="77777777" w:rsidR="002F340F" w:rsidRPr="002F340F" w:rsidRDefault="002F340F" w:rsidP="002F340F">
      <w:pPr>
        <w:spacing w:after="169" w:line="259" w:lineRule="auto"/>
        <w:jc w:val="center"/>
        <w:rPr>
          <w:rFonts w:ascii="Arial" w:eastAsia="DengXian" w:hAnsi="Arial" w:cs="Arial"/>
          <w:b/>
          <w:bCs/>
          <w:lang w:val="en-GB" w:eastAsia="zh-CN"/>
        </w:rPr>
      </w:pPr>
      <w:r w:rsidRPr="002F340F">
        <w:rPr>
          <w:rFonts w:ascii="Arial" w:eastAsia="DengXian" w:hAnsi="Arial" w:cs="Arial"/>
          <w:b/>
          <w:bCs/>
          <w:lang w:val="en-GB" w:eastAsia="zh-CN"/>
        </w:rPr>
        <w:t>The Institute of Inner-City Learning</w:t>
      </w:r>
    </w:p>
    <w:p w14:paraId="38BA68F4" w14:textId="52E92D85" w:rsidR="002F340F" w:rsidRPr="002F340F" w:rsidRDefault="002F340F" w:rsidP="002F340F">
      <w:pPr>
        <w:spacing w:after="169" w:line="259" w:lineRule="auto"/>
        <w:jc w:val="center"/>
        <w:rPr>
          <w:rFonts w:ascii="Arial" w:eastAsia="DengXian" w:hAnsi="Arial" w:cs="Arial"/>
          <w:b/>
          <w:bCs/>
          <w:lang w:val="en-GB" w:eastAsia="zh-CN"/>
        </w:rPr>
      </w:pPr>
      <w:r w:rsidRPr="002F340F">
        <w:rPr>
          <w:rFonts w:ascii="Arial" w:eastAsia="DengXian" w:hAnsi="Arial" w:cs="Arial"/>
          <w:b/>
          <w:bCs/>
          <w:lang w:val="en-GB" w:eastAsia="zh-CN"/>
        </w:rPr>
        <w:t>University of Wales Trinity Saint David – London Campus</w:t>
      </w:r>
    </w:p>
    <w:p w14:paraId="62593D0B" w14:textId="77777777" w:rsidR="002F340F" w:rsidRDefault="002F340F" w:rsidP="002F340F">
      <w:pPr>
        <w:spacing w:after="157" w:line="259" w:lineRule="auto"/>
        <w:ind w:left="2367" w:right="2357"/>
        <w:jc w:val="center"/>
        <w:rPr>
          <w:rFonts w:ascii="Arial" w:eastAsia="DengXian" w:hAnsi="Arial" w:cs="Arial"/>
          <w:b/>
          <w:bCs/>
          <w:lang w:val="en-GB" w:eastAsia="zh-CN"/>
        </w:rPr>
      </w:pPr>
    </w:p>
    <w:p w14:paraId="39EEE3BE" w14:textId="58C32B41" w:rsidR="006608C4" w:rsidRDefault="006608C4" w:rsidP="002F340F">
      <w:pPr>
        <w:spacing w:after="157" w:line="259" w:lineRule="auto"/>
        <w:ind w:left="2367" w:right="2357"/>
        <w:jc w:val="center"/>
        <w:rPr>
          <w:rFonts w:ascii="Arial" w:eastAsia="DengXian" w:hAnsi="Arial" w:cs="Arial"/>
          <w:b/>
          <w:bCs/>
          <w:lang w:val="en-GB" w:eastAsia="zh-CN"/>
        </w:rPr>
      </w:pPr>
      <w:r>
        <w:rPr>
          <w:rFonts w:ascii="Arial" w:eastAsia="DengXian" w:hAnsi="Arial" w:cs="Arial"/>
          <w:b/>
          <w:bCs/>
          <w:lang w:val="en-GB" w:eastAsia="zh-CN"/>
        </w:rPr>
        <w:t>[FEB 2025-2026]</w:t>
      </w:r>
    </w:p>
    <w:p w14:paraId="1C1CBDE1" w14:textId="77777777" w:rsidR="00440F88" w:rsidRDefault="00440F88" w:rsidP="00440F88">
      <w:pPr>
        <w:spacing w:after="157" w:line="259" w:lineRule="auto"/>
        <w:ind w:left="2367" w:right="2357"/>
        <w:jc w:val="center"/>
        <w:rPr>
          <w:rFonts w:ascii="Arial" w:eastAsia="DengXian" w:hAnsi="Arial" w:cs="Arial"/>
          <w:sz w:val="22"/>
          <w:szCs w:val="22"/>
          <w:lang w:val="en-GB" w:eastAsia="zh-CN"/>
        </w:rPr>
      </w:pPr>
    </w:p>
    <w:p w14:paraId="2FE12622" w14:textId="77777777" w:rsidR="00440F88" w:rsidRDefault="00440F88" w:rsidP="00440F88">
      <w:pPr>
        <w:spacing w:after="157" w:line="259" w:lineRule="auto"/>
        <w:ind w:left="2367" w:right="2357"/>
        <w:jc w:val="center"/>
        <w:rPr>
          <w:rFonts w:ascii="Arial" w:eastAsia="DengXian" w:hAnsi="Arial" w:cs="Arial"/>
          <w:sz w:val="22"/>
          <w:szCs w:val="22"/>
          <w:lang w:val="en-GB" w:eastAsia="zh-CN"/>
        </w:rPr>
      </w:pPr>
    </w:p>
    <w:p w14:paraId="1DF36C46" w14:textId="15AD2E97" w:rsidR="00440F88" w:rsidRPr="00440F88" w:rsidRDefault="00440F88" w:rsidP="00440F88">
      <w:pPr>
        <w:spacing w:after="157" w:line="259" w:lineRule="auto"/>
        <w:ind w:left="2367" w:right="2357"/>
        <w:jc w:val="center"/>
        <w:rPr>
          <w:rFonts w:ascii="Arial" w:eastAsia="DengXian" w:hAnsi="Arial" w:cs="Arial"/>
          <w:sz w:val="22"/>
          <w:szCs w:val="22"/>
          <w:lang w:val="en-GB" w:eastAsia="zh-CN"/>
        </w:rPr>
      </w:pPr>
      <w:r w:rsidRPr="00440F88">
        <w:rPr>
          <w:rFonts w:ascii="Arial" w:eastAsia="DengXian" w:hAnsi="Arial" w:cs="Arial"/>
          <w:sz w:val="22"/>
          <w:szCs w:val="22"/>
          <w:lang w:val="en-GB" w:eastAsia="zh-CN"/>
        </w:rPr>
        <w:t>Word count – 15,452</w:t>
      </w:r>
    </w:p>
    <w:p w14:paraId="52C8F1DA" w14:textId="77777777" w:rsidR="006608C4" w:rsidRDefault="006608C4" w:rsidP="002F340F">
      <w:pPr>
        <w:spacing w:after="157" w:line="259" w:lineRule="auto"/>
        <w:ind w:left="2367" w:right="2357"/>
        <w:jc w:val="center"/>
        <w:rPr>
          <w:rFonts w:ascii="Arial" w:eastAsia="DengXian" w:hAnsi="Arial" w:cs="Arial"/>
          <w:b/>
          <w:bCs/>
          <w:lang w:val="en-GB" w:eastAsia="zh-CN"/>
        </w:rPr>
      </w:pPr>
    </w:p>
    <w:p w14:paraId="0734746F" w14:textId="6592BF45" w:rsidR="002F340F" w:rsidRPr="000D54D8" w:rsidRDefault="002F340F" w:rsidP="002F340F">
      <w:pPr>
        <w:spacing w:after="200" w:line="276" w:lineRule="auto"/>
        <w:rPr>
          <w:rFonts w:ascii="Arial" w:eastAsia="Times New Roman" w:hAnsi="Arial" w:cs="Arial"/>
          <w:b/>
          <w:bCs/>
          <w:color w:val="000000"/>
          <w:sz w:val="32"/>
          <w:szCs w:val="32"/>
          <w:lang w:val="hr-HR" w:eastAsia="zh-CN"/>
        </w:rPr>
      </w:pPr>
      <w:r w:rsidRPr="000D54D8">
        <w:rPr>
          <w:rFonts w:ascii="Arial" w:eastAsia="Times New Roman" w:hAnsi="Arial" w:cs="Arial"/>
          <w:b/>
          <w:bCs/>
          <w:color w:val="000000"/>
          <w:sz w:val="32"/>
          <w:szCs w:val="32"/>
          <w:lang w:val="hr-HR" w:eastAsia="zh-CN"/>
        </w:rPr>
        <w:lastRenderedPageBreak/>
        <w:t>D</w:t>
      </w:r>
      <w:r w:rsidR="000D54D8" w:rsidRPr="000D54D8">
        <w:rPr>
          <w:rFonts w:ascii="Arial" w:eastAsia="Times New Roman" w:hAnsi="Arial" w:cs="Arial"/>
          <w:b/>
          <w:bCs/>
          <w:color w:val="000000"/>
          <w:sz w:val="32"/>
          <w:szCs w:val="32"/>
          <w:lang w:val="hr-HR" w:eastAsia="zh-CN"/>
        </w:rPr>
        <w:t>eclaration</w:t>
      </w:r>
    </w:p>
    <w:p w14:paraId="0263753C" w14:textId="77777777" w:rsidR="002F340F" w:rsidRPr="002F340F" w:rsidRDefault="002F340F" w:rsidP="000D54D8">
      <w:pPr>
        <w:spacing w:after="200" w:line="360" w:lineRule="auto"/>
        <w:jc w:val="both"/>
        <w:rPr>
          <w:rFonts w:ascii="Arial" w:eastAsia="Times New Roman" w:hAnsi="Arial" w:cs="Arial"/>
          <w:color w:val="000000"/>
          <w:lang w:val="hr-HR" w:eastAsia="zh-CN"/>
        </w:rPr>
      </w:pPr>
      <w:r w:rsidRPr="002F340F">
        <w:rPr>
          <w:rFonts w:ascii="Calibri" w:eastAsia="DengXian" w:hAnsi="Calibri" w:cs="Arial"/>
          <w:noProof/>
          <w:sz w:val="22"/>
          <w:szCs w:val="22"/>
          <w:lang w:val="en-GB" w:eastAsia="zh-CN"/>
        </w:rPr>
        <mc:AlternateContent>
          <mc:Choice Requires="wpi">
            <w:drawing>
              <wp:anchor distT="0" distB="0" distL="114300" distR="114300" simplePos="0" relativeHeight="251659264" behindDoc="0" locked="0" layoutInCell="1" allowOverlap="1" wp14:anchorId="7E93E217" wp14:editId="0A558046">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3446524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AxSD0LhAAAADQEAAA8AAABkcnMvZG93bnJldi54&#10;bWxMj01vwjAMhu+T+A+RkXYrKYWhrjRFbGiatNvYxDiGxrQVjVM1Acq/nzltN388ev04Xw22FRfs&#10;feNIwXQSg0AqnWmoUvD99RalIHzQZHTrCBXc0MOqGD3kOjPuSp942YZKcAj5TCuoQ+gyKX1Zo9V+&#10;4jok3h1db3Xgtq+k6fWVw20rkzheSKsb4gu17vC1xvK0PVsFH/LlmLynlcX57nTbG7352a03Sj2O&#10;h/USRMAh/MFw12d1KNjp4M5kvGgVRLMkTZi9V09zEIxE03TGowPD8fMCZJHL/18Uv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">
                <v:imagedata r:id="rId10" o:title=""/>
                <o:lock v:ext="edit" rotation="t" verticies="t" shapetype="t"/>
              </v:shape>
            </w:pict>
          </mc:Fallback>
        </mc:AlternateContent>
      </w:r>
      <w:r w:rsidRPr="002F340F">
        <w:rPr>
          <w:rFonts w:ascii="Calibri" w:eastAsia="DengXian" w:hAnsi="Calibri" w:cs="Arial"/>
          <w:noProof/>
          <w:sz w:val="22"/>
          <w:szCs w:val="22"/>
          <w:lang w:val="en-GB" w:eastAsia="zh-CN"/>
        </w:rPr>
        <mc:AlternateContent>
          <mc:Choice Requires="wpi">
            <w:drawing>
              <wp:anchor distT="0" distB="0" distL="114300" distR="114300" simplePos="0" relativeHeight="251660288" behindDoc="0" locked="0" layoutInCell="1" allowOverlap="1" wp14:anchorId="0D26B0E9" wp14:editId="205D85F5">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6DFA681F" id="Ink 15" o:spid="_x0000_s1026" type="#_x0000_t75" style="position:absolute;margin-left:-164.1pt;margin-top:18.35pt;width:72.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">
                <v:imagedata r:id="rId12" o:title=""/>
                <o:lock v:ext="edit" rotation="t" verticies="t" shapetype="t"/>
              </v:shape>
            </w:pict>
          </mc:Fallback>
        </mc:AlternateContent>
      </w:r>
      <w:r w:rsidRPr="002F340F">
        <w:rPr>
          <w:rFonts w:ascii="Calibri" w:eastAsia="DengXian" w:hAnsi="Calibri" w:cs="Arial"/>
          <w:noProof/>
          <w:sz w:val="22"/>
          <w:szCs w:val="22"/>
          <w:lang w:val="en-GB" w:eastAsia="zh-CN"/>
        </w:rPr>
        <mc:AlternateContent>
          <mc:Choice Requires="wpi">
            <w:drawing>
              <wp:anchor distT="0" distB="0" distL="114300" distR="114300" simplePos="0" relativeHeight="251661312" behindDoc="0" locked="0" layoutInCell="1" allowOverlap="1" wp14:anchorId="3EE8BB08" wp14:editId="015BF023">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6CF54EAE" id="Ink 14" o:spid="_x0000_s1026" type="#_x0000_t75" style="position:absolute;margin-left:-164.1pt;margin-top:-16.9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Kgy8DngAAAADQEAAA8AAABkcnMvZG93bnJldi54&#10;bWxMj0FPwzAMhe9I/IfISNy6tClCVWk6DSaExI2BBses8dpqjVM12db9e7wT3Gy/T8/vVcvZDeKE&#10;U+g9acgWKQikxtueWg1fn69JASJEQ9YMnlDDBQMs69ubypTWn+kDT5vYCjahUBoNXYxjKWVoOnQm&#10;LPyIxNreT85EXqdW2smc2dwNUqXpo3SmJ/7QmRFfOmwOm6PT8C6f9+qtaB0+bA+XH2vW39vVWuv7&#10;u3n1BCLiHP9guMbn6FBzpp0/kg1i0JDkqlDMXqecSzCSZEXOpx3DWaZA1pX836L+B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">
                <v:imagedata r:id="rId10" o:title=""/>
                <o:lock v:ext="edit" rotation="t" verticies="t" shapetype="t"/>
              </v:shape>
            </w:pict>
          </mc:Fallback>
        </mc:AlternateContent>
      </w:r>
      <w:r w:rsidRPr="002F340F">
        <w:rPr>
          <w:rFonts w:ascii="Calibri" w:eastAsia="DengXian" w:hAnsi="Calibri" w:cs="Arial"/>
          <w:noProof/>
          <w:sz w:val="22"/>
          <w:szCs w:val="22"/>
          <w:lang w:val="en-GB" w:eastAsia="zh-CN"/>
        </w:rPr>
        <mc:AlternateContent>
          <mc:Choice Requires="wpi">
            <w:drawing>
              <wp:anchor distT="0" distB="0" distL="114300" distR="114300" simplePos="0" relativeHeight="251662336" behindDoc="0" locked="0" layoutInCell="1" allowOverlap="1" wp14:anchorId="3F18141B" wp14:editId="19C81BCA">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71AE6A4E" id="Ink 11" o:spid="_x0000_s1026" type="#_x0000_t75" style="position:absolute;margin-left:-188.65pt;margin-top:-17.05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">
                <v:imagedata r:id="rId10" o:title=""/>
                <o:lock v:ext="edit" rotation="t" verticies="t" shapetype="t"/>
              </v:shape>
            </w:pict>
          </mc:Fallback>
        </mc:AlternateContent>
      </w:r>
      <w:r w:rsidRPr="002F340F">
        <w:rPr>
          <w:rFonts w:ascii="Arial" w:eastAsia="Times New Roman" w:hAnsi="Arial" w:cs="Arial"/>
          <w:color w:val="000000"/>
          <w:lang w:val="hr-HR" w:eastAsia="zh-CN"/>
        </w:rPr>
        <w:t>I, Foram Jadav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3C952709" w14:textId="77777777" w:rsidR="002F340F" w:rsidRPr="002F340F" w:rsidRDefault="002F340F" w:rsidP="000D54D8">
      <w:pPr>
        <w:spacing w:after="200" w:line="360" w:lineRule="auto"/>
        <w:jc w:val="both"/>
        <w:rPr>
          <w:rFonts w:ascii="Arial" w:eastAsia="Times New Roman" w:hAnsi="Arial" w:cs="Arial"/>
          <w:color w:val="000000"/>
          <w:lang w:val="hr-HR" w:eastAsia="zh-CN"/>
        </w:rPr>
      </w:pPr>
    </w:p>
    <w:p w14:paraId="41074C81" w14:textId="77777777" w:rsidR="002F340F" w:rsidRPr="002F340F" w:rsidRDefault="002F340F" w:rsidP="000D54D8">
      <w:pPr>
        <w:spacing w:after="200" w:line="360" w:lineRule="auto"/>
        <w:jc w:val="both"/>
        <w:rPr>
          <w:rFonts w:ascii="Arial" w:eastAsia="Times New Roman" w:hAnsi="Arial" w:cs="Arial"/>
          <w:color w:val="000000"/>
          <w:lang w:val="hr-HR" w:eastAsia="zh-CN"/>
        </w:rPr>
      </w:pPr>
    </w:p>
    <w:p w14:paraId="500EBF3D" w14:textId="383346EA" w:rsidR="002F340F" w:rsidRPr="002F340F" w:rsidRDefault="002F340F" w:rsidP="000D54D8">
      <w:pPr>
        <w:spacing w:after="200" w:line="360" w:lineRule="auto"/>
        <w:jc w:val="both"/>
        <w:rPr>
          <w:rFonts w:ascii="Arial" w:eastAsia="Times New Roman" w:hAnsi="Arial" w:cs="Arial"/>
          <w:color w:val="000000"/>
          <w:lang w:val="hr-HR" w:eastAsia="zh-CN"/>
        </w:rPr>
      </w:pPr>
      <w:r w:rsidRPr="002F340F">
        <w:rPr>
          <w:rFonts w:ascii="Arial" w:eastAsia="Times New Roman" w:hAnsi="Arial" w:cs="Arial"/>
          <w:color w:val="000000"/>
          <w:lang w:val="hr-HR" w:eastAsia="zh-CN"/>
        </w:rPr>
        <w:t>Signed:</w:t>
      </w:r>
      <w:r w:rsidR="0016764D">
        <w:rPr>
          <w:rFonts w:ascii="Arial" w:eastAsia="Times New Roman" w:hAnsi="Arial" w:cs="Arial"/>
          <w:color w:val="000000"/>
          <w:lang w:val="hr-HR" w:eastAsia="zh-CN"/>
        </w:rPr>
        <w:t xml:space="preserve"> Foram Jadav</w:t>
      </w:r>
    </w:p>
    <w:p w14:paraId="60CB60D9" w14:textId="77777777" w:rsidR="002F340F" w:rsidRPr="002F340F" w:rsidRDefault="002F340F" w:rsidP="000D54D8">
      <w:pPr>
        <w:spacing w:after="200" w:line="360" w:lineRule="auto"/>
        <w:jc w:val="both"/>
        <w:rPr>
          <w:rFonts w:ascii="Arial" w:eastAsia="Times New Roman" w:hAnsi="Arial" w:cs="Arial"/>
          <w:color w:val="000000"/>
          <w:lang w:val="hr-HR" w:eastAsia="zh-CN"/>
        </w:rPr>
      </w:pPr>
    </w:p>
    <w:p w14:paraId="754F4EED" w14:textId="5A9D4071" w:rsidR="002F340F" w:rsidRPr="002F340F" w:rsidRDefault="002F340F" w:rsidP="000D54D8">
      <w:pPr>
        <w:spacing w:after="200" w:line="360" w:lineRule="auto"/>
        <w:jc w:val="both"/>
        <w:rPr>
          <w:rFonts w:ascii="Arial" w:eastAsia="Times New Roman" w:hAnsi="Arial" w:cs="Arial"/>
          <w:color w:val="000000"/>
          <w:lang w:val="hr-HR" w:eastAsia="zh-CN"/>
        </w:rPr>
      </w:pPr>
      <w:r w:rsidRPr="002F340F">
        <w:rPr>
          <w:rFonts w:ascii="Arial" w:eastAsia="Times New Roman" w:hAnsi="Arial" w:cs="Arial"/>
          <w:color w:val="000000"/>
          <w:lang w:val="hr-HR" w:eastAsia="zh-CN"/>
        </w:rPr>
        <w:t>Date:</w:t>
      </w:r>
      <w:r w:rsidR="0016764D">
        <w:rPr>
          <w:rFonts w:ascii="Arial" w:eastAsia="Times New Roman" w:hAnsi="Arial" w:cs="Arial"/>
          <w:color w:val="000000"/>
          <w:lang w:val="hr-HR" w:eastAsia="zh-CN"/>
        </w:rPr>
        <w:t xml:space="preserve"> 01/02/2026</w:t>
      </w:r>
    </w:p>
    <w:p w14:paraId="1487B820" w14:textId="2DCDC7DB" w:rsidR="002F340F" w:rsidRPr="002F340F" w:rsidRDefault="002F340F" w:rsidP="002F340F">
      <w:pPr>
        <w:spacing w:after="157" w:line="259" w:lineRule="auto"/>
        <w:ind w:right="2357"/>
        <w:rPr>
          <w:rFonts w:ascii="Arial" w:eastAsia="DengXian" w:hAnsi="Arial" w:cs="Arial"/>
          <w:b/>
          <w:bCs/>
          <w:lang w:val="en-GB" w:eastAsia="zh-CN"/>
        </w:rPr>
      </w:pPr>
    </w:p>
    <w:p w14:paraId="043F7145" w14:textId="2E3A2FCE" w:rsidR="003F29DA" w:rsidRPr="003F29DA" w:rsidRDefault="003F29DA" w:rsidP="002F340F">
      <w:pPr>
        <w:spacing w:line="360" w:lineRule="auto"/>
        <w:jc w:val="center"/>
        <w:rPr>
          <w:rFonts w:ascii="Arial" w:hAnsi="Arial" w:cs="Arial"/>
          <w:sz w:val="22"/>
          <w:szCs w:val="22"/>
        </w:rPr>
      </w:pPr>
    </w:p>
    <w:p w14:paraId="5BBFC411" w14:textId="77777777" w:rsidR="003F29DA" w:rsidRPr="003F29DA" w:rsidRDefault="003F29DA" w:rsidP="002F690B">
      <w:pPr>
        <w:spacing w:line="360" w:lineRule="auto"/>
        <w:jc w:val="both"/>
        <w:rPr>
          <w:rFonts w:ascii="Arial" w:hAnsi="Arial" w:cs="Arial"/>
          <w:sz w:val="22"/>
          <w:szCs w:val="22"/>
        </w:rPr>
      </w:pPr>
    </w:p>
    <w:p w14:paraId="16C2C6F1" w14:textId="77777777" w:rsidR="003F29DA" w:rsidRPr="003F29DA" w:rsidRDefault="003F29DA" w:rsidP="002F690B">
      <w:pPr>
        <w:spacing w:line="360" w:lineRule="auto"/>
        <w:jc w:val="both"/>
        <w:rPr>
          <w:rFonts w:ascii="Arial" w:hAnsi="Arial" w:cs="Arial"/>
          <w:sz w:val="22"/>
          <w:szCs w:val="22"/>
        </w:rPr>
      </w:pPr>
    </w:p>
    <w:p w14:paraId="1FCBA2A4" w14:textId="77777777" w:rsidR="003F29DA" w:rsidRPr="003F29DA" w:rsidRDefault="003F29DA" w:rsidP="002F690B">
      <w:pPr>
        <w:spacing w:line="360" w:lineRule="auto"/>
        <w:jc w:val="both"/>
        <w:rPr>
          <w:rFonts w:ascii="Arial" w:hAnsi="Arial" w:cs="Arial"/>
          <w:sz w:val="22"/>
          <w:szCs w:val="22"/>
        </w:rPr>
      </w:pPr>
    </w:p>
    <w:p w14:paraId="2C99FC82" w14:textId="77777777" w:rsidR="003F29DA" w:rsidRPr="003F29DA" w:rsidRDefault="003F29DA" w:rsidP="002F690B">
      <w:pPr>
        <w:spacing w:line="360" w:lineRule="auto"/>
        <w:jc w:val="both"/>
        <w:rPr>
          <w:rFonts w:ascii="Arial" w:hAnsi="Arial" w:cs="Arial"/>
          <w:sz w:val="22"/>
          <w:szCs w:val="22"/>
        </w:rPr>
      </w:pPr>
    </w:p>
    <w:p w14:paraId="78511283" w14:textId="77777777" w:rsidR="003F29DA" w:rsidRPr="003F29DA" w:rsidRDefault="003F29DA" w:rsidP="002F690B">
      <w:pPr>
        <w:spacing w:line="360" w:lineRule="auto"/>
        <w:jc w:val="both"/>
        <w:rPr>
          <w:rFonts w:ascii="Arial" w:hAnsi="Arial" w:cs="Arial"/>
          <w:sz w:val="22"/>
          <w:szCs w:val="22"/>
        </w:rPr>
      </w:pPr>
    </w:p>
    <w:p w14:paraId="0BD493FB" w14:textId="77777777" w:rsidR="003F29DA" w:rsidRPr="003F29DA" w:rsidRDefault="003F29DA" w:rsidP="002F690B">
      <w:pPr>
        <w:spacing w:line="360" w:lineRule="auto"/>
        <w:jc w:val="both"/>
        <w:rPr>
          <w:rFonts w:ascii="Arial" w:hAnsi="Arial" w:cs="Arial"/>
          <w:sz w:val="22"/>
          <w:szCs w:val="22"/>
        </w:rPr>
      </w:pPr>
    </w:p>
    <w:p w14:paraId="5A8DCDA5" w14:textId="77777777" w:rsidR="003F29DA" w:rsidRPr="003F29DA" w:rsidRDefault="003F29DA" w:rsidP="002F690B">
      <w:pPr>
        <w:spacing w:line="360" w:lineRule="auto"/>
        <w:jc w:val="both"/>
        <w:rPr>
          <w:rFonts w:ascii="Arial" w:hAnsi="Arial" w:cs="Arial"/>
          <w:sz w:val="22"/>
          <w:szCs w:val="22"/>
        </w:rPr>
      </w:pPr>
    </w:p>
    <w:p w14:paraId="49DED47B" w14:textId="77777777" w:rsidR="003F29DA" w:rsidRPr="003F29DA" w:rsidRDefault="003F29DA" w:rsidP="002F690B">
      <w:pPr>
        <w:spacing w:line="360" w:lineRule="auto"/>
        <w:jc w:val="both"/>
        <w:rPr>
          <w:rFonts w:ascii="Arial" w:hAnsi="Arial" w:cs="Arial"/>
          <w:sz w:val="22"/>
          <w:szCs w:val="22"/>
        </w:rPr>
      </w:pPr>
    </w:p>
    <w:p w14:paraId="4997F77D" w14:textId="77777777" w:rsidR="003F29DA" w:rsidRPr="003F29DA" w:rsidRDefault="003F29DA" w:rsidP="002F690B">
      <w:pPr>
        <w:spacing w:line="360" w:lineRule="auto"/>
        <w:jc w:val="both"/>
        <w:rPr>
          <w:rFonts w:ascii="Arial" w:hAnsi="Arial" w:cs="Arial"/>
          <w:sz w:val="22"/>
          <w:szCs w:val="22"/>
        </w:rPr>
      </w:pPr>
    </w:p>
    <w:p w14:paraId="6825BB3F" w14:textId="77777777" w:rsidR="003F29DA" w:rsidRPr="003F29DA" w:rsidRDefault="003F29DA" w:rsidP="002F690B">
      <w:pPr>
        <w:spacing w:line="360" w:lineRule="auto"/>
        <w:jc w:val="both"/>
        <w:rPr>
          <w:rFonts w:ascii="Arial" w:hAnsi="Arial" w:cs="Arial"/>
          <w:sz w:val="22"/>
          <w:szCs w:val="22"/>
        </w:rPr>
      </w:pPr>
    </w:p>
    <w:p w14:paraId="6C392933" w14:textId="77777777" w:rsidR="003F29DA" w:rsidRPr="003F29DA" w:rsidRDefault="003F29DA" w:rsidP="002F690B">
      <w:pPr>
        <w:spacing w:line="360" w:lineRule="auto"/>
        <w:jc w:val="both"/>
        <w:rPr>
          <w:rFonts w:ascii="Arial" w:hAnsi="Arial" w:cs="Arial"/>
          <w:sz w:val="22"/>
          <w:szCs w:val="22"/>
        </w:rPr>
      </w:pPr>
    </w:p>
    <w:p w14:paraId="410A8C04" w14:textId="77777777" w:rsidR="003F29DA" w:rsidRPr="003F29DA" w:rsidRDefault="003F29DA" w:rsidP="002F690B">
      <w:pPr>
        <w:spacing w:line="360" w:lineRule="auto"/>
        <w:jc w:val="both"/>
        <w:rPr>
          <w:rFonts w:ascii="Arial" w:hAnsi="Arial" w:cs="Arial"/>
          <w:sz w:val="22"/>
          <w:szCs w:val="22"/>
        </w:rPr>
      </w:pPr>
    </w:p>
    <w:p w14:paraId="3DC62CEF" w14:textId="77777777" w:rsidR="003F29DA" w:rsidRDefault="003F29DA" w:rsidP="002F690B">
      <w:pPr>
        <w:spacing w:line="360" w:lineRule="auto"/>
        <w:jc w:val="both"/>
        <w:rPr>
          <w:rFonts w:ascii="Arial" w:hAnsi="Arial" w:cs="Arial"/>
          <w:sz w:val="22"/>
          <w:szCs w:val="22"/>
        </w:rPr>
      </w:pPr>
    </w:p>
    <w:p w14:paraId="7D6F8C02" w14:textId="77777777" w:rsidR="000D54D8" w:rsidRPr="003F29DA" w:rsidRDefault="000D54D8" w:rsidP="002F690B">
      <w:pPr>
        <w:spacing w:line="360" w:lineRule="auto"/>
        <w:jc w:val="both"/>
        <w:rPr>
          <w:rFonts w:ascii="Arial" w:hAnsi="Arial" w:cs="Arial"/>
          <w:sz w:val="22"/>
          <w:szCs w:val="22"/>
        </w:rPr>
      </w:pPr>
    </w:p>
    <w:p w14:paraId="3CD06E5C" w14:textId="2C720DDC" w:rsidR="003F29DA" w:rsidRPr="000D54D8" w:rsidRDefault="0050299A" w:rsidP="002F690B">
      <w:pPr>
        <w:spacing w:line="360" w:lineRule="auto"/>
        <w:jc w:val="both"/>
        <w:rPr>
          <w:rFonts w:ascii="Arial" w:hAnsi="Arial" w:cs="Arial"/>
          <w:b/>
          <w:bCs/>
          <w:sz w:val="32"/>
          <w:szCs w:val="32"/>
        </w:rPr>
      </w:pPr>
      <w:r w:rsidRPr="000D54D8">
        <w:rPr>
          <w:rFonts w:ascii="Arial" w:hAnsi="Arial" w:cs="Arial"/>
          <w:b/>
          <w:bCs/>
          <w:sz w:val="32"/>
          <w:szCs w:val="32"/>
        </w:rPr>
        <w:lastRenderedPageBreak/>
        <w:t>Acknowledgements</w:t>
      </w:r>
    </w:p>
    <w:p w14:paraId="61AA096F" w14:textId="6AF3136D" w:rsidR="002F340F" w:rsidRPr="002F340F" w:rsidRDefault="002F340F" w:rsidP="002F340F">
      <w:pPr>
        <w:spacing w:line="360" w:lineRule="auto"/>
        <w:jc w:val="both"/>
        <w:rPr>
          <w:rFonts w:ascii="Arial" w:hAnsi="Arial" w:cs="Arial"/>
          <w:sz w:val="22"/>
          <w:szCs w:val="22"/>
        </w:rPr>
      </w:pPr>
      <w:r w:rsidRPr="002F340F">
        <w:rPr>
          <w:rFonts w:ascii="Arial" w:hAnsi="Arial" w:cs="Arial"/>
          <w:sz w:val="22"/>
          <w:szCs w:val="22"/>
        </w:rPr>
        <w:t>I wish to express my gratitude to my supervisor,</w:t>
      </w:r>
      <w:r>
        <w:rPr>
          <w:rFonts w:ascii="Arial" w:hAnsi="Arial" w:cs="Arial"/>
          <w:sz w:val="22"/>
          <w:szCs w:val="22"/>
        </w:rPr>
        <w:t xml:space="preserve"> </w:t>
      </w:r>
      <w:r w:rsidR="00AF36A3">
        <w:rPr>
          <w:rFonts w:ascii="Arial" w:hAnsi="Arial" w:cs="Arial"/>
          <w:sz w:val="22"/>
          <w:szCs w:val="22"/>
        </w:rPr>
        <w:t xml:space="preserve">Mr. </w:t>
      </w:r>
      <w:r>
        <w:rPr>
          <w:rFonts w:ascii="Arial" w:hAnsi="Arial" w:cs="Arial"/>
          <w:sz w:val="22"/>
          <w:szCs w:val="22"/>
        </w:rPr>
        <w:t>Brian Mash</w:t>
      </w:r>
      <w:r w:rsidR="0050299A">
        <w:rPr>
          <w:rFonts w:ascii="Arial" w:hAnsi="Arial" w:cs="Arial"/>
          <w:sz w:val="22"/>
          <w:szCs w:val="22"/>
        </w:rPr>
        <w:t>umba</w:t>
      </w:r>
      <w:r w:rsidRPr="002F340F">
        <w:rPr>
          <w:rFonts w:ascii="Arial" w:hAnsi="Arial" w:cs="Arial"/>
          <w:sz w:val="22"/>
          <w:szCs w:val="22"/>
        </w:rPr>
        <w:t>, for his wise counsel, steadfast support, and perceptive critique throughout my dissertation. Their guidance and assistance have been crucial in shaping this work.</w:t>
      </w:r>
      <w:r w:rsidR="000D54D8">
        <w:rPr>
          <w:rFonts w:ascii="Arial" w:hAnsi="Arial" w:cs="Arial"/>
          <w:sz w:val="22"/>
          <w:szCs w:val="22"/>
        </w:rPr>
        <w:t xml:space="preserve"> </w:t>
      </w:r>
      <w:r w:rsidR="00AF36A3">
        <w:rPr>
          <w:rFonts w:ascii="Arial" w:hAnsi="Arial" w:cs="Arial"/>
          <w:sz w:val="22"/>
          <w:szCs w:val="22"/>
        </w:rPr>
        <w:t>I am also deeply grateful to my programme manager. Dr. Diola Bijlhout, for her continuous guidance, encouragement and commitment to my academic development.</w:t>
      </w:r>
    </w:p>
    <w:p w14:paraId="5338D7CA" w14:textId="77777777" w:rsidR="002F340F" w:rsidRPr="002F340F" w:rsidRDefault="002F340F" w:rsidP="002F340F">
      <w:pPr>
        <w:spacing w:line="360" w:lineRule="auto"/>
        <w:jc w:val="both"/>
        <w:rPr>
          <w:rFonts w:ascii="Arial" w:hAnsi="Arial" w:cs="Arial"/>
          <w:sz w:val="22"/>
          <w:szCs w:val="22"/>
        </w:rPr>
      </w:pPr>
      <w:r w:rsidRPr="002F340F">
        <w:rPr>
          <w:rFonts w:ascii="Arial" w:hAnsi="Arial" w:cs="Arial"/>
          <w:sz w:val="22"/>
          <w:szCs w:val="22"/>
        </w:rPr>
        <w:t>Additionally, I would like to thank the academic and administrative staff at the University of Wales Trinity Saint David for their unwavering support and the librarians for guiding me through the research databases.</w:t>
      </w:r>
    </w:p>
    <w:p w14:paraId="46BB52E0" w14:textId="662DA603" w:rsidR="002F340F" w:rsidRPr="002F340F" w:rsidRDefault="002F340F" w:rsidP="002F340F">
      <w:pPr>
        <w:spacing w:line="360" w:lineRule="auto"/>
        <w:jc w:val="both"/>
        <w:rPr>
          <w:rFonts w:ascii="Arial" w:hAnsi="Arial" w:cs="Arial"/>
          <w:sz w:val="22"/>
          <w:szCs w:val="22"/>
        </w:rPr>
      </w:pPr>
      <w:r w:rsidRPr="002F340F">
        <w:rPr>
          <w:rFonts w:ascii="Arial" w:hAnsi="Arial" w:cs="Arial"/>
          <w:sz w:val="22"/>
          <w:szCs w:val="22"/>
        </w:rPr>
        <w:t xml:space="preserve">I want to express my gratitude to my students and peers </w:t>
      </w:r>
      <w:r w:rsidR="000D54D8" w:rsidRPr="002F340F">
        <w:rPr>
          <w:rFonts w:ascii="Arial" w:hAnsi="Arial" w:cs="Arial"/>
          <w:sz w:val="22"/>
          <w:szCs w:val="22"/>
        </w:rPr>
        <w:t>for</w:t>
      </w:r>
      <w:r w:rsidRPr="002F340F">
        <w:rPr>
          <w:rFonts w:ascii="Arial" w:hAnsi="Arial" w:cs="Arial"/>
          <w:sz w:val="22"/>
          <w:szCs w:val="22"/>
        </w:rPr>
        <w:t xml:space="preserve"> their support and collaboration during this academic journey.</w:t>
      </w:r>
    </w:p>
    <w:p w14:paraId="18378F05" w14:textId="1B6723D5" w:rsidR="003F29DA" w:rsidRPr="003F29DA" w:rsidRDefault="002F340F" w:rsidP="002F340F">
      <w:pPr>
        <w:spacing w:line="360" w:lineRule="auto"/>
        <w:jc w:val="both"/>
        <w:rPr>
          <w:rFonts w:ascii="Arial" w:hAnsi="Arial" w:cs="Arial"/>
          <w:sz w:val="22"/>
          <w:szCs w:val="22"/>
        </w:rPr>
      </w:pPr>
      <w:r w:rsidRPr="002F340F">
        <w:rPr>
          <w:rFonts w:ascii="Arial" w:hAnsi="Arial" w:cs="Arial"/>
          <w:sz w:val="22"/>
          <w:szCs w:val="22"/>
        </w:rPr>
        <w:t>Lastly, I would want to sincerely thank my family for their encouragement, patience, and belief in me during this challenging academic journey.</w:t>
      </w:r>
    </w:p>
    <w:p w14:paraId="26BAE2DE" w14:textId="77777777" w:rsidR="003F29DA" w:rsidRPr="003F29DA" w:rsidRDefault="003F29DA" w:rsidP="002F690B">
      <w:pPr>
        <w:spacing w:line="360" w:lineRule="auto"/>
        <w:jc w:val="both"/>
        <w:rPr>
          <w:rFonts w:ascii="Arial" w:hAnsi="Arial" w:cs="Arial"/>
          <w:sz w:val="22"/>
          <w:szCs w:val="22"/>
        </w:rPr>
      </w:pPr>
    </w:p>
    <w:p w14:paraId="528269BD" w14:textId="77777777" w:rsidR="003F29DA" w:rsidRPr="003F29DA" w:rsidRDefault="003F29DA" w:rsidP="002F690B">
      <w:pPr>
        <w:spacing w:line="360" w:lineRule="auto"/>
        <w:jc w:val="both"/>
        <w:rPr>
          <w:rFonts w:ascii="Arial" w:hAnsi="Arial" w:cs="Arial"/>
          <w:sz w:val="22"/>
          <w:szCs w:val="22"/>
        </w:rPr>
      </w:pPr>
    </w:p>
    <w:p w14:paraId="7BB1B6BD" w14:textId="77777777" w:rsidR="003F29DA" w:rsidRPr="003F29DA" w:rsidRDefault="003F29DA" w:rsidP="002F690B">
      <w:pPr>
        <w:spacing w:line="360" w:lineRule="auto"/>
        <w:jc w:val="both"/>
        <w:rPr>
          <w:rFonts w:ascii="Arial" w:hAnsi="Arial" w:cs="Arial"/>
          <w:sz w:val="22"/>
          <w:szCs w:val="22"/>
        </w:rPr>
      </w:pPr>
    </w:p>
    <w:p w14:paraId="36E6A42C" w14:textId="77777777" w:rsidR="003F29DA" w:rsidRPr="003F29DA" w:rsidRDefault="003F29DA" w:rsidP="002F690B">
      <w:pPr>
        <w:spacing w:line="360" w:lineRule="auto"/>
        <w:jc w:val="both"/>
        <w:rPr>
          <w:rFonts w:ascii="Arial" w:hAnsi="Arial" w:cs="Arial"/>
          <w:sz w:val="22"/>
          <w:szCs w:val="22"/>
        </w:rPr>
      </w:pPr>
    </w:p>
    <w:p w14:paraId="0FEE5B31" w14:textId="77777777" w:rsidR="003F29DA" w:rsidRPr="003F29DA" w:rsidRDefault="003F29DA" w:rsidP="002F690B">
      <w:pPr>
        <w:spacing w:line="360" w:lineRule="auto"/>
        <w:jc w:val="both"/>
        <w:rPr>
          <w:rFonts w:ascii="Arial" w:hAnsi="Arial" w:cs="Arial"/>
          <w:sz w:val="22"/>
          <w:szCs w:val="22"/>
        </w:rPr>
      </w:pPr>
    </w:p>
    <w:p w14:paraId="4E0D882B" w14:textId="77777777" w:rsidR="003F29DA" w:rsidRPr="003F29DA" w:rsidRDefault="003F29DA" w:rsidP="002F690B">
      <w:pPr>
        <w:spacing w:line="360" w:lineRule="auto"/>
        <w:jc w:val="both"/>
        <w:rPr>
          <w:rFonts w:ascii="Arial" w:hAnsi="Arial" w:cs="Arial"/>
          <w:sz w:val="22"/>
          <w:szCs w:val="22"/>
        </w:rPr>
      </w:pPr>
    </w:p>
    <w:p w14:paraId="0C3F080F" w14:textId="77777777" w:rsidR="003F29DA" w:rsidRPr="003F29DA" w:rsidRDefault="003F29DA" w:rsidP="002F690B">
      <w:pPr>
        <w:spacing w:line="360" w:lineRule="auto"/>
        <w:jc w:val="both"/>
        <w:rPr>
          <w:rFonts w:ascii="Arial" w:hAnsi="Arial" w:cs="Arial"/>
          <w:sz w:val="22"/>
          <w:szCs w:val="22"/>
        </w:rPr>
      </w:pPr>
    </w:p>
    <w:p w14:paraId="485C6BD6" w14:textId="77777777" w:rsidR="003F29DA" w:rsidRPr="003F29DA" w:rsidRDefault="003F29DA" w:rsidP="002F690B">
      <w:pPr>
        <w:spacing w:line="360" w:lineRule="auto"/>
        <w:jc w:val="both"/>
        <w:rPr>
          <w:rFonts w:ascii="Arial" w:hAnsi="Arial" w:cs="Arial"/>
          <w:sz w:val="22"/>
          <w:szCs w:val="22"/>
        </w:rPr>
      </w:pPr>
    </w:p>
    <w:p w14:paraId="04A95608" w14:textId="77777777" w:rsidR="003F29DA" w:rsidRPr="003F29DA" w:rsidRDefault="003F29DA" w:rsidP="002F690B">
      <w:pPr>
        <w:spacing w:line="360" w:lineRule="auto"/>
        <w:jc w:val="both"/>
        <w:rPr>
          <w:rFonts w:ascii="Arial" w:hAnsi="Arial" w:cs="Arial"/>
          <w:sz w:val="22"/>
          <w:szCs w:val="22"/>
        </w:rPr>
      </w:pPr>
    </w:p>
    <w:p w14:paraId="559F2234" w14:textId="77777777" w:rsidR="003F29DA" w:rsidRPr="003F29DA" w:rsidRDefault="003F29DA" w:rsidP="002F690B">
      <w:pPr>
        <w:spacing w:line="360" w:lineRule="auto"/>
        <w:jc w:val="both"/>
        <w:rPr>
          <w:rFonts w:ascii="Arial" w:hAnsi="Arial" w:cs="Arial"/>
          <w:sz w:val="22"/>
          <w:szCs w:val="22"/>
        </w:rPr>
      </w:pPr>
    </w:p>
    <w:p w14:paraId="1A44ECFB" w14:textId="77777777" w:rsidR="003F29DA" w:rsidRPr="003F29DA" w:rsidRDefault="003F29DA" w:rsidP="002F690B">
      <w:pPr>
        <w:spacing w:line="360" w:lineRule="auto"/>
        <w:jc w:val="both"/>
        <w:rPr>
          <w:rFonts w:ascii="Arial" w:hAnsi="Arial" w:cs="Arial"/>
          <w:sz w:val="22"/>
          <w:szCs w:val="22"/>
        </w:rPr>
      </w:pPr>
    </w:p>
    <w:p w14:paraId="0E16197F" w14:textId="77777777" w:rsidR="003F29DA" w:rsidRPr="003F29DA" w:rsidRDefault="003F29DA" w:rsidP="002F690B">
      <w:pPr>
        <w:spacing w:line="360" w:lineRule="auto"/>
        <w:jc w:val="both"/>
        <w:rPr>
          <w:rFonts w:ascii="Arial" w:hAnsi="Arial" w:cs="Arial"/>
          <w:sz w:val="22"/>
          <w:szCs w:val="22"/>
        </w:rPr>
      </w:pPr>
    </w:p>
    <w:p w14:paraId="32E860F3" w14:textId="77777777" w:rsidR="003F29DA" w:rsidRPr="003F29DA" w:rsidRDefault="003F29DA" w:rsidP="002F690B">
      <w:pPr>
        <w:spacing w:line="360" w:lineRule="auto"/>
        <w:jc w:val="both"/>
        <w:rPr>
          <w:rFonts w:ascii="Arial" w:hAnsi="Arial" w:cs="Arial"/>
          <w:sz w:val="22"/>
          <w:szCs w:val="22"/>
        </w:rPr>
      </w:pPr>
    </w:p>
    <w:p w14:paraId="70C1CE55" w14:textId="77777777" w:rsidR="003F29DA" w:rsidRPr="003F29DA" w:rsidRDefault="003F29DA" w:rsidP="002F690B">
      <w:pPr>
        <w:spacing w:line="360" w:lineRule="auto"/>
        <w:jc w:val="both"/>
        <w:rPr>
          <w:rFonts w:ascii="Arial" w:hAnsi="Arial" w:cs="Arial"/>
          <w:sz w:val="22"/>
          <w:szCs w:val="22"/>
        </w:rPr>
      </w:pPr>
    </w:p>
    <w:p w14:paraId="3A7506A6" w14:textId="77777777" w:rsidR="003F29DA" w:rsidRPr="003F29DA" w:rsidRDefault="003F29DA" w:rsidP="002F690B">
      <w:pPr>
        <w:spacing w:line="360" w:lineRule="auto"/>
        <w:jc w:val="both"/>
        <w:rPr>
          <w:rFonts w:ascii="Arial" w:hAnsi="Arial" w:cs="Arial"/>
          <w:sz w:val="22"/>
          <w:szCs w:val="22"/>
        </w:rPr>
      </w:pPr>
    </w:p>
    <w:p w14:paraId="60A82D0A" w14:textId="0EF155CC" w:rsidR="0050299A" w:rsidRDefault="0050299A" w:rsidP="0093365D">
      <w:pPr>
        <w:pStyle w:val="Heading1"/>
        <w:jc w:val="both"/>
        <w:rPr>
          <w:rFonts w:ascii="Arial" w:eastAsiaTheme="minorHAnsi" w:hAnsi="Arial" w:cs="Arial"/>
          <w:color w:val="auto"/>
          <w:sz w:val="22"/>
          <w:szCs w:val="22"/>
        </w:rPr>
      </w:pPr>
      <w:bookmarkStart w:id="1" w:name="_Toc220878855"/>
      <w:r w:rsidRPr="00096385">
        <w:rPr>
          <w:rFonts w:ascii="Arial" w:hAnsi="Arial" w:cs="Arial"/>
          <w:b/>
          <w:bCs/>
          <w:sz w:val="32"/>
          <w:szCs w:val="32"/>
        </w:rPr>
        <w:lastRenderedPageBreak/>
        <w:t>A</w:t>
      </w:r>
      <w:r w:rsidR="00694A13">
        <w:rPr>
          <w:rFonts w:ascii="Arial" w:hAnsi="Arial" w:cs="Arial"/>
          <w:b/>
          <w:bCs/>
          <w:sz w:val="32"/>
          <w:szCs w:val="32"/>
        </w:rPr>
        <w:t>bstract</w:t>
      </w:r>
      <w:bookmarkEnd w:id="1"/>
    </w:p>
    <w:p w14:paraId="38253C5D" w14:textId="182459AA" w:rsidR="0093365D" w:rsidRPr="0093365D" w:rsidRDefault="0093365D" w:rsidP="000D54D8">
      <w:pPr>
        <w:spacing w:line="360" w:lineRule="auto"/>
        <w:jc w:val="both"/>
        <w:rPr>
          <w:rFonts w:ascii="Arial" w:hAnsi="Arial" w:cs="Arial"/>
          <w:sz w:val="22"/>
          <w:szCs w:val="22"/>
        </w:rPr>
      </w:pPr>
      <w:r w:rsidRPr="0093365D">
        <w:rPr>
          <w:rFonts w:ascii="Arial" w:hAnsi="Arial" w:cs="Arial"/>
          <w:sz w:val="22"/>
          <w:szCs w:val="22"/>
        </w:rPr>
        <w:t xml:space="preserve">In England, falls among older </w:t>
      </w:r>
      <w:r w:rsidR="00330FA7">
        <w:rPr>
          <w:rFonts w:ascii="Arial" w:hAnsi="Arial" w:cs="Arial"/>
          <w:sz w:val="22"/>
          <w:szCs w:val="22"/>
        </w:rPr>
        <w:t>adult</w:t>
      </w:r>
      <w:r w:rsidRPr="0093365D">
        <w:rPr>
          <w:rFonts w:ascii="Arial" w:hAnsi="Arial" w:cs="Arial"/>
          <w:sz w:val="22"/>
          <w:szCs w:val="22"/>
        </w:rPr>
        <w:t xml:space="preserve">s are a significant public health problem, especially in urban locations where risk is increased by environmental risks, socioeconomic disparities, and service constraints. The purpose of this </w:t>
      </w:r>
      <w:r w:rsidR="00AD76E8" w:rsidRPr="00AD76E8">
        <w:rPr>
          <w:rFonts w:ascii="Arial" w:hAnsi="Arial" w:cs="Arial"/>
          <w:sz w:val="22"/>
          <w:szCs w:val="22"/>
        </w:rPr>
        <w:t>systematic review</w:t>
      </w:r>
      <w:r w:rsidRPr="0093365D">
        <w:rPr>
          <w:rFonts w:ascii="Arial" w:hAnsi="Arial" w:cs="Arial"/>
          <w:sz w:val="22"/>
          <w:szCs w:val="22"/>
        </w:rPr>
        <w:t xml:space="preserve"> was to assess how well community-based </w:t>
      </w:r>
      <w:r w:rsidR="00BA1983" w:rsidRPr="00BA1983">
        <w:rPr>
          <w:rFonts w:ascii="Arial" w:hAnsi="Arial" w:cs="Arial"/>
          <w:sz w:val="22"/>
          <w:szCs w:val="22"/>
        </w:rPr>
        <w:t>physiotherapy interventions</w:t>
      </w:r>
      <w:r w:rsidR="00BA1983">
        <w:rPr>
          <w:rFonts w:ascii="Arial" w:hAnsi="Arial" w:cs="Arial"/>
          <w:sz w:val="22"/>
          <w:szCs w:val="22"/>
        </w:rPr>
        <w:t xml:space="preserve">      </w:t>
      </w:r>
      <w:r w:rsidRPr="0093365D">
        <w:rPr>
          <w:rFonts w:ascii="Arial" w:hAnsi="Arial" w:cs="Arial"/>
          <w:sz w:val="22"/>
          <w:szCs w:val="22"/>
        </w:rPr>
        <w:t>reduce falls among individuals in metropolitan England who are 65 years of age or older. Six databases (MEDLINE, CINAHL, PubMed, Scopus, Web of Science, and Cochrane Library) were searched systematically using PRISMA to find research published between 2010 and 2024. The Cochrane and Joanna Briggs Institute techniques were used to evaluate twelve papers that met the inclusion criteria.</w:t>
      </w:r>
      <w:r w:rsidR="00BA1983" w:rsidRPr="00BA1983">
        <w:t xml:space="preserve"> </w:t>
      </w:r>
      <w:r w:rsidR="00BA1983" w:rsidRPr="00BA1983">
        <w:rPr>
          <w:rFonts w:ascii="Arial" w:hAnsi="Arial" w:cs="Arial"/>
          <w:sz w:val="22"/>
          <w:szCs w:val="22"/>
        </w:rPr>
        <w:t>Due to heterogeneity in study design and outcome</w:t>
      </w:r>
      <w:r w:rsidR="00BA1983" w:rsidRPr="00BA1983">
        <w:t xml:space="preserve"> </w:t>
      </w:r>
      <w:r w:rsidR="00BA1983" w:rsidRPr="00BA1983">
        <w:rPr>
          <w:rFonts w:ascii="Arial" w:hAnsi="Arial" w:cs="Arial"/>
          <w:sz w:val="22"/>
          <w:szCs w:val="22"/>
        </w:rPr>
        <w:t>physiotherapy interventions</w:t>
      </w:r>
      <w:r w:rsidRPr="0093365D">
        <w:rPr>
          <w:rFonts w:ascii="Arial" w:hAnsi="Arial" w:cs="Arial"/>
          <w:sz w:val="22"/>
          <w:szCs w:val="22"/>
        </w:rPr>
        <w:t>, the findings were synthesized narratively. Balance, muscular strength, gait stability, and functional mobility all consistently improved after community-based</w:t>
      </w:r>
      <w:r w:rsidR="00BA1983">
        <w:rPr>
          <w:rFonts w:ascii="Arial" w:hAnsi="Arial" w:cs="Arial"/>
          <w:sz w:val="22"/>
          <w:szCs w:val="22"/>
        </w:rPr>
        <w:t xml:space="preserve"> </w:t>
      </w:r>
      <w:r w:rsidR="00BA1983" w:rsidRPr="00BA1983">
        <w:rPr>
          <w:rFonts w:ascii="Arial" w:hAnsi="Arial" w:cs="Arial"/>
          <w:sz w:val="22"/>
          <w:szCs w:val="22"/>
        </w:rPr>
        <w:t>physiotherapy</w:t>
      </w:r>
      <w:r w:rsidRPr="0093365D">
        <w:rPr>
          <w:rFonts w:ascii="Arial" w:hAnsi="Arial" w:cs="Arial"/>
          <w:sz w:val="22"/>
          <w:szCs w:val="22"/>
        </w:rPr>
        <w:t xml:space="preserve">, according to the research. There were also clear psychological advantages, such as decreased fear of falling, enhanced self-efficacy, and higher confidence. Group-based initiatives boosted social engagement and adherence, while limitations such as </w:t>
      </w:r>
      <w:r w:rsidR="00BA1983" w:rsidRPr="00BA1983">
        <w:rPr>
          <w:rFonts w:ascii="Arial" w:hAnsi="Arial" w:cs="Arial"/>
          <w:sz w:val="22"/>
          <w:szCs w:val="22"/>
        </w:rPr>
        <w:t>transport difficulties</w:t>
      </w:r>
      <w:r w:rsidRPr="0093365D">
        <w:rPr>
          <w:rFonts w:ascii="Arial" w:hAnsi="Arial" w:cs="Arial"/>
          <w:sz w:val="22"/>
          <w:szCs w:val="22"/>
        </w:rPr>
        <w:t xml:space="preserve">, socioeconomic disadvantage, cultural and linguistic disparities, and service capacity limits were noted in urban contexts. </w:t>
      </w:r>
      <w:r w:rsidR="00BA1983">
        <w:rPr>
          <w:rFonts w:ascii="Arial" w:hAnsi="Arial" w:cs="Arial"/>
          <w:sz w:val="22"/>
          <w:szCs w:val="22"/>
        </w:rPr>
        <w:t>Overall</w:t>
      </w:r>
      <w:r w:rsidRPr="0093365D">
        <w:rPr>
          <w:rFonts w:ascii="Arial" w:hAnsi="Arial" w:cs="Arial"/>
          <w:sz w:val="22"/>
          <w:szCs w:val="22"/>
        </w:rPr>
        <w:t xml:space="preserve">, community-based </w:t>
      </w:r>
      <w:r w:rsidR="00BA1983" w:rsidRPr="00BA1983">
        <w:rPr>
          <w:rFonts w:ascii="Arial" w:hAnsi="Arial" w:cs="Arial"/>
          <w:sz w:val="22"/>
          <w:szCs w:val="22"/>
        </w:rPr>
        <w:t>physiotherapy interventions</w:t>
      </w:r>
      <w:r w:rsidR="00BA1983">
        <w:rPr>
          <w:rFonts w:ascii="Arial" w:hAnsi="Arial" w:cs="Arial"/>
          <w:sz w:val="22"/>
          <w:szCs w:val="22"/>
        </w:rPr>
        <w:t xml:space="preserve"> </w:t>
      </w:r>
      <w:r w:rsidRPr="0093365D">
        <w:rPr>
          <w:rFonts w:ascii="Arial" w:hAnsi="Arial" w:cs="Arial"/>
          <w:sz w:val="22"/>
          <w:szCs w:val="22"/>
        </w:rPr>
        <w:t>improved social, psychological, and physical outcomes while lowering the risk of falls. As a crucial part of fall prevention and healthy aging initiatives in metropolitan England, the results encourage the growth of easily accessible, culturally sensitive, and interdisciplinary community physiotherapy services.</w:t>
      </w:r>
    </w:p>
    <w:p w14:paraId="18657F41" w14:textId="6B450278" w:rsidR="00096385" w:rsidRDefault="00096385" w:rsidP="001A6608">
      <w:pPr>
        <w:tabs>
          <w:tab w:val="left" w:pos="1344"/>
        </w:tabs>
        <w:spacing w:line="360" w:lineRule="auto"/>
        <w:jc w:val="both"/>
        <w:rPr>
          <w:rFonts w:ascii="Arial" w:hAnsi="Arial" w:cs="Arial"/>
          <w:sz w:val="22"/>
          <w:szCs w:val="22"/>
        </w:rPr>
      </w:pPr>
    </w:p>
    <w:p w14:paraId="0F60D33E" w14:textId="77777777" w:rsidR="00096385" w:rsidRDefault="00096385" w:rsidP="002F690B">
      <w:pPr>
        <w:spacing w:line="360" w:lineRule="auto"/>
        <w:jc w:val="both"/>
        <w:rPr>
          <w:rFonts w:ascii="Arial" w:hAnsi="Arial" w:cs="Arial"/>
          <w:sz w:val="22"/>
          <w:szCs w:val="22"/>
        </w:rPr>
      </w:pPr>
    </w:p>
    <w:p w14:paraId="7EA2772E" w14:textId="77777777" w:rsidR="00BF529C" w:rsidRDefault="00BF529C" w:rsidP="002F690B">
      <w:pPr>
        <w:spacing w:line="360" w:lineRule="auto"/>
        <w:jc w:val="both"/>
        <w:rPr>
          <w:rFonts w:ascii="Arial" w:hAnsi="Arial" w:cs="Arial"/>
          <w:sz w:val="22"/>
          <w:szCs w:val="22"/>
        </w:rPr>
      </w:pPr>
    </w:p>
    <w:p w14:paraId="480DB99E" w14:textId="77777777" w:rsidR="0093365D" w:rsidRDefault="0093365D" w:rsidP="002F690B">
      <w:pPr>
        <w:spacing w:line="360" w:lineRule="auto"/>
        <w:jc w:val="both"/>
        <w:rPr>
          <w:rFonts w:ascii="Arial" w:hAnsi="Arial" w:cs="Arial"/>
          <w:sz w:val="22"/>
          <w:szCs w:val="22"/>
        </w:rPr>
      </w:pPr>
    </w:p>
    <w:p w14:paraId="1F589AFB" w14:textId="77777777" w:rsidR="0093365D" w:rsidRDefault="0093365D" w:rsidP="002F690B">
      <w:pPr>
        <w:spacing w:line="360" w:lineRule="auto"/>
        <w:jc w:val="both"/>
        <w:rPr>
          <w:rFonts w:ascii="Arial" w:hAnsi="Arial" w:cs="Arial"/>
          <w:sz w:val="22"/>
          <w:szCs w:val="22"/>
        </w:rPr>
      </w:pPr>
    </w:p>
    <w:p w14:paraId="62422B89" w14:textId="77777777" w:rsidR="0093365D" w:rsidRDefault="0093365D" w:rsidP="002F690B">
      <w:pPr>
        <w:spacing w:line="360" w:lineRule="auto"/>
        <w:jc w:val="both"/>
        <w:rPr>
          <w:rFonts w:ascii="Arial" w:hAnsi="Arial" w:cs="Arial"/>
          <w:sz w:val="22"/>
          <w:szCs w:val="22"/>
        </w:rPr>
      </w:pPr>
    </w:p>
    <w:p w14:paraId="03C6DF86" w14:textId="77777777" w:rsidR="0093365D" w:rsidRDefault="0093365D" w:rsidP="002F690B">
      <w:pPr>
        <w:spacing w:line="360" w:lineRule="auto"/>
        <w:jc w:val="both"/>
        <w:rPr>
          <w:rFonts w:ascii="Arial" w:hAnsi="Arial" w:cs="Arial"/>
          <w:sz w:val="22"/>
          <w:szCs w:val="22"/>
        </w:rPr>
      </w:pPr>
    </w:p>
    <w:p w14:paraId="7D233E55" w14:textId="77777777" w:rsidR="0093365D" w:rsidRDefault="0093365D" w:rsidP="002F690B">
      <w:pPr>
        <w:spacing w:line="360" w:lineRule="auto"/>
        <w:jc w:val="both"/>
        <w:rPr>
          <w:rFonts w:ascii="Arial" w:hAnsi="Arial" w:cs="Arial"/>
          <w:sz w:val="22"/>
          <w:szCs w:val="22"/>
        </w:rPr>
      </w:pPr>
    </w:p>
    <w:p w14:paraId="4A5FAB9A" w14:textId="77777777" w:rsidR="0093365D" w:rsidRDefault="0093365D" w:rsidP="002F690B">
      <w:pPr>
        <w:spacing w:line="360" w:lineRule="auto"/>
        <w:jc w:val="both"/>
        <w:rPr>
          <w:rFonts w:ascii="Arial" w:hAnsi="Arial" w:cs="Arial"/>
          <w:sz w:val="22"/>
          <w:szCs w:val="22"/>
        </w:rPr>
      </w:pPr>
    </w:p>
    <w:p w14:paraId="18482B03" w14:textId="77777777" w:rsidR="00BF529C" w:rsidRDefault="00BF529C" w:rsidP="002F690B">
      <w:pPr>
        <w:spacing w:line="360" w:lineRule="auto"/>
        <w:jc w:val="both"/>
        <w:rPr>
          <w:rFonts w:ascii="Arial" w:hAnsi="Arial" w:cs="Arial"/>
          <w:sz w:val="22"/>
          <w:szCs w:val="22"/>
        </w:rPr>
      </w:pPr>
    </w:p>
    <w:sdt>
      <w:sdtPr>
        <w:rPr>
          <w:rFonts w:asciiTheme="minorHAnsi" w:eastAsiaTheme="minorHAnsi" w:hAnsiTheme="minorHAnsi" w:cstheme="minorBidi"/>
          <w:color w:val="auto"/>
          <w:kern w:val="2"/>
          <w:sz w:val="24"/>
          <w:szCs w:val="24"/>
          <w:lang w:val="en-IN"/>
          <w14:ligatures w14:val="standardContextual"/>
        </w:rPr>
        <w:id w:val="-1806223826"/>
        <w:docPartObj>
          <w:docPartGallery w:val="Table of Contents"/>
          <w:docPartUnique/>
        </w:docPartObj>
      </w:sdtPr>
      <w:sdtEndPr>
        <w:rPr>
          <w:b/>
          <w:bCs/>
          <w:noProof/>
        </w:rPr>
      </w:sdtEndPr>
      <w:sdtContent>
        <w:p w14:paraId="1636D2C4" w14:textId="1D8F1A82" w:rsidR="005D7A7A" w:rsidRPr="00694A13" w:rsidRDefault="005D7A7A">
          <w:pPr>
            <w:pStyle w:val="TOCHeading"/>
            <w:rPr>
              <w:rFonts w:ascii="Arial" w:hAnsi="Arial" w:cs="Arial"/>
              <w:b/>
              <w:bCs/>
            </w:rPr>
          </w:pPr>
          <w:r w:rsidRPr="00694A13">
            <w:rPr>
              <w:rFonts w:ascii="Arial" w:hAnsi="Arial" w:cs="Arial"/>
              <w:b/>
              <w:bCs/>
            </w:rPr>
            <w:t>Table of Contents</w:t>
          </w:r>
        </w:p>
        <w:p w14:paraId="15481835" w14:textId="38D4EBFE" w:rsidR="00F21EF2" w:rsidRDefault="005D7A7A">
          <w:pPr>
            <w:pStyle w:val="TOC1"/>
            <w:tabs>
              <w:tab w:val="right" w:leader="dot" w:pos="8302"/>
            </w:tabs>
            <w:rPr>
              <w:rFonts w:eastAsiaTheme="minorEastAsia"/>
              <w:noProof/>
              <w:lang w:eastAsia="en-IN"/>
            </w:rPr>
          </w:pPr>
          <w:r w:rsidRPr="00694A13">
            <w:rPr>
              <w:sz w:val="22"/>
              <w:szCs w:val="22"/>
            </w:rPr>
            <w:fldChar w:fldCharType="begin"/>
          </w:r>
          <w:r w:rsidRPr="00694A13">
            <w:rPr>
              <w:sz w:val="22"/>
              <w:szCs w:val="22"/>
            </w:rPr>
            <w:instrText xml:space="preserve"> TOC \o "1-3" \h \z \u </w:instrText>
          </w:r>
          <w:r w:rsidRPr="00694A13">
            <w:rPr>
              <w:sz w:val="22"/>
              <w:szCs w:val="22"/>
            </w:rPr>
            <w:fldChar w:fldCharType="separate"/>
          </w:r>
          <w:hyperlink w:anchor="_Toc220878855" w:history="1">
            <w:r w:rsidR="00F21EF2" w:rsidRPr="007D5E5D">
              <w:rPr>
                <w:rStyle w:val="Hyperlink"/>
                <w:rFonts w:ascii="Arial" w:hAnsi="Arial" w:cs="Arial"/>
                <w:b/>
                <w:bCs/>
                <w:noProof/>
              </w:rPr>
              <w:t>Abstract</w:t>
            </w:r>
            <w:r w:rsidR="00F21EF2">
              <w:rPr>
                <w:noProof/>
                <w:webHidden/>
              </w:rPr>
              <w:tab/>
            </w:r>
            <w:r w:rsidR="00F21EF2">
              <w:rPr>
                <w:noProof/>
                <w:webHidden/>
              </w:rPr>
              <w:fldChar w:fldCharType="begin"/>
            </w:r>
            <w:r w:rsidR="00F21EF2">
              <w:rPr>
                <w:noProof/>
                <w:webHidden/>
              </w:rPr>
              <w:instrText xml:space="preserve"> PAGEREF _Toc220878855 \h </w:instrText>
            </w:r>
            <w:r w:rsidR="00F21EF2">
              <w:rPr>
                <w:noProof/>
                <w:webHidden/>
              </w:rPr>
            </w:r>
            <w:r w:rsidR="00F21EF2">
              <w:rPr>
                <w:noProof/>
                <w:webHidden/>
              </w:rPr>
              <w:fldChar w:fldCharType="separate"/>
            </w:r>
            <w:r w:rsidR="00F07385">
              <w:rPr>
                <w:noProof/>
                <w:webHidden/>
              </w:rPr>
              <w:t>4</w:t>
            </w:r>
            <w:r w:rsidR="00F21EF2">
              <w:rPr>
                <w:noProof/>
                <w:webHidden/>
              </w:rPr>
              <w:fldChar w:fldCharType="end"/>
            </w:r>
          </w:hyperlink>
        </w:p>
        <w:p w14:paraId="09D57635" w14:textId="4BEC2E8C" w:rsidR="00F21EF2" w:rsidRDefault="00F21EF2">
          <w:pPr>
            <w:pStyle w:val="TOC1"/>
            <w:tabs>
              <w:tab w:val="right" w:leader="dot" w:pos="8302"/>
            </w:tabs>
            <w:rPr>
              <w:rFonts w:eastAsiaTheme="minorEastAsia"/>
              <w:noProof/>
              <w:lang w:eastAsia="en-IN"/>
            </w:rPr>
          </w:pPr>
          <w:hyperlink w:anchor="_Toc220878856" w:history="1">
            <w:r w:rsidRPr="007D5E5D">
              <w:rPr>
                <w:rStyle w:val="Hyperlink"/>
                <w:rFonts w:ascii="Arial" w:hAnsi="Arial" w:cs="Arial"/>
                <w:b/>
                <w:bCs/>
                <w:noProof/>
              </w:rPr>
              <w:t>List of Figures</w:t>
            </w:r>
            <w:r>
              <w:rPr>
                <w:noProof/>
                <w:webHidden/>
              </w:rPr>
              <w:tab/>
            </w:r>
            <w:r>
              <w:rPr>
                <w:noProof/>
                <w:webHidden/>
              </w:rPr>
              <w:fldChar w:fldCharType="begin"/>
            </w:r>
            <w:r>
              <w:rPr>
                <w:noProof/>
                <w:webHidden/>
              </w:rPr>
              <w:instrText xml:space="preserve"> PAGEREF _Toc220878856 \h </w:instrText>
            </w:r>
            <w:r>
              <w:rPr>
                <w:noProof/>
                <w:webHidden/>
              </w:rPr>
            </w:r>
            <w:r>
              <w:rPr>
                <w:noProof/>
                <w:webHidden/>
              </w:rPr>
              <w:fldChar w:fldCharType="separate"/>
            </w:r>
            <w:r w:rsidR="00F07385">
              <w:rPr>
                <w:noProof/>
                <w:webHidden/>
              </w:rPr>
              <w:t>9</w:t>
            </w:r>
            <w:r>
              <w:rPr>
                <w:noProof/>
                <w:webHidden/>
              </w:rPr>
              <w:fldChar w:fldCharType="end"/>
            </w:r>
          </w:hyperlink>
        </w:p>
        <w:p w14:paraId="5D2497A2" w14:textId="473BD31D" w:rsidR="00F21EF2" w:rsidRDefault="00F21EF2">
          <w:pPr>
            <w:pStyle w:val="TOC1"/>
            <w:tabs>
              <w:tab w:val="right" w:leader="dot" w:pos="8302"/>
            </w:tabs>
            <w:rPr>
              <w:rFonts w:eastAsiaTheme="minorEastAsia"/>
              <w:noProof/>
              <w:lang w:eastAsia="en-IN"/>
            </w:rPr>
          </w:pPr>
          <w:hyperlink w:anchor="_Toc220878857" w:history="1">
            <w:r w:rsidRPr="007D5E5D">
              <w:rPr>
                <w:rStyle w:val="Hyperlink"/>
                <w:rFonts w:ascii="Arial" w:hAnsi="Arial" w:cs="Arial"/>
                <w:b/>
                <w:bCs/>
                <w:noProof/>
              </w:rPr>
              <w:t>List of Tables</w:t>
            </w:r>
            <w:r>
              <w:rPr>
                <w:noProof/>
                <w:webHidden/>
              </w:rPr>
              <w:tab/>
            </w:r>
            <w:r>
              <w:rPr>
                <w:noProof/>
                <w:webHidden/>
              </w:rPr>
              <w:fldChar w:fldCharType="begin"/>
            </w:r>
            <w:r>
              <w:rPr>
                <w:noProof/>
                <w:webHidden/>
              </w:rPr>
              <w:instrText xml:space="preserve"> PAGEREF _Toc220878857 \h </w:instrText>
            </w:r>
            <w:r>
              <w:rPr>
                <w:noProof/>
                <w:webHidden/>
              </w:rPr>
            </w:r>
            <w:r>
              <w:rPr>
                <w:noProof/>
                <w:webHidden/>
              </w:rPr>
              <w:fldChar w:fldCharType="separate"/>
            </w:r>
            <w:r w:rsidR="00F07385">
              <w:rPr>
                <w:noProof/>
                <w:webHidden/>
              </w:rPr>
              <w:t>10</w:t>
            </w:r>
            <w:r>
              <w:rPr>
                <w:noProof/>
                <w:webHidden/>
              </w:rPr>
              <w:fldChar w:fldCharType="end"/>
            </w:r>
          </w:hyperlink>
        </w:p>
        <w:p w14:paraId="5FDA0D86" w14:textId="0540B5A2" w:rsidR="00F21EF2" w:rsidRDefault="00F21EF2">
          <w:pPr>
            <w:pStyle w:val="TOC1"/>
            <w:tabs>
              <w:tab w:val="right" w:leader="dot" w:pos="8302"/>
            </w:tabs>
            <w:rPr>
              <w:rFonts w:eastAsiaTheme="minorEastAsia"/>
              <w:noProof/>
              <w:lang w:eastAsia="en-IN"/>
            </w:rPr>
          </w:pPr>
          <w:hyperlink w:anchor="_Toc220878858" w:history="1">
            <w:r w:rsidRPr="007D5E5D">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_Toc220878858 \h </w:instrText>
            </w:r>
            <w:r>
              <w:rPr>
                <w:noProof/>
                <w:webHidden/>
              </w:rPr>
            </w:r>
            <w:r>
              <w:rPr>
                <w:noProof/>
                <w:webHidden/>
              </w:rPr>
              <w:fldChar w:fldCharType="separate"/>
            </w:r>
            <w:r w:rsidR="00F07385">
              <w:rPr>
                <w:noProof/>
                <w:webHidden/>
              </w:rPr>
              <w:t>11</w:t>
            </w:r>
            <w:r>
              <w:rPr>
                <w:noProof/>
                <w:webHidden/>
              </w:rPr>
              <w:fldChar w:fldCharType="end"/>
            </w:r>
          </w:hyperlink>
        </w:p>
        <w:p w14:paraId="4B45A831" w14:textId="67A2B9B3" w:rsidR="00F21EF2" w:rsidRDefault="00F21EF2">
          <w:pPr>
            <w:pStyle w:val="TOC2"/>
            <w:tabs>
              <w:tab w:val="right" w:leader="dot" w:pos="8302"/>
            </w:tabs>
            <w:rPr>
              <w:rFonts w:eastAsiaTheme="minorEastAsia"/>
              <w:noProof/>
              <w:lang w:eastAsia="en-IN"/>
            </w:rPr>
          </w:pPr>
          <w:hyperlink w:anchor="_Toc220878859" w:history="1">
            <w:r w:rsidRPr="007D5E5D">
              <w:rPr>
                <w:rStyle w:val="Hyperlink"/>
                <w:rFonts w:ascii="Arial" w:hAnsi="Arial" w:cs="Arial"/>
                <w:b/>
                <w:bCs/>
                <w:noProof/>
              </w:rPr>
              <w:t>1.1 Background</w:t>
            </w:r>
            <w:r>
              <w:rPr>
                <w:noProof/>
                <w:webHidden/>
              </w:rPr>
              <w:tab/>
            </w:r>
            <w:r>
              <w:rPr>
                <w:noProof/>
                <w:webHidden/>
              </w:rPr>
              <w:fldChar w:fldCharType="begin"/>
            </w:r>
            <w:r>
              <w:rPr>
                <w:noProof/>
                <w:webHidden/>
              </w:rPr>
              <w:instrText xml:space="preserve"> PAGEREF _Toc220878859 \h </w:instrText>
            </w:r>
            <w:r>
              <w:rPr>
                <w:noProof/>
                <w:webHidden/>
              </w:rPr>
            </w:r>
            <w:r>
              <w:rPr>
                <w:noProof/>
                <w:webHidden/>
              </w:rPr>
              <w:fldChar w:fldCharType="separate"/>
            </w:r>
            <w:r w:rsidR="00F07385">
              <w:rPr>
                <w:noProof/>
                <w:webHidden/>
              </w:rPr>
              <w:t>11</w:t>
            </w:r>
            <w:r>
              <w:rPr>
                <w:noProof/>
                <w:webHidden/>
              </w:rPr>
              <w:fldChar w:fldCharType="end"/>
            </w:r>
          </w:hyperlink>
        </w:p>
        <w:p w14:paraId="4A5249D3" w14:textId="6751F278" w:rsidR="00F21EF2" w:rsidRDefault="00F21EF2">
          <w:pPr>
            <w:pStyle w:val="TOC2"/>
            <w:tabs>
              <w:tab w:val="right" w:leader="dot" w:pos="8302"/>
            </w:tabs>
            <w:rPr>
              <w:rFonts w:eastAsiaTheme="minorEastAsia"/>
              <w:noProof/>
              <w:lang w:eastAsia="en-IN"/>
            </w:rPr>
          </w:pPr>
          <w:hyperlink w:anchor="_Toc220878860" w:history="1">
            <w:r w:rsidRPr="007D5E5D">
              <w:rPr>
                <w:rStyle w:val="Hyperlink"/>
                <w:rFonts w:ascii="Arial" w:hAnsi="Arial" w:cs="Arial"/>
                <w:b/>
                <w:bCs/>
                <w:noProof/>
              </w:rPr>
              <w:t>1.2 Problem Statement</w:t>
            </w:r>
            <w:r>
              <w:rPr>
                <w:noProof/>
                <w:webHidden/>
              </w:rPr>
              <w:tab/>
            </w:r>
            <w:r>
              <w:rPr>
                <w:noProof/>
                <w:webHidden/>
              </w:rPr>
              <w:fldChar w:fldCharType="begin"/>
            </w:r>
            <w:r>
              <w:rPr>
                <w:noProof/>
                <w:webHidden/>
              </w:rPr>
              <w:instrText xml:space="preserve"> PAGEREF _Toc220878860 \h </w:instrText>
            </w:r>
            <w:r>
              <w:rPr>
                <w:noProof/>
                <w:webHidden/>
              </w:rPr>
            </w:r>
            <w:r>
              <w:rPr>
                <w:noProof/>
                <w:webHidden/>
              </w:rPr>
              <w:fldChar w:fldCharType="separate"/>
            </w:r>
            <w:r w:rsidR="00F07385">
              <w:rPr>
                <w:noProof/>
                <w:webHidden/>
              </w:rPr>
              <w:t>12</w:t>
            </w:r>
            <w:r>
              <w:rPr>
                <w:noProof/>
                <w:webHidden/>
              </w:rPr>
              <w:fldChar w:fldCharType="end"/>
            </w:r>
          </w:hyperlink>
        </w:p>
        <w:p w14:paraId="51E6FE51" w14:textId="39FAA870" w:rsidR="00F21EF2" w:rsidRDefault="00F21EF2">
          <w:pPr>
            <w:pStyle w:val="TOC2"/>
            <w:tabs>
              <w:tab w:val="right" w:leader="dot" w:pos="8302"/>
            </w:tabs>
            <w:rPr>
              <w:rFonts w:eastAsiaTheme="minorEastAsia"/>
              <w:noProof/>
              <w:lang w:eastAsia="en-IN"/>
            </w:rPr>
          </w:pPr>
          <w:hyperlink w:anchor="_Toc220878861" w:history="1">
            <w:r w:rsidRPr="007D5E5D">
              <w:rPr>
                <w:rStyle w:val="Hyperlink"/>
                <w:rFonts w:ascii="Arial" w:hAnsi="Arial" w:cs="Arial"/>
                <w:b/>
                <w:bCs/>
                <w:noProof/>
              </w:rPr>
              <w:t>1.3 Rationale and Significance of the Study</w:t>
            </w:r>
            <w:r>
              <w:rPr>
                <w:noProof/>
                <w:webHidden/>
              </w:rPr>
              <w:tab/>
            </w:r>
            <w:r>
              <w:rPr>
                <w:noProof/>
                <w:webHidden/>
              </w:rPr>
              <w:fldChar w:fldCharType="begin"/>
            </w:r>
            <w:r>
              <w:rPr>
                <w:noProof/>
                <w:webHidden/>
              </w:rPr>
              <w:instrText xml:space="preserve"> PAGEREF _Toc220878861 \h </w:instrText>
            </w:r>
            <w:r>
              <w:rPr>
                <w:noProof/>
                <w:webHidden/>
              </w:rPr>
            </w:r>
            <w:r>
              <w:rPr>
                <w:noProof/>
                <w:webHidden/>
              </w:rPr>
              <w:fldChar w:fldCharType="separate"/>
            </w:r>
            <w:r w:rsidR="00F07385">
              <w:rPr>
                <w:noProof/>
                <w:webHidden/>
              </w:rPr>
              <w:t>13</w:t>
            </w:r>
            <w:r>
              <w:rPr>
                <w:noProof/>
                <w:webHidden/>
              </w:rPr>
              <w:fldChar w:fldCharType="end"/>
            </w:r>
          </w:hyperlink>
        </w:p>
        <w:p w14:paraId="25B73B06" w14:textId="489879C4" w:rsidR="00F21EF2" w:rsidRDefault="00F21EF2">
          <w:pPr>
            <w:pStyle w:val="TOC2"/>
            <w:tabs>
              <w:tab w:val="right" w:leader="dot" w:pos="8302"/>
            </w:tabs>
            <w:rPr>
              <w:rFonts w:eastAsiaTheme="minorEastAsia"/>
              <w:noProof/>
              <w:lang w:eastAsia="en-IN"/>
            </w:rPr>
          </w:pPr>
          <w:hyperlink w:anchor="_Toc220878862" w:history="1">
            <w:r w:rsidRPr="007D5E5D">
              <w:rPr>
                <w:rStyle w:val="Hyperlink"/>
                <w:rFonts w:ascii="Arial" w:hAnsi="Arial" w:cs="Arial"/>
                <w:b/>
                <w:bCs/>
                <w:noProof/>
              </w:rPr>
              <w:t>1.4 Research Aim and Objectives</w:t>
            </w:r>
            <w:r>
              <w:rPr>
                <w:noProof/>
                <w:webHidden/>
              </w:rPr>
              <w:tab/>
            </w:r>
            <w:r>
              <w:rPr>
                <w:noProof/>
                <w:webHidden/>
              </w:rPr>
              <w:fldChar w:fldCharType="begin"/>
            </w:r>
            <w:r>
              <w:rPr>
                <w:noProof/>
                <w:webHidden/>
              </w:rPr>
              <w:instrText xml:space="preserve"> PAGEREF _Toc220878862 \h </w:instrText>
            </w:r>
            <w:r>
              <w:rPr>
                <w:noProof/>
                <w:webHidden/>
              </w:rPr>
            </w:r>
            <w:r>
              <w:rPr>
                <w:noProof/>
                <w:webHidden/>
              </w:rPr>
              <w:fldChar w:fldCharType="separate"/>
            </w:r>
            <w:r w:rsidR="00F07385">
              <w:rPr>
                <w:noProof/>
                <w:webHidden/>
              </w:rPr>
              <w:t>14</w:t>
            </w:r>
            <w:r>
              <w:rPr>
                <w:noProof/>
                <w:webHidden/>
              </w:rPr>
              <w:fldChar w:fldCharType="end"/>
            </w:r>
          </w:hyperlink>
        </w:p>
        <w:p w14:paraId="0160279B" w14:textId="1385C917" w:rsidR="00F21EF2" w:rsidRDefault="00F21EF2">
          <w:pPr>
            <w:pStyle w:val="TOC2"/>
            <w:tabs>
              <w:tab w:val="right" w:leader="dot" w:pos="8302"/>
            </w:tabs>
            <w:rPr>
              <w:rFonts w:eastAsiaTheme="minorEastAsia"/>
              <w:noProof/>
              <w:lang w:eastAsia="en-IN"/>
            </w:rPr>
          </w:pPr>
          <w:hyperlink w:anchor="_Toc220878863" w:history="1">
            <w:r w:rsidRPr="007D5E5D">
              <w:rPr>
                <w:rStyle w:val="Hyperlink"/>
                <w:rFonts w:ascii="Arial" w:hAnsi="Arial" w:cs="Arial"/>
                <w:b/>
                <w:bCs/>
                <w:noProof/>
              </w:rPr>
              <w:t>1.5 Overview of the Dissertation Structure</w:t>
            </w:r>
            <w:r>
              <w:rPr>
                <w:noProof/>
                <w:webHidden/>
              </w:rPr>
              <w:tab/>
            </w:r>
            <w:r>
              <w:rPr>
                <w:noProof/>
                <w:webHidden/>
              </w:rPr>
              <w:fldChar w:fldCharType="begin"/>
            </w:r>
            <w:r>
              <w:rPr>
                <w:noProof/>
                <w:webHidden/>
              </w:rPr>
              <w:instrText xml:space="preserve"> PAGEREF _Toc220878863 \h </w:instrText>
            </w:r>
            <w:r>
              <w:rPr>
                <w:noProof/>
                <w:webHidden/>
              </w:rPr>
            </w:r>
            <w:r>
              <w:rPr>
                <w:noProof/>
                <w:webHidden/>
              </w:rPr>
              <w:fldChar w:fldCharType="separate"/>
            </w:r>
            <w:r w:rsidR="00F07385">
              <w:rPr>
                <w:noProof/>
                <w:webHidden/>
              </w:rPr>
              <w:t>14</w:t>
            </w:r>
            <w:r>
              <w:rPr>
                <w:noProof/>
                <w:webHidden/>
              </w:rPr>
              <w:fldChar w:fldCharType="end"/>
            </w:r>
          </w:hyperlink>
        </w:p>
        <w:p w14:paraId="60DC114A" w14:textId="64994ED4" w:rsidR="00F21EF2" w:rsidRDefault="00F21EF2">
          <w:pPr>
            <w:pStyle w:val="TOC2"/>
            <w:tabs>
              <w:tab w:val="right" w:leader="dot" w:pos="8302"/>
            </w:tabs>
            <w:rPr>
              <w:rFonts w:eastAsiaTheme="minorEastAsia"/>
              <w:noProof/>
              <w:lang w:eastAsia="en-IN"/>
            </w:rPr>
          </w:pPr>
          <w:hyperlink w:anchor="_Toc220878864" w:history="1">
            <w:r w:rsidRPr="007D5E5D">
              <w:rPr>
                <w:rStyle w:val="Hyperlink"/>
                <w:rFonts w:ascii="Arial" w:hAnsi="Arial" w:cs="Arial"/>
                <w:b/>
                <w:bCs/>
                <w:noProof/>
              </w:rPr>
              <w:t>1.6 Summary</w:t>
            </w:r>
            <w:r>
              <w:rPr>
                <w:noProof/>
                <w:webHidden/>
              </w:rPr>
              <w:tab/>
            </w:r>
            <w:r>
              <w:rPr>
                <w:noProof/>
                <w:webHidden/>
              </w:rPr>
              <w:fldChar w:fldCharType="begin"/>
            </w:r>
            <w:r>
              <w:rPr>
                <w:noProof/>
                <w:webHidden/>
              </w:rPr>
              <w:instrText xml:space="preserve"> PAGEREF _Toc220878864 \h </w:instrText>
            </w:r>
            <w:r>
              <w:rPr>
                <w:noProof/>
                <w:webHidden/>
              </w:rPr>
            </w:r>
            <w:r>
              <w:rPr>
                <w:noProof/>
                <w:webHidden/>
              </w:rPr>
              <w:fldChar w:fldCharType="separate"/>
            </w:r>
            <w:r w:rsidR="00F07385">
              <w:rPr>
                <w:noProof/>
                <w:webHidden/>
              </w:rPr>
              <w:t>15</w:t>
            </w:r>
            <w:r>
              <w:rPr>
                <w:noProof/>
                <w:webHidden/>
              </w:rPr>
              <w:fldChar w:fldCharType="end"/>
            </w:r>
          </w:hyperlink>
        </w:p>
        <w:p w14:paraId="7590359F" w14:textId="77554105" w:rsidR="00F21EF2" w:rsidRDefault="00F21EF2">
          <w:pPr>
            <w:pStyle w:val="TOC1"/>
            <w:tabs>
              <w:tab w:val="right" w:leader="dot" w:pos="8302"/>
            </w:tabs>
            <w:rPr>
              <w:rFonts w:eastAsiaTheme="minorEastAsia"/>
              <w:noProof/>
              <w:lang w:eastAsia="en-IN"/>
            </w:rPr>
          </w:pPr>
          <w:hyperlink w:anchor="_Toc220878865" w:history="1">
            <w:r w:rsidRPr="007D5E5D">
              <w:rPr>
                <w:rStyle w:val="Hyperlink"/>
                <w:rFonts w:ascii="Arial" w:hAnsi="Arial" w:cs="Arial"/>
                <w:b/>
                <w:bCs/>
                <w:noProof/>
              </w:rPr>
              <w:t>Chapter 2: Literature Review and Theoretical Framework</w:t>
            </w:r>
            <w:r>
              <w:rPr>
                <w:noProof/>
                <w:webHidden/>
              </w:rPr>
              <w:tab/>
            </w:r>
            <w:r>
              <w:rPr>
                <w:noProof/>
                <w:webHidden/>
              </w:rPr>
              <w:fldChar w:fldCharType="begin"/>
            </w:r>
            <w:r>
              <w:rPr>
                <w:noProof/>
                <w:webHidden/>
              </w:rPr>
              <w:instrText xml:space="preserve"> PAGEREF _Toc220878865 \h </w:instrText>
            </w:r>
            <w:r>
              <w:rPr>
                <w:noProof/>
                <w:webHidden/>
              </w:rPr>
            </w:r>
            <w:r>
              <w:rPr>
                <w:noProof/>
                <w:webHidden/>
              </w:rPr>
              <w:fldChar w:fldCharType="separate"/>
            </w:r>
            <w:r w:rsidR="00F07385">
              <w:rPr>
                <w:noProof/>
                <w:webHidden/>
              </w:rPr>
              <w:t>16</w:t>
            </w:r>
            <w:r>
              <w:rPr>
                <w:noProof/>
                <w:webHidden/>
              </w:rPr>
              <w:fldChar w:fldCharType="end"/>
            </w:r>
          </w:hyperlink>
        </w:p>
        <w:p w14:paraId="38661617" w14:textId="1A8225B0" w:rsidR="00F21EF2" w:rsidRDefault="00F21EF2">
          <w:pPr>
            <w:pStyle w:val="TOC2"/>
            <w:tabs>
              <w:tab w:val="right" w:leader="dot" w:pos="8302"/>
            </w:tabs>
            <w:rPr>
              <w:rFonts w:eastAsiaTheme="minorEastAsia"/>
              <w:noProof/>
              <w:lang w:eastAsia="en-IN"/>
            </w:rPr>
          </w:pPr>
          <w:hyperlink w:anchor="_Toc220878866" w:history="1">
            <w:r w:rsidRPr="007D5E5D">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_Toc220878866 \h </w:instrText>
            </w:r>
            <w:r>
              <w:rPr>
                <w:noProof/>
                <w:webHidden/>
              </w:rPr>
            </w:r>
            <w:r>
              <w:rPr>
                <w:noProof/>
                <w:webHidden/>
              </w:rPr>
              <w:fldChar w:fldCharType="separate"/>
            </w:r>
            <w:r w:rsidR="00F07385">
              <w:rPr>
                <w:noProof/>
                <w:webHidden/>
              </w:rPr>
              <w:t>16</w:t>
            </w:r>
            <w:r>
              <w:rPr>
                <w:noProof/>
                <w:webHidden/>
              </w:rPr>
              <w:fldChar w:fldCharType="end"/>
            </w:r>
          </w:hyperlink>
        </w:p>
        <w:p w14:paraId="3F6A379D" w14:textId="47F96D26" w:rsidR="00F21EF2" w:rsidRDefault="00F21EF2">
          <w:pPr>
            <w:pStyle w:val="TOC2"/>
            <w:tabs>
              <w:tab w:val="right" w:leader="dot" w:pos="8302"/>
            </w:tabs>
            <w:rPr>
              <w:rFonts w:eastAsiaTheme="minorEastAsia"/>
              <w:noProof/>
              <w:lang w:eastAsia="en-IN"/>
            </w:rPr>
          </w:pPr>
          <w:hyperlink w:anchor="_Toc220878867" w:history="1">
            <w:r w:rsidRPr="007D5E5D">
              <w:rPr>
                <w:rStyle w:val="Hyperlink"/>
                <w:rFonts w:ascii="Arial" w:hAnsi="Arial" w:cs="Arial"/>
                <w:b/>
                <w:bCs/>
                <w:noProof/>
              </w:rPr>
              <w:t>2.2 Epidemiology of Falls Among Older Adults</w:t>
            </w:r>
            <w:r>
              <w:rPr>
                <w:noProof/>
                <w:webHidden/>
              </w:rPr>
              <w:tab/>
            </w:r>
            <w:r>
              <w:rPr>
                <w:noProof/>
                <w:webHidden/>
              </w:rPr>
              <w:fldChar w:fldCharType="begin"/>
            </w:r>
            <w:r>
              <w:rPr>
                <w:noProof/>
                <w:webHidden/>
              </w:rPr>
              <w:instrText xml:space="preserve"> PAGEREF _Toc220878867 \h </w:instrText>
            </w:r>
            <w:r>
              <w:rPr>
                <w:noProof/>
                <w:webHidden/>
              </w:rPr>
            </w:r>
            <w:r>
              <w:rPr>
                <w:noProof/>
                <w:webHidden/>
              </w:rPr>
              <w:fldChar w:fldCharType="separate"/>
            </w:r>
            <w:r w:rsidR="00F07385">
              <w:rPr>
                <w:noProof/>
                <w:webHidden/>
              </w:rPr>
              <w:t>17</w:t>
            </w:r>
            <w:r>
              <w:rPr>
                <w:noProof/>
                <w:webHidden/>
              </w:rPr>
              <w:fldChar w:fldCharType="end"/>
            </w:r>
          </w:hyperlink>
        </w:p>
        <w:p w14:paraId="68E451E8" w14:textId="2FEA1C0D" w:rsidR="00F21EF2" w:rsidRDefault="00F21EF2">
          <w:pPr>
            <w:pStyle w:val="TOC3"/>
            <w:tabs>
              <w:tab w:val="right" w:leader="dot" w:pos="8302"/>
            </w:tabs>
            <w:rPr>
              <w:rFonts w:eastAsiaTheme="minorEastAsia"/>
              <w:noProof/>
              <w:lang w:eastAsia="en-IN"/>
            </w:rPr>
          </w:pPr>
          <w:hyperlink w:anchor="_Toc220878868" w:history="1">
            <w:r w:rsidRPr="007D5E5D">
              <w:rPr>
                <w:rStyle w:val="Hyperlink"/>
                <w:rFonts w:ascii="Arial" w:hAnsi="Arial" w:cs="Arial"/>
                <w:b/>
                <w:bCs/>
                <w:noProof/>
              </w:rPr>
              <w:t>2.2.1 Global Epidemiology</w:t>
            </w:r>
            <w:r>
              <w:rPr>
                <w:noProof/>
                <w:webHidden/>
              </w:rPr>
              <w:tab/>
            </w:r>
            <w:r>
              <w:rPr>
                <w:noProof/>
                <w:webHidden/>
              </w:rPr>
              <w:fldChar w:fldCharType="begin"/>
            </w:r>
            <w:r>
              <w:rPr>
                <w:noProof/>
                <w:webHidden/>
              </w:rPr>
              <w:instrText xml:space="preserve"> PAGEREF _Toc220878868 \h </w:instrText>
            </w:r>
            <w:r>
              <w:rPr>
                <w:noProof/>
                <w:webHidden/>
              </w:rPr>
            </w:r>
            <w:r>
              <w:rPr>
                <w:noProof/>
                <w:webHidden/>
              </w:rPr>
              <w:fldChar w:fldCharType="separate"/>
            </w:r>
            <w:r w:rsidR="00F07385">
              <w:rPr>
                <w:noProof/>
                <w:webHidden/>
              </w:rPr>
              <w:t>17</w:t>
            </w:r>
            <w:r>
              <w:rPr>
                <w:noProof/>
                <w:webHidden/>
              </w:rPr>
              <w:fldChar w:fldCharType="end"/>
            </w:r>
          </w:hyperlink>
        </w:p>
        <w:p w14:paraId="1A272340" w14:textId="78190295" w:rsidR="00F21EF2" w:rsidRDefault="00F21EF2">
          <w:pPr>
            <w:pStyle w:val="TOC3"/>
            <w:tabs>
              <w:tab w:val="right" w:leader="dot" w:pos="8302"/>
            </w:tabs>
            <w:rPr>
              <w:rFonts w:eastAsiaTheme="minorEastAsia"/>
              <w:noProof/>
              <w:lang w:eastAsia="en-IN"/>
            </w:rPr>
          </w:pPr>
          <w:hyperlink w:anchor="_Toc220878869" w:history="1">
            <w:r w:rsidRPr="007D5E5D">
              <w:rPr>
                <w:rStyle w:val="Hyperlink"/>
                <w:rFonts w:ascii="Arial" w:hAnsi="Arial" w:cs="Arial"/>
                <w:b/>
                <w:bCs/>
                <w:noProof/>
              </w:rPr>
              <w:t>2.2.2 Epidemiology in the United Kingdom</w:t>
            </w:r>
            <w:r>
              <w:rPr>
                <w:noProof/>
                <w:webHidden/>
              </w:rPr>
              <w:tab/>
            </w:r>
            <w:r>
              <w:rPr>
                <w:noProof/>
                <w:webHidden/>
              </w:rPr>
              <w:fldChar w:fldCharType="begin"/>
            </w:r>
            <w:r>
              <w:rPr>
                <w:noProof/>
                <w:webHidden/>
              </w:rPr>
              <w:instrText xml:space="preserve"> PAGEREF _Toc220878869 \h </w:instrText>
            </w:r>
            <w:r>
              <w:rPr>
                <w:noProof/>
                <w:webHidden/>
              </w:rPr>
            </w:r>
            <w:r>
              <w:rPr>
                <w:noProof/>
                <w:webHidden/>
              </w:rPr>
              <w:fldChar w:fldCharType="separate"/>
            </w:r>
            <w:r w:rsidR="00F07385">
              <w:rPr>
                <w:noProof/>
                <w:webHidden/>
              </w:rPr>
              <w:t>18</w:t>
            </w:r>
            <w:r>
              <w:rPr>
                <w:noProof/>
                <w:webHidden/>
              </w:rPr>
              <w:fldChar w:fldCharType="end"/>
            </w:r>
          </w:hyperlink>
        </w:p>
        <w:p w14:paraId="6A800C4A" w14:textId="71FFED2D" w:rsidR="00F21EF2" w:rsidRDefault="00F21EF2">
          <w:pPr>
            <w:pStyle w:val="TOC3"/>
            <w:tabs>
              <w:tab w:val="right" w:leader="dot" w:pos="8302"/>
            </w:tabs>
            <w:rPr>
              <w:rFonts w:eastAsiaTheme="minorEastAsia"/>
              <w:noProof/>
              <w:lang w:eastAsia="en-IN"/>
            </w:rPr>
          </w:pPr>
          <w:hyperlink w:anchor="_Toc220878870" w:history="1">
            <w:r w:rsidRPr="007D5E5D">
              <w:rPr>
                <w:rStyle w:val="Hyperlink"/>
                <w:rFonts w:ascii="Arial" w:hAnsi="Arial" w:cs="Arial"/>
                <w:b/>
                <w:bCs/>
                <w:noProof/>
              </w:rPr>
              <w:t>2.2.3 Urban and Metropolitan England Context</w:t>
            </w:r>
            <w:r>
              <w:rPr>
                <w:noProof/>
                <w:webHidden/>
              </w:rPr>
              <w:tab/>
            </w:r>
            <w:r>
              <w:rPr>
                <w:noProof/>
                <w:webHidden/>
              </w:rPr>
              <w:fldChar w:fldCharType="begin"/>
            </w:r>
            <w:r>
              <w:rPr>
                <w:noProof/>
                <w:webHidden/>
              </w:rPr>
              <w:instrText xml:space="preserve"> PAGEREF _Toc220878870 \h </w:instrText>
            </w:r>
            <w:r>
              <w:rPr>
                <w:noProof/>
                <w:webHidden/>
              </w:rPr>
            </w:r>
            <w:r>
              <w:rPr>
                <w:noProof/>
                <w:webHidden/>
              </w:rPr>
              <w:fldChar w:fldCharType="separate"/>
            </w:r>
            <w:r w:rsidR="00F07385">
              <w:rPr>
                <w:noProof/>
                <w:webHidden/>
              </w:rPr>
              <w:t>20</w:t>
            </w:r>
            <w:r>
              <w:rPr>
                <w:noProof/>
                <w:webHidden/>
              </w:rPr>
              <w:fldChar w:fldCharType="end"/>
            </w:r>
          </w:hyperlink>
        </w:p>
        <w:p w14:paraId="4D645C02" w14:textId="26498F86" w:rsidR="00F21EF2" w:rsidRDefault="00F21EF2">
          <w:pPr>
            <w:pStyle w:val="TOC2"/>
            <w:tabs>
              <w:tab w:val="right" w:leader="dot" w:pos="8302"/>
            </w:tabs>
            <w:rPr>
              <w:rFonts w:eastAsiaTheme="minorEastAsia"/>
              <w:noProof/>
              <w:lang w:eastAsia="en-IN"/>
            </w:rPr>
          </w:pPr>
          <w:hyperlink w:anchor="_Toc220878871" w:history="1">
            <w:r w:rsidRPr="007D5E5D">
              <w:rPr>
                <w:rStyle w:val="Hyperlink"/>
                <w:rFonts w:ascii="Arial" w:hAnsi="Arial" w:cs="Arial"/>
                <w:b/>
                <w:bCs/>
                <w:noProof/>
              </w:rPr>
              <w:t>2.3 Risk Factors for Falls</w:t>
            </w:r>
            <w:r>
              <w:rPr>
                <w:noProof/>
                <w:webHidden/>
              </w:rPr>
              <w:tab/>
            </w:r>
            <w:r>
              <w:rPr>
                <w:noProof/>
                <w:webHidden/>
              </w:rPr>
              <w:fldChar w:fldCharType="begin"/>
            </w:r>
            <w:r>
              <w:rPr>
                <w:noProof/>
                <w:webHidden/>
              </w:rPr>
              <w:instrText xml:space="preserve"> PAGEREF _Toc220878871 \h </w:instrText>
            </w:r>
            <w:r>
              <w:rPr>
                <w:noProof/>
                <w:webHidden/>
              </w:rPr>
            </w:r>
            <w:r>
              <w:rPr>
                <w:noProof/>
                <w:webHidden/>
              </w:rPr>
              <w:fldChar w:fldCharType="separate"/>
            </w:r>
            <w:r w:rsidR="00F07385">
              <w:rPr>
                <w:noProof/>
                <w:webHidden/>
              </w:rPr>
              <w:t>21</w:t>
            </w:r>
            <w:r>
              <w:rPr>
                <w:noProof/>
                <w:webHidden/>
              </w:rPr>
              <w:fldChar w:fldCharType="end"/>
            </w:r>
          </w:hyperlink>
        </w:p>
        <w:p w14:paraId="1E2A8C80" w14:textId="65A357D0" w:rsidR="00F21EF2" w:rsidRDefault="00F21EF2">
          <w:pPr>
            <w:pStyle w:val="TOC3"/>
            <w:tabs>
              <w:tab w:val="right" w:leader="dot" w:pos="8302"/>
            </w:tabs>
            <w:rPr>
              <w:rFonts w:eastAsiaTheme="minorEastAsia"/>
              <w:noProof/>
              <w:lang w:eastAsia="en-IN"/>
            </w:rPr>
          </w:pPr>
          <w:hyperlink w:anchor="_Toc220878872" w:history="1">
            <w:r w:rsidRPr="007D5E5D">
              <w:rPr>
                <w:rStyle w:val="Hyperlink"/>
                <w:rFonts w:ascii="Arial" w:hAnsi="Arial" w:cs="Arial"/>
                <w:b/>
                <w:bCs/>
                <w:noProof/>
              </w:rPr>
              <w:t>2.3.1 Intrinsic Risk Factors</w:t>
            </w:r>
            <w:r>
              <w:rPr>
                <w:noProof/>
                <w:webHidden/>
              </w:rPr>
              <w:tab/>
            </w:r>
            <w:r>
              <w:rPr>
                <w:noProof/>
                <w:webHidden/>
              </w:rPr>
              <w:fldChar w:fldCharType="begin"/>
            </w:r>
            <w:r>
              <w:rPr>
                <w:noProof/>
                <w:webHidden/>
              </w:rPr>
              <w:instrText xml:space="preserve"> PAGEREF _Toc220878872 \h </w:instrText>
            </w:r>
            <w:r>
              <w:rPr>
                <w:noProof/>
                <w:webHidden/>
              </w:rPr>
            </w:r>
            <w:r>
              <w:rPr>
                <w:noProof/>
                <w:webHidden/>
              </w:rPr>
              <w:fldChar w:fldCharType="separate"/>
            </w:r>
            <w:r w:rsidR="00F07385">
              <w:rPr>
                <w:noProof/>
                <w:webHidden/>
              </w:rPr>
              <w:t>21</w:t>
            </w:r>
            <w:r>
              <w:rPr>
                <w:noProof/>
                <w:webHidden/>
              </w:rPr>
              <w:fldChar w:fldCharType="end"/>
            </w:r>
          </w:hyperlink>
        </w:p>
        <w:p w14:paraId="615CC0D2" w14:textId="533DBF77" w:rsidR="00F21EF2" w:rsidRDefault="00F21EF2">
          <w:pPr>
            <w:pStyle w:val="TOC3"/>
            <w:tabs>
              <w:tab w:val="right" w:leader="dot" w:pos="8302"/>
            </w:tabs>
            <w:rPr>
              <w:rFonts w:eastAsiaTheme="minorEastAsia"/>
              <w:noProof/>
              <w:lang w:eastAsia="en-IN"/>
            </w:rPr>
          </w:pPr>
          <w:hyperlink w:anchor="_Toc220878873" w:history="1">
            <w:r w:rsidRPr="007D5E5D">
              <w:rPr>
                <w:rStyle w:val="Hyperlink"/>
                <w:rFonts w:ascii="Arial" w:hAnsi="Arial" w:cs="Arial"/>
                <w:b/>
                <w:bCs/>
                <w:noProof/>
              </w:rPr>
              <w:t>2.3.2 Extrinsic (Environmental) Risk Factors</w:t>
            </w:r>
            <w:r>
              <w:rPr>
                <w:noProof/>
                <w:webHidden/>
              </w:rPr>
              <w:tab/>
            </w:r>
            <w:r>
              <w:rPr>
                <w:noProof/>
                <w:webHidden/>
              </w:rPr>
              <w:fldChar w:fldCharType="begin"/>
            </w:r>
            <w:r>
              <w:rPr>
                <w:noProof/>
                <w:webHidden/>
              </w:rPr>
              <w:instrText xml:space="preserve"> PAGEREF _Toc220878873 \h </w:instrText>
            </w:r>
            <w:r>
              <w:rPr>
                <w:noProof/>
                <w:webHidden/>
              </w:rPr>
            </w:r>
            <w:r>
              <w:rPr>
                <w:noProof/>
                <w:webHidden/>
              </w:rPr>
              <w:fldChar w:fldCharType="separate"/>
            </w:r>
            <w:r w:rsidR="00F07385">
              <w:rPr>
                <w:noProof/>
                <w:webHidden/>
              </w:rPr>
              <w:t>21</w:t>
            </w:r>
            <w:r>
              <w:rPr>
                <w:noProof/>
                <w:webHidden/>
              </w:rPr>
              <w:fldChar w:fldCharType="end"/>
            </w:r>
          </w:hyperlink>
        </w:p>
        <w:p w14:paraId="3E5E2C94" w14:textId="76034A54" w:rsidR="00F21EF2" w:rsidRDefault="00F21EF2">
          <w:pPr>
            <w:pStyle w:val="TOC3"/>
            <w:tabs>
              <w:tab w:val="right" w:leader="dot" w:pos="8302"/>
            </w:tabs>
            <w:rPr>
              <w:rFonts w:eastAsiaTheme="minorEastAsia"/>
              <w:noProof/>
              <w:lang w:eastAsia="en-IN"/>
            </w:rPr>
          </w:pPr>
          <w:hyperlink w:anchor="_Toc220878874" w:history="1">
            <w:r w:rsidRPr="007D5E5D">
              <w:rPr>
                <w:rStyle w:val="Hyperlink"/>
                <w:rFonts w:ascii="Arial" w:hAnsi="Arial" w:cs="Arial"/>
                <w:b/>
                <w:bCs/>
                <w:noProof/>
              </w:rPr>
              <w:t>2.3.3 Behavioural Risk Factors</w:t>
            </w:r>
            <w:r>
              <w:rPr>
                <w:noProof/>
                <w:webHidden/>
              </w:rPr>
              <w:tab/>
            </w:r>
            <w:r>
              <w:rPr>
                <w:noProof/>
                <w:webHidden/>
              </w:rPr>
              <w:fldChar w:fldCharType="begin"/>
            </w:r>
            <w:r>
              <w:rPr>
                <w:noProof/>
                <w:webHidden/>
              </w:rPr>
              <w:instrText xml:space="preserve"> PAGEREF _Toc220878874 \h </w:instrText>
            </w:r>
            <w:r>
              <w:rPr>
                <w:noProof/>
                <w:webHidden/>
              </w:rPr>
            </w:r>
            <w:r>
              <w:rPr>
                <w:noProof/>
                <w:webHidden/>
              </w:rPr>
              <w:fldChar w:fldCharType="separate"/>
            </w:r>
            <w:r w:rsidR="00F07385">
              <w:rPr>
                <w:noProof/>
                <w:webHidden/>
              </w:rPr>
              <w:t>22</w:t>
            </w:r>
            <w:r>
              <w:rPr>
                <w:noProof/>
                <w:webHidden/>
              </w:rPr>
              <w:fldChar w:fldCharType="end"/>
            </w:r>
          </w:hyperlink>
        </w:p>
        <w:p w14:paraId="3DE10002" w14:textId="0A96230B" w:rsidR="00F21EF2" w:rsidRDefault="00F21EF2">
          <w:pPr>
            <w:pStyle w:val="TOC3"/>
            <w:tabs>
              <w:tab w:val="right" w:leader="dot" w:pos="8302"/>
            </w:tabs>
            <w:rPr>
              <w:rFonts w:eastAsiaTheme="minorEastAsia"/>
              <w:noProof/>
              <w:lang w:eastAsia="en-IN"/>
            </w:rPr>
          </w:pPr>
          <w:hyperlink w:anchor="_Toc220878875" w:history="1">
            <w:r w:rsidRPr="007D5E5D">
              <w:rPr>
                <w:rStyle w:val="Hyperlink"/>
                <w:rFonts w:ascii="Arial" w:hAnsi="Arial" w:cs="Arial"/>
                <w:b/>
                <w:bCs/>
                <w:noProof/>
              </w:rPr>
              <w:t>2.3.4 Socioeconomic &amp; Cultural Determinants</w:t>
            </w:r>
            <w:r>
              <w:rPr>
                <w:noProof/>
                <w:webHidden/>
              </w:rPr>
              <w:tab/>
            </w:r>
            <w:r>
              <w:rPr>
                <w:noProof/>
                <w:webHidden/>
              </w:rPr>
              <w:fldChar w:fldCharType="begin"/>
            </w:r>
            <w:r>
              <w:rPr>
                <w:noProof/>
                <w:webHidden/>
              </w:rPr>
              <w:instrText xml:space="preserve"> PAGEREF _Toc220878875 \h </w:instrText>
            </w:r>
            <w:r>
              <w:rPr>
                <w:noProof/>
                <w:webHidden/>
              </w:rPr>
            </w:r>
            <w:r>
              <w:rPr>
                <w:noProof/>
                <w:webHidden/>
              </w:rPr>
              <w:fldChar w:fldCharType="separate"/>
            </w:r>
            <w:r w:rsidR="00F07385">
              <w:rPr>
                <w:noProof/>
                <w:webHidden/>
              </w:rPr>
              <w:t>22</w:t>
            </w:r>
            <w:r>
              <w:rPr>
                <w:noProof/>
                <w:webHidden/>
              </w:rPr>
              <w:fldChar w:fldCharType="end"/>
            </w:r>
          </w:hyperlink>
        </w:p>
        <w:p w14:paraId="7BCA292F" w14:textId="53389B2A" w:rsidR="00F21EF2" w:rsidRDefault="00F21EF2">
          <w:pPr>
            <w:pStyle w:val="TOC3"/>
            <w:tabs>
              <w:tab w:val="right" w:leader="dot" w:pos="8302"/>
            </w:tabs>
            <w:rPr>
              <w:rFonts w:eastAsiaTheme="minorEastAsia"/>
              <w:noProof/>
              <w:lang w:eastAsia="en-IN"/>
            </w:rPr>
          </w:pPr>
          <w:hyperlink w:anchor="_Toc220878876" w:history="1">
            <w:r w:rsidRPr="007D5E5D">
              <w:rPr>
                <w:rStyle w:val="Hyperlink"/>
                <w:rFonts w:ascii="Arial" w:hAnsi="Arial" w:cs="Arial"/>
                <w:b/>
                <w:bCs/>
                <w:noProof/>
              </w:rPr>
              <w:t>2.3.5 Interaction Between Risk Factors</w:t>
            </w:r>
            <w:r>
              <w:rPr>
                <w:noProof/>
                <w:webHidden/>
              </w:rPr>
              <w:tab/>
            </w:r>
            <w:r>
              <w:rPr>
                <w:noProof/>
                <w:webHidden/>
              </w:rPr>
              <w:fldChar w:fldCharType="begin"/>
            </w:r>
            <w:r>
              <w:rPr>
                <w:noProof/>
                <w:webHidden/>
              </w:rPr>
              <w:instrText xml:space="preserve"> PAGEREF _Toc220878876 \h </w:instrText>
            </w:r>
            <w:r>
              <w:rPr>
                <w:noProof/>
                <w:webHidden/>
              </w:rPr>
            </w:r>
            <w:r>
              <w:rPr>
                <w:noProof/>
                <w:webHidden/>
              </w:rPr>
              <w:fldChar w:fldCharType="separate"/>
            </w:r>
            <w:r w:rsidR="00F07385">
              <w:rPr>
                <w:noProof/>
                <w:webHidden/>
              </w:rPr>
              <w:t>23</w:t>
            </w:r>
            <w:r>
              <w:rPr>
                <w:noProof/>
                <w:webHidden/>
              </w:rPr>
              <w:fldChar w:fldCharType="end"/>
            </w:r>
          </w:hyperlink>
        </w:p>
        <w:p w14:paraId="159AF5D3" w14:textId="127D1110" w:rsidR="00F21EF2" w:rsidRDefault="00F21EF2">
          <w:pPr>
            <w:pStyle w:val="TOC2"/>
            <w:tabs>
              <w:tab w:val="right" w:leader="dot" w:pos="8302"/>
            </w:tabs>
            <w:rPr>
              <w:rFonts w:eastAsiaTheme="minorEastAsia"/>
              <w:noProof/>
              <w:lang w:eastAsia="en-IN"/>
            </w:rPr>
          </w:pPr>
          <w:hyperlink w:anchor="_Toc220878877" w:history="1">
            <w:r w:rsidRPr="007D5E5D">
              <w:rPr>
                <w:rStyle w:val="Hyperlink"/>
                <w:rFonts w:ascii="Arial" w:hAnsi="Arial" w:cs="Arial"/>
                <w:b/>
                <w:bCs/>
                <w:noProof/>
              </w:rPr>
              <w:t>2.4 The Role of Physiotherapy in Fall Prevention</w:t>
            </w:r>
            <w:r>
              <w:rPr>
                <w:noProof/>
                <w:webHidden/>
              </w:rPr>
              <w:tab/>
            </w:r>
            <w:r>
              <w:rPr>
                <w:noProof/>
                <w:webHidden/>
              </w:rPr>
              <w:fldChar w:fldCharType="begin"/>
            </w:r>
            <w:r>
              <w:rPr>
                <w:noProof/>
                <w:webHidden/>
              </w:rPr>
              <w:instrText xml:space="preserve"> PAGEREF _Toc220878877 \h </w:instrText>
            </w:r>
            <w:r>
              <w:rPr>
                <w:noProof/>
                <w:webHidden/>
              </w:rPr>
            </w:r>
            <w:r>
              <w:rPr>
                <w:noProof/>
                <w:webHidden/>
              </w:rPr>
              <w:fldChar w:fldCharType="separate"/>
            </w:r>
            <w:r w:rsidR="00F07385">
              <w:rPr>
                <w:noProof/>
                <w:webHidden/>
              </w:rPr>
              <w:t>23</w:t>
            </w:r>
            <w:r>
              <w:rPr>
                <w:noProof/>
                <w:webHidden/>
              </w:rPr>
              <w:fldChar w:fldCharType="end"/>
            </w:r>
          </w:hyperlink>
        </w:p>
        <w:p w14:paraId="74D55BF7" w14:textId="37FD800E" w:rsidR="00F21EF2" w:rsidRDefault="00F21EF2">
          <w:pPr>
            <w:pStyle w:val="TOC3"/>
            <w:tabs>
              <w:tab w:val="right" w:leader="dot" w:pos="8302"/>
            </w:tabs>
            <w:rPr>
              <w:rFonts w:eastAsiaTheme="minorEastAsia"/>
              <w:noProof/>
              <w:lang w:eastAsia="en-IN"/>
            </w:rPr>
          </w:pPr>
          <w:hyperlink w:anchor="_Toc220878878" w:history="1">
            <w:r w:rsidRPr="007D5E5D">
              <w:rPr>
                <w:rStyle w:val="Hyperlink"/>
                <w:rFonts w:ascii="Arial" w:hAnsi="Arial" w:cs="Arial"/>
                <w:b/>
                <w:bCs/>
                <w:noProof/>
              </w:rPr>
              <w:t>2.4.1 Exercise-Based Physiotherapy Interventions</w:t>
            </w:r>
            <w:r>
              <w:rPr>
                <w:noProof/>
                <w:webHidden/>
              </w:rPr>
              <w:tab/>
            </w:r>
            <w:r>
              <w:rPr>
                <w:noProof/>
                <w:webHidden/>
              </w:rPr>
              <w:fldChar w:fldCharType="begin"/>
            </w:r>
            <w:r>
              <w:rPr>
                <w:noProof/>
                <w:webHidden/>
              </w:rPr>
              <w:instrText xml:space="preserve"> PAGEREF _Toc220878878 \h </w:instrText>
            </w:r>
            <w:r>
              <w:rPr>
                <w:noProof/>
                <w:webHidden/>
              </w:rPr>
            </w:r>
            <w:r>
              <w:rPr>
                <w:noProof/>
                <w:webHidden/>
              </w:rPr>
              <w:fldChar w:fldCharType="separate"/>
            </w:r>
            <w:r w:rsidR="00F07385">
              <w:rPr>
                <w:noProof/>
                <w:webHidden/>
              </w:rPr>
              <w:t>23</w:t>
            </w:r>
            <w:r>
              <w:rPr>
                <w:noProof/>
                <w:webHidden/>
              </w:rPr>
              <w:fldChar w:fldCharType="end"/>
            </w:r>
          </w:hyperlink>
        </w:p>
        <w:p w14:paraId="38361B67" w14:textId="4108EE54" w:rsidR="00F21EF2" w:rsidRDefault="00F21EF2">
          <w:pPr>
            <w:pStyle w:val="TOC3"/>
            <w:tabs>
              <w:tab w:val="right" w:leader="dot" w:pos="8302"/>
            </w:tabs>
            <w:rPr>
              <w:rFonts w:eastAsiaTheme="minorEastAsia"/>
              <w:noProof/>
              <w:lang w:eastAsia="en-IN"/>
            </w:rPr>
          </w:pPr>
          <w:hyperlink w:anchor="_Toc220878879" w:history="1">
            <w:r w:rsidRPr="007D5E5D">
              <w:rPr>
                <w:rStyle w:val="Hyperlink"/>
                <w:rFonts w:ascii="Arial" w:hAnsi="Arial" w:cs="Arial"/>
                <w:b/>
                <w:bCs/>
                <w:noProof/>
              </w:rPr>
              <w:t>2.4.2 Home and Environmental Assessments</w:t>
            </w:r>
            <w:r>
              <w:rPr>
                <w:noProof/>
                <w:webHidden/>
              </w:rPr>
              <w:tab/>
            </w:r>
            <w:r>
              <w:rPr>
                <w:noProof/>
                <w:webHidden/>
              </w:rPr>
              <w:fldChar w:fldCharType="begin"/>
            </w:r>
            <w:r>
              <w:rPr>
                <w:noProof/>
                <w:webHidden/>
              </w:rPr>
              <w:instrText xml:space="preserve"> PAGEREF _Toc220878879 \h </w:instrText>
            </w:r>
            <w:r>
              <w:rPr>
                <w:noProof/>
                <w:webHidden/>
              </w:rPr>
            </w:r>
            <w:r>
              <w:rPr>
                <w:noProof/>
                <w:webHidden/>
              </w:rPr>
              <w:fldChar w:fldCharType="separate"/>
            </w:r>
            <w:r w:rsidR="00F07385">
              <w:rPr>
                <w:noProof/>
                <w:webHidden/>
              </w:rPr>
              <w:t>24</w:t>
            </w:r>
            <w:r>
              <w:rPr>
                <w:noProof/>
                <w:webHidden/>
              </w:rPr>
              <w:fldChar w:fldCharType="end"/>
            </w:r>
          </w:hyperlink>
        </w:p>
        <w:p w14:paraId="0EC5FDE3" w14:textId="71BCD93B" w:rsidR="00F21EF2" w:rsidRDefault="00F21EF2">
          <w:pPr>
            <w:pStyle w:val="TOC3"/>
            <w:tabs>
              <w:tab w:val="right" w:leader="dot" w:pos="8302"/>
            </w:tabs>
            <w:rPr>
              <w:rFonts w:eastAsiaTheme="minorEastAsia"/>
              <w:noProof/>
              <w:lang w:eastAsia="en-IN"/>
            </w:rPr>
          </w:pPr>
          <w:hyperlink w:anchor="_Toc220878880" w:history="1">
            <w:r w:rsidRPr="007D5E5D">
              <w:rPr>
                <w:rStyle w:val="Hyperlink"/>
                <w:rFonts w:ascii="Arial" w:hAnsi="Arial" w:cs="Arial"/>
                <w:b/>
                <w:bCs/>
                <w:noProof/>
              </w:rPr>
              <w:t>2.4.3 Multidisciplinary Collaboration</w:t>
            </w:r>
            <w:r>
              <w:rPr>
                <w:noProof/>
                <w:webHidden/>
              </w:rPr>
              <w:tab/>
            </w:r>
            <w:r>
              <w:rPr>
                <w:noProof/>
                <w:webHidden/>
              </w:rPr>
              <w:fldChar w:fldCharType="begin"/>
            </w:r>
            <w:r>
              <w:rPr>
                <w:noProof/>
                <w:webHidden/>
              </w:rPr>
              <w:instrText xml:space="preserve"> PAGEREF _Toc220878880 \h </w:instrText>
            </w:r>
            <w:r>
              <w:rPr>
                <w:noProof/>
                <w:webHidden/>
              </w:rPr>
            </w:r>
            <w:r>
              <w:rPr>
                <w:noProof/>
                <w:webHidden/>
              </w:rPr>
              <w:fldChar w:fldCharType="separate"/>
            </w:r>
            <w:r w:rsidR="00F07385">
              <w:rPr>
                <w:noProof/>
                <w:webHidden/>
              </w:rPr>
              <w:t>24</w:t>
            </w:r>
            <w:r>
              <w:rPr>
                <w:noProof/>
                <w:webHidden/>
              </w:rPr>
              <w:fldChar w:fldCharType="end"/>
            </w:r>
          </w:hyperlink>
        </w:p>
        <w:p w14:paraId="5CA99B2B" w14:textId="4EA2502C" w:rsidR="00F21EF2" w:rsidRDefault="00F21EF2">
          <w:pPr>
            <w:pStyle w:val="TOC3"/>
            <w:tabs>
              <w:tab w:val="right" w:leader="dot" w:pos="8302"/>
            </w:tabs>
            <w:rPr>
              <w:rFonts w:eastAsiaTheme="minorEastAsia"/>
              <w:noProof/>
              <w:lang w:eastAsia="en-IN"/>
            </w:rPr>
          </w:pPr>
          <w:hyperlink w:anchor="_Toc220878881" w:history="1">
            <w:r w:rsidRPr="007D5E5D">
              <w:rPr>
                <w:rStyle w:val="Hyperlink"/>
                <w:rFonts w:ascii="Arial" w:hAnsi="Arial" w:cs="Arial"/>
                <w:b/>
                <w:bCs/>
                <w:noProof/>
              </w:rPr>
              <w:t>2.4.4 Behavioural Coaching and Adherence</w:t>
            </w:r>
            <w:r>
              <w:rPr>
                <w:noProof/>
                <w:webHidden/>
              </w:rPr>
              <w:tab/>
            </w:r>
            <w:r>
              <w:rPr>
                <w:noProof/>
                <w:webHidden/>
              </w:rPr>
              <w:fldChar w:fldCharType="begin"/>
            </w:r>
            <w:r>
              <w:rPr>
                <w:noProof/>
                <w:webHidden/>
              </w:rPr>
              <w:instrText xml:space="preserve"> PAGEREF _Toc220878881 \h </w:instrText>
            </w:r>
            <w:r>
              <w:rPr>
                <w:noProof/>
                <w:webHidden/>
              </w:rPr>
            </w:r>
            <w:r>
              <w:rPr>
                <w:noProof/>
                <w:webHidden/>
              </w:rPr>
              <w:fldChar w:fldCharType="separate"/>
            </w:r>
            <w:r w:rsidR="00F07385">
              <w:rPr>
                <w:noProof/>
                <w:webHidden/>
              </w:rPr>
              <w:t>25</w:t>
            </w:r>
            <w:r>
              <w:rPr>
                <w:noProof/>
                <w:webHidden/>
              </w:rPr>
              <w:fldChar w:fldCharType="end"/>
            </w:r>
          </w:hyperlink>
        </w:p>
        <w:p w14:paraId="71B2B92E" w14:textId="154CDB4B" w:rsidR="00F21EF2" w:rsidRDefault="00F21EF2">
          <w:pPr>
            <w:pStyle w:val="TOC2"/>
            <w:tabs>
              <w:tab w:val="right" w:leader="dot" w:pos="8302"/>
            </w:tabs>
            <w:rPr>
              <w:rFonts w:eastAsiaTheme="minorEastAsia"/>
              <w:noProof/>
              <w:lang w:eastAsia="en-IN"/>
            </w:rPr>
          </w:pPr>
          <w:hyperlink w:anchor="_Toc220878882" w:history="1">
            <w:r w:rsidRPr="007D5E5D">
              <w:rPr>
                <w:rStyle w:val="Hyperlink"/>
                <w:rFonts w:ascii="Arial" w:hAnsi="Arial" w:cs="Arial"/>
                <w:b/>
                <w:bCs/>
                <w:noProof/>
              </w:rPr>
              <w:t>2.5 Community-Based Physiotherapy Interventions</w:t>
            </w:r>
            <w:r>
              <w:rPr>
                <w:noProof/>
                <w:webHidden/>
              </w:rPr>
              <w:tab/>
            </w:r>
            <w:r>
              <w:rPr>
                <w:noProof/>
                <w:webHidden/>
              </w:rPr>
              <w:fldChar w:fldCharType="begin"/>
            </w:r>
            <w:r>
              <w:rPr>
                <w:noProof/>
                <w:webHidden/>
              </w:rPr>
              <w:instrText xml:space="preserve"> PAGEREF _Toc220878882 \h </w:instrText>
            </w:r>
            <w:r>
              <w:rPr>
                <w:noProof/>
                <w:webHidden/>
              </w:rPr>
            </w:r>
            <w:r>
              <w:rPr>
                <w:noProof/>
                <w:webHidden/>
              </w:rPr>
              <w:fldChar w:fldCharType="separate"/>
            </w:r>
            <w:r w:rsidR="00F07385">
              <w:rPr>
                <w:noProof/>
                <w:webHidden/>
              </w:rPr>
              <w:t>25</w:t>
            </w:r>
            <w:r>
              <w:rPr>
                <w:noProof/>
                <w:webHidden/>
              </w:rPr>
              <w:fldChar w:fldCharType="end"/>
            </w:r>
          </w:hyperlink>
        </w:p>
        <w:p w14:paraId="7076FD83" w14:textId="5FE5C6D2" w:rsidR="00F21EF2" w:rsidRDefault="00F21EF2">
          <w:pPr>
            <w:pStyle w:val="TOC3"/>
            <w:tabs>
              <w:tab w:val="right" w:leader="dot" w:pos="8302"/>
            </w:tabs>
            <w:rPr>
              <w:rFonts w:eastAsiaTheme="minorEastAsia"/>
              <w:noProof/>
              <w:lang w:eastAsia="en-IN"/>
            </w:rPr>
          </w:pPr>
          <w:hyperlink w:anchor="_Toc220878883" w:history="1">
            <w:r w:rsidRPr="007D5E5D">
              <w:rPr>
                <w:rStyle w:val="Hyperlink"/>
                <w:rFonts w:ascii="Arial" w:hAnsi="Arial" w:cs="Arial"/>
                <w:b/>
                <w:bCs/>
                <w:noProof/>
              </w:rPr>
              <w:t>2.5.1 Models of Community Delivery</w:t>
            </w:r>
            <w:r>
              <w:rPr>
                <w:noProof/>
                <w:webHidden/>
              </w:rPr>
              <w:tab/>
            </w:r>
            <w:r>
              <w:rPr>
                <w:noProof/>
                <w:webHidden/>
              </w:rPr>
              <w:fldChar w:fldCharType="begin"/>
            </w:r>
            <w:r>
              <w:rPr>
                <w:noProof/>
                <w:webHidden/>
              </w:rPr>
              <w:instrText xml:space="preserve"> PAGEREF _Toc220878883 \h </w:instrText>
            </w:r>
            <w:r>
              <w:rPr>
                <w:noProof/>
                <w:webHidden/>
              </w:rPr>
            </w:r>
            <w:r>
              <w:rPr>
                <w:noProof/>
                <w:webHidden/>
              </w:rPr>
              <w:fldChar w:fldCharType="separate"/>
            </w:r>
            <w:r w:rsidR="00F07385">
              <w:rPr>
                <w:noProof/>
                <w:webHidden/>
              </w:rPr>
              <w:t>25</w:t>
            </w:r>
            <w:r>
              <w:rPr>
                <w:noProof/>
                <w:webHidden/>
              </w:rPr>
              <w:fldChar w:fldCharType="end"/>
            </w:r>
          </w:hyperlink>
        </w:p>
        <w:p w14:paraId="1FE888B2" w14:textId="3A12DF73" w:rsidR="00F21EF2" w:rsidRDefault="00F21EF2">
          <w:pPr>
            <w:pStyle w:val="TOC3"/>
            <w:tabs>
              <w:tab w:val="right" w:leader="dot" w:pos="8302"/>
            </w:tabs>
            <w:rPr>
              <w:rFonts w:eastAsiaTheme="minorEastAsia"/>
              <w:noProof/>
              <w:lang w:eastAsia="en-IN"/>
            </w:rPr>
          </w:pPr>
          <w:hyperlink w:anchor="_Toc220878884" w:history="1">
            <w:r w:rsidRPr="007D5E5D">
              <w:rPr>
                <w:rStyle w:val="Hyperlink"/>
                <w:rFonts w:ascii="Arial" w:hAnsi="Arial" w:cs="Arial"/>
                <w:b/>
                <w:bCs/>
                <w:noProof/>
              </w:rPr>
              <w:t>2.5.2 Barriers to Implementation</w:t>
            </w:r>
            <w:r>
              <w:rPr>
                <w:noProof/>
                <w:webHidden/>
              </w:rPr>
              <w:tab/>
            </w:r>
            <w:r>
              <w:rPr>
                <w:noProof/>
                <w:webHidden/>
              </w:rPr>
              <w:fldChar w:fldCharType="begin"/>
            </w:r>
            <w:r>
              <w:rPr>
                <w:noProof/>
                <w:webHidden/>
              </w:rPr>
              <w:instrText xml:space="preserve"> PAGEREF _Toc220878884 \h </w:instrText>
            </w:r>
            <w:r>
              <w:rPr>
                <w:noProof/>
                <w:webHidden/>
              </w:rPr>
            </w:r>
            <w:r>
              <w:rPr>
                <w:noProof/>
                <w:webHidden/>
              </w:rPr>
              <w:fldChar w:fldCharType="separate"/>
            </w:r>
            <w:r w:rsidR="00F07385">
              <w:rPr>
                <w:noProof/>
                <w:webHidden/>
              </w:rPr>
              <w:t>25</w:t>
            </w:r>
            <w:r>
              <w:rPr>
                <w:noProof/>
                <w:webHidden/>
              </w:rPr>
              <w:fldChar w:fldCharType="end"/>
            </w:r>
          </w:hyperlink>
        </w:p>
        <w:p w14:paraId="36D0E31D" w14:textId="541FFD05" w:rsidR="00F21EF2" w:rsidRDefault="00F21EF2">
          <w:pPr>
            <w:pStyle w:val="TOC3"/>
            <w:tabs>
              <w:tab w:val="right" w:leader="dot" w:pos="8302"/>
            </w:tabs>
            <w:rPr>
              <w:rFonts w:eastAsiaTheme="minorEastAsia"/>
              <w:noProof/>
              <w:lang w:eastAsia="en-IN"/>
            </w:rPr>
          </w:pPr>
          <w:hyperlink w:anchor="_Toc220878885" w:history="1">
            <w:r w:rsidRPr="007D5E5D">
              <w:rPr>
                <w:rStyle w:val="Hyperlink"/>
                <w:rFonts w:ascii="Arial" w:hAnsi="Arial" w:cs="Arial"/>
                <w:b/>
                <w:bCs/>
                <w:noProof/>
              </w:rPr>
              <w:t>2.5.3 Facilitators to Implementation</w:t>
            </w:r>
            <w:r>
              <w:rPr>
                <w:noProof/>
                <w:webHidden/>
              </w:rPr>
              <w:tab/>
            </w:r>
            <w:r>
              <w:rPr>
                <w:noProof/>
                <w:webHidden/>
              </w:rPr>
              <w:fldChar w:fldCharType="begin"/>
            </w:r>
            <w:r>
              <w:rPr>
                <w:noProof/>
                <w:webHidden/>
              </w:rPr>
              <w:instrText xml:space="preserve"> PAGEREF _Toc220878885 \h </w:instrText>
            </w:r>
            <w:r>
              <w:rPr>
                <w:noProof/>
                <w:webHidden/>
              </w:rPr>
            </w:r>
            <w:r>
              <w:rPr>
                <w:noProof/>
                <w:webHidden/>
              </w:rPr>
              <w:fldChar w:fldCharType="separate"/>
            </w:r>
            <w:r w:rsidR="00F07385">
              <w:rPr>
                <w:noProof/>
                <w:webHidden/>
              </w:rPr>
              <w:t>26</w:t>
            </w:r>
            <w:r>
              <w:rPr>
                <w:noProof/>
                <w:webHidden/>
              </w:rPr>
              <w:fldChar w:fldCharType="end"/>
            </w:r>
          </w:hyperlink>
        </w:p>
        <w:p w14:paraId="06A5B032" w14:textId="614BC8D2" w:rsidR="00F21EF2" w:rsidRDefault="00F21EF2">
          <w:pPr>
            <w:pStyle w:val="TOC3"/>
            <w:tabs>
              <w:tab w:val="right" w:leader="dot" w:pos="8302"/>
            </w:tabs>
            <w:rPr>
              <w:rFonts w:eastAsiaTheme="minorEastAsia"/>
              <w:noProof/>
              <w:lang w:eastAsia="en-IN"/>
            </w:rPr>
          </w:pPr>
          <w:hyperlink w:anchor="_Toc220878886" w:history="1">
            <w:r w:rsidRPr="007D5E5D">
              <w:rPr>
                <w:rStyle w:val="Hyperlink"/>
                <w:rFonts w:ascii="Arial" w:hAnsi="Arial" w:cs="Arial"/>
                <w:b/>
                <w:bCs/>
                <w:noProof/>
              </w:rPr>
              <w:t>2.5.4 Effectiveness of Community-Based Interventions</w:t>
            </w:r>
            <w:r>
              <w:rPr>
                <w:noProof/>
                <w:webHidden/>
              </w:rPr>
              <w:tab/>
            </w:r>
            <w:r>
              <w:rPr>
                <w:noProof/>
                <w:webHidden/>
              </w:rPr>
              <w:fldChar w:fldCharType="begin"/>
            </w:r>
            <w:r>
              <w:rPr>
                <w:noProof/>
                <w:webHidden/>
              </w:rPr>
              <w:instrText xml:space="preserve"> PAGEREF _Toc220878886 \h </w:instrText>
            </w:r>
            <w:r>
              <w:rPr>
                <w:noProof/>
                <w:webHidden/>
              </w:rPr>
            </w:r>
            <w:r>
              <w:rPr>
                <w:noProof/>
                <w:webHidden/>
              </w:rPr>
              <w:fldChar w:fldCharType="separate"/>
            </w:r>
            <w:r w:rsidR="00F07385">
              <w:rPr>
                <w:noProof/>
                <w:webHidden/>
              </w:rPr>
              <w:t>26</w:t>
            </w:r>
            <w:r>
              <w:rPr>
                <w:noProof/>
                <w:webHidden/>
              </w:rPr>
              <w:fldChar w:fldCharType="end"/>
            </w:r>
          </w:hyperlink>
        </w:p>
        <w:p w14:paraId="1D652DC8" w14:textId="21370ADB" w:rsidR="00F21EF2" w:rsidRDefault="00F21EF2">
          <w:pPr>
            <w:pStyle w:val="TOC3"/>
            <w:tabs>
              <w:tab w:val="right" w:leader="dot" w:pos="8302"/>
            </w:tabs>
            <w:rPr>
              <w:rFonts w:eastAsiaTheme="minorEastAsia"/>
              <w:noProof/>
              <w:lang w:eastAsia="en-IN"/>
            </w:rPr>
          </w:pPr>
          <w:hyperlink w:anchor="_Toc220878887" w:history="1">
            <w:r w:rsidRPr="007D5E5D">
              <w:rPr>
                <w:rStyle w:val="Hyperlink"/>
                <w:rFonts w:ascii="Arial" w:hAnsi="Arial" w:cs="Arial"/>
                <w:b/>
                <w:bCs/>
                <w:noProof/>
              </w:rPr>
              <w:t>2.5.5 Equity and Access</w:t>
            </w:r>
            <w:r>
              <w:rPr>
                <w:noProof/>
                <w:webHidden/>
              </w:rPr>
              <w:tab/>
            </w:r>
            <w:r>
              <w:rPr>
                <w:noProof/>
                <w:webHidden/>
              </w:rPr>
              <w:fldChar w:fldCharType="begin"/>
            </w:r>
            <w:r>
              <w:rPr>
                <w:noProof/>
                <w:webHidden/>
              </w:rPr>
              <w:instrText xml:space="preserve"> PAGEREF _Toc220878887 \h </w:instrText>
            </w:r>
            <w:r>
              <w:rPr>
                <w:noProof/>
                <w:webHidden/>
              </w:rPr>
            </w:r>
            <w:r>
              <w:rPr>
                <w:noProof/>
                <w:webHidden/>
              </w:rPr>
              <w:fldChar w:fldCharType="separate"/>
            </w:r>
            <w:r w:rsidR="00F07385">
              <w:rPr>
                <w:noProof/>
                <w:webHidden/>
              </w:rPr>
              <w:t>27</w:t>
            </w:r>
            <w:r>
              <w:rPr>
                <w:noProof/>
                <w:webHidden/>
              </w:rPr>
              <w:fldChar w:fldCharType="end"/>
            </w:r>
          </w:hyperlink>
        </w:p>
        <w:p w14:paraId="4D9A0D4C" w14:textId="6B69995C" w:rsidR="00F21EF2" w:rsidRDefault="00F21EF2">
          <w:pPr>
            <w:pStyle w:val="TOC3"/>
            <w:tabs>
              <w:tab w:val="right" w:leader="dot" w:pos="8302"/>
            </w:tabs>
            <w:rPr>
              <w:rFonts w:eastAsiaTheme="minorEastAsia"/>
              <w:noProof/>
              <w:lang w:eastAsia="en-IN"/>
            </w:rPr>
          </w:pPr>
          <w:hyperlink w:anchor="_Toc220878888" w:history="1">
            <w:r w:rsidRPr="007D5E5D">
              <w:rPr>
                <w:rStyle w:val="Hyperlink"/>
                <w:rFonts w:ascii="Arial" w:hAnsi="Arial" w:cs="Arial"/>
                <w:b/>
                <w:bCs/>
                <w:noProof/>
              </w:rPr>
              <w:t>2.5.6 Social Wellbeing and Engagement</w:t>
            </w:r>
            <w:r>
              <w:rPr>
                <w:noProof/>
                <w:webHidden/>
              </w:rPr>
              <w:tab/>
            </w:r>
            <w:r>
              <w:rPr>
                <w:noProof/>
                <w:webHidden/>
              </w:rPr>
              <w:fldChar w:fldCharType="begin"/>
            </w:r>
            <w:r>
              <w:rPr>
                <w:noProof/>
                <w:webHidden/>
              </w:rPr>
              <w:instrText xml:space="preserve"> PAGEREF _Toc220878888 \h </w:instrText>
            </w:r>
            <w:r>
              <w:rPr>
                <w:noProof/>
                <w:webHidden/>
              </w:rPr>
            </w:r>
            <w:r>
              <w:rPr>
                <w:noProof/>
                <w:webHidden/>
              </w:rPr>
              <w:fldChar w:fldCharType="separate"/>
            </w:r>
            <w:r w:rsidR="00F07385">
              <w:rPr>
                <w:noProof/>
                <w:webHidden/>
              </w:rPr>
              <w:t>27</w:t>
            </w:r>
            <w:r>
              <w:rPr>
                <w:noProof/>
                <w:webHidden/>
              </w:rPr>
              <w:fldChar w:fldCharType="end"/>
            </w:r>
          </w:hyperlink>
        </w:p>
        <w:p w14:paraId="29FD0CEE" w14:textId="5C4143BC" w:rsidR="00F21EF2" w:rsidRDefault="00F21EF2">
          <w:pPr>
            <w:pStyle w:val="TOC3"/>
            <w:tabs>
              <w:tab w:val="right" w:leader="dot" w:pos="8302"/>
            </w:tabs>
            <w:rPr>
              <w:rFonts w:eastAsiaTheme="minorEastAsia"/>
              <w:noProof/>
              <w:lang w:eastAsia="en-IN"/>
            </w:rPr>
          </w:pPr>
          <w:hyperlink w:anchor="_Toc220878889" w:history="1">
            <w:r w:rsidRPr="007D5E5D">
              <w:rPr>
                <w:rStyle w:val="Hyperlink"/>
                <w:rFonts w:ascii="Arial" w:hAnsi="Arial" w:cs="Arial"/>
                <w:b/>
                <w:bCs/>
                <w:noProof/>
              </w:rPr>
              <w:t>2.5.7 Sustainability and Long-Term Adherence in Community-Based Physiotherapy</w:t>
            </w:r>
            <w:r>
              <w:rPr>
                <w:noProof/>
                <w:webHidden/>
              </w:rPr>
              <w:tab/>
            </w:r>
            <w:r>
              <w:rPr>
                <w:noProof/>
                <w:webHidden/>
              </w:rPr>
              <w:fldChar w:fldCharType="begin"/>
            </w:r>
            <w:r>
              <w:rPr>
                <w:noProof/>
                <w:webHidden/>
              </w:rPr>
              <w:instrText xml:space="preserve"> PAGEREF _Toc220878889 \h </w:instrText>
            </w:r>
            <w:r>
              <w:rPr>
                <w:noProof/>
                <w:webHidden/>
              </w:rPr>
            </w:r>
            <w:r>
              <w:rPr>
                <w:noProof/>
                <w:webHidden/>
              </w:rPr>
              <w:fldChar w:fldCharType="separate"/>
            </w:r>
            <w:r w:rsidR="00F07385">
              <w:rPr>
                <w:noProof/>
                <w:webHidden/>
              </w:rPr>
              <w:t>27</w:t>
            </w:r>
            <w:r>
              <w:rPr>
                <w:noProof/>
                <w:webHidden/>
              </w:rPr>
              <w:fldChar w:fldCharType="end"/>
            </w:r>
          </w:hyperlink>
        </w:p>
        <w:p w14:paraId="6BE5C4A6" w14:textId="2EA54A71" w:rsidR="00F21EF2" w:rsidRDefault="00F21EF2">
          <w:pPr>
            <w:pStyle w:val="TOC2"/>
            <w:tabs>
              <w:tab w:val="right" w:leader="dot" w:pos="8302"/>
            </w:tabs>
            <w:rPr>
              <w:rFonts w:eastAsiaTheme="minorEastAsia"/>
              <w:noProof/>
              <w:lang w:eastAsia="en-IN"/>
            </w:rPr>
          </w:pPr>
          <w:hyperlink w:anchor="_Toc220878890" w:history="1">
            <w:r w:rsidRPr="007D5E5D">
              <w:rPr>
                <w:rStyle w:val="Hyperlink"/>
                <w:rFonts w:ascii="Arial" w:hAnsi="Arial" w:cs="Arial"/>
                <w:b/>
                <w:bCs/>
                <w:noProof/>
              </w:rPr>
              <w:t>2.6 Theoretical Frameworks</w:t>
            </w:r>
            <w:r>
              <w:rPr>
                <w:noProof/>
                <w:webHidden/>
              </w:rPr>
              <w:tab/>
            </w:r>
            <w:r>
              <w:rPr>
                <w:noProof/>
                <w:webHidden/>
              </w:rPr>
              <w:fldChar w:fldCharType="begin"/>
            </w:r>
            <w:r>
              <w:rPr>
                <w:noProof/>
                <w:webHidden/>
              </w:rPr>
              <w:instrText xml:space="preserve"> PAGEREF _Toc220878890 \h </w:instrText>
            </w:r>
            <w:r>
              <w:rPr>
                <w:noProof/>
                <w:webHidden/>
              </w:rPr>
            </w:r>
            <w:r>
              <w:rPr>
                <w:noProof/>
                <w:webHidden/>
              </w:rPr>
              <w:fldChar w:fldCharType="separate"/>
            </w:r>
            <w:r w:rsidR="00F07385">
              <w:rPr>
                <w:noProof/>
                <w:webHidden/>
              </w:rPr>
              <w:t>28</w:t>
            </w:r>
            <w:r>
              <w:rPr>
                <w:noProof/>
                <w:webHidden/>
              </w:rPr>
              <w:fldChar w:fldCharType="end"/>
            </w:r>
          </w:hyperlink>
        </w:p>
        <w:p w14:paraId="68B60B5D" w14:textId="3E111EE3" w:rsidR="00F21EF2" w:rsidRDefault="00F21EF2">
          <w:pPr>
            <w:pStyle w:val="TOC3"/>
            <w:tabs>
              <w:tab w:val="right" w:leader="dot" w:pos="8302"/>
            </w:tabs>
            <w:rPr>
              <w:rFonts w:eastAsiaTheme="minorEastAsia"/>
              <w:noProof/>
              <w:lang w:eastAsia="en-IN"/>
            </w:rPr>
          </w:pPr>
          <w:hyperlink w:anchor="_Toc220878891" w:history="1">
            <w:r w:rsidRPr="007D5E5D">
              <w:rPr>
                <w:rStyle w:val="Hyperlink"/>
                <w:rFonts w:ascii="Arial" w:hAnsi="Arial" w:cs="Arial"/>
                <w:b/>
                <w:bCs/>
                <w:noProof/>
              </w:rPr>
              <w:t>2.6.1 Health Belief Model (HBM)</w:t>
            </w:r>
            <w:r>
              <w:rPr>
                <w:noProof/>
                <w:webHidden/>
              </w:rPr>
              <w:tab/>
            </w:r>
            <w:r>
              <w:rPr>
                <w:noProof/>
                <w:webHidden/>
              </w:rPr>
              <w:fldChar w:fldCharType="begin"/>
            </w:r>
            <w:r>
              <w:rPr>
                <w:noProof/>
                <w:webHidden/>
              </w:rPr>
              <w:instrText xml:space="preserve"> PAGEREF _Toc220878891 \h </w:instrText>
            </w:r>
            <w:r>
              <w:rPr>
                <w:noProof/>
                <w:webHidden/>
              </w:rPr>
            </w:r>
            <w:r>
              <w:rPr>
                <w:noProof/>
                <w:webHidden/>
              </w:rPr>
              <w:fldChar w:fldCharType="separate"/>
            </w:r>
            <w:r w:rsidR="00F07385">
              <w:rPr>
                <w:noProof/>
                <w:webHidden/>
              </w:rPr>
              <w:t>28</w:t>
            </w:r>
            <w:r>
              <w:rPr>
                <w:noProof/>
                <w:webHidden/>
              </w:rPr>
              <w:fldChar w:fldCharType="end"/>
            </w:r>
          </w:hyperlink>
        </w:p>
        <w:p w14:paraId="2ADEE0C1" w14:textId="3272C172" w:rsidR="00F21EF2" w:rsidRDefault="00F21EF2">
          <w:pPr>
            <w:pStyle w:val="TOC3"/>
            <w:tabs>
              <w:tab w:val="right" w:leader="dot" w:pos="8302"/>
            </w:tabs>
            <w:rPr>
              <w:rFonts w:eastAsiaTheme="minorEastAsia"/>
              <w:noProof/>
              <w:lang w:eastAsia="en-IN"/>
            </w:rPr>
          </w:pPr>
          <w:hyperlink w:anchor="_Toc220878892" w:history="1">
            <w:r w:rsidRPr="007D5E5D">
              <w:rPr>
                <w:rStyle w:val="Hyperlink"/>
                <w:rFonts w:ascii="Arial" w:hAnsi="Arial" w:cs="Arial"/>
                <w:b/>
                <w:bCs/>
                <w:noProof/>
              </w:rPr>
              <w:t>2.6.2 Social Ecological Model (SEM)</w:t>
            </w:r>
            <w:r>
              <w:rPr>
                <w:noProof/>
                <w:webHidden/>
              </w:rPr>
              <w:tab/>
            </w:r>
            <w:r>
              <w:rPr>
                <w:noProof/>
                <w:webHidden/>
              </w:rPr>
              <w:fldChar w:fldCharType="begin"/>
            </w:r>
            <w:r>
              <w:rPr>
                <w:noProof/>
                <w:webHidden/>
              </w:rPr>
              <w:instrText xml:space="preserve"> PAGEREF _Toc220878892 \h </w:instrText>
            </w:r>
            <w:r>
              <w:rPr>
                <w:noProof/>
                <w:webHidden/>
              </w:rPr>
            </w:r>
            <w:r>
              <w:rPr>
                <w:noProof/>
                <w:webHidden/>
              </w:rPr>
              <w:fldChar w:fldCharType="separate"/>
            </w:r>
            <w:r w:rsidR="00F07385">
              <w:rPr>
                <w:noProof/>
                <w:webHidden/>
              </w:rPr>
              <w:t>29</w:t>
            </w:r>
            <w:r>
              <w:rPr>
                <w:noProof/>
                <w:webHidden/>
              </w:rPr>
              <w:fldChar w:fldCharType="end"/>
            </w:r>
          </w:hyperlink>
        </w:p>
        <w:p w14:paraId="43610A27" w14:textId="397FD15D" w:rsidR="00F21EF2" w:rsidRDefault="00F21EF2">
          <w:pPr>
            <w:pStyle w:val="TOC3"/>
            <w:tabs>
              <w:tab w:val="right" w:leader="dot" w:pos="8302"/>
            </w:tabs>
            <w:rPr>
              <w:rFonts w:eastAsiaTheme="minorEastAsia"/>
              <w:noProof/>
              <w:lang w:eastAsia="en-IN"/>
            </w:rPr>
          </w:pPr>
          <w:hyperlink w:anchor="_Toc220878893" w:history="1">
            <w:r w:rsidRPr="007D5E5D">
              <w:rPr>
                <w:rStyle w:val="Hyperlink"/>
                <w:rFonts w:ascii="Arial" w:hAnsi="Arial" w:cs="Arial"/>
                <w:b/>
                <w:bCs/>
                <w:noProof/>
              </w:rPr>
              <w:t>2.6.3 Integration of HBM and SEM</w:t>
            </w:r>
            <w:r>
              <w:rPr>
                <w:noProof/>
                <w:webHidden/>
              </w:rPr>
              <w:tab/>
            </w:r>
            <w:r>
              <w:rPr>
                <w:noProof/>
                <w:webHidden/>
              </w:rPr>
              <w:fldChar w:fldCharType="begin"/>
            </w:r>
            <w:r>
              <w:rPr>
                <w:noProof/>
                <w:webHidden/>
              </w:rPr>
              <w:instrText xml:space="preserve"> PAGEREF _Toc220878893 \h </w:instrText>
            </w:r>
            <w:r>
              <w:rPr>
                <w:noProof/>
                <w:webHidden/>
              </w:rPr>
            </w:r>
            <w:r>
              <w:rPr>
                <w:noProof/>
                <w:webHidden/>
              </w:rPr>
              <w:fldChar w:fldCharType="separate"/>
            </w:r>
            <w:r w:rsidR="00F07385">
              <w:rPr>
                <w:noProof/>
                <w:webHidden/>
              </w:rPr>
              <w:t>29</w:t>
            </w:r>
            <w:r>
              <w:rPr>
                <w:noProof/>
                <w:webHidden/>
              </w:rPr>
              <w:fldChar w:fldCharType="end"/>
            </w:r>
          </w:hyperlink>
        </w:p>
        <w:p w14:paraId="7CCF634A" w14:textId="5F976735" w:rsidR="00F21EF2" w:rsidRDefault="00F21EF2">
          <w:pPr>
            <w:pStyle w:val="TOC3"/>
            <w:tabs>
              <w:tab w:val="right" w:leader="dot" w:pos="8302"/>
            </w:tabs>
            <w:rPr>
              <w:rFonts w:eastAsiaTheme="minorEastAsia"/>
              <w:noProof/>
              <w:lang w:eastAsia="en-IN"/>
            </w:rPr>
          </w:pPr>
          <w:hyperlink w:anchor="_Toc220878894" w:history="1">
            <w:r w:rsidRPr="007D5E5D">
              <w:rPr>
                <w:rStyle w:val="Hyperlink"/>
                <w:rFonts w:ascii="Arial" w:hAnsi="Arial" w:cs="Arial"/>
                <w:b/>
                <w:bCs/>
                <w:noProof/>
              </w:rPr>
              <w:t>2.6.4 Justification for Selection of Theoretical Models</w:t>
            </w:r>
            <w:r>
              <w:rPr>
                <w:noProof/>
                <w:webHidden/>
              </w:rPr>
              <w:tab/>
            </w:r>
            <w:r>
              <w:rPr>
                <w:noProof/>
                <w:webHidden/>
              </w:rPr>
              <w:fldChar w:fldCharType="begin"/>
            </w:r>
            <w:r>
              <w:rPr>
                <w:noProof/>
                <w:webHidden/>
              </w:rPr>
              <w:instrText xml:space="preserve"> PAGEREF _Toc220878894 \h </w:instrText>
            </w:r>
            <w:r>
              <w:rPr>
                <w:noProof/>
                <w:webHidden/>
              </w:rPr>
            </w:r>
            <w:r>
              <w:rPr>
                <w:noProof/>
                <w:webHidden/>
              </w:rPr>
              <w:fldChar w:fldCharType="separate"/>
            </w:r>
            <w:r w:rsidR="00F07385">
              <w:rPr>
                <w:noProof/>
                <w:webHidden/>
              </w:rPr>
              <w:t>30</w:t>
            </w:r>
            <w:r>
              <w:rPr>
                <w:noProof/>
                <w:webHidden/>
              </w:rPr>
              <w:fldChar w:fldCharType="end"/>
            </w:r>
          </w:hyperlink>
        </w:p>
        <w:p w14:paraId="3B210804" w14:textId="3A84D086" w:rsidR="00F21EF2" w:rsidRDefault="00F21EF2">
          <w:pPr>
            <w:pStyle w:val="TOC2"/>
            <w:tabs>
              <w:tab w:val="right" w:leader="dot" w:pos="8302"/>
            </w:tabs>
            <w:rPr>
              <w:rFonts w:eastAsiaTheme="minorEastAsia"/>
              <w:noProof/>
              <w:lang w:eastAsia="en-IN"/>
            </w:rPr>
          </w:pPr>
          <w:hyperlink w:anchor="_Toc220878895" w:history="1">
            <w:r w:rsidRPr="007D5E5D">
              <w:rPr>
                <w:rStyle w:val="Hyperlink"/>
                <w:rFonts w:ascii="Arial" w:hAnsi="Arial" w:cs="Arial"/>
                <w:b/>
                <w:bCs/>
                <w:noProof/>
              </w:rPr>
              <w:t>2.7 Gaps in the Literature</w:t>
            </w:r>
            <w:r>
              <w:rPr>
                <w:noProof/>
                <w:webHidden/>
              </w:rPr>
              <w:tab/>
            </w:r>
            <w:r>
              <w:rPr>
                <w:noProof/>
                <w:webHidden/>
              </w:rPr>
              <w:fldChar w:fldCharType="begin"/>
            </w:r>
            <w:r>
              <w:rPr>
                <w:noProof/>
                <w:webHidden/>
              </w:rPr>
              <w:instrText xml:space="preserve"> PAGEREF _Toc220878895 \h </w:instrText>
            </w:r>
            <w:r>
              <w:rPr>
                <w:noProof/>
                <w:webHidden/>
              </w:rPr>
            </w:r>
            <w:r>
              <w:rPr>
                <w:noProof/>
                <w:webHidden/>
              </w:rPr>
              <w:fldChar w:fldCharType="separate"/>
            </w:r>
            <w:r w:rsidR="00F07385">
              <w:rPr>
                <w:noProof/>
                <w:webHidden/>
              </w:rPr>
              <w:t>31</w:t>
            </w:r>
            <w:r>
              <w:rPr>
                <w:noProof/>
                <w:webHidden/>
              </w:rPr>
              <w:fldChar w:fldCharType="end"/>
            </w:r>
          </w:hyperlink>
        </w:p>
        <w:p w14:paraId="7D3D5E49" w14:textId="06DB61AB" w:rsidR="00F21EF2" w:rsidRDefault="00F21EF2">
          <w:pPr>
            <w:pStyle w:val="TOC3"/>
            <w:tabs>
              <w:tab w:val="right" w:leader="dot" w:pos="8302"/>
            </w:tabs>
            <w:rPr>
              <w:rFonts w:eastAsiaTheme="minorEastAsia"/>
              <w:noProof/>
              <w:lang w:eastAsia="en-IN"/>
            </w:rPr>
          </w:pPr>
          <w:hyperlink w:anchor="_Toc220878896" w:history="1">
            <w:r w:rsidRPr="007D5E5D">
              <w:rPr>
                <w:rStyle w:val="Hyperlink"/>
                <w:rFonts w:ascii="Arial" w:hAnsi="Arial" w:cs="Arial"/>
                <w:b/>
                <w:bCs/>
                <w:noProof/>
              </w:rPr>
              <w:t>2.7.1 Lack of Urban-Specific Evidence</w:t>
            </w:r>
            <w:r>
              <w:rPr>
                <w:noProof/>
                <w:webHidden/>
              </w:rPr>
              <w:tab/>
            </w:r>
            <w:r>
              <w:rPr>
                <w:noProof/>
                <w:webHidden/>
              </w:rPr>
              <w:fldChar w:fldCharType="begin"/>
            </w:r>
            <w:r>
              <w:rPr>
                <w:noProof/>
                <w:webHidden/>
              </w:rPr>
              <w:instrText xml:space="preserve"> PAGEREF _Toc220878896 \h </w:instrText>
            </w:r>
            <w:r>
              <w:rPr>
                <w:noProof/>
                <w:webHidden/>
              </w:rPr>
            </w:r>
            <w:r>
              <w:rPr>
                <w:noProof/>
                <w:webHidden/>
              </w:rPr>
              <w:fldChar w:fldCharType="separate"/>
            </w:r>
            <w:r w:rsidR="00F07385">
              <w:rPr>
                <w:noProof/>
                <w:webHidden/>
              </w:rPr>
              <w:t>31</w:t>
            </w:r>
            <w:r>
              <w:rPr>
                <w:noProof/>
                <w:webHidden/>
              </w:rPr>
              <w:fldChar w:fldCharType="end"/>
            </w:r>
          </w:hyperlink>
        </w:p>
        <w:p w14:paraId="365718BF" w14:textId="601B90CE" w:rsidR="00F21EF2" w:rsidRDefault="00F21EF2">
          <w:pPr>
            <w:pStyle w:val="TOC3"/>
            <w:tabs>
              <w:tab w:val="right" w:leader="dot" w:pos="8302"/>
            </w:tabs>
            <w:rPr>
              <w:rFonts w:eastAsiaTheme="minorEastAsia"/>
              <w:noProof/>
              <w:lang w:eastAsia="en-IN"/>
            </w:rPr>
          </w:pPr>
          <w:hyperlink w:anchor="_Toc220878897" w:history="1">
            <w:r w:rsidRPr="007D5E5D">
              <w:rPr>
                <w:rStyle w:val="Hyperlink"/>
                <w:rFonts w:ascii="Arial" w:hAnsi="Arial" w:cs="Arial"/>
                <w:b/>
                <w:bCs/>
                <w:noProof/>
              </w:rPr>
              <w:t>2.7.2 Lack of Long-Term Follow-Up</w:t>
            </w:r>
            <w:r>
              <w:rPr>
                <w:noProof/>
                <w:webHidden/>
              </w:rPr>
              <w:tab/>
            </w:r>
            <w:r>
              <w:rPr>
                <w:noProof/>
                <w:webHidden/>
              </w:rPr>
              <w:fldChar w:fldCharType="begin"/>
            </w:r>
            <w:r>
              <w:rPr>
                <w:noProof/>
                <w:webHidden/>
              </w:rPr>
              <w:instrText xml:space="preserve"> PAGEREF _Toc220878897 \h </w:instrText>
            </w:r>
            <w:r>
              <w:rPr>
                <w:noProof/>
                <w:webHidden/>
              </w:rPr>
            </w:r>
            <w:r>
              <w:rPr>
                <w:noProof/>
                <w:webHidden/>
              </w:rPr>
              <w:fldChar w:fldCharType="separate"/>
            </w:r>
            <w:r w:rsidR="00F07385">
              <w:rPr>
                <w:noProof/>
                <w:webHidden/>
              </w:rPr>
              <w:t>32</w:t>
            </w:r>
            <w:r>
              <w:rPr>
                <w:noProof/>
                <w:webHidden/>
              </w:rPr>
              <w:fldChar w:fldCharType="end"/>
            </w:r>
          </w:hyperlink>
        </w:p>
        <w:p w14:paraId="465D2589" w14:textId="37E4D428" w:rsidR="00F21EF2" w:rsidRDefault="00F21EF2">
          <w:pPr>
            <w:pStyle w:val="TOC3"/>
            <w:tabs>
              <w:tab w:val="right" w:leader="dot" w:pos="8302"/>
            </w:tabs>
            <w:rPr>
              <w:rFonts w:eastAsiaTheme="minorEastAsia"/>
              <w:noProof/>
              <w:lang w:eastAsia="en-IN"/>
            </w:rPr>
          </w:pPr>
          <w:hyperlink w:anchor="_Toc220878898" w:history="1">
            <w:r w:rsidRPr="007D5E5D">
              <w:rPr>
                <w:rStyle w:val="Hyperlink"/>
                <w:rFonts w:ascii="Arial" w:hAnsi="Arial" w:cs="Arial"/>
                <w:b/>
                <w:bCs/>
                <w:noProof/>
              </w:rPr>
              <w:t>2.7.3 Methodological Variability</w:t>
            </w:r>
            <w:r>
              <w:rPr>
                <w:noProof/>
                <w:webHidden/>
              </w:rPr>
              <w:tab/>
            </w:r>
            <w:r>
              <w:rPr>
                <w:noProof/>
                <w:webHidden/>
              </w:rPr>
              <w:fldChar w:fldCharType="begin"/>
            </w:r>
            <w:r>
              <w:rPr>
                <w:noProof/>
                <w:webHidden/>
              </w:rPr>
              <w:instrText xml:space="preserve"> PAGEREF _Toc220878898 \h </w:instrText>
            </w:r>
            <w:r>
              <w:rPr>
                <w:noProof/>
                <w:webHidden/>
              </w:rPr>
            </w:r>
            <w:r>
              <w:rPr>
                <w:noProof/>
                <w:webHidden/>
              </w:rPr>
              <w:fldChar w:fldCharType="separate"/>
            </w:r>
            <w:r w:rsidR="00F07385">
              <w:rPr>
                <w:noProof/>
                <w:webHidden/>
              </w:rPr>
              <w:t>32</w:t>
            </w:r>
            <w:r>
              <w:rPr>
                <w:noProof/>
                <w:webHidden/>
              </w:rPr>
              <w:fldChar w:fldCharType="end"/>
            </w:r>
          </w:hyperlink>
        </w:p>
        <w:p w14:paraId="7E75E3EA" w14:textId="3AAB0BC6" w:rsidR="00F21EF2" w:rsidRDefault="00F21EF2">
          <w:pPr>
            <w:pStyle w:val="TOC3"/>
            <w:tabs>
              <w:tab w:val="right" w:leader="dot" w:pos="8302"/>
            </w:tabs>
            <w:rPr>
              <w:rFonts w:eastAsiaTheme="minorEastAsia"/>
              <w:noProof/>
              <w:lang w:eastAsia="en-IN"/>
            </w:rPr>
          </w:pPr>
          <w:hyperlink w:anchor="_Toc220878899" w:history="1">
            <w:r w:rsidRPr="007D5E5D">
              <w:rPr>
                <w:rStyle w:val="Hyperlink"/>
                <w:rFonts w:ascii="Arial" w:hAnsi="Arial" w:cs="Arial"/>
                <w:b/>
                <w:bCs/>
                <w:noProof/>
              </w:rPr>
              <w:t>2.7.4 Lack of Qualitative/Psychosocial Evidence</w:t>
            </w:r>
            <w:r>
              <w:rPr>
                <w:noProof/>
                <w:webHidden/>
              </w:rPr>
              <w:tab/>
            </w:r>
            <w:r>
              <w:rPr>
                <w:noProof/>
                <w:webHidden/>
              </w:rPr>
              <w:fldChar w:fldCharType="begin"/>
            </w:r>
            <w:r>
              <w:rPr>
                <w:noProof/>
                <w:webHidden/>
              </w:rPr>
              <w:instrText xml:space="preserve"> PAGEREF _Toc220878899 \h </w:instrText>
            </w:r>
            <w:r>
              <w:rPr>
                <w:noProof/>
                <w:webHidden/>
              </w:rPr>
            </w:r>
            <w:r>
              <w:rPr>
                <w:noProof/>
                <w:webHidden/>
              </w:rPr>
              <w:fldChar w:fldCharType="separate"/>
            </w:r>
            <w:r w:rsidR="00F07385">
              <w:rPr>
                <w:noProof/>
                <w:webHidden/>
              </w:rPr>
              <w:t>32</w:t>
            </w:r>
            <w:r>
              <w:rPr>
                <w:noProof/>
                <w:webHidden/>
              </w:rPr>
              <w:fldChar w:fldCharType="end"/>
            </w:r>
          </w:hyperlink>
        </w:p>
        <w:p w14:paraId="0BB57E79" w14:textId="537525E1" w:rsidR="00F21EF2" w:rsidRDefault="00F21EF2">
          <w:pPr>
            <w:pStyle w:val="TOC3"/>
            <w:tabs>
              <w:tab w:val="right" w:leader="dot" w:pos="8302"/>
            </w:tabs>
            <w:rPr>
              <w:rFonts w:eastAsiaTheme="minorEastAsia"/>
              <w:noProof/>
              <w:lang w:eastAsia="en-IN"/>
            </w:rPr>
          </w:pPr>
          <w:hyperlink w:anchor="_Toc220878900" w:history="1">
            <w:r w:rsidRPr="007D5E5D">
              <w:rPr>
                <w:rStyle w:val="Hyperlink"/>
                <w:rFonts w:ascii="Arial" w:hAnsi="Arial" w:cs="Arial"/>
                <w:b/>
                <w:bCs/>
                <w:noProof/>
              </w:rPr>
              <w:t>2.7.5 Cost-Effectiveness Gaps</w:t>
            </w:r>
            <w:r>
              <w:rPr>
                <w:noProof/>
                <w:webHidden/>
              </w:rPr>
              <w:tab/>
            </w:r>
            <w:r>
              <w:rPr>
                <w:noProof/>
                <w:webHidden/>
              </w:rPr>
              <w:fldChar w:fldCharType="begin"/>
            </w:r>
            <w:r>
              <w:rPr>
                <w:noProof/>
                <w:webHidden/>
              </w:rPr>
              <w:instrText xml:space="preserve"> PAGEREF _Toc220878900 \h </w:instrText>
            </w:r>
            <w:r>
              <w:rPr>
                <w:noProof/>
                <w:webHidden/>
              </w:rPr>
            </w:r>
            <w:r>
              <w:rPr>
                <w:noProof/>
                <w:webHidden/>
              </w:rPr>
              <w:fldChar w:fldCharType="separate"/>
            </w:r>
            <w:r w:rsidR="00F07385">
              <w:rPr>
                <w:noProof/>
                <w:webHidden/>
              </w:rPr>
              <w:t>33</w:t>
            </w:r>
            <w:r>
              <w:rPr>
                <w:noProof/>
                <w:webHidden/>
              </w:rPr>
              <w:fldChar w:fldCharType="end"/>
            </w:r>
          </w:hyperlink>
        </w:p>
        <w:p w14:paraId="4CC1A22D" w14:textId="038B31AF" w:rsidR="00F21EF2" w:rsidRDefault="00F21EF2">
          <w:pPr>
            <w:pStyle w:val="TOC3"/>
            <w:tabs>
              <w:tab w:val="right" w:leader="dot" w:pos="8302"/>
            </w:tabs>
            <w:rPr>
              <w:rFonts w:eastAsiaTheme="minorEastAsia"/>
              <w:noProof/>
              <w:lang w:eastAsia="en-IN"/>
            </w:rPr>
          </w:pPr>
          <w:hyperlink w:anchor="_Toc220878901" w:history="1">
            <w:r w:rsidRPr="007D5E5D">
              <w:rPr>
                <w:rStyle w:val="Hyperlink"/>
                <w:rFonts w:ascii="Arial" w:hAnsi="Arial" w:cs="Arial"/>
                <w:b/>
                <w:bCs/>
                <w:noProof/>
              </w:rPr>
              <w:t>2.7.6 Inconsistent Application of Theory</w:t>
            </w:r>
            <w:r>
              <w:rPr>
                <w:noProof/>
                <w:webHidden/>
              </w:rPr>
              <w:tab/>
            </w:r>
            <w:r>
              <w:rPr>
                <w:noProof/>
                <w:webHidden/>
              </w:rPr>
              <w:fldChar w:fldCharType="begin"/>
            </w:r>
            <w:r>
              <w:rPr>
                <w:noProof/>
                <w:webHidden/>
              </w:rPr>
              <w:instrText xml:space="preserve"> PAGEREF _Toc220878901 \h </w:instrText>
            </w:r>
            <w:r>
              <w:rPr>
                <w:noProof/>
                <w:webHidden/>
              </w:rPr>
            </w:r>
            <w:r>
              <w:rPr>
                <w:noProof/>
                <w:webHidden/>
              </w:rPr>
              <w:fldChar w:fldCharType="separate"/>
            </w:r>
            <w:r w:rsidR="00F07385">
              <w:rPr>
                <w:noProof/>
                <w:webHidden/>
              </w:rPr>
              <w:t>33</w:t>
            </w:r>
            <w:r>
              <w:rPr>
                <w:noProof/>
                <w:webHidden/>
              </w:rPr>
              <w:fldChar w:fldCharType="end"/>
            </w:r>
          </w:hyperlink>
        </w:p>
        <w:p w14:paraId="3B77775B" w14:textId="5736B4A8" w:rsidR="00F21EF2" w:rsidRDefault="00F21EF2">
          <w:pPr>
            <w:pStyle w:val="TOC2"/>
            <w:tabs>
              <w:tab w:val="right" w:leader="dot" w:pos="8302"/>
            </w:tabs>
            <w:rPr>
              <w:rFonts w:eastAsiaTheme="minorEastAsia"/>
              <w:noProof/>
              <w:lang w:eastAsia="en-IN"/>
            </w:rPr>
          </w:pPr>
          <w:hyperlink w:anchor="_Toc220878902" w:history="1">
            <w:r w:rsidRPr="007D5E5D">
              <w:rPr>
                <w:rStyle w:val="Hyperlink"/>
                <w:rFonts w:ascii="Arial" w:hAnsi="Arial" w:cs="Arial"/>
                <w:b/>
                <w:bCs/>
                <w:noProof/>
              </w:rPr>
              <w:t>2.8 Summary</w:t>
            </w:r>
            <w:r>
              <w:rPr>
                <w:noProof/>
                <w:webHidden/>
              </w:rPr>
              <w:tab/>
            </w:r>
            <w:r>
              <w:rPr>
                <w:noProof/>
                <w:webHidden/>
              </w:rPr>
              <w:fldChar w:fldCharType="begin"/>
            </w:r>
            <w:r>
              <w:rPr>
                <w:noProof/>
                <w:webHidden/>
              </w:rPr>
              <w:instrText xml:space="preserve"> PAGEREF _Toc220878902 \h </w:instrText>
            </w:r>
            <w:r>
              <w:rPr>
                <w:noProof/>
                <w:webHidden/>
              </w:rPr>
            </w:r>
            <w:r>
              <w:rPr>
                <w:noProof/>
                <w:webHidden/>
              </w:rPr>
              <w:fldChar w:fldCharType="separate"/>
            </w:r>
            <w:r w:rsidR="00F07385">
              <w:rPr>
                <w:noProof/>
                <w:webHidden/>
              </w:rPr>
              <w:t>33</w:t>
            </w:r>
            <w:r>
              <w:rPr>
                <w:noProof/>
                <w:webHidden/>
              </w:rPr>
              <w:fldChar w:fldCharType="end"/>
            </w:r>
          </w:hyperlink>
        </w:p>
        <w:p w14:paraId="712AC42F" w14:textId="4671B668" w:rsidR="00F21EF2" w:rsidRDefault="00F21EF2">
          <w:pPr>
            <w:pStyle w:val="TOC2"/>
            <w:tabs>
              <w:tab w:val="right" w:leader="dot" w:pos="8302"/>
            </w:tabs>
            <w:rPr>
              <w:rFonts w:eastAsiaTheme="minorEastAsia"/>
              <w:noProof/>
              <w:lang w:eastAsia="en-IN"/>
            </w:rPr>
          </w:pPr>
          <w:hyperlink w:anchor="_Toc220878903" w:history="1">
            <w:r w:rsidRPr="007D5E5D">
              <w:rPr>
                <w:rStyle w:val="Hyperlink"/>
                <w:rFonts w:ascii="Arial" w:hAnsi="Arial" w:cs="Arial"/>
                <w:b/>
                <w:bCs/>
                <w:noProof/>
              </w:rPr>
              <w:t>2.9 Synthesis of Literature and Conceptual Framework</w:t>
            </w:r>
            <w:r>
              <w:rPr>
                <w:noProof/>
                <w:webHidden/>
              </w:rPr>
              <w:tab/>
            </w:r>
            <w:r>
              <w:rPr>
                <w:noProof/>
                <w:webHidden/>
              </w:rPr>
              <w:fldChar w:fldCharType="begin"/>
            </w:r>
            <w:r>
              <w:rPr>
                <w:noProof/>
                <w:webHidden/>
              </w:rPr>
              <w:instrText xml:space="preserve"> PAGEREF _Toc220878903 \h </w:instrText>
            </w:r>
            <w:r>
              <w:rPr>
                <w:noProof/>
                <w:webHidden/>
              </w:rPr>
            </w:r>
            <w:r>
              <w:rPr>
                <w:noProof/>
                <w:webHidden/>
              </w:rPr>
              <w:fldChar w:fldCharType="separate"/>
            </w:r>
            <w:r w:rsidR="00F07385">
              <w:rPr>
                <w:noProof/>
                <w:webHidden/>
              </w:rPr>
              <w:t>34</w:t>
            </w:r>
            <w:r>
              <w:rPr>
                <w:noProof/>
                <w:webHidden/>
              </w:rPr>
              <w:fldChar w:fldCharType="end"/>
            </w:r>
          </w:hyperlink>
        </w:p>
        <w:p w14:paraId="10B52F05" w14:textId="3A3F96EF" w:rsidR="00F21EF2" w:rsidRDefault="00F21EF2">
          <w:pPr>
            <w:pStyle w:val="TOC1"/>
            <w:tabs>
              <w:tab w:val="right" w:leader="dot" w:pos="8302"/>
            </w:tabs>
            <w:rPr>
              <w:rFonts w:eastAsiaTheme="minorEastAsia"/>
              <w:noProof/>
              <w:lang w:eastAsia="en-IN"/>
            </w:rPr>
          </w:pPr>
          <w:hyperlink w:anchor="_Toc220878904" w:history="1">
            <w:r w:rsidRPr="007D5E5D">
              <w:rPr>
                <w:rStyle w:val="Hyperlink"/>
                <w:rFonts w:ascii="Arial" w:hAnsi="Arial" w:cs="Arial"/>
                <w:b/>
                <w:bCs/>
                <w:noProof/>
              </w:rPr>
              <w:t>Chapter 3: Methodology</w:t>
            </w:r>
            <w:r>
              <w:rPr>
                <w:noProof/>
                <w:webHidden/>
              </w:rPr>
              <w:tab/>
            </w:r>
            <w:r>
              <w:rPr>
                <w:noProof/>
                <w:webHidden/>
              </w:rPr>
              <w:fldChar w:fldCharType="begin"/>
            </w:r>
            <w:r>
              <w:rPr>
                <w:noProof/>
                <w:webHidden/>
              </w:rPr>
              <w:instrText xml:space="preserve"> PAGEREF _Toc220878904 \h </w:instrText>
            </w:r>
            <w:r>
              <w:rPr>
                <w:noProof/>
                <w:webHidden/>
              </w:rPr>
            </w:r>
            <w:r>
              <w:rPr>
                <w:noProof/>
                <w:webHidden/>
              </w:rPr>
              <w:fldChar w:fldCharType="separate"/>
            </w:r>
            <w:r w:rsidR="00F07385">
              <w:rPr>
                <w:noProof/>
                <w:webHidden/>
              </w:rPr>
              <w:t>35</w:t>
            </w:r>
            <w:r>
              <w:rPr>
                <w:noProof/>
                <w:webHidden/>
              </w:rPr>
              <w:fldChar w:fldCharType="end"/>
            </w:r>
          </w:hyperlink>
        </w:p>
        <w:p w14:paraId="11D994AE" w14:textId="4B566377" w:rsidR="00F21EF2" w:rsidRDefault="00F21EF2">
          <w:pPr>
            <w:pStyle w:val="TOC2"/>
            <w:tabs>
              <w:tab w:val="right" w:leader="dot" w:pos="8302"/>
            </w:tabs>
            <w:rPr>
              <w:rFonts w:eastAsiaTheme="minorEastAsia"/>
              <w:noProof/>
              <w:lang w:eastAsia="en-IN"/>
            </w:rPr>
          </w:pPr>
          <w:hyperlink w:anchor="_Toc220878905" w:history="1">
            <w:r w:rsidRPr="007D5E5D">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_Toc220878905 \h </w:instrText>
            </w:r>
            <w:r>
              <w:rPr>
                <w:noProof/>
                <w:webHidden/>
              </w:rPr>
            </w:r>
            <w:r>
              <w:rPr>
                <w:noProof/>
                <w:webHidden/>
              </w:rPr>
              <w:fldChar w:fldCharType="separate"/>
            </w:r>
            <w:r w:rsidR="00F07385">
              <w:rPr>
                <w:noProof/>
                <w:webHidden/>
              </w:rPr>
              <w:t>35</w:t>
            </w:r>
            <w:r>
              <w:rPr>
                <w:noProof/>
                <w:webHidden/>
              </w:rPr>
              <w:fldChar w:fldCharType="end"/>
            </w:r>
          </w:hyperlink>
        </w:p>
        <w:p w14:paraId="6329A416" w14:textId="4FDFFDC7" w:rsidR="00F21EF2" w:rsidRDefault="00F21EF2">
          <w:pPr>
            <w:pStyle w:val="TOC2"/>
            <w:tabs>
              <w:tab w:val="right" w:leader="dot" w:pos="8302"/>
            </w:tabs>
            <w:rPr>
              <w:rFonts w:eastAsiaTheme="minorEastAsia"/>
              <w:noProof/>
              <w:lang w:eastAsia="en-IN"/>
            </w:rPr>
          </w:pPr>
          <w:hyperlink w:anchor="_Toc220878906" w:history="1">
            <w:r w:rsidRPr="007D5E5D">
              <w:rPr>
                <w:rStyle w:val="Hyperlink"/>
                <w:rFonts w:ascii="Arial" w:hAnsi="Arial" w:cs="Arial"/>
                <w:b/>
                <w:bCs/>
                <w:noProof/>
              </w:rPr>
              <w:t>3.2 Research Design</w:t>
            </w:r>
            <w:r>
              <w:rPr>
                <w:noProof/>
                <w:webHidden/>
              </w:rPr>
              <w:tab/>
            </w:r>
            <w:r>
              <w:rPr>
                <w:noProof/>
                <w:webHidden/>
              </w:rPr>
              <w:fldChar w:fldCharType="begin"/>
            </w:r>
            <w:r>
              <w:rPr>
                <w:noProof/>
                <w:webHidden/>
              </w:rPr>
              <w:instrText xml:space="preserve"> PAGEREF _Toc220878906 \h </w:instrText>
            </w:r>
            <w:r>
              <w:rPr>
                <w:noProof/>
                <w:webHidden/>
              </w:rPr>
            </w:r>
            <w:r>
              <w:rPr>
                <w:noProof/>
                <w:webHidden/>
              </w:rPr>
              <w:fldChar w:fldCharType="separate"/>
            </w:r>
            <w:r w:rsidR="00F07385">
              <w:rPr>
                <w:noProof/>
                <w:webHidden/>
              </w:rPr>
              <w:t>36</w:t>
            </w:r>
            <w:r>
              <w:rPr>
                <w:noProof/>
                <w:webHidden/>
              </w:rPr>
              <w:fldChar w:fldCharType="end"/>
            </w:r>
          </w:hyperlink>
        </w:p>
        <w:p w14:paraId="4F88C7C4" w14:textId="26D809FE" w:rsidR="00F21EF2" w:rsidRDefault="00F21EF2">
          <w:pPr>
            <w:pStyle w:val="TOC2"/>
            <w:tabs>
              <w:tab w:val="right" w:leader="dot" w:pos="8302"/>
            </w:tabs>
            <w:rPr>
              <w:rFonts w:eastAsiaTheme="minorEastAsia"/>
              <w:noProof/>
              <w:lang w:eastAsia="en-IN"/>
            </w:rPr>
          </w:pPr>
          <w:hyperlink w:anchor="_Toc220878907" w:history="1">
            <w:r w:rsidRPr="007D5E5D">
              <w:rPr>
                <w:rStyle w:val="Hyperlink"/>
                <w:rFonts w:ascii="Arial" w:hAnsi="Arial" w:cs="Arial"/>
                <w:b/>
                <w:bCs/>
                <w:noProof/>
              </w:rPr>
              <w:t>3.3 Research Paradigm</w:t>
            </w:r>
            <w:r>
              <w:rPr>
                <w:noProof/>
                <w:webHidden/>
              </w:rPr>
              <w:tab/>
            </w:r>
            <w:r>
              <w:rPr>
                <w:noProof/>
                <w:webHidden/>
              </w:rPr>
              <w:fldChar w:fldCharType="begin"/>
            </w:r>
            <w:r>
              <w:rPr>
                <w:noProof/>
                <w:webHidden/>
              </w:rPr>
              <w:instrText xml:space="preserve"> PAGEREF _Toc220878907 \h </w:instrText>
            </w:r>
            <w:r>
              <w:rPr>
                <w:noProof/>
                <w:webHidden/>
              </w:rPr>
            </w:r>
            <w:r>
              <w:rPr>
                <w:noProof/>
                <w:webHidden/>
              </w:rPr>
              <w:fldChar w:fldCharType="separate"/>
            </w:r>
            <w:r w:rsidR="00F07385">
              <w:rPr>
                <w:noProof/>
                <w:webHidden/>
              </w:rPr>
              <w:t>37</w:t>
            </w:r>
            <w:r>
              <w:rPr>
                <w:noProof/>
                <w:webHidden/>
              </w:rPr>
              <w:fldChar w:fldCharType="end"/>
            </w:r>
          </w:hyperlink>
        </w:p>
        <w:p w14:paraId="4D6499FF" w14:textId="3B8E36E3" w:rsidR="00F21EF2" w:rsidRDefault="00F21EF2">
          <w:pPr>
            <w:pStyle w:val="TOC2"/>
            <w:tabs>
              <w:tab w:val="right" w:leader="dot" w:pos="8302"/>
            </w:tabs>
            <w:rPr>
              <w:rFonts w:eastAsiaTheme="minorEastAsia"/>
              <w:noProof/>
              <w:lang w:eastAsia="en-IN"/>
            </w:rPr>
          </w:pPr>
          <w:hyperlink w:anchor="_Toc220878908" w:history="1">
            <w:r w:rsidRPr="007D5E5D">
              <w:rPr>
                <w:rStyle w:val="Hyperlink"/>
                <w:rFonts w:ascii="Arial" w:hAnsi="Arial" w:cs="Arial"/>
                <w:b/>
                <w:bCs/>
                <w:noProof/>
              </w:rPr>
              <w:t>3.4 Research Questions and Objectives</w:t>
            </w:r>
            <w:r>
              <w:rPr>
                <w:noProof/>
                <w:webHidden/>
              </w:rPr>
              <w:tab/>
            </w:r>
            <w:r>
              <w:rPr>
                <w:noProof/>
                <w:webHidden/>
              </w:rPr>
              <w:fldChar w:fldCharType="begin"/>
            </w:r>
            <w:r>
              <w:rPr>
                <w:noProof/>
                <w:webHidden/>
              </w:rPr>
              <w:instrText xml:space="preserve"> PAGEREF _Toc220878908 \h </w:instrText>
            </w:r>
            <w:r>
              <w:rPr>
                <w:noProof/>
                <w:webHidden/>
              </w:rPr>
            </w:r>
            <w:r>
              <w:rPr>
                <w:noProof/>
                <w:webHidden/>
              </w:rPr>
              <w:fldChar w:fldCharType="separate"/>
            </w:r>
            <w:r w:rsidR="00F07385">
              <w:rPr>
                <w:noProof/>
                <w:webHidden/>
              </w:rPr>
              <w:t>38</w:t>
            </w:r>
            <w:r>
              <w:rPr>
                <w:noProof/>
                <w:webHidden/>
              </w:rPr>
              <w:fldChar w:fldCharType="end"/>
            </w:r>
          </w:hyperlink>
        </w:p>
        <w:p w14:paraId="2774A5C7" w14:textId="7A0414BB" w:rsidR="00F21EF2" w:rsidRDefault="00F21EF2">
          <w:pPr>
            <w:pStyle w:val="TOC2"/>
            <w:tabs>
              <w:tab w:val="right" w:leader="dot" w:pos="8302"/>
            </w:tabs>
            <w:rPr>
              <w:rFonts w:eastAsiaTheme="minorEastAsia"/>
              <w:noProof/>
              <w:lang w:eastAsia="en-IN"/>
            </w:rPr>
          </w:pPr>
          <w:hyperlink w:anchor="_Toc220878909" w:history="1">
            <w:r w:rsidRPr="007D5E5D">
              <w:rPr>
                <w:rStyle w:val="Hyperlink"/>
                <w:rFonts w:ascii="Arial" w:hAnsi="Arial" w:cs="Arial"/>
                <w:b/>
                <w:bCs/>
                <w:noProof/>
              </w:rPr>
              <w:t>3.5 Search Strategy</w:t>
            </w:r>
            <w:r>
              <w:rPr>
                <w:noProof/>
                <w:webHidden/>
              </w:rPr>
              <w:tab/>
            </w:r>
            <w:r>
              <w:rPr>
                <w:noProof/>
                <w:webHidden/>
              </w:rPr>
              <w:fldChar w:fldCharType="begin"/>
            </w:r>
            <w:r>
              <w:rPr>
                <w:noProof/>
                <w:webHidden/>
              </w:rPr>
              <w:instrText xml:space="preserve"> PAGEREF _Toc220878909 \h </w:instrText>
            </w:r>
            <w:r>
              <w:rPr>
                <w:noProof/>
                <w:webHidden/>
              </w:rPr>
            </w:r>
            <w:r>
              <w:rPr>
                <w:noProof/>
                <w:webHidden/>
              </w:rPr>
              <w:fldChar w:fldCharType="separate"/>
            </w:r>
            <w:r w:rsidR="00F07385">
              <w:rPr>
                <w:noProof/>
                <w:webHidden/>
              </w:rPr>
              <w:t>38</w:t>
            </w:r>
            <w:r>
              <w:rPr>
                <w:noProof/>
                <w:webHidden/>
              </w:rPr>
              <w:fldChar w:fldCharType="end"/>
            </w:r>
          </w:hyperlink>
        </w:p>
        <w:p w14:paraId="41088A7A" w14:textId="49624EA8" w:rsidR="00F21EF2" w:rsidRDefault="00F21EF2">
          <w:pPr>
            <w:pStyle w:val="TOC2"/>
            <w:tabs>
              <w:tab w:val="right" w:leader="dot" w:pos="8302"/>
            </w:tabs>
            <w:rPr>
              <w:rFonts w:eastAsiaTheme="minorEastAsia"/>
              <w:noProof/>
              <w:lang w:eastAsia="en-IN"/>
            </w:rPr>
          </w:pPr>
          <w:hyperlink w:anchor="_Toc220878910" w:history="1">
            <w:r w:rsidRPr="007D5E5D">
              <w:rPr>
                <w:rStyle w:val="Hyperlink"/>
                <w:rFonts w:ascii="Arial" w:hAnsi="Arial" w:cs="Arial"/>
                <w:b/>
                <w:bCs/>
                <w:noProof/>
              </w:rPr>
              <w:t>3.6 Inclusion and Exclusion Criteria</w:t>
            </w:r>
            <w:r>
              <w:rPr>
                <w:noProof/>
                <w:webHidden/>
              </w:rPr>
              <w:tab/>
            </w:r>
            <w:r>
              <w:rPr>
                <w:noProof/>
                <w:webHidden/>
              </w:rPr>
              <w:fldChar w:fldCharType="begin"/>
            </w:r>
            <w:r>
              <w:rPr>
                <w:noProof/>
                <w:webHidden/>
              </w:rPr>
              <w:instrText xml:space="preserve"> PAGEREF _Toc220878910 \h </w:instrText>
            </w:r>
            <w:r>
              <w:rPr>
                <w:noProof/>
                <w:webHidden/>
              </w:rPr>
            </w:r>
            <w:r>
              <w:rPr>
                <w:noProof/>
                <w:webHidden/>
              </w:rPr>
              <w:fldChar w:fldCharType="separate"/>
            </w:r>
            <w:r w:rsidR="00F07385">
              <w:rPr>
                <w:noProof/>
                <w:webHidden/>
              </w:rPr>
              <w:t>40</w:t>
            </w:r>
            <w:r>
              <w:rPr>
                <w:noProof/>
                <w:webHidden/>
              </w:rPr>
              <w:fldChar w:fldCharType="end"/>
            </w:r>
          </w:hyperlink>
        </w:p>
        <w:p w14:paraId="7FB53339" w14:textId="7E4923F8" w:rsidR="00F21EF2" w:rsidRDefault="00F21EF2">
          <w:pPr>
            <w:pStyle w:val="TOC2"/>
            <w:tabs>
              <w:tab w:val="right" w:leader="dot" w:pos="8302"/>
            </w:tabs>
            <w:rPr>
              <w:rFonts w:eastAsiaTheme="minorEastAsia"/>
              <w:noProof/>
              <w:lang w:eastAsia="en-IN"/>
            </w:rPr>
          </w:pPr>
          <w:hyperlink w:anchor="_Toc220878911" w:history="1">
            <w:r w:rsidRPr="007D5E5D">
              <w:rPr>
                <w:rStyle w:val="Hyperlink"/>
                <w:rFonts w:ascii="Arial" w:hAnsi="Arial" w:cs="Arial"/>
                <w:b/>
                <w:bCs/>
                <w:noProof/>
              </w:rPr>
              <w:t>3.7 Study Selection and PRISMA Flow Narrative</w:t>
            </w:r>
            <w:r>
              <w:rPr>
                <w:noProof/>
                <w:webHidden/>
              </w:rPr>
              <w:tab/>
            </w:r>
            <w:r>
              <w:rPr>
                <w:noProof/>
                <w:webHidden/>
              </w:rPr>
              <w:fldChar w:fldCharType="begin"/>
            </w:r>
            <w:r>
              <w:rPr>
                <w:noProof/>
                <w:webHidden/>
              </w:rPr>
              <w:instrText xml:space="preserve"> PAGEREF _Toc220878911 \h </w:instrText>
            </w:r>
            <w:r>
              <w:rPr>
                <w:noProof/>
                <w:webHidden/>
              </w:rPr>
            </w:r>
            <w:r>
              <w:rPr>
                <w:noProof/>
                <w:webHidden/>
              </w:rPr>
              <w:fldChar w:fldCharType="separate"/>
            </w:r>
            <w:r w:rsidR="00F07385">
              <w:rPr>
                <w:noProof/>
                <w:webHidden/>
              </w:rPr>
              <w:t>41</w:t>
            </w:r>
            <w:r>
              <w:rPr>
                <w:noProof/>
                <w:webHidden/>
              </w:rPr>
              <w:fldChar w:fldCharType="end"/>
            </w:r>
          </w:hyperlink>
        </w:p>
        <w:p w14:paraId="657B07CB" w14:textId="2FD42953" w:rsidR="00F21EF2" w:rsidRDefault="00F21EF2">
          <w:pPr>
            <w:pStyle w:val="TOC2"/>
            <w:tabs>
              <w:tab w:val="right" w:leader="dot" w:pos="8302"/>
            </w:tabs>
            <w:rPr>
              <w:rFonts w:eastAsiaTheme="minorEastAsia"/>
              <w:noProof/>
              <w:lang w:eastAsia="en-IN"/>
            </w:rPr>
          </w:pPr>
          <w:hyperlink w:anchor="_Toc220878912" w:history="1">
            <w:r w:rsidRPr="007D5E5D">
              <w:rPr>
                <w:rStyle w:val="Hyperlink"/>
                <w:rFonts w:ascii="Arial" w:hAnsi="Arial" w:cs="Arial"/>
                <w:b/>
                <w:bCs/>
                <w:noProof/>
              </w:rPr>
              <w:t>3.8 Data Extraction</w:t>
            </w:r>
            <w:r>
              <w:rPr>
                <w:noProof/>
                <w:webHidden/>
              </w:rPr>
              <w:tab/>
            </w:r>
            <w:r>
              <w:rPr>
                <w:noProof/>
                <w:webHidden/>
              </w:rPr>
              <w:fldChar w:fldCharType="begin"/>
            </w:r>
            <w:r>
              <w:rPr>
                <w:noProof/>
                <w:webHidden/>
              </w:rPr>
              <w:instrText xml:space="preserve"> PAGEREF _Toc220878912 \h </w:instrText>
            </w:r>
            <w:r>
              <w:rPr>
                <w:noProof/>
                <w:webHidden/>
              </w:rPr>
            </w:r>
            <w:r>
              <w:rPr>
                <w:noProof/>
                <w:webHidden/>
              </w:rPr>
              <w:fldChar w:fldCharType="separate"/>
            </w:r>
            <w:r w:rsidR="00F07385">
              <w:rPr>
                <w:noProof/>
                <w:webHidden/>
              </w:rPr>
              <w:t>43</w:t>
            </w:r>
            <w:r>
              <w:rPr>
                <w:noProof/>
                <w:webHidden/>
              </w:rPr>
              <w:fldChar w:fldCharType="end"/>
            </w:r>
          </w:hyperlink>
        </w:p>
        <w:p w14:paraId="3BE6DAC7" w14:textId="776B61F9" w:rsidR="00F21EF2" w:rsidRDefault="00F21EF2">
          <w:pPr>
            <w:pStyle w:val="TOC2"/>
            <w:tabs>
              <w:tab w:val="right" w:leader="dot" w:pos="8302"/>
            </w:tabs>
            <w:rPr>
              <w:rFonts w:eastAsiaTheme="minorEastAsia"/>
              <w:noProof/>
              <w:lang w:eastAsia="en-IN"/>
            </w:rPr>
          </w:pPr>
          <w:hyperlink w:anchor="_Toc220878913" w:history="1">
            <w:r w:rsidRPr="007D5E5D">
              <w:rPr>
                <w:rStyle w:val="Hyperlink"/>
                <w:rFonts w:ascii="Arial" w:hAnsi="Arial" w:cs="Arial"/>
                <w:b/>
                <w:bCs/>
                <w:noProof/>
              </w:rPr>
              <w:t>3.9 Quality Appraisal</w:t>
            </w:r>
            <w:r>
              <w:rPr>
                <w:noProof/>
                <w:webHidden/>
              </w:rPr>
              <w:tab/>
            </w:r>
            <w:r>
              <w:rPr>
                <w:noProof/>
                <w:webHidden/>
              </w:rPr>
              <w:fldChar w:fldCharType="begin"/>
            </w:r>
            <w:r>
              <w:rPr>
                <w:noProof/>
                <w:webHidden/>
              </w:rPr>
              <w:instrText xml:space="preserve"> PAGEREF _Toc220878913 \h </w:instrText>
            </w:r>
            <w:r>
              <w:rPr>
                <w:noProof/>
                <w:webHidden/>
              </w:rPr>
            </w:r>
            <w:r>
              <w:rPr>
                <w:noProof/>
                <w:webHidden/>
              </w:rPr>
              <w:fldChar w:fldCharType="separate"/>
            </w:r>
            <w:r w:rsidR="00F07385">
              <w:rPr>
                <w:noProof/>
                <w:webHidden/>
              </w:rPr>
              <w:t>43</w:t>
            </w:r>
            <w:r>
              <w:rPr>
                <w:noProof/>
                <w:webHidden/>
              </w:rPr>
              <w:fldChar w:fldCharType="end"/>
            </w:r>
          </w:hyperlink>
        </w:p>
        <w:p w14:paraId="2263CA94" w14:textId="5CA9A49B" w:rsidR="00F21EF2" w:rsidRDefault="00F21EF2">
          <w:pPr>
            <w:pStyle w:val="TOC2"/>
            <w:tabs>
              <w:tab w:val="right" w:leader="dot" w:pos="8302"/>
            </w:tabs>
            <w:rPr>
              <w:rFonts w:eastAsiaTheme="minorEastAsia"/>
              <w:noProof/>
              <w:lang w:eastAsia="en-IN"/>
            </w:rPr>
          </w:pPr>
          <w:hyperlink w:anchor="_Toc220878914" w:history="1">
            <w:r w:rsidRPr="007D5E5D">
              <w:rPr>
                <w:rStyle w:val="Hyperlink"/>
                <w:rFonts w:ascii="Arial" w:hAnsi="Arial" w:cs="Arial"/>
                <w:b/>
                <w:bCs/>
                <w:noProof/>
              </w:rPr>
              <w:t>3.10 Data Synthesis</w:t>
            </w:r>
            <w:r>
              <w:rPr>
                <w:noProof/>
                <w:webHidden/>
              </w:rPr>
              <w:tab/>
            </w:r>
            <w:r>
              <w:rPr>
                <w:noProof/>
                <w:webHidden/>
              </w:rPr>
              <w:fldChar w:fldCharType="begin"/>
            </w:r>
            <w:r>
              <w:rPr>
                <w:noProof/>
                <w:webHidden/>
              </w:rPr>
              <w:instrText xml:space="preserve"> PAGEREF _Toc220878914 \h </w:instrText>
            </w:r>
            <w:r>
              <w:rPr>
                <w:noProof/>
                <w:webHidden/>
              </w:rPr>
            </w:r>
            <w:r>
              <w:rPr>
                <w:noProof/>
                <w:webHidden/>
              </w:rPr>
              <w:fldChar w:fldCharType="separate"/>
            </w:r>
            <w:r w:rsidR="00F07385">
              <w:rPr>
                <w:noProof/>
                <w:webHidden/>
              </w:rPr>
              <w:t>44</w:t>
            </w:r>
            <w:r>
              <w:rPr>
                <w:noProof/>
                <w:webHidden/>
              </w:rPr>
              <w:fldChar w:fldCharType="end"/>
            </w:r>
          </w:hyperlink>
        </w:p>
        <w:p w14:paraId="695F51C6" w14:textId="308AA786" w:rsidR="00F21EF2" w:rsidRDefault="00F21EF2">
          <w:pPr>
            <w:pStyle w:val="TOC2"/>
            <w:tabs>
              <w:tab w:val="right" w:leader="dot" w:pos="8302"/>
            </w:tabs>
            <w:rPr>
              <w:rFonts w:eastAsiaTheme="minorEastAsia"/>
              <w:noProof/>
              <w:lang w:eastAsia="en-IN"/>
            </w:rPr>
          </w:pPr>
          <w:hyperlink w:anchor="_Toc220878915" w:history="1">
            <w:r w:rsidRPr="007D5E5D">
              <w:rPr>
                <w:rStyle w:val="Hyperlink"/>
                <w:rFonts w:ascii="Arial" w:hAnsi="Arial" w:cs="Arial"/>
                <w:b/>
                <w:bCs/>
                <w:noProof/>
              </w:rPr>
              <w:t>3.11 Ethical Considerations</w:t>
            </w:r>
            <w:r>
              <w:rPr>
                <w:noProof/>
                <w:webHidden/>
              </w:rPr>
              <w:tab/>
            </w:r>
            <w:r>
              <w:rPr>
                <w:noProof/>
                <w:webHidden/>
              </w:rPr>
              <w:fldChar w:fldCharType="begin"/>
            </w:r>
            <w:r>
              <w:rPr>
                <w:noProof/>
                <w:webHidden/>
              </w:rPr>
              <w:instrText xml:space="preserve"> PAGEREF _Toc220878915 \h </w:instrText>
            </w:r>
            <w:r>
              <w:rPr>
                <w:noProof/>
                <w:webHidden/>
              </w:rPr>
            </w:r>
            <w:r>
              <w:rPr>
                <w:noProof/>
                <w:webHidden/>
              </w:rPr>
              <w:fldChar w:fldCharType="separate"/>
            </w:r>
            <w:r w:rsidR="00F07385">
              <w:rPr>
                <w:noProof/>
                <w:webHidden/>
              </w:rPr>
              <w:t>45</w:t>
            </w:r>
            <w:r>
              <w:rPr>
                <w:noProof/>
                <w:webHidden/>
              </w:rPr>
              <w:fldChar w:fldCharType="end"/>
            </w:r>
          </w:hyperlink>
        </w:p>
        <w:p w14:paraId="08D11A1C" w14:textId="6D4B4CB5" w:rsidR="00F21EF2" w:rsidRDefault="00F21EF2">
          <w:pPr>
            <w:pStyle w:val="TOC2"/>
            <w:tabs>
              <w:tab w:val="right" w:leader="dot" w:pos="8302"/>
            </w:tabs>
            <w:rPr>
              <w:rFonts w:eastAsiaTheme="minorEastAsia"/>
              <w:noProof/>
              <w:lang w:eastAsia="en-IN"/>
            </w:rPr>
          </w:pPr>
          <w:hyperlink w:anchor="_Toc220878916" w:history="1">
            <w:r w:rsidRPr="007D5E5D">
              <w:rPr>
                <w:rStyle w:val="Hyperlink"/>
                <w:rFonts w:ascii="Arial" w:hAnsi="Arial" w:cs="Arial"/>
                <w:b/>
                <w:bCs/>
                <w:noProof/>
              </w:rPr>
              <w:t>3.12 Patient and Public Involvement Considerations</w:t>
            </w:r>
            <w:r>
              <w:rPr>
                <w:noProof/>
                <w:webHidden/>
              </w:rPr>
              <w:tab/>
            </w:r>
            <w:r>
              <w:rPr>
                <w:noProof/>
                <w:webHidden/>
              </w:rPr>
              <w:fldChar w:fldCharType="begin"/>
            </w:r>
            <w:r>
              <w:rPr>
                <w:noProof/>
                <w:webHidden/>
              </w:rPr>
              <w:instrText xml:space="preserve"> PAGEREF _Toc220878916 \h </w:instrText>
            </w:r>
            <w:r>
              <w:rPr>
                <w:noProof/>
                <w:webHidden/>
              </w:rPr>
            </w:r>
            <w:r>
              <w:rPr>
                <w:noProof/>
                <w:webHidden/>
              </w:rPr>
              <w:fldChar w:fldCharType="separate"/>
            </w:r>
            <w:r w:rsidR="00F07385">
              <w:rPr>
                <w:noProof/>
                <w:webHidden/>
              </w:rPr>
              <w:t>45</w:t>
            </w:r>
            <w:r>
              <w:rPr>
                <w:noProof/>
                <w:webHidden/>
              </w:rPr>
              <w:fldChar w:fldCharType="end"/>
            </w:r>
          </w:hyperlink>
        </w:p>
        <w:p w14:paraId="58E35D57" w14:textId="09403041" w:rsidR="00F21EF2" w:rsidRDefault="00F21EF2">
          <w:pPr>
            <w:pStyle w:val="TOC1"/>
            <w:tabs>
              <w:tab w:val="right" w:leader="dot" w:pos="8302"/>
            </w:tabs>
            <w:rPr>
              <w:rFonts w:eastAsiaTheme="minorEastAsia"/>
              <w:noProof/>
              <w:lang w:eastAsia="en-IN"/>
            </w:rPr>
          </w:pPr>
          <w:hyperlink w:anchor="_Toc220878917" w:history="1">
            <w:r w:rsidRPr="007D5E5D">
              <w:rPr>
                <w:rStyle w:val="Hyperlink"/>
                <w:rFonts w:ascii="Arial" w:hAnsi="Arial" w:cs="Arial"/>
                <w:b/>
                <w:bCs/>
                <w:noProof/>
              </w:rPr>
              <w:t>Chapter 4: Results</w:t>
            </w:r>
            <w:r>
              <w:rPr>
                <w:noProof/>
                <w:webHidden/>
              </w:rPr>
              <w:tab/>
            </w:r>
            <w:r>
              <w:rPr>
                <w:noProof/>
                <w:webHidden/>
              </w:rPr>
              <w:fldChar w:fldCharType="begin"/>
            </w:r>
            <w:r>
              <w:rPr>
                <w:noProof/>
                <w:webHidden/>
              </w:rPr>
              <w:instrText xml:space="preserve"> PAGEREF _Toc220878917 \h </w:instrText>
            </w:r>
            <w:r>
              <w:rPr>
                <w:noProof/>
                <w:webHidden/>
              </w:rPr>
            </w:r>
            <w:r>
              <w:rPr>
                <w:noProof/>
                <w:webHidden/>
              </w:rPr>
              <w:fldChar w:fldCharType="separate"/>
            </w:r>
            <w:r w:rsidR="00F07385">
              <w:rPr>
                <w:noProof/>
                <w:webHidden/>
              </w:rPr>
              <w:t>47</w:t>
            </w:r>
            <w:r>
              <w:rPr>
                <w:noProof/>
                <w:webHidden/>
              </w:rPr>
              <w:fldChar w:fldCharType="end"/>
            </w:r>
          </w:hyperlink>
        </w:p>
        <w:p w14:paraId="2580C326" w14:textId="3D7CC4E8" w:rsidR="00F21EF2" w:rsidRDefault="00F21EF2">
          <w:pPr>
            <w:pStyle w:val="TOC2"/>
            <w:tabs>
              <w:tab w:val="right" w:leader="dot" w:pos="8302"/>
            </w:tabs>
            <w:rPr>
              <w:rFonts w:eastAsiaTheme="minorEastAsia"/>
              <w:noProof/>
              <w:lang w:eastAsia="en-IN"/>
            </w:rPr>
          </w:pPr>
          <w:hyperlink w:anchor="_Toc220878918" w:history="1">
            <w:r w:rsidRPr="007D5E5D">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_Toc220878918 \h </w:instrText>
            </w:r>
            <w:r>
              <w:rPr>
                <w:noProof/>
                <w:webHidden/>
              </w:rPr>
            </w:r>
            <w:r>
              <w:rPr>
                <w:noProof/>
                <w:webHidden/>
              </w:rPr>
              <w:fldChar w:fldCharType="separate"/>
            </w:r>
            <w:r w:rsidR="00F07385">
              <w:rPr>
                <w:noProof/>
                <w:webHidden/>
              </w:rPr>
              <w:t>47</w:t>
            </w:r>
            <w:r>
              <w:rPr>
                <w:noProof/>
                <w:webHidden/>
              </w:rPr>
              <w:fldChar w:fldCharType="end"/>
            </w:r>
          </w:hyperlink>
        </w:p>
        <w:p w14:paraId="57CB5BE6" w14:textId="2DB232F8" w:rsidR="00F21EF2" w:rsidRDefault="00F21EF2">
          <w:pPr>
            <w:pStyle w:val="TOC2"/>
            <w:tabs>
              <w:tab w:val="right" w:leader="dot" w:pos="8302"/>
            </w:tabs>
            <w:rPr>
              <w:rFonts w:eastAsiaTheme="minorEastAsia"/>
              <w:noProof/>
              <w:lang w:eastAsia="en-IN"/>
            </w:rPr>
          </w:pPr>
          <w:hyperlink w:anchor="_Toc220878919" w:history="1">
            <w:r w:rsidRPr="007D5E5D">
              <w:rPr>
                <w:rStyle w:val="Hyperlink"/>
                <w:rFonts w:ascii="Arial" w:hAnsi="Arial" w:cs="Arial"/>
                <w:b/>
                <w:bCs/>
                <w:noProof/>
              </w:rPr>
              <w:t>4.2 Systematic Search of Databases</w:t>
            </w:r>
            <w:r>
              <w:rPr>
                <w:noProof/>
                <w:webHidden/>
              </w:rPr>
              <w:tab/>
            </w:r>
            <w:r>
              <w:rPr>
                <w:noProof/>
                <w:webHidden/>
              </w:rPr>
              <w:fldChar w:fldCharType="begin"/>
            </w:r>
            <w:r>
              <w:rPr>
                <w:noProof/>
                <w:webHidden/>
              </w:rPr>
              <w:instrText xml:space="preserve"> PAGEREF _Toc220878919 \h </w:instrText>
            </w:r>
            <w:r>
              <w:rPr>
                <w:noProof/>
                <w:webHidden/>
              </w:rPr>
            </w:r>
            <w:r>
              <w:rPr>
                <w:noProof/>
                <w:webHidden/>
              </w:rPr>
              <w:fldChar w:fldCharType="separate"/>
            </w:r>
            <w:r w:rsidR="00F07385">
              <w:rPr>
                <w:noProof/>
                <w:webHidden/>
              </w:rPr>
              <w:t>47</w:t>
            </w:r>
            <w:r>
              <w:rPr>
                <w:noProof/>
                <w:webHidden/>
              </w:rPr>
              <w:fldChar w:fldCharType="end"/>
            </w:r>
          </w:hyperlink>
        </w:p>
        <w:p w14:paraId="2F917141" w14:textId="232023D9" w:rsidR="00F21EF2" w:rsidRDefault="00F21EF2">
          <w:pPr>
            <w:pStyle w:val="TOC2"/>
            <w:tabs>
              <w:tab w:val="right" w:leader="dot" w:pos="8302"/>
            </w:tabs>
            <w:rPr>
              <w:rFonts w:eastAsiaTheme="minorEastAsia"/>
              <w:noProof/>
              <w:lang w:eastAsia="en-IN"/>
            </w:rPr>
          </w:pPr>
          <w:hyperlink w:anchor="_Toc220878920" w:history="1">
            <w:r w:rsidRPr="007D5E5D">
              <w:rPr>
                <w:rStyle w:val="Hyperlink"/>
                <w:rFonts w:ascii="Arial" w:hAnsi="Arial" w:cs="Arial"/>
                <w:b/>
                <w:bCs/>
                <w:noProof/>
              </w:rPr>
              <w:t>4.3 Characteristics of Included Studies</w:t>
            </w:r>
            <w:r>
              <w:rPr>
                <w:noProof/>
                <w:webHidden/>
              </w:rPr>
              <w:tab/>
            </w:r>
            <w:r>
              <w:rPr>
                <w:noProof/>
                <w:webHidden/>
              </w:rPr>
              <w:fldChar w:fldCharType="begin"/>
            </w:r>
            <w:r>
              <w:rPr>
                <w:noProof/>
                <w:webHidden/>
              </w:rPr>
              <w:instrText xml:space="preserve"> PAGEREF _Toc220878920 \h </w:instrText>
            </w:r>
            <w:r>
              <w:rPr>
                <w:noProof/>
                <w:webHidden/>
              </w:rPr>
            </w:r>
            <w:r>
              <w:rPr>
                <w:noProof/>
                <w:webHidden/>
              </w:rPr>
              <w:fldChar w:fldCharType="separate"/>
            </w:r>
            <w:r w:rsidR="00F07385">
              <w:rPr>
                <w:noProof/>
                <w:webHidden/>
              </w:rPr>
              <w:t>47</w:t>
            </w:r>
            <w:r>
              <w:rPr>
                <w:noProof/>
                <w:webHidden/>
              </w:rPr>
              <w:fldChar w:fldCharType="end"/>
            </w:r>
          </w:hyperlink>
        </w:p>
        <w:p w14:paraId="79B29743" w14:textId="1ECE1A02" w:rsidR="00F21EF2" w:rsidRDefault="00F21EF2">
          <w:pPr>
            <w:pStyle w:val="TOC2"/>
            <w:tabs>
              <w:tab w:val="right" w:leader="dot" w:pos="8302"/>
            </w:tabs>
            <w:rPr>
              <w:rFonts w:eastAsiaTheme="minorEastAsia"/>
              <w:noProof/>
              <w:lang w:eastAsia="en-IN"/>
            </w:rPr>
          </w:pPr>
          <w:hyperlink w:anchor="_Toc220878921" w:history="1">
            <w:r w:rsidRPr="007D5E5D">
              <w:rPr>
                <w:rStyle w:val="Hyperlink"/>
                <w:rFonts w:ascii="Arial" w:hAnsi="Arial" w:cs="Arial"/>
                <w:b/>
                <w:bCs/>
                <w:noProof/>
              </w:rPr>
              <w:t>4.4 Data Extraction and Synthesis</w:t>
            </w:r>
            <w:r>
              <w:rPr>
                <w:noProof/>
                <w:webHidden/>
              </w:rPr>
              <w:tab/>
            </w:r>
            <w:r>
              <w:rPr>
                <w:noProof/>
                <w:webHidden/>
              </w:rPr>
              <w:fldChar w:fldCharType="begin"/>
            </w:r>
            <w:r>
              <w:rPr>
                <w:noProof/>
                <w:webHidden/>
              </w:rPr>
              <w:instrText xml:space="preserve"> PAGEREF _Toc220878921 \h </w:instrText>
            </w:r>
            <w:r>
              <w:rPr>
                <w:noProof/>
                <w:webHidden/>
              </w:rPr>
            </w:r>
            <w:r>
              <w:rPr>
                <w:noProof/>
                <w:webHidden/>
              </w:rPr>
              <w:fldChar w:fldCharType="separate"/>
            </w:r>
            <w:r w:rsidR="00F07385">
              <w:rPr>
                <w:noProof/>
                <w:webHidden/>
              </w:rPr>
              <w:t>49</w:t>
            </w:r>
            <w:r>
              <w:rPr>
                <w:noProof/>
                <w:webHidden/>
              </w:rPr>
              <w:fldChar w:fldCharType="end"/>
            </w:r>
          </w:hyperlink>
        </w:p>
        <w:p w14:paraId="5361DE93" w14:textId="1D647476" w:rsidR="00F21EF2" w:rsidRDefault="00F21EF2">
          <w:pPr>
            <w:pStyle w:val="TOC2"/>
            <w:tabs>
              <w:tab w:val="right" w:leader="dot" w:pos="8302"/>
            </w:tabs>
            <w:rPr>
              <w:rFonts w:eastAsiaTheme="minorEastAsia"/>
              <w:noProof/>
              <w:lang w:eastAsia="en-IN"/>
            </w:rPr>
          </w:pPr>
          <w:hyperlink w:anchor="_Toc220878922" w:history="1">
            <w:r w:rsidRPr="007D5E5D">
              <w:rPr>
                <w:rStyle w:val="Hyperlink"/>
                <w:rFonts w:ascii="Arial" w:hAnsi="Arial" w:cs="Arial"/>
                <w:b/>
                <w:bCs/>
                <w:noProof/>
              </w:rPr>
              <w:t>4.5 Overall Common Themes Identified</w:t>
            </w:r>
            <w:r>
              <w:rPr>
                <w:noProof/>
                <w:webHidden/>
              </w:rPr>
              <w:tab/>
            </w:r>
            <w:r>
              <w:rPr>
                <w:noProof/>
                <w:webHidden/>
              </w:rPr>
              <w:fldChar w:fldCharType="begin"/>
            </w:r>
            <w:r>
              <w:rPr>
                <w:noProof/>
                <w:webHidden/>
              </w:rPr>
              <w:instrText xml:space="preserve"> PAGEREF _Toc220878922 \h </w:instrText>
            </w:r>
            <w:r>
              <w:rPr>
                <w:noProof/>
                <w:webHidden/>
              </w:rPr>
            </w:r>
            <w:r>
              <w:rPr>
                <w:noProof/>
                <w:webHidden/>
              </w:rPr>
              <w:fldChar w:fldCharType="separate"/>
            </w:r>
            <w:r w:rsidR="00F07385">
              <w:rPr>
                <w:noProof/>
                <w:webHidden/>
              </w:rPr>
              <w:t>50</w:t>
            </w:r>
            <w:r>
              <w:rPr>
                <w:noProof/>
                <w:webHidden/>
              </w:rPr>
              <w:fldChar w:fldCharType="end"/>
            </w:r>
          </w:hyperlink>
        </w:p>
        <w:p w14:paraId="6CA48358" w14:textId="40E7F301" w:rsidR="00F21EF2" w:rsidRDefault="00F21EF2">
          <w:pPr>
            <w:pStyle w:val="TOC3"/>
            <w:tabs>
              <w:tab w:val="right" w:leader="dot" w:pos="8302"/>
            </w:tabs>
            <w:rPr>
              <w:rFonts w:eastAsiaTheme="minorEastAsia"/>
              <w:noProof/>
              <w:lang w:eastAsia="en-IN"/>
            </w:rPr>
          </w:pPr>
          <w:hyperlink w:anchor="_Toc220878923" w:history="1">
            <w:r w:rsidRPr="007D5E5D">
              <w:rPr>
                <w:rStyle w:val="Hyperlink"/>
                <w:rFonts w:ascii="Arial" w:hAnsi="Arial" w:cs="Arial"/>
                <w:b/>
                <w:bCs/>
                <w:noProof/>
              </w:rPr>
              <w:t>4.5.1 Physiological and Functional Improvements</w:t>
            </w:r>
            <w:r>
              <w:rPr>
                <w:noProof/>
                <w:webHidden/>
              </w:rPr>
              <w:tab/>
            </w:r>
            <w:r>
              <w:rPr>
                <w:noProof/>
                <w:webHidden/>
              </w:rPr>
              <w:fldChar w:fldCharType="begin"/>
            </w:r>
            <w:r>
              <w:rPr>
                <w:noProof/>
                <w:webHidden/>
              </w:rPr>
              <w:instrText xml:space="preserve"> PAGEREF _Toc220878923 \h </w:instrText>
            </w:r>
            <w:r>
              <w:rPr>
                <w:noProof/>
                <w:webHidden/>
              </w:rPr>
            </w:r>
            <w:r>
              <w:rPr>
                <w:noProof/>
                <w:webHidden/>
              </w:rPr>
              <w:fldChar w:fldCharType="separate"/>
            </w:r>
            <w:r w:rsidR="00F07385">
              <w:rPr>
                <w:noProof/>
                <w:webHidden/>
              </w:rPr>
              <w:t>50</w:t>
            </w:r>
            <w:r>
              <w:rPr>
                <w:noProof/>
                <w:webHidden/>
              </w:rPr>
              <w:fldChar w:fldCharType="end"/>
            </w:r>
          </w:hyperlink>
        </w:p>
        <w:p w14:paraId="7E4FADEB" w14:textId="5D10760C" w:rsidR="00F21EF2" w:rsidRDefault="00F21EF2">
          <w:pPr>
            <w:pStyle w:val="TOC3"/>
            <w:tabs>
              <w:tab w:val="right" w:leader="dot" w:pos="8302"/>
            </w:tabs>
            <w:rPr>
              <w:rFonts w:eastAsiaTheme="minorEastAsia"/>
              <w:noProof/>
              <w:lang w:eastAsia="en-IN"/>
            </w:rPr>
          </w:pPr>
          <w:hyperlink w:anchor="_Toc220878924" w:history="1">
            <w:r w:rsidRPr="007D5E5D">
              <w:rPr>
                <w:rStyle w:val="Hyperlink"/>
                <w:rFonts w:ascii="Arial" w:hAnsi="Arial" w:cs="Arial"/>
                <w:b/>
                <w:bCs/>
                <w:noProof/>
              </w:rPr>
              <w:t>4.5.2 Psychological and Behavioural Change</w:t>
            </w:r>
            <w:r>
              <w:rPr>
                <w:noProof/>
                <w:webHidden/>
              </w:rPr>
              <w:tab/>
            </w:r>
            <w:r>
              <w:rPr>
                <w:noProof/>
                <w:webHidden/>
              </w:rPr>
              <w:fldChar w:fldCharType="begin"/>
            </w:r>
            <w:r>
              <w:rPr>
                <w:noProof/>
                <w:webHidden/>
              </w:rPr>
              <w:instrText xml:space="preserve"> PAGEREF _Toc220878924 \h </w:instrText>
            </w:r>
            <w:r>
              <w:rPr>
                <w:noProof/>
                <w:webHidden/>
              </w:rPr>
            </w:r>
            <w:r>
              <w:rPr>
                <w:noProof/>
                <w:webHidden/>
              </w:rPr>
              <w:fldChar w:fldCharType="separate"/>
            </w:r>
            <w:r w:rsidR="00F07385">
              <w:rPr>
                <w:noProof/>
                <w:webHidden/>
              </w:rPr>
              <w:t>51</w:t>
            </w:r>
            <w:r>
              <w:rPr>
                <w:noProof/>
                <w:webHidden/>
              </w:rPr>
              <w:fldChar w:fldCharType="end"/>
            </w:r>
          </w:hyperlink>
        </w:p>
        <w:p w14:paraId="51D00063" w14:textId="5F3228E8" w:rsidR="00F21EF2" w:rsidRDefault="00F21EF2">
          <w:pPr>
            <w:pStyle w:val="TOC3"/>
            <w:tabs>
              <w:tab w:val="right" w:leader="dot" w:pos="8302"/>
            </w:tabs>
            <w:rPr>
              <w:rFonts w:eastAsiaTheme="minorEastAsia"/>
              <w:noProof/>
              <w:lang w:eastAsia="en-IN"/>
            </w:rPr>
          </w:pPr>
          <w:hyperlink w:anchor="_Toc220878925" w:history="1">
            <w:r w:rsidRPr="007D5E5D">
              <w:rPr>
                <w:rStyle w:val="Hyperlink"/>
                <w:rFonts w:ascii="Arial" w:hAnsi="Arial" w:cs="Arial"/>
                <w:b/>
                <w:bCs/>
                <w:noProof/>
              </w:rPr>
              <w:t>4.5.3 Social Engagement and Support</w:t>
            </w:r>
            <w:r>
              <w:rPr>
                <w:noProof/>
                <w:webHidden/>
              </w:rPr>
              <w:tab/>
            </w:r>
            <w:r>
              <w:rPr>
                <w:noProof/>
                <w:webHidden/>
              </w:rPr>
              <w:fldChar w:fldCharType="begin"/>
            </w:r>
            <w:r>
              <w:rPr>
                <w:noProof/>
                <w:webHidden/>
              </w:rPr>
              <w:instrText xml:space="preserve"> PAGEREF _Toc220878925 \h </w:instrText>
            </w:r>
            <w:r>
              <w:rPr>
                <w:noProof/>
                <w:webHidden/>
              </w:rPr>
            </w:r>
            <w:r>
              <w:rPr>
                <w:noProof/>
                <w:webHidden/>
              </w:rPr>
              <w:fldChar w:fldCharType="separate"/>
            </w:r>
            <w:r w:rsidR="00F07385">
              <w:rPr>
                <w:noProof/>
                <w:webHidden/>
              </w:rPr>
              <w:t>53</w:t>
            </w:r>
            <w:r>
              <w:rPr>
                <w:noProof/>
                <w:webHidden/>
              </w:rPr>
              <w:fldChar w:fldCharType="end"/>
            </w:r>
          </w:hyperlink>
        </w:p>
        <w:p w14:paraId="33ABC516" w14:textId="2A3CCAA0" w:rsidR="00F21EF2" w:rsidRDefault="00F21EF2">
          <w:pPr>
            <w:pStyle w:val="TOC3"/>
            <w:tabs>
              <w:tab w:val="right" w:leader="dot" w:pos="8302"/>
            </w:tabs>
            <w:rPr>
              <w:rFonts w:eastAsiaTheme="minorEastAsia"/>
              <w:noProof/>
              <w:lang w:eastAsia="en-IN"/>
            </w:rPr>
          </w:pPr>
          <w:hyperlink w:anchor="_Toc220878926" w:history="1">
            <w:r w:rsidRPr="007D5E5D">
              <w:rPr>
                <w:rStyle w:val="Hyperlink"/>
                <w:rFonts w:ascii="Arial" w:hAnsi="Arial" w:cs="Arial"/>
                <w:b/>
                <w:bCs/>
                <w:noProof/>
              </w:rPr>
              <w:t>4.5.4 Environmental and Contextual Barriers</w:t>
            </w:r>
            <w:r>
              <w:rPr>
                <w:noProof/>
                <w:webHidden/>
              </w:rPr>
              <w:tab/>
            </w:r>
            <w:r>
              <w:rPr>
                <w:noProof/>
                <w:webHidden/>
              </w:rPr>
              <w:fldChar w:fldCharType="begin"/>
            </w:r>
            <w:r>
              <w:rPr>
                <w:noProof/>
                <w:webHidden/>
              </w:rPr>
              <w:instrText xml:space="preserve"> PAGEREF _Toc220878926 \h </w:instrText>
            </w:r>
            <w:r>
              <w:rPr>
                <w:noProof/>
                <w:webHidden/>
              </w:rPr>
            </w:r>
            <w:r>
              <w:rPr>
                <w:noProof/>
                <w:webHidden/>
              </w:rPr>
              <w:fldChar w:fldCharType="separate"/>
            </w:r>
            <w:r w:rsidR="00F07385">
              <w:rPr>
                <w:noProof/>
                <w:webHidden/>
              </w:rPr>
              <w:t>54</w:t>
            </w:r>
            <w:r>
              <w:rPr>
                <w:noProof/>
                <w:webHidden/>
              </w:rPr>
              <w:fldChar w:fldCharType="end"/>
            </w:r>
          </w:hyperlink>
        </w:p>
        <w:p w14:paraId="5FB49EC7" w14:textId="2E1D6949" w:rsidR="00F21EF2" w:rsidRDefault="00F21EF2">
          <w:pPr>
            <w:pStyle w:val="TOC2"/>
            <w:tabs>
              <w:tab w:val="right" w:leader="dot" w:pos="8302"/>
            </w:tabs>
            <w:rPr>
              <w:rFonts w:eastAsiaTheme="minorEastAsia"/>
              <w:noProof/>
              <w:lang w:eastAsia="en-IN"/>
            </w:rPr>
          </w:pPr>
          <w:hyperlink w:anchor="_Toc220878927" w:history="1">
            <w:r w:rsidRPr="007D5E5D">
              <w:rPr>
                <w:rStyle w:val="Hyperlink"/>
                <w:rFonts w:ascii="Arial" w:hAnsi="Arial" w:cs="Arial"/>
                <w:b/>
                <w:bCs/>
                <w:noProof/>
              </w:rPr>
              <w:t>4.6 Summary of Main Findings</w:t>
            </w:r>
            <w:r>
              <w:rPr>
                <w:noProof/>
                <w:webHidden/>
              </w:rPr>
              <w:tab/>
            </w:r>
            <w:r>
              <w:rPr>
                <w:noProof/>
                <w:webHidden/>
              </w:rPr>
              <w:fldChar w:fldCharType="begin"/>
            </w:r>
            <w:r>
              <w:rPr>
                <w:noProof/>
                <w:webHidden/>
              </w:rPr>
              <w:instrText xml:space="preserve"> PAGEREF _Toc220878927 \h </w:instrText>
            </w:r>
            <w:r>
              <w:rPr>
                <w:noProof/>
                <w:webHidden/>
              </w:rPr>
            </w:r>
            <w:r>
              <w:rPr>
                <w:noProof/>
                <w:webHidden/>
              </w:rPr>
              <w:fldChar w:fldCharType="separate"/>
            </w:r>
            <w:r w:rsidR="00F07385">
              <w:rPr>
                <w:noProof/>
                <w:webHidden/>
              </w:rPr>
              <w:t>55</w:t>
            </w:r>
            <w:r>
              <w:rPr>
                <w:noProof/>
                <w:webHidden/>
              </w:rPr>
              <w:fldChar w:fldCharType="end"/>
            </w:r>
          </w:hyperlink>
        </w:p>
        <w:p w14:paraId="2F3C2491" w14:textId="3B7483D2" w:rsidR="00F21EF2" w:rsidRDefault="00F21EF2">
          <w:pPr>
            <w:pStyle w:val="TOC2"/>
            <w:tabs>
              <w:tab w:val="right" w:leader="dot" w:pos="8302"/>
            </w:tabs>
            <w:rPr>
              <w:rFonts w:eastAsiaTheme="minorEastAsia"/>
              <w:noProof/>
              <w:lang w:eastAsia="en-IN"/>
            </w:rPr>
          </w:pPr>
          <w:hyperlink w:anchor="_Toc220878928" w:history="1">
            <w:r w:rsidRPr="007D5E5D">
              <w:rPr>
                <w:rStyle w:val="Hyperlink"/>
                <w:rFonts w:ascii="Arial" w:hAnsi="Arial" w:cs="Arial"/>
                <w:b/>
                <w:bCs/>
                <w:noProof/>
              </w:rPr>
              <w:t>4.7 Chapter Summary</w:t>
            </w:r>
            <w:r>
              <w:rPr>
                <w:noProof/>
                <w:webHidden/>
              </w:rPr>
              <w:tab/>
            </w:r>
            <w:r>
              <w:rPr>
                <w:noProof/>
                <w:webHidden/>
              </w:rPr>
              <w:fldChar w:fldCharType="begin"/>
            </w:r>
            <w:r>
              <w:rPr>
                <w:noProof/>
                <w:webHidden/>
              </w:rPr>
              <w:instrText xml:space="preserve"> PAGEREF _Toc220878928 \h </w:instrText>
            </w:r>
            <w:r>
              <w:rPr>
                <w:noProof/>
                <w:webHidden/>
              </w:rPr>
            </w:r>
            <w:r>
              <w:rPr>
                <w:noProof/>
                <w:webHidden/>
              </w:rPr>
              <w:fldChar w:fldCharType="separate"/>
            </w:r>
            <w:r w:rsidR="00F07385">
              <w:rPr>
                <w:noProof/>
                <w:webHidden/>
              </w:rPr>
              <w:t>55</w:t>
            </w:r>
            <w:r>
              <w:rPr>
                <w:noProof/>
                <w:webHidden/>
              </w:rPr>
              <w:fldChar w:fldCharType="end"/>
            </w:r>
          </w:hyperlink>
        </w:p>
        <w:p w14:paraId="31539436" w14:textId="7EBD2654" w:rsidR="00F21EF2" w:rsidRDefault="00F21EF2">
          <w:pPr>
            <w:pStyle w:val="TOC1"/>
            <w:tabs>
              <w:tab w:val="right" w:leader="dot" w:pos="8302"/>
            </w:tabs>
            <w:rPr>
              <w:rFonts w:eastAsiaTheme="minorEastAsia"/>
              <w:noProof/>
              <w:lang w:eastAsia="en-IN"/>
            </w:rPr>
          </w:pPr>
          <w:hyperlink w:anchor="_Toc220878929" w:history="1">
            <w:r w:rsidRPr="007D5E5D">
              <w:rPr>
                <w:rStyle w:val="Hyperlink"/>
                <w:rFonts w:ascii="Arial" w:hAnsi="Arial" w:cs="Arial"/>
                <w:b/>
                <w:bCs/>
                <w:noProof/>
              </w:rPr>
              <w:t>Chapter 5: Conclusion and Recommendations</w:t>
            </w:r>
            <w:r>
              <w:rPr>
                <w:noProof/>
                <w:webHidden/>
              </w:rPr>
              <w:tab/>
            </w:r>
            <w:r>
              <w:rPr>
                <w:noProof/>
                <w:webHidden/>
              </w:rPr>
              <w:fldChar w:fldCharType="begin"/>
            </w:r>
            <w:r>
              <w:rPr>
                <w:noProof/>
                <w:webHidden/>
              </w:rPr>
              <w:instrText xml:space="preserve"> PAGEREF _Toc220878929 \h </w:instrText>
            </w:r>
            <w:r>
              <w:rPr>
                <w:noProof/>
                <w:webHidden/>
              </w:rPr>
            </w:r>
            <w:r>
              <w:rPr>
                <w:noProof/>
                <w:webHidden/>
              </w:rPr>
              <w:fldChar w:fldCharType="separate"/>
            </w:r>
            <w:r w:rsidR="00F07385">
              <w:rPr>
                <w:noProof/>
                <w:webHidden/>
              </w:rPr>
              <w:t>56</w:t>
            </w:r>
            <w:r>
              <w:rPr>
                <w:noProof/>
                <w:webHidden/>
              </w:rPr>
              <w:fldChar w:fldCharType="end"/>
            </w:r>
          </w:hyperlink>
        </w:p>
        <w:p w14:paraId="6E69A4AB" w14:textId="419934F8" w:rsidR="00F21EF2" w:rsidRDefault="00F21EF2">
          <w:pPr>
            <w:pStyle w:val="TOC2"/>
            <w:tabs>
              <w:tab w:val="right" w:leader="dot" w:pos="8302"/>
            </w:tabs>
            <w:rPr>
              <w:rFonts w:eastAsiaTheme="minorEastAsia"/>
              <w:noProof/>
              <w:lang w:eastAsia="en-IN"/>
            </w:rPr>
          </w:pPr>
          <w:hyperlink w:anchor="_Toc220878930" w:history="1">
            <w:r w:rsidRPr="007D5E5D">
              <w:rPr>
                <w:rStyle w:val="Hyperlink"/>
                <w:rFonts w:ascii="Arial" w:hAnsi="Arial" w:cs="Arial"/>
                <w:b/>
                <w:bCs/>
                <w:noProof/>
              </w:rPr>
              <w:t>5.1 Introduction</w:t>
            </w:r>
            <w:r>
              <w:rPr>
                <w:noProof/>
                <w:webHidden/>
              </w:rPr>
              <w:tab/>
            </w:r>
            <w:r>
              <w:rPr>
                <w:noProof/>
                <w:webHidden/>
              </w:rPr>
              <w:fldChar w:fldCharType="begin"/>
            </w:r>
            <w:r>
              <w:rPr>
                <w:noProof/>
                <w:webHidden/>
              </w:rPr>
              <w:instrText xml:space="preserve"> PAGEREF _Toc220878930 \h </w:instrText>
            </w:r>
            <w:r>
              <w:rPr>
                <w:noProof/>
                <w:webHidden/>
              </w:rPr>
            </w:r>
            <w:r>
              <w:rPr>
                <w:noProof/>
                <w:webHidden/>
              </w:rPr>
              <w:fldChar w:fldCharType="separate"/>
            </w:r>
            <w:r w:rsidR="00F07385">
              <w:rPr>
                <w:noProof/>
                <w:webHidden/>
              </w:rPr>
              <w:t>56</w:t>
            </w:r>
            <w:r>
              <w:rPr>
                <w:noProof/>
                <w:webHidden/>
              </w:rPr>
              <w:fldChar w:fldCharType="end"/>
            </w:r>
          </w:hyperlink>
        </w:p>
        <w:p w14:paraId="65DF3825" w14:textId="526A22C3" w:rsidR="00F21EF2" w:rsidRDefault="00F21EF2">
          <w:pPr>
            <w:pStyle w:val="TOC2"/>
            <w:tabs>
              <w:tab w:val="right" w:leader="dot" w:pos="8302"/>
            </w:tabs>
            <w:rPr>
              <w:rFonts w:eastAsiaTheme="minorEastAsia"/>
              <w:noProof/>
              <w:lang w:eastAsia="en-IN"/>
            </w:rPr>
          </w:pPr>
          <w:hyperlink w:anchor="_Toc220878931" w:history="1">
            <w:r w:rsidRPr="007D5E5D">
              <w:rPr>
                <w:rStyle w:val="Hyperlink"/>
                <w:rFonts w:ascii="Arial" w:hAnsi="Arial" w:cs="Arial"/>
                <w:b/>
                <w:bCs/>
                <w:noProof/>
              </w:rPr>
              <w:t>5.2 Summary of Key Findings</w:t>
            </w:r>
            <w:r>
              <w:rPr>
                <w:noProof/>
                <w:webHidden/>
              </w:rPr>
              <w:tab/>
            </w:r>
            <w:r>
              <w:rPr>
                <w:noProof/>
                <w:webHidden/>
              </w:rPr>
              <w:fldChar w:fldCharType="begin"/>
            </w:r>
            <w:r>
              <w:rPr>
                <w:noProof/>
                <w:webHidden/>
              </w:rPr>
              <w:instrText xml:space="preserve"> PAGEREF _Toc220878931 \h </w:instrText>
            </w:r>
            <w:r>
              <w:rPr>
                <w:noProof/>
                <w:webHidden/>
              </w:rPr>
            </w:r>
            <w:r>
              <w:rPr>
                <w:noProof/>
                <w:webHidden/>
              </w:rPr>
              <w:fldChar w:fldCharType="separate"/>
            </w:r>
            <w:r w:rsidR="00F07385">
              <w:rPr>
                <w:noProof/>
                <w:webHidden/>
              </w:rPr>
              <w:t>56</w:t>
            </w:r>
            <w:r>
              <w:rPr>
                <w:noProof/>
                <w:webHidden/>
              </w:rPr>
              <w:fldChar w:fldCharType="end"/>
            </w:r>
          </w:hyperlink>
        </w:p>
        <w:p w14:paraId="3F79BF61" w14:textId="26F47C19" w:rsidR="00F21EF2" w:rsidRDefault="00F21EF2">
          <w:pPr>
            <w:pStyle w:val="TOC2"/>
            <w:tabs>
              <w:tab w:val="right" w:leader="dot" w:pos="8302"/>
            </w:tabs>
            <w:rPr>
              <w:rFonts w:eastAsiaTheme="minorEastAsia"/>
              <w:noProof/>
              <w:lang w:eastAsia="en-IN"/>
            </w:rPr>
          </w:pPr>
          <w:hyperlink w:anchor="_Toc220878932" w:history="1">
            <w:r w:rsidRPr="007D5E5D">
              <w:rPr>
                <w:rStyle w:val="Hyperlink"/>
                <w:rFonts w:ascii="Arial" w:hAnsi="Arial" w:cs="Arial"/>
                <w:b/>
                <w:bCs/>
                <w:noProof/>
              </w:rPr>
              <w:t>5.3 Implications for Physiotherapy Practice</w:t>
            </w:r>
            <w:r>
              <w:rPr>
                <w:noProof/>
                <w:webHidden/>
              </w:rPr>
              <w:tab/>
            </w:r>
            <w:r>
              <w:rPr>
                <w:noProof/>
                <w:webHidden/>
              </w:rPr>
              <w:fldChar w:fldCharType="begin"/>
            </w:r>
            <w:r>
              <w:rPr>
                <w:noProof/>
                <w:webHidden/>
              </w:rPr>
              <w:instrText xml:space="preserve"> PAGEREF _Toc220878932 \h </w:instrText>
            </w:r>
            <w:r>
              <w:rPr>
                <w:noProof/>
                <w:webHidden/>
              </w:rPr>
            </w:r>
            <w:r>
              <w:rPr>
                <w:noProof/>
                <w:webHidden/>
              </w:rPr>
              <w:fldChar w:fldCharType="separate"/>
            </w:r>
            <w:r w:rsidR="00F07385">
              <w:rPr>
                <w:noProof/>
                <w:webHidden/>
              </w:rPr>
              <w:t>57</w:t>
            </w:r>
            <w:r>
              <w:rPr>
                <w:noProof/>
                <w:webHidden/>
              </w:rPr>
              <w:fldChar w:fldCharType="end"/>
            </w:r>
          </w:hyperlink>
        </w:p>
        <w:p w14:paraId="3CAFC135" w14:textId="005CE281" w:rsidR="00F21EF2" w:rsidRDefault="00F21EF2">
          <w:pPr>
            <w:pStyle w:val="TOC3"/>
            <w:tabs>
              <w:tab w:val="right" w:leader="dot" w:pos="8302"/>
            </w:tabs>
            <w:rPr>
              <w:rFonts w:eastAsiaTheme="minorEastAsia"/>
              <w:noProof/>
              <w:lang w:eastAsia="en-IN"/>
            </w:rPr>
          </w:pPr>
          <w:hyperlink w:anchor="_Toc220878933" w:history="1">
            <w:r w:rsidRPr="007D5E5D">
              <w:rPr>
                <w:rStyle w:val="Hyperlink"/>
                <w:rFonts w:ascii="Arial" w:hAnsi="Arial" w:cs="Arial"/>
                <w:b/>
                <w:bCs/>
                <w:noProof/>
              </w:rPr>
              <w:t>5.3.1 Integrating Psychological and Behavioural Support</w:t>
            </w:r>
            <w:r>
              <w:rPr>
                <w:noProof/>
                <w:webHidden/>
              </w:rPr>
              <w:tab/>
            </w:r>
            <w:r>
              <w:rPr>
                <w:noProof/>
                <w:webHidden/>
              </w:rPr>
              <w:fldChar w:fldCharType="begin"/>
            </w:r>
            <w:r>
              <w:rPr>
                <w:noProof/>
                <w:webHidden/>
              </w:rPr>
              <w:instrText xml:space="preserve"> PAGEREF _Toc220878933 \h </w:instrText>
            </w:r>
            <w:r>
              <w:rPr>
                <w:noProof/>
                <w:webHidden/>
              </w:rPr>
            </w:r>
            <w:r>
              <w:rPr>
                <w:noProof/>
                <w:webHidden/>
              </w:rPr>
              <w:fldChar w:fldCharType="separate"/>
            </w:r>
            <w:r w:rsidR="00F07385">
              <w:rPr>
                <w:noProof/>
                <w:webHidden/>
              </w:rPr>
              <w:t>57</w:t>
            </w:r>
            <w:r>
              <w:rPr>
                <w:noProof/>
                <w:webHidden/>
              </w:rPr>
              <w:fldChar w:fldCharType="end"/>
            </w:r>
          </w:hyperlink>
        </w:p>
        <w:p w14:paraId="3D93E758" w14:textId="321005A2" w:rsidR="00F21EF2" w:rsidRDefault="00F21EF2">
          <w:pPr>
            <w:pStyle w:val="TOC3"/>
            <w:tabs>
              <w:tab w:val="right" w:leader="dot" w:pos="8302"/>
            </w:tabs>
            <w:rPr>
              <w:rFonts w:eastAsiaTheme="minorEastAsia"/>
              <w:noProof/>
              <w:lang w:eastAsia="en-IN"/>
            </w:rPr>
          </w:pPr>
          <w:hyperlink w:anchor="_Toc220878934" w:history="1">
            <w:r w:rsidRPr="007D5E5D">
              <w:rPr>
                <w:rStyle w:val="Hyperlink"/>
                <w:rFonts w:ascii="Arial" w:hAnsi="Arial" w:cs="Arial"/>
                <w:b/>
                <w:bCs/>
                <w:noProof/>
              </w:rPr>
              <w:t>5.3.2 Prioritising Strength and Balance Training</w:t>
            </w:r>
            <w:r>
              <w:rPr>
                <w:noProof/>
                <w:webHidden/>
              </w:rPr>
              <w:tab/>
            </w:r>
            <w:r>
              <w:rPr>
                <w:noProof/>
                <w:webHidden/>
              </w:rPr>
              <w:fldChar w:fldCharType="begin"/>
            </w:r>
            <w:r>
              <w:rPr>
                <w:noProof/>
                <w:webHidden/>
              </w:rPr>
              <w:instrText xml:space="preserve"> PAGEREF _Toc220878934 \h </w:instrText>
            </w:r>
            <w:r>
              <w:rPr>
                <w:noProof/>
                <w:webHidden/>
              </w:rPr>
            </w:r>
            <w:r>
              <w:rPr>
                <w:noProof/>
                <w:webHidden/>
              </w:rPr>
              <w:fldChar w:fldCharType="separate"/>
            </w:r>
            <w:r w:rsidR="00F07385">
              <w:rPr>
                <w:noProof/>
                <w:webHidden/>
              </w:rPr>
              <w:t>58</w:t>
            </w:r>
            <w:r>
              <w:rPr>
                <w:noProof/>
                <w:webHidden/>
              </w:rPr>
              <w:fldChar w:fldCharType="end"/>
            </w:r>
          </w:hyperlink>
        </w:p>
        <w:p w14:paraId="6E1EF3AE" w14:textId="54022506" w:rsidR="00F21EF2" w:rsidRDefault="00F21EF2">
          <w:pPr>
            <w:pStyle w:val="TOC3"/>
            <w:tabs>
              <w:tab w:val="right" w:leader="dot" w:pos="8302"/>
            </w:tabs>
            <w:rPr>
              <w:rFonts w:eastAsiaTheme="minorEastAsia"/>
              <w:noProof/>
              <w:lang w:eastAsia="en-IN"/>
            </w:rPr>
          </w:pPr>
          <w:hyperlink w:anchor="_Toc220878935" w:history="1">
            <w:r w:rsidRPr="007D5E5D">
              <w:rPr>
                <w:rStyle w:val="Hyperlink"/>
                <w:rFonts w:ascii="Arial" w:hAnsi="Arial" w:cs="Arial"/>
                <w:b/>
                <w:bCs/>
                <w:noProof/>
              </w:rPr>
              <w:t>5.3.3 Enhancing Accessibility Through Diverse Delivery Models</w:t>
            </w:r>
            <w:r>
              <w:rPr>
                <w:noProof/>
                <w:webHidden/>
              </w:rPr>
              <w:tab/>
            </w:r>
            <w:r>
              <w:rPr>
                <w:noProof/>
                <w:webHidden/>
              </w:rPr>
              <w:fldChar w:fldCharType="begin"/>
            </w:r>
            <w:r>
              <w:rPr>
                <w:noProof/>
                <w:webHidden/>
              </w:rPr>
              <w:instrText xml:space="preserve"> PAGEREF _Toc220878935 \h </w:instrText>
            </w:r>
            <w:r>
              <w:rPr>
                <w:noProof/>
                <w:webHidden/>
              </w:rPr>
            </w:r>
            <w:r>
              <w:rPr>
                <w:noProof/>
                <w:webHidden/>
              </w:rPr>
              <w:fldChar w:fldCharType="separate"/>
            </w:r>
            <w:r w:rsidR="00F07385">
              <w:rPr>
                <w:noProof/>
                <w:webHidden/>
              </w:rPr>
              <w:t>58</w:t>
            </w:r>
            <w:r>
              <w:rPr>
                <w:noProof/>
                <w:webHidden/>
              </w:rPr>
              <w:fldChar w:fldCharType="end"/>
            </w:r>
          </w:hyperlink>
        </w:p>
        <w:p w14:paraId="34775CD0" w14:textId="1F06B48B" w:rsidR="00F21EF2" w:rsidRDefault="00F21EF2">
          <w:pPr>
            <w:pStyle w:val="TOC3"/>
            <w:tabs>
              <w:tab w:val="right" w:leader="dot" w:pos="8302"/>
            </w:tabs>
            <w:rPr>
              <w:rFonts w:eastAsiaTheme="minorEastAsia"/>
              <w:noProof/>
              <w:lang w:eastAsia="en-IN"/>
            </w:rPr>
          </w:pPr>
          <w:hyperlink w:anchor="_Toc220878936" w:history="1">
            <w:r w:rsidRPr="007D5E5D">
              <w:rPr>
                <w:rStyle w:val="Hyperlink"/>
                <w:rFonts w:ascii="Arial" w:hAnsi="Arial" w:cs="Arial"/>
                <w:b/>
                <w:bCs/>
                <w:noProof/>
              </w:rPr>
              <w:t>5.3.4 Tailoring Interventions to Metropolitan Diversity</w:t>
            </w:r>
            <w:r>
              <w:rPr>
                <w:noProof/>
                <w:webHidden/>
              </w:rPr>
              <w:tab/>
            </w:r>
            <w:r>
              <w:rPr>
                <w:noProof/>
                <w:webHidden/>
              </w:rPr>
              <w:fldChar w:fldCharType="begin"/>
            </w:r>
            <w:r>
              <w:rPr>
                <w:noProof/>
                <w:webHidden/>
              </w:rPr>
              <w:instrText xml:space="preserve"> PAGEREF _Toc220878936 \h </w:instrText>
            </w:r>
            <w:r>
              <w:rPr>
                <w:noProof/>
                <w:webHidden/>
              </w:rPr>
            </w:r>
            <w:r>
              <w:rPr>
                <w:noProof/>
                <w:webHidden/>
              </w:rPr>
              <w:fldChar w:fldCharType="separate"/>
            </w:r>
            <w:r w:rsidR="00F07385">
              <w:rPr>
                <w:noProof/>
                <w:webHidden/>
              </w:rPr>
              <w:t>58</w:t>
            </w:r>
            <w:r>
              <w:rPr>
                <w:noProof/>
                <w:webHidden/>
              </w:rPr>
              <w:fldChar w:fldCharType="end"/>
            </w:r>
          </w:hyperlink>
        </w:p>
        <w:p w14:paraId="6230621D" w14:textId="0C047BF6" w:rsidR="00F21EF2" w:rsidRDefault="00F21EF2">
          <w:pPr>
            <w:pStyle w:val="TOC2"/>
            <w:tabs>
              <w:tab w:val="right" w:leader="dot" w:pos="8302"/>
            </w:tabs>
            <w:rPr>
              <w:rFonts w:eastAsiaTheme="minorEastAsia"/>
              <w:noProof/>
              <w:lang w:eastAsia="en-IN"/>
            </w:rPr>
          </w:pPr>
          <w:hyperlink w:anchor="_Toc220878937" w:history="1">
            <w:r w:rsidRPr="007D5E5D">
              <w:rPr>
                <w:rStyle w:val="Hyperlink"/>
                <w:rFonts w:ascii="Arial" w:hAnsi="Arial" w:cs="Arial"/>
                <w:b/>
                <w:bCs/>
                <w:noProof/>
              </w:rPr>
              <w:t>5.4 Implications for Public Health and Urban Policy</w:t>
            </w:r>
            <w:r>
              <w:rPr>
                <w:noProof/>
                <w:webHidden/>
              </w:rPr>
              <w:tab/>
            </w:r>
            <w:r>
              <w:rPr>
                <w:noProof/>
                <w:webHidden/>
              </w:rPr>
              <w:fldChar w:fldCharType="begin"/>
            </w:r>
            <w:r>
              <w:rPr>
                <w:noProof/>
                <w:webHidden/>
              </w:rPr>
              <w:instrText xml:space="preserve"> PAGEREF _Toc220878937 \h </w:instrText>
            </w:r>
            <w:r>
              <w:rPr>
                <w:noProof/>
                <w:webHidden/>
              </w:rPr>
            </w:r>
            <w:r>
              <w:rPr>
                <w:noProof/>
                <w:webHidden/>
              </w:rPr>
              <w:fldChar w:fldCharType="separate"/>
            </w:r>
            <w:r w:rsidR="00F07385">
              <w:rPr>
                <w:noProof/>
                <w:webHidden/>
              </w:rPr>
              <w:t>58</w:t>
            </w:r>
            <w:r>
              <w:rPr>
                <w:noProof/>
                <w:webHidden/>
              </w:rPr>
              <w:fldChar w:fldCharType="end"/>
            </w:r>
          </w:hyperlink>
        </w:p>
        <w:p w14:paraId="7530E878" w14:textId="591BE793" w:rsidR="00F21EF2" w:rsidRDefault="00F21EF2">
          <w:pPr>
            <w:pStyle w:val="TOC3"/>
            <w:tabs>
              <w:tab w:val="right" w:leader="dot" w:pos="8302"/>
            </w:tabs>
            <w:rPr>
              <w:rFonts w:eastAsiaTheme="minorEastAsia"/>
              <w:noProof/>
              <w:lang w:eastAsia="en-IN"/>
            </w:rPr>
          </w:pPr>
          <w:hyperlink w:anchor="_Toc220878938" w:history="1">
            <w:r w:rsidRPr="007D5E5D">
              <w:rPr>
                <w:rStyle w:val="Hyperlink"/>
                <w:rFonts w:ascii="Arial" w:hAnsi="Arial" w:cs="Arial"/>
                <w:b/>
                <w:bCs/>
                <w:noProof/>
              </w:rPr>
              <w:t>5.4.1 Collaborative Approaches Across Sectors</w:t>
            </w:r>
            <w:r>
              <w:rPr>
                <w:noProof/>
                <w:webHidden/>
              </w:rPr>
              <w:tab/>
            </w:r>
            <w:r>
              <w:rPr>
                <w:noProof/>
                <w:webHidden/>
              </w:rPr>
              <w:fldChar w:fldCharType="begin"/>
            </w:r>
            <w:r>
              <w:rPr>
                <w:noProof/>
                <w:webHidden/>
              </w:rPr>
              <w:instrText xml:space="preserve"> PAGEREF _Toc220878938 \h </w:instrText>
            </w:r>
            <w:r>
              <w:rPr>
                <w:noProof/>
                <w:webHidden/>
              </w:rPr>
            </w:r>
            <w:r>
              <w:rPr>
                <w:noProof/>
                <w:webHidden/>
              </w:rPr>
              <w:fldChar w:fldCharType="separate"/>
            </w:r>
            <w:r w:rsidR="00F07385">
              <w:rPr>
                <w:noProof/>
                <w:webHidden/>
              </w:rPr>
              <w:t>58</w:t>
            </w:r>
            <w:r>
              <w:rPr>
                <w:noProof/>
                <w:webHidden/>
              </w:rPr>
              <w:fldChar w:fldCharType="end"/>
            </w:r>
          </w:hyperlink>
        </w:p>
        <w:p w14:paraId="7053400C" w14:textId="0D61BAC9" w:rsidR="00F21EF2" w:rsidRDefault="00F21EF2">
          <w:pPr>
            <w:pStyle w:val="TOC3"/>
            <w:tabs>
              <w:tab w:val="right" w:leader="dot" w:pos="8302"/>
            </w:tabs>
            <w:rPr>
              <w:rFonts w:eastAsiaTheme="minorEastAsia"/>
              <w:noProof/>
              <w:lang w:eastAsia="en-IN"/>
            </w:rPr>
          </w:pPr>
          <w:hyperlink w:anchor="_Toc220878939" w:history="1">
            <w:r w:rsidRPr="007D5E5D">
              <w:rPr>
                <w:rStyle w:val="Hyperlink"/>
                <w:rFonts w:ascii="Arial" w:hAnsi="Arial" w:cs="Arial"/>
                <w:b/>
                <w:bCs/>
                <w:noProof/>
              </w:rPr>
              <w:t>5.4.2 Diminishing Inequalities</w:t>
            </w:r>
            <w:r>
              <w:rPr>
                <w:noProof/>
                <w:webHidden/>
              </w:rPr>
              <w:tab/>
            </w:r>
            <w:r>
              <w:rPr>
                <w:noProof/>
                <w:webHidden/>
              </w:rPr>
              <w:fldChar w:fldCharType="begin"/>
            </w:r>
            <w:r>
              <w:rPr>
                <w:noProof/>
                <w:webHidden/>
              </w:rPr>
              <w:instrText xml:space="preserve"> PAGEREF _Toc220878939 \h </w:instrText>
            </w:r>
            <w:r>
              <w:rPr>
                <w:noProof/>
                <w:webHidden/>
              </w:rPr>
            </w:r>
            <w:r>
              <w:rPr>
                <w:noProof/>
                <w:webHidden/>
              </w:rPr>
              <w:fldChar w:fldCharType="separate"/>
            </w:r>
            <w:r w:rsidR="00F07385">
              <w:rPr>
                <w:noProof/>
                <w:webHidden/>
              </w:rPr>
              <w:t>59</w:t>
            </w:r>
            <w:r>
              <w:rPr>
                <w:noProof/>
                <w:webHidden/>
              </w:rPr>
              <w:fldChar w:fldCharType="end"/>
            </w:r>
          </w:hyperlink>
        </w:p>
        <w:p w14:paraId="44CD0153" w14:textId="43B064C1" w:rsidR="00F21EF2" w:rsidRDefault="00F21EF2">
          <w:pPr>
            <w:pStyle w:val="TOC3"/>
            <w:tabs>
              <w:tab w:val="right" w:leader="dot" w:pos="8302"/>
            </w:tabs>
            <w:rPr>
              <w:rFonts w:eastAsiaTheme="minorEastAsia"/>
              <w:noProof/>
              <w:lang w:eastAsia="en-IN"/>
            </w:rPr>
          </w:pPr>
          <w:hyperlink w:anchor="_Toc220878940" w:history="1">
            <w:r w:rsidRPr="007D5E5D">
              <w:rPr>
                <w:rStyle w:val="Hyperlink"/>
                <w:rFonts w:ascii="Arial" w:hAnsi="Arial" w:cs="Arial"/>
                <w:b/>
                <w:bCs/>
                <w:noProof/>
              </w:rPr>
              <w:t>5.4.3 Increasing the Capacity of NHS Physiotherapy</w:t>
            </w:r>
            <w:r>
              <w:rPr>
                <w:noProof/>
                <w:webHidden/>
              </w:rPr>
              <w:tab/>
            </w:r>
            <w:r>
              <w:rPr>
                <w:noProof/>
                <w:webHidden/>
              </w:rPr>
              <w:fldChar w:fldCharType="begin"/>
            </w:r>
            <w:r>
              <w:rPr>
                <w:noProof/>
                <w:webHidden/>
              </w:rPr>
              <w:instrText xml:space="preserve"> PAGEREF _Toc220878940 \h </w:instrText>
            </w:r>
            <w:r>
              <w:rPr>
                <w:noProof/>
                <w:webHidden/>
              </w:rPr>
            </w:r>
            <w:r>
              <w:rPr>
                <w:noProof/>
                <w:webHidden/>
              </w:rPr>
              <w:fldChar w:fldCharType="separate"/>
            </w:r>
            <w:r w:rsidR="00F07385">
              <w:rPr>
                <w:noProof/>
                <w:webHidden/>
              </w:rPr>
              <w:t>59</w:t>
            </w:r>
            <w:r>
              <w:rPr>
                <w:noProof/>
                <w:webHidden/>
              </w:rPr>
              <w:fldChar w:fldCharType="end"/>
            </w:r>
          </w:hyperlink>
        </w:p>
        <w:p w14:paraId="07B89576" w14:textId="2AA05847" w:rsidR="00F21EF2" w:rsidRDefault="00F21EF2">
          <w:pPr>
            <w:pStyle w:val="TOC2"/>
            <w:tabs>
              <w:tab w:val="right" w:leader="dot" w:pos="8302"/>
            </w:tabs>
            <w:rPr>
              <w:rFonts w:eastAsiaTheme="minorEastAsia"/>
              <w:noProof/>
              <w:lang w:eastAsia="en-IN"/>
            </w:rPr>
          </w:pPr>
          <w:hyperlink w:anchor="_Toc220878941" w:history="1">
            <w:r w:rsidRPr="007D5E5D">
              <w:rPr>
                <w:rStyle w:val="Hyperlink"/>
                <w:rFonts w:ascii="Arial" w:hAnsi="Arial" w:cs="Arial"/>
                <w:b/>
                <w:bCs/>
                <w:noProof/>
              </w:rPr>
              <w:t>5.5 Consequences for Upcoming Studies</w:t>
            </w:r>
            <w:r>
              <w:rPr>
                <w:noProof/>
                <w:webHidden/>
              </w:rPr>
              <w:tab/>
            </w:r>
            <w:r>
              <w:rPr>
                <w:noProof/>
                <w:webHidden/>
              </w:rPr>
              <w:fldChar w:fldCharType="begin"/>
            </w:r>
            <w:r>
              <w:rPr>
                <w:noProof/>
                <w:webHidden/>
              </w:rPr>
              <w:instrText xml:space="preserve"> PAGEREF _Toc220878941 \h </w:instrText>
            </w:r>
            <w:r>
              <w:rPr>
                <w:noProof/>
                <w:webHidden/>
              </w:rPr>
            </w:r>
            <w:r>
              <w:rPr>
                <w:noProof/>
                <w:webHidden/>
              </w:rPr>
              <w:fldChar w:fldCharType="separate"/>
            </w:r>
            <w:r w:rsidR="00F07385">
              <w:rPr>
                <w:noProof/>
                <w:webHidden/>
              </w:rPr>
              <w:t>59</w:t>
            </w:r>
            <w:r>
              <w:rPr>
                <w:noProof/>
                <w:webHidden/>
              </w:rPr>
              <w:fldChar w:fldCharType="end"/>
            </w:r>
          </w:hyperlink>
        </w:p>
        <w:p w14:paraId="4F4A8E35" w14:textId="6B898E07" w:rsidR="00F21EF2" w:rsidRDefault="00F21EF2">
          <w:pPr>
            <w:pStyle w:val="TOC3"/>
            <w:tabs>
              <w:tab w:val="right" w:leader="dot" w:pos="8302"/>
            </w:tabs>
            <w:rPr>
              <w:rFonts w:eastAsiaTheme="minorEastAsia"/>
              <w:noProof/>
              <w:lang w:eastAsia="en-IN"/>
            </w:rPr>
          </w:pPr>
          <w:hyperlink w:anchor="_Toc220878942" w:history="1">
            <w:r w:rsidRPr="007D5E5D">
              <w:rPr>
                <w:rStyle w:val="Hyperlink"/>
                <w:rFonts w:ascii="Arial" w:hAnsi="Arial" w:cs="Arial"/>
                <w:b/>
                <w:bCs/>
                <w:noProof/>
              </w:rPr>
              <w:t>5.5.1 Extended Monitoring</w:t>
            </w:r>
            <w:r>
              <w:rPr>
                <w:noProof/>
                <w:webHidden/>
              </w:rPr>
              <w:tab/>
            </w:r>
            <w:r>
              <w:rPr>
                <w:noProof/>
                <w:webHidden/>
              </w:rPr>
              <w:fldChar w:fldCharType="begin"/>
            </w:r>
            <w:r>
              <w:rPr>
                <w:noProof/>
                <w:webHidden/>
              </w:rPr>
              <w:instrText xml:space="preserve"> PAGEREF _Toc220878942 \h </w:instrText>
            </w:r>
            <w:r>
              <w:rPr>
                <w:noProof/>
                <w:webHidden/>
              </w:rPr>
            </w:r>
            <w:r>
              <w:rPr>
                <w:noProof/>
                <w:webHidden/>
              </w:rPr>
              <w:fldChar w:fldCharType="separate"/>
            </w:r>
            <w:r w:rsidR="00F07385">
              <w:rPr>
                <w:noProof/>
                <w:webHidden/>
              </w:rPr>
              <w:t>59</w:t>
            </w:r>
            <w:r>
              <w:rPr>
                <w:noProof/>
                <w:webHidden/>
              </w:rPr>
              <w:fldChar w:fldCharType="end"/>
            </w:r>
          </w:hyperlink>
        </w:p>
        <w:p w14:paraId="7A3E65E3" w14:textId="7197E583" w:rsidR="00F21EF2" w:rsidRDefault="00F21EF2">
          <w:pPr>
            <w:pStyle w:val="TOC3"/>
            <w:tabs>
              <w:tab w:val="right" w:leader="dot" w:pos="8302"/>
            </w:tabs>
            <w:rPr>
              <w:rFonts w:eastAsiaTheme="minorEastAsia"/>
              <w:noProof/>
              <w:lang w:eastAsia="en-IN"/>
            </w:rPr>
          </w:pPr>
          <w:hyperlink w:anchor="_Toc220878943" w:history="1">
            <w:r w:rsidRPr="007D5E5D">
              <w:rPr>
                <w:rStyle w:val="Hyperlink"/>
                <w:rFonts w:ascii="Arial" w:hAnsi="Arial" w:cs="Arial"/>
                <w:b/>
                <w:bCs/>
                <w:noProof/>
              </w:rPr>
              <w:t>5.5.2 Inclusion and Diversity</w:t>
            </w:r>
            <w:r>
              <w:rPr>
                <w:noProof/>
                <w:webHidden/>
              </w:rPr>
              <w:tab/>
            </w:r>
            <w:r>
              <w:rPr>
                <w:noProof/>
                <w:webHidden/>
              </w:rPr>
              <w:fldChar w:fldCharType="begin"/>
            </w:r>
            <w:r>
              <w:rPr>
                <w:noProof/>
                <w:webHidden/>
              </w:rPr>
              <w:instrText xml:space="preserve"> PAGEREF _Toc220878943 \h </w:instrText>
            </w:r>
            <w:r>
              <w:rPr>
                <w:noProof/>
                <w:webHidden/>
              </w:rPr>
            </w:r>
            <w:r>
              <w:rPr>
                <w:noProof/>
                <w:webHidden/>
              </w:rPr>
              <w:fldChar w:fldCharType="separate"/>
            </w:r>
            <w:r w:rsidR="00F07385">
              <w:rPr>
                <w:noProof/>
                <w:webHidden/>
              </w:rPr>
              <w:t>59</w:t>
            </w:r>
            <w:r>
              <w:rPr>
                <w:noProof/>
                <w:webHidden/>
              </w:rPr>
              <w:fldChar w:fldCharType="end"/>
            </w:r>
          </w:hyperlink>
        </w:p>
        <w:p w14:paraId="46D79F1D" w14:textId="7DBB2201" w:rsidR="00F21EF2" w:rsidRDefault="00F21EF2">
          <w:pPr>
            <w:pStyle w:val="TOC3"/>
            <w:tabs>
              <w:tab w:val="right" w:leader="dot" w:pos="8302"/>
            </w:tabs>
            <w:rPr>
              <w:rFonts w:eastAsiaTheme="minorEastAsia"/>
              <w:noProof/>
              <w:lang w:eastAsia="en-IN"/>
            </w:rPr>
          </w:pPr>
          <w:hyperlink w:anchor="_Toc220878944" w:history="1">
            <w:r w:rsidRPr="007D5E5D">
              <w:rPr>
                <w:rStyle w:val="Hyperlink"/>
                <w:rFonts w:ascii="Arial" w:hAnsi="Arial" w:cs="Arial"/>
                <w:b/>
                <w:bCs/>
                <w:noProof/>
              </w:rPr>
              <w:t>5.5.3 Standardized Measures of Outcomes</w:t>
            </w:r>
            <w:r>
              <w:rPr>
                <w:noProof/>
                <w:webHidden/>
              </w:rPr>
              <w:tab/>
            </w:r>
            <w:r>
              <w:rPr>
                <w:noProof/>
                <w:webHidden/>
              </w:rPr>
              <w:fldChar w:fldCharType="begin"/>
            </w:r>
            <w:r>
              <w:rPr>
                <w:noProof/>
                <w:webHidden/>
              </w:rPr>
              <w:instrText xml:space="preserve"> PAGEREF _Toc220878944 \h </w:instrText>
            </w:r>
            <w:r>
              <w:rPr>
                <w:noProof/>
                <w:webHidden/>
              </w:rPr>
            </w:r>
            <w:r>
              <w:rPr>
                <w:noProof/>
                <w:webHidden/>
              </w:rPr>
              <w:fldChar w:fldCharType="separate"/>
            </w:r>
            <w:r w:rsidR="00F07385">
              <w:rPr>
                <w:noProof/>
                <w:webHidden/>
              </w:rPr>
              <w:t>59</w:t>
            </w:r>
            <w:r>
              <w:rPr>
                <w:noProof/>
                <w:webHidden/>
              </w:rPr>
              <w:fldChar w:fldCharType="end"/>
            </w:r>
          </w:hyperlink>
        </w:p>
        <w:p w14:paraId="58FFF9DE" w14:textId="1F0E1E03" w:rsidR="00F21EF2" w:rsidRDefault="00F21EF2">
          <w:pPr>
            <w:pStyle w:val="TOC3"/>
            <w:tabs>
              <w:tab w:val="right" w:leader="dot" w:pos="8302"/>
            </w:tabs>
            <w:rPr>
              <w:rFonts w:eastAsiaTheme="minorEastAsia"/>
              <w:noProof/>
              <w:lang w:eastAsia="en-IN"/>
            </w:rPr>
          </w:pPr>
          <w:hyperlink w:anchor="_Toc220878945" w:history="1">
            <w:r w:rsidRPr="007D5E5D">
              <w:rPr>
                <w:rStyle w:val="Hyperlink"/>
                <w:rFonts w:ascii="Arial" w:hAnsi="Arial" w:cs="Arial"/>
                <w:b/>
                <w:bCs/>
                <w:noProof/>
              </w:rPr>
              <w:t>5.5.4 Assessing Hybrid and Telehealth Models</w:t>
            </w:r>
            <w:r>
              <w:rPr>
                <w:noProof/>
                <w:webHidden/>
              </w:rPr>
              <w:tab/>
            </w:r>
            <w:r>
              <w:rPr>
                <w:noProof/>
                <w:webHidden/>
              </w:rPr>
              <w:fldChar w:fldCharType="begin"/>
            </w:r>
            <w:r>
              <w:rPr>
                <w:noProof/>
                <w:webHidden/>
              </w:rPr>
              <w:instrText xml:space="preserve"> PAGEREF _Toc220878945 \h </w:instrText>
            </w:r>
            <w:r>
              <w:rPr>
                <w:noProof/>
                <w:webHidden/>
              </w:rPr>
            </w:r>
            <w:r>
              <w:rPr>
                <w:noProof/>
                <w:webHidden/>
              </w:rPr>
              <w:fldChar w:fldCharType="separate"/>
            </w:r>
            <w:r w:rsidR="00F07385">
              <w:rPr>
                <w:noProof/>
                <w:webHidden/>
              </w:rPr>
              <w:t>60</w:t>
            </w:r>
            <w:r>
              <w:rPr>
                <w:noProof/>
                <w:webHidden/>
              </w:rPr>
              <w:fldChar w:fldCharType="end"/>
            </w:r>
          </w:hyperlink>
        </w:p>
        <w:p w14:paraId="6F21ADC9" w14:textId="1743D4C0" w:rsidR="00F21EF2" w:rsidRDefault="00F21EF2">
          <w:pPr>
            <w:pStyle w:val="TOC2"/>
            <w:tabs>
              <w:tab w:val="right" w:leader="dot" w:pos="8302"/>
            </w:tabs>
            <w:rPr>
              <w:rFonts w:eastAsiaTheme="minorEastAsia"/>
              <w:noProof/>
              <w:lang w:eastAsia="en-IN"/>
            </w:rPr>
          </w:pPr>
          <w:hyperlink w:anchor="_Toc220878946" w:history="1">
            <w:r w:rsidRPr="007D5E5D">
              <w:rPr>
                <w:rStyle w:val="Hyperlink"/>
                <w:rFonts w:ascii="Arial" w:hAnsi="Arial" w:cs="Arial"/>
                <w:b/>
                <w:bCs/>
                <w:noProof/>
              </w:rPr>
              <w:t>5.6 Strengths and Limitations of This Dissertation</w:t>
            </w:r>
            <w:r>
              <w:rPr>
                <w:noProof/>
                <w:webHidden/>
              </w:rPr>
              <w:tab/>
            </w:r>
            <w:r>
              <w:rPr>
                <w:noProof/>
                <w:webHidden/>
              </w:rPr>
              <w:fldChar w:fldCharType="begin"/>
            </w:r>
            <w:r>
              <w:rPr>
                <w:noProof/>
                <w:webHidden/>
              </w:rPr>
              <w:instrText xml:space="preserve"> PAGEREF _Toc220878946 \h </w:instrText>
            </w:r>
            <w:r>
              <w:rPr>
                <w:noProof/>
                <w:webHidden/>
              </w:rPr>
            </w:r>
            <w:r>
              <w:rPr>
                <w:noProof/>
                <w:webHidden/>
              </w:rPr>
              <w:fldChar w:fldCharType="separate"/>
            </w:r>
            <w:r w:rsidR="00F07385">
              <w:rPr>
                <w:noProof/>
                <w:webHidden/>
              </w:rPr>
              <w:t>60</w:t>
            </w:r>
            <w:r>
              <w:rPr>
                <w:noProof/>
                <w:webHidden/>
              </w:rPr>
              <w:fldChar w:fldCharType="end"/>
            </w:r>
          </w:hyperlink>
        </w:p>
        <w:p w14:paraId="7A14E6AF" w14:textId="259FA335" w:rsidR="00F21EF2" w:rsidRDefault="00F21EF2">
          <w:pPr>
            <w:pStyle w:val="TOC2"/>
            <w:tabs>
              <w:tab w:val="right" w:leader="dot" w:pos="8302"/>
            </w:tabs>
            <w:rPr>
              <w:rFonts w:eastAsiaTheme="minorEastAsia"/>
              <w:noProof/>
              <w:lang w:eastAsia="en-IN"/>
            </w:rPr>
          </w:pPr>
          <w:hyperlink w:anchor="_Toc220878947" w:history="1">
            <w:r w:rsidRPr="007D5E5D">
              <w:rPr>
                <w:rStyle w:val="Hyperlink"/>
                <w:rFonts w:ascii="Arial" w:hAnsi="Arial" w:cs="Arial"/>
                <w:b/>
                <w:bCs/>
                <w:noProof/>
              </w:rPr>
              <w:t>5.7 Overall Conclusion</w:t>
            </w:r>
            <w:r>
              <w:rPr>
                <w:noProof/>
                <w:webHidden/>
              </w:rPr>
              <w:tab/>
            </w:r>
            <w:r>
              <w:rPr>
                <w:noProof/>
                <w:webHidden/>
              </w:rPr>
              <w:fldChar w:fldCharType="begin"/>
            </w:r>
            <w:r>
              <w:rPr>
                <w:noProof/>
                <w:webHidden/>
              </w:rPr>
              <w:instrText xml:space="preserve"> PAGEREF _Toc220878947 \h </w:instrText>
            </w:r>
            <w:r>
              <w:rPr>
                <w:noProof/>
                <w:webHidden/>
              </w:rPr>
            </w:r>
            <w:r>
              <w:rPr>
                <w:noProof/>
                <w:webHidden/>
              </w:rPr>
              <w:fldChar w:fldCharType="separate"/>
            </w:r>
            <w:r w:rsidR="00F07385">
              <w:rPr>
                <w:noProof/>
                <w:webHidden/>
              </w:rPr>
              <w:t>61</w:t>
            </w:r>
            <w:r>
              <w:rPr>
                <w:noProof/>
                <w:webHidden/>
              </w:rPr>
              <w:fldChar w:fldCharType="end"/>
            </w:r>
          </w:hyperlink>
        </w:p>
        <w:p w14:paraId="0EE2D2B8" w14:textId="09D8AB1F" w:rsidR="00F21EF2" w:rsidRDefault="00F21EF2">
          <w:pPr>
            <w:pStyle w:val="TOC1"/>
            <w:tabs>
              <w:tab w:val="right" w:leader="dot" w:pos="8302"/>
            </w:tabs>
            <w:rPr>
              <w:rFonts w:eastAsiaTheme="minorEastAsia"/>
              <w:noProof/>
              <w:lang w:eastAsia="en-IN"/>
            </w:rPr>
          </w:pPr>
          <w:hyperlink w:anchor="_Toc220878948" w:history="1">
            <w:r w:rsidRPr="007D5E5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_Toc220878948 \h </w:instrText>
            </w:r>
            <w:r>
              <w:rPr>
                <w:noProof/>
                <w:webHidden/>
              </w:rPr>
            </w:r>
            <w:r>
              <w:rPr>
                <w:noProof/>
                <w:webHidden/>
              </w:rPr>
              <w:fldChar w:fldCharType="separate"/>
            </w:r>
            <w:r w:rsidR="00F07385">
              <w:rPr>
                <w:noProof/>
                <w:webHidden/>
              </w:rPr>
              <w:t>63</w:t>
            </w:r>
            <w:r>
              <w:rPr>
                <w:noProof/>
                <w:webHidden/>
              </w:rPr>
              <w:fldChar w:fldCharType="end"/>
            </w:r>
          </w:hyperlink>
        </w:p>
        <w:p w14:paraId="2EBA9C29" w14:textId="47767B44" w:rsidR="00F21EF2" w:rsidRDefault="00F21EF2">
          <w:pPr>
            <w:pStyle w:val="TOC1"/>
            <w:tabs>
              <w:tab w:val="right" w:leader="dot" w:pos="8302"/>
            </w:tabs>
            <w:rPr>
              <w:rFonts w:eastAsiaTheme="minorEastAsia"/>
              <w:noProof/>
              <w:lang w:eastAsia="en-IN"/>
            </w:rPr>
          </w:pPr>
          <w:hyperlink w:anchor="_Toc220878949" w:history="1">
            <w:r w:rsidRPr="007D5E5D">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_Toc220878949 \h </w:instrText>
            </w:r>
            <w:r>
              <w:rPr>
                <w:noProof/>
                <w:webHidden/>
              </w:rPr>
            </w:r>
            <w:r>
              <w:rPr>
                <w:noProof/>
                <w:webHidden/>
              </w:rPr>
              <w:fldChar w:fldCharType="separate"/>
            </w:r>
            <w:r w:rsidR="00F07385">
              <w:rPr>
                <w:noProof/>
                <w:webHidden/>
              </w:rPr>
              <w:t>72</w:t>
            </w:r>
            <w:r>
              <w:rPr>
                <w:noProof/>
                <w:webHidden/>
              </w:rPr>
              <w:fldChar w:fldCharType="end"/>
            </w:r>
          </w:hyperlink>
        </w:p>
        <w:p w14:paraId="1FFDCD25" w14:textId="48059707" w:rsidR="00096385" w:rsidRPr="003C75C6" w:rsidRDefault="005D7A7A" w:rsidP="003C75C6">
          <w:r w:rsidRPr="00694A13">
            <w:rPr>
              <w:b/>
              <w:bCs/>
              <w:noProof/>
              <w:sz w:val="22"/>
              <w:szCs w:val="22"/>
            </w:rPr>
            <w:fldChar w:fldCharType="end"/>
          </w:r>
        </w:p>
      </w:sdtContent>
    </w:sdt>
    <w:bookmarkStart w:id="2" w:name="_Hlk219805868" w:displacedByCustomXml="prev"/>
    <w:bookmarkEnd w:id="2"/>
    <w:p w14:paraId="024FCD36" w14:textId="77777777" w:rsidR="001170EC" w:rsidRDefault="001170EC" w:rsidP="001170EC">
      <w:pPr>
        <w:rPr>
          <w:rFonts w:ascii="Arial" w:hAnsi="Arial" w:cs="Arial"/>
          <w:b/>
          <w:bCs/>
          <w:sz w:val="32"/>
          <w:szCs w:val="32"/>
        </w:rPr>
      </w:pPr>
    </w:p>
    <w:p w14:paraId="37424D10" w14:textId="77777777" w:rsidR="001170EC" w:rsidRDefault="001170EC" w:rsidP="001170EC">
      <w:pPr>
        <w:rPr>
          <w:rFonts w:ascii="Arial" w:hAnsi="Arial" w:cs="Arial"/>
          <w:b/>
          <w:bCs/>
          <w:sz w:val="32"/>
          <w:szCs w:val="32"/>
        </w:rPr>
      </w:pPr>
    </w:p>
    <w:p w14:paraId="628B3AD7" w14:textId="77777777" w:rsidR="00694A13" w:rsidRDefault="00694A13" w:rsidP="001170EC">
      <w:pPr>
        <w:rPr>
          <w:rFonts w:ascii="Arial" w:hAnsi="Arial" w:cs="Arial"/>
          <w:b/>
          <w:bCs/>
          <w:sz w:val="32"/>
          <w:szCs w:val="32"/>
        </w:rPr>
      </w:pPr>
    </w:p>
    <w:p w14:paraId="3FA4CADE" w14:textId="77777777" w:rsidR="000D29EE" w:rsidRDefault="000D29EE" w:rsidP="001170EC">
      <w:pPr>
        <w:rPr>
          <w:rFonts w:ascii="Arial" w:hAnsi="Arial" w:cs="Arial"/>
          <w:b/>
          <w:bCs/>
          <w:sz w:val="32"/>
          <w:szCs w:val="32"/>
        </w:rPr>
      </w:pPr>
    </w:p>
    <w:p w14:paraId="759A3B46" w14:textId="77777777" w:rsidR="000D29EE" w:rsidRDefault="000D29EE" w:rsidP="001170EC">
      <w:pPr>
        <w:rPr>
          <w:rFonts w:ascii="Arial" w:hAnsi="Arial" w:cs="Arial"/>
          <w:b/>
          <w:bCs/>
          <w:sz w:val="32"/>
          <w:szCs w:val="32"/>
        </w:rPr>
      </w:pPr>
    </w:p>
    <w:p w14:paraId="683F1E3A" w14:textId="77777777" w:rsidR="000D29EE" w:rsidRDefault="000D29EE" w:rsidP="001170EC">
      <w:pPr>
        <w:rPr>
          <w:rFonts w:ascii="Arial" w:hAnsi="Arial" w:cs="Arial"/>
          <w:b/>
          <w:bCs/>
          <w:sz w:val="32"/>
          <w:szCs w:val="32"/>
        </w:rPr>
      </w:pPr>
    </w:p>
    <w:p w14:paraId="39AD9C03" w14:textId="77777777" w:rsidR="000D29EE" w:rsidRDefault="000D29EE" w:rsidP="001170EC">
      <w:pPr>
        <w:rPr>
          <w:rFonts w:ascii="Arial" w:hAnsi="Arial" w:cs="Arial"/>
          <w:b/>
          <w:bCs/>
          <w:sz w:val="32"/>
          <w:szCs w:val="32"/>
        </w:rPr>
      </w:pPr>
    </w:p>
    <w:p w14:paraId="0EC26127" w14:textId="77777777" w:rsidR="000D29EE" w:rsidRDefault="000D29EE" w:rsidP="001170EC">
      <w:pPr>
        <w:rPr>
          <w:rFonts w:ascii="Arial" w:hAnsi="Arial" w:cs="Arial"/>
          <w:b/>
          <w:bCs/>
          <w:sz w:val="32"/>
          <w:szCs w:val="32"/>
        </w:rPr>
      </w:pPr>
    </w:p>
    <w:p w14:paraId="4E1A44B6" w14:textId="77777777" w:rsidR="000D29EE" w:rsidRDefault="000D29EE" w:rsidP="001170EC">
      <w:pPr>
        <w:rPr>
          <w:rFonts w:ascii="Arial" w:hAnsi="Arial" w:cs="Arial"/>
          <w:b/>
          <w:bCs/>
          <w:sz w:val="32"/>
          <w:szCs w:val="32"/>
        </w:rPr>
      </w:pPr>
    </w:p>
    <w:p w14:paraId="57D30226" w14:textId="77777777" w:rsidR="000D29EE" w:rsidRDefault="000D29EE" w:rsidP="001170EC">
      <w:pPr>
        <w:rPr>
          <w:rFonts w:ascii="Arial" w:hAnsi="Arial" w:cs="Arial"/>
          <w:b/>
          <w:bCs/>
          <w:sz w:val="32"/>
          <w:szCs w:val="32"/>
        </w:rPr>
      </w:pPr>
    </w:p>
    <w:p w14:paraId="190BD9F3" w14:textId="77777777" w:rsidR="000D29EE" w:rsidRDefault="000D29EE" w:rsidP="001170EC">
      <w:pPr>
        <w:rPr>
          <w:rFonts w:ascii="Arial" w:hAnsi="Arial" w:cs="Arial"/>
          <w:b/>
          <w:bCs/>
          <w:sz w:val="32"/>
          <w:szCs w:val="32"/>
        </w:rPr>
      </w:pPr>
    </w:p>
    <w:p w14:paraId="19FCC2BE" w14:textId="77777777" w:rsidR="000D29EE" w:rsidRDefault="000D29EE" w:rsidP="001170EC">
      <w:pPr>
        <w:rPr>
          <w:rFonts w:ascii="Arial" w:hAnsi="Arial" w:cs="Arial"/>
          <w:b/>
          <w:bCs/>
          <w:sz w:val="32"/>
          <w:szCs w:val="32"/>
        </w:rPr>
      </w:pPr>
    </w:p>
    <w:p w14:paraId="758D9870" w14:textId="77777777" w:rsidR="000D29EE" w:rsidRDefault="000D29EE" w:rsidP="001170EC">
      <w:pPr>
        <w:rPr>
          <w:rFonts w:ascii="Arial" w:hAnsi="Arial" w:cs="Arial"/>
          <w:b/>
          <w:bCs/>
          <w:sz w:val="32"/>
          <w:szCs w:val="32"/>
        </w:rPr>
      </w:pPr>
    </w:p>
    <w:p w14:paraId="28F56691" w14:textId="77777777" w:rsidR="000D29EE" w:rsidRDefault="000D29EE" w:rsidP="001170EC">
      <w:pPr>
        <w:rPr>
          <w:rFonts w:ascii="Arial" w:hAnsi="Arial" w:cs="Arial"/>
          <w:b/>
          <w:bCs/>
          <w:sz w:val="32"/>
          <w:szCs w:val="32"/>
        </w:rPr>
      </w:pPr>
    </w:p>
    <w:p w14:paraId="1AA75FB3" w14:textId="77777777" w:rsidR="000D29EE" w:rsidRDefault="000D29EE" w:rsidP="001170EC">
      <w:pPr>
        <w:rPr>
          <w:rFonts w:ascii="Arial" w:hAnsi="Arial" w:cs="Arial"/>
          <w:b/>
          <w:bCs/>
          <w:sz w:val="32"/>
          <w:szCs w:val="32"/>
        </w:rPr>
      </w:pPr>
    </w:p>
    <w:p w14:paraId="74E43F11" w14:textId="77777777" w:rsidR="000D29EE" w:rsidRDefault="000D29EE" w:rsidP="001170EC">
      <w:pPr>
        <w:rPr>
          <w:rFonts w:ascii="Arial" w:hAnsi="Arial" w:cs="Arial"/>
          <w:b/>
          <w:bCs/>
          <w:sz w:val="32"/>
          <w:szCs w:val="32"/>
        </w:rPr>
      </w:pPr>
    </w:p>
    <w:p w14:paraId="10AC6764" w14:textId="77777777" w:rsidR="000D29EE" w:rsidRDefault="000D29EE" w:rsidP="001170EC">
      <w:pPr>
        <w:rPr>
          <w:rFonts w:ascii="Arial" w:hAnsi="Arial" w:cs="Arial"/>
          <w:b/>
          <w:bCs/>
          <w:sz w:val="32"/>
          <w:szCs w:val="32"/>
        </w:rPr>
      </w:pPr>
    </w:p>
    <w:p w14:paraId="25583914" w14:textId="77777777" w:rsidR="000D29EE" w:rsidRDefault="000D29EE" w:rsidP="001170EC">
      <w:pPr>
        <w:rPr>
          <w:rFonts w:ascii="Arial" w:hAnsi="Arial" w:cs="Arial"/>
          <w:b/>
          <w:bCs/>
          <w:sz w:val="32"/>
          <w:szCs w:val="32"/>
        </w:rPr>
      </w:pPr>
    </w:p>
    <w:p w14:paraId="1A3F8C25" w14:textId="77777777" w:rsidR="000D29EE" w:rsidRDefault="000D29EE" w:rsidP="001170EC">
      <w:pPr>
        <w:rPr>
          <w:rFonts w:ascii="Arial" w:hAnsi="Arial" w:cs="Arial"/>
          <w:b/>
          <w:bCs/>
          <w:sz w:val="32"/>
          <w:szCs w:val="32"/>
        </w:rPr>
      </w:pPr>
    </w:p>
    <w:p w14:paraId="2D2946DD" w14:textId="77777777" w:rsidR="000D29EE" w:rsidRDefault="000D29EE" w:rsidP="001170EC">
      <w:pPr>
        <w:rPr>
          <w:rFonts w:ascii="Arial" w:hAnsi="Arial" w:cs="Arial"/>
          <w:b/>
          <w:bCs/>
          <w:sz w:val="32"/>
          <w:szCs w:val="32"/>
        </w:rPr>
      </w:pPr>
    </w:p>
    <w:p w14:paraId="59F276A1" w14:textId="77777777" w:rsidR="000D29EE" w:rsidRDefault="000D29EE" w:rsidP="001170EC">
      <w:pPr>
        <w:rPr>
          <w:rFonts w:ascii="Arial" w:hAnsi="Arial" w:cs="Arial"/>
          <w:b/>
          <w:bCs/>
          <w:sz w:val="32"/>
          <w:szCs w:val="32"/>
        </w:rPr>
      </w:pPr>
    </w:p>
    <w:p w14:paraId="13A8E274" w14:textId="779FFCC8" w:rsidR="00C25D06" w:rsidRPr="00C25D06" w:rsidRDefault="00C25D06" w:rsidP="00C25D06">
      <w:pPr>
        <w:pStyle w:val="Heading1"/>
        <w:rPr>
          <w:rFonts w:ascii="Arial" w:hAnsi="Arial" w:cs="Arial"/>
          <w:b/>
          <w:bCs/>
          <w:sz w:val="32"/>
          <w:szCs w:val="32"/>
        </w:rPr>
      </w:pPr>
      <w:bookmarkStart w:id="3" w:name="_Toc220878856"/>
      <w:r w:rsidRPr="00C25D06">
        <w:rPr>
          <w:rFonts w:ascii="Arial" w:hAnsi="Arial" w:cs="Arial"/>
          <w:b/>
          <w:bCs/>
          <w:sz w:val="32"/>
          <w:szCs w:val="32"/>
        </w:rPr>
        <w:lastRenderedPageBreak/>
        <w:t>List of Figures</w:t>
      </w:r>
      <w:bookmarkEnd w:id="3"/>
    </w:p>
    <w:p w14:paraId="1ADBC361" w14:textId="6E57BC22" w:rsidR="00F21EF2" w:rsidRDefault="00694A13">
      <w:pPr>
        <w:pStyle w:val="TableofFigures"/>
        <w:tabs>
          <w:tab w:val="right" w:leader="dot" w:pos="8302"/>
        </w:tabs>
        <w:rPr>
          <w:rFonts w:eastAsiaTheme="minorEastAsia"/>
          <w:noProof/>
          <w:lang w:eastAsia="en-IN"/>
        </w:rPr>
      </w:pPr>
      <w:r>
        <w:rPr>
          <w:rFonts w:ascii="Arial" w:hAnsi="Arial" w:cs="Arial"/>
          <w:b/>
          <w:bCs/>
          <w:sz w:val="32"/>
          <w:szCs w:val="32"/>
        </w:rPr>
        <w:fldChar w:fldCharType="begin"/>
      </w:r>
      <w:r>
        <w:rPr>
          <w:rFonts w:ascii="Arial" w:hAnsi="Arial" w:cs="Arial"/>
          <w:b/>
          <w:bCs/>
          <w:sz w:val="32"/>
          <w:szCs w:val="32"/>
        </w:rPr>
        <w:instrText xml:space="preserve"> TOC \h \z \c "Figure" </w:instrText>
      </w:r>
      <w:r>
        <w:rPr>
          <w:rFonts w:ascii="Arial" w:hAnsi="Arial" w:cs="Arial"/>
          <w:b/>
          <w:bCs/>
          <w:sz w:val="32"/>
          <w:szCs w:val="32"/>
        </w:rPr>
        <w:fldChar w:fldCharType="separate"/>
      </w:r>
      <w:hyperlink w:anchor="_Toc220878847" w:history="1">
        <w:r w:rsidR="00F21EF2" w:rsidRPr="00B373DB">
          <w:rPr>
            <w:rStyle w:val="Hyperlink"/>
            <w:noProof/>
          </w:rPr>
          <w:t>Figure 1: Global Epidemiology</w:t>
        </w:r>
        <w:r w:rsidR="00F21EF2">
          <w:rPr>
            <w:noProof/>
            <w:webHidden/>
          </w:rPr>
          <w:tab/>
        </w:r>
        <w:r w:rsidR="00F21EF2">
          <w:rPr>
            <w:noProof/>
            <w:webHidden/>
          </w:rPr>
          <w:fldChar w:fldCharType="begin"/>
        </w:r>
        <w:r w:rsidR="00F21EF2">
          <w:rPr>
            <w:noProof/>
            <w:webHidden/>
          </w:rPr>
          <w:instrText xml:space="preserve"> PAGEREF _Toc220878847 \h </w:instrText>
        </w:r>
        <w:r w:rsidR="00F21EF2">
          <w:rPr>
            <w:noProof/>
            <w:webHidden/>
          </w:rPr>
        </w:r>
        <w:r w:rsidR="00F21EF2">
          <w:rPr>
            <w:noProof/>
            <w:webHidden/>
          </w:rPr>
          <w:fldChar w:fldCharType="separate"/>
        </w:r>
        <w:r w:rsidR="00F07385">
          <w:rPr>
            <w:noProof/>
            <w:webHidden/>
          </w:rPr>
          <w:t>18</w:t>
        </w:r>
        <w:r w:rsidR="00F21EF2">
          <w:rPr>
            <w:noProof/>
            <w:webHidden/>
          </w:rPr>
          <w:fldChar w:fldCharType="end"/>
        </w:r>
      </w:hyperlink>
    </w:p>
    <w:p w14:paraId="7BE3155C" w14:textId="4D88FD89" w:rsidR="00F21EF2" w:rsidRDefault="00F21EF2">
      <w:pPr>
        <w:pStyle w:val="TableofFigures"/>
        <w:tabs>
          <w:tab w:val="right" w:leader="dot" w:pos="8302"/>
        </w:tabs>
        <w:rPr>
          <w:rFonts w:eastAsiaTheme="minorEastAsia"/>
          <w:noProof/>
          <w:lang w:eastAsia="en-IN"/>
        </w:rPr>
      </w:pPr>
      <w:hyperlink w:anchor="_Toc220878848" w:history="1">
        <w:r w:rsidRPr="00B373DB">
          <w:rPr>
            <w:rStyle w:val="Hyperlink"/>
            <w:noProof/>
          </w:rPr>
          <w:t>Figure 2: United Kingdom Epidemiology</w:t>
        </w:r>
        <w:r>
          <w:rPr>
            <w:noProof/>
            <w:webHidden/>
          </w:rPr>
          <w:tab/>
        </w:r>
        <w:r>
          <w:rPr>
            <w:noProof/>
            <w:webHidden/>
          </w:rPr>
          <w:fldChar w:fldCharType="begin"/>
        </w:r>
        <w:r>
          <w:rPr>
            <w:noProof/>
            <w:webHidden/>
          </w:rPr>
          <w:instrText xml:space="preserve"> PAGEREF _Toc220878848 \h </w:instrText>
        </w:r>
        <w:r>
          <w:rPr>
            <w:noProof/>
            <w:webHidden/>
          </w:rPr>
        </w:r>
        <w:r>
          <w:rPr>
            <w:noProof/>
            <w:webHidden/>
          </w:rPr>
          <w:fldChar w:fldCharType="separate"/>
        </w:r>
        <w:r w:rsidR="00F07385">
          <w:rPr>
            <w:noProof/>
            <w:webHidden/>
          </w:rPr>
          <w:t>19</w:t>
        </w:r>
        <w:r>
          <w:rPr>
            <w:noProof/>
            <w:webHidden/>
          </w:rPr>
          <w:fldChar w:fldCharType="end"/>
        </w:r>
      </w:hyperlink>
    </w:p>
    <w:p w14:paraId="51B7624E" w14:textId="31F6695A" w:rsidR="00F21EF2" w:rsidRDefault="00F21EF2">
      <w:pPr>
        <w:pStyle w:val="TableofFigures"/>
        <w:tabs>
          <w:tab w:val="right" w:leader="dot" w:pos="8302"/>
        </w:tabs>
        <w:rPr>
          <w:rFonts w:eastAsiaTheme="minorEastAsia"/>
          <w:noProof/>
          <w:lang w:eastAsia="en-IN"/>
        </w:rPr>
      </w:pPr>
      <w:hyperlink w:anchor="_Toc220878849" w:history="1">
        <w:r w:rsidRPr="00B373DB">
          <w:rPr>
            <w:rStyle w:val="Hyperlink"/>
            <w:noProof/>
          </w:rPr>
          <w:t>Figure 3: Systematic review process for community-based Physiotherapy</w:t>
        </w:r>
        <w:r>
          <w:rPr>
            <w:noProof/>
            <w:webHidden/>
          </w:rPr>
          <w:tab/>
        </w:r>
        <w:r>
          <w:rPr>
            <w:noProof/>
            <w:webHidden/>
          </w:rPr>
          <w:fldChar w:fldCharType="begin"/>
        </w:r>
        <w:r>
          <w:rPr>
            <w:noProof/>
            <w:webHidden/>
          </w:rPr>
          <w:instrText xml:space="preserve"> PAGEREF _Toc220878849 \h </w:instrText>
        </w:r>
        <w:r>
          <w:rPr>
            <w:noProof/>
            <w:webHidden/>
          </w:rPr>
        </w:r>
        <w:r>
          <w:rPr>
            <w:noProof/>
            <w:webHidden/>
          </w:rPr>
          <w:fldChar w:fldCharType="separate"/>
        </w:r>
        <w:r w:rsidR="00F07385">
          <w:rPr>
            <w:noProof/>
            <w:webHidden/>
          </w:rPr>
          <w:t>37</w:t>
        </w:r>
        <w:r>
          <w:rPr>
            <w:noProof/>
            <w:webHidden/>
          </w:rPr>
          <w:fldChar w:fldCharType="end"/>
        </w:r>
      </w:hyperlink>
    </w:p>
    <w:p w14:paraId="03433C28" w14:textId="58A231E2" w:rsidR="00F21EF2" w:rsidRDefault="00F21EF2">
      <w:pPr>
        <w:pStyle w:val="TableofFigures"/>
        <w:tabs>
          <w:tab w:val="right" w:leader="dot" w:pos="8302"/>
        </w:tabs>
        <w:rPr>
          <w:rFonts w:eastAsiaTheme="minorEastAsia"/>
          <w:noProof/>
          <w:lang w:eastAsia="en-IN"/>
        </w:rPr>
      </w:pPr>
      <w:hyperlink w:anchor="_Toc220878850" w:history="1">
        <w:r w:rsidRPr="00B373DB">
          <w:rPr>
            <w:rStyle w:val="Hyperlink"/>
            <w:noProof/>
          </w:rPr>
          <w:t>Figure 4: PRISMA Flow Chart</w:t>
        </w:r>
        <w:r>
          <w:rPr>
            <w:noProof/>
            <w:webHidden/>
          </w:rPr>
          <w:tab/>
        </w:r>
        <w:r>
          <w:rPr>
            <w:noProof/>
            <w:webHidden/>
          </w:rPr>
          <w:fldChar w:fldCharType="begin"/>
        </w:r>
        <w:r>
          <w:rPr>
            <w:noProof/>
            <w:webHidden/>
          </w:rPr>
          <w:instrText xml:space="preserve"> PAGEREF _Toc220878850 \h </w:instrText>
        </w:r>
        <w:r>
          <w:rPr>
            <w:noProof/>
            <w:webHidden/>
          </w:rPr>
        </w:r>
        <w:r>
          <w:rPr>
            <w:noProof/>
            <w:webHidden/>
          </w:rPr>
          <w:fldChar w:fldCharType="separate"/>
        </w:r>
        <w:r w:rsidR="00F07385">
          <w:rPr>
            <w:noProof/>
            <w:webHidden/>
          </w:rPr>
          <w:t>42</w:t>
        </w:r>
        <w:r>
          <w:rPr>
            <w:noProof/>
            <w:webHidden/>
          </w:rPr>
          <w:fldChar w:fldCharType="end"/>
        </w:r>
      </w:hyperlink>
    </w:p>
    <w:p w14:paraId="45677AA3" w14:textId="4DDECE79" w:rsidR="00F21EF2" w:rsidRDefault="00F21EF2">
      <w:pPr>
        <w:pStyle w:val="TableofFigures"/>
        <w:tabs>
          <w:tab w:val="right" w:leader="dot" w:pos="8302"/>
        </w:tabs>
        <w:rPr>
          <w:rFonts w:eastAsiaTheme="minorEastAsia"/>
          <w:noProof/>
          <w:lang w:eastAsia="en-IN"/>
        </w:rPr>
      </w:pPr>
      <w:hyperlink w:anchor="_Toc220878851" w:history="1">
        <w:r w:rsidRPr="00B373DB">
          <w:rPr>
            <w:rStyle w:val="Hyperlink"/>
            <w:noProof/>
          </w:rPr>
          <w:t>Figure 5: Impact of Physiotherapy on Fall reduction</w:t>
        </w:r>
        <w:r>
          <w:rPr>
            <w:noProof/>
            <w:webHidden/>
          </w:rPr>
          <w:tab/>
        </w:r>
        <w:r>
          <w:rPr>
            <w:noProof/>
            <w:webHidden/>
          </w:rPr>
          <w:fldChar w:fldCharType="begin"/>
        </w:r>
        <w:r>
          <w:rPr>
            <w:noProof/>
            <w:webHidden/>
          </w:rPr>
          <w:instrText xml:space="preserve"> PAGEREF _Toc220878851 \h </w:instrText>
        </w:r>
        <w:r>
          <w:rPr>
            <w:noProof/>
            <w:webHidden/>
          </w:rPr>
        </w:r>
        <w:r>
          <w:rPr>
            <w:noProof/>
            <w:webHidden/>
          </w:rPr>
          <w:fldChar w:fldCharType="separate"/>
        </w:r>
        <w:r w:rsidR="00F07385">
          <w:rPr>
            <w:noProof/>
            <w:webHidden/>
          </w:rPr>
          <w:t>50</w:t>
        </w:r>
        <w:r>
          <w:rPr>
            <w:noProof/>
            <w:webHidden/>
          </w:rPr>
          <w:fldChar w:fldCharType="end"/>
        </w:r>
      </w:hyperlink>
    </w:p>
    <w:p w14:paraId="1C0A8546" w14:textId="2DD88A39" w:rsidR="00694A13" w:rsidRDefault="00694A13" w:rsidP="001170EC">
      <w:pPr>
        <w:rPr>
          <w:rFonts w:ascii="Arial" w:hAnsi="Arial" w:cs="Arial"/>
          <w:b/>
          <w:bCs/>
          <w:sz w:val="32"/>
          <w:szCs w:val="32"/>
        </w:rPr>
      </w:pPr>
      <w:r>
        <w:rPr>
          <w:rFonts w:ascii="Arial" w:hAnsi="Arial" w:cs="Arial"/>
          <w:b/>
          <w:bCs/>
          <w:sz w:val="32"/>
          <w:szCs w:val="32"/>
        </w:rPr>
        <w:fldChar w:fldCharType="end"/>
      </w:r>
    </w:p>
    <w:p w14:paraId="6AE40846" w14:textId="77777777" w:rsidR="00694A13" w:rsidRDefault="00694A13" w:rsidP="001170EC">
      <w:pPr>
        <w:rPr>
          <w:rFonts w:ascii="Arial" w:hAnsi="Arial" w:cs="Arial"/>
          <w:b/>
          <w:bCs/>
          <w:sz w:val="32"/>
          <w:szCs w:val="32"/>
        </w:rPr>
      </w:pPr>
    </w:p>
    <w:p w14:paraId="2B87681F" w14:textId="77777777" w:rsidR="00694A13" w:rsidRDefault="00694A13" w:rsidP="001170EC">
      <w:pPr>
        <w:rPr>
          <w:rFonts w:ascii="Arial" w:hAnsi="Arial" w:cs="Arial"/>
          <w:b/>
          <w:bCs/>
          <w:sz w:val="32"/>
          <w:szCs w:val="32"/>
        </w:rPr>
      </w:pPr>
    </w:p>
    <w:p w14:paraId="439E41CD" w14:textId="77777777" w:rsidR="00694A13" w:rsidRDefault="00694A13" w:rsidP="001170EC">
      <w:pPr>
        <w:rPr>
          <w:rFonts w:ascii="Arial" w:hAnsi="Arial" w:cs="Arial"/>
          <w:b/>
          <w:bCs/>
          <w:sz w:val="32"/>
          <w:szCs w:val="32"/>
        </w:rPr>
      </w:pPr>
    </w:p>
    <w:p w14:paraId="5F9A2D6E" w14:textId="77777777" w:rsidR="00694A13" w:rsidRDefault="00694A13" w:rsidP="001170EC">
      <w:pPr>
        <w:rPr>
          <w:rFonts w:ascii="Arial" w:hAnsi="Arial" w:cs="Arial"/>
          <w:b/>
          <w:bCs/>
          <w:sz w:val="32"/>
          <w:szCs w:val="32"/>
        </w:rPr>
      </w:pPr>
    </w:p>
    <w:p w14:paraId="466CD7FF" w14:textId="77777777" w:rsidR="00694A13" w:rsidRDefault="00694A13" w:rsidP="001170EC">
      <w:pPr>
        <w:rPr>
          <w:rFonts w:ascii="Arial" w:hAnsi="Arial" w:cs="Arial"/>
          <w:b/>
          <w:bCs/>
          <w:sz w:val="32"/>
          <w:szCs w:val="32"/>
        </w:rPr>
      </w:pPr>
    </w:p>
    <w:p w14:paraId="21808A61" w14:textId="77777777" w:rsidR="00694A13" w:rsidRDefault="00694A13" w:rsidP="001170EC">
      <w:pPr>
        <w:rPr>
          <w:rFonts w:ascii="Arial" w:hAnsi="Arial" w:cs="Arial"/>
          <w:b/>
          <w:bCs/>
          <w:sz w:val="32"/>
          <w:szCs w:val="32"/>
        </w:rPr>
      </w:pPr>
    </w:p>
    <w:p w14:paraId="2DA5CBE6" w14:textId="77777777" w:rsidR="00694A13" w:rsidRDefault="00694A13" w:rsidP="001170EC">
      <w:pPr>
        <w:rPr>
          <w:rFonts w:ascii="Arial" w:hAnsi="Arial" w:cs="Arial"/>
          <w:b/>
          <w:bCs/>
          <w:sz w:val="32"/>
          <w:szCs w:val="32"/>
        </w:rPr>
      </w:pPr>
    </w:p>
    <w:p w14:paraId="301C5561" w14:textId="77777777" w:rsidR="00694A13" w:rsidRDefault="00694A13" w:rsidP="001170EC">
      <w:pPr>
        <w:rPr>
          <w:rFonts w:ascii="Arial" w:hAnsi="Arial" w:cs="Arial"/>
          <w:b/>
          <w:bCs/>
          <w:sz w:val="32"/>
          <w:szCs w:val="32"/>
        </w:rPr>
      </w:pPr>
    </w:p>
    <w:p w14:paraId="1EFCB8BA" w14:textId="77777777" w:rsidR="00694A13" w:rsidRDefault="00694A13" w:rsidP="001170EC">
      <w:pPr>
        <w:rPr>
          <w:rFonts w:ascii="Arial" w:hAnsi="Arial" w:cs="Arial"/>
          <w:b/>
          <w:bCs/>
          <w:sz w:val="32"/>
          <w:szCs w:val="32"/>
        </w:rPr>
      </w:pPr>
    </w:p>
    <w:p w14:paraId="315240F8" w14:textId="77777777" w:rsidR="00694A13" w:rsidRDefault="00694A13" w:rsidP="001170EC">
      <w:pPr>
        <w:rPr>
          <w:rFonts w:ascii="Arial" w:hAnsi="Arial" w:cs="Arial"/>
          <w:b/>
          <w:bCs/>
          <w:sz w:val="32"/>
          <w:szCs w:val="32"/>
        </w:rPr>
      </w:pPr>
    </w:p>
    <w:p w14:paraId="19C7AED6" w14:textId="77777777" w:rsidR="00694A13" w:rsidRDefault="00694A13" w:rsidP="001170EC">
      <w:pPr>
        <w:rPr>
          <w:rFonts w:ascii="Arial" w:hAnsi="Arial" w:cs="Arial"/>
          <w:b/>
          <w:bCs/>
          <w:sz w:val="32"/>
          <w:szCs w:val="32"/>
        </w:rPr>
      </w:pPr>
    </w:p>
    <w:p w14:paraId="1EED95D0" w14:textId="77777777" w:rsidR="00694A13" w:rsidRDefault="00694A13" w:rsidP="001170EC">
      <w:pPr>
        <w:rPr>
          <w:rFonts w:ascii="Arial" w:hAnsi="Arial" w:cs="Arial"/>
          <w:b/>
          <w:bCs/>
          <w:sz w:val="32"/>
          <w:szCs w:val="32"/>
        </w:rPr>
      </w:pPr>
    </w:p>
    <w:p w14:paraId="5C1E3DB4" w14:textId="77777777" w:rsidR="00694A13" w:rsidRDefault="00694A13" w:rsidP="001170EC">
      <w:pPr>
        <w:rPr>
          <w:rFonts w:ascii="Arial" w:hAnsi="Arial" w:cs="Arial"/>
          <w:b/>
          <w:bCs/>
          <w:sz w:val="32"/>
          <w:szCs w:val="32"/>
        </w:rPr>
      </w:pPr>
    </w:p>
    <w:p w14:paraId="0C610CB4" w14:textId="77777777" w:rsidR="00694A13" w:rsidRDefault="00694A13" w:rsidP="001170EC">
      <w:pPr>
        <w:rPr>
          <w:rFonts w:ascii="Arial" w:hAnsi="Arial" w:cs="Arial"/>
          <w:b/>
          <w:bCs/>
          <w:sz w:val="32"/>
          <w:szCs w:val="32"/>
        </w:rPr>
      </w:pPr>
    </w:p>
    <w:p w14:paraId="2E369DEF" w14:textId="77777777" w:rsidR="00694A13" w:rsidRDefault="00694A13" w:rsidP="001170EC">
      <w:pPr>
        <w:rPr>
          <w:rFonts w:ascii="Arial" w:hAnsi="Arial" w:cs="Arial"/>
          <w:b/>
          <w:bCs/>
          <w:sz w:val="32"/>
          <w:szCs w:val="32"/>
        </w:rPr>
      </w:pPr>
    </w:p>
    <w:p w14:paraId="70EEDF8B" w14:textId="77777777" w:rsidR="00694A13" w:rsidRDefault="00694A13" w:rsidP="001170EC">
      <w:pPr>
        <w:rPr>
          <w:rFonts w:ascii="Arial" w:hAnsi="Arial" w:cs="Arial"/>
          <w:b/>
          <w:bCs/>
          <w:sz w:val="32"/>
          <w:szCs w:val="32"/>
        </w:rPr>
      </w:pPr>
    </w:p>
    <w:p w14:paraId="63CC0624" w14:textId="77777777" w:rsidR="00694A13" w:rsidRDefault="00694A13" w:rsidP="001170EC">
      <w:pPr>
        <w:rPr>
          <w:rFonts w:ascii="Arial" w:hAnsi="Arial" w:cs="Arial"/>
          <w:b/>
          <w:bCs/>
          <w:sz w:val="32"/>
          <w:szCs w:val="32"/>
        </w:rPr>
      </w:pPr>
    </w:p>
    <w:p w14:paraId="1DD98B91" w14:textId="77777777" w:rsidR="00694A13" w:rsidRDefault="00694A13" w:rsidP="001170EC">
      <w:pPr>
        <w:rPr>
          <w:rFonts w:ascii="Arial" w:hAnsi="Arial" w:cs="Arial"/>
          <w:b/>
          <w:bCs/>
          <w:sz w:val="32"/>
          <w:szCs w:val="32"/>
        </w:rPr>
      </w:pPr>
    </w:p>
    <w:p w14:paraId="5815AC22" w14:textId="77777777" w:rsidR="00694A13" w:rsidRDefault="00694A13" w:rsidP="001170EC">
      <w:pPr>
        <w:rPr>
          <w:rFonts w:ascii="Arial" w:hAnsi="Arial" w:cs="Arial"/>
          <w:b/>
          <w:bCs/>
          <w:sz w:val="32"/>
          <w:szCs w:val="32"/>
        </w:rPr>
      </w:pPr>
    </w:p>
    <w:p w14:paraId="1AACDB22" w14:textId="5DA40C3E" w:rsidR="00694A13" w:rsidRPr="000D29EE" w:rsidRDefault="00C25D06" w:rsidP="000D29EE">
      <w:pPr>
        <w:pStyle w:val="Heading1"/>
        <w:rPr>
          <w:rFonts w:ascii="Arial" w:hAnsi="Arial" w:cs="Arial"/>
          <w:b/>
          <w:bCs/>
          <w:sz w:val="32"/>
          <w:szCs w:val="32"/>
        </w:rPr>
      </w:pPr>
      <w:bookmarkStart w:id="4" w:name="_Toc220878857"/>
      <w:r w:rsidRPr="000D29EE">
        <w:rPr>
          <w:rFonts w:ascii="Arial" w:hAnsi="Arial" w:cs="Arial"/>
          <w:b/>
          <w:bCs/>
          <w:sz w:val="32"/>
          <w:szCs w:val="32"/>
        </w:rPr>
        <w:lastRenderedPageBreak/>
        <w:t xml:space="preserve">List of </w:t>
      </w:r>
      <w:r w:rsidR="000D29EE" w:rsidRPr="000D29EE">
        <w:rPr>
          <w:rFonts w:ascii="Arial" w:hAnsi="Arial" w:cs="Arial"/>
          <w:b/>
          <w:bCs/>
          <w:sz w:val="32"/>
          <w:szCs w:val="32"/>
        </w:rPr>
        <w:t>Tables</w:t>
      </w:r>
      <w:bookmarkEnd w:id="4"/>
    </w:p>
    <w:p w14:paraId="105A33F5" w14:textId="649FDAAA" w:rsidR="00F21EF2" w:rsidRDefault="00C25D06">
      <w:pPr>
        <w:pStyle w:val="TableofFigures"/>
        <w:tabs>
          <w:tab w:val="right" w:leader="dot" w:pos="8302"/>
        </w:tabs>
        <w:rPr>
          <w:rFonts w:eastAsiaTheme="minorEastAsia"/>
          <w:noProof/>
          <w:lang w:eastAsia="en-IN"/>
        </w:rPr>
      </w:pPr>
      <w:r>
        <w:rPr>
          <w:rFonts w:ascii="Arial" w:hAnsi="Arial" w:cs="Arial"/>
          <w:b/>
          <w:bCs/>
          <w:sz w:val="32"/>
          <w:szCs w:val="32"/>
        </w:rPr>
        <w:fldChar w:fldCharType="begin"/>
      </w:r>
      <w:r>
        <w:rPr>
          <w:rFonts w:ascii="Arial" w:hAnsi="Arial" w:cs="Arial"/>
          <w:b/>
          <w:bCs/>
          <w:sz w:val="32"/>
          <w:szCs w:val="32"/>
        </w:rPr>
        <w:instrText xml:space="preserve"> TOC \h \z \c "Table" </w:instrText>
      </w:r>
      <w:r>
        <w:rPr>
          <w:rFonts w:ascii="Arial" w:hAnsi="Arial" w:cs="Arial"/>
          <w:b/>
          <w:bCs/>
          <w:sz w:val="32"/>
          <w:szCs w:val="32"/>
        </w:rPr>
        <w:fldChar w:fldCharType="separate"/>
      </w:r>
      <w:hyperlink w:anchor="_Toc220878844" w:history="1">
        <w:r w:rsidR="00F21EF2" w:rsidRPr="004D68A2">
          <w:rPr>
            <w:rStyle w:val="Hyperlink"/>
            <w:noProof/>
          </w:rPr>
          <w:t>Table 1: PICO</w:t>
        </w:r>
        <w:r w:rsidR="00F21EF2">
          <w:rPr>
            <w:noProof/>
            <w:webHidden/>
          </w:rPr>
          <w:tab/>
        </w:r>
        <w:r w:rsidR="00F21EF2">
          <w:rPr>
            <w:noProof/>
            <w:webHidden/>
          </w:rPr>
          <w:fldChar w:fldCharType="begin"/>
        </w:r>
        <w:r w:rsidR="00F21EF2">
          <w:rPr>
            <w:noProof/>
            <w:webHidden/>
          </w:rPr>
          <w:instrText xml:space="preserve"> PAGEREF _Toc220878844 \h </w:instrText>
        </w:r>
        <w:r w:rsidR="00F21EF2">
          <w:rPr>
            <w:noProof/>
            <w:webHidden/>
          </w:rPr>
        </w:r>
        <w:r w:rsidR="00F21EF2">
          <w:rPr>
            <w:noProof/>
            <w:webHidden/>
          </w:rPr>
          <w:fldChar w:fldCharType="separate"/>
        </w:r>
        <w:r w:rsidR="00F07385">
          <w:rPr>
            <w:noProof/>
            <w:webHidden/>
          </w:rPr>
          <w:t>39</w:t>
        </w:r>
        <w:r w:rsidR="00F21EF2">
          <w:rPr>
            <w:noProof/>
            <w:webHidden/>
          </w:rPr>
          <w:fldChar w:fldCharType="end"/>
        </w:r>
      </w:hyperlink>
    </w:p>
    <w:p w14:paraId="6F88051C" w14:textId="57682721" w:rsidR="00F21EF2" w:rsidRDefault="00F21EF2">
      <w:pPr>
        <w:pStyle w:val="TableofFigures"/>
        <w:tabs>
          <w:tab w:val="right" w:leader="dot" w:pos="8302"/>
        </w:tabs>
        <w:rPr>
          <w:rFonts w:eastAsiaTheme="minorEastAsia"/>
          <w:noProof/>
          <w:lang w:eastAsia="en-IN"/>
        </w:rPr>
      </w:pPr>
      <w:hyperlink w:anchor="_Toc220878845" w:history="1">
        <w:r w:rsidRPr="004D68A2">
          <w:rPr>
            <w:rStyle w:val="Hyperlink"/>
            <w:noProof/>
          </w:rPr>
          <w:t>Table 2: PICO-based Inclusion &amp; Exclusion Criteria</w:t>
        </w:r>
        <w:r>
          <w:rPr>
            <w:noProof/>
            <w:webHidden/>
          </w:rPr>
          <w:tab/>
        </w:r>
        <w:r>
          <w:rPr>
            <w:noProof/>
            <w:webHidden/>
          </w:rPr>
          <w:fldChar w:fldCharType="begin"/>
        </w:r>
        <w:r>
          <w:rPr>
            <w:noProof/>
            <w:webHidden/>
          </w:rPr>
          <w:instrText xml:space="preserve"> PAGEREF _Toc220878845 \h </w:instrText>
        </w:r>
        <w:r>
          <w:rPr>
            <w:noProof/>
            <w:webHidden/>
          </w:rPr>
        </w:r>
        <w:r>
          <w:rPr>
            <w:noProof/>
            <w:webHidden/>
          </w:rPr>
          <w:fldChar w:fldCharType="separate"/>
        </w:r>
        <w:r w:rsidR="00F07385">
          <w:rPr>
            <w:noProof/>
            <w:webHidden/>
          </w:rPr>
          <w:t>41</w:t>
        </w:r>
        <w:r>
          <w:rPr>
            <w:noProof/>
            <w:webHidden/>
          </w:rPr>
          <w:fldChar w:fldCharType="end"/>
        </w:r>
      </w:hyperlink>
    </w:p>
    <w:p w14:paraId="5038EB79" w14:textId="325A0012" w:rsidR="00F21EF2" w:rsidRDefault="00F21EF2">
      <w:pPr>
        <w:pStyle w:val="TableofFigures"/>
        <w:tabs>
          <w:tab w:val="right" w:leader="dot" w:pos="8302"/>
        </w:tabs>
        <w:rPr>
          <w:rFonts w:eastAsiaTheme="minorEastAsia"/>
          <w:noProof/>
          <w:lang w:eastAsia="en-IN"/>
        </w:rPr>
      </w:pPr>
      <w:hyperlink w:anchor="_Toc220878846" w:history="1">
        <w:r w:rsidRPr="004D68A2">
          <w:rPr>
            <w:rStyle w:val="Hyperlink"/>
            <w:noProof/>
          </w:rPr>
          <w:t>Table 3: The Twele Studies Included following the PRISMA Screening process.</w:t>
        </w:r>
        <w:r>
          <w:rPr>
            <w:noProof/>
            <w:webHidden/>
          </w:rPr>
          <w:tab/>
        </w:r>
        <w:r>
          <w:rPr>
            <w:noProof/>
            <w:webHidden/>
          </w:rPr>
          <w:fldChar w:fldCharType="begin"/>
        </w:r>
        <w:r>
          <w:rPr>
            <w:noProof/>
            <w:webHidden/>
          </w:rPr>
          <w:instrText xml:space="preserve"> PAGEREF _Toc220878846 \h </w:instrText>
        </w:r>
        <w:r>
          <w:rPr>
            <w:noProof/>
            <w:webHidden/>
          </w:rPr>
        </w:r>
        <w:r>
          <w:rPr>
            <w:noProof/>
            <w:webHidden/>
          </w:rPr>
          <w:fldChar w:fldCharType="separate"/>
        </w:r>
        <w:r w:rsidR="00F07385">
          <w:rPr>
            <w:noProof/>
            <w:webHidden/>
          </w:rPr>
          <w:t>49</w:t>
        </w:r>
        <w:r>
          <w:rPr>
            <w:noProof/>
            <w:webHidden/>
          </w:rPr>
          <w:fldChar w:fldCharType="end"/>
        </w:r>
      </w:hyperlink>
    </w:p>
    <w:p w14:paraId="49A4BE8C" w14:textId="32AE54CE" w:rsidR="00C25D06" w:rsidRDefault="00C25D06" w:rsidP="001170EC">
      <w:pPr>
        <w:rPr>
          <w:rFonts w:ascii="Arial" w:hAnsi="Arial" w:cs="Arial"/>
          <w:b/>
          <w:bCs/>
          <w:sz w:val="32"/>
          <w:szCs w:val="32"/>
        </w:rPr>
      </w:pPr>
      <w:r>
        <w:rPr>
          <w:rFonts w:ascii="Arial" w:hAnsi="Arial" w:cs="Arial"/>
          <w:b/>
          <w:bCs/>
          <w:sz w:val="32"/>
          <w:szCs w:val="32"/>
        </w:rPr>
        <w:fldChar w:fldCharType="end"/>
      </w:r>
    </w:p>
    <w:p w14:paraId="0DC9B38A" w14:textId="77777777" w:rsidR="00694A13" w:rsidRDefault="00694A13" w:rsidP="001170EC">
      <w:pPr>
        <w:rPr>
          <w:rFonts w:ascii="Arial" w:hAnsi="Arial" w:cs="Arial"/>
          <w:b/>
          <w:bCs/>
          <w:sz w:val="32"/>
          <w:szCs w:val="32"/>
        </w:rPr>
      </w:pPr>
    </w:p>
    <w:p w14:paraId="334344F3" w14:textId="77777777" w:rsidR="00694A13" w:rsidRDefault="00694A13" w:rsidP="001170EC">
      <w:pPr>
        <w:rPr>
          <w:rFonts w:ascii="Arial" w:hAnsi="Arial" w:cs="Arial"/>
          <w:b/>
          <w:bCs/>
          <w:sz w:val="32"/>
          <w:szCs w:val="32"/>
        </w:rPr>
      </w:pPr>
    </w:p>
    <w:p w14:paraId="6FE87604" w14:textId="77777777" w:rsidR="00694A13" w:rsidRDefault="00694A13" w:rsidP="001170EC">
      <w:pPr>
        <w:rPr>
          <w:rFonts w:ascii="Arial" w:hAnsi="Arial" w:cs="Arial"/>
          <w:b/>
          <w:bCs/>
          <w:sz w:val="32"/>
          <w:szCs w:val="32"/>
        </w:rPr>
      </w:pPr>
    </w:p>
    <w:p w14:paraId="7B5AEF2C" w14:textId="77777777" w:rsidR="00694A13" w:rsidRDefault="00694A13" w:rsidP="001170EC">
      <w:pPr>
        <w:rPr>
          <w:rFonts w:ascii="Arial" w:hAnsi="Arial" w:cs="Arial"/>
          <w:b/>
          <w:bCs/>
          <w:sz w:val="32"/>
          <w:szCs w:val="32"/>
        </w:rPr>
      </w:pPr>
    </w:p>
    <w:p w14:paraId="23EEEC67" w14:textId="77777777" w:rsidR="00694A13" w:rsidRDefault="00694A13" w:rsidP="001170EC">
      <w:pPr>
        <w:rPr>
          <w:rFonts w:ascii="Arial" w:hAnsi="Arial" w:cs="Arial"/>
          <w:b/>
          <w:bCs/>
          <w:sz w:val="32"/>
          <w:szCs w:val="32"/>
        </w:rPr>
      </w:pPr>
    </w:p>
    <w:p w14:paraId="50F0613B" w14:textId="77777777" w:rsidR="00694A13" w:rsidRDefault="00694A13" w:rsidP="001170EC">
      <w:pPr>
        <w:rPr>
          <w:rFonts w:ascii="Arial" w:hAnsi="Arial" w:cs="Arial"/>
          <w:b/>
          <w:bCs/>
          <w:sz w:val="32"/>
          <w:szCs w:val="32"/>
        </w:rPr>
      </w:pPr>
    </w:p>
    <w:p w14:paraId="1154FA0A" w14:textId="77777777" w:rsidR="00694A13" w:rsidRDefault="00694A13" w:rsidP="001170EC">
      <w:pPr>
        <w:rPr>
          <w:rFonts w:ascii="Arial" w:hAnsi="Arial" w:cs="Arial"/>
          <w:b/>
          <w:bCs/>
          <w:sz w:val="32"/>
          <w:szCs w:val="32"/>
        </w:rPr>
      </w:pPr>
    </w:p>
    <w:p w14:paraId="6A54E67C" w14:textId="77777777" w:rsidR="00694A13" w:rsidRDefault="00694A13" w:rsidP="001170EC">
      <w:pPr>
        <w:rPr>
          <w:rFonts w:ascii="Arial" w:hAnsi="Arial" w:cs="Arial"/>
          <w:b/>
          <w:bCs/>
          <w:sz w:val="32"/>
          <w:szCs w:val="32"/>
        </w:rPr>
      </w:pPr>
    </w:p>
    <w:p w14:paraId="6A82FBA7" w14:textId="77777777" w:rsidR="00694A13" w:rsidRDefault="00694A13" w:rsidP="001170EC">
      <w:pPr>
        <w:rPr>
          <w:rFonts w:ascii="Arial" w:hAnsi="Arial" w:cs="Arial"/>
          <w:b/>
          <w:bCs/>
          <w:sz w:val="32"/>
          <w:szCs w:val="32"/>
        </w:rPr>
      </w:pPr>
    </w:p>
    <w:p w14:paraId="32D5428B" w14:textId="77777777" w:rsidR="00694A13" w:rsidRDefault="00694A13" w:rsidP="001170EC">
      <w:pPr>
        <w:rPr>
          <w:rFonts w:ascii="Arial" w:hAnsi="Arial" w:cs="Arial"/>
          <w:b/>
          <w:bCs/>
          <w:sz w:val="32"/>
          <w:szCs w:val="32"/>
        </w:rPr>
      </w:pPr>
    </w:p>
    <w:p w14:paraId="0D0D372C" w14:textId="77777777" w:rsidR="00694A13" w:rsidRDefault="00694A13" w:rsidP="001170EC">
      <w:pPr>
        <w:rPr>
          <w:rFonts w:ascii="Arial" w:hAnsi="Arial" w:cs="Arial"/>
          <w:b/>
          <w:bCs/>
          <w:sz w:val="32"/>
          <w:szCs w:val="32"/>
        </w:rPr>
      </w:pPr>
    </w:p>
    <w:p w14:paraId="57101C1E" w14:textId="77777777" w:rsidR="00694A13" w:rsidRDefault="00694A13" w:rsidP="001170EC">
      <w:pPr>
        <w:rPr>
          <w:rFonts w:ascii="Arial" w:hAnsi="Arial" w:cs="Arial"/>
          <w:b/>
          <w:bCs/>
          <w:sz w:val="32"/>
          <w:szCs w:val="32"/>
        </w:rPr>
      </w:pPr>
    </w:p>
    <w:p w14:paraId="2961E69E" w14:textId="77777777" w:rsidR="00694A13" w:rsidRDefault="00694A13" w:rsidP="001170EC">
      <w:pPr>
        <w:rPr>
          <w:rFonts w:ascii="Arial" w:hAnsi="Arial" w:cs="Arial"/>
          <w:b/>
          <w:bCs/>
          <w:sz w:val="32"/>
          <w:szCs w:val="32"/>
        </w:rPr>
      </w:pPr>
    </w:p>
    <w:p w14:paraId="3DE06712" w14:textId="77777777" w:rsidR="00694A13" w:rsidRDefault="00694A13" w:rsidP="001170EC">
      <w:pPr>
        <w:rPr>
          <w:rFonts w:ascii="Arial" w:hAnsi="Arial" w:cs="Arial"/>
          <w:b/>
          <w:bCs/>
          <w:sz w:val="32"/>
          <w:szCs w:val="32"/>
        </w:rPr>
      </w:pPr>
    </w:p>
    <w:p w14:paraId="59187229" w14:textId="77777777" w:rsidR="00694A13" w:rsidRDefault="00694A13" w:rsidP="001170EC">
      <w:pPr>
        <w:rPr>
          <w:rFonts w:ascii="Arial" w:hAnsi="Arial" w:cs="Arial"/>
          <w:b/>
          <w:bCs/>
          <w:sz w:val="32"/>
          <w:szCs w:val="32"/>
        </w:rPr>
      </w:pPr>
    </w:p>
    <w:p w14:paraId="5063EE60" w14:textId="77777777" w:rsidR="00694A13" w:rsidRDefault="00694A13" w:rsidP="001170EC">
      <w:pPr>
        <w:rPr>
          <w:rFonts w:ascii="Arial" w:hAnsi="Arial" w:cs="Arial"/>
          <w:b/>
          <w:bCs/>
          <w:sz w:val="32"/>
          <w:szCs w:val="32"/>
        </w:rPr>
      </w:pPr>
    </w:p>
    <w:p w14:paraId="75F5CA17" w14:textId="77777777" w:rsidR="00694A13" w:rsidRDefault="00694A13" w:rsidP="001170EC">
      <w:pPr>
        <w:rPr>
          <w:rFonts w:ascii="Arial" w:hAnsi="Arial" w:cs="Arial"/>
          <w:b/>
          <w:bCs/>
          <w:sz w:val="32"/>
          <w:szCs w:val="32"/>
        </w:rPr>
      </w:pPr>
    </w:p>
    <w:p w14:paraId="28D7FE49" w14:textId="77777777" w:rsidR="00694A13" w:rsidRDefault="00694A13" w:rsidP="001170EC">
      <w:pPr>
        <w:rPr>
          <w:rFonts w:ascii="Arial" w:hAnsi="Arial" w:cs="Arial"/>
          <w:b/>
          <w:bCs/>
          <w:sz w:val="32"/>
          <w:szCs w:val="32"/>
        </w:rPr>
      </w:pPr>
    </w:p>
    <w:p w14:paraId="013F947B" w14:textId="77777777" w:rsidR="00694A13" w:rsidRDefault="00694A13" w:rsidP="001170EC">
      <w:pPr>
        <w:rPr>
          <w:rFonts w:ascii="Arial" w:hAnsi="Arial" w:cs="Arial"/>
          <w:b/>
          <w:bCs/>
          <w:sz w:val="32"/>
          <w:szCs w:val="32"/>
        </w:rPr>
      </w:pPr>
    </w:p>
    <w:p w14:paraId="5EF45DEA" w14:textId="77777777" w:rsidR="00694A13" w:rsidRDefault="00694A13" w:rsidP="001170EC">
      <w:pPr>
        <w:rPr>
          <w:rFonts w:ascii="Arial" w:hAnsi="Arial" w:cs="Arial"/>
          <w:b/>
          <w:bCs/>
          <w:sz w:val="32"/>
          <w:szCs w:val="32"/>
        </w:rPr>
      </w:pPr>
    </w:p>
    <w:p w14:paraId="44D52FFA" w14:textId="4A804E22" w:rsidR="003F29DA" w:rsidRPr="00096385" w:rsidRDefault="003F29DA" w:rsidP="00C24C8D">
      <w:pPr>
        <w:pStyle w:val="Heading1"/>
        <w:spacing w:line="360" w:lineRule="auto"/>
        <w:jc w:val="both"/>
        <w:rPr>
          <w:rFonts w:ascii="Arial" w:hAnsi="Arial" w:cs="Arial"/>
          <w:b/>
          <w:bCs/>
          <w:sz w:val="32"/>
          <w:szCs w:val="32"/>
        </w:rPr>
      </w:pPr>
      <w:bookmarkStart w:id="5" w:name="_Toc220878858"/>
      <w:r w:rsidRPr="00096385">
        <w:rPr>
          <w:rFonts w:ascii="Arial" w:hAnsi="Arial" w:cs="Arial"/>
          <w:b/>
          <w:bCs/>
          <w:sz w:val="32"/>
          <w:szCs w:val="32"/>
        </w:rPr>
        <w:lastRenderedPageBreak/>
        <w:t>Chapter 1: Introduction</w:t>
      </w:r>
      <w:bookmarkEnd w:id="5"/>
    </w:p>
    <w:p w14:paraId="419E51AD" w14:textId="283C1001" w:rsidR="003F29DA" w:rsidRPr="00096385" w:rsidRDefault="003F29DA" w:rsidP="00C24C8D">
      <w:pPr>
        <w:pStyle w:val="Heading2"/>
        <w:spacing w:line="360" w:lineRule="auto"/>
        <w:jc w:val="both"/>
        <w:rPr>
          <w:rFonts w:ascii="Arial" w:hAnsi="Arial" w:cs="Arial"/>
          <w:b/>
          <w:bCs/>
          <w:sz w:val="28"/>
          <w:szCs w:val="28"/>
        </w:rPr>
      </w:pPr>
      <w:bookmarkStart w:id="6" w:name="_Toc220878859"/>
      <w:r w:rsidRPr="00096385">
        <w:rPr>
          <w:rFonts w:ascii="Arial" w:hAnsi="Arial" w:cs="Arial"/>
          <w:b/>
          <w:bCs/>
          <w:sz w:val="28"/>
          <w:szCs w:val="28"/>
        </w:rPr>
        <w:t>1.1</w:t>
      </w:r>
      <w:r w:rsidR="00096385" w:rsidRPr="00096385">
        <w:rPr>
          <w:rFonts w:ascii="Arial" w:hAnsi="Arial" w:cs="Arial"/>
          <w:b/>
          <w:bCs/>
          <w:sz w:val="28"/>
          <w:szCs w:val="28"/>
        </w:rPr>
        <w:t xml:space="preserve"> </w:t>
      </w:r>
      <w:r w:rsidRPr="00096385">
        <w:rPr>
          <w:rFonts w:ascii="Arial" w:hAnsi="Arial" w:cs="Arial"/>
          <w:b/>
          <w:bCs/>
          <w:sz w:val="28"/>
          <w:szCs w:val="28"/>
        </w:rPr>
        <w:t>Background</w:t>
      </w:r>
      <w:bookmarkEnd w:id="6"/>
    </w:p>
    <w:p w14:paraId="10D84BCF" w14:textId="03F2CBD8"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Falls among older adults represent a significant global public health challenge and are a leading cause of morbidity, mortality and healthcare expenditure worldwide</w:t>
      </w:r>
      <w:r w:rsidR="00F05A3C">
        <w:rPr>
          <w:rFonts w:ascii="Arial" w:hAnsi="Arial" w:cs="Arial"/>
          <w:sz w:val="22"/>
          <w:szCs w:val="22"/>
        </w:rPr>
        <w:t xml:space="preserve"> </w:t>
      </w:r>
      <w:r w:rsidR="00F05A3C" w:rsidRPr="00F05A3C">
        <w:rPr>
          <w:rFonts w:ascii="Arial" w:hAnsi="Arial" w:cs="Arial"/>
          <w:sz w:val="22"/>
          <w:szCs w:val="22"/>
        </w:rPr>
        <w:t>(Chen et al., 2025)</w:t>
      </w:r>
      <w:r w:rsidRPr="003F29DA">
        <w:rPr>
          <w:rFonts w:ascii="Arial" w:hAnsi="Arial" w:cs="Arial"/>
          <w:sz w:val="22"/>
          <w:szCs w:val="22"/>
        </w:rPr>
        <w:t xml:space="preserve">. </w:t>
      </w:r>
      <w:r w:rsidR="001D1041" w:rsidRPr="001D1041">
        <w:rPr>
          <w:rFonts w:ascii="Arial" w:hAnsi="Arial" w:cs="Arial"/>
          <w:sz w:val="22"/>
          <w:szCs w:val="22"/>
        </w:rPr>
        <w:t>Global population aging has increased the incidence of age-related disorders such frailty, sarcopenia, and multimorbidity, all of which significantly raise older persons' risk of falls and fall-related injuries</w:t>
      </w:r>
      <w:r w:rsidR="001D1041">
        <w:rPr>
          <w:rFonts w:ascii="Arial" w:hAnsi="Arial" w:cs="Arial"/>
          <w:sz w:val="22"/>
          <w:szCs w:val="22"/>
        </w:rPr>
        <w:t xml:space="preserve"> </w:t>
      </w:r>
      <w:r w:rsidR="001D1041" w:rsidRPr="001D1041">
        <w:rPr>
          <w:rFonts w:ascii="Arial" w:hAnsi="Arial" w:cs="Arial"/>
          <w:sz w:val="22"/>
          <w:szCs w:val="22"/>
        </w:rPr>
        <w:t>(Beard et al., 2016; Clegg et al., 2013).</w:t>
      </w:r>
      <w:r w:rsidR="001D1041">
        <w:rPr>
          <w:rFonts w:ascii="Arial" w:hAnsi="Arial" w:cs="Arial"/>
          <w:sz w:val="22"/>
          <w:szCs w:val="22"/>
        </w:rPr>
        <w:t xml:space="preserve"> </w:t>
      </w:r>
      <w:r w:rsidRPr="003F29DA">
        <w:rPr>
          <w:rFonts w:ascii="Arial" w:hAnsi="Arial" w:cs="Arial"/>
          <w:sz w:val="22"/>
          <w:szCs w:val="22"/>
        </w:rPr>
        <w:t>A fall is defined by the World Health Organization (WHO) as “an event which results in a person coming to rest inadvertently on the ground, floor or other lower level” (WHO, 2021). Globally, approximately 30% of individuals aged 65 years and over experience at least one fall annually, with around half of these incidents resulting in injury, ranging from minor soft tissue damage to fractures and traumatic brain injury (Smith et al., 2023; World Health Organization, 2021). In addition to physical injury, falls are associated with substantial psychological consequences, including fear of falling, loss of confidence, anxiety and social withdrawal all of which contribute to reduced independence and poorer quality of life among older adults (Brown and Jones, 2022; Green et al., 2021</w:t>
      </w:r>
      <w:r w:rsidR="004F41A2">
        <w:rPr>
          <w:rFonts w:ascii="Arial" w:hAnsi="Arial" w:cs="Arial"/>
          <w:sz w:val="22"/>
          <w:szCs w:val="22"/>
        </w:rPr>
        <w:t xml:space="preserve">; </w:t>
      </w:r>
      <w:r w:rsidR="004F41A2" w:rsidRPr="004F41A2">
        <w:rPr>
          <w:rFonts w:ascii="Arial" w:hAnsi="Arial" w:cs="Arial"/>
          <w:sz w:val="22"/>
          <w:szCs w:val="22"/>
        </w:rPr>
        <w:t>Yardley et al., 2018; Denkinger et al., 2015</w:t>
      </w:r>
      <w:r w:rsidRPr="003F29DA">
        <w:rPr>
          <w:rFonts w:ascii="Arial" w:hAnsi="Arial" w:cs="Arial"/>
          <w:sz w:val="22"/>
          <w:szCs w:val="22"/>
        </w:rPr>
        <w:t>).</w:t>
      </w:r>
      <w:r w:rsidR="001D1041">
        <w:rPr>
          <w:rFonts w:ascii="Arial" w:hAnsi="Arial" w:cs="Arial"/>
          <w:sz w:val="22"/>
          <w:szCs w:val="22"/>
        </w:rPr>
        <w:t xml:space="preserve"> </w:t>
      </w:r>
      <w:r w:rsidR="001D1041" w:rsidRPr="001D1041">
        <w:rPr>
          <w:rFonts w:ascii="Arial" w:hAnsi="Arial" w:cs="Arial"/>
          <w:sz w:val="22"/>
          <w:szCs w:val="22"/>
        </w:rPr>
        <w:t>Fear of falling has also been found to be a predictor of future falls because avoiding activities can hasten functional deterioration and physical deconditioning, which feeds the vulnerability cycle</w:t>
      </w:r>
      <w:r w:rsidR="001D1041">
        <w:rPr>
          <w:rFonts w:ascii="Arial" w:hAnsi="Arial" w:cs="Arial"/>
          <w:sz w:val="22"/>
          <w:szCs w:val="22"/>
        </w:rPr>
        <w:t xml:space="preserve"> </w:t>
      </w:r>
      <w:r w:rsidR="001D1041" w:rsidRPr="001D1041">
        <w:rPr>
          <w:rFonts w:ascii="Arial" w:hAnsi="Arial" w:cs="Arial"/>
          <w:sz w:val="22"/>
          <w:szCs w:val="22"/>
        </w:rPr>
        <w:t>(Delbaere et al., 2010; Zijlstra et al., 2007).</w:t>
      </w:r>
    </w:p>
    <w:p w14:paraId="5795A1FB" w14:textId="77FE77F2"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Falls among older adults remain a major concern for public health agencies and the National Health Service (NHS) in England. Public Health England reports that </w:t>
      </w:r>
      <w:r w:rsidR="00AF36A3" w:rsidRPr="003F29DA">
        <w:rPr>
          <w:rFonts w:ascii="Arial" w:hAnsi="Arial" w:cs="Arial"/>
          <w:sz w:val="22"/>
          <w:szCs w:val="22"/>
        </w:rPr>
        <w:t>fall</w:t>
      </w:r>
      <w:r w:rsidRPr="003F29DA">
        <w:rPr>
          <w:rFonts w:ascii="Arial" w:hAnsi="Arial" w:cs="Arial"/>
          <w:sz w:val="22"/>
          <w:szCs w:val="22"/>
        </w:rPr>
        <w:t xml:space="preserve"> account for over 220,000 hospital admissions annually and represent the leading cause of injury-related admissions among people aged 65 years and above (Public Health England, 2020). </w:t>
      </w:r>
      <w:r w:rsidR="00AF36A3" w:rsidRPr="003F29DA">
        <w:rPr>
          <w:rFonts w:ascii="Arial" w:hAnsi="Arial" w:cs="Arial"/>
          <w:sz w:val="22"/>
          <w:szCs w:val="22"/>
        </w:rPr>
        <w:t>Most</w:t>
      </w:r>
      <w:r w:rsidRPr="003F29DA">
        <w:rPr>
          <w:rFonts w:ascii="Arial" w:hAnsi="Arial" w:cs="Arial"/>
          <w:sz w:val="22"/>
          <w:szCs w:val="22"/>
        </w:rPr>
        <w:t xml:space="preserve"> falls occur within community settings, particularly private homes and residential care environments (NHS Digital, 2022). Demographic projections indicate that approximately one in four individuals in the United Kingdom will be aged 65 years or older by 2040, intensifying demand on health and social care services (Office for National Statistics, 2021). Consequently, fall prevention among community-dwelling older adults has become a national public health priority.</w:t>
      </w:r>
      <w:r w:rsidR="001D1041">
        <w:rPr>
          <w:rFonts w:ascii="Arial" w:hAnsi="Arial" w:cs="Arial"/>
          <w:sz w:val="22"/>
          <w:szCs w:val="22"/>
        </w:rPr>
        <w:t xml:space="preserve"> </w:t>
      </w:r>
      <w:r w:rsidR="001D1041" w:rsidRPr="001D1041">
        <w:rPr>
          <w:rFonts w:ascii="Arial" w:hAnsi="Arial" w:cs="Arial"/>
          <w:sz w:val="22"/>
          <w:szCs w:val="22"/>
        </w:rPr>
        <w:t>Research from throughout the world indicates that community-based preventive strategies are more economical than reactive hospital-based treatment, especially when interventions focus on modifiable risk factors prior to major injury</w:t>
      </w:r>
      <w:r w:rsidR="001D1041">
        <w:rPr>
          <w:rFonts w:ascii="Arial" w:hAnsi="Arial" w:cs="Arial"/>
          <w:sz w:val="22"/>
          <w:szCs w:val="22"/>
        </w:rPr>
        <w:t xml:space="preserve"> </w:t>
      </w:r>
      <w:r w:rsidR="001D1041" w:rsidRPr="001D1041">
        <w:rPr>
          <w:rFonts w:ascii="Arial" w:hAnsi="Arial" w:cs="Arial"/>
          <w:sz w:val="22"/>
          <w:szCs w:val="22"/>
        </w:rPr>
        <w:t>(Tinetti et al., 2014; Briggs et al., 2018).</w:t>
      </w:r>
      <w:r w:rsidR="001D1041">
        <w:rPr>
          <w:rFonts w:ascii="Arial" w:hAnsi="Arial" w:cs="Arial"/>
          <w:sz w:val="22"/>
          <w:szCs w:val="22"/>
        </w:rPr>
        <w:t xml:space="preserve"> </w:t>
      </w:r>
    </w:p>
    <w:p w14:paraId="5E3B6ACD" w14:textId="3E9611BE" w:rsidR="00096385"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lastRenderedPageBreak/>
        <w:t>There is growing recognition of the role of physiotherapy-led interventions in reducing fall risk and improving functional independence in older populations. Community-based physiotherapy programs commonly incorporate balance training, muscle strengthening, gait re-education and education on environmental risk modification (Turner et al., 2020; Sherrington et al., 2019). These interventions align with the objectives of the NHS Long Term Plan, which emphasizes preventative, community-based care to reduce avoidable hospital admissions and promote healthy ageing (NHS England, 2019). However, variations in service accessibility, program delivery and patient outcomes persist across urban areas, raising concerns regarding equity, consistency and overall effectiveness of community-based fall prevention services (Davies and Patel, 2022).</w:t>
      </w:r>
      <w:r w:rsidR="001D1041">
        <w:rPr>
          <w:rFonts w:ascii="Arial" w:hAnsi="Arial" w:cs="Arial"/>
          <w:sz w:val="22"/>
          <w:szCs w:val="22"/>
        </w:rPr>
        <w:t xml:space="preserve"> </w:t>
      </w:r>
      <w:r w:rsidR="001D1041" w:rsidRPr="001D1041">
        <w:rPr>
          <w:rFonts w:ascii="Arial" w:hAnsi="Arial" w:cs="Arial"/>
          <w:sz w:val="22"/>
          <w:szCs w:val="22"/>
        </w:rPr>
        <w:t>The most vulnerable older persons may not get timely access to physiotherapy-led fall prevention programs due to the fragmented service delivery and unreliable referral processes that are common in urban healthcare systems</w:t>
      </w:r>
      <w:r w:rsidR="001D1041">
        <w:rPr>
          <w:rFonts w:ascii="Arial" w:hAnsi="Arial" w:cs="Arial"/>
          <w:sz w:val="22"/>
          <w:szCs w:val="22"/>
        </w:rPr>
        <w:t xml:space="preserve"> </w:t>
      </w:r>
      <w:r w:rsidR="001D1041" w:rsidRPr="001D1041">
        <w:rPr>
          <w:rFonts w:ascii="Arial" w:hAnsi="Arial" w:cs="Arial"/>
          <w:sz w:val="22"/>
          <w:szCs w:val="22"/>
        </w:rPr>
        <w:t>(Imison et al., 2017; Alderwick et al., 2019).</w:t>
      </w:r>
    </w:p>
    <w:p w14:paraId="64CDDD23" w14:textId="0EAE6D70" w:rsidR="003F29DA" w:rsidRDefault="003F29DA" w:rsidP="00C24C8D">
      <w:pPr>
        <w:pStyle w:val="Heading2"/>
        <w:spacing w:line="360" w:lineRule="auto"/>
        <w:jc w:val="both"/>
        <w:rPr>
          <w:rFonts w:ascii="Arial" w:hAnsi="Arial" w:cs="Arial"/>
          <w:b/>
          <w:bCs/>
          <w:sz w:val="28"/>
          <w:szCs w:val="28"/>
        </w:rPr>
      </w:pPr>
      <w:bookmarkStart w:id="7" w:name="_Toc220878860"/>
      <w:r w:rsidRPr="00096385">
        <w:rPr>
          <w:rFonts w:ascii="Arial" w:hAnsi="Arial" w:cs="Arial"/>
          <w:b/>
          <w:bCs/>
          <w:sz w:val="28"/>
          <w:szCs w:val="28"/>
        </w:rPr>
        <w:t>1.2</w:t>
      </w:r>
      <w:r w:rsidR="00096385" w:rsidRPr="00096385">
        <w:rPr>
          <w:rFonts w:ascii="Arial" w:hAnsi="Arial" w:cs="Arial"/>
          <w:b/>
          <w:bCs/>
          <w:sz w:val="28"/>
          <w:szCs w:val="28"/>
        </w:rPr>
        <w:t xml:space="preserve"> </w:t>
      </w:r>
      <w:r w:rsidRPr="00096385">
        <w:rPr>
          <w:rFonts w:ascii="Arial" w:hAnsi="Arial" w:cs="Arial"/>
          <w:b/>
          <w:bCs/>
          <w:sz w:val="28"/>
          <w:szCs w:val="28"/>
        </w:rPr>
        <w:t>Problem Statement</w:t>
      </w:r>
      <w:bookmarkEnd w:id="7"/>
    </w:p>
    <w:p w14:paraId="4A193795" w14:textId="2933C607" w:rsidR="001A6608" w:rsidRPr="001A6608" w:rsidRDefault="00A87F5D" w:rsidP="00C24C8D">
      <w:pPr>
        <w:spacing w:line="360" w:lineRule="auto"/>
        <w:jc w:val="both"/>
        <w:rPr>
          <w:rFonts w:ascii="Arial" w:hAnsi="Arial" w:cs="Arial"/>
          <w:sz w:val="22"/>
          <w:szCs w:val="22"/>
        </w:rPr>
      </w:pPr>
      <w:r w:rsidRPr="001A6608">
        <w:rPr>
          <w:rFonts w:ascii="Arial" w:hAnsi="Arial" w:cs="Arial"/>
          <w:sz w:val="22"/>
          <w:szCs w:val="22"/>
        </w:rPr>
        <w:t xml:space="preserve">In England, the growing number of falls among the elderly puts a great deal of pressure on people, families, and healthcare institutions. There is still ambiguity about the efficacy of community-based physiotherapy interventions, particularly in urban settings, despite the development of several fall prevention techniques. According to available data, physiotherapy-led programs can decrease the frequency of falls while increasing mobility, balance, and functional ability (Johnson et al., 2021; Sherrington et al., 2019). While community-based </w:t>
      </w:r>
      <w:r w:rsidR="00BA1983" w:rsidRPr="00BA1983">
        <w:rPr>
          <w:rFonts w:ascii="Arial" w:hAnsi="Arial" w:cs="Arial"/>
          <w:sz w:val="22"/>
          <w:szCs w:val="22"/>
        </w:rPr>
        <w:t>physiotherapy interventions</w:t>
      </w:r>
      <w:r w:rsidR="00BA1983">
        <w:rPr>
          <w:rFonts w:ascii="Arial" w:hAnsi="Arial" w:cs="Arial"/>
          <w:sz w:val="22"/>
          <w:szCs w:val="22"/>
        </w:rPr>
        <w:t xml:space="preserve"> </w:t>
      </w:r>
      <w:r w:rsidRPr="001A6608">
        <w:rPr>
          <w:rFonts w:ascii="Arial" w:hAnsi="Arial" w:cs="Arial"/>
          <w:sz w:val="22"/>
          <w:szCs w:val="22"/>
        </w:rPr>
        <w:t>have been demonstrated to enhance mobility, balance, and functional ability, their efficacy varies significantly among various groups and environments (Sherrington et al., 2019; Hopewell et al., 2018).</w:t>
      </w:r>
      <w:r w:rsidR="001A6608" w:rsidRPr="001A6608">
        <w:rPr>
          <w:rFonts w:ascii="Arial" w:hAnsi="Arial" w:cs="Arial"/>
          <w:sz w:val="22"/>
          <w:szCs w:val="22"/>
        </w:rPr>
        <w:t xml:space="preserve"> Variations in program intensity, length, participant adherence, and local resource availability all have an impact on outcomes, highlighting the significance of optimizing intervention design and delivery within actual community contexts (Lesinski et al., 2015; Turner et al., 2020).</w:t>
      </w:r>
    </w:p>
    <w:p w14:paraId="2F0392ED" w14:textId="34AE8BF8" w:rsidR="00A87F5D" w:rsidRPr="001A6608" w:rsidRDefault="001A6608" w:rsidP="00C24C8D">
      <w:pPr>
        <w:spacing w:line="360" w:lineRule="auto"/>
        <w:jc w:val="both"/>
        <w:rPr>
          <w:rFonts w:ascii="Arial" w:hAnsi="Arial" w:cs="Arial"/>
          <w:sz w:val="22"/>
          <w:szCs w:val="22"/>
        </w:rPr>
      </w:pPr>
      <w:r w:rsidRPr="001A6608">
        <w:rPr>
          <w:rFonts w:ascii="Arial" w:hAnsi="Arial" w:cs="Arial"/>
          <w:sz w:val="22"/>
          <w:szCs w:val="22"/>
        </w:rPr>
        <w:t xml:space="preserve">Higher population density, restricted access to safe outdoor areas, socioeconomic inequality, and health disparities are some of the additional issues that urban environments provide that may affect fall risk and service delivery (Davies and Patel, 2022; Marmot et al., 2020). </w:t>
      </w:r>
      <w:r w:rsidR="00466E1D" w:rsidRPr="001A6608">
        <w:rPr>
          <w:rFonts w:ascii="Arial" w:hAnsi="Arial" w:cs="Arial"/>
          <w:sz w:val="22"/>
          <w:szCs w:val="22"/>
        </w:rPr>
        <w:t>Neighbourhood</w:t>
      </w:r>
      <w:r w:rsidRPr="001A6608">
        <w:rPr>
          <w:rFonts w:ascii="Arial" w:hAnsi="Arial" w:cs="Arial"/>
          <w:sz w:val="22"/>
          <w:szCs w:val="22"/>
        </w:rPr>
        <w:t xml:space="preserve"> disadvantage and poorly planned built environments have been independently associated with higher incidence of fall injuries, lower mobility, and decreased engagement in preventive physical activity among older urban residents (Barnett et al., 2017; Curl et al., 2015).</w:t>
      </w:r>
    </w:p>
    <w:p w14:paraId="52E45B98" w14:textId="1E33711B" w:rsidR="00BF529C" w:rsidRPr="001A6608" w:rsidRDefault="001A6608" w:rsidP="00C24C8D">
      <w:pPr>
        <w:spacing w:line="360" w:lineRule="auto"/>
        <w:jc w:val="both"/>
        <w:rPr>
          <w:rFonts w:ascii="Arial" w:hAnsi="Arial" w:cs="Arial"/>
          <w:sz w:val="22"/>
          <w:szCs w:val="22"/>
        </w:rPr>
      </w:pPr>
      <w:r w:rsidRPr="001A6608">
        <w:rPr>
          <w:rFonts w:ascii="Arial" w:hAnsi="Arial" w:cs="Arial"/>
          <w:sz w:val="22"/>
          <w:szCs w:val="22"/>
        </w:rPr>
        <w:lastRenderedPageBreak/>
        <w:t xml:space="preserve">Despite these significant contextual variations, a large portion of the research now in publication includes data from urban and rural areas, which restricts the results' relevance to populations in metropolitan areas. Context-specific research is obviously needed to guide clinical practice, public health policy, and commissioning given the unique healthcare architecture and community dynamics seen in England's metropolitan regions. Professionals may find it difficult to create equitable, successful, and long-lasting fall prevention programs in the absence of strong synthesis. Therefore, it is both important and relevant to conduct a comprehensive assessment of community-based </w:t>
      </w:r>
      <w:r w:rsidR="00BA1983" w:rsidRPr="00BA1983">
        <w:rPr>
          <w:rFonts w:ascii="Arial" w:hAnsi="Arial" w:cs="Arial"/>
          <w:sz w:val="22"/>
          <w:szCs w:val="22"/>
        </w:rPr>
        <w:t>physiotherapy interventions</w:t>
      </w:r>
      <w:r w:rsidR="00BA1983">
        <w:rPr>
          <w:rFonts w:ascii="Arial" w:hAnsi="Arial" w:cs="Arial"/>
          <w:sz w:val="22"/>
          <w:szCs w:val="22"/>
        </w:rPr>
        <w:t xml:space="preserve"> </w:t>
      </w:r>
      <w:r w:rsidRPr="001A6608">
        <w:rPr>
          <w:rFonts w:ascii="Arial" w:hAnsi="Arial" w:cs="Arial"/>
          <w:sz w:val="22"/>
          <w:szCs w:val="22"/>
        </w:rPr>
        <w:t xml:space="preserve">for fall prevention in older </w:t>
      </w:r>
      <w:r w:rsidR="00330FA7">
        <w:rPr>
          <w:rFonts w:ascii="Arial" w:hAnsi="Arial" w:cs="Arial"/>
          <w:sz w:val="22"/>
          <w:szCs w:val="22"/>
        </w:rPr>
        <w:t>adult</w:t>
      </w:r>
      <w:r w:rsidRPr="001A6608">
        <w:rPr>
          <w:rFonts w:ascii="Arial" w:hAnsi="Arial" w:cs="Arial"/>
          <w:sz w:val="22"/>
          <w:szCs w:val="22"/>
        </w:rPr>
        <w:t>s living in metropolitan areas in England.</w:t>
      </w:r>
    </w:p>
    <w:p w14:paraId="475B5F91" w14:textId="404CBB97" w:rsidR="003F29DA" w:rsidRPr="00535BEE" w:rsidRDefault="003F29DA" w:rsidP="00C24C8D">
      <w:pPr>
        <w:pStyle w:val="Heading2"/>
        <w:spacing w:line="360" w:lineRule="auto"/>
        <w:jc w:val="both"/>
        <w:rPr>
          <w:rFonts w:ascii="Arial" w:hAnsi="Arial" w:cs="Arial"/>
          <w:b/>
          <w:bCs/>
          <w:sz w:val="28"/>
          <w:szCs w:val="28"/>
        </w:rPr>
      </w:pPr>
      <w:bookmarkStart w:id="8" w:name="_Toc220878861"/>
      <w:r w:rsidRPr="00535BEE">
        <w:rPr>
          <w:rFonts w:ascii="Arial" w:hAnsi="Arial" w:cs="Arial"/>
          <w:b/>
          <w:bCs/>
          <w:sz w:val="28"/>
          <w:szCs w:val="28"/>
        </w:rPr>
        <w:t>1.3</w:t>
      </w:r>
      <w:r w:rsidR="00096385" w:rsidRPr="00535BEE">
        <w:rPr>
          <w:rFonts w:ascii="Arial" w:hAnsi="Arial" w:cs="Arial"/>
          <w:b/>
          <w:bCs/>
          <w:sz w:val="28"/>
          <w:szCs w:val="28"/>
        </w:rPr>
        <w:t xml:space="preserve"> </w:t>
      </w:r>
      <w:r w:rsidRPr="00535BEE">
        <w:rPr>
          <w:rFonts w:ascii="Arial" w:hAnsi="Arial" w:cs="Arial"/>
          <w:b/>
          <w:bCs/>
          <w:sz w:val="28"/>
          <w:szCs w:val="28"/>
        </w:rPr>
        <w:t>Rationale and Significance of the Study</w:t>
      </w:r>
      <w:bookmarkEnd w:id="8"/>
    </w:p>
    <w:p w14:paraId="770D032A" w14:textId="34BA21E5"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This dissertation is underpinned by the interaction between population ageing, fall-related morbidity and the long-term sustainability of health and social care systems. As life expectancy continues to rise, reducing preventable hospital admissions and maintaining functional independence have become central components of healthy ageing strategies (WHO, 2021; NHS England, 2019). Falls remain one of the most preventable causes of injury among older adults, yet they account for a substantial proportion of emergency admissions, long-term disability and social care dependency (Green et al., 2021; Public Health England, 2020). </w:t>
      </w:r>
      <w:r w:rsidR="00644B45" w:rsidRPr="00644B45">
        <w:rPr>
          <w:rFonts w:ascii="Arial" w:hAnsi="Arial" w:cs="Arial"/>
          <w:sz w:val="22"/>
          <w:szCs w:val="22"/>
        </w:rPr>
        <w:t>Effective fall prevention techniques can result in considerable cost savings by lowering emergency admissions, institutionalization, and long-term need on social care services, according to health economic assessments</w:t>
      </w:r>
      <w:r w:rsidR="00644B45">
        <w:rPr>
          <w:rFonts w:ascii="Arial" w:hAnsi="Arial" w:cs="Arial"/>
          <w:sz w:val="22"/>
          <w:szCs w:val="22"/>
        </w:rPr>
        <w:t xml:space="preserve"> </w:t>
      </w:r>
      <w:r w:rsidR="00644B45" w:rsidRPr="00644B45">
        <w:rPr>
          <w:rFonts w:ascii="Arial" w:hAnsi="Arial" w:cs="Arial"/>
          <w:sz w:val="22"/>
          <w:szCs w:val="22"/>
        </w:rPr>
        <w:t>(Wittenberg et al., 2018; Kingston et al., 2018).</w:t>
      </w:r>
    </w:p>
    <w:p w14:paraId="1CBD1C8E" w14:textId="0B3FE06A"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Community-based physiotherapy interventions offer a proactive approach to fall prevention by targeting modifiable risk factors through structured exercise programs, functional training and environmental adaptations (Sherrington et al., 2019). This approach aligns with the WHO Integrated Care for Older People (ICOPE) framework, which advocates person- centred, preventative and multidisciplinary care delivered as close to home as possible (WHO, 2021). Physiotherapists are particularly well positioned to lead such interventions due to their expertise in mobility, balance and strength rehabilitation.</w:t>
      </w:r>
      <w:r w:rsidR="00644B45">
        <w:rPr>
          <w:rFonts w:ascii="Arial" w:hAnsi="Arial" w:cs="Arial"/>
          <w:sz w:val="22"/>
          <w:szCs w:val="22"/>
        </w:rPr>
        <w:t xml:space="preserve"> </w:t>
      </w:r>
      <w:r w:rsidR="00644B45" w:rsidRPr="00644B45">
        <w:rPr>
          <w:rFonts w:ascii="Arial" w:hAnsi="Arial" w:cs="Arial"/>
          <w:sz w:val="22"/>
          <w:szCs w:val="22"/>
        </w:rPr>
        <w:t xml:space="preserve">Research demonstrates better functional outcomes when physiotherapy is combined with </w:t>
      </w:r>
      <w:r w:rsidR="00375F63" w:rsidRPr="00644B45">
        <w:rPr>
          <w:rFonts w:ascii="Arial" w:hAnsi="Arial" w:cs="Arial"/>
          <w:sz w:val="22"/>
          <w:szCs w:val="22"/>
        </w:rPr>
        <w:t>behavioural</w:t>
      </w:r>
      <w:r w:rsidR="00644B45" w:rsidRPr="00644B45">
        <w:rPr>
          <w:rFonts w:ascii="Arial" w:hAnsi="Arial" w:cs="Arial"/>
          <w:sz w:val="22"/>
          <w:szCs w:val="22"/>
        </w:rPr>
        <w:t xml:space="preserve"> and environmental measures, supporting the leadership role of physiotherapists in multidisciplinary fall prevention teams</w:t>
      </w:r>
      <w:r w:rsidR="00644B45">
        <w:rPr>
          <w:rFonts w:ascii="Arial" w:hAnsi="Arial" w:cs="Arial"/>
          <w:sz w:val="22"/>
          <w:szCs w:val="22"/>
        </w:rPr>
        <w:t xml:space="preserve"> </w:t>
      </w:r>
      <w:r w:rsidR="00644B45" w:rsidRPr="00644B45">
        <w:rPr>
          <w:rFonts w:ascii="Arial" w:hAnsi="Arial" w:cs="Arial"/>
          <w:sz w:val="22"/>
          <w:szCs w:val="22"/>
        </w:rPr>
        <w:t>(Pighills et al., 2011; Clemson et al., 2012).</w:t>
      </w:r>
      <w:r w:rsidRPr="003F29DA">
        <w:rPr>
          <w:rFonts w:ascii="Arial" w:hAnsi="Arial" w:cs="Arial"/>
          <w:sz w:val="22"/>
          <w:szCs w:val="22"/>
        </w:rPr>
        <w:t xml:space="preserve"> By focusing on community settings, this study acknowledges the importance of delivering care within environments where older adults live and socialise, thereby reducing reliance on acute hospital services.</w:t>
      </w:r>
    </w:p>
    <w:p w14:paraId="1531F295" w14:textId="3686CC6F"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lastRenderedPageBreak/>
        <w:t>The significance of this study lies in several key areas. First, it addresses a notable gap in the literature by synthesizing evidence specific to urban areas of England, which are characterized by diverse socioeconomic conditions and complex healthcare delivery models. Second, the findings have the potential to inform commissioning decisions, physiotherapy practice and public health policy, contributing to the development of more equitable and effective fall prevention strategies. Finally, the use of systematic review methodology enhances transparency and rigour, supporting evidence-based decision-making within public health and social care contexts.</w:t>
      </w:r>
    </w:p>
    <w:p w14:paraId="3A7E07DB" w14:textId="6FF52324" w:rsidR="003F29DA" w:rsidRPr="00535BEE" w:rsidRDefault="003F29DA" w:rsidP="00C24C8D">
      <w:pPr>
        <w:pStyle w:val="Heading2"/>
        <w:spacing w:line="360" w:lineRule="auto"/>
        <w:jc w:val="both"/>
        <w:rPr>
          <w:rFonts w:ascii="Arial" w:hAnsi="Arial" w:cs="Arial"/>
          <w:b/>
          <w:bCs/>
          <w:sz w:val="28"/>
          <w:szCs w:val="28"/>
        </w:rPr>
      </w:pPr>
      <w:bookmarkStart w:id="9" w:name="_Toc220878862"/>
      <w:r w:rsidRPr="00535BEE">
        <w:rPr>
          <w:rFonts w:ascii="Arial" w:hAnsi="Arial" w:cs="Arial"/>
          <w:b/>
          <w:bCs/>
          <w:sz w:val="28"/>
          <w:szCs w:val="28"/>
        </w:rPr>
        <w:t>1.4</w:t>
      </w:r>
      <w:r w:rsidR="00535BEE" w:rsidRPr="00535BEE">
        <w:rPr>
          <w:rFonts w:ascii="Arial" w:hAnsi="Arial" w:cs="Arial"/>
          <w:b/>
          <w:bCs/>
          <w:sz w:val="28"/>
          <w:szCs w:val="28"/>
        </w:rPr>
        <w:t xml:space="preserve"> </w:t>
      </w:r>
      <w:r w:rsidRPr="00535BEE">
        <w:rPr>
          <w:rFonts w:ascii="Arial" w:hAnsi="Arial" w:cs="Arial"/>
          <w:b/>
          <w:bCs/>
          <w:sz w:val="28"/>
          <w:szCs w:val="28"/>
        </w:rPr>
        <w:t>Research Aim and Objectives</w:t>
      </w:r>
      <w:bookmarkEnd w:id="9"/>
    </w:p>
    <w:p w14:paraId="10001D26" w14:textId="77777777" w:rsidR="003F29DA" w:rsidRPr="00535BEE" w:rsidRDefault="003F29DA" w:rsidP="00C24C8D">
      <w:pPr>
        <w:spacing w:line="360" w:lineRule="auto"/>
        <w:jc w:val="both"/>
        <w:rPr>
          <w:rFonts w:ascii="Arial" w:hAnsi="Arial" w:cs="Arial"/>
          <w:b/>
          <w:bCs/>
          <w:sz w:val="22"/>
          <w:szCs w:val="22"/>
        </w:rPr>
      </w:pPr>
      <w:r w:rsidRPr="00535BEE">
        <w:rPr>
          <w:rFonts w:ascii="Arial" w:hAnsi="Arial" w:cs="Arial"/>
          <w:b/>
          <w:bCs/>
          <w:sz w:val="22"/>
          <w:szCs w:val="22"/>
        </w:rPr>
        <w:t>Aim:</w:t>
      </w:r>
    </w:p>
    <w:p w14:paraId="77912BCE" w14:textId="2A52218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To investigate the effectiveness of community-based physiotherapy interventions in reducing falls among older adults aged 65 years and above living in metropolitan areas of England.</w:t>
      </w:r>
    </w:p>
    <w:p w14:paraId="174A6743" w14:textId="77777777" w:rsidR="003F29DA" w:rsidRPr="00535BEE" w:rsidRDefault="003F29DA" w:rsidP="00C24C8D">
      <w:pPr>
        <w:spacing w:line="360" w:lineRule="auto"/>
        <w:jc w:val="both"/>
        <w:rPr>
          <w:rFonts w:ascii="Arial" w:hAnsi="Arial" w:cs="Arial"/>
          <w:b/>
          <w:bCs/>
          <w:sz w:val="22"/>
          <w:szCs w:val="22"/>
        </w:rPr>
      </w:pPr>
      <w:r w:rsidRPr="00535BEE">
        <w:rPr>
          <w:rFonts w:ascii="Arial" w:hAnsi="Arial" w:cs="Arial"/>
          <w:b/>
          <w:bCs/>
          <w:sz w:val="22"/>
          <w:szCs w:val="22"/>
        </w:rPr>
        <w:t>Objectives:</w:t>
      </w:r>
    </w:p>
    <w:p w14:paraId="038A0BB9" w14:textId="77777777" w:rsidR="00535BEE" w:rsidRDefault="003F29DA" w:rsidP="00C24C8D">
      <w:pPr>
        <w:pStyle w:val="ListParagraph"/>
        <w:numPr>
          <w:ilvl w:val="0"/>
          <w:numId w:val="1"/>
        </w:numPr>
        <w:spacing w:line="360" w:lineRule="auto"/>
        <w:jc w:val="both"/>
        <w:rPr>
          <w:rFonts w:ascii="Arial" w:hAnsi="Arial" w:cs="Arial"/>
          <w:sz w:val="22"/>
          <w:szCs w:val="22"/>
        </w:rPr>
      </w:pPr>
      <w:r w:rsidRPr="00535BEE">
        <w:rPr>
          <w:rFonts w:ascii="Arial" w:hAnsi="Arial" w:cs="Arial"/>
          <w:sz w:val="22"/>
          <w:szCs w:val="22"/>
        </w:rPr>
        <w:t>To examine the incidence of falls and associated risk factors among older adults in metropolitan areas of England.</w:t>
      </w:r>
    </w:p>
    <w:p w14:paraId="61C530D1" w14:textId="77777777" w:rsidR="00535BEE" w:rsidRDefault="003F29DA" w:rsidP="00C24C8D">
      <w:pPr>
        <w:pStyle w:val="ListParagraph"/>
        <w:numPr>
          <w:ilvl w:val="0"/>
          <w:numId w:val="1"/>
        </w:numPr>
        <w:spacing w:line="360" w:lineRule="auto"/>
        <w:jc w:val="both"/>
        <w:rPr>
          <w:rFonts w:ascii="Arial" w:hAnsi="Arial" w:cs="Arial"/>
          <w:sz w:val="22"/>
          <w:szCs w:val="22"/>
        </w:rPr>
      </w:pPr>
      <w:r w:rsidRPr="00535BEE">
        <w:rPr>
          <w:rFonts w:ascii="Arial" w:hAnsi="Arial" w:cs="Arial"/>
          <w:sz w:val="22"/>
          <w:szCs w:val="22"/>
        </w:rPr>
        <w:t>To evaluate the design and delivery of existing community-based physiotherapy fall prevention programs.</w:t>
      </w:r>
    </w:p>
    <w:p w14:paraId="0B758B41" w14:textId="715FAD75" w:rsidR="003F29DA" w:rsidRPr="00535BEE" w:rsidRDefault="003F29DA" w:rsidP="00C24C8D">
      <w:pPr>
        <w:pStyle w:val="ListParagraph"/>
        <w:numPr>
          <w:ilvl w:val="0"/>
          <w:numId w:val="1"/>
        </w:numPr>
        <w:spacing w:line="360" w:lineRule="auto"/>
        <w:jc w:val="both"/>
        <w:rPr>
          <w:rFonts w:ascii="Arial" w:hAnsi="Arial" w:cs="Arial"/>
          <w:sz w:val="22"/>
          <w:szCs w:val="22"/>
        </w:rPr>
      </w:pPr>
      <w:r w:rsidRPr="00535BEE">
        <w:rPr>
          <w:rFonts w:ascii="Arial" w:hAnsi="Arial" w:cs="Arial"/>
          <w:sz w:val="22"/>
          <w:szCs w:val="22"/>
        </w:rPr>
        <w:t xml:space="preserve">To assess the effectiveness of these interventions in improving functional mobility and reducing fall-related events. </w:t>
      </w:r>
    </w:p>
    <w:p w14:paraId="40BBACFD" w14:textId="6C5D9DEE"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To develop evidence-based recommendations for enhancing the planning, implementation and evaluation of community-based physiotherapy fall prevention initiatives in urban England.</w:t>
      </w:r>
    </w:p>
    <w:p w14:paraId="042A3457" w14:textId="671B205B" w:rsidR="003F29DA" w:rsidRPr="00535BEE" w:rsidRDefault="003F29DA" w:rsidP="00C24C8D">
      <w:pPr>
        <w:pStyle w:val="Heading2"/>
        <w:spacing w:line="360" w:lineRule="auto"/>
        <w:jc w:val="both"/>
        <w:rPr>
          <w:rFonts w:ascii="Arial" w:hAnsi="Arial" w:cs="Arial"/>
          <w:b/>
          <w:bCs/>
          <w:sz w:val="22"/>
          <w:szCs w:val="22"/>
        </w:rPr>
      </w:pPr>
      <w:bookmarkStart w:id="10" w:name="_Toc220878863"/>
      <w:r w:rsidRPr="00535BEE">
        <w:rPr>
          <w:rFonts w:ascii="Arial" w:hAnsi="Arial" w:cs="Arial"/>
          <w:b/>
          <w:bCs/>
          <w:sz w:val="28"/>
          <w:szCs w:val="28"/>
        </w:rPr>
        <w:t>1.5</w:t>
      </w:r>
      <w:r w:rsidR="00535BEE" w:rsidRPr="00535BEE">
        <w:rPr>
          <w:rFonts w:ascii="Arial" w:hAnsi="Arial" w:cs="Arial"/>
          <w:b/>
          <w:bCs/>
          <w:sz w:val="28"/>
          <w:szCs w:val="28"/>
        </w:rPr>
        <w:t xml:space="preserve"> </w:t>
      </w:r>
      <w:r w:rsidRPr="00535BEE">
        <w:rPr>
          <w:rFonts w:ascii="Arial" w:hAnsi="Arial" w:cs="Arial"/>
          <w:b/>
          <w:bCs/>
          <w:sz w:val="28"/>
          <w:szCs w:val="28"/>
        </w:rPr>
        <w:t>Overview of the Dissertation Structure</w:t>
      </w:r>
      <w:bookmarkEnd w:id="10"/>
    </w:p>
    <w:p w14:paraId="7C04B692" w14:textId="2D9B7FF2"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This dissertation is structured into five chapters. Chapter 1 introduces the study by outlining the background, problem statement, rationale, research aim and objectives. Chapter 2 provides a critical review of the literature relating to community-based physiotherapy interventions for fall prevention in older adults. Chapter 3 details the systematic review methodology, including the search strategy, inclusion and exclusion criteria and the PRISMA-guided study selection process. Chapter 4 presents the findings of the review, including characteristics and synthesis of the included studies. Chapter 5 discusses the findings in relation to existing literature, outlines the strengths </w:t>
      </w:r>
      <w:r w:rsidRPr="003F29DA">
        <w:rPr>
          <w:rFonts w:ascii="Arial" w:hAnsi="Arial" w:cs="Arial"/>
          <w:sz w:val="22"/>
          <w:szCs w:val="22"/>
        </w:rPr>
        <w:lastRenderedPageBreak/>
        <w:t>and limitations of the review and offers recommendations for future research and practice.</w:t>
      </w:r>
    </w:p>
    <w:p w14:paraId="154E5310" w14:textId="148D6430" w:rsidR="003F29DA" w:rsidRPr="00535BEE" w:rsidRDefault="003F29DA" w:rsidP="00C24C8D">
      <w:pPr>
        <w:pStyle w:val="Heading2"/>
        <w:spacing w:line="360" w:lineRule="auto"/>
        <w:jc w:val="both"/>
        <w:rPr>
          <w:rFonts w:ascii="Arial" w:hAnsi="Arial" w:cs="Arial"/>
          <w:b/>
          <w:bCs/>
          <w:sz w:val="28"/>
          <w:szCs w:val="28"/>
        </w:rPr>
      </w:pPr>
      <w:bookmarkStart w:id="11" w:name="_Toc220878864"/>
      <w:r w:rsidRPr="00535BEE">
        <w:rPr>
          <w:rFonts w:ascii="Arial" w:hAnsi="Arial" w:cs="Arial"/>
          <w:b/>
          <w:bCs/>
          <w:sz w:val="28"/>
          <w:szCs w:val="28"/>
        </w:rPr>
        <w:t>1.6</w:t>
      </w:r>
      <w:r w:rsidR="00535BEE" w:rsidRPr="00535BEE">
        <w:rPr>
          <w:rFonts w:ascii="Arial" w:hAnsi="Arial" w:cs="Arial"/>
          <w:b/>
          <w:bCs/>
          <w:sz w:val="28"/>
          <w:szCs w:val="28"/>
        </w:rPr>
        <w:t xml:space="preserve"> </w:t>
      </w:r>
      <w:r w:rsidRPr="00535BEE">
        <w:rPr>
          <w:rFonts w:ascii="Arial" w:hAnsi="Arial" w:cs="Arial"/>
          <w:b/>
          <w:bCs/>
          <w:sz w:val="28"/>
          <w:szCs w:val="28"/>
        </w:rPr>
        <w:t>Summary</w:t>
      </w:r>
      <w:bookmarkEnd w:id="11"/>
    </w:p>
    <w:p w14:paraId="78D53F3C" w14:textId="092BE183"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This chapter has established the significance of falls among older adults as a pressing public health issue and highlighted the potential role of community-based physiotherapy in fall prevention. The chapter has contextualized the study within England’s urban healthcare landscape and defined the research aim and objectives. Effective fall prevention frequently involves multidisciplinary collaboration between physiotherapists, nurses, occupational therapists and social workers (Clark et al., 2020). Addressing physical, psychological and environmental risk factors through coordinated intervention has been shown to improve outcomes. Evidence suggests that multidisciplinary approaches are particularly effective in urban settings characterized by complex health and social needs, producing superior outcomes compared to single-profession interventions (Brown and Li, 2022). </w:t>
      </w:r>
      <w:r w:rsidR="00C24C8D" w:rsidRPr="003902B9">
        <w:rPr>
          <w:rFonts w:ascii="Arial" w:hAnsi="Arial" w:cs="Arial"/>
          <w:sz w:val="22"/>
          <w:szCs w:val="22"/>
        </w:rPr>
        <w:t>To</w:t>
      </w:r>
      <w:r w:rsidR="003902B9" w:rsidRPr="003902B9">
        <w:rPr>
          <w:rFonts w:ascii="Arial" w:hAnsi="Arial" w:cs="Arial"/>
          <w:sz w:val="22"/>
          <w:szCs w:val="22"/>
        </w:rPr>
        <w:t xml:space="preserve"> encourage healthy aging and address health disparities among older populations, integrated, community-based rehabilitation approaches have been suggested as essential elements of sustainable urban health systems</w:t>
      </w:r>
      <w:r w:rsidR="003902B9" w:rsidRPr="003902B9">
        <w:t xml:space="preserve"> </w:t>
      </w:r>
      <w:r w:rsidR="003902B9" w:rsidRPr="003902B9">
        <w:rPr>
          <w:rFonts w:ascii="Arial" w:hAnsi="Arial" w:cs="Arial"/>
          <w:sz w:val="22"/>
          <w:szCs w:val="22"/>
        </w:rPr>
        <w:t>(Rechel et al., 2013; Humphries et al., 2020</w:t>
      </w:r>
      <w:r w:rsidR="003902B9">
        <w:rPr>
          <w:rFonts w:ascii="Arial" w:hAnsi="Arial" w:cs="Arial"/>
          <w:sz w:val="22"/>
          <w:szCs w:val="22"/>
        </w:rPr>
        <w:t>)</w:t>
      </w:r>
      <w:r w:rsidR="003902B9" w:rsidRPr="003902B9">
        <w:rPr>
          <w:rFonts w:ascii="Arial" w:hAnsi="Arial" w:cs="Arial"/>
          <w:sz w:val="22"/>
          <w:szCs w:val="22"/>
        </w:rPr>
        <w:t>.</w:t>
      </w:r>
      <w:r w:rsidR="003902B9">
        <w:rPr>
          <w:rFonts w:ascii="Arial" w:hAnsi="Arial" w:cs="Arial"/>
          <w:sz w:val="22"/>
          <w:szCs w:val="22"/>
        </w:rPr>
        <w:t xml:space="preserve"> </w:t>
      </w:r>
      <w:r w:rsidRPr="003F29DA">
        <w:rPr>
          <w:rFonts w:ascii="Arial" w:hAnsi="Arial" w:cs="Arial"/>
          <w:sz w:val="22"/>
          <w:szCs w:val="22"/>
        </w:rPr>
        <w:t>The following chapter will critically examine the existing evidence base and identify gaps in current knowledge.</w:t>
      </w:r>
    </w:p>
    <w:p w14:paraId="1F339319" w14:textId="77777777" w:rsidR="00535BEE" w:rsidRDefault="00535BEE" w:rsidP="00C24C8D">
      <w:pPr>
        <w:spacing w:line="360" w:lineRule="auto"/>
        <w:jc w:val="both"/>
        <w:rPr>
          <w:rFonts w:ascii="Arial" w:hAnsi="Arial" w:cs="Arial"/>
          <w:sz w:val="22"/>
          <w:szCs w:val="22"/>
        </w:rPr>
      </w:pPr>
    </w:p>
    <w:p w14:paraId="4A161E37" w14:textId="77777777" w:rsidR="003902B9" w:rsidRDefault="003902B9" w:rsidP="00C24C8D">
      <w:pPr>
        <w:spacing w:line="360" w:lineRule="auto"/>
        <w:jc w:val="both"/>
        <w:rPr>
          <w:rFonts w:ascii="Arial" w:hAnsi="Arial" w:cs="Arial"/>
          <w:sz w:val="22"/>
          <w:szCs w:val="22"/>
        </w:rPr>
      </w:pPr>
    </w:p>
    <w:p w14:paraId="7502701D" w14:textId="77777777" w:rsidR="003902B9" w:rsidRDefault="003902B9" w:rsidP="00C24C8D">
      <w:pPr>
        <w:spacing w:line="360" w:lineRule="auto"/>
        <w:jc w:val="both"/>
        <w:rPr>
          <w:rFonts w:ascii="Arial" w:hAnsi="Arial" w:cs="Arial"/>
          <w:sz w:val="22"/>
          <w:szCs w:val="22"/>
        </w:rPr>
      </w:pPr>
    </w:p>
    <w:p w14:paraId="1D0089BD" w14:textId="77777777" w:rsidR="003902B9" w:rsidRDefault="003902B9" w:rsidP="00C24C8D">
      <w:pPr>
        <w:spacing w:line="360" w:lineRule="auto"/>
        <w:jc w:val="both"/>
        <w:rPr>
          <w:rFonts w:ascii="Arial" w:hAnsi="Arial" w:cs="Arial"/>
          <w:sz w:val="22"/>
          <w:szCs w:val="22"/>
        </w:rPr>
      </w:pPr>
    </w:p>
    <w:p w14:paraId="5219245A" w14:textId="77777777" w:rsidR="00BF529C" w:rsidRDefault="00BF529C" w:rsidP="00C24C8D">
      <w:pPr>
        <w:spacing w:line="360" w:lineRule="auto"/>
        <w:jc w:val="both"/>
        <w:rPr>
          <w:rFonts w:ascii="Arial" w:hAnsi="Arial" w:cs="Arial"/>
          <w:sz w:val="22"/>
          <w:szCs w:val="22"/>
        </w:rPr>
      </w:pPr>
    </w:p>
    <w:p w14:paraId="6D9D3C1D" w14:textId="77777777" w:rsidR="00BF529C" w:rsidRDefault="00BF529C" w:rsidP="00C24C8D">
      <w:pPr>
        <w:spacing w:line="360" w:lineRule="auto"/>
        <w:jc w:val="both"/>
        <w:rPr>
          <w:rFonts w:ascii="Arial" w:hAnsi="Arial" w:cs="Arial"/>
          <w:sz w:val="22"/>
          <w:szCs w:val="22"/>
        </w:rPr>
      </w:pPr>
    </w:p>
    <w:p w14:paraId="7E390970" w14:textId="77777777" w:rsidR="00BF529C" w:rsidRDefault="00BF529C" w:rsidP="00C24C8D">
      <w:pPr>
        <w:spacing w:line="360" w:lineRule="auto"/>
        <w:jc w:val="both"/>
        <w:rPr>
          <w:rFonts w:ascii="Arial" w:hAnsi="Arial" w:cs="Arial"/>
          <w:sz w:val="22"/>
          <w:szCs w:val="22"/>
        </w:rPr>
      </w:pPr>
    </w:p>
    <w:p w14:paraId="1B12B58D" w14:textId="77777777" w:rsidR="00BF529C" w:rsidRDefault="00BF529C" w:rsidP="00C24C8D">
      <w:pPr>
        <w:spacing w:line="360" w:lineRule="auto"/>
        <w:jc w:val="both"/>
        <w:rPr>
          <w:rFonts w:ascii="Arial" w:hAnsi="Arial" w:cs="Arial"/>
          <w:sz w:val="22"/>
          <w:szCs w:val="22"/>
        </w:rPr>
      </w:pPr>
    </w:p>
    <w:p w14:paraId="0C04F0E9" w14:textId="77777777" w:rsidR="00BF529C" w:rsidRDefault="00BF529C" w:rsidP="00C24C8D">
      <w:pPr>
        <w:spacing w:line="360" w:lineRule="auto"/>
        <w:jc w:val="both"/>
        <w:rPr>
          <w:rFonts w:ascii="Arial" w:hAnsi="Arial" w:cs="Arial"/>
          <w:sz w:val="22"/>
          <w:szCs w:val="22"/>
        </w:rPr>
      </w:pPr>
    </w:p>
    <w:p w14:paraId="20AB102B" w14:textId="77777777" w:rsidR="00BF529C" w:rsidRDefault="00BF529C" w:rsidP="00C24C8D">
      <w:pPr>
        <w:spacing w:line="360" w:lineRule="auto"/>
        <w:jc w:val="both"/>
        <w:rPr>
          <w:rFonts w:ascii="Arial" w:hAnsi="Arial" w:cs="Arial"/>
          <w:sz w:val="22"/>
          <w:szCs w:val="22"/>
        </w:rPr>
      </w:pPr>
    </w:p>
    <w:p w14:paraId="7932C26A" w14:textId="37DDA04B" w:rsidR="003F29DA" w:rsidRPr="00535BEE" w:rsidRDefault="003F29DA" w:rsidP="00C24C8D">
      <w:pPr>
        <w:pStyle w:val="Heading1"/>
        <w:spacing w:line="360" w:lineRule="auto"/>
        <w:rPr>
          <w:rFonts w:ascii="Arial" w:hAnsi="Arial" w:cs="Arial"/>
          <w:b/>
          <w:bCs/>
          <w:sz w:val="32"/>
          <w:szCs w:val="32"/>
        </w:rPr>
      </w:pPr>
      <w:bookmarkStart w:id="12" w:name="_Toc220878865"/>
      <w:r w:rsidRPr="00535BEE">
        <w:rPr>
          <w:rFonts w:ascii="Arial" w:hAnsi="Arial" w:cs="Arial"/>
          <w:b/>
          <w:bCs/>
          <w:sz w:val="32"/>
          <w:szCs w:val="32"/>
        </w:rPr>
        <w:lastRenderedPageBreak/>
        <w:t>Chapter</w:t>
      </w:r>
      <w:r w:rsidR="002F690B">
        <w:rPr>
          <w:rFonts w:ascii="Arial" w:hAnsi="Arial" w:cs="Arial"/>
          <w:b/>
          <w:bCs/>
          <w:sz w:val="32"/>
          <w:szCs w:val="32"/>
        </w:rPr>
        <w:t xml:space="preserve"> </w:t>
      </w:r>
      <w:r w:rsidRPr="00535BEE">
        <w:rPr>
          <w:rFonts w:ascii="Arial" w:hAnsi="Arial" w:cs="Arial"/>
          <w:b/>
          <w:bCs/>
          <w:sz w:val="32"/>
          <w:szCs w:val="32"/>
        </w:rPr>
        <w:t>2: Literature Review and Theoretical</w:t>
      </w:r>
      <w:r w:rsidR="00C24C8D">
        <w:rPr>
          <w:rFonts w:ascii="Arial" w:hAnsi="Arial" w:cs="Arial"/>
          <w:b/>
          <w:bCs/>
          <w:sz w:val="32"/>
          <w:szCs w:val="32"/>
        </w:rPr>
        <w:t xml:space="preserve"> </w:t>
      </w:r>
      <w:r w:rsidRPr="00535BEE">
        <w:rPr>
          <w:rFonts w:ascii="Arial" w:hAnsi="Arial" w:cs="Arial"/>
          <w:b/>
          <w:bCs/>
          <w:sz w:val="32"/>
          <w:szCs w:val="32"/>
        </w:rPr>
        <w:t>Framework</w:t>
      </w:r>
      <w:bookmarkEnd w:id="12"/>
    </w:p>
    <w:p w14:paraId="1CD6946C" w14:textId="4DD55E73" w:rsidR="003F29DA" w:rsidRPr="00535BEE" w:rsidRDefault="003F29DA" w:rsidP="00C24C8D">
      <w:pPr>
        <w:pStyle w:val="Heading2"/>
        <w:spacing w:line="360" w:lineRule="auto"/>
        <w:jc w:val="both"/>
        <w:rPr>
          <w:rFonts w:ascii="Arial" w:hAnsi="Arial" w:cs="Arial"/>
          <w:b/>
          <w:bCs/>
          <w:sz w:val="28"/>
          <w:szCs w:val="28"/>
        </w:rPr>
      </w:pPr>
      <w:bookmarkStart w:id="13" w:name="_Toc220878866"/>
      <w:r w:rsidRPr="00535BEE">
        <w:rPr>
          <w:rFonts w:ascii="Arial" w:hAnsi="Arial" w:cs="Arial"/>
          <w:b/>
          <w:bCs/>
          <w:sz w:val="28"/>
          <w:szCs w:val="28"/>
        </w:rPr>
        <w:t>2.1</w:t>
      </w:r>
      <w:r w:rsidR="00535BEE" w:rsidRPr="00535BEE">
        <w:rPr>
          <w:rFonts w:ascii="Arial" w:hAnsi="Arial" w:cs="Arial"/>
          <w:b/>
          <w:bCs/>
          <w:sz w:val="28"/>
          <w:szCs w:val="28"/>
        </w:rPr>
        <w:t xml:space="preserve"> </w:t>
      </w:r>
      <w:r w:rsidRPr="00535BEE">
        <w:rPr>
          <w:rFonts w:ascii="Arial" w:hAnsi="Arial" w:cs="Arial"/>
          <w:b/>
          <w:bCs/>
          <w:sz w:val="28"/>
          <w:szCs w:val="28"/>
        </w:rPr>
        <w:t>Introduction</w:t>
      </w:r>
      <w:bookmarkEnd w:id="13"/>
    </w:p>
    <w:p w14:paraId="2D36DA55" w14:textId="3ED95C6B"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Falls in older persons constitute a serious global public health hazard, increasingly acknowledged for their substantial clinical, social, and economic effects (World Health Organization (WHO), 2021; Montero-Odasso et al., 2022).</w:t>
      </w:r>
      <w:r w:rsidR="00B1013A">
        <w:rPr>
          <w:rFonts w:ascii="Arial" w:hAnsi="Arial" w:cs="Arial"/>
          <w:sz w:val="22"/>
          <w:szCs w:val="22"/>
        </w:rPr>
        <w:t xml:space="preserve"> </w:t>
      </w:r>
      <w:r w:rsidR="00B1013A" w:rsidRPr="00B1013A">
        <w:rPr>
          <w:rFonts w:ascii="Arial" w:hAnsi="Arial" w:cs="Arial"/>
          <w:sz w:val="22"/>
          <w:szCs w:val="22"/>
        </w:rPr>
        <w:t>Falls should be viewed from a life-course and systems-based approach, according to current public health research, which acknowledges the cumulative impact of aging, socioeconomic deprivation, and environmental exposure on susceptibility in later life</w:t>
      </w:r>
      <w:r w:rsidR="00B1013A" w:rsidRPr="00B1013A">
        <w:t xml:space="preserve"> </w:t>
      </w:r>
      <w:r w:rsidR="00B1013A" w:rsidRPr="00B1013A">
        <w:rPr>
          <w:rFonts w:ascii="Arial" w:hAnsi="Arial" w:cs="Arial"/>
          <w:sz w:val="22"/>
          <w:szCs w:val="22"/>
        </w:rPr>
        <w:t>(Kuh et al., 2014; Dahlgren and Whitehead, 2007).</w:t>
      </w:r>
      <w:r w:rsidRPr="003F29DA">
        <w:rPr>
          <w:rFonts w:ascii="Arial" w:hAnsi="Arial" w:cs="Arial"/>
          <w:sz w:val="22"/>
          <w:szCs w:val="22"/>
        </w:rPr>
        <w:t xml:space="preserve"> With global populations ageing quickly, the frequency of falls and fall-related injuries is predicted to climb dramatically over the coming decades (WHO, 2021; United Nations, 2022). In the United Kingdom, and notably in metropolitan districts of England, the frequency of falls among older persons has reached proportions that deserve urgent attention from researchers, legislators, and healthcare practitioners (NICE, 2025; NICE, 2025a). Falls are increasingly regarded not only as discrete clinical incidences but as complex events impacted by physiological, behavioural, environmental, and societal aspects (NICE, 2025; Montero-Odasso et al., 2022). Within this environment, physiotherapy has emerged as a fundamental method for fall prevention, particularly when administered in community settings where older </w:t>
      </w:r>
      <w:r w:rsidR="00330FA7">
        <w:rPr>
          <w:rFonts w:ascii="Arial" w:hAnsi="Arial" w:cs="Arial"/>
          <w:sz w:val="22"/>
          <w:szCs w:val="22"/>
        </w:rPr>
        <w:t>adult</w:t>
      </w:r>
      <w:r w:rsidRPr="003F29DA">
        <w:rPr>
          <w:rFonts w:ascii="Arial" w:hAnsi="Arial" w:cs="Arial"/>
          <w:sz w:val="22"/>
          <w:szCs w:val="22"/>
        </w:rPr>
        <w:t>s live and socialize (Sherrington et al., 2019; Sherrington et al., 2020). This marks a transition away from hospital</w:t>
      </w:r>
      <w:r w:rsidR="00C24C8D">
        <w:rPr>
          <w:rFonts w:ascii="Arial" w:hAnsi="Arial" w:cs="Arial"/>
          <w:sz w:val="22"/>
          <w:szCs w:val="22"/>
        </w:rPr>
        <w:t>-</w:t>
      </w:r>
      <w:r w:rsidR="00C24C8D" w:rsidRPr="003F29DA">
        <w:rPr>
          <w:rFonts w:ascii="Arial" w:hAnsi="Arial" w:cs="Arial"/>
          <w:sz w:val="22"/>
          <w:szCs w:val="22"/>
        </w:rPr>
        <w:t>centred</w:t>
      </w:r>
      <w:r w:rsidRPr="003F29DA">
        <w:rPr>
          <w:rFonts w:ascii="Arial" w:hAnsi="Arial" w:cs="Arial"/>
          <w:sz w:val="22"/>
          <w:szCs w:val="22"/>
        </w:rPr>
        <w:t xml:space="preserve"> models of treatment towards preventative, holistic, and population- based methods congruent with modern public health ideas (NHS England, 2019; NICE, 2025).</w:t>
      </w:r>
    </w:p>
    <w:p w14:paraId="61BB8F0B" w14:textId="3A74EE8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potential of community-based physiotherapy programs to lower fall risk, increase functional capacity, and improve older </w:t>
      </w:r>
      <w:r w:rsidR="00C24C8D">
        <w:rPr>
          <w:rFonts w:ascii="Arial" w:hAnsi="Arial" w:cs="Arial"/>
          <w:sz w:val="22"/>
          <w:szCs w:val="22"/>
        </w:rPr>
        <w:t>adults’</w:t>
      </w:r>
      <w:r w:rsidRPr="003F29DA">
        <w:rPr>
          <w:rFonts w:ascii="Arial" w:hAnsi="Arial" w:cs="Arial"/>
          <w:sz w:val="22"/>
          <w:szCs w:val="22"/>
        </w:rPr>
        <w:t xml:space="preserve"> quality of life has been increasingly demonstrated (Sherrington et al., 2019; Sherrington et al., 2020). These programs are generally administered outside traditional clinical facilities and include organized exercise classes, home-based training, environmental evaluations, educational components, and continuing monitoring and support (NICE, 2025; Montero-Odasso et al., 2022). Their relevance coincides strongly with the NHS Long Term Plan, which highlights prevention, early intervention, and “care closer to home” as vital components of sustainable healthcare (NHS England, 2019). However, despite the acknowledged benefits of these interventions, very few studies have specifically looked at how they function in England's complex, diverse, and frequently underprivileged urban </w:t>
      </w:r>
      <w:r w:rsidRPr="003F29DA">
        <w:rPr>
          <w:rFonts w:ascii="Arial" w:hAnsi="Arial" w:cs="Arial"/>
          <w:sz w:val="22"/>
          <w:szCs w:val="22"/>
        </w:rPr>
        <w:lastRenderedPageBreak/>
        <w:t>environments, where social injustices, environmental hazards, and obstacles to healthcare access combine to increase the risk of falls (Marmot et al., 2020; NICE, 2025).</w:t>
      </w:r>
      <w:r w:rsidR="00B1013A">
        <w:rPr>
          <w:rFonts w:ascii="Arial" w:hAnsi="Arial" w:cs="Arial"/>
          <w:sz w:val="22"/>
          <w:szCs w:val="22"/>
        </w:rPr>
        <w:t xml:space="preserve"> </w:t>
      </w:r>
      <w:r w:rsidR="00B1013A" w:rsidRPr="00B1013A">
        <w:rPr>
          <w:rFonts w:ascii="Arial" w:hAnsi="Arial" w:cs="Arial"/>
          <w:sz w:val="22"/>
          <w:szCs w:val="22"/>
        </w:rPr>
        <w:t>Urban complexity can limit intervention efficacy through characteristics such service fragmentation, population turnover, and unequal resource allocation, according to research on health interventions in metropolitan environments</w:t>
      </w:r>
      <w:r w:rsidR="00B1013A">
        <w:rPr>
          <w:rFonts w:ascii="Arial" w:hAnsi="Arial" w:cs="Arial"/>
          <w:sz w:val="22"/>
          <w:szCs w:val="22"/>
        </w:rPr>
        <w:t xml:space="preserve"> </w:t>
      </w:r>
      <w:r w:rsidR="00B1013A" w:rsidRPr="00B1013A">
        <w:rPr>
          <w:rFonts w:ascii="Arial" w:hAnsi="Arial" w:cs="Arial"/>
          <w:sz w:val="22"/>
          <w:szCs w:val="22"/>
        </w:rPr>
        <w:t>(Greenhalgh et al., 2019; Allender et al., 2020).</w:t>
      </w:r>
    </w:p>
    <w:p w14:paraId="64FB9578" w14:textId="6116C00E"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A theoretical understanding of fall-prevention </w:t>
      </w:r>
      <w:r w:rsidR="00C24C8D" w:rsidRPr="003F29DA">
        <w:rPr>
          <w:rFonts w:ascii="Arial" w:hAnsi="Arial" w:cs="Arial"/>
          <w:sz w:val="22"/>
          <w:szCs w:val="22"/>
        </w:rPr>
        <w:t>behaviour</w:t>
      </w:r>
      <w:r w:rsidRPr="003F29DA">
        <w:rPr>
          <w:rFonts w:ascii="Arial" w:hAnsi="Arial" w:cs="Arial"/>
          <w:sz w:val="22"/>
          <w:szCs w:val="22"/>
        </w:rPr>
        <w:t xml:space="preserve"> is crucial for examining intervention effectiveness. The Health Belief Model (HBM) and the Social Ecological Model (SEM), two often used </w:t>
      </w:r>
      <w:r w:rsidR="00C24C8D" w:rsidRPr="003F29DA">
        <w:rPr>
          <w:rFonts w:ascii="Arial" w:hAnsi="Arial" w:cs="Arial"/>
          <w:sz w:val="22"/>
          <w:szCs w:val="22"/>
        </w:rPr>
        <w:t>behavioural</w:t>
      </w:r>
      <w:r w:rsidRPr="003F29DA">
        <w:rPr>
          <w:rFonts w:ascii="Arial" w:hAnsi="Arial" w:cs="Arial"/>
          <w:sz w:val="22"/>
          <w:szCs w:val="22"/>
        </w:rPr>
        <w:t xml:space="preserve"> and ecological frameworks, provide insightful information. HBM makes it easier to investigate older persons' perceptions of their susceptibility to falls, perceived advantages of preventative measures, obstacles to involvement, and levels of self-efficacy (Rosenstock, 1974; Bandura, 1997). The SEM supplements this by locating individual actions within wider layers of influence, including interpersonal relationships,</w:t>
      </w:r>
      <w:r w:rsidR="00B1013A">
        <w:rPr>
          <w:rFonts w:ascii="Arial" w:hAnsi="Arial" w:cs="Arial"/>
          <w:sz w:val="22"/>
          <w:szCs w:val="22"/>
        </w:rPr>
        <w:t xml:space="preserve"> </w:t>
      </w:r>
      <w:r w:rsidRPr="003F29DA">
        <w:rPr>
          <w:rFonts w:ascii="Arial" w:hAnsi="Arial" w:cs="Arial"/>
          <w:sz w:val="22"/>
          <w:szCs w:val="22"/>
        </w:rPr>
        <w:t>organizational structures, community surroundings, and public policy (Bronfenbrenner, 1977; McLeroy et al., 1988). When used together, these frameworks provide an integrated approach capable of highlighting both personal and environmental drivers of involvement in physiotherapy-based fall prevention (McLeroy et al., 1988; Montero-Odasso et al., 2022).</w:t>
      </w:r>
    </w:p>
    <w:p w14:paraId="7634CC1F" w14:textId="1FB4CC0F"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This chapter critically reviews the current body of evidence on fall epidemiology, risk factors, and community-based physiotherapy treatments, with special reference to metropolitan regions of England. It draws on epidemiological evidence to contextualize the scale and severity of the issue; reviews intrinsic, extrinsic, </w:t>
      </w:r>
      <w:r w:rsidR="00C24C8D" w:rsidRPr="003F29DA">
        <w:rPr>
          <w:rFonts w:ascii="Arial" w:hAnsi="Arial" w:cs="Arial"/>
          <w:sz w:val="22"/>
          <w:szCs w:val="22"/>
        </w:rPr>
        <w:t>behavioural</w:t>
      </w:r>
      <w:r w:rsidRPr="003F29DA">
        <w:rPr>
          <w:rFonts w:ascii="Arial" w:hAnsi="Arial" w:cs="Arial"/>
          <w:sz w:val="22"/>
          <w:szCs w:val="22"/>
        </w:rPr>
        <w:t>, and socioeconomic determinants of fall risk; examines physiotherapy interventions and their effectiveness; and considers how theoretical frameworks inform intervention design and implementation. The chapter finishes by noting important gaps in the literature, underlining the need for a systematic review focusing exclusively on community-based physiotherapy in metropolitan England. (Public Health England, 2020; NICE, 2025)</w:t>
      </w:r>
    </w:p>
    <w:p w14:paraId="0C386E04" w14:textId="6B09A968" w:rsidR="003F29DA" w:rsidRPr="00535BEE" w:rsidRDefault="003F29DA" w:rsidP="00C24C8D">
      <w:pPr>
        <w:pStyle w:val="Heading2"/>
        <w:spacing w:line="360" w:lineRule="auto"/>
        <w:jc w:val="both"/>
        <w:rPr>
          <w:rFonts w:ascii="Arial" w:hAnsi="Arial" w:cs="Arial"/>
          <w:b/>
          <w:bCs/>
          <w:sz w:val="28"/>
          <w:szCs w:val="28"/>
        </w:rPr>
      </w:pPr>
      <w:bookmarkStart w:id="14" w:name="_Toc220878867"/>
      <w:r w:rsidRPr="00535BEE">
        <w:rPr>
          <w:rFonts w:ascii="Arial" w:hAnsi="Arial" w:cs="Arial"/>
          <w:b/>
          <w:bCs/>
          <w:sz w:val="28"/>
          <w:szCs w:val="28"/>
        </w:rPr>
        <w:t>2.2</w:t>
      </w:r>
      <w:r w:rsidR="00535BEE" w:rsidRPr="00535BEE">
        <w:rPr>
          <w:rFonts w:ascii="Arial" w:hAnsi="Arial" w:cs="Arial"/>
          <w:b/>
          <w:bCs/>
          <w:sz w:val="28"/>
          <w:szCs w:val="28"/>
        </w:rPr>
        <w:t xml:space="preserve"> </w:t>
      </w:r>
      <w:r w:rsidRPr="00535BEE">
        <w:rPr>
          <w:rFonts w:ascii="Arial" w:hAnsi="Arial" w:cs="Arial"/>
          <w:b/>
          <w:bCs/>
          <w:sz w:val="28"/>
          <w:szCs w:val="28"/>
        </w:rPr>
        <w:t>Epidemiology of Falls Among Older Adults</w:t>
      </w:r>
      <w:bookmarkEnd w:id="14"/>
    </w:p>
    <w:p w14:paraId="39A6AF18" w14:textId="7F75A849" w:rsidR="003F29DA" w:rsidRPr="00535BEE" w:rsidRDefault="003F29DA" w:rsidP="00C24C8D">
      <w:pPr>
        <w:pStyle w:val="Heading3"/>
        <w:spacing w:line="360" w:lineRule="auto"/>
        <w:jc w:val="both"/>
        <w:rPr>
          <w:rFonts w:ascii="Arial" w:hAnsi="Arial" w:cs="Arial"/>
          <w:b/>
          <w:bCs/>
          <w:sz w:val="24"/>
          <w:szCs w:val="24"/>
        </w:rPr>
      </w:pPr>
      <w:bookmarkStart w:id="15" w:name="_Toc220878868"/>
      <w:r w:rsidRPr="00535BEE">
        <w:rPr>
          <w:rFonts w:ascii="Arial" w:hAnsi="Arial" w:cs="Arial"/>
          <w:b/>
          <w:bCs/>
          <w:sz w:val="24"/>
          <w:szCs w:val="24"/>
        </w:rPr>
        <w:t>2.2.1</w:t>
      </w:r>
      <w:r w:rsidR="00535BEE" w:rsidRPr="00535BEE">
        <w:rPr>
          <w:rFonts w:ascii="Arial" w:hAnsi="Arial" w:cs="Arial"/>
          <w:b/>
          <w:bCs/>
          <w:sz w:val="24"/>
          <w:szCs w:val="24"/>
        </w:rPr>
        <w:t xml:space="preserve"> </w:t>
      </w:r>
      <w:r w:rsidRPr="00535BEE">
        <w:rPr>
          <w:rFonts w:ascii="Arial" w:hAnsi="Arial" w:cs="Arial"/>
          <w:b/>
          <w:bCs/>
          <w:sz w:val="24"/>
          <w:szCs w:val="24"/>
        </w:rPr>
        <w:t>Global Epidemiology</w:t>
      </w:r>
      <w:bookmarkEnd w:id="15"/>
    </w:p>
    <w:p w14:paraId="0405929B" w14:textId="3CB85926" w:rsid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Falls are a primary cause of injury, disability, and death among older </w:t>
      </w:r>
      <w:r w:rsidR="00330FA7">
        <w:rPr>
          <w:rFonts w:ascii="Arial" w:hAnsi="Arial" w:cs="Arial"/>
          <w:sz w:val="22"/>
          <w:szCs w:val="22"/>
        </w:rPr>
        <w:t>adult</w:t>
      </w:r>
      <w:r w:rsidRPr="003F29DA">
        <w:rPr>
          <w:rFonts w:ascii="Arial" w:hAnsi="Arial" w:cs="Arial"/>
          <w:sz w:val="22"/>
          <w:szCs w:val="22"/>
        </w:rPr>
        <w:t>s worldwide</w:t>
      </w:r>
      <w:r w:rsidR="006C523E">
        <w:rPr>
          <w:rFonts w:ascii="Arial" w:hAnsi="Arial" w:cs="Arial"/>
          <w:sz w:val="22"/>
          <w:szCs w:val="22"/>
        </w:rPr>
        <w:t xml:space="preserve"> </w:t>
      </w:r>
      <w:r w:rsidR="006C523E" w:rsidRPr="006C523E">
        <w:rPr>
          <w:rFonts w:ascii="Arial" w:hAnsi="Arial" w:cs="Arial"/>
          <w:sz w:val="22"/>
          <w:szCs w:val="22"/>
        </w:rPr>
        <w:t>(WHO, 2021; Global Burden of Disease Study, 2019)</w:t>
      </w:r>
      <w:r w:rsidRPr="003F29DA">
        <w:rPr>
          <w:rFonts w:ascii="Arial" w:hAnsi="Arial" w:cs="Arial"/>
          <w:sz w:val="22"/>
          <w:szCs w:val="22"/>
        </w:rPr>
        <w:t xml:space="preserve">. According to estimates from the World Health Organization (WHO), there are around 684,000 fatal falls worldwide each year, making falls the second most prevalent cause of accidental injury-related death </w:t>
      </w:r>
      <w:r w:rsidRPr="003F29DA">
        <w:rPr>
          <w:rFonts w:ascii="Arial" w:hAnsi="Arial" w:cs="Arial"/>
          <w:sz w:val="22"/>
          <w:szCs w:val="22"/>
        </w:rPr>
        <w:lastRenderedPageBreak/>
        <w:t>after traffic accidents (WHO, 2021). Even more frequent are non-fatal falls; each year, over 37 million serious falls need medical treatment (WHO, 2021</w:t>
      </w:r>
      <w:r w:rsidR="006C523E">
        <w:rPr>
          <w:rFonts w:ascii="Arial" w:hAnsi="Arial" w:cs="Arial"/>
          <w:sz w:val="22"/>
          <w:szCs w:val="22"/>
        </w:rPr>
        <w:t xml:space="preserve">; </w:t>
      </w:r>
      <w:r w:rsidR="006C523E" w:rsidRPr="006C523E">
        <w:rPr>
          <w:rFonts w:ascii="Arial" w:hAnsi="Arial" w:cs="Arial"/>
          <w:sz w:val="22"/>
          <w:szCs w:val="22"/>
        </w:rPr>
        <w:t>Montero-Odasso et al., 2022</w:t>
      </w:r>
      <w:r w:rsidRPr="003F29DA">
        <w:rPr>
          <w:rFonts w:ascii="Arial" w:hAnsi="Arial" w:cs="Arial"/>
          <w:sz w:val="22"/>
          <w:szCs w:val="22"/>
        </w:rPr>
        <w:t>). These numbers underline the huge stress falls impose on health systems, particularly in nations with growing aging populations (WHO, 2021; Montero-Odasso et al., 2022).</w:t>
      </w:r>
      <w:r w:rsidR="00B1013A">
        <w:rPr>
          <w:rFonts w:ascii="Arial" w:hAnsi="Arial" w:cs="Arial"/>
          <w:sz w:val="22"/>
          <w:szCs w:val="22"/>
        </w:rPr>
        <w:t xml:space="preserve"> </w:t>
      </w:r>
      <w:r w:rsidR="00B1013A" w:rsidRPr="00B1013A">
        <w:rPr>
          <w:rFonts w:ascii="Arial" w:hAnsi="Arial" w:cs="Arial"/>
          <w:sz w:val="22"/>
          <w:szCs w:val="22"/>
        </w:rPr>
        <w:t xml:space="preserve">According to projections, fall-related injuries will contribute </w:t>
      </w:r>
      <w:r w:rsidR="002D689D" w:rsidRPr="00B1013A">
        <w:rPr>
          <w:rFonts w:ascii="Arial" w:hAnsi="Arial" w:cs="Arial"/>
          <w:sz w:val="22"/>
          <w:szCs w:val="22"/>
        </w:rPr>
        <w:t>more</w:t>
      </w:r>
      <w:r w:rsidR="00B1013A" w:rsidRPr="00B1013A">
        <w:rPr>
          <w:rFonts w:ascii="Arial" w:hAnsi="Arial" w:cs="Arial"/>
          <w:sz w:val="22"/>
          <w:szCs w:val="22"/>
        </w:rPr>
        <w:t xml:space="preserve"> to disability-adjusted life years (DALYs) among older populations globally in the absence of effective preventative measures</w:t>
      </w:r>
      <w:r w:rsidR="00B1013A">
        <w:rPr>
          <w:rFonts w:ascii="Arial" w:hAnsi="Arial" w:cs="Arial"/>
          <w:sz w:val="22"/>
          <w:szCs w:val="22"/>
        </w:rPr>
        <w:t xml:space="preserve"> </w:t>
      </w:r>
      <w:r w:rsidR="00B1013A" w:rsidRPr="00B1013A">
        <w:rPr>
          <w:rFonts w:ascii="Arial" w:hAnsi="Arial" w:cs="Arial"/>
          <w:sz w:val="22"/>
          <w:szCs w:val="22"/>
        </w:rPr>
        <w:t>(Vos et al., 2020; Prince et al., 2015).</w:t>
      </w:r>
      <w:r w:rsidRPr="003F29DA">
        <w:rPr>
          <w:rFonts w:ascii="Arial" w:hAnsi="Arial" w:cs="Arial"/>
          <w:sz w:val="22"/>
          <w:szCs w:val="22"/>
        </w:rPr>
        <w:t xml:space="preserve"> In Europe, falls are one of the most frequent causes of injury-related emergency admissions</w:t>
      </w:r>
      <w:r w:rsidR="00535BEE">
        <w:rPr>
          <w:rFonts w:ascii="Arial" w:hAnsi="Arial" w:cs="Arial"/>
          <w:sz w:val="22"/>
          <w:szCs w:val="22"/>
        </w:rPr>
        <w:t>.</w:t>
      </w:r>
      <w:r w:rsidRPr="003F29DA">
        <w:rPr>
          <w:rFonts w:ascii="Arial" w:hAnsi="Arial" w:cs="Arial"/>
          <w:sz w:val="22"/>
          <w:szCs w:val="22"/>
        </w:rPr>
        <w:t xml:space="preserve"> </w:t>
      </w:r>
      <w:r w:rsidR="00B1013A">
        <w:rPr>
          <w:rFonts w:ascii="Arial" w:hAnsi="Arial" w:cs="Arial"/>
          <w:sz w:val="22"/>
          <w:szCs w:val="22"/>
        </w:rPr>
        <w:t>A</w:t>
      </w:r>
      <w:r w:rsidRPr="003F29DA">
        <w:rPr>
          <w:rFonts w:ascii="Arial" w:hAnsi="Arial" w:cs="Arial"/>
          <w:sz w:val="22"/>
          <w:szCs w:val="22"/>
        </w:rPr>
        <w:t>mong older persons, resulting to high morbidity, long-term functional deterioration, and limitations in independence (WHO, 2021; Montero-Odasso et al., 2022).</w:t>
      </w:r>
    </w:p>
    <w:p w14:paraId="60893B5C" w14:textId="7EDE6606" w:rsidR="004523F3" w:rsidRDefault="004523F3" w:rsidP="0057719E">
      <w:pPr>
        <w:spacing w:line="360" w:lineRule="auto"/>
        <w:jc w:val="center"/>
        <w:rPr>
          <w:rFonts w:ascii="Arial" w:hAnsi="Arial" w:cs="Arial"/>
          <w:sz w:val="22"/>
          <w:szCs w:val="22"/>
        </w:rPr>
      </w:pPr>
      <w:r w:rsidRPr="004523F3">
        <w:rPr>
          <w:rFonts w:ascii="Arial" w:hAnsi="Arial" w:cs="Arial"/>
          <w:noProof/>
          <w:sz w:val="22"/>
          <w:szCs w:val="22"/>
        </w:rPr>
        <w:drawing>
          <wp:inline distT="0" distB="0" distL="0" distR="0" wp14:anchorId="34FCE506" wp14:editId="3EFC46A6">
            <wp:extent cx="5278120" cy="3142615"/>
            <wp:effectExtent l="0" t="0" r="0" b="635"/>
            <wp:docPr id="817952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52736" name=""/>
                    <pic:cNvPicPr/>
                  </pic:nvPicPr>
                  <pic:blipFill>
                    <a:blip r:embed="rId15"/>
                    <a:stretch>
                      <a:fillRect/>
                    </a:stretch>
                  </pic:blipFill>
                  <pic:spPr>
                    <a:xfrm>
                      <a:off x="0" y="0"/>
                      <a:ext cx="5278120" cy="3142615"/>
                    </a:xfrm>
                    <a:prstGeom prst="rect">
                      <a:avLst/>
                    </a:prstGeom>
                  </pic:spPr>
                </pic:pic>
              </a:graphicData>
            </a:graphic>
          </wp:inline>
        </w:drawing>
      </w:r>
    </w:p>
    <w:p w14:paraId="7FB67E84" w14:textId="65522780" w:rsidR="004523F3" w:rsidRPr="00694A13" w:rsidRDefault="00694A13" w:rsidP="002D689D">
      <w:pPr>
        <w:pStyle w:val="Caption"/>
        <w:spacing w:line="360" w:lineRule="auto"/>
        <w:jc w:val="center"/>
        <w:rPr>
          <w:rFonts w:ascii="Arial" w:hAnsi="Arial" w:cs="Arial"/>
          <w:sz w:val="24"/>
          <w:szCs w:val="24"/>
        </w:rPr>
      </w:pPr>
      <w:bookmarkStart w:id="16" w:name="_Toc220878847"/>
      <w:r w:rsidRPr="00694A13">
        <w:rPr>
          <w:sz w:val="20"/>
          <w:szCs w:val="20"/>
        </w:rPr>
        <w:t xml:space="preserve">Figure </w:t>
      </w:r>
      <w:r w:rsidRPr="00694A13">
        <w:rPr>
          <w:sz w:val="20"/>
          <w:szCs w:val="20"/>
        </w:rPr>
        <w:fldChar w:fldCharType="begin"/>
      </w:r>
      <w:r w:rsidRPr="00694A13">
        <w:rPr>
          <w:sz w:val="20"/>
          <w:szCs w:val="20"/>
        </w:rPr>
        <w:instrText xml:space="preserve"> SEQ Figure \* ARABIC </w:instrText>
      </w:r>
      <w:r w:rsidRPr="00694A13">
        <w:rPr>
          <w:sz w:val="20"/>
          <w:szCs w:val="20"/>
        </w:rPr>
        <w:fldChar w:fldCharType="separate"/>
      </w:r>
      <w:r w:rsidR="00F07385">
        <w:rPr>
          <w:noProof/>
          <w:sz w:val="20"/>
          <w:szCs w:val="20"/>
        </w:rPr>
        <w:t>1</w:t>
      </w:r>
      <w:r w:rsidRPr="00694A13">
        <w:rPr>
          <w:sz w:val="20"/>
          <w:szCs w:val="20"/>
        </w:rPr>
        <w:fldChar w:fldCharType="end"/>
      </w:r>
      <w:r w:rsidRPr="00694A13">
        <w:rPr>
          <w:sz w:val="20"/>
          <w:szCs w:val="20"/>
        </w:rPr>
        <w:t>: Global Epidemiology</w:t>
      </w:r>
      <w:bookmarkEnd w:id="16"/>
    </w:p>
    <w:p w14:paraId="7DA701AC" w14:textId="5866E9D4" w:rsidR="003F29DA" w:rsidRPr="00535BEE" w:rsidRDefault="003F29DA" w:rsidP="00C24C8D">
      <w:pPr>
        <w:pStyle w:val="Heading3"/>
        <w:spacing w:line="360" w:lineRule="auto"/>
        <w:jc w:val="both"/>
        <w:rPr>
          <w:rFonts w:ascii="Arial" w:hAnsi="Arial" w:cs="Arial"/>
          <w:b/>
          <w:bCs/>
          <w:sz w:val="24"/>
          <w:szCs w:val="24"/>
        </w:rPr>
      </w:pPr>
      <w:bookmarkStart w:id="17" w:name="_Toc220878869"/>
      <w:r w:rsidRPr="00535BEE">
        <w:rPr>
          <w:rFonts w:ascii="Arial" w:hAnsi="Arial" w:cs="Arial"/>
          <w:b/>
          <w:bCs/>
          <w:sz w:val="24"/>
          <w:szCs w:val="24"/>
        </w:rPr>
        <w:t>2.2.2</w:t>
      </w:r>
      <w:r w:rsidR="00535BEE" w:rsidRPr="00535BEE">
        <w:rPr>
          <w:rFonts w:ascii="Arial" w:hAnsi="Arial" w:cs="Arial"/>
          <w:b/>
          <w:bCs/>
          <w:sz w:val="24"/>
          <w:szCs w:val="24"/>
        </w:rPr>
        <w:t xml:space="preserve"> </w:t>
      </w:r>
      <w:r w:rsidRPr="00535BEE">
        <w:rPr>
          <w:rFonts w:ascii="Arial" w:hAnsi="Arial" w:cs="Arial"/>
          <w:b/>
          <w:bCs/>
          <w:sz w:val="24"/>
          <w:szCs w:val="24"/>
        </w:rPr>
        <w:t>Epidemiology in the United Kingdom</w:t>
      </w:r>
      <w:bookmarkEnd w:id="17"/>
    </w:p>
    <w:p w14:paraId="6DEDD821" w14:textId="3DFE1060"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In the United Kingdom, falls account for more than 220,000 emergency hospital admissions yearly for persons aged 65 years and over (NHS Digital, 2020). According to data from Public Health England, one in three adults over 65 falls at least once a year; for those over 80, the percentage increases to one in two (PHE, 2020). Falls are the major cause of injury- related death in this age range, particularly when age-related frailty, chronic illness, and mobility constraints grow (WHO, 2021; NICE, 2025).</w:t>
      </w:r>
      <w:r w:rsidR="00B87FA6">
        <w:rPr>
          <w:rFonts w:ascii="Arial" w:hAnsi="Arial" w:cs="Arial"/>
          <w:sz w:val="22"/>
          <w:szCs w:val="22"/>
        </w:rPr>
        <w:t xml:space="preserve"> </w:t>
      </w:r>
      <w:r w:rsidR="00B87FA6" w:rsidRPr="00B87FA6">
        <w:rPr>
          <w:rFonts w:ascii="Arial" w:hAnsi="Arial" w:cs="Arial"/>
          <w:sz w:val="22"/>
          <w:szCs w:val="22"/>
        </w:rPr>
        <w:t>Frailty has been demonstrated to independently predict post-fall mortality and fall incidence, highlighting the significance of early detection and focused preventative intervention in community settings</w:t>
      </w:r>
      <w:r w:rsidR="00B87FA6">
        <w:rPr>
          <w:rFonts w:ascii="Arial" w:hAnsi="Arial" w:cs="Arial"/>
          <w:sz w:val="22"/>
          <w:szCs w:val="22"/>
        </w:rPr>
        <w:t xml:space="preserve"> </w:t>
      </w:r>
      <w:r w:rsidR="00B87FA6" w:rsidRPr="00B87FA6">
        <w:rPr>
          <w:rFonts w:ascii="Arial" w:hAnsi="Arial" w:cs="Arial"/>
          <w:sz w:val="22"/>
          <w:szCs w:val="22"/>
        </w:rPr>
        <w:t>(Rockwood and Mitnitski, 2011; Dent et al., 2019).</w:t>
      </w:r>
      <w:r w:rsidRPr="003F29DA">
        <w:rPr>
          <w:rFonts w:ascii="Arial" w:hAnsi="Arial" w:cs="Arial"/>
          <w:sz w:val="22"/>
          <w:szCs w:val="22"/>
        </w:rPr>
        <w:t xml:space="preserve"> In the UK, hip fractures are responsible for between 70,000 and 80,000 hospital admissions each </w:t>
      </w:r>
      <w:r w:rsidRPr="003F29DA">
        <w:rPr>
          <w:rFonts w:ascii="Arial" w:hAnsi="Arial" w:cs="Arial"/>
          <w:sz w:val="22"/>
          <w:szCs w:val="22"/>
        </w:rPr>
        <w:lastRenderedPageBreak/>
        <w:t>year, making them one of the most dangerous fall-related outcomes (Royal College of Physicians, 2019). Hip fractures have high mortality rates; 20–30% of patients pass away within a year, and many more suffer irreversible loss of independence (NICE, 2025a; Royal College of Physicians, 2019).</w:t>
      </w:r>
    </w:p>
    <w:p w14:paraId="47395E1E" w14:textId="4B0C97AE"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The “220,000 emergency admissions” figure is directly supported by official indicator datasets and NICE communications (Office for Health Improvement and Disparities, 2025; NICE, 2025a). These have been added as supporting references alongside your original citation.</w:t>
      </w:r>
    </w:p>
    <w:p w14:paraId="6B7B4FE4" w14:textId="1E7A53B7" w:rsidR="003F29DA" w:rsidRDefault="003F29DA" w:rsidP="00C24C8D">
      <w:pPr>
        <w:spacing w:line="360" w:lineRule="auto"/>
        <w:jc w:val="both"/>
        <w:rPr>
          <w:rFonts w:ascii="Arial" w:hAnsi="Arial" w:cs="Arial"/>
          <w:sz w:val="22"/>
          <w:szCs w:val="22"/>
        </w:rPr>
      </w:pPr>
      <w:r w:rsidRPr="003F29DA">
        <w:rPr>
          <w:rFonts w:ascii="Arial" w:hAnsi="Arial" w:cs="Arial"/>
          <w:sz w:val="22"/>
          <w:szCs w:val="22"/>
        </w:rPr>
        <w:t>In the UK, falls have a substantial economic impact. The yearly direct cost of falls to health and social care, including ambulance services, emergency medical care, surgical treatment, rehabilitation, and long-term community assistance, is estimated by NHS England (2019) to be over £2.3 billion (NHS England, 2019; NICE, 2015). Long-term incapacity, informal care, and lost productivity among family caregivers are examples of indirect expenses that add to the overall financial burden (NICE, 2025; WHO, 2021). Forecasts show that fall-related healthcare costs will significantly increase as the UK's population ages unless more effective preventive measures are put in place (Office for National Statistics, 2021; NICE, 2025).</w:t>
      </w:r>
    </w:p>
    <w:p w14:paraId="11FACE63" w14:textId="1D31C608" w:rsidR="00D3531C" w:rsidRDefault="00D3531C" w:rsidP="0057719E">
      <w:pPr>
        <w:spacing w:line="360" w:lineRule="auto"/>
        <w:jc w:val="center"/>
        <w:rPr>
          <w:rFonts w:ascii="Arial" w:hAnsi="Arial" w:cs="Arial"/>
          <w:sz w:val="22"/>
          <w:szCs w:val="22"/>
        </w:rPr>
      </w:pPr>
      <w:r w:rsidRPr="00D3531C">
        <w:rPr>
          <w:rFonts w:ascii="Arial" w:hAnsi="Arial" w:cs="Arial"/>
          <w:noProof/>
          <w:sz w:val="22"/>
          <w:szCs w:val="22"/>
        </w:rPr>
        <w:drawing>
          <wp:inline distT="0" distB="0" distL="0" distR="0" wp14:anchorId="71C65D06" wp14:editId="44982E37">
            <wp:extent cx="5278120" cy="3338830"/>
            <wp:effectExtent l="0" t="0" r="0" b="0"/>
            <wp:docPr id="929521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21864" name=""/>
                    <pic:cNvPicPr/>
                  </pic:nvPicPr>
                  <pic:blipFill>
                    <a:blip r:embed="rId16"/>
                    <a:stretch>
                      <a:fillRect/>
                    </a:stretch>
                  </pic:blipFill>
                  <pic:spPr>
                    <a:xfrm>
                      <a:off x="0" y="0"/>
                      <a:ext cx="5278120" cy="3338830"/>
                    </a:xfrm>
                    <a:prstGeom prst="rect">
                      <a:avLst/>
                    </a:prstGeom>
                  </pic:spPr>
                </pic:pic>
              </a:graphicData>
            </a:graphic>
          </wp:inline>
        </w:drawing>
      </w:r>
    </w:p>
    <w:p w14:paraId="02DCE8C7" w14:textId="5D2C9A5E" w:rsidR="00694A13" w:rsidRPr="00694A13" w:rsidRDefault="00694A13" w:rsidP="002D689D">
      <w:pPr>
        <w:pStyle w:val="Caption"/>
        <w:spacing w:line="360" w:lineRule="auto"/>
        <w:jc w:val="center"/>
        <w:rPr>
          <w:rFonts w:ascii="Arial" w:hAnsi="Arial" w:cs="Arial"/>
          <w:sz w:val="24"/>
          <w:szCs w:val="24"/>
        </w:rPr>
      </w:pPr>
      <w:bookmarkStart w:id="18" w:name="_Toc220878848"/>
      <w:r w:rsidRPr="00694A13">
        <w:rPr>
          <w:sz w:val="20"/>
          <w:szCs w:val="20"/>
        </w:rPr>
        <w:t xml:space="preserve">Figure </w:t>
      </w:r>
      <w:r w:rsidRPr="00694A13">
        <w:rPr>
          <w:sz w:val="20"/>
          <w:szCs w:val="20"/>
        </w:rPr>
        <w:fldChar w:fldCharType="begin"/>
      </w:r>
      <w:r w:rsidRPr="00694A13">
        <w:rPr>
          <w:sz w:val="20"/>
          <w:szCs w:val="20"/>
        </w:rPr>
        <w:instrText xml:space="preserve"> SEQ Figure \* ARABIC </w:instrText>
      </w:r>
      <w:r w:rsidRPr="00694A13">
        <w:rPr>
          <w:sz w:val="20"/>
          <w:szCs w:val="20"/>
        </w:rPr>
        <w:fldChar w:fldCharType="separate"/>
      </w:r>
      <w:r w:rsidR="00F07385">
        <w:rPr>
          <w:noProof/>
          <w:sz w:val="20"/>
          <w:szCs w:val="20"/>
        </w:rPr>
        <w:t>2</w:t>
      </w:r>
      <w:r w:rsidRPr="00694A13">
        <w:rPr>
          <w:sz w:val="20"/>
          <w:szCs w:val="20"/>
        </w:rPr>
        <w:fldChar w:fldCharType="end"/>
      </w:r>
      <w:r w:rsidRPr="00694A13">
        <w:rPr>
          <w:sz w:val="20"/>
          <w:szCs w:val="20"/>
        </w:rPr>
        <w:t>: United Kingdom Epidemiology</w:t>
      </w:r>
      <w:bookmarkEnd w:id="18"/>
    </w:p>
    <w:p w14:paraId="5777C484" w14:textId="1DC86A96" w:rsidR="003F29DA" w:rsidRPr="00535BEE" w:rsidRDefault="003F29DA" w:rsidP="00C24C8D">
      <w:pPr>
        <w:pStyle w:val="Heading3"/>
        <w:spacing w:line="360" w:lineRule="auto"/>
        <w:jc w:val="both"/>
        <w:rPr>
          <w:rFonts w:ascii="Arial" w:hAnsi="Arial" w:cs="Arial"/>
          <w:b/>
          <w:bCs/>
          <w:sz w:val="24"/>
          <w:szCs w:val="24"/>
        </w:rPr>
      </w:pPr>
      <w:bookmarkStart w:id="19" w:name="_Toc220878870"/>
      <w:r w:rsidRPr="00535BEE">
        <w:rPr>
          <w:rFonts w:ascii="Arial" w:hAnsi="Arial" w:cs="Arial"/>
          <w:b/>
          <w:bCs/>
          <w:sz w:val="24"/>
          <w:szCs w:val="24"/>
        </w:rPr>
        <w:lastRenderedPageBreak/>
        <w:t>2.2.3</w:t>
      </w:r>
      <w:r w:rsidR="00535BEE" w:rsidRPr="00535BEE">
        <w:rPr>
          <w:rFonts w:ascii="Arial" w:hAnsi="Arial" w:cs="Arial"/>
          <w:b/>
          <w:bCs/>
          <w:sz w:val="24"/>
          <w:szCs w:val="24"/>
        </w:rPr>
        <w:t xml:space="preserve"> </w:t>
      </w:r>
      <w:r w:rsidRPr="00535BEE">
        <w:rPr>
          <w:rFonts w:ascii="Arial" w:hAnsi="Arial" w:cs="Arial"/>
          <w:b/>
          <w:bCs/>
          <w:sz w:val="24"/>
          <w:szCs w:val="24"/>
        </w:rPr>
        <w:t>Urban and Metropolitan England Context</w:t>
      </w:r>
      <w:bookmarkEnd w:id="19"/>
    </w:p>
    <w:p w14:paraId="266E72F7" w14:textId="3480D25F"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Urban locations in England have notably high fall rates, especially among inhabitants of socioeconomically poor communities. Studies have shown that older adults living in metropolitan regions such as London, Birmingham, Manchester, and Liverpool are exposed to unique environmental hazards, including uneven pavements, poor street lighting, congested public spaces, and challenging transport infrastructures (Davies et al., 2022; NICE, 2025). These dangers combine with social isolation, poverty, and restricted access to community resources to heighten fall risk (Marmot et al., 2020). Urban dwelling factors</w:t>
      </w:r>
      <w:r w:rsidR="00B87FA6">
        <w:rPr>
          <w:rFonts w:ascii="Arial" w:hAnsi="Arial" w:cs="Arial"/>
          <w:sz w:val="22"/>
          <w:szCs w:val="22"/>
        </w:rPr>
        <w:t>,</w:t>
      </w:r>
      <w:r w:rsidRPr="003F29DA">
        <w:rPr>
          <w:rFonts w:ascii="Arial" w:hAnsi="Arial" w:cs="Arial"/>
          <w:sz w:val="22"/>
          <w:szCs w:val="22"/>
        </w:rPr>
        <w:t xml:space="preserve"> including high-rise structures, small stairways, and poorly maintained common areas</w:t>
      </w:r>
      <w:r w:rsidR="00B87FA6">
        <w:rPr>
          <w:rFonts w:ascii="Arial" w:hAnsi="Arial" w:cs="Arial"/>
          <w:sz w:val="22"/>
          <w:szCs w:val="22"/>
        </w:rPr>
        <w:t xml:space="preserve">, </w:t>
      </w:r>
      <w:r w:rsidRPr="003F29DA">
        <w:rPr>
          <w:rFonts w:ascii="Arial" w:hAnsi="Arial" w:cs="Arial"/>
          <w:sz w:val="22"/>
          <w:szCs w:val="22"/>
        </w:rPr>
        <w:t xml:space="preserve">further contribute to greater susceptibility (Harrison et al., 2021; NICE, 2025). </w:t>
      </w:r>
      <w:r w:rsidR="00B87FA6" w:rsidRPr="00B87FA6">
        <w:rPr>
          <w:rFonts w:ascii="Arial" w:hAnsi="Arial" w:cs="Arial"/>
          <w:sz w:val="22"/>
          <w:szCs w:val="22"/>
        </w:rPr>
        <w:t xml:space="preserve">According to </w:t>
      </w:r>
      <w:r w:rsidR="002D689D" w:rsidRPr="00B87FA6">
        <w:rPr>
          <w:rFonts w:ascii="Arial" w:hAnsi="Arial" w:cs="Arial"/>
          <w:sz w:val="22"/>
          <w:szCs w:val="22"/>
        </w:rPr>
        <w:t>build</w:t>
      </w:r>
      <w:r w:rsidR="00B87FA6" w:rsidRPr="00B87FA6">
        <w:rPr>
          <w:rFonts w:ascii="Arial" w:hAnsi="Arial" w:cs="Arial"/>
          <w:sz w:val="22"/>
          <w:szCs w:val="22"/>
        </w:rPr>
        <w:t xml:space="preserve"> environment study, older urban residents' mobility, levels of physical activity, and fall risk are significantly correlated with </w:t>
      </w:r>
      <w:r w:rsidR="002D689D" w:rsidRPr="00B87FA6">
        <w:rPr>
          <w:rFonts w:ascii="Arial" w:hAnsi="Arial" w:cs="Arial"/>
          <w:sz w:val="22"/>
          <w:szCs w:val="22"/>
        </w:rPr>
        <w:t>neighbourhood</w:t>
      </w:r>
      <w:r w:rsidR="00B87FA6" w:rsidRPr="00B87FA6">
        <w:rPr>
          <w:rFonts w:ascii="Arial" w:hAnsi="Arial" w:cs="Arial"/>
          <w:sz w:val="22"/>
          <w:szCs w:val="22"/>
        </w:rPr>
        <w:t xml:space="preserve"> walkability, housing quality, and access to safe public areas</w:t>
      </w:r>
      <w:r w:rsidR="00B87FA6">
        <w:rPr>
          <w:rFonts w:ascii="Arial" w:hAnsi="Arial" w:cs="Arial"/>
          <w:sz w:val="22"/>
          <w:szCs w:val="22"/>
        </w:rPr>
        <w:t xml:space="preserve"> </w:t>
      </w:r>
      <w:r w:rsidR="00B87FA6" w:rsidRPr="00B87FA6">
        <w:rPr>
          <w:rFonts w:ascii="Arial" w:hAnsi="Arial" w:cs="Arial"/>
          <w:sz w:val="22"/>
          <w:szCs w:val="22"/>
        </w:rPr>
        <w:t>(Sugiyama et al., 2014; Clarke and Nieuwenhuijsen, 2009</w:t>
      </w:r>
      <w:r w:rsidR="00B87FA6">
        <w:rPr>
          <w:rFonts w:ascii="Arial" w:hAnsi="Arial" w:cs="Arial"/>
          <w:sz w:val="22"/>
          <w:szCs w:val="22"/>
        </w:rPr>
        <w:t>)</w:t>
      </w:r>
      <w:r w:rsidR="00B87FA6" w:rsidRPr="00B87FA6">
        <w:rPr>
          <w:rFonts w:ascii="Arial" w:hAnsi="Arial" w:cs="Arial"/>
          <w:sz w:val="22"/>
          <w:szCs w:val="22"/>
        </w:rPr>
        <w:t>.</w:t>
      </w:r>
      <w:r w:rsidR="00B87FA6">
        <w:rPr>
          <w:rFonts w:ascii="Arial" w:hAnsi="Arial" w:cs="Arial"/>
          <w:sz w:val="22"/>
          <w:szCs w:val="22"/>
        </w:rPr>
        <w:t xml:space="preserve"> </w:t>
      </w:r>
      <w:r w:rsidRPr="003F29DA">
        <w:rPr>
          <w:rFonts w:ascii="Arial" w:hAnsi="Arial" w:cs="Arial"/>
          <w:sz w:val="22"/>
          <w:szCs w:val="22"/>
        </w:rPr>
        <w:t>Furthermore, culturally varied populations in large cities may have different perspectives about healthcare engagement, fitness, and aging, which may affect their involvement in fall prevention initiatives (Rahman et al., 2022; Montero-Odasso et al., 2022).</w:t>
      </w:r>
    </w:p>
    <w:p w14:paraId="275444B2" w14:textId="22C81AC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Fall prevention among older persons in metropolitan England is a crucial clinical and public health goal given these epidemiological trends (NHS England, 2019; NICE, 2025). The high frequency, severe effects, and growing costs of falls demand evidence-based community treatments, including physiotherapy programs adapted to the needs of urban populations (NICE, 2025; Montero-Odasso et al., 2022).</w:t>
      </w:r>
    </w:p>
    <w:p w14:paraId="2886C681" w14:textId="63833803"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growing body of research on socioeconomic determinants of health, which increasingly influence fall patterns in both community and institutional settings, is another factor to be </w:t>
      </w:r>
      <w:r w:rsidR="002D689D" w:rsidRPr="003F29DA">
        <w:rPr>
          <w:rFonts w:ascii="Arial" w:hAnsi="Arial" w:cs="Arial"/>
          <w:sz w:val="22"/>
          <w:szCs w:val="22"/>
        </w:rPr>
        <w:t>considered</w:t>
      </w:r>
      <w:r w:rsidRPr="003F29DA">
        <w:rPr>
          <w:rFonts w:ascii="Arial" w:hAnsi="Arial" w:cs="Arial"/>
          <w:sz w:val="22"/>
          <w:szCs w:val="22"/>
        </w:rPr>
        <w:t xml:space="preserve"> in the epidemiology of falls (Marmot et al., 2020; WHO, 2021). Current public health frameworks emphasize that falls must be seen in the context of larger structural disparities that affect risk exposure, service accessibility, and long-term health trajectories rather than being exclusively understood as age-related occurrences (Marmot et al., 2020; Montero-Odasso et al., 2022). For example, older persons who reside in impoverished </w:t>
      </w:r>
      <w:r w:rsidR="002D689D" w:rsidRPr="003F29DA">
        <w:rPr>
          <w:rFonts w:ascii="Arial" w:hAnsi="Arial" w:cs="Arial"/>
          <w:sz w:val="22"/>
          <w:szCs w:val="22"/>
        </w:rPr>
        <w:t>neighbourhoods</w:t>
      </w:r>
      <w:r w:rsidRPr="003F29DA">
        <w:rPr>
          <w:rFonts w:ascii="Arial" w:hAnsi="Arial" w:cs="Arial"/>
          <w:sz w:val="22"/>
          <w:szCs w:val="22"/>
        </w:rPr>
        <w:t xml:space="preserve"> frequently have greater rates of multimorbidity, less chances for safe physical exercise, and restricted access to rehabilitation programs, all of which increase their long-term fall risk (Marmot et al., 2020; NICE, 2025). These differences frequently reflect geographical differences within nations, with fall prevention difficulties being exacerbated by urban congestion, subpar housing, and decreased </w:t>
      </w:r>
      <w:r w:rsidR="00516F9C" w:rsidRPr="003F29DA">
        <w:rPr>
          <w:rFonts w:ascii="Arial" w:hAnsi="Arial" w:cs="Arial"/>
          <w:sz w:val="22"/>
          <w:szCs w:val="22"/>
        </w:rPr>
        <w:t>neighbourhood</w:t>
      </w:r>
      <w:r w:rsidRPr="003F29DA">
        <w:rPr>
          <w:rFonts w:ascii="Arial" w:hAnsi="Arial" w:cs="Arial"/>
          <w:sz w:val="22"/>
          <w:szCs w:val="22"/>
        </w:rPr>
        <w:t xml:space="preserve"> walkability (Marmot et al., 2020). Such </w:t>
      </w:r>
      <w:r w:rsidRPr="003F29DA">
        <w:rPr>
          <w:rFonts w:ascii="Arial" w:hAnsi="Arial" w:cs="Arial"/>
          <w:sz w:val="22"/>
          <w:szCs w:val="22"/>
        </w:rPr>
        <w:lastRenderedPageBreak/>
        <w:t>findings underscore the significance of incorporating fall prevention into larger community-based health programs that identify contextual, environmental and socio- economic variables that affect vulnerability among older persons (WHO, 2021; Montero- Odasso et al., 2022).</w:t>
      </w:r>
    </w:p>
    <w:p w14:paraId="46505239" w14:textId="55F42455" w:rsidR="003F29DA" w:rsidRPr="00535BEE" w:rsidRDefault="003F29DA" w:rsidP="00C24C8D">
      <w:pPr>
        <w:pStyle w:val="Heading2"/>
        <w:spacing w:line="360" w:lineRule="auto"/>
        <w:jc w:val="both"/>
        <w:rPr>
          <w:rFonts w:ascii="Arial" w:hAnsi="Arial" w:cs="Arial"/>
          <w:b/>
          <w:bCs/>
          <w:sz w:val="28"/>
          <w:szCs w:val="28"/>
        </w:rPr>
      </w:pPr>
      <w:bookmarkStart w:id="20" w:name="_Toc220878871"/>
      <w:r w:rsidRPr="00535BEE">
        <w:rPr>
          <w:rFonts w:ascii="Arial" w:hAnsi="Arial" w:cs="Arial"/>
          <w:b/>
          <w:bCs/>
          <w:sz w:val="28"/>
          <w:szCs w:val="28"/>
        </w:rPr>
        <w:t>2.3</w:t>
      </w:r>
      <w:r w:rsidR="00535BEE" w:rsidRPr="00535BEE">
        <w:rPr>
          <w:rFonts w:ascii="Arial" w:hAnsi="Arial" w:cs="Arial"/>
          <w:b/>
          <w:bCs/>
          <w:sz w:val="28"/>
          <w:szCs w:val="28"/>
        </w:rPr>
        <w:t xml:space="preserve"> </w:t>
      </w:r>
      <w:r w:rsidRPr="00535BEE">
        <w:rPr>
          <w:rFonts w:ascii="Arial" w:hAnsi="Arial" w:cs="Arial"/>
          <w:b/>
          <w:bCs/>
          <w:sz w:val="28"/>
          <w:szCs w:val="28"/>
        </w:rPr>
        <w:t>Risk Factors for Falls</w:t>
      </w:r>
      <w:bookmarkEnd w:id="20"/>
    </w:p>
    <w:p w14:paraId="4BBEA089" w14:textId="04798AD5" w:rsidR="003F29DA" w:rsidRPr="00535BEE" w:rsidRDefault="003F29DA" w:rsidP="00C24C8D">
      <w:pPr>
        <w:pStyle w:val="Heading3"/>
        <w:spacing w:line="360" w:lineRule="auto"/>
        <w:jc w:val="both"/>
        <w:rPr>
          <w:rFonts w:ascii="Arial" w:hAnsi="Arial" w:cs="Arial"/>
          <w:b/>
          <w:bCs/>
          <w:sz w:val="24"/>
          <w:szCs w:val="24"/>
        </w:rPr>
      </w:pPr>
      <w:bookmarkStart w:id="21" w:name="_Toc220878872"/>
      <w:r w:rsidRPr="00535BEE">
        <w:rPr>
          <w:rFonts w:ascii="Arial" w:hAnsi="Arial" w:cs="Arial"/>
          <w:b/>
          <w:bCs/>
          <w:sz w:val="24"/>
          <w:szCs w:val="24"/>
        </w:rPr>
        <w:t>2.3.1</w:t>
      </w:r>
      <w:r w:rsidR="00535BEE" w:rsidRPr="00535BEE">
        <w:rPr>
          <w:rFonts w:ascii="Arial" w:hAnsi="Arial" w:cs="Arial"/>
          <w:b/>
          <w:bCs/>
          <w:sz w:val="24"/>
          <w:szCs w:val="24"/>
        </w:rPr>
        <w:t xml:space="preserve"> </w:t>
      </w:r>
      <w:r w:rsidRPr="00535BEE">
        <w:rPr>
          <w:rFonts w:ascii="Arial" w:hAnsi="Arial" w:cs="Arial"/>
          <w:b/>
          <w:bCs/>
          <w:sz w:val="24"/>
          <w:szCs w:val="24"/>
        </w:rPr>
        <w:t>Intrinsic Risk Factors</w:t>
      </w:r>
      <w:bookmarkEnd w:id="21"/>
    </w:p>
    <w:p w14:paraId="6B217E29" w14:textId="3C08B8DC"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Falls in older persons result from a complex interplay of intrinsic, extrinsic, behavio</w:t>
      </w:r>
      <w:r w:rsidR="002D689D">
        <w:rPr>
          <w:rFonts w:ascii="Arial" w:hAnsi="Arial" w:cs="Arial"/>
          <w:sz w:val="22"/>
          <w:szCs w:val="22"/>
        </w:rPr>
        <w:t>u</w:t>
      </w:r>
      <w:r w:rsidRPr="003F29DA">
        <w:rPr>
          <w:rFonts w:ascii="Arial" w:hAnsi="Arial" w:cs="Arial"/>
          <w:sz w:val="22"/>
          <w:szCs w:val="22"/>
        </w:rPr>
        <w:t>ral, and socioeconomic variables. Designing successful community-based physiotherapy interventions requires an understanding of these risk factors (NICE, 2025; Montero-Odasso et al., 2022).</w:t>
      </w:r>
    </w:p>
    <w:p w14:paraId="1E907564" w14:textId="48A7BA2F"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Age-related physiological deterioration is mostly connected with intrinsic variables. Fall risk is closely linked to declining muscular strength, balance, proprioception, and gait stability (Thomas and Patel, 2021; Sherrington et al., 2019; NICE, 2025). Sarcopenia, the age- related loss of muscle mass, greatly affects lower-limb strength and response time, limiting an individual’s capacity to recover from trips or slips (</w:t>
      </w:r>
      <w:r w:rsidR="006C523E" w:rsidRPr="006C523E">
        <w:rPr>
          <w:rFonts w:ascii="Arial" w:hAnsi="Arial" w:cs="Arial"/>
          <w:sz w:val="22"/>
          <w:szCs w:val="22"/>
        </w:rPr>
        <w:t>Cruz-Jentoft et al., 2019</w:t>
      </w:r>
      <w:r w:rsidR="006C523E">
        <w:rPr>
          <w:rFonts w:ascii="Arial" w:hAnsi="Arial" w:cs="Arial"/>
          <w:sz w:val="22"/>
          <w:szCs w:val="22"/>
        </w:rPr>
        <w:t xml:space="preserve">; </w:t>
      </w:r>
      <w:r w:rsidRPr="003F29DA">
        <w:rPr>
          <w:rFonts w:ascii="Arial" w:hAnsi="Arial" w:cs="Arial"/>
          <w:sz w:val="22"/>
          <w:szCs w:val="22"/>
        </w:rPr>
        <w:t>Montero-Odasso et al., 2022).</w:t>
      </w:r>
      <w:r w:rsidR="00B87FA6">
        <w:rPr>
          <w:rFonts w:ascii="Arial" w:hAnsi="Arial" w:cs="Arial"/>
          <w:sz w:val="22"/>
          <w:szCs w:val="22"/>
        </w:rPr>
        <w:t xml:space="preserve"> </w:t>
      </w:r>
      <w:r w:rsidR="00B87FA6" w:rsidRPr="00B87FA6">
        <w:rPr>
          <w:rFonts w:ascii="Arial" w:hAnsi="Arial" w:cs="Arial"/>
          <w:sz w:val="22"/>
          <w:szCs w:val="22"/>
        </w:rPr>
        <w:t>Additionally, sarcopenia has been associated with delayed protective stepping reflexes and reduced neuromuscular control, both of which hinder a person's capacity to regain balance after disturbances</w:t>
      </w:r>
      <w:r w:rsidR="00B87FA6">
        <w:rPr>
          <w:rFonts w:ascii="Arial" w:hAnsi="Arial" w:cs="Arial"/>
          <w:sz w:val="22"/>
          <w:szCs w:val="22"/>
        </w:rPr>
        <w:t xml:space="preserve"> </w:t>
      </w:r>
      <w:r w:rsidR="00B87FA6" w:rsidRPr="00B87FA6">
        <w:rPr>
          <w:rFonts w:ascii="Arial" w:hAnsi="Arial" w:cs="Arial"/>
          <w:sz w:val="22"/>
          <w:szCs w:val="22"/>
        </w:rPr>
        <w:t>(Cruz-Jentoft et al., 2019; Landi et al., 2012).</w:t>
      </w:r>
      <w:r w:rsidRPr="003F29DA">
        <w:rPr>
          <w:rFonts w:ascii="Arial" w:hAnsi="Arial" w:cs="Arial"/>
          <w:sz w:val="22"/>
          <w:szCs w:val="22"/>
        </w:rPr>
        <w:t xml:space="preserve"> Safely navigating situations is made more difficult by sensory impairments, especially visual deficiencies brought on by cataracts, glaucoma, or macular degeneration (NICE, 2025). By impairing coordination, neuropathy, cardiovascular reactions, or joint function, chronic illnesses such stroke, Parkinson's disease, diabetes, heart disease, and arthritis further </w:t>
      </w:r>
      <w:r w:rsidR="002D689D" w:rsidRPr="003F29DA">
        <w:rPr>
          <w:rFonts w:ascii="Arial" w:hAnsi="Arial" w:cs="Arial"/>
          <w:sz w:val="22"/>
          <w:szCs w:val="22"/>
        </w:rPr>
        <w:t>increased</w:t>
      </w:r>
      <w:r w:rsidRPr="003F29DA">
        <w:rPr>
          <w:rFonts w:ascii="Arial" w:hAnsi="Arial" w:cs="Arial"/>
          <w:sz w:val="22"/>
          <w:szCs w:val="22"/>
        </w:rPr>
        <w:t xml:space="preserve"> risk (Campbell and Robertson, 2018; NICE, 2025). Cognitive impairment, including dementia and moderate cognitive decline, is related with poor judgement, shorter response times, and difficulty with dual-task tasks, all of which considerably increase the probability of falling (Miller et al., 2021; Montero-Odasso et al., 2022).</w:t>
      </w:r>
    </w:p>
    <w:p w14:paraId="02710FF5" w14:textId="5102D851" w:rsidR="003F29DA" w:rsidRPr="00535BEE" w:rsidRDefault="003F29DA" w:rsidP="00C24C8D">
      <w:pPr>
        <w:pStyle w:val="Heading3"/>
        <w:spacing w:line="360" w:lineRule="auto"/>
        <w:jc w:val="both"/>
        <w:rPr>
          <w:rFonts w:ascii="Arial" w:hAnsi="Arial" w:cs="Arial"/>
          <w:b/>
          <w:bCs/>
          <w:sz w:val="24"/>
          <w:szCs w:val="24"/>
        </w:rPr>
      </w:pPr>
      <w:bookmarkStart w:id="22" w:name="_Toc220878873"/>
      <w:r w:rsidRPr="00535BEE">
        <w:rPr>
          <w:rFonts w:ascii="Arial" w:hAnsi="Arial" w:cs="Arial"/>
          <w:b/>
          <w:bCs/>
          <w:sz w:val="24"/>
          <w:szCs w:val="24"/>
        </w:rPr>
        <w:t>2.3.2</w:t>
      </w:r>
      <w:r w:rsidR="00535BEE" w:rsidRPr="00535BEE">
        <w:rPr>
          <w:rFonts w:ascii="Arial" w:hAnsi="Arial" w:cs="Arial"/>
          <w:b/>
          <w:bCs/>
          <w:sz w:val="24"/>
          <w:szCs w:val="24"/>
        </w:rPr>
        <w:t xml:space="preserve"> </w:t>
      </w:r>
      <w:r w:rsidRPr="00535BEE">
        <w:rPr>
          <w:rFonts w:ascii="Arial" w:hAnsi="Arial" w:cs="Arial"/>
          <w:b/>
          <w:bCs/>
          <w:sz w:val="24"/>
          <w:szCs w:val="24"/>
        </w:rPr>
        <w:t>Extrinsic (Environmental) Risk Factors</w:t>
      </w:r>
      <w:bookmarkEnd w:id="22"/>
    </w:p>
    <w:p w14:paraId="67053994" w14:textId="1C31A2D2"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Environmental risks, many of which are particularly common in metropolitan environments, are considered extrinsic factors. Hazardous situations in homes and public spaces include congested living spaces, uneven pavements, slick surfaces, poor lighting, and a lack of grab bars or railings (Williams et al., 2020; NICE, 2025). Additional dangers are frequently presented by urban infrastructure, such as crowded public areas, busy roadways, and badly maintained stairwells (NICE, 2025). High-rise </w:t>
      </w:r>
      <w:r w:rsidRPr="003F29DA">
        <w:rPr>
          <w:rFonts w:ascii="Arial" w:hAnsi="Arial" w:cs="Arial"/>
          <w:sz w:val="22"/>
          <w:szCs w:val="22"/>
        </w:rPr>
        <w:lastRenderedPageBreak/>
        <w:t xml:space="preserve">living </w:t>
      </w:r>
      <w:r w:rsidR="002F690B" w:rsidRPr="003F29DA">
        <w:rPr>
          <w:rFonts w:ascii="Arial" w:hAnsi="Arial" w:cs="Arial"/>
          <w:sz w:val="22"/>
          <w:szCs w:val="22"/>
        </w:rPr>
        <w:t>has</w:t>
      </w:r>
      <w:r w:rsidRPr="003F29DA">
        <w:rPr>
          <w:rFonts w:ascii="Arial" w:hAnsi="Arial" w:cs="Arial"/>
          <w:sz w:val="22"/>
          <w:szCs w:val="22"/>
        </w:rPr>
        <w:t xml:space="preserve"> been related with higher fall dangers due to poor care of shared spaces, steep staircases, and congested housing conditions (NICE, 2025).</w:t>
      </w:r>
    </w:p>
    <w:p w14:paraId="71DC5809" w14:textId="7D080DD0" w:rsidR="003F29DA" w:rsidRPr="002F690B" w:rsidRDefault="003F29DA" w:rsidP="00C24C8D">
      <w:pPr>
        <w:pStyle w:val="Heading3"/>
        <w:spacing w:line="360" w:lineRule="auto"/>
        <w:jc w:val="both"/>
        <w:rPr>
          <w:rFonts w:ascii="Arial" w:hAnsi="Arial" w:cs="Arial"/>
          <w:b/>
          <w:bCs/>
          <w:sz w:val="24"/>
          <w:szCs w:val="24"/>
        </w:rPr>
      </w:pPr>
      <w:bookmarkStart w:id="23" w:name="_Toc220878874"/>
      <w:r w:rsidRPr="002F690B">
        <w:rPr>
          <w:rFonts w:ascii="Arial" w:hAnsi="Arial" w:cs="Arial"/>
          <w:b/>
          <w:bCs/>
          <w:sz w:val="24"/>
          <w:szCs w:val="24"/>
        </w:rPr>
        <w:t>2.3.3</w:t>
      </w:r>
      <w:r w:rsidR="002F690B" w:rsidRPr="002F690B">
        <w:rPr>
          <w:rFonts w:ascii="Arial" w:hAnsi="Arial" w:cs="Arial"/>
          <w:b/>
          <w:bCs/>
          <w:sz w:val="24"/>
          <w:szCs w:val="24"/>
        </w:rPr>
        <w:t xml:space="preserve"> Behavioural</w:t>
      </w:r>
      <w:r w:rsidRPr="002F690B">
        <w:rPr>
          <w:rFonts w:ascii="Arial" w:hAnsi="Arial" w:cs="Arial"/>
          <w:b/>
          <w:bCs/>
          <w:sz w:val="24"/>
          <w:szCs w:val="24"/>
        </w:rPr>
        <w:t xml:space="preserve"> Risk Factors</w:t>
      </w:r>
      <w:bookmarkEnd w:id="23"/>
    </w:p>
    <w:p w14:paraId="486264B6" w14:textId="55626710" w:rsidR="003F29DA" w:rsidRPr="003F29DA" w:rsidRDefault="002F690B" w:rsidP="00C24C8D">
      <w:pPr>
        <w:spacing w:line="360" w:lineRule="auto"/>
        <w:jc w:val="both"/>
        <w:rPr>
          <w:rFonts w:ascii="Arial" w:hAnsi="Arial" w:cs="Arial"/>
          <w:sz w:val="22"/>
          <w:szCs w:val="22"/>
        </w:rPr>
      </w:pPr>
      <w:r w:rsidRPr="003F29DA">
        <w:rPr>
          <w:rFonts w:ascii="Arial" w:hAnsi="Arial" w:cs="Arial"/>
          <w:sz w:val="22"/>
          <w:szCs w:val="22"/>
        </w:rPr>
        <w:t>Behavioural</w:t>
      </w:r>
      <w:r w:rsidR="003F29DA" w:rsidRPr="003F29DA">
        <w:rPr>
          <w:rFonts w:ascii="Arial" w:hAnsi="Arial" w:cs="Arial"/>
          <w:sz w:val="22"/>
          <w:szCs w:val="22"/>
        </w:rPr>
        <w:t xml:space="preserve"> variables may contribute greatly to fall risk. These include medication mismanagement, non-adherence to medical advice, incorrect use of mobility aids, sedentarism, and risk-taking activities such as climbing on shaky furniture or walking without adequate footwear (Green and Ford, 2022; </w:t>
      </w:r>
      <w:r w:rsidR="006C523E" w:rsidRPr="006C523E">
        <w:rPr>
          <w:rFonts w:ascii="Arial" w:hAnsi="Arial" w:cs="Arial"/>
          <w:sz w:val="22"/>
          <w:szCs w:val="22"/>
        </w:rPr>
        <w:t>Woolcott et al., 2009;</w:t>
      </w:r>
      <w:r w:rsidR="006C523E">
        <w:rPr>
          <w:rFonts w:ascii="Arial" w:hAnsi="Arial" w:cs="Arial"/>
          <w:sz w:val="22"/>
          <w:szCs w:val="22"/>
        </w:rPr>
        <w:t xml:space="preserve"> </w:t>
      </w:r>
      <w:r w:rsidR="003F29DA" w:rsidRPr="003F29DA">
        <w:rPr>
          <w:rFonts w:ascii="Arial" w:hAnsi="Arial" w:cs="Arial"/>
          <w:sz w:val="22"/>
          <w:szCs w:val="22"/>
        </w:rPr>
        <w:t>NICE, 2025). Polypharmacy</w:t>
      </w:r>
      <w:r w:rsidR="00F92EBD">
        <w:rPr>
          <w:rFonts w:ascii="Arial" w:hAnsi="Arial" w:cs="Arial"/>
          <w:sz w:val="22"/>
          <w:szCs w:val="22"/>
        </w:rPr>
        <w:t xml:space="preserve">, </w:t>
      </w:r>
      <w:r w:rsidR="003F29DA" w:rsidRPr="003F29DA">
        <w:rPr>
          <w:rFonts w:ascii="Arial" w:hAnsi="Arial" w:cs="Arial"/>
          <w:sz w:val="22"/>
          <w:szCs w:val="22"/>
        </w:rPr>
        <w:t>the use of numerous medications</w:t>
      </w:r>
      <w:r w:rsidR="00F92EBD">
        <w:rPr>
          <w:rFonts w:ascii="Arial" w:hAnsi="Arial" w:cs="Arial"/>
          <w:sz w:val="22"/>
          <w:szCs w:val="22"/>
        </w:rPr>
        <w:t xml:space="preserve">, </w:t>
      </w:r>
      <w:r w:rsidR="003F29DA" w:rsidRPr="003F29DA">
        <w:rPr>
          <w:rFonts w:ascii="Arial" w:hAnsi="Arial" w:cs="Arial"/>
          <w:sz w:val="22"/>
          <w:szCs w:val="22"/>
        </w:rPr>
        <w:t xml:space="preserve">is particularly hazardous, as interactions between medicines such as sedatives, antihypertensives, and antidepressants can create dizziness, hypotension, or reduced alertness (Brown et al., 2021; NICE, 2025). </w:t>
      </w:r>
      <w:r w:rsidR="00B87FA6" w:rsidRPr="00B87FA6">
        <w:rPr>
          <w:rFonts w:ascii="Arial" w:hAnsi="Arial" w:cs="Arial"/>
          <w:sz w:val="22"/>
          <w:szCs w:val="22"/>
        </w:rPr>
        <w:t xml:space="preserve">Systematic studies show that deprescribing and medication review programs, especially those run by multidisciplinary teams, can dramatically lower the risk of falls in older </w:t>
      </w:r>
      <w:r w:rsidR="00330FA7">
        <w:rPr>
          <w:rFonts w:ascii="Arial" w:hAnsi="Arial" w:cs="Arial"/>
          <w:sz w:val="22"/>
          <w:szCs w:val="22"/>
        </w:rPr>
        <w:t>adult</w:t>
      </w:r>
      <w:r w:rsidR="00B87FA6" w:rsidRPr="00B87FA6">
        <w:rPr>
          <w:rFonts w:ascii="Arial" w:hAnsi="Arial" w:cs="Arial"/>
          <w:sz w:val="22"/>
          <w:szCs w:val="22"/>
        </w:rPr>
        <w:t>s living in the community</w:t>
      </w:r>
      <w:r w:rsidR="00B87FA6">
        <w:rPr>
          <w:rFonts w:ascii="Arial" w:hAnsi="Arial" w:cs="Arial"/>
          <w:sz w:val="22"/>
          <w:szCs w:val="22"/>
        </w:rPr>
        <w:t xml:space="preserve"> </w:t>
      </w:r>
      <w:r w:rsidR="00B87FA6" w:rsidRPr="00B87FA6">
        <w:rPr>
          <w:rFonts w:ascii="Arial" w:hAnsi="Arial" w:cs="Arial"/>
          <w:sz w:val="22"/>
          <w:szCs w:val="22"/>
        </w:rPr>
        <w:t>(Gnjidic et al., 2014; Page et al., 2016).</w:t>
      </w:r>
      <w:r w:rsidR="00B87FA6">
        <w:rPr>
          <w:rFonts w:ascii="Arial" w:hAnsi="Arial" w:cs="Arial"/>
          <w:sz w:val="22"/>
          <w:szCs w:val="22"/>
        </w:rPr>
        <w:t xml:space="preserve"> </w:t>
      </w:r>
      <w:r w:rsidR="003F29DA" w:rsidRPr="003F29DA">
        <w:rPr>
          <w:rFonts w:ascii="Arial" w:hAnsi="Arial" w:cs="Arial"/>
          <w:sz w:val="22"/>
          <w:szCs w:val="22"/>
        </w:rPr>
        <w:t xml:space="preserve">Psychological issues, such as fear of falling, low self-esteem, melancholy, and aversion to action or exercise because of perceived weakness or pain, frequently impact </w:t>
      </w:r>
      <w:r w:rsidR="002D689D" w:rsidRPr="003F29DA">
        <w:rPr>
          <w:rFonts w:ascii="Arial" w:hAnsi="Arial" w:cs="Arial"/>
          <w:sz w:val="22"/>
          <w:szCs w:val="22"/>
        </w:rPr>
        <w:t>behavioural</w:t>
      </w:r>
      <w:r w:rsidR="003F29DA" w:rsidRPr="003F29DA">
        <w:rPr>
          <w:rFonts w:ascii="Arial" w:hAnsi="Arial" w:cs="Arial"/>
          <w:sz w:val="22"/>
          <w:szCs w:val="22"/>
        </w:rPr>
        <w:t xml:space="preserve"> choices (Tinetti and Powell, 1993; NICE, 2025).</w:t>
      </w:r>
    </w:p>
    <w:p w14:paraId="0236F265" w14:textId="377A7CC6" w:rsidR="003F29DA" w:rsidRPr="002F690B" w:rsidRDefault="003F29DA" w:rsidP="00C24C8D">
      <w:pPr>
        <w:pStyle w:val="Heading3"/>
        <w:spacing w:line="360" w:lineRule="auto"/>
        <w:jc w:val="both"/>
        <w:rPr>
          <w:rFonts w:ascii="Arial" w:hAnsi="Arial" w:cs="Arial"/>
          <w:b/>
          <w:bCs/>
          <w:sz w:val="24"/>
          <w:szCs w:val="24"/>
        </w:rPr>
      </w:pPr>
      <w:bookmarkStart w:id="24" w:name="_Toc220878875"/>
      <w:r w:rsidRPr="002F690B">
        <w:rPr>
          <w:rFonts w:ascii="Arial" w:hAnsi="Arial" w:cs="Arial"/>
          <w:b/>
          <w:bCs/>
          <w:sz w:val="24"/>
          <w:szCs w:val="24"/>
        </w:rPr>
        <w:t>2.3.4</w:t>
      </w:r>
      <w:r w:rsidR="002F690B" w:rsidRPr="002F690B">
        <w:rPr>
          <w:rFonts w:ascii="Arial" w:hAnsi="Arial" w:cs="Arial"/>
          <w:b/>
          <w:bCs/>
          <w:sz w:val="24"/>
          <w:szCs w:val="24"/>
        </w:rPr>
        <w:t xml:space="preserve"> </w:t>
      </w:r>
      <w:r w:rsidRPr="002F690B">
        <w:rPr>
          <w:rFonts w:ascii="Arial" w:hAnsi="Arial" w:cs="Arial"/>
          <w:b/>
          <w:bCs/>
          <w:sz w:val="24"/>
          <w:szCs w:val="24"/>
        </w:rPr>
        <w:t>Socioeconomic &amp; Cultural Determinants</w:t>
      </w:r>
      <w:bookmarkEnd w:id="24"/>
    </w:p>
    <w:p w14:paraId="73296A1F" w14:textId="23E2D50F"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Socioeconomic factors of health add another essential dimension to fall risk. Poor housing conditions, restricted access to health care, less possibilities for physical exercise, and diminished social support networks are all more common among older persons residing in impoverished locations (Harrison et al., 2021; Marmot et al., 2020). Inequalities in wealth, education, and access to transit further influence health practices and involvement with fall prevention efforts (Marmot et al., 2020). Minority ethnic populations' cultural beliefs can influence how they see aging and exercise, which can occasionally result in lower rates of involvement in </w:t>
      </w:r>
      <w:r w:rsidR="00BA1983" w:rsidRPr="00BA1983">
        <w:rPr>
          <w:rFonts w:ascii="Arial" w:hAnsi="Arial" w:cs="Arial"/>
          <w:sz w:val="22"/>
          <w:szCs w:val="22"/>
        </w:rPr>
        <w:t xml:space="preserve">physiotherapy interventions </w:t>
      </w:r>
      <w:r w:rsidRPr="003F29DA">
        <w:rPr>
          <w:rFonts w:ascii="Arial" w:hAnsi="Arial" w:cs="Arial"/>
          <w:sz w:val="22"/>
          <w:szCs w:val="22"/>
        </w:rPr>
        <w:t>(Rahman et al., 2022). Gender inequalities have also been well documented: women tend to fall more frequently, partially due to greater rates of osteoporosis and frailty, but falls among males are more likely to result in serious injuries or death (Miller et al., 2021; WHO, 2021). These risk variables clearly highlight the multifaceted character of falls and underscore the importance for holistic, customized, and community- based physiotherapy intervention techniques (NICE, 2025; Montero-Odasso et al., 2022).</w:t>
      </w:r>
    </w:p>
    <w:p w14:paraId="248481BA" w14:textId="62C51E3C" w:rsidR="003F29DA" w:rsidRPr="002F690B" w:rsidRDefault="003F29DA" w:rsidP="00C24C8D">
      <w:pPr>
        <w:pStyle w:val="Heading3"/>
        <w:spacing w:line="360" w:lineRule="auto"/>
        <w:jc w:val="both"/>
        <w:rPr>
          <w:rFonts w:ascii="Arial" w:hAnsi="Arial" w:cs="Arial"/>
          <w:b/>
          <w:bCs/>
          <w:sz w:val="24"/>
          <w:szCs w:val="24"/>
        </w:rPr>
      </w:pPr>
      <w:bookmarkStart w:id="25" w:name="_Toc220878876"/>
      <w:r w:rsidRPr="002F690B">
        <w:rPr>
          <w:rFonts w:ascii="Arial" w:hAnsi="Arial" w:cs="Arial"/>
          <w:b/>
          <w:bCs/>
          <w:sz w:val="24"/>
          <w:szCs w:val="24"/>
        </w:rPr>
        <w:lastRenderedPageBreak/>
        <w:t>2.3.5 Interaction Between Risk Factors</w:t>
      </w:r>
      <w:bookmarkEnd w:id="25"/>
    </w:p>
    <w:p w14:paraId="0A717F8F" w14:textId="44F8F543"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Another facet increasingly emphasized in modern literature is the connection between psychological, behavioural and environmental risk factors. Fear of falling, for example, is no longer considered solely </w:t>
      </w:r>
      <w:r w:rsidR="002F690B" w:rsidRPr="003F29DA">
        <w:rPr>
          <w:rFonts w:ascii="Arial" w:hAnsi="Arial" w:cs="Arial"/>
          <w:sz w:val="22"/>
          <w:szCs w:val="22"/>
        </w:rPr>
        <w:t>because of</w:t>
      </w:r>
      <w:r w:rsidRPr="003F29DA">
        <w:rPr>
          <w:rFonts w:ascii="Arial" w:hAnsi="Arial" w:cs="Arial"/>
          <w:sz w:val="22"/>
          <w:szCs w:val="22"/>
        </w:rPr>
        <w:t xml:space="preserve"> past falls but as an independent cause that might induce physical deterioration (Tinetti and Powell, 1993; Schoene et al., 2019). Older persons who avoid venturing outdoors, minimize involvement in social events, or limit physical exercise owing to fear eventually lose strength, balance and confidence, making falls more likely (Schoene et al., 2019). This danger is amplified by environmental uncertainty</w:t>
      </w:r>
      <w:r w:rsidR="002F690B">
        <w:rPr>
          <w:rFonts w:ascii="Arial" w:hAnsi="Arial" w:cs="Arial"/>
          <w:sz w:val="22"/>
          <w:szCs w:val="22"/>
        </w:rPr>
        <w:t xml:space="preserve">, </w:t>
      </w:r>
      <w:r w:rsidRPr="003F29DA">
        <w:rPr>
          <w:rFonts w:ascii="Arial" w:hAnsi="Arial" w:cs="Arial"/>
          <w:sz w:val="22"/>
          <w:szCs w:val="22"/>
        </w:rPr>
        <w:t>uneven pavements, inadequate lighting, busy metropolitan places and variable weather conditions all impact perceptions of safety (NICE, 2025). Consequently, behavioural reactions to risk can become self-reinforcing, establishing a cycle where avoidance leads to deconditioning, and deconditioning increases susceptibility (Schoene et al., 2019; NICE, 2025).</w:t>
      </w:r>
      <w:r w:rsidR="00B87FA6">
        <w:rPr>
          <w:rFonts w:ascii="Arial" w:hAnsi="Arial" w:cs="Arial"/>
          <w:sz w:val="22"/>
          <w:szCs w:val="22"/>
        </w:rPr>
        <w:t xml:space="preserve"> </w:t>
      </w:r>
      <w:r w:rsidR="00B87FA6" w:rsidRPr="00B87FA6">
        <w:rPr>
          <w:rFonts w:ascii="Arial" w:hAnsi="Arial" w:cs="Arial"/>
          <w:sz w:val="22"/>
          <w:szCs w:val="22"/>
        </w:rPr>
        <w:t>Instead of focusing on individual risk variables separately, this cyclical interplay highlights the need of treatments that concurrently address physical capacity, psychological resilience, and environmental safety</w:t>
      </w:r>
      <w:r w:rsidR="00B87FA6">
        <w:rPr>
          <w:rFonts w:ascii="Arial" w:hAnsi="Arial" w:cs="Arial"/>
          <w:sz w:val="22"/>
          <w:szCs w:val="22"/>
        </w:rPr>
        <w:t xml:space="preserve"> </w:t>
      </w:r>
      <w:r w:rsidR="00B87FA6" w:rsidRPr="00B87FA6">
        <w:rPr>
          <w:rFonts w:ascii="Arial" w:hAnsi="Arial" w:cs="Arial"/>
          <w:sz w:val="22"/>
          <w:szCs w:val="22"/>
        </w:rPr>
        <w:t>(Petridou et al., 2019; Skelton and Mavroeidi, 2018).</w:t>
      </w:r>
    </w:p>
    <w:p w14:paraId="488201AA" w14:textId="4442BE65"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Understanding these interrelated pathways is crucial for devising physiotherapy treatments that address not just biomechanical impairments but also psychological resilience and adaptive coping skills (Bandura, 1997; Montero-Odasso et al., 2022).</w:t>
      </w:r>
    </w:p>
    <w:p w14:paraId="4E93C1E0" w14:textId="7D9C18EF" w:rsidR="003F29DA" w:rsidRPr="002F690B" w:rsidRDefault="003F29DA" w:rsidP="00C24C8D">
      <w:pPr>
        <w:pStyle w:val="Heading2"/>
        <w:spacing w:line="360" w:lineRule="auto"/>
        <w:jc w:val="both"/>
        <w:rPr>
          <w:rFonts w:ascii="Arial" w:hAnsi="Arial" w:cs="Arial"/>
          <w:b/>
          <w:bCs/>
          <w:sz w:val="28"/>
          <w:szCs w:val="28"/>
        </w:rPr>
      </w:pPr>
      <w:bookmarkStart w:id="26" w:name="_Toc220878877"/>
      <w:r w:rsidRPr="002F690B">
        <w:rPr>
          <w:rFonts w:ascii="Arial" w:hAnsi="Arial" w:cs="Arial"/>
          <w:b/>
          <w:bCs/>
          <w:sz w:val="28"/>
          <w:szCs w:val="28"/>
        </w:rPr>
        <w:t>2.4</w:t>
      </w:r>
      <w:r w:rsidR="002F690B" w:rsidRPr="002F690B">
        <w:rPr>
          <w:rFonts w:ascii="Arial" w:hAnsi="Arial" w:cs="Arial"/>
          <w:b/>
          <w:bCs/>
          <w:sz w:val="28"/>
          <w:szCs w:val="28"/>
        </w:rPr>
        <w:t xml:space="preserve"> </w:t>
      </w:r>
      <w:r w:rsidRPr="002F690B">
        <w:rPr>
          <w:rFonts w:ascii="Arial" w:hAnsi="Arial" w:cs="Arial"/>
          <w:b/>
          <w:bCs/>
          <w:sz w:val="28"/>
          <w:szCs w:val="28"/>
        </w:rPr>
        <w:t>The Role of Physiotherapy in Fall Prevention</w:t>
      </w:r>
      <w:bookmarkEnd w:id="26"/>
    </w:p>
    <w:p w14:paraId="27F41964" w14:textId="4C6372B5" w:rsidR="003F29DA" w:rsidRPr="002F690B" w:rsidRDefault="003F29DA" w:rsidP="00C24C8D">
      <w:pPr>
        <w:pStyle w:val="Heading3"/>
        <w:spacing w:line="360" w:lineRule="auto"/>
        <w:jc w:val="both"/>
        <w:rPr>
          <w:rFonts w:ascii="Arial" w:hAnsi="Arial" w:cs="Arial"/>
          <w:b/>
          <w:bCs/>
          <w:sz w:val="24"/>
          <w:szCs w:val="24"/>
        </w:rPr>
      </w:pPr>
      <w:bookmarkStart w:id="27" w:name="_Toc220878878"/>
      <w:r w:rsidRPr="002F690B">
        <w:rPr>
          <w:rFonts w:ascii="Arial" w:hAnsi="Arial" w:cs="Arial"/>
          <w:b/>
          <w:bCs/>
          <w:sz w:val="24"/>
          <w:szCs w:val="24"/>
        </w:rPr>
        <w:t>2.4.1</w:t>
      </w:r>
      <w:r w:rsidR="002F690B" w:rsidRPr="002F690B">
        <w:rPr>
          <w:rFonts w:ascii="Arial" w:hAnsi="Arial" w:cs="Arial"/>
          <w:b/>
          <w:bCs/>
          <w:sz w:val="24"/>
          <w:szCs w:val="24"/>
        </w:rPr>
        <w:t xml:space="preserve"> </w:t>
      </w:r>
      <w:r w:rsidRPr="002F690B">
        <w:rPr>
          <w:rFonts w:ascii="Arial" w:hAnsi="Arial" w:cs="Arial"/>
          <w:b/>
          <w:bCs/>
          <w:sz w:val="24"/>
          <w:szCs w:val="24"/>
        </w:rPr>
        <w:t>Exercise-Based Physiotherapy Interventions</w:t>
      </w:r>
      <w:bookmarkEnd w:id="27"/>
    </w:p>
    <w:p w14:paraId="5A7EE579" w14:textId="7777777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Physiotherapy plays a vital role in fall prevention for older persons, with therapies focused at strengthening physical function, improving balance and mobility, decreasing environmental dangers, and promoting behavioural change (NICE, 2025; Montero-Odasso et al., 2022).</w:t>
      </w:r>
    </w:p>
    <w:p w14:paraId="264780F2" w14:textId="1E34567C"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Physiotherapists utilize evidence-based treatments to address innate risk factors while simultaneously encouraging patients to adopt healthier, more active lives (Sherrington et al., 2019).</w:t>
      </w:r>
    </w:p>
    <w:p w14:paraId="1DB0A9C3" w14:textId="3FA2F215"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Exercise-based </w:t>
      </w:r>
      <w:r w:rsidR="00BA1983" w:rsidRPr="00BA1983">
        <w:rPr>
          <w:rFonts w:ascii="Arial" w:hAnsi="Arial" w:cs="Arial"/>
          <w:sz w:val="22"/>
          <w:szCs w:val="22"/>
        </w:rPr>
        <w:t>physiotherapy interventions</w:t>
      </w:r>
      <w:r w:rsidR="00BA1983">
        <w:rPr>
          <w:rFonts w:ascii="Arial" w:hAnsi="Arial" w:cs="Arial"/>
          <w:sz w:val="22"/>
          <w:szCs w:val="22"/>
        </w:rPr>
        <w:t xml:space="preserve"> </w:t>
      </w:r>
      <w:r w:rsidRPr="003F29DA">
        <w:rPr>
          <w:rFonts w:ascii="Arial" w:hAnsi="Arial" w:cs="Arial"/>
          <w:sz w:val="22"/>
          <w:szCs w:val="22"/>
        </w:rPr>
        <w:t>are among the most well investigated and effective techniques for lowering fall risk. Falls in older persons can be considerably decreased by systematic, multicomponent exercise programs that emphasize balance, strength, coordination, and endurance, according to meta-analyses (Sherrington et al., 2020</w:t>
      </w:r>
      <w:r w:rsidR="006C523E">
        <w:rPr>
          <w:rFonts w:ascii="Arial" w:hAnsi="Arial" w:cs="Arial"/>
          <w:sz w:val="22"/>
          <w:szCs w:val="22"/>
        </w:rPr>
        <w:t xml:space="preserve">; </w:t>
      </w:r>
      <w:r w:rsidR="006C523E" w:rsidRPr="006C523E">
        <w:rPr>
          <w:rFonts w:ascii="Arial" w:hAnsi="Arial" w:cs="Arial"/>
          <w:sz w:val="22"/>
          <w:szCs w:val="22"/>
        </w:rPr>
        <w:t>Gillespie et al., 2012; Hopewell et al., 2018</w:t>
      </w:r>
      <w:r w:rsidRPr="003F29DA">
        <w:rPr>
          <w:rFonts w:ascii="Arial" w:hAnsi="Arial" w:cs="Arial"/>
          <w:sz w:val="22"/>
          <w:szCs w:val="22"/>
        </w:rPr>
        <w:t xml:space="preserve">). One such remedy is the Otago Exercise Program (OEP), which consists of customized strength and balance </w:t>
      </w:r>
      <w:r w:rsidRPr="003F29DA">
        <w:rPr>
          <w:rFonts w:ascii="Arial" w:hAnsi="Arial" w:cs="Arial"/>
          <w:sz w:val="22"/>
          <w:szCs w:val="22"/>
        </w:rPr>
        <w:lastRenderedPageBreak/>
        <w:t>exercises given over several months by qualified physiotherapists. Evidence from various trials shows that OEP can prevent falls by up to 35%, particularly among community-dwelling older persons (Shubert et al., 2017).</w:t>
      </w:r>
      <w:r w:rsidR="00EB147A" w:rsidRPr="00EB147A">
        <w:t xml:space="preserve"> </w:t>
      </w:r>
      <w:r w:rsidR="00EB147A" w:rsidRPr="00EB147A">
        <w:rPr>
          <w:rFonts w:ascii="Arial" w:hAnsi="Arial" w:cs="Arial"/>
          <w:sz w:val="22"/>
          <w:szCs w:val="22"/>
        </w:rPr>
        <w:t>Higher-dose exercise programs with escalating balancing difficulties appear to reduce fall risk more than low-intensity or short-duration therapies, according to meta-analytic data (Lesinski et al., 2015; Sherrington et al., 2017).</w:t>
      </w:r>
      <w:r w:rsidRPr="003F29DA">
        <w:rPr>
          <w:rFonts w:ascii="Arial" w:hAnsi="Arial" w:cs="Arial"/>
          <w:sz w:val="22"/>
          <w:szCs w:val="22"/>
        </w:rPr>
        <w:t xml:space="preserve"> Similarly, Tai Chi is a useful choice for community-based programs since it has been extensively studied and is linked to enhanced postural stability, proprioception, and confidence (Chang et al., 2021; Huang et al., 2017</w:t>
      </w:r>
      <w:r w:rsidR="006C523E">
        <w:rPr>
          <w:rFonts w:ascii="Arial" w:hAnsi="Arial" w:cs="Arial"/>
          <w:sz w:val="22"/>
          <w:szCs w:val="22"/>
        </w:rPr>
        <w:t xml:space="preserve">; </w:t>
      </w:r>
      <w:r w:rsidR="006C523E" w:rsidRPr="006C523E">
        <w:rPr>
          <w:rFonts w:ascii="Arial" w:hAnsi="Arial" w:cs="Arial"/>
          <w:sz w:val="22"/>
          <w:szCs w:val="22"/>
        </w:rPr>
        <w:t>NICE, 2025</w:t>
      </w:r>
      <w:r w:rsidRPr="003F29DA">
        <w:rPr>
          <w:rFonts w:ascii="Arial" w:hAnsi="Arial" w:cs="Arial"/>
          <w:sz w:val="22"/>
          <w:szCs w:val="22"/>
        </w:rPr>
        <w:t>). More recently, task-specific training techniques that imitate real-life tasks, such as stair climbing or obstacle navigation, have showed potential in increasing functional mobility (NICE, 2025).</w:t>
      </w:r>
    </w:p>
    <w:p w14:paraId="0878E3B6" w14:textId="571C6EB2" w:rsidR="003F29DA" w:rsidRPr="002F690B" w:rsidRDefault="003F29DA" w:rsidP="00C24C8D">
      <w:pPr>
        <w:pStyle w:val="Heading3"/>
        <w:spacing w:line="360" w:lineRule="auto"/>
        <w:jc w:val="both"/>
        <w:rPr>
          <w:rFonts w:ascii="Arial" w:hAnsi="Arial" w:cs="Arial"/>
          <w:b/>
          <w:bCs/>
          <w:sz w:val="24"/>
          <w:szCs w:val="24"/>
        </w:rPr>
      </w:pPr>
      <w:bookmarkStart w:id="28" w:name="_Toc220878879"/>
      <w:r w:rsidRPr="002F690B">
        <w:rPr>
          <w:rFonts w:ascii="Arial" w:hAnsi="Arial" w:cs="Arial"/>
          <w:b/>
          <w:bCs/>
          <w:sz w:val="24"/>
          <w:szCs w:val="24"/>
        </w:rPr>
        <w:t>2.4.2</w:t>
      </w:r>
      <w:r w:rsidR="002F690B" w:rsidRPr="002F690B">
        <w:rPr>
          <w:rFonts w:ascii="Arial" w:hAnsi="Arial" w:cs="Arial"/>
          <w:b/>
          <w:bCs/>
          <w:sz w:val="24"/>
          <w:szCs w:val="24"/>
        </w:rPr>
        <w:t xml:space="preserve"> </w:t>
      </w:r>
      <w:r w:rsidRPr="002F690B">
        <w:rPr>
          <w:rFonts w:ascii="Arial" w:hAnsi="Arial" w:cs="Arial"/>
          <w:b/>
          <w:bCs/>
          <w:sz w:val="24"/>
          <w:szCs w:val="24"/>
        </w:rPr>
        <w:t>Home and Environmental Assessments</w:t>
      </w:r>
      <w:bookmarkEnd w:id="28"/>
    </w:p>
    <w:p w14:paraId="20C466C8" w14:textId="7777777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Physiotherapy interventions extend beyond exercise regimens to include home and community evaluations aimed at detecting and minimizing environmental risks.</w:t>
      </w:r>
    </w:p>
    <w:p w14:paraId="2290FC8B" w14:textId="3B279B2D"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Physiotherapists can do home hazard assessments to find hazards including loose carpets, poor lighting, clutter, or dangerous bathroom setups. When paired with individualized exercise regimens, home changes can considerably reduce fall risk and promote independence (Gill et al., 2020; Cockayne et al., 2021). </w:t>
      </w:r>
      <w:r w:rsidR="002D689D" w:rsidRPr="003F29DA">
        <w:rPr>
          <w:rFonts w:ascii="Arial" w:hAnsi="Arial" w:cs="Arial"/>
          <w:sz w:val="22"/>
          <w:szCs w:val="22"/>
        </w:rPr>
        <w:t>To</w:t>
      </w:r>
      <w:r w:rsidRPr="003F29DA">
        <w:rPr>
          <w:rFonts w:ascii="Arial" w:hAnsi="Arial" w:cs="Arial"/>
          <w:sz w:val="22"/>
          <w:szCs w:val="22"/>
        </w:rPr>
        <w:t xml:space="preserve"> make changes like grab bars, non-slip flooring, or better lighting, community-based physiotherapists frequently work in conjunction with occupational therapists, housing authorities, and social care providers (NICE, 2025).</w:t>
      </w:r>
    </w:p>
    <w:p w14:paraId="24B32D75" w14:textId="651FD593" w:rsidR="003F29DA" w:rsidRPr="002F690B" w:rsidRDefault="003F29DA" w:rsidP="00C24C8D">
      <w:pPr>
        <w:pStyle w:val="Heading3"/>
        <w:spacing w:line="360" w:lineRule="auto"/>
        <w:jc w:val="both"/>
        <w:rPr>
          <w:rFonts w:ascii="Arial" w:hAnsi="Arial" w:cs="Arial"/>
          <w:b/>
          <w:bCs/>
          <w:sz w:val="24"/>
          <w:szCs w:val="24"/>
        </w:rPr>
      </w:pPr>
      <w:bookmarkStart w:id="29" w:name="_Toc220878880"/>
      <w:r w:rsidRPr="002F690B">
        <w:rPr>
          <w:rFonts w:ascii="Arial" w:hAnsi="Arial" w:cs="Arial"/>
          <w:b/>
          <w:bCs/>
          <w:sz w:val="24"/>
          <w:szCs w:val="24"/>
        </w:rPr>
        <w:t>2.4.3</w:t>
      </w:r>
      <w:r w:rsidR="002F690B" w:rsidRPr="002F690B">
        <w:rPr>
          <w:rFonts w:ascii="Arial" w:hAnsi="Arial" w:cs="Arial"/>
          <w:b/>
          <w:bCs/>
          <w:sz w:val="24"/>
          <w:szCs w:val="24"/>
        </w:rPr>
        <w:t xml:space="preserve"> </w:t>
      </w:r>
      <w:r w:rsidRPr="002F690B">
        <w:rPr>
          <w:rFonts w:ascii="Arial" w:hAnsi="Arial" w:cs="Arial"/>
          <w:b/>
          <w:bCs/>
          <w:sz w:val="24"/>
          <w:szCs w:val="24"/>
        </w:rPr>
        <w:t>Multidisciplinary Collaboration</w:t>
      </w:r>
      <w:bookmarkEnd w:id="29"/>
    </w:p>
    <w:p w14:paraId="1DD732DC" w14:textId="7D1B78AA"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Comprehensive fall prevention requires interdisciplinary cooperation. To treat the entire range of fall risk factors, physiotherapists collaborate closely with general practitioners, occupational therapists, nurses, pharmacists, and social workers (Montero-Odasso et al., 2022; NICE, 2025). Medication evaluation is a critical component of multidisciplinary treatment, since lowering polypharmacy or changing high-risk drugs can dramatically reduce fall incidence (Johnson et al., 2022; NICE, 2025). Similarly, dietitians may be consulted to treat malnutrition or vitamin D insufficiency, which can influence bone health and muscular performance (NICE, 2025). Effective multidisciplinary teamwork ensures that fall prevention methods are integrated across health and social care providers, boosting continuity of care and improving results (Montero-Odasso et al., 2022).</w:t>
      </w:r>
    </w:p>
    <w:p w14:paraId="5DE43C80" w14:textId="15E56432" w:rsidR="003F29DA" w:rsidRPr="002F690B" w:rsidRDefault="003F29DA" w:rsidP="00C24C8D">
      <w:pPr>
        <w:pStyle w:val="Heading3"/>
        <w:spacing w:line="360" w:lineRule="auto"/>
        <w:jc w:val="both"/>
        <w:rPr>
          <w:rFonts w:ascii="Arial" w:hAnsi="Arial" w:cs="Arial"/>
          <w:b/>
          <w:bCs/>
          <w:sz w:val="24"/>
          <w:szCs w:val="24"/>
        </w:rPr>
      </w:pPr>
      <w:bookmarkStart w:id="30" w:name="_Toc220878881"/>
      <w:r w:rsidRPr="002F690B">
        <w:rPr>
          <w:rFonts w:ascii="Arial" w:hAnsi="Arial" w:cs="Arial"/>
          <w:b/>
          <w:bCs/>
          <w:sz w:val="24"/>
          <w:szCs w:val="24"/>
        </w:rPr>
        <w:lastRenderedPageBreak/>
        <w:t>2.4.4</w:t>
      </w:r>
      <w:r w:rsidR="002F690B" w:rsidRPr="002F690B">
        <w:rPr>
          <w:rFonts w:ascii="Arial" w:hAnsi="Arial" w:cs="Arial"/>
          <w:b/>
          <w:bCs/>
          <w:sz w:val="24"/>
          <w:szCs w:val="24"/>
        </w:rPr>
        <w:t xml:space="preserve"> </w:t>
      </w:r>
      <w:r w:rsidRPr="002F690B">
        <w:rPr>
          <w:rFonts w:ascii="Arial" w:hAnsi="Arial" w:cs="Arial"/>
          <w:b/>
          <w:bCs/>
          <w:sz w:val="24"/>
          <w:szCs w:val="24"/>
        </w:rPr>
        <w:t>Behavioural Coaching and Adherence</w:t>
      </w:r>
      <w:bookmarkEnd w:id="30"/>
    </w:p>
    <w:p w14:paraId="370F3560" w14:textId="7978DB92"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Overall, physiotherapy is a cornerstone of fall prevention, particularly when given within the community and supported by multidisciplinary input (Sherrington et al., 2019; NICE, 2025). A further strand of research underscores the usefulness of individualized physiotherapy regimens that include behavioural coaching and goal-setting strategies to increase adherence. Evidence increasingly reveals that exercise alone, while useful, is insufficient if individuals lack the drive or confidence to follow the practice long term (Bandura, 1997; Rosenstock, 1974). </w:t>
      </w:r>
      <w:r w:rsidR="00EB147A" w:rsidRPr="00EB147A">
        <w:rPr>
          <w:rFonts w:ascii="Arial" w:hAnsi="Arial" w:cs="Arial"/>
          <w:sz w:val="22"/>
          <w:szCs w:val="22"/>
        </w:rPr>
        <w:t xml:space="preserve">Long-term exercise adherence among older persons has been shown to be improved by </w:t>
      </w:r>
      <w:r w:rsidR="00375F63" w:rsidRPr="00EB147A">
        <w:rPr>
          <w:rFonts w:ascii="Arial" w:hAnsi="Arial" w:cs="Arial"/>
          <w:sz w:val="22"/>
          <w:szCs w:val="22"/>
        </w:rPr>
        <w:t>behaviour</w:t>
      </w:r>
      <w:r w:rsidR="00EB147A" w:rsidRPr="00EB147A">
        <w:rPr>
          <w:rFonts w:ascii="Arial" w:hAnsi="Arial" w:cs="Arial"/>
          <w:sz w:val="22"/>
          <w:szCs w:val="22"/>
        </w:rPr>
        <w:t xml:space="preserve"> modification strategies such action planning, motivational interviewing, and self-monitoring</w:t>
      </w:r>
      <w:r w:rsidR="00EB147A">
        <w:rPr>
          <w:rFonts w:ascii="Arial" w:hAnsi="Arial" w:cs="Arial"/>
          <w:sz w:val="22"/>
          <w:szCs w:val="22"/>
        </w:rPr>
        <w:t xml:space="preserve"> </w:t>
      </w:r>
      <w:r w:rsidR="00EB147A" w:rsidRPr="00EB147A">
        <w:rPr>
          <w:rFonts w:ascii="Arial" w:hAnsi="Arial" w:cs="Arial"/>
          <w:sz w:val="22"/>
          <w:szCs w:val="22"/>
        </w:rPr>
        <w:t>(Michie et al., 2013; O’Halloran et al., 2014).</w:t>
      </w:r>
      <w:r w:rsidR="00EB147A">
        <w:rPr>
          <w:rFonts w:ascii="Arial" w:hAnsi="Arial" w:cs="Arial"/>
          <w:sz w:val="22"/>
          <w:szCs w:val="22"/>
        </w:rPr>
        <w:t xml:space="preserve"> </w:t>
      </w:r>
      <w:r w:rsidRPr="003F29DA">
        <w:rPr>
          <w:rFonts w:ascii="Arial" w:hAnsi="Arial" w:cs="Arial"/>
          <w:sz w:val="22"/>
          <w:szCs w:val="22"/>
        </w:rPr>
        <w:t xml:space="preserve">Tailored therapies that begin with individual goal identification, involve progress tracking and give regular feedback have shown promise in enhancing engagement with physiotherapy regimens (Montero-Odasso et al., 2022). </w:t>
      </w:r>
      <w:r w:rsidR="00375F63" w:rsidRPr="00375F63">
        <w:rPr>
          <w:rFonts w:ascii="Arial" w:hAnsi="Arial" w:cs="Arial"/>
          <w:sz w:val="22"/>
          <w:szCs w:val="22"/>
        </w:rPr>
        <w:t>physiotherapist</w:t>
      </w:r>
      <w:r w:rsidR="00375F63">
        <w:rPr>
          <w:rFonts w:ascii="Arial" w:hAnsi="Arial" w:cs="Arial"/>
          <w:sz w:val="22"/>
          <w:szCs w:val="22"/>
        </w:rPr>
        <w:t>s</w:t>
      </w:r>
      <w:r w:rsidRPr="003F29DA">
        <w:rPr>
          <w:rFonts w:ascii="Arial" w:hAnsi="Arial" w:cs="Arial"/>
          <w:sz w:val="22"/>
          <w:szCs w:val="22"/>
        </w:rPr>
        <w:t xml:space="preserve"> who take a coaching-oriented approach assist older persons to develop self-efficacy, identify improvement and maintain continuity even when supervised sessions stop (Bandura, 1997).</w:t>
      </w:r>
    </w:p>
    <w:p w14:paraId="0014DB00" w14:textId="59B59087" w:rsidR="003F29DA" w:rsidRPr="002F690B" w:rsidRDefault="003F29DA" w:rsidP="00C24C8D">
      <w:pPr>
        <w:pStyle w:val="Heading2"/>
        <w:spacing w:line="360" w:lineRule="auto"/>
        <w:jc w:val="both"/>
        <w:rPr>
          <w:rFonts w:ascii="Arial" w:hAnsi="Arial" w:cs="Arial"/>
          <w:b/>
          <w:bCs/>
          <w:sz w:val="28"/>
          <w:szCs w:val="28"/>
        </w:rPr>
      </w:pPr>
      <w:bookmarkStart w:id="31" w:name="_Toc220878882"/>
      <w:r w:rsidRPr="002F690B">
        <w:rPr>
          <w:rFonts w:ascii="Arial" w:hAnsi="Arial" w:cs="Arial"/>
          <w:b/>
          <w:bCs/>
          <w:sz w:val="28"/>
          <w:szCs w:val="28"/>
        </w:rPr>
        <w:t>2.5</w:t>
      </w:r>
      <w:r w:rsidR="002F690B" w:rsidRPr="002F690B">
        <w:rPr>
          <w:rFonts w:ascii="Arial" w:hAnsi="Arial" w:cs="Arial"/>
          <w:b/>
          <w:bCs/>
          <w:sz w:val="28"/>
          <w:szCs w:val="28"/>
        </w:rPr>
        <w:t xml:space="preserve"> </w:t>
      </w:r>
      <w:r w:rsidRPr="002F690B">
        <w:rPr>
          <w:rFonts w:ascii="Arial" w:hAnsi="Arial" w:cs="Arial"/>
          <w:b/>
          <w:bCs/>
          <w:sz w:val="28"/>
          <w:szCs w:val="28"/>
        </w:rPr>
        <w:t>Community-Based Physiotherapy Interventions</w:t>
      </w:r>
      <w:bookmarkEnd w:id="31"/>
    </w:p>
    <w:p w14:paraId="2BBC1B3D" w14:textId="14F80F85" w:rsidR="003F29DA" w:rsidRPr="002F690B" w:rsidRDefault="003F29DA" w:rsidP="00C24C8D">
      <w:pPr>
        <w:pStyle w:val="Heading3"/>
        <w:spacing w:line="360" w:lineRule="auto"/>
        <w:jc w:val="both"/>
        <w:rPr>
          <w:rFonts w:ascii="Arial" w:hAnsi="Arial" w:cs="Arial"/>
          <w:b/>
          <w:bCs/>
          <w:sz w:val="24"/>
          <w:szCs w:val="24"/>
        </w:rPr>
      </w:pPr>
      <w:bookmarkStart w:id="32" w:name="_Toc220878883"/>
      <w:r w:rsidRPr="002F690B">
        <w:rPr>
          <w:rFonts w:ascii="Arial" w:hAnsi="Arial" w:cs="Arial"/>
          <w:b/>
          <w:bCs/>
          <w:sz w:val="24"/>
          <w:szCs w:val="24"/>
        </w:rPr>
        <w:t>2.5.1</w:t>
      </w:r>
      <w:r w:rsidR="002F690B" w:rsidRPr="002F690B">
        <w:rPr>
          <w:rFonts w:ascii="Arial" w:hAnsi="Arial" w:cs="Arial"/>
          <w:b/>
          <w:bCs/>
          <w:sz w:val="24"/>
          <w:szCs w:val="24"/>
        </w:rPr>
        <w:t xml:space="preserve"> </w:t>
      </w:r>
      <w:r w:rsidRPr="002F690B">
        <w:rPr>
          <w:rFonts w:ascii="Arial" w:hAnsi="Arial" w:cs="Arial"/>
          <w:b/>
          <w:bCs/>
          <w:sz w:val="24"/>
          <w:szCs w:val="24"/>
        </w:rPr>
        <w:t>Models of Community Delivery</w:t>
      </w:r>
      <w:bookmarkEnd w:id="32"/>
    </w:p>
    <w:p w14:paraId="0DAF7518" w14:textId="209E6496"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Community-based</w:t>
      </w:r>
      <w:r w:rsidR="00BA1983">
        <w:rPr>
          <w:rFonts w:ascii="Arial" w:hAnsi="Arial" w:cs="Arial"/>
          <w:sz w:val="22"/>
          <w:szCs w:val="22"/>
        </w:rPr>
        <w:t xml:space="preserve"> </w:t>
      </w:r>
      <w:r w:rsidR="00BA1983" w:rsidRPr="00BA1983">
        <w:rPr>
          <w:rFonts w:ascii="Arial" w:hAnsi="Arial" w:cs="Arial"/>
          <w:sz w:val="22"/>
          <w:szCs w:val="22"/>
        </w:rPr>
        <w:t>physiotherapy</w:t>
      </w:r>
      <w:r w:rsidRPr="003F29DA">
        <w:rPr>
          <w:rFonts w:ascii="Arial" w:hAnsi="Arial" w:cs="Arial"/>
          <w:sz w:val="22"/>
          <w:szCs w:val="22"/>
        </w:rPr>
        <w:t xml:space="preserve"> is an example of a change from hospital-</w:t>
      </w:r>
      <w:r w:rsidR="002D689D" w:rsidRPr="003F29DA">
        <w:rPr>
          <w:rFonts w:ascii="Arial" w:hAnsi="Arial" w:cs="Arial"/>
          <w:sz w:val="22"/>
          <w:szCs w:val="22"/>
        </w:rPr>
        <w:t>centred</w:t>
      </w:r>
      <w:r w:rsidRPr="003F29DA">
        <w:rPr>
          <w:rFonts w:ascii="Arial" w:hAnsi="Arial" w:cs="Arial"/>
          <w:sz w:val="22"/>
          <w:szCs w:val="22"/>
        </w:rPr>
        <w:t xml:space="preserve">, reactive treatment to proactive, preventative care that is provided in the homes of senior citizens (NHS England, 2019). These interventions are aimed to increase accessibility, encourage social interaction, and create long-term adherence by </w:t>
      </w:r>
      <w:r w:rsidR="002F690B" w:rsidRPr="003F29DA">
        <w:rPr>
          <w:rFonts w:ascii="Arial" w:hAnsi="Arial" w:cs="Arial"/>
          <w:sz w:val="22"/>
          <w:szCs w:val="22"/>
        </w:rPr>
        <w:t>helping</w:t>
      </w:r>
      <w:r w:rsidRPr="003F29DA">
        <w:rPr>
          <w:rFonts w:ascii="Arial" w:hAnsi="Arial" w:cs="Arial"/>
          <w:sz w:val="22"/>
          <w:szCs w:val="22"/>
        </w:rPr>
        <w:t xml:space="preserve"> inside familiar local surroundings (Montero-Odasso et al., 2022).</w:t>
      </w:r>
    </w:p>
    <w:p w14:paraId="6FB37A17" w14:textId="3836BCF2"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Community-based physiotherapy programs in England frequently incorporate educational seminars, home visits, group fitness sessions, and follow-up assistance to guarantee ongoing participation. These projects connect with NHS England’s (2019) strategic aim to increase community health care and minimize needless hospital admissions (NHS England, 2019). Community settings such as recreation facilities, church halls, community centres, and sheltered housing complexes offer accessible venues for group sessions, while home- based sessions allow physiotherapists to personalize therapies to specific requirements and situations (NICE, 2025).</w:t>
      </w:r>
    </w:p>
    <w:p w14:paraId="1A8904C5" w14:textId="0546F10F" w:rsidR="003F29DA" w:rsidRPr="002F690B" w:rsidRDefault="003F29DA" w:rsidP="00C24C8D">
      <w:pPr>
        <w:pStyle w:val="Heading3"/>
        <w:spacing w:line="360" w:lineRule="auto"/>
        <w:jc w:val="both"/>
        <w:rPr>
          <w:rFonts w:ascii="Arial" w:hAnsi="Arial" w:cs="Arial"/>
          <w:b/>
          <w:bCs/>
          <w:sz w:val="24"/>
          <w:szCs w:val="24"/>
        </w:rPr>
      </w:pPr>
      <w:bookmarkStart w:id="33" w:name="_Toc220878884"/>
      <w:r w:rsidRPr="002F690B">
        <w:rPr>
          <w:rFonts w:ascii="Arial" w:hAnsi="Arial" w:cs="Arial"/>
          <w:b/>
          <w:bCs/>
          <w:sz w:val="24"/>
          <w:szCs w:val="24"/>
        </w:rPr>
        <w:t>2.5.2</w:t>
      </w:r>
      <w:r w:rsidR="002F690B" w:rsidRPr="002F690B">
        <w:rPr>
          <w:rFonts w:ascii="Arial" w:hAnsi="Arial" w:cs="Arial"/>
          <w:b/>
          <w:bCs/>
          <w:sz w:val="24"/>
          <w:szCs w:val="24"/>
        </w:rPr>
        <w:t xml:space="preserve"> </w:t>
      </w:r>
      <w:r w:rsidRPr="002F690B">
        <w:rPr>
          <w:rFonts w:ascii="Arial" w:hAnsi="Arial" w:cs="Arial"/>
          <w:b/>
          <w:bCs/>
          <w:sz w:val="24"/>
          <w:szCs w:val="24"/>
        </w:rPr>
        <w:t>Barriers to Implementation</w:t>
      </w:r>
      <w:bookmarkEnd w:id="33"/>
    </w:p>
    <w:p w14:paraId="3965D985" w14:textId="21F11170"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Despite its promise, implementation of community-based projects is typically limited by resource restrictions. Staff shortages, inadequate financing, and increased demand for </w:t>
      </w:r>
      <w:r w:rsidRPr="003F29DA">
        <w:rPr>
          <w:rFonts w:ascii="Arial" w:hAnsi="Arial" w:cs="Arial"/>
          <w:sz w:val="22"/>
          <w:szCs w:val="22"/>
        </w:rPr>
        <w:lastRenderedPageBreak/>
        <w:t>services exert strain on local health systems, compromising programme availability and consistency (Morris et al., 2021; NHS England, 2019). Transportation challenges, particularly for older persons with mobility limitations, significantly hinder participation (NICE, 2025</w:t>
      </w:r>
      <w:r w:rsidR="00ED1AA3">
        <w:rPr>
          <w:rFonts w:ascii="Arial" w:hAnsi="Arial" w:cs="Arial"/>
          <w:sz w:val="22"/>
          <w:szCs w:val="22"/>
        </w:rPr>
        <w:t xml:space="preserve">; </w:t>
      </w:r>
      <w:r w:rsidR="00ED1AA3" w:rsidRPr="00ED1AA3">
        <w:rPr>
          <w:rFonts w:ascii="Arial" w:hAnsi="Arial" w:cs="Arial"/>
          <w:sz w:val="22"/>
          <w:szCs w:val="22"/>
        </w:rPr>
        <w:t>Francis-Coad et al., 2020</w:t>
      </w:r>
      <w:r w:rsidRPr="003F29DA">
        <w:rPr>
          <w:rFonts w:ascii="Arial" w:hAnsi="Arial" w:cs="Arial"/>
          <w:sz w:val="22"/>
          <w:szCs w:val="22"/>
        </w:rPr>
        <w:t>). In metropolitan settings, high population density might limit availability of acceptable communal venues, while complicated roadway conditions may dissuade older persons from going to group sessions (NICE, 2025).</w:t>
      </w:r>
    </w:p>
    <w:p w14:paraId="7B76491B" w14:textId="182D06E5" w:rsidR="003F29DA" w:rsidRPr="005D7A42" w:rsidRDefault="003F29DA" w:rsidP="00C24C8D">
      <w:pPr>
        <w:pStyle w:val="Heading3"/>
        <w:spacing w:line="360" w:lineRule="auto"/>
        <w:jc w:val="both"/>
        <w:rPr>
          <w:rFonts w:ascii="Arial" w:hAnsi="Arial" w:cs="Arial"/>
          <w:b/>
          <w:bCs/>
          <w:sz w:val="24"/>
          <w:szCs w:val="24"/>
        </w:rPr>
      </w:pPr>
      <w:bookmarkStart w:id="34" w:name="_Toc220878885"/>
      <w:r w:rsidRPr="002F690B">
        <w:rPr>
          <w:rFonts w:ascii="Arial" w:hAnsi="Arial" w:cs="Arial"/>
          <w:b/>
          <w:bCs/>
          <w:sz w:val="24"/>
          <w:szCs w:val="24"/>
        </w:rPr>
        <w:t>2.5.3</w:t>
      </w:r>
      <w:r w:rsidR="002F690B" w:rsidRPr="002F690B">
        <w:rPr>
          <w:rFonts w:ascii="Arial" w:hAnsi="Arial" w:cs="Arial"/>
          <w:b/>
          <w:bCs/>
          <w:sz w:val="24"/>
          <w:szCs w:val="24"/>
        </w:rPr>
        <w:t xml:space="preserve"> </w:t>
      </w:r>
      <w:r w:rsidRPr="002F690B">
        <w:rPr>
          <w:rFonts w:ascii="Arial" w:hAnsi="Arial" w:cs="Arial"/>
          <w:b/>
          <w:bCs/>
          <w:sz w:val="24"/>
          <w:szCs w:val="24"/>
        </w:rPr>
        <w:t>Facilitators to Implementation</w:t>
      </w:r>
      <w:bookmarkEnd w:id="34"/>
    </w:p>
    <w:p w14:paraId="03DF98BC" w14:textId="59F16095"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Nonetheless, </w:t>
      </w:r>
      <w:r w:rsidR="002D689D" w:rsidRPr="003F29DA">
        <w:rPr>
          <w:rFonts w:ascii="Arial" w:hAnsi="Arial" w:cs="Arial"/>
          <w:sz w:val="22"/>
          <w:szCs w:val="22"/>
        </w:rPr>
        <w:t>several</w:t>
      </w:r>
      <w:r w:rsidRPr="003F29DA">
        <w:rPr>
          <w:rFonts w:ascii="Arial" w:hAnsi="Arial" w:cs="Arial"/>
          <w:sz w:val="22"/>
          <w:szCs w:val="22"/>
        </w:rPr>
        <w:t xml:space="preserve"> facilitators aid in effective execution. Better results are a result of interdisciplinary cooperation, solid collaborations between NHS services and local authorities, culturally sensitive program design, and adaptable delivery methods (Turner et al., 2022; Montero-Odasso et al., 2022). Involvement with volunteer organizations, social support networks, and community organizations aids in the development of long-lasting programs that are integrated into the neighbourhood (Montero-Odasso et al., 2022).</w:t>
      </w:r>
    </w:p>
    <w:p w14:paraId="6C8F8153" w14:textId="26FB5FCA"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Ensuring accessibility for a variety of groups, especially those from ethnic minorities,</w:t>
      </w:r>
      <w:r w:rsidR="005D7A42">
        <w:rPr>
          <w:rFonts w:ascii="Arial" w:hAnsi="Arial" w:cs="Arial"/>
          <w:sz w:val="22"/>
          <w:szCs w:val="22"/>
        </w:rPr>
        <w:t xml:space="preserve"> </w:t>
      </w:r>
      <w:r w:rsidRPr="003F29DA">
        <w:rPr>
          <w:rFonts w:ascii="Arial" w:hAnsi="Arial" w:cs="Arial"/>
          <w:sz w:val="22"/>
          <w:szCs w:val="22"/>
        </w:rPr>
        <w:t>promotes broader adoption and improves inclusion (Marmot et al., 2020; Montero-Odasso et al., 2022).</w:t>
      </w:r>
    </w:p>
    <w:p w14:paraId="234402E3" w14:textId="023D79DE" w:rsidR="003F29DA" w:rsidRPr="005D7A42" w:rsidRDefault="003F29DA" w:rsidP="00C24C8D">
      <w:pPr>
        <w:pStyle w:val="Heading3"/>
        <w:spacing w:line="360" w:lineRule="auto"/>
        <w:jc w:val="both"/>
        <w:rPr>
          <w:rFonts w:ascii="Arial" w:hAnsi="Arial" w:cs="Arial"/>
          <w:b/>
          <w:bCs/>
          <w:sz w:val="24"/>
          <w:szCs w:val="24"/>
        </w:rPr>
      </w:pPr>
      <w:bookmarkStart w:id="35" w:name="_Toc220878886"/>
      <w:r w:rsidRPr="005D7A42">
        <w:rPr>
          <w:rFonts w:ascii="Arial" w:hAnsi="Arial" w:cs="Arial"/>
          <w:b/>
          <w:bCs/>
          <w:sz w:val="24"/>
          <w:szCs w:val="24"/>
        </w:rPr>
        <w:t>2.5.4</w:t>
      </w:r>
      <w:r w:rsidR="005D7A42" w:rsidRPr="005D7A42">
        <w:rPr>
          <w:rFonts w:ascii="Arial" w:hAnsi="Arial" w:cs="Arial"/>
          <w:b/>
          <w:bCs/>
          <w:sz w:val="24"/>
          <w:szCs w:val="24"/>
        </w:rPr>
        <w:t xml:space="preserve"> </w:t>
      </w:r>
      <w:r w:rsidRPr="005D7A42">
        <w:rPr>
          <w:rFonts w:ascii="Arial" w:hAnsi="Arial" w:cs="Arial"/>
          <w:b/>
          <w:bCs/>
          <w:sz w:val="24"/>
          <w:szCs w:val="24"/>
        </w:rPr>
        <w:t>Effectiveness of Community-Based Interventions</w:t>
      </w:r>
      <w:bookmarkEnd w:id="35"/>
    </w:p>
    <w:p w14:paraId="032F7744" w14:textId="7777777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Evidence shows that community-based physiotherapy initiatives can be extremely successful at lowering fall rates. Smith et al. (2020) reported that older persons participating in structured community fitness programmes displayed substantial increases in balance, gait speed, and lower-limb strength (Sherrington et al., 2019; Sherrington et al., 2020).</w:t>
      </w:r>
    </w:p>
    <w:p w14:paraId="2A8A4E56" w14:textId="149693FD"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Randomised controlled studies have showed that community interventions can lower fall rates by 20–30% when applied regularly (Jones and Green, 2021; Sherrington et al., 2020).</w:t>
      </w:r>
      <w:r w:rsidR="00EB147A">
        <w:rPr>
          <w:rFonts w:ascii="Arial" w:hAnsi="Arial" w:cs="Arial"/>
          <w:sz w:val="22"/>
          <w:szCs w:val="22"/>
        </w:rPr>
        <w:t xml:space="preserve"> </w:t>
      </w:r>
      <w:r w:rsidR="00EB147A" w:rsidRPr="00EB147A">
        <w:rPr>
          <w:rFonts w:ascii="Arial" w:hAnsi="Arial" w:cs="Arial"/>
          <w:sz w:val="22"/>
          <w:szCs w:val="22"/>
        </w:rPr>
        <w:t>Community-based treatments have been linked to gains in confidence, social involvement, and perceived quality of life in addition to a decrease in falls; these outcomes are increasingly seen as crucial markers of intervention effectiveness (Clemson et al., 2014; Davis et al., 2011).</w:t>
      </w:r>
      <w:r w:rsidRPr="003F29DA">
        <w:rPr>
          <w:rFonts w:ascii="Arial" w:hAnsi="Arial" w:cs="Arial"/>
          <w:sz w:val="22"/>
          <w:szCs w:val="22"/>
        </w:rPr>
        <w:t xml:space="preserve"> However, variables in programme design, duration, supervision levels, and participant motivation impact overall efficacy (Sherrington et al., 2019). Programmes including individualized evaluations and physiotherapist-led sessions often generate more meaningful improvements than generic or unsupervised programmes (Adams et al., 2022; Sherrington et al., 2020).</w:t>
      </w:r>
    </w:p>
    <w:p w14:paraId="79967EF2" w14:textId="2F7C113B" w:rsidR="003F29DA" w:rsidRPr="005D7A42" w:rsidRDefault="003F29DA" w:rsidP="00C24C8D">
      <w:pPr>
        <w:pStyle w:val="Heading3"/>
        <w:spacing w:line="360" w:lineRule="auto"/>
        <w:jc w:val="both"/>
        <w:rPr>
          <w:rFonts w:ascii="Arial" w:hAnsi="Arial" w:cs="Arial"/>
          <w:b/>
          <w:bCs/>
          <w:sz w:val="24"/>
          <w:szCs w:val="24"/>
        </w:rPr>
      </w:pPr>
      <w:bookmarkStart w:id="36" w:name="_Toc220878887"/>
      <w:r w:rsidRPr="005D7A42">
        <w:rPr>
          <w:rFonts w:ascii="Arial" w:hAnsi="Arial" w:cs="Arial"/>
          <w:b/>
          <w:bCs/>
          <w:sz w:val="24"/>
          <w:szCs w:val="24"/>
        </w:rPr>
        <w:lastRenderedPageBreak/>
        <w:t>2.5.5</w:t>
      </w:r>
      <w:r w:rsidR="005D7A42" w:rsidRPr="005D7A42">
        <w:rPr>
          <w:rFonts w:ascii="Arial" w:hAnsi="Arial" w:cs="Arial"/>
          <w:b/>
          <w:bCs/>
          <w:sz w:val="24"/>
          <w:szCs w:val="24"/>
        </w:rPr>
        <w:t xml:space="preserve"> </w:t>
      </w:r>
      <w:r w:rsidRPr="005D7A42">
        <w:rPr>
          <w:rFonts w:ascii="Arial" w:hAnsi="Arial" w:cs="Arial"/>
          <w:b/>
          <w:bCs/>
          <w:sz w:val="24"/>
          <w:szCs w:val="24"/>
        </w:rPr>
        <w:t>Equity and Access</w:t>
      </w:r>
      <w:bookmarkEnd w:id="36"/>
    </w:p>
    <w:p w14:paraId="5D8371FF" w14:textId="6FB80EF3"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Equity and access are essential issues in community-based fall prevention. Despite significant demand, older persons from impoverished families or minority ethnic groups generally have lower participation rates in physiotherapy courses (Rahman et al., 2022; Marmot et al., 2020</w:t>
      </w:r>
      <w:r w:rsidR="00ED1AA3">
        <w:rPr>
          <w:rFonts w:ascii="Arial" w:hAnsi="Arial" w:cs="Arial"/>
          <w:sz w:val="22"/>
          <w:szCs w:val="22"/>
        </w:rPr>
        <w:t xml:space="preserve">; </w:t>
      </w:r>
      <w:r w:rsidR="00ED1AA3" w:rsidRPr="00ED1AA3">
        <w:rPr>
          <w:rFonts w:ascii="Arial" w:hAnsi="Arial" w:cs="Arial"/>
          <w:sz w:val="22"/>
          <w:szCs w:val="22"/>
        </w:rPr>
        <w:t>Bunn et al., 2018</w:t>
      </w:r>
      <w:r w:rsidRPr="003F29DA">
        <w:rPr>
          <w:rFonts w:ascii="Arial" w:hAnsi="Arial" w:cs="Arial"/>
          <w:sz w:val="22"/>
          <w:szCs w:val="22"/>
        </w:rPr>
        <w:t>). Language barriers, low health literacy, scepticism of healthcare institutions, cultural views of aging, and conflicting priorities connected to poverty or caring duties are some examples of barriers (Marmot et al., 2020). To overcome these inequities, inclusive programming design is crucial. Strategies such as providing bilingual materials, involving community leaders, co-designing sessions with participants, and offering flexible delivery options can promote accessibility and relevance (Anderson and White, 2021; Montero-Odasso et al., 2022). Ensuring that programming represent the cultural and socioeconomic variety of urban people is crucial for obtaining equal outcomes (Marmot et al., 2020).</w:t>
      </w:r>
    </w:p>
    <w:p w14:paraId="5733BCEA" w14:textId="368B8412" w:rsidR="003F29DA" w:rsidRPr="005D7A42" w:rsidRDefault="003F29DA" w:rsidP="00C24C8D">
      <w:pPr>
        <w:pStyle w:val="Heading3"/>
        <w:spacing w:line="360" w:lineRule="auto"/>
        <w:jc w:val="both"/>
        <w:rPr>
          <w:rFonts w:ascii="Arial" w:hAnsi="Arial" w:cs="Arial"/>
          <w:b/>
          <w:bCs/>
          <w:sz w:val="24"/>
          <w:szCs w:val="24"/>
        </w:rPr>
      </w:pPr>
      <w:bookmarkStart w:id="37" w:name="_Toc220878888"/>
      <w:r w:rsidRPr="005D7A42">
        <w:rPr>
          <w:rFonts w:ascii="Arial" w:hAnsi="Arial" w:cs="Arial"/>
          <w:b/>
          <w:bCs/>
          <w:sz w:val="24"/>
          <w:szCs w:val="24"/>
        </w:rPr>
        <w:t>2.5.6</w:t>
      </w:r>
      <w:r w:rsidR="005D7A42" w:rsidRPr="005D7A42">
        <w:rPr>
          <w:rFonts w:ascii="Arial" w:hAnsi="Arial" w:cs="Arial"/>
          <w:b/>
          <w:bCs/>
          <w:sz w:val="24"/>
          <w:szCs w:val="24"/>
        </w:rPr>
        <w:t xml:space="preserve"> </w:t>
      </w:r>
      <w:r w:rsidRPr="005D7A42">
        <w:rPr>
          <w:rFonts w:ascii="Arial" w:hAnsi="Arial" w:cs="Arial"/>
          <w:b/>
          <w:bCs/>
          <w:sz w:val="24"/>
          <w:szCs w:val="24"/>
        </w:rPr>
        <w:t>Social Wellbeing and Engagement</w:t>
      </w:r>
      <w:bookmarkEnd w:id="37"/>
    </w:p>
    <w:p w14:paraId="53E1E954" w14:textId="41131D55" w:rsidR="00A61438"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Recognizing the significant correlation between isolation, sedentary </w:t>
      </w:r>
      <w:r w:rsidR="002D689D" w:rsidRPr="003F29DA">
        <w:rPr>
          <w:rFonts w:ascii="Arial" w:hAnsi="Arial" w:cs="Arial"/>
          <w:sz w:val="22"/>
          <w:szCs w:val="22"/>
        </w:rPr>
        <w:t>behaviour</w:t>
      </w:r>
      <w:r w:rsidRPr="003F29DA">
        <w:rPr>
          <w:rFonts w:ascii="Arial" w:hAnsi="Arial" w:cs="Arial"/>
          <w:sz w:val="22"/>
          <w:szCs w:val="22"/>
        </w:rPr>
        <w:t>, and fall risk, community-based programs have increasingly grown to include more comprehensive social wellness components (Montero-Odasso et al., 2022). After retirement, a death in the family, or a change in living conditions, many older persons have substantial decreases in social interaction. These changes might indirectly increase fall risk by lowering mobility, motivation, and daily activity levels (WHO, 2021). Integrating social components</w:t>
      </w:r>
      <w:r w:rsidR="002D689D">
        <w:rPr>
          <w:rFonts w:ascii="Arial" w:hAnsi="Arial" w:cs="Arial"/>
          <w:sz w:val="22"/>
          <w:szCs w:val="22"/>
        </w:rPr>
        <w:t xml:space="preserve">, </w:t>
      </w:r>
      <w:r w:rsidRPr="003F29DA">
        <w:rPr>
          <w:rFonts w:ascii="Arial" w:hAnsi="Arial" w:cs="Arial"/>
          <w:sz w:val="22"/>
          <w:szCs w:val="22"/>
        </w:rPr>
        <w:t>such as group exercise sessions, peer-led activities or neighbourhood walking groups</w:t>
      </w:r>
      <w:r w:rsidR="002D689D">
        <w:rPr>
          <w:rFonts w:ascii="Arial" w:hAnsi="Arial" w:cs="Arial"/>
          <w:sz w:val="22"/>
          <w:szCs w:val="22"/>
        </w:rPr>
        <w:t xml:space="preserve"> </w:t>
      </w:r>
      <w:r w:rsidRPr="003F29DA">
        <w:rPr>
          <w:rFonts w:ascii="Arial" w:hAnsi="Arial" w:cs="Arial"/>
          <w:sz w:val="22"/>
          <w:szCs w:val="22"/>
        </w:rPr>
        <w:t xml:space="preserve">has proved usefulness in enhancing both physical and psychological results (Montero-Odasso et al., 2022). These social connections typically promote a sense of belonging and collective drive, helping individuals prolong involvement. More significantly, they establish unofficial support systems that promote consistent involvement and facilitate the early detection of new health issues (Montero-Odasso et al., 2022). As a result, including social wellbeing into fall prevention design improves program efficacy and is consistent with more </w:t>
      </w:r>
      <w:r w:rsidR="002D689D" w:rsidRPr="003F29DA">
        <w:rPr>
          <w:rFonts w:ascii="Arial" w:hAnsi="Arial" w:cs="Arial"/>
          <w:sz w:val="22"/>
          <w:szCs w:val="22"/>
        </w:rPr>
        <w:t>public</w:t>
      </w:r>
      <w:r w:rsidRPr="003F29DA">
        <w:rPr>
          <w:rFonts w:ascii="Arial" w:hAnsi="Arial" w:cs="Arial"/>
          <w:sz w:val="22"/>
          <w:szCs w:val="22"/>
        </w:rPr>
        <w:t xml:space="preserve"> health concerns of resilient communities and healthy aging (WHO, 2021; NHS England, 2019).</w:t>
      </w:r>
    </w:p>
    <w:p w14:paraId="7FD4100A" w14:textId="587D7288" w:rsidR="00A61438" w:rsidRDefault="00A61438" w:rsidP="00C24C8D">
      <w:pPr>
        <w:pStyle w:val="Heading3"/>
        <w:spacing w:line="360" w:lineRule="auto"/>
        <w:jc w:val="both"/>
        <w:rPr>
          <w:rFonts w:ascii="Arial" w:hAnsi="Arial" w:cs="Arial"/>
          <w:b/>
          <w:bCs/>
          <w:sz w:val="24"/>
          <w:szCs w:val="24"/>
        </w:rPr>
      </w:pPr>
      <w:bookmarkStart w:id="38" w:name="_Toc220878889"/>
      <w:r w:rsidRPr="00A61438">
        <w:rPr>
          <w:rFonts w:ascii="Arial" w:hAnsi="Arial" w:cs="Arial"/>
          <w:b/>
          <w:bCs/>
          <w:sz w:val="24"/>
          <w:szCs w:val="24"/>
        </w:rPr>
        <w:t>2.5.7 Sustainability and Long-Term Adherence in Community-Based Physiotherapy</w:t>
      </w:r>
      <w:bookmarkEnd w:id="38"/>
    </w:p>
    <w:p w14:paraId="506AC2A2" w14:textId="7F9828B4" w:rsidR="00A61438" w:rsidRPr="00A61438" w:rsidRDefault="00A61438" w:rsidP="00C24C8D">
      <w:pPr>
        <w:spacing w:line="360" w:lineRule="auto"/>
        <w:jc w:val="both"/>
        <w:rPr>
          <w:rFonts w:ascii="Arial" w:hAnsi="Arial" w:cs="Arial"/>
          <w:sz w:val="22"/>
          <w:szCs w:val="22"/>
        </w:rPr>
      </w:pPr>
      <w:r w:rsidRPr="00A61438">
        <w:rPr>
          <w:rFonts w:ascii="Arial" w:hAnsi="Arial" w:cs="Arial"/>
          <w:sz w:val="22"/>
          <w:szCs w:val="22"/>
        </w:rPr>
        <w:t xml:space="preserve">Although community-based physiotherapy programs for fall prevention show great short-term efficacy, metropolitan healthcare systems continue to have serious concerns about their long-term sustainability. Sustained engagement is crucial since stopping exercise regimens can quickly result in declines in strength, balance, and </w:t>
      </w:r>
      <w:r w:rsidRPr="00A61438">
        <w:rPr>
          <w:rFonts w:ascii="Arial" w:hAnsi="Arial" w:cs="Arial"/>
          <w:sz w:val="22"/>
          <w:szCs w:val="22"/>
        </w:rPr>
        <w:lastRenderedPageBreak/>
        <w:t>confidence (Sherrington et al., 2019; Lesinski et al., 2015). Therefore, a crucial factor in determining whether early gains result in long-term decreases in fall risk in older persons is long-term adherence.</w:t>
      </w:r>
    </w:p>
    <w:p w14:paraId="28DB0716" w14:textId="19295963" w:rsidR="00A61438" w:rsidRPr="00A61438" w:rsidRDefault="00A61438" w:rsidP="00C24C8D">
      <w:pPr>
        <w:spacing w:line="360" w:lineRule="auto"/>
        <w:jc w:val="both"/>
        <w:rPr>
          <w:rFonts w:ascii="Arial" w:hAnsi="Arial" w:cs="Arial"/>
          <w:sz w:val="22"/>
          <w:szCs w:val="22"/>
        </w:rPr>
      </w:pPr>
      <w:r w:rsidRPr="00A61438">
        <w:rPr>
          <w:rFonts w:ascii="Arial" w:hAnsi="Arial" w:cs="Arial"/>
          <w:sz w:val="22"/>
          <w:szCs w:val="22"/>
        </w:rPr>
        <w:t xml:space="preserve">Individual motivation, social support, perceived relevance, and service accessibility all have an impact on community-dwelling older </w:t>
      </w:r>
      <w:r w:rsidR="002D689D">
        <w:rPr>
          <w:rFonts w:ascii="Arial" w:hAnsi="Arial" w:cs="Arial"/>
          <w:sz w:val="22"/>
          <w:szCs w:val="22"/>
        </w:rPr>
        <w:t>adult</w:t>
      </w:r>
      <w:r w:rsidR="002D689D" w:rsidRPr="00A61438">
        <w:rPr>
          <w:rFonts w:ascii="Arial" w:hAnsi="Arial" w:cs="Arial"/>
          <w:sz w:val="22"/>
          <w:szCs w:val="22"/>
        </w:rPr>
        <w:t>s’</w:t>
      </w:r>
      <w:r w:rsidR="00330FA7">
        <w:rPr>
          <w:rFonts w:ascii="Arial" w:hAnsi="Arial" w:cs="Arial"/>
          <w:sz w:val="22"/>
          <w:szCs w:val="22"/>
        </w:rPr>
        <w:t xml:space="preserve"> </w:t>
      </w:r>
      <w:r w:rsidRPr="00A61438">
        <w:rPr>
          <w:rFonts w:ascii="Arial" w:hAnsi="Arial" w:cs="Arial"/>
          <w:sz w:val="22"/>
          <w:szCs w:val="22"/>
        </w:rPr>
        <w:t>adherence to physiotherapy-led exercise programs, according to research (Yardley et al., 2018; Montero-Odasso et al., 2022).</w:t>
      </w:r>
      <w:r w:rsidRPr="00A61438">
        <w:t xml:space="preserve"> </w:t>
      </w:r>
      <w:r w:rsidRPr="00A61438">
        <w:rPr>
          <w:rFonts w:ascii="Arial" w:hAnsi="Arial" w:cs="Arial"/>
          <w:sz w:val="22"/>
          <w:szCs w:val="22"/>
        </w:rPr>
        <w:t>Sustained participation may be adversely affected in urban environments by conflicting demands such as transportation challenges, caregiving obligations, and the fragmentation of health services (Marmot et al., 2020; NICE, 2025). Longer-term engagement has been demonstrated by programs that provide chances for peer interaction, progressive advancement, and frequent follow-up (Clemson et al., 2012; Sherrington et al., 2020).</w:t>
      </w:r>
    </w:p>
    <w:p w14:paraId="37F8233D" w14:textId="59D569FF" w:rsidR="00A61438" w:rsidRDefault="00A61438" w:rsidP="00C24C8D">
      <w:pPr>
        <w:spacing w:line="360" w:lineRule="auto"/>
        <w:jc w:val="both"/>
        <w:rPr>
          <w:rFonts w:ascii="Arial" w:hAnsi="Arial" w:cs="Arial"/>
          <w:sz w:val="22"/>
          <w:szCs w:val="22"/>
        </w:rPr>
      </w:pPr>
      <w:r w:rsidRPr="00A61438">
        <w:rPr>
          <w:rFonts w:ascii="Arial" w:hAnsi="Arial" w:cs="Arial"/>
          <w:sz w:val="22"/>
          <w:szCs w:val="22"/>
        </w:rPr>
        <w:t xml:space="preserve">One way to improve sustainability is to integrate community-based physiotherapy into already-existing local infrastructures, such community </w:t>
      </w:r>
      <w:r w:rsidR="002D689D" w:rsidRPr="00A61438">
        <w:rPr>
          <w:rFonts w:ascii="Arial" w:hAnsi="Arial" w:cs="Arial"/>
          <w:sz w:val="22"/>
          <w:szCs w:val="22"/>
        </w:rPr>
        <w:t>centr</w:t>
      </w:r>
      <w:r w:rsidR="002D689D">
        <w:rPr>
          <w:rFonts w:ascii="Arial" w:hAnsi="Arial" w:cs="Arial"/>
          <w:sz w:val="22"/>
          <w:szCs w:val="22"/>
        </w:rPr>
        <w:t>es</w:t>
      </w:r>
      <w:r w:rsidRPr="00A61438">
        <w:rPr>
          <w:rFonts w:ascii="Arial" w:hAnsi="Arial" w:cs="Arial"/>
          <w:sz w:val="22"/>
          <w:szCs w:val="22"/>
        </w:rPr>
        <w:t>, primary care networks, and voluntary sector organizations (NHS England, 2019). Such integration allows continuous referral channels, lessens dependency on time-limited pilot programs, and improves continuity of treatment. Furthermore, programs that develop self-management abilities and boost self-assurance in unsupervised exercise are more likely to sustain effects beyond supervised phases (Bandura, 1997;</w:t>
      </w:r>
      <w:r w:rsidRPr="00A61438">
        <w:t xml:space="preserve"> </w:t>
      </w:r>
      <w:r w:rsidRPr="00A61438">
        <w:rPr>
          <w:rFonts w:ascii="Arial" w:hAnsi="Arial" w:cs="Arial"/>
          <w:sz w:val="22"/>
          <w:szCs w:val="22"/>
        </w:rPr>
        <w:t>Michie et al., 2013)</w:t>
      </w:r>
      <w:r>
        <w:rPr>
          <w:rFonts w:ascii="Arial" w:hAnsi="Arial" w:cs="Arial"/>
          <w:sz w:val="22"/>
          <w:szCs w:val="22"/>
        </w:rPr>
        <w:t>.</w:t>
      </w:r>
    </w:p>
    <w:p w14:paraId="0562D884" w14:textId="6B504CDA" w:rsidR="003F29DA" w:rsidRPr="003F29DA" w:rsidRDefault="00BA1983" w:rsidP="00C24C8D">
      <w:pPr>
        <w:spacing w:line="360" w:lineRule="auto"/>
        <w:jc w:val="both"/>
        <w:rPr>
          <w:rFonts w:ascii="Arial" w:hAnsi="Arial" w:cs="Arial"/>
          <w:sz w:val="22"/>
          <w:szCs w:val="22"/>
        </w:rPr>
      </w:pPr>
      <w:r>
        <w:rPr>
          <w:rFonts w:ascii="Arial" w:hAnsi="Arial" w:cs="Arial"/>
          <w:sz w:val="22"/>
          <w:szCs w:val="22"/>
        </w:rPr>
        <w:t>overall</w:t>
      </w:r>
      <w:r w:rsidR="00A61438" w:rsidRPr="00A61438">
        <w:rPr>
          <w:rFonts w:ascii="Arial" w:hAnsi="Arial" w:cs="Arial"/>
          <w:sz w:val="22"/>
          <w:szCs w:val="22"/>
        </w:rPr>
        <w:t>, one of the main goals of fall prevention programs should be sustainability. To guarantee long-lasting reductions in fall risk, future programs in metropolitan England must prioritize long-term adherence through flexible delivery modes, ongoing professional assistance, and linkage with local community resources.</w:t>
      </w:r>
    </w:p>
    <w:p w14:paraId="2616FF6D" w14:textId="43CD44CF" w:rsidR="003F29DA" w:rsidRPr="005D7A42" w:rsidRDefault="003F29DA" w:rsidP="00C24C8D">
      <w:pPr>
        <w:pStyle w:val="Heading2"/>
        <w:spacing w:line="360" w:lineRule="auto"/>
        <w:jc w:val="both"/>
        <w:rPr>
          <w:rFonts w:ascii="Arial" w:hAnsi="Arial" w:cs="Arial"/>
          <w:b/>
          <w:bCs/>
          <w:sz w:val="28"/>
          <w:szCs w:val="28"/>
        </w:rPr>
      </w:pPr>
      <w:bookmarkStart w:id="39" w:name="_Toc220878890"/>
      <w:r w:rsidRPr="005D7A42">
        <w:rPr>
          <w:rFonts w:ascii="Arial" w:hAnsi="Arial" w:cs="Arial"/>
          <w:b/>
          <w:bCs/>
          <w:sz w:val="28"/>
          <w:szCs w:val="28"/>
        </w:rPr>
        <w:t>2.6</w:t>
      </w:r>
      <w:r w:rsidR="005D7A42" w:rsidRPr="005D7A42">
        <w:rPr>
          <w:rFonts w:ascii="Arial" w:hAnsi="Arial" w:cs="Arial"/>
          <w:b/>
          <w:bCs/>
          <w:sz w:val="28"/>
          <w:szCs w:val="28"/>
        </w:rPr>
        <w:t xml:space="preserve"> </w:t>
      </w:r>
      <w:r w:rsidRPr="005D7A42">
        <w:rPr>
          <w:rFonts w:ascii="Arial" w:hAnsi="Arial" w:cs="Arial"/>
          <w:b/>
          <w:bCs/>
          <w:sz w:val="28"/>
          <w:szCs w:val="28"/>
        </w:rPr>
        <w:t>Theoretical Frameworks</w:t>
      </w:r>
      <w:bookmarkEnd w:id="39"/>
    </w:p>
    <w:p w14:paraId="69654E00" w14:textId="512238C9"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application of theoretical frameworks promotes knowledge of the </w:t>
      </w:r>
      <w:r w:rsidR="00726C1A" w:rsidRPr="003F29DA">
        <w:rPr>
          <w:rFonts w:ascii="Arial" w:hAnsi="Arial" w:cs="Arial"/>
          <w:sz w:val="22"/>
          <w:szCs w:val="22"/>
        </w:rPr>
        <w:t>behavioural</w:t>
      </w:r>
      <w:r w:rsidRPr="003F29DA">
        <w:rPr>
          <w:rFonts w:ascii="Arial" w:hAnsi="Arial" w:cs="Arial"/>
          <w:sz w:val="22"/>
          <w:szCs w:val="22"/>
        </w:rPr>
        <w:t xml:space="preserve"> and environmental aspects that determine older adults’ involvement in fall prevention interventions. Two fundamental </w:t>
      </w:r>
      <w:r w:rsidR="00726C1A" w:rsidRPr="003F29DA">
        <w:rPr>
          <w:rFonts w:ascii="Arial" w:hAnsi="Arial" w:cs="Arial"/>
          <w:sz w:val="22"/>
          <w:szCs w:val="22"/>
        </w:rPr>
        <w:t>frameworks, the</w:t>
      </w:r>
      <w:r w:rsidRPr="003F29DA">
        <w:rPr>
          <w:rFonts w:ascii="Arial" w:hAnsi="Arial" w:cs="Arial"/>
          <w:sz w:val="22"/>
          <w:szCs w:val="22"/>
        </w:rPr>
        <w:t xml:space="preserve"> Health Belief Model (HBM) and the Social Ecological Model (SEM), offer alternative insights.</w:t>
      </w:r>
    </w:p>
    <w:p w14:paraId="1780F680" w14:textId="2D7FEE4D" w:rsidR="003F29DA" w:rsidRPr="005D7A42" w:rsidRDefault="003F29DA" w:rsidP="00C24C8D">
      <w:pPr>
        <w:pStyle w:val="Heading3"/>
        <w:spacing w:line="360" w:lineRule="auto"/>
        <w:jc w:val="both"/>
        <w:rPr>
          <w:rFonts w:ascii="Arial" w:hAnsi="Arial" w:cs="Arial"/>
          <w:b/>
          <w:bCs/>
          <w:sz w:val="24"/>
          <w:szCs w:val="24"/>
        </w:rPr>
      </w:pPr>
      <w:bookmarkStart w:id="40" w:name="_Toc220878891"/>
      <w:r w:rsidRPr="005D7A42">
        <w:rPr>
          <w:rFonts w:ascii="Arial" w:hAnsi="Arial" w:cs="Arial"/>
          <w:b/>
          <w:bCs/>
          <w:sz w:val="24"/>
          <w:szCs w:val="24"/>
        </w:rPr>
        <w:t>2.6.1</w:t>
      </w:r>
      <w:r w:rsidR="005D7A42" w:rsidRPr="005D7A42">
        <w:rPr>
          <w:rFonts w:ascii="Arial" w:hAnsi="Arial" w:cs="Arial"/>
          <w:b/>
          <w:bCs/>
          <w:sz w:val="24"/>
          <w:szCs w:val="24"/>
        </w:rPr>
        <w:t xml:space="preserve"> </w:t>
      </w:r>
      <w:r w:rsidRPr="005D7A42">
        <w:rPr>
          <w:rFonts w:ascii="Arial" w:hAnsi="Arial" w:cs="Arial"/>
          <w:b/>
          <w:bCs/>
          <w:sz w:val="24"/>
          <w:szCs w:val="24"/>
        </w:rPr>
        <w:t>Health Belief Model (HBM)</w:t>
      </w:r>
      <w:bookmarkEnd w:id="40"/>
    </w:p>
    <w:p w14:paraId="662B9E8F" w14:textId="5AD6B5FF"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Health Belief Model, initially articulated by Rosenstock (1974), claims that individuals participate in health-related activities based on perceived susceptibility to a condition, perceived severity of the illness, perceived benefits of action, and perceived obstacles to action (Rosenstock, 1974). In fall prevention, perceived susceptibility refers to an older adult’s belief in their chance of falling; perception of severity pertains </w:t>
      </w:r>
      <w:r w:rsidRPr="003F29DA">
        <w:rPr>
          <w:rFonts w:ascii="Arial" w:hAnsi="Arial" w:cs="Arial"/>
          <w:sz w:val="22"/>
          <w:szCs w:val="22"/>
        </w:rPr>
        <w:lastRenderedPageBreak/>
        <w:t>to the potential repercussions, such as injury, loss of independence, or death (NICE, 2025). Perceived benefits include the assumption that physiotherapy exercises might lower fall risk, whereas perceived obstacles may include fear of injury, time restrictions, lack of transportation, or poor desire (Rosenstock, 1974; NICE, 2025). Self-efficacy is another important factor in fall prevention. Adherence is more likely to be maintained by older persons who think they can attend community sessions or complete physiotherapy exercises successfully (Bandura, 1997). Studies have demonstrated that self-efficacy highly predicts adherence to exercise regimens (Clark and Jones, 2020; Bandura, 1997), stressing the need for treatments that increase confidence and give positive reinforcement.</w:t>
      </w:r>
    </w:p>
    <w:p w14:paraId="326EB73B" w14:textId="4B1C2933" w:rsidR="003F29DA" w:rsidRPr="005D7A42" w:rsidRDefault="003F29DA" w:rsidP="00C24C8D">
      <w:pPr>
        <w:pStyle w:val="Heading3"/>
        <w:spacing w:line="360" w:lineRule="auto"/>
        <w:jc w:val="both"/>
        <w:rPr>
          <w:rFonts w:ascii="Arial" w:hAnsi="Arial" w:cs="Arial"/>
          <w:b/>
          <w:bCs/>
          <w:sz w:val="24"/>
          <w:szCs w:val="24"/>
        </w:rPr>
      </w:pPr>
      <w:bookmarkStart w:id="41" w:name="_Toc220878892"/>
      <w:r w:rsidRPr="005D7A42">
        <w:rPr>
          <w:rFonts w:ascii="Arial" w:hAnsi="Arial" w:cs="Arial"/>
          <w:b/>
          <w:bCs/>
          <w:sz w:val="24"/>
          <w:szCs w:val="24"/>
        </w:rPr>
        <w:t>2.6.2</w:t>
      </w:r>
      <w:r w:rsidR="005D7A42" w:rsidRPr="005D7A42">
        <w:rPr>
          <w:rFonts w:ascii="Arial" w:hAnsi="Arial" w:cs="Arial"/>
          <w:b/>
          <w:bCs/>
          <w:sz w:val="24"/>
          <w:szCs w:val="24"/>
        </w:rPr>
        <w:t xml:space="preserve"> </w:t>
      </w:r>
      <w:r w:rsidRPr="005D7A42">
        <w:rPr>
          <w:rFonts w:ascii="Arial" w:hAnsi="Arial" w:cs="Arial"/>
          <w:b/>
          <w:bCs/>
          <w:sz w:val="24"/>
          <w:szCs w:val="24"/>
        </w:rPr>
        <w:t>Social Ecological Model (SEM)</w:t>
      </w:r>
      <w:bookmarkEnd w:id="41"/>
    </w:p>
    <w:p w14:paraId="076740B4" w14:textId="6BDF5CCE"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Individual, interpersonal, organizational, community, and policy levels of impact on health behaviour are all highlighted by Bronfenbrenner's (1977) Social Ecological Model (Bronfenbrenner, 1977; McLeroy et al., 1988). At the individual level, characteristics such as physical health, cognitive function, motivation, and personal beliefs impact involvement with </w:t>
      </w:r>
      <w:r w:rsidR="00BA1983" w:rsidRPr="00BA1983">
        <w:rPr>
          <w:rFonts w:ascii="Arial" w:hAnsi="Arial" w:cs="Arial"/>
          <w:sz w:val="22"/>
          <w:szCs w:val="22"/>
        </w:rPr>
        <w:t xml:space="preserve">physiotherapy interventions </w:t>
      </w:r>
      <w:r w:rsidRPr="003F29DA">
        <w:rPr>
          <w:rFonts w:ascii="Arial" w:hAnsi="Arial" w:cs="Arial"/>
          <w:sz w:val="22"/>
          <w:szCs w:val="22"/>
        </w:rPr>
        <w:t>(NICE, 2025). Interpersonal impacts include parental support, peer encouragement, and social networks, all of which can stimulate or discourage engagement (McLeroy et al., 1988). Organisational effects relate to the structure and accessibility of healthcare services, including availability of physiotherapists, scheduling of programmes, and quality of communication amongst care providers (NHS England, 2019). Community- level issues include environmental dangers, availability of safe locations for exercise, transportation infrastructure, and cultural norms (Marmot et al., 2020). Policy-level implications comprise national health plans, financing for rehabilitation services, and public health campaigns encouraging healthy ageing (Evans and Patel, 2021; NHS England, 2019). The SEM gives a comprehensive perspective through which to study how community, organizational, and policy settings impact human conduct (McLeroy et al., 1988).</w:t>
      </w:r>
    </w:p>
    <w:p w14:paraId="2606771B" w14:textId="69FAC218" w:rsidR="003F29DA" w:rsidRPr="005D7A42" w:rsidRDefault="003F29DA" w:rsidP="00C24C8D">
      <w:pPr>
        <w:pStyle w:val="Heading3"/>
        <w:spacing w:line="360" w:lineRule="auto"/>
        <w:jc w:val="both"/>
        <w:rPr>
          <w:rFonts w:ascii="Arial" w:hAnsi="Arial" w:cs="Arial"/>
          <w:b/>
          <w:bCs/>
          <w:sz w:val="24"/>
          <w:szCs w:val="24"/>
        </w:rPr>
      </w:pPr>
      <w:bookmarkStart w:id="42" w:name="_Toc220878893"/>
      <w:r w:rsidRPr="005D7A42">
        <w:rPr>
          <w:rFonts w:ascii="Arial" w:hAnsi="Arial" w:cs="Arial"/>
          <w:b/>
          <w:bCs/>
          <w:sz w:val="24"/>
          <w:szCs w:val="24"/>
        </w:rPr>
        <w:t>2.6.3</w:t>
      </w:r>
      <w:r w:rsidR="005D7A42" w:rsidRPr="005D7A42">
        <w:rPr>
          <w:rFonts w:ascii="Arial" w:hAnsi="Arial" w:cs="Arial"/>
          <w:b/>
          <w:bCs/>
          <w:sz w:val="24"/>
          <w:szCs w:val="24"/>
        </w:rPr>
        <w:t xml:space="preserve"> </w:t>
      </w:r>
      <w:r w:rsidRPr="005D7A42">
        <w:rPr>
          <w:rFonts w:ascii="Arial" w:hAnsi="Arial" w:cs="Arial"/>
          <w:b/>
          <w:bCs/>
          <w:sz w:val="24"/>
          <w:szCs w:val="24"/>
        </w:rPr>
        <w:t>Integration of HBM and SEM</w:t>
      </w:r>
      <w:bookmarkEnd w:id="42"/>
    </w:p>
    <w:p w14:paraId="5BFEB46F" w14:textId="16398505"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This study utilizes both HBM and SEM to capture the entire spectrum of variables determining involvement with community-based physiotherapy. The HBM helps explain individual motives and obstacles, whereas the SEM situates these actions within wider structural and environmental circumstances (Rosenstock, 1974; McLeroy et al., 1988). Using these models together enables for sophisticated investigation of </w:t>
      </w:r>
      <w:r w:rsidRPr="003F29DA">
        <w:rPr>
          <w:rFonts w:ascii="Arial" w:hAnsi="Arial" w:cs="Arial"/>
          <w:sz w:val="22"/>
          <w:szCs w:val="22"/>
        </w:rPr>
        <w:lastRenderedPageBreak/>
        <w:t>how psychological, social, environmental, and policy elements intersect to impact fall prevention programs in England’s metropolitan regions (Montero-Odasso et al., 2022).</w:t>
      </w:r>
    </w:p>
    <w:p w14:paraId="673B9AFD" w14:textId="53F4F001"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According to current research, integrated models that combine behavioural and ecological aspects offer a more comprehensive knowledge of fall prevention, thereby extending the theoretical dimension (McLeroy et al., 1988; Montero-Odasso et al., 2022). Although frameworks like the Health Belief Model aid in the explanation of human decision-making processes, they may not adequately account for social support networks, cultural norms, and environmental limitations (Rosenstock, 1974; Marmot et al., 2020). Ecological models, on the other hand, acknowledge these wider factors but could downplay the significance of individual motivation and health beliefs. Integrating the two gives a deeper conceptual </w:t>
      </w:r>
    </w:p>
    <w:p w14:paraId="74B5C435" w14:textId="77777777" w:rsidR="003F29DA" w:rsidRDefault="003F29DA" w:rsidP="00C24C8D">
      <w:pPr>
        <w:spacing w:line="360" w:lineRule="auto"/>
        <w:jc w:val="both"/>
        <w:rPr>
          <w:rFonts w:ascii="Arial" w:hAnsi="Arial" w:cs="Arial"/>
          <w:sz w:val="22"/>
          <w:szCs w:val="22"/>
        </w:rPr>
      </w:pPr>
      <w:r w:rsidRPr="003F29DA">
        <w:rPr>
          <w:rFonts w:ascii="Arial" w:hAnsi="Arial" w:cs="Arial"/>
          <w:sz w:val="22"/>
          <w:szCs w:val="22"/>
        </w:rPr>
        <w:t>framework for creating interventions, highlighting that fall prevention actions are impacted by both personal perceptions and institutional reality (McLeroy et al., 1988). This combination approach matches strongly with community-based physiotherapy, which inherently acts across numerous levels—from individual strength and balance to neighbourhood safety and service accessibility (NICE, 2025; NHS England, 2019).</w:t>
      </w:r>
    </w:p>
    <w:p w14:paraId="6252649C" w14:textId="6B57F906" w:rsidR="00726C1A" w:rsidRPr="00D86585" w:rsidRDefault="00726C1A" w:rsidP="00C24C8D">
      <w:pPr>
        <w:pStyle w:val="Heading3"/>
        <w:spacing w:line="360" w:lineRule="auto"/>
        <w:jc w:val="both"/>
        <w:rPr>
          <w:rFonts w:ascii="Arial" w:hAnsi="Arial" w:cs="Arial"/>
          <w:b/>
          <w:bCs/>
          <w:sz w:val="24"/>
          <w:szCs w:val="24"/>
        </w:rPr>
      </w:pPr>
      <w:bookmarkStart w:id="43" w:name="_Toc220878894"/>
      <w:r w:rsidRPr="00D86585">
        <w:rPr>
          <w:rFonts w:ascii="Arial" w:hAnsi="Arial" w:cs="Arial"/>
          <w:b/>
          <w:bCs/>
          <w:sz w:val="24"/>
          <w:szCs w:val="24"/>
        </w:rPr>
        <w:t>2.6.4 Justification for Selection of Theoretical Models</w:t>
      </w:r>
      <w:bookmarkEnd w:id="43"/>
    </w:p>
    <w:p w14:paraId="7FA6E231" w14:textId="7D20A9B2" w:rsidR="00726C1A" w:rsidRDefault="00D86585" w:rsidP="00C24C8D">
      <w:pPr>
        <w:spacing w:line="360" w:lineRule="auto"/>
        <w:jc w:val="both"/>
        <w:rPr>
          <w:rFonts w:ascii="Arial" w:hAnsi="Arial" w:cs="Arial"/>
          <w:sz w:val="22"/>
          <w:szCs w:val="22"/>
        </w:rPr>
      </w:pPr>
      <w:r w:rsidRPr="00D86585">
        <w:rPr>
          <w:rFonts w:ascii="Arial" w:hAnsi="Arial" w:cs="Arial"/>
          <w:sz w:val="22"/>
          <w:szCs w:val="22"/>
        </w:rPr>
        <w:t>Because it directly relates to how older persons perceive their risk of falling and how these views affect involvement in community-based</w:t>
      </w:r>
      <w:r w:rsidR="00BA1983">
        <w:rPr>
          <w:rFonts w:ascii="Arial" w:hAnsi="Arial" w:cs="Arial"/>
          <w:sz w:val="22"/>
          <w:szCs w:val="22"/>
        </w:rPr>
        <w:t xml:space="preserve"> </w:t>
      </w:r>
      <w:r w:rsidR="00BA1983" w:rsidRPr="00BA1983">
        <w:rPr>
          <w:rFonts w:ascii="Arial" w:hAnsi="Arial" w:cs="Arial"/>
          <w:sz w:val="22"/>
          <w:szCs w:val="22"/>
        </w:rPr>
        <w:t>physiotherapy interventions</w:t>
      </w:r>
      <w:r w:rsidRPr="00D86585">
        <w:rPr>
          <w:rFonts w:ascii="Arial" w:hAnsi="Arial" w:cs="Arial"/>
          <w:sz w:val="22"/>
          <w:szCs w:val="22"/>
        </w:rPr>
        <w:t xml:space="preserve">, the Health Belief Model (HBM) was used for this study. Falls are influenced by attitudes about vulnerability, fear of falling, motivation, and expectations of benefit in addition to physiological impairment. The HBM offers a methodical approach to comprehending perceived vulnerability to falls, perceived seriousness of repercussions like injury or loss of independence, and perceived advantages of performing strength and balance activities. Additionally, it is especially helpful for </w:t>
      </w:r>
      <w:r w:rsidR="002D689D" w:rsidRPr="00D86585">
        <w:rPr>
          <w:rFonts w:ascii="Arial" w:hAnsi="Arial" w:cs="Arial"/>
          <w:sz w:val="22"/>
          <w:szCs w:val="22"/>
        </w:rPr>
        <w:t>analysing</w:t>
      </w:r>
      <w:r w:rsidRPr="00D86585">
        <w:rPr>
          <w:rFonts w:ascii="Arial" w:hAnsi="Arial" w:cs="Arial"/>
          <w:sz w:val="22"/>
          <w:szCs w:val="22"/>
        </w:rPr>
        <w:t xml:space="preserve"> perceived obstacles that older persons in urban England frequently express, such as pain, transportation issues, cultural attitudes, or a lack of confidence.</w:t>
      </w:r>
      <w:r w:rsidRPr="00D86585">
        <w:t xml:space="preserve"> </w:t>
      </w:r>
      <w:r w:rsidRPr="00D86585">
        <w:rPr>
          <w:rFonts w:ascii="Arial" w:hAnsi="Arial" w:cs="Arial"/>
          <w:sz w:val="22"/>
          <w:szCs w:val="22"/>
        </w:rPr>
        <w:t xml:space="preserve">This model's focus on self-efficacy, which is strongly associated with exercise adherence and participation in physiotherapy programs, is one of its main advantages. Nonetheless, the HBM's acknowledged drawback is its emphasis on the individual level while ignoring broader environmental and societal impacts. Because of this, it can occasionally oversimplify </w:t>
      </w:r>
      <w:r w:rsidR="002D689D" w:rsidRPr="00D86585">
        <w:rPr>
          <w:rFonts w:ascii="Arial" w:hAnsi="Arial" w:cs="Arial"/>
          <w:sz w:val="22"/>
          <w:szCs w:val="22"/>
        </w:rPr>
        <w:t>behaviour</w:t>
      </w:r>
      <w:r w:rsidRPr="00D86585">
        <w:rPr>
          <w:rFonts w:ascii="Arial" w:hAnsi="Arial" w:cs="Arial"/>
          <w:sz w:val="22"/>
          <w:szCs w:val="22"/>
        </w:rPr>
        <w:t xml:space="preserve"> by believing that people just use their perceptions to make logical judgments. Notwithstanding these drawbacks, the HBM was deemed suitable as one of the primary objectives of this project is to investigate psychological elements like confidence, motivation, and fear of falling in connection to physiotherapy involvement.</w:t>
      </w:r>
    </w:p>
    <w:p w14:paraId="40C7394C" w14:textId="32BCFAB0" w:rsidR="00D86585" w:rsidRPr="00D86585" w:rsidRDefault="00D86585" w:rsidP="00C24C8D">
      <w:pPr>
        <w:spacing w:line="360" w:lineRule="auto"/>
        <w:jc w:val="both"/>
        <w:rPr>
          <w:rFonts w:ascii="Arial" w:hAnsi="Arial" w:cs="Arial"/>
          <w:sz w:val="22"/>
          <w:szCs w:val="22"/>
        </w:rPr>
      </w:pPr>
      <w:r w:rsidRPr="00D86585">
        <w:rPr>
          <w:rFonts w:ascii="Arial" w:hAnsi="Arial" w:cs="Arial"/>
          <w:sz w:val="22"/>
          <w:szCs w:val="22"/>
        </w:rPr>
        <w:lastRenderedPageBreak/>
        <w:t xml:space="preserve">The Social Ecological Model (SEM) was used in addition to the HBM because falls among older persons, especially in urban environments, are influenced by a variety of interrelated variables that go beyond personal beliefs. Environmental risks, restricted access to green areas, cramped housing, bad pavement, a lack of transportation alternatives, and social isolation are some of the challenges that older </w:t>
      </w:r>
      <w:r w:rsidR="00330FA7">
        <w:rPr>
          <w:rFonts w:ascii="Arial" w:hAnsi="Arial" w:cs="Arial"/>
          <w:sz w:val="22"/>
          <w:szCs w:val="22"/>
        </w:rPr>
        <w:t>adult</w:t>
      </w:r>
      <w:r w:rsidRPr="00D86585">
        <w:rPr>
          <w:rFonts w:ascii="Arial" w:hAnsi="Arial" w:cs="Arial"/>
          <w:sz w:val="22"/>
          <w:szCs w:val="22"/>
        </w:rPr>
        <w:t xml:space="preserve">s in urban areas may encounter. Because it </w:t>
      </w:r>
      <w:r w:rsidR="002D689D" w:rsidRPr="00D86585">
        <w:rPr>
          <w:rFonts w:ascii="Arial" w:hAnsi="Arial" w:cs="Arial"/>
          <w:sz w:val="22"/>
          <w:szCs w:val="22"/>
        </w:rPr>
        <w:t>considers</w:t>
      </w:r>
      <w:r w:rsidRPr="00D86585">
        <w:rPr>
          <w:rFonts w:ascii="Arial" w:hAnsi="Arial" w:cs="Arial"/>
          <w:sz w:val="22"/>
          <w:szCs w:val="22"/>
        </w:rPr>
        <w:t xml:space="preserve"> factors functioning at the individual, interpersonal, community, organizational, and policy levels, the SEM is beneficial. This makes it especially appropriate for a study that focuses on metropolitan England, where service accessibility and socioeconomic disparity have a significant impact on community-based physiotherapy involvement.</w:t>
      </w:r>
      <w:r w:rsidRPr="00D86585">
        <w:t xml:space="preserve"> </w:t>
      </w:r>
      <w:r w:rsidRPr="00D86585">
        <w:rPr>
          <w:rFonts w:ascii="Arial" w:hAnsi="Arial" w:cs="Arial"/>
          <w:sz w:val="22"/>
          <w:szCs w:val="22"/>
        </w:rPr>
        <w:t xml:space="preserve">The methodology is in line with public health methods advocated by WHO and NICE, which place a strong focus on fall prevention tactics at the community and system levels. Its primary drawback is its complexity, since it is hard to test each level empirically and does not always provide a detailed explanation for each individual </w:t>
      </w:r>
      <w:r w:rsidR="002D689D" w:rsidRPr="00D86585">
        <w:rPr>
          <w:rFonts w:ascii="Arial" w:hAnsi="Arial" w:cs="Arial"/>
          <w:sz w:val="22"/>
          <w:szCs w:val="22"/>
        </w:rPr>
        <w:t>behaviour</w:t>
      </w:r>
      <w:r w:rsidRPr="00D86585">
        <w:rPr>
          <w:rFonts w:ascii="Arial" w:hAnsi="Arial" w:cs="Arial"/>
          <w:sz w:val="22"/>
          <w:szCs w:val="22"/>
        </w:rPr>
        <w:t xml:space="preserve">. Nevertheless, it was chosen because it acknowledges how social structures, the environment, and health care design affect fall risk and highlights the larger context in which physiotherapy </w:t>
      </w:r>
      <w:r w:rsidR="002D689D" w:rsidRPr="00D86585">
        <w:rPr>
          <w:rFonts w:ascii="Arial" w:hAnsi="Arial" w:cs="Arial"/>
          <w:sz w:val="22"/>
          <w:szCs w:val="22"/>
        </w:rPr>
        <w:t>program’s</w:t>
      </w:r>
      <w:r w:rsidRPr="00D86585">
        <w:rPr>
          <w:rFonts w:ascii="Arial" w:hAnsi="Arial" w:cs="Arial"/>
          <w:sz w:val="22"/>
          <w:szCs w:val="22"/>
        </w:rPr>
        <w:t xml:space="preserve"> function.</w:t>
      </w:r>
    </w:p>
    <w:p w14:paraId="7C351F75" w14:textId="16EA0509" w:rsidR="003F29DA" w:rsidRPr="003F29DA" w:rsidRDefault="00D86585" w:rsidP="00C24C8D">
      <w:pPr>
        <w:spacing w:line="360" w:lineRule="auto"/>
        <w:jc w:val="both"/>
        <w:rPr>
          <w:rFonts w:ascii="Arial" w:hAnsi="Arial" w:cs="Arial"/>
          <w:sz w:val="22"/>
          <w:szCs w:val="22"/>
        </w:rPr>
      </w:pPr>
      <w:r w:rsidRPr="00D86585">
        <w:rPr>
          <w:rFonts w:ascii="Arial" w:hAnsi="Arial" w:cs="Arial"/>
          <w:sz w:val="22"/>
          <w:szCs w:val="22"/>
        </w:rPr>
        <w:t>When combined, the Health Belief Model and the Social Ecological Model offer a thorough theoretical framework for this dissertation. While the SEM takes into consideration the environmental, social, and service-level factors that exist in urban England, the HBM explains individual attitudes and motivation for fall-prevention exercise.</w:t>
      </w:r>
      <w:r w:rsidRPr="00D86585">
        <w:t xml:space="preserve"> </w:t>
      </w:r>
      <w:r w:rsidRPr="00D86585">
        <w:rPr>
          <w:rFonts w:ascii="Arial" w:hAnsi="Arial" w:cs="Arial"/>
          <w:sz w:val="22"/>
          <w:szCs w:val="22"/>
        </w:rPr>
        <w:t>Because they largely concentrate on physical impairments and do not sufficiently address psychological, social, and environmental causes of falls, alternative biomedical or solely biomechanical models were not accepted. As a result, these two models were thought to be the most suitable for accomplishing the objectives of this study.</w:t>
      </w:r>
    </w:p>
    <w:p w14:paraId="5D831F6E" w14:textId="72233C85" w:rsidR="003F29DA" w:rsidRPr="005D7A42" w:rsidRDefault="003F29DA" w:rsidP="00C24C8D">
      <w:pPr>
        <w:pStyle w:val="Heading2"/>
        <w:spacing w:line="360" w:lineRule="auto"/>
        <w:jc w:val="both"/>
        <w:rPr>
          <w:rFonts w:ascii="Arial" w:hAnsi="Arial" w:cs="Arial"/>
          <w:b/>
          <w:bCs/>
          <w:sz w:val="28"/>
          <w:szCs w:val="28"/>
        </w:rPr>
      </w:pPr>
      <w:bookmarkStart w:id="44" w:name="_Toc220878895"/>
      <w:r w:rsidRPr="005D7A42">
        <w:rPr>
          <w:rFonts w:ascii="Arial" w:hAnsi="Arial" w:cs="Arial"/>
          <w:b/>
          <w:bCs/>
          <w:sz w:val="28"/>
          <w:szCs w:val="28"/>
        </w:rPr>
        <w:t>2.7</w:t>
      </w:r>
      <w:r w:rsidR="005D7A42" w:rsidRPr="005D7A42">
        <w:rPr>
          <w:rFonts w:ascii="Arial" w:hAnsi="Arial" w:cs="Arial"/>
          <w:b/>
          <w:bCs/>
          <w:sz w:val="28"/>
          <w:szCs w:val="28"/>
        </w:rPr>
        <w:t xml:space="preserve"> </w:t>
      </w:r>
      <w:r w:rsidRPr="005D7A42">
        <w:rPr>
          <w:rFonts w:ascii="Arial" w:hAnsi="Arial" w:cs="Arial"/>
          <w:b/>
          <w:bCs/>
          <w:sz w:val="28"/>
          <w:szCs w:val="28"/>
        </w:rPr>
        <w:t>Gaps in the Literature</w:t>
      </w:r>
      <w:bookmarkEnd w:id="44"/>
    </w:p>
    <w:p w14:paraId="2A3962CB" w14:textId="03B541AA" w:rsidR="003F29DA" w:rsidRPr="005D7A42" w:rsidRDefault="003F29DA" w:rsidP="00C24C8D">
      <w:pPr>
        <w:pStyle w:val="Heading3"/>
        <w:spacing w:line="360" w:lineRule="auto"/>
        <w:jc w:val="both"/>
        <w:rPr>
          <w:rFonts w:ascii="Arial" w:hAnsi="Arial" w:cs="Arial"/>
          <w:b/>
          <w:bCs/>
          <w:sz w:val="24"/>
          <w:szCs w:val="24"/>
        </w:rPr>
      </w:pPr>
      <w:bookmarkStart w:id="45" w:name="_Toc220878896"/>
      <w:r w:rsidRPr="005D7A42">
        <w:rPr>
          <w:rFonts w:ascii="Arial" w:hAnsi="Arial" w:cs="Arial"/>
          <w:b/>
          <w:bCs/>
          <w:sz w:val="24"/>
          <w:szCs w:val="24"/>
        </w:rPr>
        <w:t>2.7.1</w:t>
      </w:r>
      <w:r w:rsidR="005D7A42" w:rsidRPr="005D7A42">
        <w:rPr>
          <w:rFonts w:ascii="Arial" w:hAnsi="Arial" w:cs="Arial"/>
          <w:b/>
          <w:bCs/>
          <w:sz w:val="24"/>
          <w:szCs w:val="24"/>
        </w:rPr>
        <w:t xml:space="preserve"> </w:t>
      </w:r>
      <w:r w:rsidRPr="005D7A42">
        <w:rPr>
          <w:rFonts w:ascii="Arial" w:hAnsi="Arial" w:cs="Arial"/>
          <w:b/>
          <w:bCs/>
          <w:sz w:val="24"/>
          <w:szCs w:val="24"/>
        </w:rPr>
        <w:t>Lack of Urban-Specific Evidence</w:t>
      </w:r>
      <w:bookmarkEnd w:id="45"/>
    </w:p>
    <w:p w14:paraId="05C6CE98" w14:textId="06017CF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There are still </w:t>
      </w:r>
      <w:r w:rsidR="002D689D" w:rsidRPr="003F29DA">
        <w:rPr>
          <w:rFonts w:ascii="Arial" w:hAnsi="Arial" w:cs="Arial"/>
          <w:sz w:val="22"/>
          <w:szCs w:val="22"/>
        </w:rPr>
        <w:t>a few</w:t>
      </w:r>
      <w:r w:rsidRPr="003F29DA">
        <w:rPr>
          <w:rFonts w:ascii="Arial" w:hAnsi="Arial" w:cs="Arial"/>
          <w:sz w:val="22"/>
          <w:szCs w:val="22"/>
        </w:rPr>
        <w:t xml:space="preserve"> gaps in our understanding of fall prevention, especially when it comes to community-based </w:t>
      </w:r>
      <w:r w:rsidR="00BA1983" w:rsidRPr="00BA1983">
        <w:rPr>
          <w:rFonts w:ascii="Arial" w:hAnsi="Arial" w:cs="Arial"/>
          <w:sz w:val="22"/>
          <w:szCs w:val="22"/>
        </w:rPr>
        <w:t>physiotherapy</w:t>
      </w:r>
      <w:r w:rsidR="00BA1983">
        <w:rPr>
          <w:rFonts w:ascii="Arial" w:hAnsi="Arial" w:cs="Arial"/>
          <w:sz w:val="22"/>
          <w:szCs w:val="22"/>
        </w:rPr>
        <w:t xml:space="preserve"> </w:t>
      </w:r>
      <w:r w:rsidRPr="003F29DA">
        <w:rPr>
          <w:rFonts w:ascii="Arial" w:hAnsi="Arial" w:cs="Arial"/>
          <w:sz w:val="22"/>
          <w:szCs w:val="22"/>
        </w:rPr>
        <w:t xml:space="preserve">in metropolitan England. First, a large portion of the current literature does not distinguish between rural, suburban, and urban contexts when examining fall prevention in general community-dwelling populations. This restricts the findings' relevance to metropolitan England due to the distinct environmental, socioeconomic, and demographic features of urban locations (Grant et al., 2020; Marmot et al., 2020). The effects of urban environmental risks, </w:t>
      </w:r>
      <w:r w:rsidRPr="003F29DA">
        <w:rPr>
          <w:rFonts w:ascii="Arial" w:hAnsi="Arial" w:cs="Arial"/>
          <w:sz w:val="22"/>
          <w:szCs w:val="22"/>
        </w:rPr>
        <w:lastRenderedPageBreak/>
        <w:t>cultural diversity, socioeconomic inequality, and population density on involvement in physiotherapy-based therapies are not well studied (Marmot et al., 2020; NICE, 2025).</w:t>
      </w:r>
    </w:p>
    <w:p w14:paraId="3CDE8821" w14:textId="590CA16A" w:rsidR="003F29DA" w:rsidRPr="005D7A42" w:rsidRDefault="003F29DA" w:rsidP="00C24C8D">
      <w:pPr>
        <w:pStyle w:val="Heading3"/>
        <w:spacing w:line="360" w:lineRule="auto"/>
        <w:jc w:val="both"/>
        <w:rPr>
          <w:rFonts w:ascii="Arial" w:hAnsi="Arial" w:cs="Arial"/>
          <w:b/>
          <w:bCs/>
          <w:sz w:val="24"/>
          <w:szCs w:val="24"/>
        </w:rPr>
      </w:pPr>
      <w:bookmarkStart w:id="46" w:name="_Toc220878897"/>
      <w:r w:rsidRPr="005D7A42">
        <w:rPr>
          <w:rFonts w:ascii="Arial" w:hAnsi="Arial" w:cs="Arial"/>
          <w:b/>
          <w:bCs/>
          <w:sz w:val="24"/>
          <w:szCs w:val="24"/>
        </w:rPr>
        <w:t>2.7.2</w:t>
      </w:r>
      <w:r w:rsidR="005D7A42" w:rsidRPr="005D7A42">
        <w:rPr>
          <w:rFonts w:ascii="Arial" w:hAnsi="Arial" w:cs="Arial"/>
          <w:b/>
          <w:bCs/>
          <w:sz w:val="24"/>
          <w:szCs w:val="24"/>
        </w:rPr>
        <w:t xml:space="preserve"> </w:t>
      </w:r>
      <w:r w:rsidRPr="005D7A42">
        <w:rPr>
          <w:rFonts w:ascii="Arial" w:hAnsi="Arial" w:cs="Arial"/>
          <w:b/>
          <w:bCs/>
          <w:sz w:val="24"/>
          <w:szCs w:val="24"/>
        </w:rPr>
        <w:t>Lack of Long-Term Follow-Up</w:t>
      </w:r>
      <w:bookmarkEnd w:id="46"/>
    </w:p>
    <w:p w14:paraId="20EEE8D0" w14:textId="6E72A5C9"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little data on the long-term viability of community-based fall prevention initiatives after their initial stages of implementation is another gap. Numerous studies assess short-term results, frequently within six to twelve months, but they don't offer much information on whether gains in confidence, strength, and balance are sustained over several years (Sherrington et al., 2019). This is particularly crucial for public health planning, since effective interventions require continual participation, secure financing and continuous adaptation to community requirements (NHS England, 2019). The role of digital technology, such as remote monitoring devices, tele-physiotherapy, and home-based workout applications, is another understudied topic. Despite increased interest in these technologies, particularly in the wake of interruptions to in-person care, there is still a dearth of robust longitudinal data about their efficacy among older people (Montero-Odasso et al., 2022). </w:t>
      </w:r>
      <w:r w:rsidR="005D7A42" w:rsidRPr="003F29DA">
        <w:rPr>
          <w:rFonts w:ascii="Arial" w:hAnsi="Arial" w:cs="Arial"/>
          <w:sz w:val="22"/>
          <w:szCs w:val="22"/>
        </w:rPr>
        <w:t>To</w:t>
      </w:r>
      <w:r w:rsidRPr="003F29DA">
        <w:rPr>
          <w:rFonts w:ascii="Arial" w:hAnsi="Arial" w:cs="Arial"/>
          <w:sz w:val="22"/>
          <w:szCs w:val="22"/>
        </w:rPr>
        <w:t xml:space="preserve"> maintain fall prevention techniques' responsiveness, accessibility, and adaptability in quickly changing social and health contexts, it is imperative that these deficiencies be filled (NICE, 2025).</w:t>
      </w:r>
    </w:p>
    <w:p w14:paraId="5341ED4D" w14:textId="685351BE" w:rsidR="003F29DA" w:rsidRPr="005D7A42" w:rsidRDefault="003F29DA" w:rsidP="00C24C8D">
      <w:pPr>
        <w:pStyle w:val="Heading3"/>
        <w:spacing w:line="360" w:lineRule="auto"/>
        <w:jc w:val="both"/>
        <w:rPr>
          <w:rFonts w:ascii="Arial" w:hAnsi="Arial" w:cs="Arial"/>
          <w:b/>
          <w:bCs/>
          <w:sz w:val="24"/>
          <w:szCs w:val="24"/>
        </w:rPr>
      </w:pPr>
      <w:bookmarkStart w:id="47" w:name="_Toc220878898"/>
      <w:r w:rsidRPr="005D7A42">
        <w:rPr>
          <w:rFonts w:ascii="Arial" w:hAnsi="Arial" w:cs="Arial"/>
          <w:b/>
          <w:bCs/>
          <w:sz w:val="24"/>
          <w:szCs w:val="24"/>
        </w:rPr>
        <w:t>2.7.3</w:t>
      </w:r>
      <w:r w:rsidR="005D7A42" w:rsidRPr="005D7A42">
        <w:rPr>
          <w:rFonts w:ascii="Arial" w:hAnsi="Arial" w:cs="Arial"/>
          <w:b/>
          <w:bCs/>
          <w:sz w:val="24"/>
          <w:szCs w:val="24"/>
        </w:rPr>
        <w:t xml:space="preserve"> </w:t>
      </w:r>
      <w:r w:rsidRPr="005D7A42">
        <w:rPr>
          <w:rFonts w:ascii="Arial" w:hAnsi="Arial" w:cs="Arial"/>
          <w:b/>
          <w:bCs/>
          <w:sz w:val="24"/>
          <w:szCs w:val="24"/>
        </w:rPr>
        <w:t>Methodological Variability</w:t>
      </w:r>
      <w:bookmarkEnd w:id="47"/>
    </w:p>
    <w:p w14:paraId="727E2650" w14:textId="5472682D"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Second, there are difficulties due to methodological differences between </w:t>
      </w:r>
      <w:r w:rsidR="002D689D" w:rsidRPr="003F29DA">
        <w:rPr>
          <w:rFonts w:ascii="Arial" w:hAnsi="Arial" w:cs="Arial"/>
          <w:sz w:val="22"/>
          <w:szCs w:val="22"/>
        </w:rPr>
        <w:t>researches</w:t>
      </w:r>
      <w:r w:rsidRPr="003F29DA">
        <w:rPr>
          <w:rFonts w:ascii="Arial" w:hAnsi="Arial" w:cs="Arial"/>
          <w:sz w:val="22"/>
          <w:szCs w:val="22"/>
        </w:rPr>
        <w:t xml:space="preserve">. Interventions varied greatly in duration, intensity, content, supervision level, group size, and outcome measures. This variation restricts the generalizability of findings and complicates comparisons (Smith and Turner, 2021; Sherrington et al., 2019). Understanding long-term adherence and sustained impact is limited since </w:t>
      </w:r>
      <w:r w:rsidR="002D689D" w:rsidRPr="003F29DA">
        <w:rPr>
          <w:rFonts w:ascii="Arial" w:hAnsi="Arial" w:cs="Arial"/>
          <w:sz w:val="22"/>
          <w:szCs w:val="22"/>
        </w:rPr>
        <w:t>much</w:t>
      </w:r>
      <w:r w:rsidRPr="003F29DA">
        <w:rPr>
          <w:rFonts w:ascii="Arial" w:hAnsi="Arial" w:cs="Arial"/>
          <w:sz w:val="22"/>
          <w:szCs w:val="22"/>
        </w:rPr>
        <w:t xml:space="preserve"> research rely on short follow-up periods, sometimes six months or less. There is a need for longitudinal study evaluating whether benefits in balance, strength, and fall reduction remain beyond the intervention period (Sherrington et al., 2019; Sherrington et al., 2020).</w:t>
      </w:r>
    </w:p>
    <w:p w14:paraId="09BBC27D" w14:textId="0C68175A" w:rsidR="003F29DA" w:rsidRPr="005D7A42" w:rsidRDefault="003F29DA" w:rsidP="00C24C8D">
      <w:pPr>
        <w:pStyle w:val="Heading3"/>
        <w:spacing w:line="360" w:lineRule="auto"/>
        <w:jc w:val="both"/>
        <w:rPr>
          <w:rFonts w:ascii="Arial" w:hAnsi="Arial" w:cs="Arial"/>
          <w:b/>
          <w:bCs/>
          <w:sz w:val="24"/>
          <w:szCs w:val="24"/>
        </w:rPr>
      </w:pPr>
      <w:bookmarkStart w:id="48" w:name="_Toc220878899"/>
      <w:r w:rsidRPr="005D7A42">
        <w:rPr>
          <w:rFonts w:ascii="Arial" w:hAnsi="Arial" w:cs="Arial"/>
          <w:b/>
          <w:bCs/>
          <w:sz w:val="24"/>
          <w:szCs w:val="24"/>
        </w:rPr>
        <w:t>2.7.4</w:t>
      </w:r>
      <w:r w:rsidR="005D7A42" w:rsidRPr="005D7A42">
        <w:rPr>
          <w:rFonts w:ascii="Arial" w:hAnsi="Arial" w:cs="Arial"/>
          <w:b/>
          <w:bCs/>
          <w:sz w:val="24"/>
          <w:szCs w:val="24"/>
        </w:rPr>
        <w:t xml:space="preserve"> </w:t>
      </w:r>
      <w:r w:rsidRPr="005D7A42">
        <w:rPr>
          <w:rFonts w:ascii="Arial" w:hAnsi="Arial" w:cs="Arial"/>
          <w:b/>
          <w:bCs/>
          <w:sz w:val="24"/>
          <w:szCs w:val="24"/>
        </w:rPr>
        <w:t>Lack of Qualitative/Psychosocial Evidence</w:t>
      </w:r>
      <w:bookmarkEnd w:id="48"/>
    </w:p>
    <w:p w14:paraId="20C11C12" w14:textId="5268837E"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Third, many studies focus solely on clinical results without sufficiently considering participants lived experiences, cultural influences, psychological obstacles, or views of intervention relevance. Qualitative study investigating motives, challenges, and preferences across different urban groups is sparse. Such insights are vital for devising culturally relevant and person-centred treatments (Montero-Odasso et al., 2022; Marmot et al., 2020).</w:t>
      </w:r>
    </w:p>
    <w:p w14:paraId="67A13A47" w14:textId="5D1AADBC" w:rsidR="003F29DA" w:rsidRPr="005D7A42" w:rsidRDefault="003F29DA" w:rsidP="00C24C8D">
      <w:pPr>
        <w:pStyle w:val="Heading3"/>
        <w:spacing w:line="360" w:lineRule="auto"/>
        <w:jc w:val="both"/>
        <w:rPr>
          <w:rFonts w:ascii="Arial" w:hAnsi="Arial" w:cs="Arial"/>
          <w:b/>
          <w:bCs/>
          <w:sz w:val="24"/>
          <w:szCs w:val="24"/>
        </w:rPr>
      </w:pPr>
      <w:bookmarkStart w:id="49" w:name="_Toc220878900"/>
      <w:r w:rsidRPr="005D7A42">
        <w:rPr>
          <w:rFonts w:ascii="Arial" w:hAnsi="Arial" w:cs="Arial"/>
          <w:b/>
          <w:bCs/>
          <w:sz w:val="24"/>
          <w:szCs w:val="24"/>
        </w:rPr>
        <w:lastRenderedPageBreak/>
        <w:t>2.7.5</w:t>
      </w:r>
      <w:r w:rsidR="005D7A42" w:rsidRPr="005D7A42">
        <w:rPr>
          <w:rFonts w:ascii="Arial" w:hAnsi="Arial" w:cs="Arial"/>
          <w:b/>
          <w:bCs/>
          <w:sz w:val="24"/>
          <w:szCs w:val="24"/>
        </w:rPr>
        <w:t xml:space="preserve"> </w:t>
      </w:r>
      <w:r w:rsidRPr="005D7A42">
        <w:rPr>
          <w:rFonts w:ascii="Arial" w:hAnsi="Arial" w:cs="Arial"/>
          <w:b/>
          <w:bCs/>
          <w:sz w:val="24"/>
          <w:szCs w:val="24"/>
        </w:rPr>
        <w:t>Cost-Effectiveness Gaps</w:t>
      </w:r>
      <w:bookmarkEnd w:id="49"/>
    </w:p>
    <w:p w14:paraId="1FF96E19" w14:textId="0E8952D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Fourth, not enough research has been done on cost-effectiveness. The long-term financial viability of community-based physiotherapy is not well-documented in the UK urban environment, despite some research showing that programs like the Otago Exercise Program can be cost-effective (Jones et al., 2023; Shubert et al., 2017). Economic assessments are crucial for guiding commissioning choices and guaranteeing fair care delivery given the limited resources available to the NHS (NICE, 2015; NHS England, 2019).</w:t>
      </w:r>
    </w:p>
    <w:p w14:paraId="33DE6A14" w14:textId="25FB9EE7" w:rsidR="003F29DA" w:rsidRPr="005D7A42" w:rsidRDefault="003F29DA" w:rsidP="00C24C8D">
      <w:pPr>
        <w:pStyle w:val="Heading3"/>
        <w:spacing w:line="360" w:lineRule="auto"/>
        <w:jc w:val="both"/>
        <w:rPr>
          <w:rFonts w:ascii="Arial" w:hAnsi="Arial" w:cs="Arial"/>
          <w:b/>
          <w:bCs/>
          <w:sz w:val="24"/>
          <w:szCs w:val="24"/>
        </w:rPr>
      </w:pPr>
      <w:bookmarkStart w:id="50" w:name="_Toc220878901"/>
      <w:r w:rsidRPr="005D7A42">
        <w:rPr>
          <w:rFonts w:ascii="Arial" w:hAnsi="Arial" w:cs="Arial"/>
          <w:b/>
          <w:bCs/>
          <w:sz w:val="24"/>
          <w:szCs w:val="24"/>
        </w:rPr>
        <w:t>2.7.6 Inconsistent Application of Theory</w:t>
      </w:r>
      <w:bookmarkEnd w:id="50"/>
    </w:p>
    <w:p w14:paraId="4E170A8A" w14:textId="5E02ED8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Fifth, there is scant research evaluating how theoretical frameworks such as HBM or SEM have been directly applied to fall-prevention programme design and assessment. Although behavioural and environmental factors are acknowledged in most investigations, theoretical components are not consistently included into intervention planning. This hampers comprehension of the processes driving successful therapies (McLeroy et al., 1988; Montero-Odasso et al., 2022).</w:t>
      </w:r>
      <w:r w:rsidR="008C0C7F">
        <w:rPr>
          <w:rFonts w:ascii="Arial" w:hAnsi="Arial" w:cs="Arial"/>
          <w:sz w:val="22"/>
          <w:szCs w:val="22"/>
        </w:rPr>
        <w:t xml:space="preserve"> </w:t>
      </w:r>
      <w:r w:rsidR="008C0C7F" w:rsidRPr="008C0C7F">
        <w:rPr>
          <w:rFonts w:ascii="Arial" w:hAnsi="Arial" w:cs="Arial"/>
          <w:sz w:val="22"/>
          <w:szCs w:val="22"/>
        </w:rPr>
        <w:t>According to implementation science research, theory-informed intervention design enhances the sustainability, scalability, and fidelity of complex health interventions in practical contexts (Craig et al., 2018; Moore et al., 2019).</w:t>
      </w:r>
    </w:p>
    <w:p w14:paraId="3B10AE0A" w14:textId="44136A14"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Collectively, these deficiencies underscore the need for a focused systematic evaluation investigating the efficacy, accessibility, and contextual relevance of community-based physiotherapy initiatives in metropolitan England.</w:t>
      </w:r>
    </w:p>
    <w:p w14:paraId="13F45CCE" w14:textId="798AF80C" w:rsidR="003F29DA" w:rsidRPr="004673E9" w:rsidRDefault="003F29DA" w:rsidP="00C24C8D">
      <w:pPr>
        <w:pStyle w:val="Heading2"/>
        <w:spacing w:line="360" w:lineRule="auto"/>
        <w:jc w:val="both"/>
        <w:rPr>
          <w:rFonts w:ascii="Arial" w:hAnsi="Arial" w:cs="Arial"/>
          <w:b/>
          <w:bCs/>
          <w:sz w:val="28"/>
          <w:szCs w:val="28"/>
        </w:rPr>
      </w:pPr>
      <w:bookmarkStart w:id="51" w:name="_Toc220878902"/>
      <w:r w:rsidRPr="004673E9">
        <w:rPr>
          <w:rFonts w:ascii="Arial" w:hAnsi="Arial" w:cs="Arial"/>
          <w:b/>
          <w:bCs/>
          <w:sz w:val="28"/>
          <w:szCs w:val="28"/>
        </w:rPr>
        <w:t>2.8</w:t>
      </w:r>
      <w:r w:rsidR="004673E9" w:rsidRPr="004673E9">
        <w:rPr>
          <w:rFonts w:ascii="Arial" w:hAnsi="Arial" w:cs="Arial"/>
          <w:b/>
          <w:bCs/>
          <w:sz w:val="28"/>
          <w:szCs w:val="28"/>
        </w:rPr>
        <w:t xml:space="preserve"> </w:t>
      </w:r>
      <w:r w:rsidRPr="004673E9">
        <w:rPr>
          <w:rFonts w:ascii="Arial" w:hAnsi="Arial" w:cs="Arial"/>
          <w:b/>
          <w:bCs/>
          <w:sz w:val="28"/>
          <w:szCs w:val="28"/>
        </w:rPr>
        <w:t>Summary</w:t>
      </w:r>
      <w:bookmarkEnd w:id="51"/>
    </w:p>
    <w:p w14:paraId="275E6060" w14:textId="171F129E"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research on falls among older </w:t>
      </w:r>
      <w:r w:rsidR="00330FA7">
        <w:rPr>
          <w:rFonts w:ascii="Arial" w:hAnsi="Arial" w:cs="Arial"/>
          <w:sz w:val="22"/>
          <w:szCs w:val="22"/>
        </w:rPr>
        <w:t>adult</w:t>
      </w:r>
      <w:r w:rsidRPr="003F29DA">
        <w:rPr>
          <w:rFonts w:ascii="Arial" w:hAnsi="Arial" w:cs="Arial"/>
          <w:sz w:val="22"/>
          <w:szCs w:val="22"/>
        </w:rPr>
        <w:t xml:space="preserve">s and the function of community-based </w:t>
      </w:r>
      <w:r w:rsidR="00BA1983" w:rsidRPr="00BA1983">
        <w:rPr>
          <w:rFonts w:ascii="Arial" w:hAnsi="Arial" w:cs="Arial"/>
          <w:sz w:val="22"/>
          <w:szCs w:val="22"/>
        </w:rPr>
        <w:t>physiotherapy</w:t>
      </w:r>
      <w:r w:rsidR="00BA1983">
        <w:rPr>
          <w:rFonts w:ascii="Arial" w:hAnsi="Arial" w:cs="Arial"/>
          <w:sz w:val="22"/>
          <w:szCs w:val="22"/>
        </w:rPr>
        <w:t xml:space="preserve"> </w:t>
      </w:r>
      <w:r w:rsidRPr="003F29DA">
        <w:rPr>
          <w:rFonts w:ascii="Arial" w:hAnsi="Arial" w:cs="Arial"/>
          <w:sz w:val="22"/>
          <w:szCs w:val="22"/>
        </w:rPr>
        <w:t>in preventing falls has been thoroughly reviewed in this chapter, with particular focus on the urban environment in England. Falls are a serious public health concern, linked with high morbidity, death, and economic impact (WHO, 2021; NICE, 2025). Epidemiological research underlines the particularly high prevalence of falls among older people living in metropolitan environments, where environmental risks, socioeconomic disadvantage, and cultural variety meet to enhance risk (Marmot et al., 2020; NICE, 2025).</w:t>
      </w:r>
      <w:r w:rsidR="00BA1983" w:rsidRPr="00BA1983">
        <w:t xml:space="preserve"> </w:t>
      </w:r>
      <w:r w:rsidR="00BA1983" w:rsidRPr="00BA1983">
        <w:rPr>
          <w:rFonts w:ascii="Arial" w:hAnsi="Arial" w:cs="Arial"/>
          <w:sz w:val="22"/>
          <w:szCs w:val="22"/>
        </w:rPr>
        <w:t>physiotherapy interventions</w:t>
      </w:r>
      <w:r w:rsidRPr="003F29DA">
        <w:rPr>
          <w:rFonts w:ascii="Arial" w:hAnsi="Arial" w:cs="Arial"/>
          <w:sz w:val="22"/>
          <w:szCs w:val="22"/>
        </w:rPr>
        <w:t xml:space="preserve">, especially when given within community settings, have shown great potential to prevent falls, improve physical function, and increase quality of life (Sherrington et al., 2019; Sherrington et al., 2020). Intrinsic, extrinsic, </w:t>
      </w:r>
      <w:r w:rsidR="002D689D" w:rsidRPr="003F29DA">
        <w:rPr>
          <w:rFonts w:ascii="Arial" w:hAnsi="Arial" w:cs="Arial"/>
          <w:sz w:val="22"/>
          <w:szCs w:val="22"/>
        </w:rPr>
        <w:t>behavioural</w:t>
      </w:r>
      <w:r w:rsidRPr="003F29DA">
        <w:rPr>
          <w:rFonts w:ascii="Arial" w:hAnsi="Arial" w:cs="Arial"/>
          <w:sz w:val="22"/>
          <w:szCs w:val="22"/>
        </w:rPr>
        <w:t xml:space="preserve">, and social factors all affect how effective these </w:t>
      </w:r>
      <w:r w:rsidRPr="003F29DA">
        <w:rPr>
          <w:rFonts w:ascii="Arial" w:hAnsi="Arial" w:cs="Arial"/>
          <w:sz w:val="22"/>
          <w:szCs w:val="22"/>
        </w:rPr>
        <w:lastRenderedPageBreak/>
        <w:t>programs are, requiring interdisciplinary and holistic approaches (Montero- Odasso et al., 2022; NICE, 2025).</w:t>
      </w:r>
    </w:p>
    <w:p w14:paraId="209A90D1" w14:textId="37D9520A" w:rsidR="00BF529C"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Theoretical frameworks as the Health Belief Model and the Social Ecological Model offer helpful insights for understanding the complex interaction of individual beliefs, contextual factors, and organizational structures impacting participation with physiotherapy interventions (Rosenstock, 1974; McLeroy et al., 1988). Despite strong data supporting physiotherapy-based fall prevention, many gaps exist, notably regarding long-term effectiveness, cost-efficiency, cultural relevance, and specific application to urban England. The systematic review conducted in this dissertation, which attempts to synthesize the available data and offer insights to guide practice and policy targeted at lowering falls among older </w:t>
      </w:r>
      <w:r w:rsidR="00330FA7">
        <w:rPr>
          <w:rFonts w:ascii="Arial" w:hAnsi="Arial" w:cs="Arial"/>
          <w:sz w:val="22"/>
          <w:szCs w:val="22"/>
        </w:rPr>
        <w:t>adult</w:t>
      </w:r>
      <w:r w:rsidRPr="003F29DA">
        <w:rPr>
          <w:rFonts w:ascii="Arial" w:hAnsi="Arial" w:cs="Arial"/>
          <w:sz w:val="22"/>
          <w:szCs w:val="22"/>
        </w:rPr>
        <w:t>s living in urban settings, is justified by these gaps.</w:t>
      </w:r>
    </w:p>
    <w:p w14:paraId="16D7B9D8" w14:textId="39FF4DCA" w:rsidR="007B6AB4" w:rsidRPr="00BF529C" w:rsidRDefault="007B6AB4" w:rsidP="00C24C8D">
      <w:pPr>
        <w:pStyle w:val="Heading2"/>
        <w:spacing w:line="360" w:lineRule="auto"/>
        <w:jc w:val="both"/>
        <w:rPr>
          <w:rFonts w:ascii="Arial" w:hAnsi="Arial" w:cs="Arial"/>
          <w:b/>
          <w:bCs/>
          <w:sz w:val="28"/>
          <w:szCs w:val="28"/>
        </w:rPr>
      </w:pPr>
      <w:bookmarkStart w:id="52" w:name="_Toc220878903"/>
      <w:r w:rsidRPr="00BF529C">
        <w:rPr>
          <w:rFonts w:ascii="Arial" w:hAnsi="Arial" w:cs="Arial"/>
          <w:b/>
          <w:bCs/>
          <w:sz w:val="28"/>
          <w:szCs w:val="28"/>
        </w:rPr>
        <w:t>2.9 Synthesis of Literature and Conceptual Framework</w:t>
      </w:r>
      <w:bookmarkEnd w:id="52"/>
    </w:p>
    <w:p w14:paraId="23E0B60F" w14:textId="0349C119" w:rsidR="007B6AB4" w:rsidRPr="003F29DA" w:rsidRDefault="007B6AB4" w:rsidP="00C24C8D">
      <w:pPr>
        <w:spacing w:line="360" w:lineRule="auto"/>
        <w:jc w:val="both"/>
        <w:rPr>
          <w:rFonts w:ascii="Arial" w:hAnsi="Arial" w:cs="Arial"/>
          <w:sz w:val="22"/>
          <w:szCs w:val="22"/>
        </w:rPr>
      </w:pPr>
      <w:r w:rsidRPr="007B6AB4">
        <w:rPr>
          <w:rFonts w:ascii="Arial" w:hAnsi="Arial" w:cs="Arial"/>
          <w:sz w:val="22"/>
          <w:szCs w:val="22"/>
        </w:rPr>
        <w:t xml:space="preserve">The evidence consistently shows that falls in older persons are multifaceted, arising from the interplay of </w:t>
      </w:r>
      <w:r w:rsidR="002D689D" w:rsidRPr="007B6AB4">
        <w:rPr>
          <w:rFonts w:ascii="Arial" w:hAnsi="Arial" w:cs="Arial"/>
          <w:sz w:val="22"/>
          <w:szCs w:val="22"/>
        </w:rPr>
        <w:t>behavioural</w:t>
      </w:r>
      <w:r w:rsidRPr="007B6AB4">
        <w:rPr>
          <w:rFonts w:ascii="Arial" w:hAnsi="Arial" w:cs="Arial"/>
          <w:sz w:val="22"/>
          <w:szCs w:val="22"/>
        </w:rPr>
        <w:t xml:space="preserve"> variables, environmental dangers, physiological decline, and decreased balance. Strong evidence from systematic reviews shows that community-based</w:t>
      </w:r>
      <w:r w:rsidR="00BA1983">
        <w:rPr>
          <w:rFonts w:ascii="Arial" w:hAnsi="Arial" w:cs="Arial"/>
          <w:sz w:val="22"/>
          <w:szCs w:val="22"/>
        </w:rPr>
        <w:t xml:space="preserve"> </w:t>
      </w:r>
      <w:r w:rsidR="00BA1983" w:rsidRPr="00BA1983">
        <w:rPr>
          <w:rFonts w:ascii="Arial" w:hAnsi="Arial" w:cs="Arial"/>
          <w:sz w:val="22"/>
          <w:szCs w:val="22"/>
        </w:rPr>
        <w:t>physiotherapy interventions</w:t>
      </w:r>
      <w:r w:rsidRPr="007B6AB4">
        <w:rPr>
          <w:rFonts w:ascii="Arial" w:hAnsi="Arial" w:cs="Arial"/>
          <w:sz w:val="22"/>
          <w:szCs w:val="22"/>
        </w:rPr>
        <w:t xml:space="preserve">, especially those that include strength and balance training, are successful in lowering older </w:t>
      </w:r>
      <w:r w:rsidR="002D689D">
        <w:rPr>
          <w:rFonts w:ascii="Arial" w:hAnsi="Arial" w:cs="Arial"/>
          <w:sz w:val="22"/>
          <w:szCs w:val="22"/>
        </w:rPr>
        <w:t>adult</w:t>
      </w:r>
      <w:r w:rsidR="002D689D" w:rsidRPr="007B6AB4">
        <w:rPr>
          <w:rFonts w:ascii="Arial" w:hAnsi="Arial" w:cs="Arial"/>
          <w:sz w:val="22"/>
          <w:szCs w:val="22"/>
        </w:rPr>
        <w:t>s’</w:t>
      </w:r>
      <w:r w:rsidR="00330FA7">
        <w:rPr>
          <w:rFonts w:ascii="Arial" w:hAnsi="Arial" w:cs="Arial"/>
          <w:sz w:val="22"/>
          <w:szCs w:val="22"/>
        </w:rPr>
        <w:t xml:space="preserve"> </w:t>
      </w:r>
      <w:r w:rsidRPr="007B6AB4">
        <w:rPr>
          <w:rFonts w:ascii="Arial" w:hAnsi="Arial" w:cs="Arial"/>
          <w:sz w:val="22"/>
          <w:szCs w:val="22"/>
        </w:rPr>
        <w:t xml:space="preserve">risk of falling and suffering injuries linked to falls (Sherrington et al., 2019; Gillespie et al., 2021). Socio-ecological and public health models emphasize the significance of environmental alteration, social support, and community participation in maintaining fall-prevention outcomes in addition to scientific causes. Long-term adherence to exercise-based physiotherapy programs in community settings is further explained by </w:t>
      </w:r>
      <w:r w:rsidR="002D689D" w:rsidRPr="007B6AB4">
        <w:rPr>
          <w:rFonts w:ascii="Arial" w:hAnsi="Arial" w:cs="Arial"/>
          <w:sz w:val="22"/>
          <w:szCs w:val="22"/>
        </w:rPr>
        <w:t>behaviour</w:t>
      </w:r>
      <w:r w:rsidRPr="007B6AB4">
        <w:rPr>
          <w:rFonts w:ascii="Arial" w:hAnsi="Arial" w:cs="Arial"/>
          <w:sz w:val="22"/>
          <w:szCs w:val="22"/>
        </w:rPr>
        <w:t xml:space="preserve"> modification theories, such as self-efficacy frameworks (Bandura, 1997; Yardley et al., 2016).</w:t>
      </w:r>
      <w:r w:rsidRPr="007B6AB4">
        <w:t xml:space="preserve"> </w:t>
      </w:r>
      <w:r w:rsidRPr="007B6AB4">
        <w:rPr>
          <w:rFonts w:ascii="Arial" w:hAnsi="Arial" w:cs="Arial"/>
          <w:sz w:val="22"/>
          <w:szCs w:val="22"/>
        </w:rPr>
        <w:t>Together, these viewpoints influence the methodological strategy described in the next chapter as well as the conceptual framework supporting the current investigation.</w:t>
      </w:r>
    </w:p>
    <w:p w14:paraId="59F0B247" w14:textId="77777777" w:rsidR="008C0C7F" w:rsidRDefault="008C0C7F" w:rsidP="00C24C8D">
      <w:pPr>
        <w:spacing w:line="360" w:lineRule="auto"/>
        <w:jc w:val="both"/>
        <w:rPr>
          <w:rFonts w:ascii="Arial" w:hAnsi="Arial" w:cs="Arial"/>
          <w:sz w:val="22"/>
          <w:szCs w:val="22"/>
        </w:rPr>
      </w:pPr>
    </w:p>
    <w:p w14:paraId="1DECD9B1" w14:textId="77777777" w:rsidR="003C75C6" w:rsidRDefault="003C75C6" w:rsidP="00C24C8D">
      <w:pPr>
        <w:spacing w:line="360" w:lineRule="auto"/>
        <w:jc w:val="both"/>
        <w:rPr>
          <w:rFonts w:ascii="Arial" w:hAnsi="Arial" w:cs="Arial"/>
          <w:sz w:val="22"/>
          <w:szCs w:val="22"/>
        </w:rPr>
      </w:pPr>
    </w:p>
    <w:p w14:paraId="1C963798" w14:textId="77777777" w:rsidR="003C75C6" w:rsidRDefault="003C75C6" w:rsidP="00C24C8D">
      <w:pPr>
        <w:spacing w:line="360" w:lineRule="auto"/>
        <w:jc w:val="both"/>
        <w:rPr>
          <w:rFonts w:ascii="Arial" w:hAnsi="Arial" w:cs="Arial"/>
          <w:sz w:val="22"/>
          <w:szCs w:val="22"/>
        </w:rPr>
      </w:pPr>
    </w:p>
    <w:p w14:paraId="2691C43E" w14:textId="77777777" w:rsidR="003C75C6" w:rsidRDefault="003C75C6" w:rsidP="00C24C8D">
      <w:pPr>
        <w:spacing w:line="360" w:lineRule="auto"/>
        <w:jc w:val="both"/>
        <w:rPr>
          <w:rFonts w:ascii="Arial" w:hAnsi="Arial" w:cs="Arial"/>
          <w:sz w:val="22"/>
          <w:szCs w:val="22"/>
        </w:rPr>
      </w:pPr>
    </w:p>
    <w:p w14:paraId="14519C58" w14:textId="77777777" w:rsidR="003C75C6" w:rsidRDefault="003C75C6" w:rsidP="00C24C8D">
      <w:pPr>
        <w:spacing w:line="360" w:lineRule="auto"/>
        <w:jc w:val="both"/>
        <w:rPr>
          <w:rFonts w:ascii="Arial" w:hAnsi="Arial" w:cs="Arial"/>
          <w:sz w:val="22"/>
          <w:szCs w:val="22"/>
        </w:rPr>
      </w:pPr>
    </w:p>
    <w:p w14:paraId="0024A527" w14:textId="77777777" w:rsidR="000D29EE" w:rsidRPr="003F29DA" w:rsidRDefault="000D29EE" w:rsidP="00C24C8D">
      <w:pPr>
        <w:spacing w:line="360" w:lineRule="auto"/>
        <w:jc w:val="both"/>
        <w:rPr>
          <w:rFonts w:ascii="Arial" w:hAnsi="Arial" w:cs="Arial"/>
          <w:sz w:val="22"/>
          <w:szCs w:val="22"/>
        </w:rPr>
      </w:pPr>
    </w:p>
    <w:p w14:paraId="088941E7" w14:textId="77777777" w:rsidR="003F29DA" w:rsidRPr="004673E9" w:rsidRDefault="003F29DA" w:rsidP="00C24C8D">
      <w:pPr>
        <w:pStyle w:val="Heading1"/>
        <w:spacing w:line="360" w:lineRule="auto"/>
        <w:jc w:val="both"/>
        <w:rPr>
          <w:rFonts w:ascii="Arial" w:hAnsi="Arial" w:cs="Arial"/>
          <w:b/>
          <w:bCs/>
          <w:sz w:val="32"/>
          <w:szCs w:val="32"/>
        </w:rPr>
      </w:pPr>
      <w:bookmarkStart w:id="53" w:name="_Toc220878904"/>
      <w:r w:rsidRPr="004673E9">
        <w:rPr>
          <w:rFonts w:ascii="Arial" w:hAnsi="Arial" w:cs="Arial"/>
          <w:b/>
          <w:bCs/>
          <w:sz w:val="32"/>
          <w:szCs w:val="32"/>
        </w:rPr>
        <w:lastRenderedPageBreak/>
        <w:t>Chapter 3: Methodology</w:t>
      </w:r>
      <w:bookmarkEnd w:id="53"/>
    </w:p>
    <w:p w14:paraId="0991E4AD" w14:textId="174918C1" w:rsidR="003F29DA" w:rsidRPr="004673E9" w:rsidRDefault="003F29DA" w:rsidP="00C24C8D">
      <w:pPr>
        <w:pStyle w:val="Heading2"/>
        <w:spacing w:line="360" w:lineRule="auto"/>
        <w:jc w:val="both"/>
        <w:rPr>
          <w:rFonts w:ascii="Arial" w:hAnsi="Arial" w:cs="Arial"/>
          <w:b/>
          <w:bCs/>
          <w:sz w:val="28"/>
          <w:szCs w:val="28"/>
        </w:rPr>
      </w:pPr>
      <w:bookmarkStart w:id="54" w:name="_Toc220878905"/>
      <w:r w:rsidRPr="004673E9">
        <w:rPr>
          <w:rFonts w:ascii="Arial" w:hAnsi="Arial" w:cs="Arial"/>
          <w:b/>
          <w:bCs/>
          <w:sz w:val="28"/>
          <w:szCs w:val="28"/>
        </w:rPr>
        <w:t>3.1 Introduction</w:t>
      </w:r>
      <w:bookmarkEnd w:id="54"/>
    </w:p>
    <w:p w14:paraId="0A429480" w14:textId="2540EFDB"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methodological approach for a comprehensive study of the efficacy of community-based physiotherapy treatments in avoiding falls among older </w:t>
      </w:r>
      <w:r w:rsidR="00330FA7">
        <w:rPr>
          <w:rFonts w:ascii="Arial" w:hAnsi="Arial" w:cs="Arial"/>
          <w:sz w:val="22"/>
          <w:szCs w:val="22"/>
        </w:rPr>
        <w:t>adult</w:t>
      </w:r>
      <w:r w:rsidRPr="003F29DA">
        <w:rPr>
          <w:rFonts w:ascii="Arial" w:hAnsi="Arial" w:cs="Arial"/>
          <w:sz w:val="22"/>
          <w:szCs w:val="22"/>
        </w:rPr>
        <w:t xml:space="preserve">s residing in urban England is described in this chapter (NICE, 2025; Montero-Odasso et al., 2022). The Preferred Reporting Items for Systematic Reviews and Meta-Analyses (PRISMA 2020) standards were followed by the technique, which took an organized, transparent, and repeatable approach (Page et al., 2021; Moher et al., 2009). Systematic reviews represent the highest level of evidence synthesis within evidence-based healthcare due to their ability to consolidate findings across multiple studies, reduce bias through standardized procedures and provide clarity on intervention effectiveness in diverse contexts (Higgins et al., 2020; Li et al., 2022; Aromataris and Munn, 2020). </w:t>
      </w:r>
      <w:r w:rsidR="00416A68" w:rsidRPr="00416A68">
        <w:rPr>
          <w:rFonts w:ascii="Arial" w:hAnsi="Arial" w:cs="Arial"/>
          <w:sz w:val="22"/>
          <w:szCs w:val="22"/>
        </w:rPr>
        <w:t>In rehabilitation research, where contextual variability and intervention heterogeneity frequently restrict the generalizability of individual primary studies, systematic reviews are especially helpful (Tricco et al., 2018; Peters et al., 2020).</w:t>
      </w:r>
      <w:r w:rsidR="00416A68">
        <w:rPr>
          <w:rFonts w:ascii="Arial" w:hAnsi="Arial" w:cs="Arial"/>
          <w:sz w:val="22"/>
          <w:szCs w:val="22"/>
        </w:rPr>
        <w:t xml:space="preserve"> </w:t>
      </w:r>
      <w:r w:rsidRPr="003F29DA">
        <w:rPr>
          <w:rFonts w:ascii="Arial" w:hAnsi="Arial" w:cs="Arial"/>
          <w:sz w:val="22"/>
          <w:szCs w:val="22"/>
        </w:rPr>
        <w:t xml:space="preserve">Given the complex and multifaceted character of falls in older </w:t>
      </w:r>
      <w:r w:rsidR="00330FA7">
        <w:rPr>
          <w:rFonts w:ascii="Arial" w:hAnsi="Arial" w:cs="Arial"/>
          <w:sz w:val="22"/>
          <w:szCs w:val="22"/>
        </w:rPr>
        <w:t>adult</w:t>
      </w:r>
      <w:r w:rsidRPr="003F29DA">
        <w:rPr>
          <w:rFonts w:ascii="Arial" w:hAnsi="Arial" w:cs="Arial"/>
          <w:sz w:val="22"/>
          <w:szCs w:val="22"/>
        </w:rPr>
        <w:t>s, a systematic review is the most appropriate way for extracting significant results that may impact public health practice, physiotherapy service design and future research initiatives (WHO, 2021; NICE, 2025).</w:t>
      </w:r>
    </w:p>
    <w:p w14:paraId="08118513" w14:textId="793F6E54" w:rsidR="00BF529C"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Falls in older people are impacted by physiological, </w:t>
      </w:r>
      <w:r w:rsidR="002D689D" w:rsidRPr="003F29DA">
        <w:rPr>
          <w:rFonts w:ascii="Arial" w:hAnsi="Arial" w:cs="Arial"/>
          <w:sz w:val="22"/>
          <w:szCs w:val="22"/>
        </w:rPr>
        <w:t>behavioural</w:t>
      </w:r>
      <w:r w:rsidRPr="003F29DA">
        <w:rPr>
          <w:rFonts w:ascii="Arial" w:hAnsi="Arial" w:cs="Arial"/>
          <w:sz w:val="22"/>
          <w:szCs w:val="22"/>
        </w:rPr>
        <w:t>, environmental and socioeconomic variables, making research in this field inherently varied (Sherrington et al., 2020; Marmot et al., 2020). As community-based physiotherapy interventions vary in structure, content, delivery format and target audience, a systematic strategy is required to guarantee that evidence is obtained, reviewed and synthesized consistently (Pollock et al., 2022; Montero-Odasso et al., 2022). Recent methodological literature emphasizes the importance of employing comprehensive search strategies, transparent eligibility criteria and robust quality appraisal frameworks to support high-quality systematic reviews in public health and rehabilitation sciences (Pollock et al., 2022; Young and Solomon, 2022; Booth et al., 2021). This chapter consequently gives a full explanation of the study design, paradigm, search processes, screening procedures, data extraction techniques, critical evaluation tools, synthesis methodology and ethical issues supporting this systematic review (Aromataris and Munn, 2020).</w:t>
      </w:r>
    </w:p>
    <w:p w14:paraId="40EF66E8" w14:textId="7E9CC9DD" w:rsidR="003F29DA" w:rsidRPr="004673E9" w:rsidRDefault="003F29DA" w:rsidP="00C24C8D">
      <w:pPr>
        <w:pStyle w:val="Heading2"/>
        <w:spacing w:line="360" w:lineRule="auto"/>
        <w:jc w:val="both"/>
        <w:rPr>
          <w:rFonts w:ascii="Arial" w:hAnsi="Arial" w:cs="Arial"/>
          <w:b/>
          <w:bCs/>
          <w:sz w:val="28"/>
          <w:szCs w:val="28"/>
        </w:rPr>
      </w:pPr>
      <w:bookmarkStart w:id="55" w:name="_Toc220878906"/>
      <w:r w:rsidRPr="004673E9">
        <w:rPr>
          <w:rFonts w:ascii="Arial" w:hAnsi="Arial" w:cs="Arial"/>
          <w:b/>
          <w:bCs/>
          <w:sz w:val="28"/>
          <w:szCs w:val="28"/>
        </w:rPr>
        <w:lastRenderedPageBreak/>
        <w:t>3.2</w:t>
      </w:r>
      <w:r w:rsidR="004673E9" w:rsidRPr="004673E9">
        <w:rPr>
          <w:rFonts w:ascii="Arial" w:hAnsi="Arial" w:cs="Arial"/>
          <w:b/>
          <w:bCs/>
          <w:sz w:val="28"/>
          <w:szCs w:val="28"/>
        </w:rPr>
        <w:t xml:space="preserve"> </w:t>
      </w:r>
      <w:r w:rsidRPr="004673E9">
        <w:rPr>
          <w:rFonts w:ascii="Arial" w:hAnsi="Arial" w:cs="Arial"/>
          <w:b/>
          <w:bCs/>
          <w:sz w:val="28"/>
          <w:szCs w:val="28"/>
        </w:rPr>
        <w:t>Research Design</w:t>
      </w:r>
      <w:bookmarkEnd w:id="55"/>
    </w:p>
    <w:p w14:paraId="5F2B690C" w14:textId="5628FE48"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A systematic review design was used to provide a rigorous and complete synthesis of research evidence on community-based </w:t>
      </w:r>
      <w:r w:rsidR="00BA1983" w:rsidRPr="00BA1983">
        <w:rPr>
          <w:rFonts w:ascii="Arial" w:hAnsi="Arial" w:cs="Arial"/>
          <w:sz w:val="22"/>
          <w:szCs w:val="22"/>
        </w:rPr>
        <w:t xml:space="preserve">physiotherapy interventions </w:t>
      </w:r>
      <w:r w:rsidRPr="003F29DA">
        <w:rPr>
          <w:rFonts w:ascii="Arial" w:hAnsi="Arial" w:cs="Arial"/>
          <w:sz w:val="22"/>
          <w:szCs w:val="22"/>
        </w:rPr>
        <w:t xml:space="preserve">(Higgins et al., 2020; Page et al., 2021). Systematic reviews vary from conventional narrative reviews since they utilize predetermined procedures to discover, </w:t>
      </w:r>
      <w:r w:rsidR="004C31AD" w:rsidRPr="003F29DA">
        <w:rPr>
          <w:rFonts w:ascii="Arial" w:hAnsi="Arial" w:cs="Arial"/>
          <w:sz w:val="22"/>
          <w:szCs w:val="22"/>
        </w:rPr>
        <w:t>analyse</w:t>
      </w:r>
      <w:r w:rsidRPr="003F29DA">
        <w:rPr>
          <w:rFonts w:ascii="Arial" w:hAnsi="Arial" w:cs="Arial"/>
          <w:sz w:val="22"/>
          <w:szCs w:val="22"/>
        </w:rPr>
        <w:t xml:space="preserve"> and synthesize all relevant research on a certain issue, lowering the probability of bias and assuring the replicability of findings (Higgins et al., 2020; Booth et al., 2021).</w:t>
      </w:r>
      <w:r w:rsidR="00416A68">
        <w:rPr>
          <w:rFonts w:ascii="Arial" w:hAnsi="Arial" w:cs="Arial"/>
          <w:sz w:val="22"/>
          <w:szCs w:val="22"/>
        </w:rPr>
        <w:t xml:space="preserve"> </w:t>
      </w:r>
      <w:r w:rsidR="00416A68" w:rsidRPr="00416A68">
        <w:rPr>
          <w:rFonts w:ascii="Arial" w:hAnsi="Arial" w:cs="Arial"/>
          <w:sz w:val="22"/>
          <w:szCs w:val="22"/>
        </w:rPr>
        <w:t>It has been demonstrated that pre-registration of review techniques and adherence to established procedures enhance scientific rigor and lessen selective reporting in systematic reviews (Booth et al., 2012; Stewart et al., 2012).</w:t>
      </w:r>
      <w:r w:rsidRPr="003F29DA">
        <w:rPr>
          <w:rFonts w:ascii="Arial" w:hAnsi="Arial" w:cs="Arial"/>
          <w:sz w:val="22"/>
          <w:szCs w:val="22"/>
        </w:rPr>
        <w:t xml:space="preserve"> This research methodology was particularly suited given the enormous amount of intervention studies published over the previous decade and the rising demand for integrated information to support national fall-prevention policies (NICE, 2025; WHO, 2021).</w:t>
      </w:r>
    </w:p>
    <w:p w14:paraId="094C70E9" w14:textId="6EEA34CE"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Community-based </w:t>
      </w:r>
      <w:r w:rsidR="00BA1983" w:rsidRPr="00BA1983">
        <w:rPr>
          <w:rFonts w:ascii="Arial" w:hAnsi="Arial" w:cs="Arial"/>
          <w:sz w:val="22"/>
          <w:szCs w:val="22"/>
        </w:rPr>
        <w:t>physiotherapy interventions</w:t>
      </w:r>
      <w:r w:rsidR="00BA1983">
        <w:rPr>
          <w:rFonts w:ascii="Arial" w:hAnsi="Arial" w:cs="Arial"/>
          <w:sz w:val="22"/>
          <w:szCs w:val="22"/>
        </w:rPr>
        <w:t xml:space="preserve"> </w:t>
      </w:r>
      <w:r w:rsidRPr="003F29DA">
        <w:rPr>
          <w:rFonts w:ascii="Arial" w:hAnsi="Arial" w:cs="Arial"/>
          <w:sz w:val="22"/>
          <w:szCs w:val="22"/>
        </w:rPr>
        <w:t xml:space="preserve">are given across multiple urban contexts including community </w:t>
      </w:r>
      <w:r w:rsidR="004C31AD" w:rsidRPr="003F29DA">
        <w:rPr>
          <w:rFonts w:ascii="Arial" w:hAnsi="Arial" w:cs="Arial"/>
          <w:sz w:val="22"/>
          <w:szCs w:val="22"/>
        </w:rPr>
        <w:t>centres</w:t>
      </w:r>
      <w:r w:rsidRPr="003F29DA">
        <w:rPr>
          <w:rFonts w:ascii="Arial" w:hAnsi="Arial" w:cs="Arial"/>
          <w:sz w:val="22"/>
          <w:szCs w:val="22"/>
        </w:rPr>
        <w:t>, leisure facilities, primary care networks and participants’ homes (NHS England, 2019; Montero-Odasso et al., 2022). This variety needs a design capable of capturing inter-study variances and detecting patterns of efficacy (Pollock et al., 2022).</w:t>
      </w:r>
      <w:r w:rsidR="00416A68">
        <w:rPr>
          <w:rFonts w:ascii="Arial" w:hAnsi="Arial" w:cs="Arial"/>
          <w:sz w:val="22"/>
          <w:szCs w:val="22"/>
        </w:rPr>
        <w:t xml:space="preserve"> </w:t>
      </w:r>
      <w:r w:rsidR="00416A68" w:rsidRPr="00416A68">
        <w:rPr>
          <w:rFonts w:ascii="Arial" w:hAnsi="Arial" w:cs="Arial"/>
          <w:sz w:val="22"/>
          <w:szCs w:val="22"/>
        </w:rPr>
        <w:t>When statistical pooling is unsuitable because of variability in interventions, outcomes, and populations, narrative and mixed-method synthesis techniques are widely advised (Snilstveit et al., 2012; Campbell et al., 2018).</w:t>
      </w:r>
      <w:r w:rsidRPr="003F29DA">
        <w:rPr>
          <w:rFonts w:ascii="Arial" w:hAnsi="Arial" w:cs="Arial"/>
          <w:sz w:val="22"/>
          <w:szCs w:val="22"/>
        </w:rPr>
        <w:t xml:space="preserve"> Systematic reviews are widely recognised as the most appropriate method for summarising intervention research in physiotherapy and gerontology because they allow the pooling of findings across diverse populations and environments, supporting broader conclusions relevant to policy and practice (Pollock et al., 2022; Li et al., 2022; Aromataris and Munn, 2020). Additionally, because urban fall hazards are socially and ecologically driven, treatments are quite different from those in rural settings, necessitating careful synthesis (Marmot et al., 2020; NICE, 2025).</w:t>
      </w:r>
    </w:p>
    <w:p w14:paraId="5B4EACDC" w14:textId="18587CD3"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This work complies with current standards for evidence-based public health research by using a systematic review approach, which improves transparency and trustworthiness (Page et al., 2021; Higgins et al., 2020). Additionally, the systematic technique made it possible to find gaps in the literature, which advanced fall prevention research (Montero- Odasso et al., 2022; Pollock et al., 2022).</w:t>
      </w:r>
    </w:p>
    <w:p w14:paraId="744A5B18" w14:textId="3110AA10" w:rsidR="003F29DA" w:rsidRDefault="001170EC" w:rsidP="004C31AD">
      <w:pPr>
        <w:spacing w:line="360" w:lineRule="auto"/>
        <w:jc w:val="center"/>
        <w:rPr>
          <w:rFonts w:ascii="Arial" w:hAnsi="Arial" w:cs="Arial"/>
          <w:sz w:val="22"/>
          <w:szCs w:val="22"/>
        </w:rPr>
      </w:pPr>
      <w:r w:rsidRPr="001170EC">
        <w:rPr>
          <w:rFonts w:ascii="Arial" w:hAnsi="Arial" w:cs="Arial"/>
          <w:noProof/>
          <w:sz w:val="22"/>
          <w:szCs w:val="22"/>
        </w:rPr>
        <w:lastRenderedPageBreak/>
        <w:drawing>
          <wp:inline distT="0" distB="0" distL="0" distR="0" wp14:anchorId="6758FAAE" wp14:editId="44C909A8">
            <wp:extent cx="3422073" cy="2932147"/>
            <wp:effectExtent l="0" t="0" r="6985" b="1905"/>
            <wp:docPr id="952707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707716" name=""/>
                    <pic:cNvPicPr/>
                  </pic:nvPicPr>
                  <pic:blipFill>
                    <a:blip r:embed="rId17"/>
                    <a:stretch>
                      <a:fillRect/>
                    </a:stretch>
                  </pic:blipFill>
                  <pic:spPr>
                    <a:xfrm>
                      <a:off x="0" y="0"/>
                      <a:ext cx="3433959" cy="2942331"/>
                    </a:xfrm>
                    <a:prstGeom prst="rect">
                      <a:avLst/>
                    </a:prstGeom>
                  </pic:spPr>
                </pic:pic>
              </a:graphicData>
            </a:graphic>
          </wp:inline>
        </w:drawing>
      </w:r>
    </w:p>
    <w:p w14:paraId="37BDF5E3" w14:textId="23A9F0CD" w:rsidR="00C25D06" w:rsidRPr="004C31AD" w:rsidRDefault="00C25D06" w:rsidP="004C31AD">
      <w:pPr>
        <w:pStyle w:val="Caption"/>
        <w:spacing w:line="360" w:lineRule="auto"/>
        <w:jc w:val="center"/>
        <w:rPr>
          <w:sz w:val="20"/>
          <w:szCs w:val="20"/>
        </w:rPr>
      </w:pPr>
      <w:bookmarkStart w:id="56" w:name="_Toc220878849"/>
      <w:r w:rsidRPr="00C25D06">
        <w:rPr>
          <w:sz w:val="20"/>
          <w:szCs w:val="20"/>
        </w:rPr>
        <w:t xml:space="preserve">Figure </w:t>
      </w:r>
      <w:r w:rsidRPr="00C25D06">
        <w:rPr>
          <w:sz w:val="20"/>
          <w:szCs w:val="20"/>
        </w:rPr>
        <w:fldChar w:fldCharType="begin"/>
      </w:r>
      <w:r w:rsidRPr="00C25D06">
        <w:rPr>
          <w:sz w:val="20"/>
          <w:szCs w:val="20"/>
        </w:rPr>
        <w:instrText xml:space="preserve"> SEQ Figure \* ARABIC </w:instrText>
      </w:r>
      <w:r w:rsidRPr="00C25D06">
        <w:rPr>
          <w:sz w:val="20"/>
          <w:szCs w:val="20"/>
        </w:rPr>
        <w:fldChar w:fldCharType="separate"/>
      </w:r>
      <w:r w:rsidR="00F07385">
        <w:rPr>
          <w:noProof/>
          <w:sz w:val="20"/>
          <w:szCs w:val="20"/>
        </w:rPr>
        <w:t>3</w:t>
      </w:r>
      <w:r w:rsidRPr="00C25D06">
        <w:rPr>
          <w:sz w:val="20"/>
          <w:szCs w:val="20"/>
        </w:rPr>
        <w:fldChar w:fldCharType="end"/>
      </w:r>
      <w:r w:rsidRPr="00C25D06">
        <w:rPr>
          <w:sz w:val="20"/>
          <w:szCs w:val="20"/>
        </w:rPr>
        <w:t>: Systematic review process for community-based Physiotherapy</w:t>
      </w:r>
      <w:bookmarkEnd w:id="56"/>
    </w:p>
    <w:p w14:paraId="73FCFF94" w14:textId="035A09CB" w:rsidR="003F29DA" w:rsidRPr="004673E9" w:rsidRDefault="003F29DA" w:rsidP="00C24C8D">
      <w:pPr>
        <w:pStyle w:val="Heading2"/>
        <w:spacing w:line="360" w:lineRule="auto"/>
        <w:jc w:val="both"/>
        <w:rPr>
          <w:rFonts w:ascii="Arial" w:hAnsi="Arial" w:cs="Arial"/>
          <w:b/>
          <w:bCs/>
          <w:sz w:val="28"/>
          <w:szCs w:val="28"/>
        </w:rPr>
      </w:pPr>
      <w:bookmarkStart w:id="57" w:name="_Toc220878907"/>
      <w:r w:rsidRPr="004673E9">
        <w:rPr>
          <w:rFonts w:ascii="Arial" w:hAnsi="Arial" w:cs="Arial"/>
          <w:b/>
          <w:bCs/>
          <w:sz w:val="28"/>
          <w:szCs w:val="28"/>
        </w:rPr>
        <w:t>3.</w:t>
      </w:r>
      <w:r w:rsidR="004673E9">
        <w:rPr>
          <w:rFonts w:ascii="Arial" w:hAnsi="Arial" w:cs="Arial"/>
          <w:b/>
          <w:bCs/>
          <w:sz w:val="28"/>
          <w:szCs w:val="28"/>
        </w:rPr>
        <w:t>3</w:t>
      </w:r>
      <w:r w:rsidR="004673E9" w:rsidRPr="004673E9">
        <w:rPr>
          <w:rFonts w:ascii="Arial" w:hAnsi="Arial" w:cs="Arial"/>
          <w:b/>
          <w:bCs/>
          <w:sz w:val="28"/>
          <w:szCs w:val="28"/>
        </w:rPr>
        <w:t xml:space="preserve"> </w:t>
      </w:r>
      <w:r w:rsidRPr="004673E9">
        <w:rPr>
          <w:rFonts w:ascii="Arial" w:hAnsi="Arial" w:cs="Arial"/>
          <w:b/>
          <w:bCs/>
          <w:sz w:val="28"/>
          <w:szCs w:val="28"/>
        </w:rPr>
        <w:t>Research Paradigm</w:t>
      </w:r>
      <w:bookmarkEnd w:id="57"/>
    </w:p>
    <w:p w14:paraId="54F8FF13" w14:textId="5841438A"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A positivist research paradigm, which emphasizes objectivity, measurability, and the utilization of empirical facts to draw conclusions, served as the main framework for the</w:t>
      </w:r>
      <w:r w:rsidR="004673E9">
        <w:rPr>
          <w:rFonts w:ascii="Arial" w:hAnsi="Arial" w:cs="Arial"/>
          <w:sz w:val="22"/>
          <w:szCs w:val="22"/>
        </w:rPr>
        <w:t xml:space="preserve"> </w:t>
      </w:r>
      <w:r w:rsidRPr="003F29DA">
        <w:rPr>
          <w:rFonts w:ascii="Arial" w:hAnsi="Arial" w:cs="Arial"/>
          <w:sz w:val="22"/>
          <w:szCs w:val="22"/>
        </w:rPr>
        <w:t xml:space="preserve">review (Willis et al., 2021; Creswell and Creswell, 2018). The quantitative character of </w:t>
      </w:r>
      <w:r w:rsidR="004673E9" w:rsidRPr="003F29DA">
        <w:rPr>
          <w:rFonts w:ascii="Arial" w:hAnsi="Arial" w:cs="Arial"/>
          <w:sz w:val="22"/>
          <w:szCs w:val="22"/>
        </w:rPr>
        <w:t>most of the</w:t>
      </w:r>
      <w:r w:rsidRPr="003F29DA">
        <w:rPr>
          <w:rFonts w:ascii="Arial" w:hAnsi="Arial" w:cs="Arial"/>
          <w:sz w:val="22"/>
          <w:szCs w:val="22"/>
        </w:rPr>
        <w:t xml:space="preserve"> fall-prevention research, which usually use standardized tests to quantify outcomes like fall incidence, balance scores, mobility performance, and strength characteristics, is consistent with positivism (Sherrington et al., 2020; Higgins et al., 2020). These objective outcome measurements allow for direct comparison between investigations and enhance the repeatability of findings, making a positivist viewpoint particularly suited (Willis et al., 2021).</w:t>
      </w:r>
      <w:r w:rsidR="000F5365">
        <w:rPr>
          <w:rFonts w:ascii="Arial" w:hAnsi="Arial" w:cs="Arial"/>
          <w:sz w:val="22"/>
          <w:szCs w:val="22"/>
        </w:rPr>
        <w:t xml:space="preserve"> </w:t>
      </w:r>
      <w:r w:rsidR="000F5365" w:rsidRPr="000F5365">
        <w:rPr>
          <w:rFonts w:ascii="Arial" w:hAnsi="Arial" w:cs="Arial"/>
          <w:sz w:val="22"/>
          <w:szCs w:val="22"/>
        </w:rPr>
        <w:t>Because positivist paradigms facilitate reproducibility and policy translation by emphasizing quantitative outcomes and statistical inference, they are frequently used in clinical effectiveness research (Crotty, 2015; Bryman, 2016).</w:t>
      </w:r>
    </w:p>
    <w:p w14:paraId="6345ED46" w14:textId="7B09F15D"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review did, however, also recognize the importance of interpretivist viewpoints, especially when </w:t>
      </w:r>
      <w:r w:rsidR="004673E9" w:rsidRPr="003F29DA">
        <w:rPr>
          <w:rFonts w:ascii="Arial" w:hAnsi="Arial" w:cs="Arial"/>
          <w:sz w:val="22"/>
          <w:szCs w:val="22"/>
        </w:rPr>
        <w:t>considering</w:t>
      </w:r>
      <w:r w:rsidRPr="003F29DA">
        <w:rPr>
          <w:rFonts w:ascii="Arial" w:hAnsi="Arial" w:cs="Arial"/>
          <w:sz w:val="22"/>
          <w:szCs w:val="22"/>
        </w:rPr>
        <w:t xml:space="preserve"> mixed-methods or qualitative research examining participant experiences, cultural factors, motivation, adherence, and environmental obstacles (Seppälä et al., 2021; Thomas and Harden, 2008). Qualitative insights offer contextual richness that cannot be fully captured by quantitative measures alone, and community- based </w:t>
      </w:r>
      <w:r w:rsidR="00BA1983" w:rsidRPr="00BA1983">
        <w:rPr>
          <w:rFonts w:ascii="Arial" w:hAnsi="Arial" w:cs="Arial"/>
          <w:sz w:val="22"/>
          <w:szCs w:val="22"/>
        </w:rPr>
        <w:t>physiotherapy interventions</w:t>
      </w:r>
      <w:r w:rsidR="00BA1983">
        <w:rPr>
          <w:rFonts w:ascii="Arial" w:hAnsi="Arial" w:cs="Arial"/>
          <w:sz w:val="22"/>
          <w:szCs w:val="22"/>
        </w:rPr>
        <w:t xml:space="preserve"> </w:t>
      </w:r>
      <w:r w:rsidRPr="003F29DA">
        <w:rPr>
          <w:rFonts w:ascii="Arial" w:hAnsi="Arial" w:cs="Arial"/>
          <w:sz w:val="22"/>
          <w:szCs w:val="22"/>
        </w:rPr>
        <w:t>function within larger social and environmental systems (Montero-Odasso et al., 2022; Marmot et al., 2020).</w:t>
      </w:r>
      <w:r w:rsidR="000F5365">
        <w:rPr>
          <w:rFonts w:ascii="Arial" w:hAnsi="Arial" w:cs="Arial"/>
          <w:sz w:val="22"/>
          <w:szCs w:val="22"/>
        </w:rPr>
        <w:t xml:space="preserve"> </w:t>
      </w:r>
      <w:r w:rsidR="000F5365" w:rsidRPr="000F5365">
        <w:rPr>
          <w:rFonts w:ascii="Arial" w:hAnsi="Arial" w:cs="Arial"/>
          <w:sz w:val="22"/>
          <w:szCs w:val="22"/>
        </w:rPr>
        <w:t xml:space="preserve">By shedding light on the mechanisms, contextual obstacles, and participant viewpoints </w:t>
      </w:r>
      <w:r w:rsidR="000F5365" w:rsidRPr="000F5365">
        <w:rPr>
          <w:rFonts w:ascii="Arial" w:hAnsi="Arial" w:cs="Arial"/>
          <w:sz w:val="22"/>
          <w:szCs w:val="22"/>
        </w:rPr>
        <w:lastRenderedPageBreak/>
        <w:t>that underlie observed results, methodological scholars contend that including qualitative evidence improves explanatory depth (O'Cathain, 2019; Noyes et al., 2018).</w:t>
      </w:r>
      <w:r w:rsidRPr="003F29DA">
        <w:rPr>
          <w:rFonts w:ascii="Arial" w:hAnsi="Arial" w:cs="Arial"/>
          <w:sz w:val="22"/>
          <w:szCs w:val="22"/>
        </w:rPr>
        <w:t xml:space="preserve"> For example, research demonstrate that fear of falling, self-efficacy, cultural views and access constraints strongly impact participation and outcomes (Harrison et al., 2021; Tinetti and Powell, 1993).</w:t>
      </w:r>
    </w:p>
    <w:p w14:paraId="5F09CEFD" w14:textId="4773478D" w:rsidR="003F29DA" w:rsidRDefault="003F29DA" w:rsidP="00C24C8D">
      <w:pPr>
        <w:spacing w:line="360" w:lineRule="auto"/>
        <w:jc w:val="both"/>
        <w:rPr>
          <w:rFonts w:ascii="Arial" w:hAnsi="Arial" w:cs="Arial"/>
          <w:sz w:val="22"/>
          <w:szCs w:val="22"/>
        </w:rPr>
      </w:pPr>
      <w:r w:rsidRPr="003F29DA">
        <w:rPr>
          <w:rFonts w:ascii="Arial" w:hAnsi="Arial" w:cs="Arial"/>
          <w:sz w:val="22"/>
          <w:szCs w:val="22"/>
        </w:rPr>
        <w:t>In summary, the methodological position was largely positivist but guided by interpretivist concerns, ensuring both quantitative outcomes and contextual knowledge were reflected in the review (Creswell and Creswell, 2018; Willis et al., 2021).</w:t>
      </w:r>
    </w:p>
    <w:p w14:paraId="5F07DC30" w14:textId="3592E054" w:rsidR="004673E9" w:rsidRPr="008A5418" w:rsidRDefault="004673E9" w:rsidP="00C24C8D">
      <w:pPr>
        <w:pStyle w:val="Heading2"/>
        <w:spacing w:line="360" w:lineRule="auto"/>
        <w:jc w:val="both"/>
        <w:rPr>
          <w:rFonts w:ascii="Arial" w:hAnsi="Arial" w:cs="Arial"/>
          <w:b/>
          <w:bCs/>
          <w:sz w:val="28"/>
          <w:szCs w:val="28"/>
        </w:rPr>
      </w:pPr>
      <w:bookmarkStart w:id="58" w:name="_Toc220878908"/>
      <w:r w:rsidRPr="008A5418">
        <w:rPr>
          <w:rFonts w:ascii="Arial" w:hAnsi="Arial" w:cs="Arial"/>
          <w:b/>
          <w:bCs/>
          <w:sz w:val="28"/>
          <w:szCs w:val="28"/>
        </w:rPr>
        <w:t>3.4 Research Questions and Objectives</w:t>
      </w:r>
      <w:bookmarkEnd w:id="58"/>
    </w:p>
    <w:p w14:paraId="0A5D9048" w14:textId="5609E6FE" w:rsidR="004673E9" w:rsidRPr="004673E9" w:rsidRDefault="004673E9" w:rsidP="00C24C8D">
      <w:pPr>
        <w:spacing w:line="360" w:lineRule="auto"/>
        <w:jc w:val="both"/>
        <w:rPr>
          <w:rFonts w:ascii="Arial" w:hAnsi="Arial" w:cs="Arial"/>
          <w:sz w:val="22"/>
          <w:szCs w:val="22"/>
        </w:rPr>
      </w:pPr>
      <w:r w:rsidRPr="004673E9">
        <w:rPr>
          <w:rFonts w:ascii="Arial" w:hAnsi="Arial" w:cs="Arial"/>
          <w:sz w:val="22"/>
          <w:szCs w:val="22"/>
        </w:rPr>
        <w:t>The systematic review is structured around the following overarching research question:</w:t>
      </w:r>
    </w:p>
    <w:p w14:paraId="4274C1CB" w14:textId="321F7DFF" w:rsidR="004673E9" w:rsidRPr="004673E9" w:rsidRDefault="004C31AD" w:rsidP="00C24C8D">
      <w:pPr>
        <w:spacing w:line="360" w:lineRule="auto"/>
        <w:jc w:val="both"/>
        <w:rPr>
          <w:rFonts w:ascii="Arial" w:hAnsi="Arial" w:cs="Arial"/>
          <w:sz w:val="22"/>
          <w:szCs w:val="22"/>
        </w:rPr>
      </w:pPr>
      <w:r>
        <w:rPr>
          <w:rFonts w:ascii="Arial" w:hAnsi="Arial" w:cs="Arial"/>
          <w:sz w:val="22"/>
          <w:szCs w:val="22"/>
        </w:rPr>
        <w:t>“</w:t>
      </w:r>
      <w:r w:rsidR="004673E9" w:rsidRPr="004673E9">
        <w:rPr>
          <w:rFonts w:ascii="Arial" w:hAnsi="Arial" w:cs="Arial"/>
          <w:sz w:val="22"/>
          <w:szCs w:val="22"/>
        </w:rPr>
        <w:t>What is the effectiveness of community-based physiotherapy interventions in reducing falls among older adults (aged 65 and above) living in metropolitan settings in England?</w:t>
      </w:r>
      <w:r>
        <w:rPr>
          <w:rFonts w:ascii="Arial" w:hAnsi="Arial" w:cs="Arial"/>
          <w:sz w:val="22"/>
          <w:szCs w:val="22"/>
        </w:rPr>
        <w:t>”</w:t>
      </w:r>
    </w:p>
    <w:p w14:paraId="6EB1DF19" w14:textId="77777777" w:rsidR="008A5418" w:rsidRDefault="004673E9" w:rsidP="00C24C8D">
      <w:pPr>
        <w:spacing w:line="360" w:lineRule="auto"/>
        <w:jc w:val="both"/>
        <w:rPr>
          <w:rFonts w:ascii="Arial" w:hAnsi="Arial" w:cs="Arial"/>
          <w:sz w:val="22"/>
          <w:szCs w:val="22"/>
        </w:rPr>
      </w:pPr>
      <w:r w:rsidRPr="004673E9">
        <w:rPr>
          <w:rFonts w:ascii="Arial" w:hAnsi="Arial" w:cs="Arial"/>
          <w:sz w:val="22"/>
          <w:szCs w:val="22"/>
        </w:rPr>
        <w:t>The review specifically addresses four objectives:</w:t>
      </w:r>
    </w:p>
    <w:p w14:paraId="48223502" w14:textId="77777777" w:rsidR="008A5418" w:rsidRDefault="004673E9" w:rsidP="00C24C8D">
      <w:pPr>
        <w:pStyle w:val="ListParagraph"/>
        <w:numPr>
          <w:ilvl w:val="0"/>
          <w:numId w:val="2"/>
        </w:numPr>
        <w:spacing w:line="360" w:lineRule="auto"/>
        <w:jc w:val="both"/>
        <w:rPr>
          <w:rFonts w:ascii="Arial" w:hAnsi="Arial" w:cs="Arial"/>
          <w:sz w:val="22"/>
          <w:szCs w:val="22"/>
        </w:rPr>
      </w:pPr>
      <w:r w:rsidRPr="008A5418">
        <w:rPr>
          <w:rFonts w:ascii="Arial" w:hAnsi="Arial" w:cs="Arial"/>
          <w:sz w:val="22"/>
          <w:szCs w:val="22"/>
        </w:rPr>
        <w:t>To identify and critically appraise existing studies on community-based physiotherapy interventions targeting fall prevention in England.</w:t>
      </w:r>
    </w:p>
    <w:p w14:paraId="6179B401" w14:textId="77777777" w:rsidR="008A5418" w:rsidRDefault="004673E9" w:rsidP="00C24C8D">
      <w:pPr>
        <w:pStyle w:val="ListParagraph"/>
        <w:numPr>
          <w:ilvl w:val="0"/>
          <w:numId w:val="2"/>
        </w:numPr>
        <w:spacing w:line="360" w:lineRule="auto"/>
        <w:jc w:val="both"/>
        <w:rPr>
          <w:rFonts w:ascii="Arial" w:hAnsi="Arial" w:cs="Arial"/>
          <w:sz w:val="22"/>
          <w:szCs w:val="22"/>
        </w:rPr>
      </w:pPr>
      <w:r w:rsidRPr="008A5418">
        <w:rPr>
          <w:rFonts w:ascii="Arial" w:hAnsi="Arial" w:cs="Arial"/>
          <w:sz w:val="22"/>
          <w:szCs w:val="22"/>
        </w:rPr>
        <w:t>To assess the effectiveness of these interventions in reducing fall incidence and improving physical function.</w:t>
      </w:r>
    </w:p>
    <w:p w14:paraId="5EBAD3A5" w14:textId="77777777" w:rsidR="008A5418" w:rsidRDefault="004673E9" w:rsidP="00C24C8D">
      <w:pPr>
        <w:pStyle w:val="ListParagraph"/>
        <w:numPr>
          <w:ilvl w:val="0"/>
          <w:numId w:val="2"/>
        </w:numPr>
        <w:spacing w:line="360" w:lineRule="auto"/>
        <w:jc w:val="both"/>
        <w:rPr>
          <w:rFonts w:ascii="Arial" w:hAnsi="Arial" w:cs="Arial"/>
          <w:sz w:val="22"/>
          <w:szCs w:val="22"/>
        </w:rPr>
      </w:pPr>
      <w:r w:rsidRPr="008A5418">
        <w:rPr>
          <w:rFonts w:ascii="Arial" w:hAnsi="Arial" w:cs="Arial"/>
          <w:sz w:val="22"/>
          <w:szCs w:val="22"/>
        </w:rPr>
        <w:t>To explore contextual and environmental factors influencing intervention success in metropolitan settings.</w:t>
      </w:r>
    </w:p>
    <w:p w14:paraId="0B743FCE" w14:textId="6436B649" w:rsidR="004673E9" w:rsidRPr="004C31AD" w:rsidRDefault="004673E9" w:rsidP="00C24C8D">
      <w:pPr>
        <w:pStyle w:val="ListParagraph"/>
        <w:numPr>
          <w:ilvl w:val="0"/>
          <w:numId w:val="2"/>
        </w:numPr>
        <w:spacing w:line="360" w:lineRule="auto"/>
        <w:jc w:val="both"/>
        <w:rPr>
          <w:rFonts w:ascii="Arial" w:hAnsi="Arial" w:cs="Arial"/>
          <w:sz w:val="22"/>
          <w:szCs w:val="22"/>
        </w:rPr>
      </w:pPr>
      <w:r w:rsidRPr="008A5418">
        <w:rPr>
          <w:rFonts w:ascii="Arial" w:hAnsi="Arial" w:cs="Arial"/>
          <w:sz w:val="22"/>
          <w:szCs w:val="22"/>
        </w:rPr>
        <w:t>To provide evidence-based recommendations for physiotherapy practice and public health policy.</w:t>
      </w:r>
    </w:p>
    <w:p w14:paraId="5A95971D" w14:textId="49E87BFF" w:rsidR="003F29DA" w:rsidRPr="008A5418" w:rsidRDefault="003F29DA" w:rsidP="00C24C8D">
      <w:pPr>
        <w:pStyle w:val="Heading2"/>
        <w:spacing w:line="360" w:lineRule="auto"/>
        <w:jc w:val="both"/>
        <w:rPr>
          <w:rFonts w:ascii="Arial" w:hAnsi="Arial" w:cs="Arial"/>
          <w:b/>
          <w:bCs/>
          <w:sz w:val="28"/>
          <w:szCs w:val="28"/>
        </w:rPr>
      </w:pPr>
      <w:bookmarkStart w:id="59" w:name="_Toc220878909"/>
      <w:r w:rsidRPr="008A5418">
        <w:rPr>
          <w:rFonts w:ascii="Arial" w:hAnsi="Arial" w:cs="Arial"/>
          <w:b/>
          <w:bCs/>
          <w:sz w:val="28"/>
          <w:szCs w:val="28"/>
        </w:rPr>
        <w:t>3.5</w:t>
      </w:r>
      <w:r w:rsidR="008A5418" w:rsidRPr="008A5418">
        <w:rPr>
          <w:rFonts w:ascii="Arial" w:hAnsi="Arial" w:cs="Arial"/>
          <w:b/>
          <w:bCs/>
          <w:sz w:val="28"/>
          <w:szCs w:val="28"/>
        </w:rPr>
        <w:t xml:space="preserve"> </w:t>
      </w:r>
      <w:r w:rsidRPr="008A5418">
        <w:rPr>
          <w:rFonts w:ascii="Arial" w:hAnsi="Arial" w:cs="Arial"/>
          <w:b/>
          <w:bCs/>
          <w:sz w:val="28"/>
          <w:szCs w:val="28"/>
        </w:rPr>
        <w:t>Search Strategy</w:t>
      </w:r>
      <w:bookmarkEnd w:id="59"/>
    </w:p>
    <w:p w14:paraId="39ABCB68" w14:textId="59193711"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A detailed and methodical search approach was designed to guarantee that the review caught all relevant material (Booth et al., 2021; Young and Solomon, 2022). Searches were undertaken throughout MEDLINE, CINAHL, PubMed, Web of Science, SCOPUS, PEDro and the Cochrane Library, all of which are acknowledged as prominent sources for physiotherapy, gerontology and public health research (Pollock et al., 2022; Higgins et al., 2020). The search approach used Boolean operators to integrate Medical Subject Headings (M</w:t>
      </w:r>
      <w:r w:rsidR="004C31AD">
        <w:rPr>
          <w:rFonts w:ascii="Arial" w:hAnsi="Arial" w:cs="Arial"/>
          <w:sz w:val="22"/>
          <w:szCs w:val="22"/>
        </w:rPr>
        <w:t>E</w:t>
      </w:r>
      <w:r w:rsidRPr="003F29DA">
        <w:rPr>
          <w:rFonts w:ascii="Arial" w:hAnsi="Arial" w:cs="Arial"/>
          <w:sz w:val="22"/>
          <w:szCs w:val="22"/>
        </w:rPr>
        <w:t>SH) with keywords, allowing for the retrieval of a large yet specific set of research (Aromataris and Munn, 2020).</w:t>
      </w:r>
      <w:r w:rsidR="000F5365">
        <w:rPr>
          <w:rFonts w:ascii="Arial" w:hAnsi="Arial" w:cs="Arial"/>
          <w:sz w:val="22"/>
          <w:szCs w:val="22"/>
        </w:rPr>
        <w:t xml:space="preserve"> </w:t>
      </w:r>
      <w:r w:rsidR="000F5365" w:rsidRPr="000F5365">
        <w:rPr>
          <w:rFonts w:ascii="Arial" w:hAnsi="Arial" w:cs="Arial"/>
          <w:sz w:val="22"/>
          <w:szCs w:val="22"/>
        </w:rPr>
        <w:t xml:space="preserve">It has been demonstrated that combining controlled vocabulary with free-text keywords increases the sensitivity and </w:t>
      </w:r>
      <w:r w:rsidR="000F5365" w:rsidRPr="000F5365">
        <w:rPr>
          <w:rFonts w:ascii="Arial" w:hAnsi="Arial" w:cs="Arial"/>
          <w:sz w:val="22"/>
          <w:szCs w:val="22"/>
        </w:rPr>
        <w:lastRenderedPageBreak/>
        <w:t>accuracy of systematic review searches, especially when it comes to multidisciplinary healthcare issues (Bramer et al., 2018; Lefebvre et al., 2021).</w:t>
      </w:r>
    </w:p>
    <w:p w14:paraId="4FE1F37D" w14:textId="1D651118"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Search criteria included combinations of “community-based physiotherapy”, “falls prevention”, “older adults”, “urban population”, “exercise intervention”, “metropolitan areas”, “United Kingdom”, and associated synonyms (Young and Solomon, 2022). The technique was built iteratively, modified via preliminary searches to eliminate extraneous phrases and boost specificity (Booth et al., 2021). In accordance with NICE's (2022) advice that previous treatments would not accurately reflect modern health service models, the search window was limited to January 2010–December 2024 to guarantee the inclusion of current research (NICE, 2025).</w:t>
      </w:r>
    </w:p>
    <w:p w14:paraId="078B39FC" w14:textId="494D9405"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To promote methodological openness, the search procedure followed to PRISMA 2020 guidelines, which include detailed recording of databases, search terms, filters and dates (Page et al., 2021; Moher et al., 2009). Only papers published in peer-reviewed publications were selected, assuring robustness and academic integrity (Booth et al., 2021).</w:t>
      </w:r>
    </w:p>
    <w:p w14:paraId="59A6564C" w14:textId="05D00D7D" w:rsidR="008A5418" w:rsidRPr="004C31AD" w:rsidRDefault="003F29DA" w:rsidP="008E124D">
      <w:pPr>
        <w:spacing w:line="360" w:lineRule="auto"/>
        <w:jc w:val="center"/>
        <w:rPr>
          <w:rFonts w:ascii="Arial" w:hAnsi="Arial" w:cs="Arial"/>
          <w:sz w:val="22"/>
          <w:szCs w:val="22"/>
        </w:rPr>
      </w:pPr>
      <w:r w:rsidRPr="003F29DA">
        <w:rPr>
          <w:rFonts w:ascii="Arial" w:hAnsi="Arial" w:cs="Arial"/>
          <w:sz w:val="22"/>
          <w:szCs w:val="22"/>
        </w:rPr>
        <w:t>Because they usually lack methodological clarity, quality assurance, or replication potential, grey literature, non-peer-reviewed publications, and dissertations were eliminated (Booth et al., 2021; Pollock et al., 2</w:t>
      </w:r>
      <w:r w:rsidR="002D1729">
        <w:rPr>
          <w:noProof/>
        </w:rPr>
        <w:drawing>
          <wp:inline distT="0" distB="0" distL="0" distR="0" wp14:anchorId="4F843762" wp14:editId="56D1E453">
            <wp:extent cx="5001491" cy="3214591"/>
            <wp:effectExtent l="0" t="0" r="8890" b="5080"/>
            <wp:docPr id="182074939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49393" name="Picture 1820749393"/>
                    <pic:cNvPicPr/>
                  </pic:nvPicPr>
                  <pic:blipFill>
                    <a:blip r:embed="rId18">
                      <a:extLst>
                        <a:ext uri="{28A0092B-C50C-407E-A947-70E740481C1C}">
                          <a14:useLocalDpi xmlns:a14="http://schemas.microsoft.com/office/drawing/2010/main" val="0"/>
                        </a:ext>
                      </a:extLst>
                    </a:blip>
                    <a:stretch>
                      <a:fillRect/>
                    </a:stretch>
                  </pic:blipFill>
                  <pic:spPr>
                    <a:xfrm>
                      <a:off x="0" y="0"/>
                      <a:ext cx="5023741" cy="3228892"/>
                    </a:xfrm>
                    <a:prstGeom prst="rect">
                      <a:avLst/>
                    </a:prstGeom>
                  </pic:spPr>
                </pic:pic>
              </a:graphicData>
            </a:graphic>
          </wp:inline>
        </w:drawing>
      </w:r>
    </w:p>
    <w:p w14:paraId="3CE00798" w14:textId="61A867E9" w:rsidR="00C25D06" w:rsidRPr="00C25D06" w:rsidRDefault="00C25D06" w:rsidP="004C31AD">
      <w:pPr>
        <w:pStyle w:val="Caption"/>
        <w:spacing w:line="360" w:lineRule="auto"/>
        <w:jc w:val="center"/>
        <w:rPr>
          <w:noProof/>
          <w:sz w:val="20"/>
          <w:szCs w:val="20"/>
        </w:rPr>
      </w:pPr>
      <w:bookmarkStart w:id="60" w:name="_Toc220878844"/>
      <w:r w:rsidRPr="00C25D06">
        <w:rPr>
          <w:sz w:val="20"/>
          <w:szCs w:val="20"/>
        </w:rPr>
        <w:t xml:space="preserve">Table </w:t>
      </w:r>
      <w:r w:rsidRPr="00C25D06">
        <w:rPr>
          <w:sz w:val="20"/>
          <w:szCs w:val="20"/>
        </w:rPr>
        <w:fldChar w:fldCharType="begin"/>
      </w:r>
      <w:r w:rsidRPr="00C25D06">
        <w:rPr>
          <w:sz w:val="20"/>
          <w:szCs w:val="20"/>
        </w:rPr>
        <w:instrText xml:space="preserve"> SEQ Table \* ARABIC </w:instrText>
      </w:r>
      <w:r w:rsidRPr="00C25D06">
        <w:rPr>
          <w:sz w:val="20"/>
          <w:szCs w:val="20"/>
        </w:rPr>
        <w:fldChar w:fldCharType="separate"/>
      </w:r>
      <w:r w:rsidR="00F07385">
        <w:rPr>
          <w:noProof/>
          <w:sz w:val="20"/>
          <w:szCs w:val="20"/>
        </w:rPr>
        <w:t>1</w:t>
      </w:r>
      <w:r w:rsidRPr="00C25D06">
        <w:rPr>
          <w:sz w:val="20"/>
          <w:szCs w:val="20"/>
        </w:rPr>
        <w:fldChar w:fldCharType="end"/>
      </w:r>
      <w:r w:rsidRPr="00C25D06">
        <w:rPr>
          <w:sz w:val="20"/>
          <w:szCs w:val="20"/>
        </w:rPr>
        <w:t>: PICO</w:t>
      </w:r>
      <w:bookmarkEnd w:id="60"/>
    </w:p>
    <w:p w14:paraId="0554AA2F" w14:textId="402D0CC9" w:rsidR="003F29DA" w:rsidRPr="008A5418" w:rsidRDefault="003F29DA" w:rsidP="00C24C8D">
      <w:pPr>
        <w:pStyle w:val="Heading2"/>
        <w:spacing w:line="360" w:lineRule="auto"/>
        <w:jc w:val="both"/>
        <w:rPr>
          <w:rFonts w:ascii="Arial" w:hAnsi="Arial" w:cs="Arial"/>
          <w:b/>
          <w:bCs/>
          <w:sz w:val="28"/>
          <w:szCs w:val="28"/>
        </w:rPr>
      </w:pPr>
      <w:bookmarkStart w:id="61" w:name="_Toc220878910"/>
      <w:r w:rsidRPr="008A5418">
        <w:rPr>
          <w:rFonts w:ascii="Arial" w:hAnsi="Arial" w:cs="Arial"/>
          <w:b/>
          <w:bCs/>
          <w:sz w:val="28"/>
          <w:szCs w:val="28"/>
        </w:rPr>
        <w:lastRenderedPageBreak/>
        <w:t>3.6</w:t>
      </w:r>
      <w:r w:rsidR="008A5418" w:rsidRPr="008A5418">
        <w:rPr>
          <w:rFonts w:ascii="Arial" w:hAnsi="Arial" w:cs="Arial"/>
          <w:b/>
          <w:bCs/>
          <w:sz w:val="28"/>
          <w:szCs w:val="28"/>
        </w:rPr>
        <w:t xml:space="preserve"> </w:t>
      </w:r>
      <w:r w:rsidRPr="008A5418">
        <w:rPr>
          <w:rFonts w:ascii="Arial" w:hAnsi="Arial" w:cs="Arial"/>
          <w:b/>
          <w:bCs/>
          <w:sz w:val="28"/>
          <w:szCs w:val="28"/>
        </w:rPr>
        <w:t>Inclusion and Exclusion Criteria</w:t>
      </w:r>
      <w:bookmarkEnd w:id="61"/>
    </w:p>
    <w:p w14:paraId="65D6BA65" w14:textId="1B505131"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Selection criteria were established using the PICOS framework (Population, Intervention, Comparison, Outcome, Study Design), which is widely recommended for structuring systematic reviews in healthcare research due to its clarity and reproducibility (Higgins et al., 2020; Aromataris and Munn, 2020).</w:t>
      </w:r>
    </w:p>
    <w:p w14:paraId="5FDFBA98" w14:textId="4E7EC75F"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The population included older adults aged 65 years and above residing in urban or metropolitan settings</w:t>
      </w:r>
      <w:r w:rsidR="004E3A50">
        <w:rPr>
          <w:rFonts w:ascii="Arial" w:hAnsi="Arial" w:cs="Arial"/>
          <w:sz w:val="22"/>
          <w:szCs w:val="22"/>
        </w:rPr>
        <w:t xml:space="preserve"> (Office for National Statistics, 2023)</w:t>
      </w:r>
      <w:r w:rsidRPr="003F29DA">
        <w:rPr>
          <w:rFonts w:ascii="Arial" w:hAnsi="Arial" w:cs="Arial"/>
          <w:sz w:val="22"/>
          <w:szCs w:val="22"/>
        </w:rPr>
        <w:t>. This age threshold is consistent with international definitions of older adulthood and fall risk categorization (World Health Organization, 2021; NICE, 2025).</w:t>
      </w:r>
    </w:p>
    <w:p w14:paraId="411570D7" w14:textId="173754F8"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The intervention of interest comprised community-based physiotherapy interventions, including exercise-based programmes, balance and strength training, home-based physiotherapy, group physiotherapy classes and multidisciplinary community rehabilitation initiatives led or delivered by physiotherapists (Sherrington et al., 2020; Montero-Odasso et al., 2022).</w:t>
      </w:r>
    </w:p>
    <w:p w14:paraId="25C11370" w14:textId="2C293130"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The comparison element included usual care, alternative non-physiotherapy interventions or pre</w:t>
      </w:r>
      <w:r w:rsidR="004E3A50">
        <w:rPr>
          <w:rFonts w:ascii="Arial" w:hAnsi="Arial" w:cs="Arial"/>
          <w:sz w:val="22"/>
          <w:szCs w:val="22"/>
        </w:rPr>
        <w:t>-</w:t>
      </w:r>
      <w:r w:rsidRPr="003F29DA">
        <w:rPr>
          <w:rFonts w:ascii="Arial" w:hAnsi="Arial" w:cs="Arial"/>
          <w:sz w:val="22"/>
          <w:szCs w:val="22"/>
        </w:rPr>
        <w:t>post intervention comparisons where a control group was not present, reflecting common designs in community health research (Higgins et al., 2020).</w:t>
      </w:r>
    </w:p>
    <w:p w14:paraId="651B53B1" w14:textId="1FCB16B8"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The outcomes considered included fall incidence, fall rate, balance outcomes, mobility measures, functional performance and patient-reported outcomes related to confidence or fear of falling (Sherrington et al., 2020; NICE, 2025).</w:t>
      </w:r>
      <w:r w:rsidR="00BF529C">
        <w:rPr>
          <w:rFonts w:ascii="Arial" w:hAnsi="Arial" w:cs="Arial"/>
          <w:sz w:val="22"/>
          <w:szCs w:val="22"/>
        </w:rPr>
        <w:t xml:space="preserve"> </w:t>
      </w:r>
      <w:r w:rsidRPr="003F29DA">
        <w:rPr>
          <w:rFonts w:ascii="Arial" w:hAnsi="Arial" w:cs="Arial"/>
          <w:sz w:val="22"/>
          <w:szCs w:val="22"/>
        </w:rPr>
        <w:t>The study designs eligible for inclusion were randomised controlled trials, quasi- experimental studies, cohort studies, mixed-methods studies and qualitative research that provided relevant outcome or contextual data (Thomas and Harden, 2008; Pollock et al., 2022).</w:t>
      </w:r>
      <w:r w:rsidR="000F5365">
        <w:rPr>
          <w:rFonts w:ascii="Arial" w:hAnsi="Arial" w:cs="Arial"/>
          <w:sz w:val="22"/>
          <w:szCs w:val="22"/>
        </w:rPr>
        <w:t xml:space="preserve"> </w:t>
      </w:r>
      <w:r w:rsidR="004C31AD" w:rsidRPr="000F5365">
        <w:rPr>
          <w:rFonts w:ascii="Arial" w:hAnsi="Arial" w:cs="Arial"/>
          <w:sz w:val="22"/>
          <w:szCs w:val="22"/>
        </w:rPr>
        <w:t>To</w:t>
      </w:r>
      <w:r w:rsidR="000F5365" w:rsidRPr="000F5365">
        <w:rPr>
          <w:rFonts w:ascii="Arial" w:hAnsi="Arial" w:cs="Arial"/>
          <w:sz w:val="22"/>
          <w:szCs w:val="22"/>
        </w:rPr>
        <w:t xml:space="preserve"> capture both efficacy data and contextual factors impacting the adoption of interventions, it is becoming </w:t>
      </w:r>
      <w:r w:rsidR="004C31AD" w:rsidRPr="000F5365">
        <w:rPr>
          <w:rFonts w:ascii="Arial" w:hAnsi="Arial" w:cs="Arial"/>
          <w:sz w:val="22"/>
          <w:szCs w:val="22"/>
        </w:rPr>
        <w:t>increasingly</w:t>
      </w:r>
      <w:r w:rsidR="000F5365" w:rsidRPr="000F5365">
        <w:rPr>
          <w:rFonts w:ascii="Arial" w:hAnsi="Arial" w:cs="Arial"/>
          <w:sz w:val="22"/>
          <w:szCs w:val="22"/>
        </w:rPr>
        <w:t xml:space="preserve"> recommended that public health evaluations use a variety of research designs (Gough et al., 2017; Pearson et al., 2015).</w:t>
      </w:r>
    </w:p>
    <w:p w14:paraId="3A32D232" w14:textId="29AD13FA"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Exclusion criteria included studies focusing exclusively on hospital-based interventions, residential or nursing home populations, non-physiotherapy-led interventions, non-urban settings, participants under the age of 65, conference abstracts, editorials and non-peer- reviewed publications (Booth et al., 2021). </w:t>
      </w:r>
    </w:p>
    <w:p w14:paraId="30365778" w14:textId="77777777" w:rsidR="00BF529C" w:rsidRDefault="008A5418" w:rsidP="004C31AD">
      <w:pPr>
        <w:spacing w:line="360" w:lineRule="auto"/>
        <w:jc w:val="center"/>
        <w:rPr>
          <w:rFonts w:ascii="Arial" w:hAnsi="Arial" w:cs="Arial"/>
          <w:sz w:val="22"/>
          <w:szCs w:val="22"/>
        </w:rPr>
      </w:pPr>
      <w:r>
        <w:rPr>
          <w:noProof/>
        </w:rPr>
        <w:lastRenderedPageBreak/>
        <w:drawing>
          <wp:inline distT="0" distB="0" distL="0" distR="0" wp14:anchorId="2F91A7EA" wp14:editId="28C97BDC">
            <wp:extent cx="4654166" cy="3020291"/>
            <wp:effectExtent l="0" t="0" r="0" b="8890"/>
            <wp:docPr id="209888576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885761" name="Picture 2098885761"/>
                    <pic:cNvPicPr/>
                  </pic:nvPicPr>
                  <pic:blipFill>
                    <a:blip r:embed="rId19">
                      <a:extLst>
                        <a:ext uri="{28A0092B-C50C-407E-A947-70E740481C1C}">
                          <a14:useLocalDpi xmlns:a14="http://schemas.microsoft.com/office/drawing/2010/main" val="0"/>
                        </a:ext>
                      </a:extLst>
                    </a:blip>
                    <a:stretch>
                      <a:fillRect/>
                    </a:stretch>
                  </pic:blipFill>
                  <pic:spPr>
                    <a:xfrm>
                      <a:off x="0" y="0"/>
                      <a:ext cx="4737898" cy="3074628"/>
                    </a:xfrm>
                    <a:prstGeom prst="rect">
                      <a:avLst/>
                    </a:prstGeom>
                  </pic:spPr>
                </pic:pic>
              </a:graphicData>
            </a:graphic>
          </wp:inline>
        </w:drawing>
      </w:r>
    </w:p>
    <w:p w14:paraId="29561A06" w14:textId="799F7948" w:rsidR="00C25D06" w:rsidRPr="00C25D06" w:rsidRDefault="00C25D06" w:rsidP="004C31AD">
      <w:pPr>
        <w:pStyle w:val="Caption"/>
        <w:spacing w:line="360" w:lineRule="auto"/>
        <w:jc w:val="center"/>
        <w:rPr>
          <w:rFonts w:ascii="Arial" w:hAnsi="Arial" w:cs="Arial"/>
          <w:sz w:val="24"/>
          <w:szCs w:val="24"/>
        </w:rPr>
      </w:pPr>
      <w:bookmarkStart w:id="62" w:name="_Toc220878845"/>
      <w:r w:rsidRPr="00C25D06">
        <w:rPr>
          <w:sz w:val="20"/>
          <w:szCs w:val="20"/>
        </w:rPr>
        <w:t xml:space="preserve">Table </w:t>
      </w:r>
      <w:r w:rsidRPr="00C25D06">
        <w:rPr>
          <w:sz w:val="20"/>
          <w:szCs w:val="20"/>
        </w:rPr>
        <w:fldChar w:fldCharType="begin"/>
      </w:r>
      <w:r w:rsidRPr="00C25D06">
        <w:rPr>
          <w:sz w:val="20"/>
          <w:szCs w:val="20"/>
        </w:rPr>
        <w:instrText xml:space="preserve"> SEQ Table \* ARABIC </w:instrText>
      </w:r>
      <w:r w:rsidRPr="00C25D06">
        <w:rPr>
          <w:sz w:val="20"/>
          <w:szCs w:val="20"/>
        </w:rPr>
        <w:fldChar w:fldCharType="separate"/>
      </w:r>
      <w:r w:rsidR="00F07385">
        <w:rPr>
          <w:noProof/>
          <w:sz w:val="20"/>
          <w:szCs w:val="20"/>
        </w:rPr>
        <w:t>2</w:t>
      </w:r>
      <w:r w:rsidRPr="00C25D06">
        <w:rPr>
          <w:sz w:val="20"/>
          <w:szCs w:val="20"/>
        </w:rPr>
        <w:fldChar w:fldCharType="end"/>
      </w:r>
      <w:r w:rsidRPr="00C25D06">
        <w:rPr>
          <w:sz w:val="20"/>
          <w:szCs w:val="20"/>
        </w:rPr>
        <w:t>: PICO-based Inclusion &amp; Exclusion Criteria</w:t>
      </w:r>
      <w:bookmarkEnd w:id="62"/>
    </w:p>
    <w:p w14:paraId="4D8B72D6" w14:textId="7D0077C0" w:rsidR="003F29DA" w:rsidRPr="008A5418" w:rsidRDefault="003F29DA" w:rsidP="00C24C8D">
      <w:pPr>
        <w:pStyle w:val="Heading2"/>
        <w:spacing w:line="360" w:lineRule="auto"/>
        <w:jc w:val="both"/>
        <w:rPr>
          <w:rFonts w:ascii="Arial" w:hAnsi="Arial" w:cs="Arial"/>
          <w:b/>
          <w:bCs/>
          <w:sz w:val="28"/>
          <w:szCs w:val="28"/>
        </w:rPr>
      </w:pPr>
      <w:bookmarkStart w:id="63" w:name="_Toc220878911"/>
      <w:r w:rsidRPr="008A5418">
        <w:rPr>
          <w:rFonts w:ascii="Arial" w:hAnsi="Arial" w:cs="Arial"/>
          <w:b/>
          <w:bCs/>
          <w:sz w:val="28"/>
          <w:szCs w:val="28"/>
        </w:rPr>
        <w:t>3.7</w:t>
      </w:r>
      <w:r w:rsidR="008A5418" w:rsidRPr="008A5418">
        <w:rPr>
          <w:rFonts w:ascii="Arial" w:hAnsi="Arial" w:cs="Arial"/>
          <w:b/>
          <w:bCs/>
          <w:sz w:val="28"/>
          <w:szCs w:val="28"/>
        </w:rPr>
        <w:t xml:space="preserve"> </w:t>
      </w:r>
      <w:r w:rsidRPr="008A5418">
        <w:rPr>
          <w:rFonts w:ascii="Arial" w:hAnsi="Arial" w:cs="Arial"/>
          <w:b/>
          <w:bCs/>
          <w:sz w:val="28"/>
          <w:szCs w:val="28"/>
        </w:rPr>
        <w:t>Study Selection and PRISMA Flow Narrative</w:t>
      </w:r>
      <w:bookmarkEnd w:id="63"/>
    </w:p>
    <w:p w14:paraId="0BCBA679" w14:textId="2F69399B"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The Preferred Reporting Items for Systematic Reviews and Meta-Analyses (PRISMA) standards, which promote openness, consistency, and rigor in systematic review methodology, were adhered to during the study selection procedure (Page et al., 2021). The four main stages of the PRISMA strategy were identification, screening, eligibility, and inclusion</w:t>
      </w:r>
      <w:r w:rsidR="00081934">
        <w:rPr>
          <w:rFonts w:ascii="Arial" w:hAnsi="Arial" w:cs="Arial"/>
          <w:sz w:val="22"/>
          <w:szCs w:val="22"/>
        </w:rPr>
        <w:t xml:space="preserve"> </w:t>
      </w:r>
      <w:r w:rsidR="00081934" w:rsidRPr="00081934">
        <w:rPr>
          <w:rFonts w:ascii="Arial" w:hAnsi="Arial" w:cs="Arial"/>
          <w:sz w:val="22"/>
          <w:szCs w:val="22"/>
        </w:rPr>
        <w:t>(PRISMA, 2020)</w:t>
      </w:r>
      <w:r w:rsidRPr="003F29DA">
        <w:rPr>
          <w:rFonts w:ascii="Arial" w:hAnsi="Arial" w:cs="Arial"/>
          <w:sz w:val="22"/>
          <w:szCs w:val="22"/>
        </w:rPr>
        <w:t xml:space="preserve">. All pertinent research looking at community-based </w:t>
      </w:r>
      <w:r w:rsidR="00BA1983" w:rsidRPr="00BA1983">
        <w:rPr>
          <w:rFonts w:ascii="Arial" w:hAnsi="Arial" w:cs="Arial"/>
          <w:sz w:val="22"/>
          <w:szCs w:val="22"/>
        </w:rPr>
        <w:t>physiotherapy interventions</w:t>
      </w:r>
      <w:r w:rsidR="00BA1983">
        <w:rPr>
          <w:rFonts w:ascii="Arial" w:hAnsi="Arial" w:cs="Arial"/>
          <w:sz w:val="22"/>
          <w:szCs w:val="22"/>
        </w:rPr>
        <w:t xml:space="preserve"> </w:t>
      </w:r>
      <w:r w:rsidRPr="003F29DA">
        <w:rPr>
          <w:rFonts w:ascii="Arial" w:hAnsi="Arial" w:cs="Arial"/>
          <w:sz w:val="22"/>
          <w:szCs w:val="22"/>
        </w:rPr>
        <w:t xml:space="preserve">for older </w:t>
      </w:r>
      <w:r w:rsidR="00330FA7">
        <w:rPr>
          <w:rFonts w:ascii="Arial" w:hAnsi="Arial" w:cs="Arial"/>
          <w:sz w:val="22"/>
          <w:szCs w:val="22"/>
        </w:rPr>
        <w:t>adult</w:t>
      </w:r>
      <w:r w:rsidRPr="003F29DA">
        <w:rPr>
          <w:rFonts w:ascii="Arial" w:hAnsi="Arial" w:cs="Arial"/>
          <w:sz w:val="22"/>
          <w:szCs w:val="22"/>
        </w:rPr>
        <w:t xml:space="preserve">s in urban settings were thoroughly assessed and chosen for synthesis thanks to this methodical approach (Moher et al., 2009). </w:t>
      </w:r>
    </w:p>
    <w:p w14:paraId="3ECC7297" w14:textId="6E775883"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Comprehensive searches in MEDLINE, CINAHL, PubMed, Scopus, Embase, and Web of Science produced 1,246 records during the identification phase. After importing these records into reference management software, 317 duplicates were eliminated, leaving 929 distinct titles and abstracts for screening. This sizable initial pool demonstrated the interdisciplinary character of fall prevention research, physiotherapy and gerontology (Pollock et al., 2022).</w:t>
      </w:r>
      <w:r w:rsidR="000F5365">
        <w:rPr>
          <w:rFonts w:ascii="Arial" w:hAnsi="Arial" w:cs="Arial"/>
          <w:sz w:val="22"/>
          <w:szCs w:val="22"/>
        </w:rPr>
        <w:t xml:space="preserve"> </w:t>
      </w:r>
      <w:r w:rsidR="000F5365" w:rsidRPr="000F5365">
        <w:rPr>
          <w:rFonts w:ascii="Arial" w:hAnsi="Arial" w:cs="Arial"/>
          <w:sz w:val="22"/>
          <w:szCs w:val="22"/>
        </w:rPr>
        <w:t xml:space="preserve">Reviews that deal with complicated health interventions frequently have high retrieval volumes, which are indicative of the wide conceptual boundaries that span the areas of clinical, </w:t>
      </w:r>
      <w:r w:rsidR="002D689D" w:rsidRPr="000F5365">
        <w:rPr>
          <w:rFonts w:ascii="Arial" w:hAnsi="Arial" w:cs="Arial"/>
          <w:sz w:val="22"/>
          <w:szCs w:val="22"/>
        </w:rPr>
        <w:t>behavioural</w:t>
      </w:r>
      <w:r w:rsidR="000F5365" w:rsidRPr="000F5365">
        <w:rPr>
          <w:rFonts w:ascii="Arial" w:hAnsi="Arial" w:cs="Arial"/>
          <w:sz w:val="22"/>
          <w:szCs w:val="22"/>
        </w:rPr>
        <w:t>, and environmental research (Petticrew and Roberts, 2006; Harden et al., 2018).</w:t>
      </w:r>
    </w:p>
    <w:p w14:paraId="772BF392" w14:textId="33740A20"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929 records' titles and abstracts were examined during the screening stage to determine how pertinent they were to the review's objectives. Studies that </w:t>
      </w:r>
      <w:r w:rsidRPr="003F29DA">
        <w:rPr>
          <w:rFonts w:ascii="Arial" w:hAnsi="Arial" w:cs="Arial"/>
          <w:sz w:val="22"/>
          <w:szCs w:val="22"/>
        </w:rPr>
        <w:lastRenderedPageBreak/>
        <w:t>concentrated on non-older adult populations, hospital-only interventions, non-physiotherapy techniques, or unrelated health themes were disqualified. At this point, 186 full-text articles remained for a thorough eligibility evaluation after 743 records were eliminated (Page et al., 2021).</w:t>
      </w:r>
    </w:p>
    <w:p w14:paraId="6C2C2398" w14:textId="7777777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Full-text evaluation against the predetermined inclusion and exclusion criteria was part of the eligibility process. Articles that did not include a community-based component, were not physiotherapy-led, were not conducted in a metropolitan or urban environment, or did not offer qualitative or descriptive data appropriate for thematic synthesis were also removed.</w:t>
      </w:r>
    </w:p>
    <w:p w14:paraId="745E6C49" w14:textId="7777777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174 full-text publications were eliminated during this phase due to factors including incorrect population, inadequate intervention details, a lack of urban context, or poor methodological quality (Higgins et al., 2020; Booth et al., 2021).</w:t>
      </w:r>
    </w:p>
    <w:p w14:paraId="656D2647" w14:textId="48174506" w:rsidR="003F29DA" w:rsidRDefault="002D1729" w:rsidP="004C31AD">
      <w:pPr>
        <w:spacing w:line="360" w:lineRule="auto"/>
        <w:jc w:val="center"/>
        <w:rPr>
          <w:rFonts w:ascii="Arial" w:hAnsi="Arial" w:cs="Arial"/>
          <w:sz w:val="22"/>
          <w:szCs w:val="22"/>
        </w:rPr>
      </w:pPr>
      <w:r>
        <w:rPr>
          <w:noProof/>
        </w:rPr>
        <w:drawing>
          <wp:inline distT="0" distB="0" distL="0" distR="0" wp14:anchorId="24D31E3D" wp14:editId="523BCC05">
            <wp:extent cx="4177145" cy="3236853"/>
            <wp:effectExtent l="0" t="0" r="0" b="1905"/>
            <wp:docPr id="156953836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538362" name="Picture 1569538362"/>
                    <pic:cNvPicPr/>
                  </pic:nvPicPr>
                  <pic:blipFill>
                    <a:blip r:embed="rId20">
                      <a:extLst>
                        <a:ext uri="{28A0092B-C50C-407E-A947-70E740481C1C}">
                          <a14:useLocalDpi xmlns:a14="http://schemas.microsoft.com/office/drawing/2010/main" val="0"/>
                        </a:ext>
                      </a:extLst>
                    </a:blip>
                    <a:stretch>
                      <a:fillRect/>
                    </a:stretch>
                  </pic:blipFill>
                  <pic:spPr>
                    <a:xfrm>
                      <a:off x="0" y="0"/>
                      <a:ext cx="4188240" cy="3245451"/>
                    </a:xfrm>
                    <a:prstGeom prst="rect">
                      <a:avLst/>
                    </a:prstGeom>
                  </pic:spPr>
                </pic:pic>
              </a:graphicData>
            </a:graphic>
          </wp:inline>
        </w:drawing>
      </w:r>
    </w:p>
    <w:p w14:paraId="4525B441" w14:textId="3CAF95C4" w:rsidR="00C25D06" w:rsidRPr="00C25D06" w:rsidRDefault="00C25D06" w:rsidP="004C31AD">
      <w:pPr>
        <w:pStyle w:val="Caption"/>
        <w:spacing w:line="360" w:lineRule="auto"/>
        <w:jc w:val="center"/>
        <w:rPr>
          <w:rFonts w:ascii="Arial" w:hAnsi="Arial" w:cs="Arial"/>
          <w:sz w:val="24"/>
          <w:szCs w:val="24"/>
        </w:rPr>
      </w:pPr>
      <w:bookmarkStart w:id="64" w:name="_Toc220878850"/>
      <w:r w:rsidRPr="00C25D06">
        <w:rPr>
          <w:sz w:val="20"/>
          <w:szCs w:val="20"/>
        </w:rPr>
        <w:t xml:space="preserve">Figure </w:t>
      </w:r>
      <w:r w:rsidRPr="00C25D06">
        <w:rPr>
          <w:sz w:val="20"/>
          <w:szCs w:val="20"/>
        </w:rPr>
        <w:fldChar w:fldCharType="begin"/>
      </w:r>
      <w:r w:rsidRPr="00C25D06">
        <w:rPr>
          <w:sz w:val="20"/>
          <w:szCs w:val="20"/>
        </w:rPr>
        <w:instrText xml:space="preserve"> SEQ Figure \* ARABIC </w:instrText>
      </w:r>
      <w:r w:rsidRPr="00C25D06">
        <w:rPr>
          <w:sz w:val="20"/>
          <w:szCs w:val="20"/>
        </w:rPr>
        <w:fldChar w:fldCharType="separate"/>
      </w:r>
      <w:r w:rsidR="00F07385">
        <w:rPr>
          <w:noProof/>
          <w:sz w:val="20"/>
          <w:szCs w:val="20"/>
        </w:rPr>
        <w:t>4</w:t>
      </w:r>
      <w:r w:rsidRPr="00C25D06">
        <w:rPr>
          <w:sz w:val="20"/>
          <w:szCs w:val="20"/>
        </w:rPr>
        <w:fldChar w:fldCharType="end"/>
      </w:r>
      <w:r w:rsidRPr="00C25D06">
        <w:rPr>
          <w:sz w:val="20"/>
          <w:szCs w:val="20"/>
        </w:rPr>
        <w:t>: PRISMA Flow Chart</w:t>
      </w:r>
      <w:bookmarkEnd w:id="64"/>
    </w:p>
    <w:p w14:paraId="70583734" w14:textId="430A4CE0"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Twelve papers in all satisfied all inclusion requirements and were included in the qualitative synthesis. This research encompassed metropolitan settings, such as London, Birmingham, Manchester, Leeds, and similar foreign urban locations, and represented a wide variety of physiotherapy-led interventions. Despite their differences in scope and methodology, the studies </w:t>
      </w:r>
      <w:r w:rsidR="004C31AD" w:rsidRPr="003F29DA">
        <w:rPr>
          <w:rFonts w:ascii="Arial" w:hAnsi="Arial" w:cs="Arial"/>
          <w:sz w:val="22"/>
          <w:szCs w:val="22"/>
        </w:rPr>
        <w:t>provided</w:t>
      </w:r>
      <w:r w:rsidRPr="003F29DA">
        <w:rPr>
          <w:rFonts w:ascii="Arial" w:hAnsi="Arial" w:cs="Arial"/>
          <w:sz w:val="22"/>
          <w:szCs w:val="22"/>
        </w:rPr>
        <w:t xml:space="preserve"> significant qualitative insights into the efficacy, acceptability, and contextual impacts of community-based physiotherapy for preventing falls (Montero-Odasso et al., 2022).</w:t>
      </w:r>
    </w:p>
    <w:p w14:paraId="5D9C664A" w14:textId="77777777" w:rsidR="00726C1A" w:rsidRDefault="003F29DA" w:rsidP="00C24C8D">
      <w:pPr>
        <w:spacing w:line="360" w:lineRule="auto"/>
        <w:jc w:val="both"/>
        <w:rPr>
          <w:rFonts w:ascii="Arial" w:hAnsi="Arial" w:cs="Arial"/>
          <w:sz w:val="22"/>
          <w:szCs w:val="22"/>
        </w:rPr>
      </w:pPr>
      <w:r w:rsidRPr="003F29DA">
        <w:rPr>
          <w:rFonts w:ascii="Arial" w:hAnsi="Arial" w:cs="Arial"/>
          <w:sz w:val="22"/>
          <w:szCs w:val="22"/>
        </w:rPr>
        <w:lastRenderedPageBreak/>
        <w:t xml:space="preserve">A clear structure for recording the identification, evaluation, and selection of research was made available via the PRISMA process. Although the visual diagram is not supplied here, it may be readily created using the information above and included in the dissertation. </w:t>
      </w:r>
    </w:p>
    <w:p w14:paraId="4AB2766D" w14:textId="7D340111"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The final selection of twelve articles complies with the criteria of qualitative systematic reviews, which prioritize interpretative value, depth, and contextual richness above large sample sizes (Thomas and Harden, 2008).</w:t>
      </w:r>
    </w:p>
    <w:p w14:paraId="69788BCD" w14:textId="128D8C1B" w:rsidR="003F29DA" w:rsidRPr="002D1729" w:rsidRDefault="003F29DA" w:rsidP="00C24C8D">
      <w:pPr>
        <w:pStyle w:val="Heading2"/>
        <w:spacing w:line="360" w:lineRule="auto"/>
        <w:jc w:val="both"/>
        <w:rPr>
          <w:rFonts w:ascii="Arial" w:hAnsi="Arial" w:cs="Arial"/>
          <w:b/>
          <w:bCs/>
          <w:sz w:val="28"/>
          <w:szCs w:val="28"/>
        </w:rPr>
      </w:pPr>
      <w:bookmarkStart w:id="65" w:name="_Toc220878912"/>
      <w:r w:rsidRPr="002D1729">
        <w:rPr>
          <w:rFonts w:ascii="Arial" w:hAnsi="Arial" w:cs="Arial"/>
          <w:b/>
          <w:bCs/>
          <w:sz w:val="28"/>
          <w:szCs w:val="28"/>
        </w:rPr>
        <w:t>3.8</w:t>
      </w:r>
      <w:r w:rsidR="002D1729" w:rsidRPr="002D1729">
        <w:rPr>
          <w:rFonts w:ascii="Arial" w:hAnsi="Arial" w:cs="Arial"/>
          <w:b/>
          <w:bCs/>
          <w:sz w:val="28"/>
          <w:szCs w:val="28"/>
        </w:rPr>
        <w:t xml:space="preserve"> </w:t>
      </w:r>
      <w:r w:rsidRPr="002D1729">
        <w:rPr>
          <w:rFonts w:ascii="Arial" w:hAnsi="Arial" w:cs="Arial"/>
          <w:b/>
          <w:bCs/>
          <w:sz w:val="28"/>
          <w:szCs w:val="28"/>
        </w:rPr>
        <w:t>Data Extraction</w:t>
      </w:r>
      <w:bookmarkEnd w:id="65"/>
    </w:p>
    <w:p w14:paraId="5C73FA79" w14:textId="2F7CE706"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A systematic extraction form based on Cochrane criteria was used to extract data (Higgins et al., 2020). Important information such as research design, participant characteristics, intervention components, delivery site, intervention duration, outcome measures, follow-up periods, and major findings </w:t>
      </w:r>
      <w:r w:rsidR="004C31AD" w:rsidRPr="003F29DA">
        <w:rPr>
          <w:rFonts w:ascii="Arial" w:hAnsi="Arial" w:cs="Arial"/>
          <w:sz w:val="22"/>
          <w:szCs w:val="22"/>
        </w:rPr>
        <w:t>was</w:t>
      </w:r>
      <w:r w:rsidRPr="003F29DA">
        <w:rPr>
          <w:rFonts w:ascii="Arial" w:hAnsi="Arial" w:cs="Arial"/>
          <w:sz w:val="22"/>
          <w:szCs w:val="22"/>
        </w:rPr>
        <w:t xml:space="preserve"> all recorded on the form. According to Sarkis-Onofre et al. (2021), structured extraction enhances consistency and guarantees that the same data is recorded across investigations employing various approaches.</w:t>
      </w:r>
      <w:r w:rsidR="000F5365">
        <w:rPr>
          <w:rFonts w:ascii="Arial" w:hAnsi="Arial" w:cs="Arial"/>
          <w:sz w:val="22"/>
          <w:szCs w:val="22"/>
        </w:rPr>
        <w:t xml:space="preserve"> </w:t>
      </w:r>
      <w:r w:rsidR="000F5365" w:rsidRPr="000F5365">
        <w:rPr>
          <w:rFonts w:ascii="Arial" w:hAnsi="Arial" w:cs="Arial"/>
          <w:sz w:val="22"/>
          <w:szCs w:val="22"/>
        </w:rPr>
        <w:t>It has also been demonstrated that using piloted extraction forms reduces data omission and enhances reviewer agreement, especially when synthesizing disparate study designs (Li et al., 2015; Buscemi et al., 2006).</w:t>
      </w:r>
    </w:p>
    <w:p w14:paraId="6D6F1FCB" w14:textId="74421774"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The reviewer personally extracted the data and checked its correctness. Sample size, gender distribution, baseline fall risk, kind of physiotherapy intervention (e.g., strength training, balance training, Tai Chi, Otago), presence of home assessment components, and adherence rates were among the characteristics that were extracted (Sherrington et al., 2020).</w:t>
      </w:r>
    </w:p>
    <w:p w14:paraId="48AC1C5C" w14:textId="65B7A70C"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Fall incidence, the Timed Up and Go (TUG) test, the Berg Balance Scale (BBS), gait speed, and lower-limb strength indicators were common outcome measures</w:t>
      </w:r>
      <w:r w:rsidR="00081934">
        <w:rPr>
          <w:rFonts w:ascii="Arial" w:hAnsi="Arial" w:cs="Arial"/>
          <w:sz w:val="22"/>
          <w:szCs w:val="22"/>
        </w:rPr>
        <w:t xml:space="preserve"> </w:t>
      </w:r>
      <w:r w:rsidR="00081934" w:rsidRPr="00081934">
        <w:rPr>
          <w:rFonts w:ascii="Arial" w:hAnsi="Arial" w:cs="Arial"/>
          <w:sz w:val="22"/>
          <w:szCs w:val="22"/>
        </w:rPr>
        <w:t>- (Montero</w:t>
      </w:r>
      <w:r w:rsidR="00081934" w:rsidRPr="00081934">
        <w:rPr>
          <w:rFonts w:ascii="Cambria Math" w:hAnsi="Cambria Math" w:cs="Cambria Math"/>
          <w:sz w:val="22"/>
          <w:szCs w:val="22"/>
        </w:rPr>
        <w:t>‑</w:t>
      </w:r>
      <w:r w:rsidR="00081934" w:rsidRPr="00081934">
        <w:rPr>
          <w:rFonts w:ascii="Arial" w:hAnsi="Arial" w:cs="Arial"/>
          <w:sz w:val="22"/>
          <w:szCs w:val="22"/>
        </w:rPr>
        <w:t>Odasso et al., 2025)</w:t>
      </w:r>
      <w:r w:rsidRPr="003F29DA">
        <w:rPr>
          <w:rFonts w:ascii="Arial" w:hAnsi="Arial" w:cs="Arial"/>
          <w:sz w:val="22"/>
          <w:szCs w:val="22"/>
        </w:rPr>
        <w:t>. These instruments have been extensively validated for evaluating fall risk and mobility in older persons (Podsiadlo and Richardson, 1991; Berg et al., 1992; Sherrington et al., 2020). Adopting a systematic extraction technique boosted rigor and facilitated a cohesive synthesis of treatments that ranged in format (Aromataris and Munn, 2020).</w:t>
      </w:r>
    </w:p>
    <w:p w14:paraId="6E1442C1" w14:textId="3C009323" w:rsidR="003F29DA" w:rsidRPr="002D1729" w:rsidRDefault="003F29DA" w:rsidP="00C24C8D">
      <w:pPr>
        <w:pStyle w:val="Heading2"/>
        <w:spacing w:line="360" w:lineRule="auto"/>
        <w:jc w:val="both"/>
        <w:rPr>
          <w:rFonts w:ascii="Arial" w:hAnsi="Arial" w:cs="Arial"/>
          <w:b/>
          <w:bCs/>
          <w:sz w:val="28"/>
          <w:szCs w:val="28"/>
        </w:rPr>
      </w:pPr>
      <w:bookmarkStart w:id="66" w:name="_Toc220878913"/>
      <w:r w:rsidRPr="002D1729">
        <w:rPr>
          <w:rFonts w:ascii="Arial" w:hAnsi="Arial" w:cs="Arial"/>
          <w:b/>
          <w:bCs/>
          <w:sz w:val="28"/>
          <w:szCs w:val="28"/>
        </w:rPr>
        <w:t>3.9</w:t>
      </w:r>
      <w:r w:rsidR="002D1729" w:rsidRPr="002D1729">
        <w:rPr>
          <w:rFonts w:ascii="Arial" w:hAnsi="Arial" w:cs="Arial"/>
          <w:b/>
          <w:bCs/>
          <w:sz w:val="28"/>
          <w:szCs w:val="28"/>
        </w:rPr>
        <w:t xml:space="preserve"> </w:t>
      </w:r>
      <w:r w:rsidRPr="002D1729">
        <w:rPr>
          <w:rFonts w:ascii="Arial" w:hAnsi="Arial" w:cs="Arial"/>
          <w:b/>
          <w:bCs/>
          <w:sz w:val="28"/>
          <w:szCs w:val="28"/>
        </w:rPr>
        <w:t>Quality Appraisal</w:t>
      </w:r>
      <w:bookmarkEnd w:id="66"/>
    </w:p>
    <w:p w14:paraId="2434D180" w14:textId="19B038C3"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To assess methodological quality and risk of bias, eligible studies were critically appraised using proven techniques relevant for each research design</w:t>
      </w:r>
      <w:r w:rsidR="00F35EC6" w:rsidRPr="00F35EC6">
        <w:rPr>
          <w:rFonts w:ascii="Arial" w:hAnsi="Arial" w:cs="Arial"/>
          <w:sz w:val="22"/>
          <w:szCs w:val="22"/>
        </w:rPr>
        <w:t xml:space="preserve"> (Ma et al., 2020)</w:t>
      </w:r>
      <w:r w:rsidRPr="003F29DA">
        <w:rPr>
          <w:rFonts w:ascii="Arial" w:hAnsi="Arial" w:cs="Arial"/>
          <w:sz w:val="22"/>
          <w:szCs w:val="22"/>
        </w:rPr>
        <w:t xml:space="preserve">. Randomized controlled trials were evaluated using the Cochrane Risk of Bias (RoB 2.0) methodology, which </w:t>
      </w:r>
      <w:r w:rsidR="002D1729">
        <w:rPr>
          <w:rFonts w:ascii="Arial" w:hAnsi="Arial" w:cs="Arial"/>
          <w:sz w:val="22"/>
          <w:szCs w:val="22"/>
        </w:rPr>
        <w:t xml:space="preserve">analyses </w:t>
      </w:r>
      <w:r w:rsidRPr="003F29DA">
        <w:rPr>
          <w:rFonts w:ascii="Arial" w:hAnsi="Arial" w:cs="Arial"/>
          <w:sz w:val="22"/>
          <w:szCs w:val="22"/>
        </w:rPr>
        <w:t xml:space="preserve">bias in randomisation, variations from intended </w:t>
      </w:r>
      <w:r w:rsidRPr="003F29DA">
        <w:rPr>
          <w:rFonts w:ascii="Arial" w:hAnsi="Arial" w:cs="Arial"/>
          <w:sz w:val="22"/>
          <w:szCs w:val="22"/>
        </w:rPr>
        <w:lastRenderedPageBreak/>
        <w:t>treatments, missing outcome data, assessment of outcomes and selective reporting (Sterne et al., 2020).</w:t>
      </w:r>
    </w:p>
    <w:p w14:paraId="0CACF617" w14:textId="29327754"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The Joanna Briggs Institute (JBI) Critical Appraisal Tools, which evaluate internal validity, confounding control, and statistical analysis appropriateness, were used to evaluate quasi- experimental and cohort studies (Moola et al., 2020). These tools are widely recommended in health and rehabilitation research for ensuring methodological transparency (Aromataris and Munn, 2020).</w:t>
      </w:r>
    </w:p>
    <w:p w14:paraId="04FBF3AB" w14:textId="29301A89"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Quality evaluation is needed to achieve strong synthesis</w:t>
      </w:r>
      <w:r w:rsidR="00F35EC6">
        <w:rPr>
          <w:rFonts w:ascii="Arial" w:hAnsi="Arial" w:cs="Arial"/>
          <w:sz w:val="22"/>
          <w:szCs w:val="22"/>
        </w:rPr>
        <w:t xml:space="preserve"> </w:t>
      </w:r>
      <w:r w:rsidR="00F35EC6" w:rsidRPr="00F35EC6">
        <w:rPr>
          <w:rFonts w:ascii="Arial" w:hAnsi="Arial" w:cs="Arial"/>
          <w:sz w:val="22"/>
          <w:szCs w:val="22"/>
        </w:rPr>
        <w:t>(JBI, 2020)</w:t>
      </w:r>
      <w:r w:rsidRPr="003F29DA">
        <w:rPr>
          <w:rFonts w:ascii="Arial" w:hAnsi="Arial" w:cs="Arial"/>
          <w:sz w:val="22"/>
          <w:szCs w:val="22"/>
        </w:rPr>
        <w:t>.</w:t>
      </w:r>
      <w:r w:rsidR="000F5365">
        <w:rPr>
          <w:rFonts w:ascii="Arial" w:hAnsi="Arial" w:cs="Arial"/>
          <w:sz w:val="22"/>
          <w:szCs w:val="22"/>
        </w:rPr>
        <w:t xml:space="preserve"> </w:t>
      </w:r>
      <w:r w:rsidR="000F5365" w:rsidRPr="000F5365">
        <w:rPr>
          <w:rFonts w:ascii="Arial" w:hAnsi="Arial" w:cs="Arial"/>
          <w:sz w:val="22"/>
          <w:szCs w:val="22"/>
        </w:rPr>
        <w:t>Systematic reviews run the danger of overestimating the efficacy of interventions and eroding trust in evidence-based decision making in the absence of controlled assessment (Viswanathan et al., 2018; Hartling et al., 2017).</w:t>
      </w:r>
      <w:r w:rsidRPr="003F29DA">
        <w:rPr>
          <w:rFonts w:ascii="Arial" w:hAnsi="Arial" w:cs="Arial"/>
          <w:sz w:val="22"/>
          <w:szCs w:val="22"/>
        </w:rPr>
        <w:t xml:space="preserve"> When interpreting the results, high- quality research with minimal bias risk were given more weight, while studies with methodological flaws were appropriately recognized (Higgins et al., 2020).</w:t>
      </w:r>
    </w:p>
    <w:p w14:paraId="386A3E3D" w14:textId="6F371A97" w:rsidR="002D1729"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overall certainty of the body of evidence was assessed using the GRADE method, which rates quality based on study limitations, consistency, directness, precision and publication bias (Guyatt et al., 2022). This ensured that the strength of the evidence, rather than just the number of research studies, was represented in the </w:t>
      </w:r>
      <w:r w:rsidR="004C31AD" w:rsidRPr="003F29DA">
        <w:rPr>
          <w:rFonts w:ascii="Arial" w:hAnsi="Arial" w:cs="Arial"/>
          <w:sz w:val="22"/>
          <w:szCs w:val="22"/>
        </w:rPr>
        <w:t>results</w:t>
      </w:r>
      <w:r w:rsidRPr="003F29DA">
        <w:rPr>
          <w:rFonts w:ascii="Arial" w:hAnsi="Arial" w:cs="Arial"/>
          <w:sz w:val="22"/>
          <w:szCs w:val="22"/>
        </w:rPr>
        <w:t>.</w:t>
      </w:r>
    </w:p>
    <w:p w14:paraId="64F5BFA5" w14:textId="0B342050" w:rsidR="003F29DA" w:rsidRPr="002D1729" w:rsidRDefault="003F29DA" w:rsidP="00C24C8D">
      <w:pPr>
        <w:pStyle w:val="Heading2"/>
        <w:spacing w:line="360" w:lineRule="auto"/>
        <w:jc w:val="both"/>
        <w:rPr>
          <w:rFonts w:ascii="Arial" w:hAnsi="Arial" w:cs="Arial"/>
          <w:b/>
          <w:bCs/>
          <w:sz w:val="28"/>
          <w:szCs w:val="28"/>
        </w:rPr>
      </w:pPr>
      <w:bookmarkStart w:id="67" w:name="_Toc220878914"/>
      <w:r w:rsidRPr="002D1729">
        <w:rPr>
          <w:rFonts w:ascii="Arial" w:hAnsi="Arial" w:cs="Arial"/>
          <w:b/>
          <w:bCs/>
          <w:sz w:val="28"/>
          <w:szCs w:val="28"/>
        </w:rPr>
        <w:t>3.10 Data Synthesis</w:t>
      </w:r>
      <w:bookmarkEnd w:id="67"/>
    </w:p>
    <w:p w14:paraId="4464911B" w14:textId="290B1EA2"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Due to the high variation between studies in terms of design, outcome measures, intervention intensity and participant characteristics, a narrative synthesis strategy was chosen (Campbell et al., 2020; Popay et al., 2006). Because the included studies utilized varied fall-prevention strategies, follow-up times, and physiotherapy methods, making it difficult to calculate pooled effect sizes, meta-analysis was ruled unsuitable (Higgins et al., 2020; Campbell et al., 2020). Narrative synthesis allowed the reviewer to compare data qualitatively and discover underlying themes (Popay et al., 2006).</w:t>
      </w:r>
      <w:r w:rsidR="00B01B9B">
        <w:rPr>
          <w:rFonts w:ascii="Arial" w:hAnsi="Arial" w:cs="Arial"/>
          <w:sz w:val="22"/>
          <w:szCs w:val="22"/>
        </w:rPr>
        <w:t xml:space="preserve"> </w:t>
      </w:r>
      <w:r w:rsidR="00B01B9B" w:rsidRPr="00B01B9B">
        <w:rPr>
          <w:rFonts w:ascii="Arial" w:hAnsi="Arial" w:cs="Arial"/>
          <w:sz w:val="22"/>
          <w:szCs w:val="22"/>
        </w:rPr>
        <w:t>In rehabilitation research, when contextual factors and intervention complexity make meta-analytic methods impractical, narrative synthesis is especially well-suited (Rodgers et al., 2009; Ryan, 2016).</w:t>
      </w:r>
    </w:p>
    <w:p w14:paraId="565DE536" w14:textId="29739899"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Studies were synthesized thematically depending on their intervention emphasis, such as exercise-based physiotherapy programs, environmental assessment treatments and interdisciplinary community models (Thomas and Harden, 2008). Mixed-methods data were incorporated to give depth, notably on hurdles such as transit accessibility, socioeconomic disadvantage and perceptions of safety</w:t>
      </w:r>
      <w:r w:rsidR="00F35EC6">
        <w:rPr>
          <w:rFonts w:ascii="Arial" w:hAnsi="Arial" w:cs="Arial"/>
          <w:sz w:val="22"/>
          <w:szCs w:val="22"/>
        </w:rPr>
        <w:t xml:space="preserve">, </w:t>
      </w:r>
      <w:r w:rsidRPr="003F29DA">
        <w:rPr>
          <w:rFonts w:ascii="Arial" w:hAnsi="Arial" w:cs="Arial"/>
          <w:sz w:val="22"/>
          <w:szCs w:val="22"/>
        </w:rPr>
        <w:t>factors known to impact involvement with</w:t>
      </w:r>
      <w:r w:rsidR="002D1729">
        <w:rPr>
          <w:rFonts w:ascii="Arial" w:hAnsi="Arial" w:cs="Arial"/>
          <w:sz w:val="22"/>
          <w:szCs w:val="22"/>
        </w:rPr>
        <w:t xml:space="preserve"> </w:t>
      </w:r>
      <w:r w:rsidRPr="003F29DA">
        <w:rPr>
          <w:rFonts w:ascii="Arial" w:hAnsi="Arial" w:cs="Arial"/>
          <w:sz w:val="22"/>
          <w:szCs w:val="22"/>
        </w:rPr>
        <w:t xml:space="preserve">community health initiatives (Anderson and White, 2021; Marmot et </w:t>
      </w:r>
      <w:r w:rsidRPr="003F29DA">
        <w:rPr>
          <w:rFonts w:ascii="Arial" w:hAnsi="Arial" w:cs="Arial"/>
          <w:sz w:val="22"/>
          <w:szCs w:val="22"/>
        </w:rPr>
        <w:lastRenderedPageBreak/>
        <w:t>al., 2020). This integration is consistent with current research in public health, which highlights the significance of contextual knowledge in addition to quantitative results (Hopewell et al., 2021; Montero-Odasso et al., 2022).</w:t>
      </w:r>
    </w:p>
    <w:p w14:paraId="1B3F03F5" w14:textId="5CB8FAE6" w:rsidR="003F29DA" w:rsidRPr="002D1729" w:rsidRDefault="003F29DA" w:rsidP="00C24C8D">
      <w:pPr>
        <w:pStyle w:val="Heading2"/>
        <w:spacing w:line="360" w:lineRule="auto"/>
        <w:jc w:val="both"/>
        <w:rPr>
          <w:rFonts w:ascii="Arial" w:hAnsi="Arial" w:cs="Arial"/>
          <w:b/>
          <w:bCs/>
          <w:sz w:val="28"/>
          <w:szCs w:val="28"/>
        </w:rPr>
      </w:pPr>
      <w:bookmarkStart w:id="68" w:name="_Toc220878915"/>
      <w:r w:rsidRPr="002D1729">
        <w:rPr>
          <w:rFonts w:ascii="Arial" w:hAnsi="Arial" w:cs="Arial"/>
          <w:b/>
          <w:bCs/>
          <w:sz w:val="28"/>
          <w:szCs w:val="28"/>
        </w:rPr>
        <w:t>3.11 Ethical Considerations</w:t>
      </w:r>
      <w:bookmarkEnd w:id="68"/>
    </w:p>
    <w:p w14:paraId="78C13A61" w14:textId="2508F2E5"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This review involves the synthesis of already published, peer-reviewed studies and so did not require NHS studies Ethics Committee clearance (COPE, 2022; NHS Health Research Authority, 2023). Systematic reviews that examine secondary data do not include direct participant engagement and are designated as minimal-risk research under international ethical criteria (COPE, 2022).</w:t>
      </w:r>
      <w:r w:rsidR="00B01B9B">
        <w:rPr>
          <w:rFonts w:ascii="Arial" w:hAnsi="Arial" w:cs="Arial"/>
          <w:sz w:val="22"/>
          <w:szCs w:val="22"/>
        </w:rPr>
        <w:t xml:space="preserve"> </w:t>
      </w:r>
      <w:r w:rsidR="00B01B9B" w:rsidRPr="00B01B9B">
        <w:rPr>
          <w:rFonts w:ascii="Arial" w:hAnsi="Arial" w:cs="Arial"/>
          <w:sz w:val="22"/>
          <w:szCs w:val="22"/>
        </w:rPr>
        <w:t xml:space="preserve">However, </w:t>
      </w:r>
      <w:r w:rsidR="004C31AD" w:rsidRPr="00B01B9B">
        <w:rPr>
          <w:rFonts w:ascii="Arial" w:hAnsi="Arial" w:cs="Arial"/>
          <w:sz w:val="22"/>
          <w:szCs w:val="22"/>
        </w:rPr>
        <w:t>to</w:t>
      </w:r>
      <w:r w:rsidR="00B01B9B" w:rsidRPr="00B01B9B">
        <w:rPr>
          <w:rFonts w:ascii="Arial" w:hAnsi="Arial" w:cs="Arial"/>
          <w:sz w:val="22"/>
          <w:szCs w:val="22"/>
        </w:rPr>
        <w:t xml:space="preserve"> maintain research integrity and public confidence, ethical best practices call for clear reporting, proper citation, and avoidance of data falsification (Shaw et al., 2016; Resnik, 2020).</w:t>
      </w:r>
    </w:p>
    <w:p w14:paraId="32B7F7D1" w14:textId="52B1DFF3" w:rsidR="00A61438" w:rsidRDefault="003F29DA" w:rsidP="00C24C8D">
      <w:pPr>
        <w:spacing w:line="360" w:lineRule="auto"/>
        <w:jc w:val="both"/>
        <w:rPr>
          <w:rFonts w:ascii="Arial" w:hAnsi="Arial" w:cs="Arial"/>
          <w:sz w:val="22"/>
          <w:szCs w:val="22"/>
        </w:rPr>
      </w:pPr>
      <w:r w:rsidRPr="003F29DA">
        <w:rPr>
          <w:rFonts w:ascii="Arial" w:hAnsi="Arial" w:cs="Arial"/>
          <w:sz w:val="22"/>
          <w:szCs w:val="22"/>
        </w:rPr>
        <w:t>The review also complies with PRISMA 2020 ethical criteria involving transparency in reporting, methodological clarity and avoidance of selective reporting (Page et al., 2021; Moher et al., 2009).</w:t>
      </w:r>
    </w:p>
    <w:p w14:paraId="7825ABA2" w14:textId="0E72D2EA" w:rsidR="00A61438" w:rsidRPr="00BF529C" w:rsidRDefault="00A61438" w:rsidP="00C24C8D">
      <w:pPr>
        <w:pStyle w:val="Heading2"/>
        <w:spacing w:line="360" w:lineRule="auto"/>
        <w:jc w:val="both"/>
        <w:rPr>
          <w:rFonts w:ascii="Arial" w:hAnsi="Arial" w:cs="Arial"/>
          <w:b/>
          <w:bCs/>
          <w:sz w:val="28"/>
          <w:szCs w:val="28"/>
        </w:rPr>
      </w:pPr>
      <w:bookmarkStart w:id="69" w:name="_Toc220878916"/>
      <w:r w:rsidRPr="00BF529C">
        <w:rPr>
          <w:rFonts w:ascii="Arial" w:hAnsi="Arial" w:cs="Arial"/>
          <w:b/>
          <w:bCs/>
          <w:sz w:val="28"/>
          <w:szCs w:val="28"/>
        </w:rPr>
        <w:t>3.12 Patient and Public Involvement Considerations</w:t>
      </w:r>
      <w:bookmarkEnd w:id="69"/>
    </w:p>
    <w:p w14:paraId="09F76953" w14:textId="33CD78EC" w:rsidR="00A61438" w:rsidRPr="00A61438" w:rsidRDefault="00A61438" w:rsidP="00C24C8D">
      <w:pPr>
        <w:spacing w:line="360" w:lineRule="auto"/>
        <w:jc w:val="both"/>
        <w:rPr>
          <w:rFonts w:ascii="Arial" w:hAnsi="Arial" w:cs="Arial"/>
          <w:sz w:val="22"/>
          <w:szCs w:val="22"/>
        </w:rPr>
      </w:pPr>
      <w:r w:rsidRPr="00A61438">
        <w:rPr>
          <w:rFonts w:ascii="Arial" w:hAnsi="Arial" w:cs="Arial"/>
          <w:sz w:val="22"/>
          <w:szCs w:val="22"/>
        </w:rPr>
        <w:t xml:space="preserve">Despite not being specifically addressed in this systematic review, patient and public engagement (PPI) is relevant to fall prevention research and community-based physiotherapy. </w:t>
      </w:r>
      <w:r w:rsidR="004C31AD" w:rsidRPr="00A61438">
        <w:rPr>
          <w:rFonts w:ascii="Arial" w:hAnsi="Arial" w:cs="Arial"/>
          <w:sz w:val="22"/>
          <w:szCs w:val="22"/>
        </w:rPr>
        <w:t>To</w:t>
      </w:r>
      <w:r w:rsidRPr="00A61438">
        <w:rPr>
          <w:rFonts w:ascii="Arial" w:hAnsi="Arial" w:cs="Arial"/>
          <w:sz w:val="22"/>
          <w:szCs w:val="22"/>
        </w:rPr>
        <w:t xml:space="preserve"> ensure that studies address topics that are important to service users, PPI refers to the active participation of patients and members of the public in the design, conduct, and dissemination of research (NIHR, 2021).</w:t>
      </w:r>
    </w:p>
    <w:p w14:paraId="05E3A9ED" w14:textId="00B8B4D1" w:rsidR="00A61438" w:rsidRDefault="00004346" w:rsidP="00C24C8D">
      <w:pPr>
        <w:spacing w:line="360" w:lineRule="auto"/>
        <w:jc w:val="both"/>
        <w:rPr>
          <w:rFonts w:ascii="Arial" w:hAnsi="Arial" w:cs="Arial"/>
          <w:sz w:val="22"/>
          <w:szCs w:val="22"/>
        </w:rPr>
      </w:pPr>
      <w:r w:rsidRPr="00004346">
        <w:rPr>
          <w:rFonts w:ascii="Arial" w:hAnsi="Arial" w:cs="Arial"/>
          <w:sz w:val="22"/>
          <w:szCs w:val="22"/>
        </w:rPr>
        <w:t>Research indicates that including older persons in the creation of fall prevention programs enhances their acceptability, relevance, and adherence</w:t>
      </w:r>
      <w:r w:rsidR="004C31AD">
        <w:rPr>
          <w:rFonts w:ascii="Arial" w:hAnsi="Arial" w:cs="Arial"/>
          <w:sz w:val="22"/>
          <w:szCs w:val="22"/>
        </w:rPr>
        <w:t xml:space="preserve">, </w:t>
      </w:r>
      <w:r w:rsidRPr="00004346">
        <w:rPr>
          <w:rFonts w:ascii="Arial" w:hAnsi="Arial" w:cs="Arial"/>
          <w:sz w:val="22"/>
          <w:szCs w:val="22"/>
        </w:rPr>
        <w:t>especially among varied urban populations (Brett et al., 2014; Montero-Odasso et al., 2022)</w:t>
      </w:r>
      <w:r w:rsidR="00A61438" w:rsidRPr="00A61438">
        <w:rPr>
          <w:rFonts w:ascii="Arial" w:hAnsi="Arial" w:cs="Arial"/>
          <w:sz w:val="22"/>
          <w:szCs w:val="22"/>
        </w:rPr>
        <w:t xml:space="preserve">. According to Marmot et al. (2020), older persons can offer insightful information about perceived obstacles, cultural factors, and practical difficulties related to attending community-based </w:t>
      </w:r>
      <w:r w:rsidR="00BA1983" w:rsidRPr="00BA1983">
        <w:rPr>
          <w:rFonts w:ascii="Arial" w:hAnsi="Arial" w:cs="Arial"/>
          <w:sz w:val="22"/>
          <w:szCs w:val="22"/>
        </w:rPr>
        <w:t>physiotherapy</w:t>
      </w:r>
      <w:r w:rsidR="00BA1983">
        <w:rPr>
          <w:rFonts w:ascii="Arial" w:hAnsi="Arial" w:cs="Arial"/>
          <w:sz w:val="22"/>
          <w:szCs w:val="22"/>
        </w:rPr>
        <w:t xml:space="preserve"> </w:t>
      </w:r>
      <w:r w:rsidR="00A61438" w:rsidRPr="00A61438">
        <w:rPr>
          <w:rFonts w:ascii="Arial" w:hAnsi="Arial" w:cs="Arial"/>
          <w:sz w:val="22"/>
          <w:szCs w:val="22"/>
        </w:rPr>
        <w:t>sessions, such as transportation access, scheduling, and environmental safety.</w:t>
      </w:r>
    </w:p>
    <w:p w14:paraId="2D2ACB59" w14:textId="2A80835A" w:rsidR="00A61438" w:rsidRPr="00A61438" w:rsidRDefault="00A61438" w:rsidP="00C24C8D">
      <w:pPr>
        <w:spacing w:line="360" w:lineRule="auto"/>
        <w:jc w:val="both"/>
        <w:rPr>
          <w:rFonts w:ascii="Arial" w:hAnsi="Arial" w:cs="Arial"/>
          <w:sz w:val="22"/>
          <w:szCs w:val="22"/>
        </w:rPr>
      </w:pPr>
      <w:r w:rsidRPr="00A61438">
        <w:rPr>
          <w:rFonts w:ascii="Arial" w:hAnsi="Arial" w:cs="Arial"/>
          <w:sz w:val="22"/>
          <w:szCs w:val="22"/>
        </w:rPr>
        <w:t>PPI may be especially helpful in lowering disparities in service usage in urban England, where communities are distinguished by socioeconomic, linguistic, and cultural diversity (NICE, 2025). It has been demonstrated that interacting with volunteer organizations and community leaders increases trust in healthcare services and expands access to underprivileged populations (Public Health England, 2020).</w:t>
      </w:r>
      <w:r w:rsidRPr="00A61438">
        <w:t xml:space="preserve"> </w:t>
      </w:r>
      <w:r w:rsidRPr="00A61438">
        <w:rPr>
          <w:rFonts w:ascii="Arial" w:hAnsi="Arial" w:cs="Arial"/>
          <w:sz w:val="22"/>
          <w:szCs w:val="22"/>
        </w:rPr>
        <w:t xml:space="preserve">Future primary research should use PPI to improve intervention design and guarantee that </w:t>
      </w:r>
      <w:r w:rsidRPr="00A61438">
        <w:rPr>
          <w:rFonts w:ascii="Arial" w:hAnsi="Arial" w:cs="Arial"/>
          <w:sz w:val="22"/>
          <w:szCs w:val="22"/>
        </w:rPr>
        <w:lastRenderedPageBreak/>
        <w:t>physiotherapy services are sensitive to local requirements, even if the current evaluation relied on secondary data.</w:t>
      </w:r>
    </w:p>
    <w:p w14:paraId="76217656" w14:textId="4C22044D" w:rsidR="00A61438" w:rsidRDefault="00A61438" w:rsidP="00C24C8D">
      <w:pPr>
        <w:spacing w:line="360" w:lineRule="auto"/>
        <w:jc w:val="both"/>
        <w:rPr>
          <w:rFonts w:ascii="Arial" w:hAnsi="Arial" w:cs="Arial"/>
          <w:sz w:val="22"/>
          <w:szCs w:val="22"/>
        </w:rPr>
      </w:pPr>
      <w:r w:rsidRPr="00A61438">
        <w:rPr>
          <w:rFonts w:ascii="Arial" w:hAnsi="Arial" w:cs="Arial"/>
          <w:sz w:val="22"/>
          <w:szCs w:val="22"/>
        </w:rPr>
        <w:t xml:space="preserve">Acknowledging the importance of PPI is consistent with the moral precepts of fairness, inclusion, and respect. Including older </w:t>
      </w:r>
      <w:r w:rsidR="004C31AD">
        <w:rPr>
          <w:rFonts w:ascii="Arial" w:hAnsi="Arial" w:cs="Arial"/>
          <w:sz w:val="22"/>
          <w:szCs w:val="22"/>
        </w:rPr>
        <w:t>adult</w:t>
      </w:r>
      <w:r w:rsidR="004C31AD" w:rsidRPr="00A61438">
        <w:rPr>
          <w:rFonts w:ascii="Arial" w:hAnsi="Arial" w:cs="Arial"/>
          <w:sz w:val="22"/>
          <w:szCs w:val="22"/>
        </w:rPr>
        <w:t>s’</w:t>
      </w:r>
      <w:r w:rsidR="00330FA7">
        <w:rPr>
          <w:rFonts w:ascii="Arial" w:hAnsi="Arial" w:cs="Arial"/>
          <w:sz w:val="22"/>
          <w:szCs w:val="22"/>
        </w:rPr>
        <w:t xml:space="preserve"> </w:t>
      </w:r>
      <w:r w:rsidRPr="00A61438">
        <w:rPr>
          <w:rFonts w:ascii="Arial" w:hAnsi="Arial" w:cs="Arial"/>
          <w:sz w:val="22"/>
          <w:szCs w:val="22"/>
        </w:rPr>
        <w:t>viewpoints in community-based fall prevention research might lead to more sustainable, equitable, and successful physiotherapy programs throughout metropolitan England.</w:t>
      </w:r>
    </w:p>
    <w:p w14:paraId="7138C53A" w14:textId="5004F5A5" w:rsidR="00B01B9B" w:rsidRDefault="00B01B9B" w:rsidP="00C24C8D">
      <w:pPr>
        <w:spacing w:line="360" w:lineRule="auto"/>
        <w:jc w:val="both"/>
        <w:rPr>
          <w:rFonts w:ascii="Arial" w:hAnsi="Arial" w:cs="Arial"/>
          <w:sz w:val="22"/>
          <w:szCs w:val="22"/>
        </w:rPr>
      </w:pPr>
    </w:p>
    <w:p w14:paraId="74B3B8C4" w14:textId="77777777" w:rsidR="000D29EE" w:rsidRDefault="000D29EE" w:rsidP="00C24C8D">
      <w:pPr>
        <w:spacing w:line="360" w:lineRule="auto"/>
        <w:jc w:val="both"/>
        <w:rPr>
          <w:rFonts w:ascii="Arial" w:hAnsi="Arial" w:cs="Arial"/>
          <w:sz w:val="22"/>
          <w:szCs w:val="22"/>
        </w:rPr>
      </w:pPr>
    </w:p>
    <w:p w14:paraId="5794D04F" w14:textId="77777777" w:rsidR="000D29EE" w:rsidRDefault="000D29EE" w:rsidP="00C24C8D">
      <w:pPr>
        <w:spacing w:line="360" w:lineRule="auto"/>
        <w:jc w:val="both"/>
        <w:rPr>
          <w:rFonts w:ascii="Arial" w:hAnsi="Arial" w:cs="Arial"/>
          <w:sz w:val="22"/>
          <w:szCs w:val="22"/>
        </w:rPr>
      </w:pPr>
    </w:p>
    <w:p w14:paraId="1B3A659D" w14:textId="77777777" w:rsidR="000D29EE" w:rsidRDefault="000D29EE" w:rsidP="00C24C8D">
      <w:pPr>
        <w:spacing w:line="360" w:lineRule="auto"/>
        <w:jc w:val="both"/>
        <w:rPr>
          <w:rFonts w:ascii="Arial" w:hAnsi="Arial" w:cs="Arial"/>
          <w:sz w:val="22"/>
          <w:szCs w:val="22"/>
        </w:rPr>
      </w:pPr>
    </w:p>
    <w:p w14:paraId="22544077" w14:textId="77777777" w:rsidR="000D29EE" w:rsidRDefault="000D29EE" w:rsidP="00C24C8D">
      <w:pPr>
        <w:spacing w:line="360" w:lineRule="auto"/>
        <w:jc w:val="both"/>
        <w:rPr>
          <w:rFonts w:ascii="Arial" w:hAnsi="Arial" w:cs="Arial"/>
          <w:sz w:val="22"/>
          <w:szCs w:val="22"/>
        </w:rPr>
      </w:pPr>
    </w:p>
    <w:p w14:paraId="67B363C5" w14:textId="77777777" w:rsidR="000D29EE" w:rsidRDefault="000D29EE" w:rsidP="00C24C8D">
      <w:pPr>
        <w:spacing w:line="360" w:lineRule="auto"/>
        <w:jc w:val="both"/>
        <w:rPr>
          <w:rFonts w:ascii="Arial" w:hAnsi="Arial" w:cs="Arial"/>
          <w:sz w:val="22"/>
          <w:szCs w:val="22"/>
        </w:rPr>
      </w:pPr>
    </w:p>
    <w:p w14:paraId="660EB5C4" w14:textId="77777777" w:rsidR="000D29EE" w:rsidRDefault="000D29EE" w:rsidP="00C24C8D">
      <w:pPr>
        <w:spacing w:line="360" w:lineRule="auto"/>
        <w:jc w:val="both"/>
        <w:rPr>
          <w:rFonts w:ascii="Arial" w:hAnsi="Arial" w:cs="Arial"/>
          <w:sz w:val="22"/>
          <w:szCs w:val="22"/>
        </w:rPr>
      </w:pPr>
    </w:p>
    <w:p w14:paraId="52310B1A" w14:textId="77777777" w:rsidR="000D29EE" w:rsidRDefault="000D29EE" w:rsidP="00C24C8D">
      <w:pPr>
        <w:spacing w:line="360" w:lineRule="auto"/>
        <w:jc w:val="both"/>
        <w:rPr>
          <w:rFonts w:ascii="Arial" w:hAnsi="Arial" w:cs="Arial"/>
          <w:sz w:val="22"/>
          <w:szCs w:val="22"/>
        </w:rPr>
      </w:pPr>
    </w:p>
    <w:p w14:paraId="69CB34AA" w14:textId="77777777" w:rsidR="000D29EE" w:rsidRDefault="000D29EE" w:rsidP="00C24C8D">
      <w:pPr>
        <w:spacing w:line="360" w:lineRule="auto"/>
        <w:jc w:val="both"/>
        <w:rPr>
          <w:rFonts w:ascii="Arial" w:hAnsi="Arial" w:cs="Arial"/>
          <w:sz w:val="22"/>
          <w:szCs w:val="22"/>
        </w:rPr>
      </w:pPr>
    </w:p>
    <w:p w14:paraId="6A9B645D" w14:textId="77777777" w:rsidR="000D29EE" w:rsidRDefault="000D29EE" w:rsidP="00C24C8D">
      <w:pPr>
        <w:spacing w:line="360" w:lineRule="auto"/>
        <w:jc w:val="both"/>
        <w:rPr>
          <w:rFonts w:ascii="Arial" w:hAnsi="Arial" w:cs="Arial"/>
          <w:sz w:val="22"/>
          <w:szCs w:val="22"/>
        </w:rPr>
      </w:pPr>
    </w:p>
    <w:p w14:paraId="307477D5" w14:textId="77777777" w:rsidR="000D29EE" w:rsidRDefault="000D29EE" w:rsidP="00C24C8D">
      <w:pPr>
        <w:spacing w:line="360" w:lineRule="auto"/>
        <w:jc w:val="both"/>
        <w:rPr>
          <w:rFonts w:ascii="Arial" w:hAnsi="Arial" w:cs="Arial"/>
          <w:sz w:val="22"/>
          <w:szCs w:val="22"/>
        </w:rPr>
      </w:pPr>
    </w:p>
    <w:p w14:paraId="49BC3D72" w14:textId="77777777" w:rsidR="000D29EE" w:rsidRDefault="000D29EE" w:rsidP="00C24C8D">
      <w:pPr>
        <w:spacing w:line="360" w:lineRule="auto"/>
        <w:jc w:val="both"/>
        <w:rPr>
          <w:rFonts w:ascii="Arial" w:hAnsi="Arial" w:cs="Arial"/>
          <w:sz w:val="22"/>
          <w:szCs w:val="22"/>
        </w:rPr>
      </w:pPr>
    </w:p>
    <w:p w14:paraId="6AA3FFE4" w14:textId="77777777" w:rsidR="000D29EE" w:rsidRDefault="000D29EE" w:rsidP="00C24C8D">
      <w:pPr>
        <w:spacing w:line="360" w:lineRule="auto"/>
        <w:jc w:val="both"/>
        <w:rPr>
          <w:rFonts w:ascii="Arial" w:hAnsi="Arial" w:cs="Arial"/>
          <w:sz w:val="22"/>
          <w:szCs w:val="22"/>
        </w:rPr>
      </w:pPr>
    </w:p>
    <w:p w14:paraId="6688372D" w14:textId="77777777" w:rsidR="000D29EE" w:rsidRDefault="000D29EE" w:rsidP="00C24C8D">
      <w:pPr>
        <w:spacing w:line="360" w:lineRule="auto"/>
        <w:jc w:val="both"/>
        <w:rPr>
          <w:rFonts w:ascii="Arial" w:hAnsi="Arial" w:cs="Arial"/>
          <w:sz w:val="22"/>
          <w:szCs w:val="22"/>
        </w:rPr>
      </w:pPr>
    </w:p>
    <w:p w14:paraId="2D27C5FB" w14:textId="77777777" w:rsidR="000D29EE" w:rsidRDefault="000D29EE" w:rsidP="00C24C8D">
      <w:pPr>
        <w:spacing w:line="360" w:lineRule="auto"/>
        <w:jc w:val="both"/>
        <w:rPr>
          <w:rFonts w:ascii="Arial" w:hAnsi="Arial" w:cs="Arial"/>
          <w:sz w:val="22"/>
          <w:szCs w:val="22"/>
        </w:rPr>
      </w:pPr>
    </w:p>
    <w:p w14:paraId="6FC52ADB" w14:textId="77777777" w:rsidR="004C31AD" w:rsidRDefault="004C31AD" w:rsidP="00C24C8D">
      <w:pPr>
        <w:spacing w:line="360" w:lineRule="auto"/>
        <w:jc w:val="both"/>
        <w:rPr>
          <w:rFonts w:ascii="Arial" w:hAnsi="Arial" w:cs="Arial"/>
          <w:sz w:val="22"/>
          <w:szCs w:val="22"/>
        </w:rPr>
      </w:pPr>
    </w:p>
    <w:p w14:paraId="6C85D589" w14:textId="77777777" w:rsidR="004C31AD" w:rsidRDefault="004C31AD" w:rsidP="00C24C8D">
      <w:pPr>
        <w:spacing w:line="360" w:lineRule="auto"/>
        <w:jc w:val="both"/>
        <w:rPr>
          <w:rFonts w:ascii="Arial" w:hAnsi="Arial" w:cs="Arial"/>
          <w:sz w:val="22"/>
          <w:szCs w:val="22"/>
        </w:rPr>
      </w:pPr>
    </w:p>
    <w:p w14:paraId="4538099A" w14:textId="77777777" w:rsidR="004C31AD" w:rsidRPr="003F29DA" w:rsidRDefault="004C31AD" w:rsidP="00C24C8D">
      <w:pPr>
        <w:spacing w:line="360" w:lineRule="auto"/>
        <w:jc w:val="both"/>
        <w:rPr>
          <w:rFonts w:ascii="Arial" w:hAnsi="Arial" w:cs="Arial"/>
          <w:sz w:val="22"/>
          <w:szCs w:val="22"/>
        </w:rPr>
      </w:pPr>
    </w:p>
    <w:p w14:paraId="6E9A8C4E" w14:textId="6CBF7209" w:rsidR="003F29DA" w:rsidRPr="002D1729" w:rsidRDefault="003F29DA" w:rsidP="00C24C8D">
      <w:pPr>
        <w:pStyle w:val="Heading1"/>
        <w:spacing w:line="360" w:lineRule="auto"/>
        <w:jc w:val="both"/>
        <w:rPr>
          <w:rFonts w:ascii="Arial" w:hAnsi="Arial" w:cs="Arial"/>
          <w:b/>
          <w:bCs/>
          <w:sz w:val="32"/>
          <w:szCs w:val="32"/>
        </w:rPr>
      </w:pPr>
      <w:bookmarkStart w:id="70" w:name="_Toc220878917"/>
      <w:r w:rsidRPr="002D1729">
        <w:rPr>
          <w:rFonts w:ascii="Arial" w:hAnsi="Arial" w:cs="Arial"/>
          <w:b/>
          <w:bCs/>
          <w:sz w:val="32"/>
          <w:szCs w:val="32"/>
        </w:rPr>
        <w:lastRenderedPageBreak/>
        <w:t>C</w:t>
      </w:r>
      <w:r w:rsidR="00694A13">
        <w:rPr>
          <w:rFonts w:ascii="Arial" w:hAnsi="Arial" w:cs="Arial"/>
          <w:b/>
          <w:bCs/>
          <w:sz w:val="32"/>
          <w:szCs w:val="32"/>
        </w:rPr>
        <w:t>hapter</w:t>
      </w:r>
      <w:r w:rsidRPr="002D1729">
        <w:rPr>
          <w:rFonts w:ascii="Arial" w:hAnsi="Arial" w:cs="Arial"/>
          <w:b/>
          <w:bCs/>
          <w:sz w:val="32"/>
          <w:szCs w:val="32"/>
        </w:rPr>
        <w:t xml:space="preserve"> 4: R</w:t>
      </w:r>
      <w:r w:rsidR="00694A13">
        <w:rPr>
          <w:rFonts w:ascii="Arial" w:hAnsi="Arial" w:cs="Arial"/>
          <w:b/>
          <w:bCs/>
          <w:sz w:val="32"/>
          <w:szCs w:val="32"/>
        </w:rPr>
        <w:t>esults</w:t>
      </w:r>
      <w:bookmarkEnd w:id="70"/>
    </w:p>
    <w:p w14:paraId="3A0590BC" w14:textId="16C1EBDF" w:rsidR="003F29DA" w:rsidRPr="002D1729" w:rsidRDefault="003F29DA" w:rsidP="00C24C8D">
      <w:pPr>
        <w:pStyle w:val="Heading2"/>
        <w:spacing w:line="360" w:lineRule="auto"/>
        <w:jc w:val="both"/>
        <w:rPr>
          <w:rFonts w:ascii="Arial" w:hAnsi="Arial" w:cs="Arial"/>
          <w:b/>
          <w:bCs/>
          <w:sz w:val="28"/>
          <w:szCs w:val="28"/>
        </w:rPr>
      </w:pPr>
      <w:bookmarkStart w:id="71" w:name="_Toc220878918"/>
      <w:r w:rsidRPr="002D1729">
        <w:rPr>
          <w:rFonts w:ascii="Arial" w:hAnsi="Arial" w:cs="Arial"/>
          <w:b/>
          <w:bCs/>
          <w:sz w:val="28"/>
          <w:szCs w:val="28"/>
        </w:rPr>
        <w:t>4.1</w:t>
      </w:r>
      <w:r w:rsidR="002D1729" w:rsidRPr="002D1729">
        <w:rPr>
          <w:rFonts w:ascii="Arial" w:hAnsi="Arial" w:cs="Arial"/>
          <w:b/>
          <w:bCs/>
          <w:sz w:val="28"/>
          <w:szCs w:val="28"/>
        </w:rPr>
        <w:t xml:space="preserve"> </w:t>
      </w:r>
      <w:r w:rsidRPr="002D1729">
        <w:rPr>
          <w:rFonts w:ascii="Arial" w:hAnsi="Arial" w:cs="Arial"/>
          <w:b/>
          <w:bCs/>
          <w:sz w:val="28"/>
          <w:szCs w:val="28"/>
        </w:rPr>
        <w:t>Introduction</w:t>
      </w:r>
      <w:bookmarkEnd w:id="71"/>
    </w:p>
    <w:p w14:paraId="028E54A4" w14:textId="787A1E4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This chapter critically synthesises the findings of the included studies, moving beyond descriptive reporting to evaluate consistencies, contradictions, and contextual influences. The findings are interpreted in relation to the gaps identified in Chapter 2, with particular attention to the physical, psychological, social, and environmental dimensions of community-based physiotherapy interventions in urban settings.</w:t>
      </w:r>
      <w:r w:rsidR="00767DC3">
        <w:rPr>
          <w:rFonts w:ascii="Arial" w:hAnsi="Arial" w:cs="Arial"/>
          <w:sz w:val="22"/>
          <w:szCs w:val="22"/>
        </w:rPr>
        <w:t xml:space="preserve"> </w:t>
      </w:r>
      <w:r w:rsidR="004C31AD" w:rsidRPr="00767DC3">
        <w:rPr>
          <w:rFonts w:ascii="Arial" w:hAnsi="Arial" w:cs="Arial"/>
          <w:sz w:val="22"/>
          <w:szCs w:val="22"/>
        </w:rPr>
        <w:t>To</w:t>
      </w:r>
      <w:r w:rsidR="00767DC3" w:rsidRPr="00767DC3">
        <w:rPr>
          <w:rFonts w:ascii="Arial" w:hAnsi="Arial" w:cs="Arial"/>
          <w:sz w:val="22"/>
          <w:szCs w:val="22"/>
        </w:rPr>
        <w:t xml:space="preserve"> capture the intricate relationships between individual capacity, </w:t>
      </w:r>
      <w:r w:rsidR="002D689D" w:rsidRPr="00767DC3">
        <w:rPr>
          <w:rFonts w:ascii="Arial" w:hAnsi="Arial" w:cs="Arial"/>
          <w:sz w:val="22"/>
          <w:szCs w:val="22"/>
        </w:rPr>
        <w:t>behavioural</w:t>
      </w:r>
      <w:r w:rsidR="00767DC3" w:rsidRPr="00767DC3">
        <w:rPr>
          <w:rFonts w:ascii="Arial" w:hAnsi="Arial" w:cs="Arial"/>
          <w:sz w:val="22"/>
          <w:szCs w:val="22"/>
        </w:rPr>
        <w:t xml:space="preserve"> adaptability, and environmental context that influence intervention effects, it is advised that rehabilitation research adopt a multidimensional analytical lens (Hawe et al., 2009; Craig et al., 2018).</w:t>
      </w:r>
    </w:p>
    <w:p w14:paraId="42CABF8B" w14:textId="7FE87D54"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This chapter presented the results of the systematic review examining the effectiveness of community-based physiotherapy interventions in reducing falls among older adults aged 65 years and above living in metropolitan settings. The findings were derived from the twelve studies that met the inclusion criteria following the PRISMA-guided selection process outlined in Chapter 3. Results were reported descriptively and thematically, reflecting the heterogeneity of study designs, interventions and outcome measures. This chapter first summarized the systematic search outcomes and characteristics of the included studies, followed by data extraction and synthesis, and finally the identification of overarching themes.</w:t>
      </w:r>
    </w:p>
    <w:p w14:paraId="7723153A" w14:textId="67432648" w:rsidR="003F29DA" w:rsidRPr="002D1729" w:rsidRDefault="003F29DA" w:rsidP="00C24C8D">
      <w:pPr>
        <w:pStyle w:val="Heading2"/>
        <w:spacing w:line="360" w:lineRule="auto"/>
        <w:jc w:val="both"/>
        <w:rPr>
          <w:rFonts w:ascii="Arial" w:hAnsi="Arial" w:cs="Arial"/>
          <w:b/>
          <w:bCs/>
          <w:sz w:val="28"/>
          <w:szCs w:val="28"/>
        </w:rPr>
      </w:pPr>
      <w:bookmarkStart w:id="72" w:name="_Toc220878919"/>
      <w:r w:rsidRPr="002D1729">
        <w:rPr>
          <w:rFonts w:ascii="Arial" w:hAnsi="Arial" w:cs="Arial"/>
          <w:b/>
          <w:bCs/>
          <w:sz w:val="28"/>
          <w:szCs w:val="28"/>
        </w:rPr>
        <w:t>4.2</w:t>
      </w:r>
      <w:r w:rsidR="002D1729" w:rsidRPr="002D1729">
        <w:rPr>
          <w:rFonts w:ascii="Arial" w:hAnsi="Arial" w:cs="Arial"/>
          <w:b/>
          <w:bCs/>
          <w:sz w:val="28"/>
          <w:szCs w:val="28"/>
        </w:rPr>
        <w:t xml:space="preserve"> </w:t>
      </w:r>
      <w:r w:rsidRPr="002D1729">
        <w:rPr>
          <w:rFonts w:ascii="Arial" w:hAnsi="Arial" w:cs="Arial"/>
          <w:b/>
          <w:bCs/>
          <w:sz w:val="28"/>
          <w:szCs w:val="28"/>
        </w:rPr>
        <w:t>Systematic Search of Databases</w:t>
      </w:r>
      <w:bookmarkEnd w:id="72"/>
    </w:p>
    <w:p w14:paraId="47A129DD" w14:textId="151D0351"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systematic search across six electronic databases resulted in a substantial number of records. Following the removal of duplicates and application of inclusion and exclusion criteria, twelve studies were retained for final synthesis. </w:t>
      </w:r>
      <w:r w:rsidR="00767DC3" w:rsidRPr="00767DC3">
        <w:rPr>
          <w:rFonts w:ascii="Arial" w:hAnsi="Arial" w:cs="Arial"/>
          <w:sz w:val="22"/>
          <w:szCs w:val="22"/>
        </w:rPr>
        <w:t>Methodological literature emphasizes that depth, relevance, and contextual richness are prioritized over quantity in qualitative and mixed-method systematic reviews, despite the small final number of included research (Thomas and Harden, 2008; Sandelowski et al., 2012).</w:t>
      </w:r>
      <w:r w:rsidR="00767DC3">
        <w:rPr>
          <w:rFonts w:ascii="Arial" w:hAnsi="Arial" w:cs="Arial"/>
          <w:sz w:val="22"/>
          <w:szCs w:val="22"/>
        </w:rPr>
        <w:t xml:space="preserve"> </w:t>
      </w:r>
      <w:r w:rsidRPr="003F29DA">
        <w:rPr>
          <w:rFonts w:ascii="Arial" w:hAnsi="Arial" w:cs="Arial"/>
          <w:sz w:val="22"/>
          <w:szCs w:val="22"/>
        </w:rPr>
        <w:t>These included systematic reviews, randomised controlled trials, observational studies, qualitative studies and mixed-methods research focusing on community-based physiotherapy and falls prevention among older adults.</w:t>
      </w:r>
    </w:p>
    <w:p w14:paraId="0CCFCC92" w14:textId="326F64F7" w:rsidR="003F29DA" w:rsidRPr="002D1729" w:rsidRDefault="003F29DA" w:rsidP="00C24C8D">
      <w:pPr>
        <w:pStyle w:val="Heading2"/>
        <w:spacing w:line="360" w:lineRule="auto"/>
        <w:jc w:val="both"/>
        <w:rPr>
          <w:rFonts w:ascii="Arial" w:hAnsi="Arial" w:cs="Arial"/>
          <w:b/>
          <w:bCs/>
          <w:sz w:val="28"/>
          <w:szCs w:val="28"/>
        </w:rPr>
      </w:pPr>
      <w:bookmarkStart w:id="73" w:name="_Toc220878920"/>
      <w:r w:rsidRPr="002D1729">
        <w:rPr>
          <w:rFonts w:ascii="Arial" w:hAnsi="Arial" w:cs="Arial"/>
          <w:b/>
          <w:bCs/>
          <w:sz w:val="28"/>
          <w:szCs w:val="28"/>
        </w:rPr>
        <w:t>4.3</w:t>
      </w:r>
      <w:r w:rsidR="002D1729" w:rsidRPr="002D1729">
        <w:rPr>
          <w:rFonts w:ascii="Arial" w:hAnsi="Arial" w:cs="Arial"/>
          <w:b/>
          <w:bCs/>
          <w:sz w:val="28"/>
          <w:szCs w:val="28"/>
        </w:rPr>
        <w:t xml:space="preserve"> </w:t>
      </w:r>
      <w:r w:rsidRPr="002D1729">
        <w:rPr>
          <w:rFonts w:ascii="Arial" w:hAnsi="Arial" w:cs="Arial"/>
          <w:b/>
          <w:bCs/>
          <w:sz w:val="28"/>
          <w:szCs w:val="28"/>
        </w:rPr>
        <w:t>Characteristics of Included Studies</w:t>
      </w:r>
      <w:bookmarkEnd w:id="73"/>
    </w:p>
    <w:p w14:paraId="637C5069" w14:textId="61E2E6F7" w:rsidR="003F29DA" w:rsidRPr="003F29DA" w:rsidRDefault="004F2F7D" w:rsidP="00C24C8D">
      <w:pPr>
        <w:spacing w:line="360" w:lineRule="auto"/>
        <w:jc w:val="both"/>
        <w:rPr>
          <w:rFonts w:ascii="Arial" w:hAnsi="Arial" w:cs="Arial"/>
          <w:sz w:val="22"/>
          <w:szCs w:val="22"/>
        </w:rPr>
      </w:pPr>
      <w:r>
        <w:rPr>
          <w:rFonts w:ascii="Arial" w:hAnsi="Arial" w:cs="Arial"/>
          <w:sz w:val="22"/>
          <w:szCs w:val="22"/>
        </w:rPr>
        <w:t>T</w:t>
      </w:r>
      <w:r w:rsidR="003F29DA" w:rsidRPr="003F29DA">
        <w:rPr>
          <w:rFonts w:ascii="Arial" w:hAnsi="Arial" w:cs="Arial"/>
          <w:sz w:val="22"/>
          <w:szCs w:val="22"/>
        </w:rPr>
        <w:t xml:space="preserve">he twelve included studies were published between 2010 and 2021 and reflected a wide range of research methodologies. Four studies were systematic reviews, three </w:t>
      </w:r>
      <w:r w:rsidR="003F29DA" w:rsidRPr="003F29DA">
        <w:rPr>
          <w:rFonts w:ascii="Arial" w:hAnsi="Arial" w:cs="Arial"/>
          <w:sz w:val="22"/>
          <w:szCs w:val="22"/>
        </w:rPr>
        <w:lastRenderedPageBreak/>
        <w:t>were randomized controlled trials, two were qualitative studies, two were mixed-methods studies, and one was an observational study. The majority focused on older adults living independently in the community, with interventions delivered through physiotherapy-led</w:t>
      </w:r>
      <w:r w:rsidR="002D1729">
        <w:rPr>
          <w:rFonts w:ascii="Arial" w:hAnsi="Arial" w:cs="Arial"/>
          <w:sz w:val="22"/>
          <w:szCs w:val="22"/>
        </w:rPr>
        <w:t xml:space="preserve"> </w:t>
      </w:r>
      <w:r w:rsidR="003F29DA" w:rsidRPr="003F29DA">
        <w:rPr>
          <w:rFonts w:ascii="Arial" w:hAnsi="Arial" w:cs="Arial"/>
          <w:sz w:val="22"/>
          <w:szCs w:val="22"/>
        </w:rPr>
        <w:t>exercise programmes, balance and strength training, Tai Chi, or multifactorial approaches combining education and behavioural strategies.</w:t>
      </w:r>
      <w:r w:rsidR="00767DC3">
        <w:rPr>
          <w:rFonts w:ascii="Arial" w:hAnsi="Arial" w:cs="Arial"/>
          <w:sz w:val="22"/>
          <w:szCs w:val="22"/>
        </w:rPr>
        <w:t xml:space="preserve"> </w:t>
      </w:r>
      <w:r w:rsidR="00767DC3" w:rsidRPr="00767DC3">
        <w:rPr>
          <w:rFonts w:ascii="Arial" w:hAnsi="Arial" w:cs="Arial"/>
          <w:sz w:val="22"/>
          <w:szCs w:val="22"/>
        </w:rPr>
        <w:t xml:space="preserve">This variety of intervention forms reflects current trends toward individualized, multimodal fall prevention interventions intended to target older </w:t>
      </w:r>
      <w:r w:rsidR="004C31AD" w:rsidRPr="00767DC3">
        <w:rPr>
          <w:rFonts w:ascii="Arial" w:hAnsi="Arial" w:cs="Arial"/>
          <w:sz w:val="22"/>
          <w:szCs w:val="22"/>
        </w:rPr>
        <w:t>people</w:t>
      </w:r>
      <w:r w:rsidR="00767DC3" w:rsidRPr="00767DC3">
        <w:rPr>
          <w:rFonts w:ascii="Arial" w:hAnsi="Arial" w:cs="Arial"/>
          <w:sz w:val="22"/>
          <w:szCs w:val="22"/>
        </w:rPr>
        <w:t xml:space="preserve"> varied functional abilities and lifestyle demands (Skelton et al., 2021; Howe et al., 2011).</w:t>
      </w:r>
    </w:p>
    <w:tbl>
      <w:tblPr>
        <w:tblW w:w="10290" w:type="dxa"/>
        <w:tblInd w:w="-1028"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CellMar>
          <w:left w:w="0" w:type="dxa"/>
          <w:right w:w="0" w:type="dxa"/>
        </w:tblCellMar>
        <w:tblLook w:val="01E0" w:firstRow="1" w:lastRow="1" w:firstColumn="1" w:lastColumn="1" w:noHBand="0" w:noVBand="0"/>
      </w:tblPr>
      <w:tblGrid>
        <w:gridCol w:w="714"/>
        <w:gridCol w:w="1386"/>
        <w:gridCol w:w="1480"/>
        <w:gridCol w:w="1520"/>
        <w:gridCol w:w="1740"/>
        <w:gridCol w:w="1920"/>
        <w:gridCol w:w="1530"/>
      </w:tblGrid>
      <w:tr w:rsidR="002D1729" w14:paraId="5FAAFA4F" w14:textId="77777777" w:rsidTr="00F43B46">
        <w:trPr>
          <w:trHeight w:val="610"/>
        </w:trPr>
        <w:tc>
          <w:tcPr>
            <w:tcW w:w="714" w:type="dxa"/>
            <w:tcBorders>
              <w:bottom w:val="single" w:sz="8" w:space="0" w:color="000000"/>
            </w:tcBorders>
          </w:tcPr>
          <w:p w14:paraId="5636A9A7" w14:textId="77777777" w:rsidR="002D1729" w:rsidRDefault="002D1729" w:rsidP="00C24C8D">
            <w:pPr>
              <w:pStyle w:val="TableParagraph"/>
              <w:spacing w:before="163" w:line="360" w:lineRule="auto"/>
              <w:jc w:val="both"/>
              <w:rPr>
                <w:rFonts w:ascii="Arial"/>
                <w:b/>
              </w:rPr>
            </w:pPr>
            <w:r>
              <w:rPr>
                <w:rFonts w:ascii="Arial"/>
                <w:b/>
                <w:spacing w:val="-2"/>
              </w:rPr>
              <w:t>Study</w:t>
            </w:r>
          </w:p>
        </w:tc>
        <w:tc>
          <w:tcPr>
            <w:tcW w:w="1386" w:type="dxa"/>
            <w:tcBorders>
              <w:bottom w:val="single" w:sz="8" w:space="0" w:color="000000"/>
            </w:tcBorders>
          </w:tcPr>
          <w:p w14:paraId="0A1744D6" w14:textId="77777777" w:rsidR="002D1729" w:rsidRDefault="002D1729" w:rsidP="00C24C8D">
            <w:pPr>
              <w:pStyle w:val="TableParagraph"/>
              <w:spacing w:before="163" w:line="360" w:lineRule="auto"/>
              <w:ind w:left="175"/>
              <w:jc w:val="both"/>
              <w:rPr>
                <w:rFonts w:ascii="Arial"/>
                <w:b/>
              </w:rPr>
            </w:pPr>
            <w:r>
              <w:rPr>
                <w:rFonts w:ascii="Arial"/>
                <w:b/>
                <w:spacing w:val="-2"/>
              </w:rPr>
              <w:t>Author(s)</w:t>
            </w:r>
          </w:p>
        </w:tc>
        <w:tc>
          <w:tcPr>
            <w:tcW w:w="1480" w:type="dxa"/>
            <w:tcBorders>
              <w:bottom w:val="single" w:sz="8" w:space="0" w:color="000000"/>
            </w:tcBorders>
          </w:tcPr>
          <w:p w14:paraId="39B87F10" w14:textId="77777777" w:rsidR="002D1729" w:rsidRDefault="002D1729" w:rsidP="00C24C8D">
            <w:pPr>
              <w:pStyle w:val="TableParagraph"/>
              <w:spacing w:before="54" w:line="360" w:lineRule="auto"/>
              <w:ind w:left="352" w:right="326" w:firstLine="61"/>
              <w:jc w:val="both"/>
              <w:rPr>
                <w:rFonts w:ascii="Arial"/>
                <w:b/>
              </w:rPr>
            </w:pPr>
            <w:r>
              <w:rPr>
                <w:rFonts w:ascii="Arial"/>
                <w:b/>
                <w:spacing w:val="-2"/>
              </w:rPr>
              <w:t>Study Design</w:t>
            </w:r>
          </w:p>
        </w:tc>
        <w:tc>
          <w:tcPr>
            <w:tcW w:w="1520" w:type="dxa"/>
            <w:tcBorders>
              <w:bottom w:val="single" w:sz="8" w:space="0" w:color="000000"/>
            </w:tcBorders>
          </w:tcPr>
          <w:p w14:paraId="75EF60ED" w14:textId="77777777" w:rsidR="002D1729" w:rsidRDefault="002D1729" w:rsidP="00C24C8D">
            <w:pPr>
              <w:pStyle w:val="TableParagraph"/>
              <w:spacing w:before="54" w:line="360" w:lineRule="auto"/>
              <w:ind w:left="346" w:right="285" w:hanging="43"/>
              <w:jc w:val="both"/>
              <w:rPr>
                <w:rFonts w:ascii="Arial"/>
                <w:b/>
              </w:rPr>
            </w:pPr>
            <w:r>
              <w:rPr>
                <w:rFonts w:ascii="Arial"/>
                <w:b/>
              </w:rPr>
              <w:t>Setting</w:t>
            </w:r>
            <w:r>
              <w:rPr>
                <w:rFonts w:ascii="Arial"/>
                <w:b/>
                <w:spacing w:val="-16"/>
              </w:rPr>
              <w:t xml:space="preserve"> </w:t>
            </w:r>
            <w:r>
              <w:rPr>
                <w:rFonts w:ascii="Arial"/>
                <w:b/>
              </w:rPr>
              <w:t xml:space="preserve">/ </w:t>
            </w:r>
            <w:r>
              <w:rPr>
                <w:rFonts w:ascii="Arial"/>
                <w:b/>
                <w:spacing w:val="-2"/>
              </w:rPr>
              <w:t>Sample</w:t>
            </w:r>
          </w:p>
        </w:tc>
        <w:tc>
          <w:tcPr>
            <w:tcW w:w="1740" w:type="dxa"/>
            <w:tcBorders>
              <w:bottom w:val="single" w:sz="8" w:space="0" w:color="000000"/>
            </w:tcBorders>
          </w:tcPr>
          <w:p w14:paraId="7B665550" w14:textId="77777777" w:rsidR="002D1729" w:rsidRDefault="002D1729" w:rsidP="00C24C8D">
            <w:pPr>
              <w:pStyle w:val="TableParagraph"/>
              <w:spacing w:before="54" w:line="360" w:lineRule="auto"/>
              <w:ind w:left="528" w:right="57" w:hanging="306"/>
              <w:jc w:val="both"/>
              <w:rPr>
                <w:rFonts w:ascii="Arial"/>
                <w:b/>
              </w:rPr>
            </w:pPr>
            <w:r>
              <w:rPr>
                <w:rFonts w:ascii="Arial"/>
                <w:b/>
                <w:spacing w:val="-2"/>
              </w:rPr>
              <w:t>Intervention Focus</w:t>
            </w:r>
          </w:p>
        </w:tc>
        <w:tc>
          <w:tcPr>
            <w:tcW w:w="1920" w:type="dxa"/>
            <w:tcBorders>
              <w:bottom w:val="single" w:sz="8" w:space="0" w:color="000000"/>
            </w:tcBorders>
          </w:tcPr>
          <w:p w14:paraId="1FE3C996" w14:textId="77777777" w:rsidR="002D1729" w:rsidRDefault="002D1729" w:rsidP="00C24C8D">
            <w:pPr>
              <w:pStyle w:val="TableParagraph"/>
              <w:spacing w:before="163" w:line="360" w:lineRule="auto"/>
              <w:ind w:left="16"/>
              <w:jc w:val="both"/>
              <w:rPr>
                <w:rFonts w:ascii="Arial"/>
                <w:b/>
              </w:rPr>
            </w:pPr>
            <w:r>
              <w:rPr>
                <w:rFonts w:ascii="Arial"/>
                <w:b/>
              </w:rPr>
              <w:t>Key</w:t>
            </w:r>
            <w:r>
              <w:rPr>
                <w:rFonts w:ascii="Arial"/>
                <w:b/>
                <w:spacing w:val="-2"/>
              </w:rPr>
              <w:t xml:space="preserve"> Outcomes</w:t>
            </w:r>
          </w:p>
        </w:tc>
        <w:tc>
          <w:tcPr>
            <w:tcW w:w="1530" w:type="dxa"/>
            <w:tcBorders>
              <w:bottom w:val="single" w:sz="8" w:space="0" w:color="000000"/>
            </w:tcBorders>
          </w:tcPr>
          <w:p w14:paraId="00B94C26" w14:textId="77777777" w:rsidR="002D1729" w:rsidRDefault="002D1729" w:rsidP="00C24C8D">
            <w:pPr>
              <w:pStyle w:val="TableParagraph"/>
              <w:spacing w:before="54" w:line="360" w:lineRule="auto"/>
              <w:ind w:left="259" w:firstLine="73"/>
              <w:jc w:val="both"/>
              <w:rPr>
                <w:rFonts w:ascii="Arial"/>
                <w:b/>
              </w:rPr>
            </w:pPr>
            <w:r>
              <w:rPr>
                <w:rFonts w:ascii="Arial"/>
                <w:b/>
                <w:spacing w:val="-2"/>
              </w:rPr>
              <w:t>Themes Identified</w:t>
            </w:r>
          </w:p>
        </w:tc>
      </w:tr>
      <w:tr w:rsidR="002D1729" w14:paraId="001186DD" w14:textId="77777777" w:rsidTr="00F43B46">
        <w:trPr>
          <w:trHeight w:val="810"/>
        </w:trPr>
        <w:tc>
          <w:tcPr>
            <w:tcW w:w="714" w:type="dxa"/>
            <w:tcBorders>
              <w:top w:val="single" w:sz="8" w:space="0" w:color="000000"/>
            </w:tcBorders>
          </w:tcPr>
          <w:p w14:paraId="3D51A4DB" w14:textId="77777777" w:rsidR="002D1729" w:rsidRDefault="002D1729" w:rsidP="00C24C8D">
            <w:pPr>
              <w:pStyle w:val="TableParagraph"/>
              <w:spacing w:before="40" w:line="360" w:lineRule="auto"/>
              <w:ind w:left="0"/>
              <w:jc w:val="both"/>
            </w:pPr>
          </w:p>
          <w:p w14:paraId="002E4A0B" w14:textId="77777777" w:rsidR="002D1729" w:rsidRDefault="002D1729" w:rsidP="00C24C8D">
            <w:pPr>
              <w:pStyle w:val="TableParagraph"/>
              <w:spacing w:before="0" w:line="360" w:lineRule="auto"/>
              <w:jc w:val="both"/>
            </w:pPr>
            <w:r>
              <w:rPr>
                <w:spacing w:val="-10"/>
              </w:rPr>
              <w:t>1</w:t>
            </w:r>
          </w:p>
        </w:tc>
        <w:tc>
          <w:tcPr>
            <w:tcW w:w="1386" w:type="dxa"/>
            <w:tcBorders>
              <w:top w:val="single" w:sz="8" w:space="0" w:color="000000"/>
            </w:tcBorders>
          </w:tcPr>
          <w:p w14:paraId="0ADB2B5E" w14:textId="77777777" w:rsidR="002D1729" w:rsidRDefault="002D1729" w:rsidP="00C24C8D">
            <w:pPr>
              <w:pStyle w:val="TableParagraph"/>
              <w:spacing w:line="360" w:lineRule="auto"/>
              <w:ind w:right="99"/>
              <w:jc w:val="both"/>
            </w:pPr>
            <w:r>
              <w:rPr>
                <w:spacing w:val="-2"/>
              </w:rPr>
              <w:t xml:space="preserve">Sherrington </w:t>
            </w:r>
            <w:r>
              <w:t>et</w:t>
            </w:r>
            <w:r>
              <w:rPr>
                <w:spacing w:val="-1"/>
              </w:rPr>
              <w:t xml:space="preserve"> </w:t>
            </w:r>
            <w:r>
              <w:t>al.</w:t>
            </w:r>
            <w:r>
              <w:rPr>
                <w:spacing w:val="-1"/>
              </w:rPr>
              <w:t xml:space="preserve"> </w:t>
            </w:r>
            <w:r>
              <w:rPr>
                <w:spacing w:val="-2"/>
              </w:rPr>
              <w:t>(2019)</w:t>
            </w:r>
          </w:p>
        </w:tc>
        <w:tc>
          <w:tcPr>
            <w:tcW w:w="1480" w:type="dxa"/>
            <w:tcBorders>
              <w:top w:val="single" w:sz="8" w:space="0" w:color="000000"/>
            </w:tcBorders>
          </w:tcPr>
          <w:p w14:paraId="151B5E70" w14:textId="77777777" w:rsidR="002D1729" w:rsidRDefault="002D1729" w:rsidP="00C24C8D">
            <w:pPr>
              <w:pStyle w:val="TableParagraph"/>
              <w:spacing w:before="35" w:line="360" w:lineRule="auto"/>
              <w:ind w:right="20"/>
              <w:jc w:val="both"/>
            </w:pPr>
            <w:r>
              <w:rPr>
                <w:spacing w:val="-2"/>
              </w:rPr>
              <w:t xml:space="preserve">Systematic </w:t>
            </w:r>
            <w:r>
              <w:t xml:space="preserve">review &amp; </w:t>
            </w:r>
            <w:r>
              <w:rPr>
                <w:spacing w:val="-2"/>
              </w:rPr>
              <w:t>meta-analysis</w:t>
            </w:r>
          </w:p>
        </w:tc>
        <w:tc>
          <w:tcPr>
            <w:tcW w:w="1520" w:type="dxa"/>
            <w:tcBorders>
              <w:top w:val="single" w:sz="8" w:space="0" w:color="000000"/>
            </w:tcBorders>
          </w:tcPr>
          <w:p w14:paraId="5602B3C3" w14:textId="6A401BF6" w:rsidR="002D1729" w:rsidRDefault="004C31AD" w:rsidP="00C24C8D">
            <w:pPr>
              <w:pStyle w:val="TableParagraph"/>
              <w:spacing w:before="35" w:line="360" w:lineRule="auto"/>
              <w:ind w:right="70"/>
              <w:jc w:val="both"/>
            </w:pPr>
            <w:r>
              <w:rPr>
                <w:spacing w:val="-2"/>
              </w:rPr>
              <w:t>Older Community- Dwelling</w:t>
            </w:r>
            <w:r w:rsidR="002D1729">
              <w:t xml:space="preserve"> </w:t>
            </w:r>
            <w:r w:rsidR="002D1729">
              <w:rPr>
                <w:spacing w:val="-2"/>
              </w:rPr>
              <w:t>adults</w:t>
            </w:r>
          </w:p>
        </w:tc>
        <w:tc>
          <w:tcPr>
            <w:tcW w:w="1740" w:type="dxa"/>
            <w:tcBorders>
              <w:top w:val="single" w:sz="8" w:space="0" w:color="000000"/>
            </w:tcBorders>
          </w:tcPr>
          <w:p w14:paraId="40B71C90" w14:textId="77777777" w:rsidR="002D1729" w:rsidRDefault="002D1729" w:rsidP="00C24C8D">
            <w:pPr>
              <w:pStyle w:val="TableParagraph"/>
              <w:spacing w:before="35" w:line="360" w:lineRule="auto"/>
              <w:ind w:right="57"/>
              <w:jc w:val="both"/>
            </w:pPr>
            <w:r>
              <w:rPr>
                <w:spacing w:val="-2"/>
              </w:rPr>
              <w:t>Balance- focused physiotherapy</w:t>
            </w:r>
          </w:p>
        </w:tc>
        <w:tc>
          <w:tcPr>
            <w:tcW w:w="1920" w:type="dxa"/>
            <w:tcBorders>
              <w:top w:val="single" w:sz="8" w:space="0" w:color="000000"/>
            </w:tcBorders>
          </w:tcPr>
          <w:p w14:paraId="4BCFA4DE" w14:textId="77777777" w:rsidR="002D1729" w:rsidRDefault="002D1729" w:rsidP="00C24C8D">
            <w:pPr>
              <w:pStyle w:val="TableParagraph"/>
              <w:spacing w:line="360" w:lineRule="auto"/>
              <w:ind w:right="42"/>
              <w:jc w:val="both"/>
            </w:pPr>
            <w:r>
              <w:t>23–34%</w:t>
            </w:r>
            <w:r>
              <w:rPr>
                <w:spacing w:val="-16"/>
              </w:rPr>
              <w:t xml:space="preserve"> </w:t>
            </w:r>
            <w:r>
              <w:t>reduction in falls</w:t>
            </w:r>
          </w:p>
        </w:tc>
        <w:tc>
          <w:tcPr>
            <w:tcW w:w="1530" w:type="dxa"/>
            <w:tcBorders>
              <w:top w:val="single" w:sz="8" w:space="0" w:color="000000"/>
            </w:tcBorders>
          </w:tcPr>
          <w:p w14:paraId="77F4A958" w14:textId="77777777" w:rsidR="002D1729" w:rsidRDefault="002D1729" w:rsidP="00C24C8D">
            <w:pPr>
              <w:pStyle w:val="TableParagraph"/>
              <w:spacing w:line="360" w:lineRule="auto"/>
              <w:jc w:val="both"/>
            </w:pPr>
            <w:r>
              <w:rPr>
                <w:spacing w:val="-2"/>
              </w:rPr>
              <w:t>Physical improvement</w:t>
            </w:r>
          </w:p>
        </w:tc>
      </w:tr>
      <w:tr w:rsidR="002D1729" w14:paraId="4AA6D2AF" w14:textId="77777777" w:rsidTr="00F43B46">
        <w:trPr>
          <w:trHeight w:val="630"/>
        </w:trPr>
        <w:tc>
          <w:tcPr>
            <w:tcW w:w="714" w:type="dxa"/>
            <w:tcBorders>
              <w:bottom w:val="single" w:sz="8" w:space="0" w:color="000000"/>
            </w:tcBorders>
          </w:tcPr>
          <w:p w14:paraId="3B6F835C" w14:textId="77777777" w:rsidR="002D1729" w:rsidRDefault="002D1729" w:rsidP="00C24C8D">
            <w:pPr>
              <w:pStyle w:val="TableParagraph"/>
              <w:spacing w:before="163" w:line="360" w:lineRule="auto"/>
              <w:jc w:val="both"/>
            </w:pPr>
            <w:r>
              <w:rPr>
                <w:spacing w:val="-10"/>
              </w:rPr>
              <w:t>2</w:t>
            </w:r>
          </w:p>
        </w:tc>
        <w:tc>
          <w:tcPr>
            <w:tcW w:w="1386" w:type="dxa"/>
            <w:tcBorders>
              <w:bottom w:val="single" w:sz="8" w:space="0" w:color="000000"/>
            </w:tcBorders>
          </w:tcPr>
          <w:p w14:paraId="400F274E" w14:textId="77777777" w:rsidR="002D1729" w:rsidRDefault="002D1729" w:rsidP="00C24C8D">
            <w:pPr>
              <w:pStyle w:val="TableParagraph"/>
              <w:spacing w:before="43" w:line="360" w:lineRule="auto"/>
              <w:ind w:right="187"/>
              <w:jc w:val="both"/>
            </w:pPr>
            <w:r>
              <w:t>Gillespie</w:t>
            </w:r>
            <w:r>
              <w:rPr>
                <w:spacing w:val="-16"/>
              </w:rPr>
              <w:t xml:space="preserve"> </w:t>
            </w:r>
            <w:r>
              <w:t>et al. (2012)</w:t>
            </w:r>
          </w:p>
        </w:tc>
        <w:tc>
          <w:tcPr>
            <w:tcW w:w="1480" w:type="dxa"/>
            <w:tcBorders>
              <w:bottom w:val="single" w:sz="8" w:space="0" w:color="000000"/>
            </w:tcBorders>
          </w:tcPr>
          <w:p w14:paraId="2063BC5F" w14:textId="77777777" w:rsidR="002D1729" w:rsidRDefault="002D1729" w:rsidP="00C24C8D">
            <w:pPr>
              <w:pStyle w:val="TableParagraph"/>
              <w:spacing w:before="43" w:line="360" w:lineRule="auto"/>
              <w:ind w:right="20"/>
              <w:jc w:val="both"/>
            </w:pPr>
            <w:r>
              <w:rPr>
                <w:spacing w:val="-2"/>
              </w:rPr>
              <w:t>Systematic review</w:t>
            </w:r>
          </w:p>
        </w:tc>
        <w:tc>
          <w:tcPr>
            <w:tcW w:w="1520" w:type="dxa"/>
            <w:tcBorders>
              <w:bottom w:val="single" w:sz="8" w:space="0" w:color="000000"/>
            </w:tcBorders>
          </w:tcPr>
          <w:p w14:paraId="2D3E449B" w14:textId="77777777" w:rsidR="002D1729" w:rsidRDefault="002D1729" w:rsidP="00C24C8D">
            <w:pPr>
              <w:pStyle w:val="TableParagraph"/>
              <w:spacing w:before="43" w:line="360" w:lineRule="auto"/>
              <w:ind w:right="285"/>
              <w:jc w:val="both"/>
            </w:pPr>
            <w:r>
              <w:rPr>
                <w:spacing w:val="-2"/>
              </w:rPr>
              <w:t>Community settings</w:t>
            </w:r>
          </w:p>
        </w:tc>
        <w:tc>
          <w:tcPr>
            <w:tcW w:w="1740" w:type="dxa"/>
            <w:tcBorders>
              <w:bottom w:val="single" w:sz="8" w:space="0" w:color="000000"/>
            </w:tcBorders>
          </w:tcPr>
          <w:p w14:paraId="48DABBB6" w14:textId="77777777" w:rsidR="002D1729" w:rsidRDefault="002D1729" w:rsidP="00C24C8D">
            <w:pPr>
              <w:pStyle w:val="TableParagraph"/>
              <w:spacing w:before="43" w:line="360" w:lineRule="auto"/>
              <w:ind w:right="57"/>
              <w:jc w:val="both"/>
            </w:pPr>
            <w:r>
              <w:rPr>
                <w:spacing w:val="-2"/>
              </w:rPr>
              <w:t>Exercise-based physiotherapy</w:t>
            </w:r>
          </w:p>
        </w:tc>
        <w:tc>
          <w:tcPr>
            <w:tcW w:w="1920" w:type="dxa"/>
            <w:tcBorders>
              <w:bottom w:val="single" w:sz="8" w:space="0" w:color="000000"/>
            </w:tcBorders>
          </w:tcPr>
          <w:p w14:paraId="0A6000F3" w14:textId="77777777" w:rsidR="002D1729" w:rsidRDefault="002D1729" w:rsidP="00C24C8D">
            <w:pPr>
              <w:pStyle w:val="TableParagraph"/>
              <w:spacing w:before="43" w:line="360" w:lineRule="auto"/>
              <w:ind w:right="593"/>
              <w:jc w:val="both"/>
            </w:pPr>
            <w:r>
              <w:t>Reduced</w:t>
            </w:r>
            <w:r>
              <w:rPr>
                <w:spacing w:val="-16"/>
              </w:rPr>
              <w:t xml:space="preserve"> </w:t>
            </w:r>
            <w:r>
              <w:t xml:space="preserve">fall </w:t>
            </w:r>
            <w:r>
              <w:rPr>
                <w:spacing w:val="-2"/>
              </w:rPr>
              <w:t>incidence</w:t>
            </w:r>
          </w:p>
        </w:tc>
        <w:tc>
          <w:tcPr>
            <w:tcW w:w="1530" w:type="dxa"/>
            <w:tcBorders>
              <w:bottom w:val="single" w:sz="8" w:space="0" w:color="000000"/>
            </w:tcBorders>
          </w:tcPr>
          <w:p w14:paraId="201116DD" w14:textId="77777777" w:rsidR="002D1729" w:rsidRDefault="002D1729" w:rsidP="00C24C8D">
            <w:pPr>
              <w:pStyle w:val="TableParagraph"/>
              <w:spacing w:before="43" w:line="360" w:lineRule="auto"/>
              <w:jc w:val="both"/>
            </w:pPr>
            <w:r>
              <w:rPr>
                <w:spacing w:val="-2"/>
              </w:rPr>
              <w:t>Physical improvement</w:t>
            </w:r>
          </w:p>
        </w:tc>
      </w:tr>
      <w:tr w:rsidR="002D1729" w14:paraId="264BBA57" w14:textId="77777777" w:rsidTr="00F43B46">
        <w:trPr>
          <w:trHeight w:val="810"/>
        </w:trPr>
        <w:tc>
          <w:tcPr>
            <w:tcW w:w="714" w:type="dxa"/>
            <w:tcBorders>
              <w:top w:val="single" w:sz="8" w:space="0" w:color="000000"/>
            </w:tcBorders>
          </w:tcPr>
          <w:p w14:paraId="7CED5877" w14:textId="77777777" w:rsidR="002D1729" w:rsidRDefault="002D1729" w:rsidP="00C24C8D">
            <w:pPr>
              <w:pStyle w:val="TableParagraph"/>
              <w:spacing w:before="20" w:line="360" w:lineRule="auto"/>
              <w:ind w:left="0"/>
              <w:jc w:val="both"/>
            </w:pPr>
          </w:p>
          <w:p w14:paraId="3867C5B7" w14:textId="77777777" w:rsidR="002D1729" w:rsidRDefault="002D1729" w:rsidP="00C24C8D">
            <w:pPr>
              <w:pStyle w:val="TableParagraph"/>
              <w:spacing w:before="0" w:line="360" w:lineRule="auto"/>
              <w:jc w:val="both"/>
            </w:pPr>
            <w:r>
              <w:rPr>
                <w:spacing w:val="-10"/>
              </w:rPr>
              <w:t>3</w:t>
            </w:r>
          </w:p>
        </w:tc>
        <w:tc>
          <w:tcPr>
            <w:tcW w:w="1386" w:type="dxa"/>
            <w:tcBorders>
              <w:top w:val="single" w:sz="8" w:space="0" w:color="000000"/>
            </w:tcBorders>
          </w:tcPr>
          <w:p w14:paraId="0018DA52" w14:textId="77777777" w:rsidR="002D1729" w:rsidRDefault="002D1729" w:rsidP="00C24C8D">
            <w:pPr>
              <w:pStyle w:val="TableParagraph"/>
              <w:spacing w:before="6" w:line="360" w:lineRule="auto"/>
              <w:ind w:right="538"/>
              <w:jc w:val="both"/>
            </w:pPr>
            <w:r>
              <w:t xml:space="preserve">Liu &amp; </w:t>
            </w:r>
            <w:r>
              <w:rPr>
                <w:spacing w:val="-2"/>
              </w:rPr>
              <w:t>Latham (2011)</w:t>
            </w:r>
          </w:p>
        </w:tc>
        <w:tc>
          <w:tcPr>
            <w:tcW w:w="1480" w:type="dxa"/>
            <w:tcBorders>
              <w:top w:val="single" w:sz="8" w:space="0" w:color="000000"/>
            </w:tcBorders>
          </w:tcPr>
          <w:p w14:paraId="547C3149" w14:textId="77777777" w:rsidR="002D1729" w:rsidRDefault="002D1729" w:rsidP="00C24C8D">
            <w:pPr>
              <w:pStyle w:val="TableParagraph"/>
              <w:spacing w:before="164" w:line="360" w:lineRule="auto"/>
              <w:ind w:right="20"/>
              <w:jc w:val="both"/>
            </w:pPr>
            <w:r>
              <w:rPr>
                <w:spacing w:val="-2"/>
              </w:rPr>
              <w:t>Systematic review</w:t>
            </w:r>
          </w:p>
        </w:tc>
        <w:tc>
          <w:tcPr>
            <w:tcW w:w="1520" w:type="dxa"/>
            <w:tcBorders>
              <w:top w:val="single" w:sz="8" w:space="0" w:color="000000"/>
            </w:tcBorders>
          </w:tcPr>
          <w:p w14:paraId="3B7BB1E3" w14:textId="77777777" w:rsidR="002D1729" w:rsidRDefault="002D1729" w:rsidP="00C24C8D">
            <w:pPr>
              <w:pStyle w:val="TableParagraph"/>
              <w:spacing w:before="6" w:line="360" w:lineRule="auto"/>
              <w:ind w:right="86"/>
              <w:jc w:val="both"/>
            </w:pPr>
            <w:r>
              <w:rPr>
                <w:spacing w:val="-2"/>
              </w:rPr>
              <w:t>Community- dwelling adults</w:t>
            </w:r>
          </w:p>
        </w:tc>
        <w:tc>
          <w:tcPr>
            <w:tcW w:w="1740" w:type="dxa"/>
            <w:tcBorders>
              <w:top w:val="single" w:sz="8" w:space="0" w:color="000000"/>
            </w:tcBorders>
          </w:tcPr>
          <w:p w14:paraId="136415F4" w14:textId="77777777" w:rsidR="002D1729" w:rsidRDefault="002D1729" w:rsidP="00C24C8D">
            <w:pPr>
              <w:pStyle w:val="TableParagraph"/>
              <w:spacing w:before="6" w:line="360" w:lineRule="auto"/>
              <w:ind w:right="57"/>
              <w:jc w:val="both"/>
            </w:pPr>
            <w:r>
              <w:rPr>
                <w:spacing w:val="-2"/>
              </w:rPr>
              <w:t>Progressive resistance training</w:t>
            </w:r>
          </w:p>
        </w:tc>
        <w:tc>
          <w:tcPr>
            <w:tcW w:w="1920" w:type="dxa"/>
            <w:tcBorders>
              <w:top w:val="single" w:sz="8" w:space="0" w:color="000000"/>
            </w:tcBorders>
          </w:tcPr>
          <w:p w14:paraId="01AAE5DF" w14:textId="77777777" w:rsidR="002D1729" w:rsidRDefault="002D1729" w:rsidP="00C24C8D">
            <w:pPr>
              <w:pStyle w:val="TableParagraph"/>
              <w:spacing w:before="164" w:line="360" w:lineRule="auto"/>
              <w:ind w:right="42"/>
              <w:jc w:val="both"/>
            </w:pPr>
            <w:r>
              <w:t>Improved</w:t>
            </w:r>
            <w:r>
              <w:rPr>
                <w:spacing w:val="-16"/>
              </w:rPr>
              <w:t xml:space="preserve"> </w:t>
            </w:r>
            <w:r>
              <w:t>gait</w:t>
            </w:r>
            <w:r>
              <w:rPr>
                <w:spacing w:val="-15"/>
              </w:rPr>
              <w:t xml:space="preserve"> </w:t>
            </w:r>
            <w:r>
              <w:t xml:space="preserve">and </w:t>
            </w:r>
            <w:r>
              <w:rPr>
                <w:spacing w:val="-2"/>
              </w:rPr>
              <w:t>mobility</w:t>
            </w:r>
          </w:p>
        </w:tc>
        <w:tc>
          <w:tcPr>
            <w:tcW w:w="1530" w:type="dxa"/>
            <w:tcBorders>
              <w:top w:val="single" w:sz="8" w:space="0" w:color="000000"/>
            </w:tcBorders>
          </w:tcPr>
          <w:p w14:paraId="14414048" w14:textId="77777777" w:rsidR="002D1729" w:rsidRDefault="002D1729" w:rsidP="00C24C8D">
            <w:pPr>
              <w:pStyle w:val="TableParagraph"/>
              <w:spacing w:before="164" w:line="360" w:lineRule="auto"/>
              <w:jc w:val="both"/>
            </w:pPr>
            <w:r>
              <w:rPr>
                <w:spacing w:val="-2"/>
              </w:rPr>
              <w:t>Physical improvement</w:t>
            </w:r>
          </w:p>
        </w:tc>
      </w:tr>
      <w:tr w:rsidR="002D1729" w14:paraId="5EC8E4B0" w14:textId="77777777" w:rsidTr="00F43B46">
        <w:trPr>
          <w:trHeight w:val="870"/>
        </w:trPr>
        <w:tc>
          <w:tcPr>
            <w:tcW w:w="714" w:type="dxa"/>
            <w:tcBorders>
              <w:bottom w:val="single" w:sz="8" w:space="0" w:color="000000"/>
            </w:tcBorders>
          </w:tcPr>
          <w:p w14:paraId="42385E38" w14:textId="77777777" w:rsidR="002D1729" w:rsidRDefault="002D1729" w:rsidP="00C24C8D">
            <w:pPr>
              <w:pStyle w:val="TableParagraph"/>
              <w:spacing w:before="30" w:line="360" w:lineRule="auto"/>
              <w:ind w:left="0"/>
              <w:jc w:val="both"/>
            </w:pPr>
          </w:p>
          <w:p w14:paraId="0783502E" w14:textId="77777777" w:rsidR="002D1729" w:rsidRDefault="002D1729" w:rsidP="00C24C8D">
            <w:pPr>
              <w:pStyle w:val="TableParagraph"/>
              <w:spacing w:before="0" w:line="360" w:lineRule="auto"/>
              <w:jc w:val="both"/>
            </w:pPr>
            <w:r>
              <w:rPr>
                <w:spacing w:val="-10"/>
              </w:rPr>
              <w:t>4</w:t>
            </w:r>
          </w:p>
        </w:tc>
        <w:tc>
          <w:tcPr>
            <w:tcW w:w="1386" w:type="dxa"/>
            <w:tcBorders>
              <w:bottom w:val="single" w:sz="8" w:space="0" w:color="000000"/>
            </w:tcBorders>
          </w:tcPr>
          <w:p w14:paraId="53A7B346" w14:textId="77777777" w:rsidR="002D1729" w:rsidRDefault="002D1729" w:rsidP="00C24C8D">
            <w:pPr>
              <w:pStyle w:val="TableParagraph"/>
              <w:spacing w:before="174" w:line="360" w:lineRule="auto"/>
              <w:ind w:right="163"/>
              <w:jc w:val="both"/>
            </w:pPr>
            <w:r>
              <w:t>Clemson</w:t>
            </w:r>
            <w:r>
              <w:rPr>
                <w:spacing w:val="-16"/>
              </w:rPr>
              <w:t xml:space="preserve"> </w:t>
            </w:r>
            <w:r>
              <w:t>et al. (2012)</w:t>
            </w:r>
          </w:p>
        </w:tc>
        <w:tc>
          <w:tcPr>
            <w:tcW w:w="1480" w:type="dxa"/>
            <w:tcBorders>
              <w:bottom w:val="single" w:sz="8" w:space="0" w:color="000000"/>
            </w:tcBorders>
          </w:tcPr>
          <w:p w14:paraId="639577F8" w14:textId="77777777" w:rsidR="002D1729" w:rsidRDefault="002D1729" w:rsidP="00C24C8D">
            <w:pPr>
              <w:pStyle w:val="TableParagraph"/>
              <w:spacing w:before="30" w:line="360" w:lineRule="auto"/>
              <w:ind w:left="0"/>
              <w:jc w:val="both"/>
            </w:pPr>
          </w:p>
          <w:p w14:paraId="78284260" w14:textId="77777777" w:rsidR="002D1729" w:rsidRDefault="002D1729" w:rsidP="00C24C8D">
            <w:pPr>
              <w:pStyle w:val="TableParagraph"/>
              <w:spacing w:before="0" w:line="360" w:lineRule="auto"/>
              <w:jc w:val="both"/>
            </w:pPr>
            <w:r>
              <w:rPr>
                <w:spacing w:val="-5"/>
              </w:rPr>
              <w:t>RCT</w:t>
            </w:r>
          </w:p>
        </w:tc>
        <w:tc>
          <w:tcPr>
            <w:tcW w:w="1520" w:type="dxa"/>
            <w:tcBorders>
              <w:bottom w:val="single" w:sz="8" w:space="0" w:color="000000"/>
            </w:tcBorders>
          </w:tcPr>
          <w:p w14:paraId="3B87628C" w14:textId="77777777" w:rsidR="002D1729" w:rsidRDefault="002D1729" w:rsidP="00C24C8D">
            <w:pPr>
              <w:pStyle w:val="TableParagraph"/>
              <w:spacing w:before="23" w:line="360" w:lineRule="auto"/>
              <w:ind w:right="70"/>
              <w:jc w:val="both"/>
            </w:pPr>
            <w:r>
              <w:rPr>
                <w:spacing w:val="-2"/>
              </w:rPr>
              <w:t>Home-based community settings</w:t>
            </w:r>
          </w:p>
        </w:tc>
        <w:tc>
          <w:tcPr>
            <w:tcW w:w="1740" w:type="dxa"/>
            <w:tcBorders>
              <w:bottom w:val="single" w:sz="8" w:space="0" w:color="000000"/>
            </w:tcBorders>
          </w:tcPr>
          <w:p w14:paraId="53DC707F" w14:textId="49653B56" w:rsidR="002D1729" w:rsidRDefault="004C31AD" w:rsidP="00C24C8D">
            <w:pPr>
              <w:pStyle w:val="TableParagraph"/>
              <w:spacing w:before="174" w:line="360" w:lineRule="auto"/>
              <w:ind w:right="180"/>
              <w:jc w:val="both"/>
            </w:pPr>
            <w:r>
              <w:t>L</w:t>
            </w:r>
            <w:r w:rsidR="00FB3E8E">
              <w:t>IFE</w:t>
            </w:r>
            <w:r>
              <w:rPr>
                <w:spacing w:val="-16"/>
              </w:rPr>
              <w:t xml:space="preserve"> </w:t>
            </w:r>
            <w:r w:rsidR="002D1729">
              <w:t xml:space="preserve">functional </w:t>
            </w:r>
            <w:r w:rsidR="002D1729">
              <w:rPr>
                <w:spacing w:val="-2"/>
              </w:rPr>
              <w:t>training</w:t>
            </w:r>
          </w:p>
        </w:tc>
        <w:tc>
          <w:tcPr>
            <w:tcW w:w="1920" w:type="dxa"/>
            <w:tcBorders>
              <w:bottom w:val="single" w:sz="8" w:space="0" w:color="000000"/>
            </w:tcBorders>
          </w:tcPr>
          <w:p w14:paraId="4AD49798" w14:textId="77777777" w:rsidR="002D1729" w:rsidRDefault="002D1729" w:rsidP="00C24C8D">
            <w:pPr>
              <w:pStyle w:val="TableParagraph"/>
              <w:spacing w:before="30" w:line="360" w:lineRule="auto"/>
              <w:ind w:left="0"/>
              <w:jc w:val="both"/>
            </w:pPr>
          </w:p>
          <w:p w14:paraId="58C88BCB" w14:textId="77777777" w:rsidR="002D1729" w:rsidRDefault="002D1729" w:rsidP="00C24C8D">
            <w:pPr>
              <w:pStyle w:val="TableParagraph"/>
              <w:spacing w:before="0" w:line="360" w:lineRule="auto"/>
              <w:ind w:left="16" w:right="45"/>
              <w:jc w:val="both"/>
            </w:pPr>
            <w:r>
              <w:t xml:space="preserve">31% fall </w:t>
            </w:r>
            <w:r>
              <w:rPr>
                <w:spacing w:val="-2"/>
              </w:rPr>
              <w:t>reduction</w:t>
            </w:r>
          </w:p>
        </w:tc>
        <w:tc>
          <w:tcPr>
            <w:tcW w:w="1530" w:type="dxa"/>
            <w:tcBorders>
              <w:bottom w:val="single" w:sz="8" w:space="0" w:color="000000"/>
            </w:tcBorders>
          </w:tcPr>
          <w:p w14:paraId="20A7C1F7" w14:textId="77777777" w:rsidR="002D1729" w:rsidRDefault="002D1729" w:rsidP="00C24C8D">
            <w:pPr>
              <w:pStyle w:val="TableParagraph"/>
              <w:spacing w:before="23" w:line="360" w:lineRule="auto"/>
              <w:jc w:val="both"/>
            </w:pPr>
            <w:r>
              <w:t xml:space="preserve">Physical &amp; </w:t>
            </w:r>
            <w:r>
              <w:rPr>
                <w:spacing w:val="-2"/>
              </w:rPr>
              <w:t>behavioural change</w:t>
            </w:r>
          </w:p>
        </w:tc>
      </w:tr>
      <w:tr w:rsidR="002D1729" w14:paraId="1B8A9B72" w14:textId="77777777" w:rsidTr="00F43B46">
        <w:trPr>
          <w:trHeight w:val="800"/>
        </w:trPr>
        <w:tc>
          <w:tcPr>
            <w:tcW w:w="714" w:type="dxa"/>
            <w:tcBorders>
              <w:top w:val="single" w:sz="8" w:space="0" w:color="000000"/>
              <w:bottom w:val="single" w:sz="8" w:space="0" w:color="000000"/>
            </w:tcBorders>
          </w:tcPr>
          <w:p w14:paraId="5BFA2A79" w14:textId="77777777" w:rsidR="002D1729" w:rsidRDefault="002D1729" w:rsidP="00C24C8D">
            <w:pPr>
              <w:pStyle w:val="TableParagraph"/>
              <w:spacing w:before="20" w:line="360" w:lineRule="auto"/>
              <w:ind w:left="0"/>
              <w:jc w:val="both"/>
            </w:pPr>
          </w:p>
          <w:p w14:paraId="273C4B6F" w14:textId="77777777" w:rsidR="002D1729" w:rsidRDefault="002D1729" w:rsidP="00C24C8D">
            <w:pPr>
              <w:pStyle w:val="TableParagraph"/>
              <w:spacing w:before="0" w:line="360" w:lineRule="auto"/>
              <w:jc w:val="both"/>
            </w:pPr>
            <w:r>
              <w:rPr>
                <w:spacing w:val="-10"/>
              </w:rPr>
              <w:t>5</w:t>
            </w:r>
          </w:p>
        </w:tc>
        <w:tc>
          <w:tcPr>
            <w:tcW w:w="1386" w:type="dxa"/>
            <w:tcBorders>
              <w:top w:val="single" w:sz="8" w:space="0" w:color="000000"/>
              <w:bottom w:val="single" w:sz="8" w:space="0" w:color="000000"/>
            </w:tcBorders>
          </w:tcPr>
          <w:p w14:paraId="4F26B53E" w14:textId="77777777" w:rsidR="002D1729" w:rsidRDefault="002D1729" w:rsidP="00C24C8D">
            <w:pPr>
              <w:pStyle w:val="TableParagraph"/>
              <w:spacing w:before="164" w:line="360" w:lineRule="auto"/>
              <w:ind w:right="126"/>
              <w:jc w:val="both"/>
            </w:pPr>
            <w:r>
              <w:t>Hopewell</w:t>
            </w:r>
            <w:r>
              <w:rPr>
                <w:spacing w:val="-16"/>
              </w:rPr>
              <w:t xml:space="preserve"> </w:t>
            </w:r>
            <w:r>
              <w:t>et al. (2018)</w:t>
            </w:r>
          </w:p>
        </w:tc>
        <w:tc>
          <w:tcPr>
            <w:tcW w:w="1480" w:type="dxa"/>
            <w:tcBorders>
              <w:top w:val="single" w:sz="8" w:space="0" w:color="000000"/>
              <w:bottom w:val="single" w:sz="8" w:space="0" w:color="000000"/>
            </w:tcBorders>
          </w:tcPr>
          <w:p w14:paraId="1B03F626" w14:textId="77777777" w:rsidR="002D1729" w:rsidRDefault="002D1729" w:rsidP="00C24C8D">
            <w:pPr>
              <w:pStyle w:val="TableParagraph"/>
              <w:spacing w:before="164" w:line="360" w:lineRule="auto"/>
              <w:ind w:right="20"/>
              <w:jc w:val="both"/>
            </w:pPr>
            <w:r>
              <w:rPr>
                <w:spacing w:val="-2"/>
              </w:rPr>
              <w:t>Systematic review</w:t>
            </w:r>
          </w:p>
        </w:tc>
        <w:tc>
          <w:tcPr>
            <w:tcW w:w="1520" w:type="dxa"/>
            <w:tcBorders>
              <w:top w:val="single" w:sz="8" w:space="0" w:color="000000"/>
              <w:bottom w:val="single" w:sz="8" w:space="0" w:color="000000"/>
            </w:tcBorders>
          </w:tcPr>
          <w:p w14:paraId="0206D57E" w14:textId="77777777" w:rsidR="002D1729" w:rsidRDefault="002D1729" w:rsidP="00C24C8D">
            <w:pPr>
              <w:pStyle w:val="TableParagraph"/>
              <w:spacing w:before="164" w:line="360" w:lineRule="auto"/>
              <w:ind w:right="70"/>
              <w:jc w:val="both"/>
            </w:pPr>
            <w:r>
              <w:rPr>
                <w:spacing w:val="-2"/>
              </w:rPr>
              <w:t>Community interventions</w:t>
            </w:r>
          </w:p>
        </w:tc>
        <w:tc>
          <w:tcPr>
            <w:tcW w:w="1740" w:type="dxa"/>
            <w:tcBorders>
              <w:top w:val="single" w:sz="8" w:space="0" w:color="000000"/>
              <w:bottom w:val="single" w:sz="8" w:space="0" w:color="000000"/>
            </w:tcBorders>
          </w:tcPr>
          <w:p w14:paraId="5B38F367" w14:textId="77777777" w:rsidR="002D1729" w:rsidRDefault="002D1729" w:rsidP="00C24C8D">
            <w:pPr>
              <w:pStyle w:val="TableParagraph"/>
              <w:spacing w:before="164" w:line="360" w:lineRule="auto"/>
              <w:ind w:right="57"/>
              <w:jc w:val="both"/>
            </w:pPr>
            <w:r>
              <w:rPr>
                <w:spacing w:val="-2"/>
              </w:rPr>
              <w:t>Multifactorial physiotherapy</w:t>
            </w:r>
          </w:p>
        </w:tc>
        <w:tc>
          <w:tcPr>
            <w:tcW w:w="1920" w:type="dxa"/>
            <w:tcBorders>
              <w:top w:val="single" w:sz="8" w:space="0" w:color="000000"/>
              <w:bottom w:val="single" w:sz="8" w:space="0" w:color="000000"/>
            </w:tcBorders>
          </w:tcPr>
          <w:p w14:paraId="32DE8BD7" w14:textId="77777777" w:rsidR="002D1729" w:rsidRDefault="002D1729" w:rsidP="00C24C8D">
            <w:pPr>
              <w:pStyle w:val="TableParagraph"/>
              <w:spacing w:before="0" w:line="360" w:lineRule="auto"/>
              <w:ind w:right="409"/>
              <w:jc w:val="both"/>
            </w:pPr>
            <w:r>
              <w:rPr>
                <w:spacing w:val="-2"/>
              </w:rPr>
              <w:t xml:space="preserve">Improved </w:t>
            </w:r>
            <w:r>
              <w:t>outcomes</w:t>
            </w:r>
            <w:r>
              <w:rPr>
                <w:spacing w:val="-16"/>
              </w:rPr>
              <w:t xml:space="preserve"> </w:t>
            </w:r>
            <w:r>
              <w:t xml:space="preserve">with </w:t>
            </w:r>
            <w:r>
              <w:rPr>
                <w:spacing w:val="-2"/>
              </w:rPr>
              <w:t>education</w:t>
            </w:r>
          </w:p>
        </w:tc>
        <w:tc>
          <w:tcPr>
            <w:tcW w:w="1530" w:type="dxa"/>
            <w:tcBorders>
              <w:top w:val="single" w:sz="8" w:space="0" w:color="000000"/>
              <w:bottom w:val="single" w:sz="8" w:space="0" w:color="000000"/>
            </w:tcBorders>
          </w:tcPr>
          <w:p w14:paraId="1EA78449" w14:textId="77777777" w:rsidR="002D1729" w:rsidRDefault="002D1729" w:rsidP="00C24C8D">
            <w:pPr>
              <w:pStyle w:val="TableParagraph"/>
              <w:spacing w:before="164" w:line="360" w:lineRule="auto"/>
              <w:jc w:val="both"/>
            </w:pPr>
            <w:r>
              <w:rPr>
                <w:spacing w:val="-2"/>
              </w:rPr>
              <w:t>Behavioural change</w:t>
            </w:r>
          </w:p>
        </w:tc>
      </w:tr>
      <w:tr w:rsidR="002D1729" w14:paraId="48A03754" w14:textId="77777777" w:rsidTr="00F43B46">
        <w:trPr>
          <w:trHeight w:val="660"/>
        </w:trPr>
        <w:tc>
          <w:tcPr>
            <w:tcW w:w="714" w:type="dxa"/>
            <w:tcBorders>
              <w:top w:val="single" w:sz="8" w:space="0" w:color="000000"/>
              <w:bottom w:val="single" w:sz="8" w:space="0" w:color="000000"/>
            </w:tcBorders>
          </w:tcPr>
          <w:p w14:paraId="2F7A1D5C" w14:textId="77777777" w:rsidR="002D1729" w:rsidRDefault="002D1729" w:rsidP="00C24C8D">
            <w:pPr>
              <w:pStyle w:val="TableParagraph"/>
              <w:spacing w:before="213" w:line="360" w:lineRule="auto"/>
              <w:jc w:val="both"/>
            </w:pPr>
            <w:r>
              <w:rPr>
                <w:spacing w:val="-10"/>
              </w:rPr>
              <w:t>6</w:t>
            </w:r>
          </w:p>
        </w:tc>
        <w:tc>
          <w:tcPr>
            <w:tcW w:w="1386" w:type="dxa"/>
            <w:tcBorders>
              <w:top w:val="single" w:sz="8" w:space="0" w:color="000000"/>
              <w:bottom w:val="single" w:sz="8" w:space="0" w:color="000000"/>
            </w:tcBorders>
          </w:tcPr>
          <w:p w14:paraId="7AC52E0E" w14:textId="77777777" w:rsidR="002D1729" w:rsidRDefault="002D1729" w:rsidP="00C24C8D">
            <w:pPr>
              <w:pStyle w:val="TableParagraph"/>
              <w:spacing w:before="73" w:line="360" w:lineRule="auto"/>
              <w:ind w:right="99"/>
              <w:jc w:val="both"/>
            </w:pPr>
            <w:r>
              <w:rPr>
                <w:spacing w:val="-2"/>
              </w:rPr>
              <w:t xml:space="preserve">Tiedemann </w:t>
            </w:r>
            <w:r>
              <w:t>et</w:t>
            </w:r>
            <w:r>
              <w:rPr>
                <w:spacing w:val="-1"/>
              </w:rPr>
              <w:t xml:space="preserve"> </w:t>
            </w:r>
            <w:r>
              <w:t>al.</w:t>
            </w:r>
            <w:r>
              <w:rPr>
                <w:spacing w:val="-1"/>
              </w:rPr>
              <w:t xml:space="preserve"> </w:t>
            </w:r>
            <w:r>
              <w:rPr>
                <w:spacing w:val="-2"/>
              </w:rPr>
              <w:t>(2013)</w:t>
            </w:r>
          </w:p>
        </w:tc>
        <w:tc>
          <w:tcPr>
            <w:tcW w:w="1480" w:type="dxa"/>
            <w:tcBorders>
              <w:top w:val="single" w:sz="8" w:space="0" w:color="000000"/>
              <w:bottom w:val="single" w:sz="8" w:space="0" w:color="000000"/>
            </w:tcBorders>
          </w:tcPr>
          <w:p w14:paraId="7984D4E8" w14:textId="77777777" w:rsidR="002D1729" w:rsidRDefault="002D1729" w:rsidP="00C24C8D">
            <w:pPr>
              <w:pStyle w:val="TableParagraph"/>
              <w:spacing w:before="73" w:line="360" w:lineRule="auto"/>
              <w:ind w:right="20"/>
              <w:jc w:val="both"/>
            </w:pPr>
            <w:r>
              <w:rPr>
                <w:spacing w:val="-2"/>
              </w:rPr>
              <w:t>Observational study</w:t>
            </w:r>
          </w:p>
        </w:tc>
        <w:tc>
          <w:tcPr>
            <w:tcW w:w="1520" w:type="dxa"/>
            <w:tcBorders>
              <w:top w:val="single" w:sz="8" w:space="0" w:color="000000"/>
              <w:bottom w:val="single" w:sz="8" w:space="0" w:color="000000"/>
            </w:tcBorders>
          </w:tcPr>
          <w:p w14:paraId="77E8B201" w14:textId="77777777" w:rsidR="002D1729" w:rsidRDefault="002D1729" w:rsidP="00C24C8D">
            <w:pPr>
              <w:pStyle w:val="TableParagraph"/>
              <w:spacing w:before="73" w:line="360" w:lineRule="auto"/>
              <w:ind w:right="285"/>
              <w:jc w:val="both"/>
            </w:pPr>
            <w:r>
              <w:rPr>
                <w:spacing w:val="-2"/>
              </w:rPr>
              <w:t>Community participants</w:t>
            </w:r>
          </w:p>
        </w:tc>
        <w:tc>
          <w:tcPr>
            <w:tcW w:w="1740" w:type="dxa"/>
            <w:tcBorders>
              <w:top w:val="single" w:sz="8" w:space="0" w:color="000000"/>
              <w:bottom w:val="single" w:sz="8" w:space="0" w:color="000000"/>
            </w:tcBorders>
          </w:tcPr>
          <w:p w14:paraId="3501B598" w14:textId="77777777" w:rsidR="002D1729" w:rsidRDefault="002D1729" w:rsidP="00C24C8D">
            <w:pPr>
              <w:pStyle w:val="TableParagraph"/>
              <w:spacing w:before="73" w:line="360" w:lineRule="auto"/>
              <w:ind w:right="57"/>
              <w:jc w:val="both"/>
            </w:pPr>
            <w:r>
              <w:rPr>
                <w:spacing w:val="-2"/>
              </w:rPr>
              <w:t>Exercise adherence</w:t>
            </w:r>
          </w:p>
        </w:tc>
        <w:tc>
          <w:tcPr>
            <w:tcW w:w="1920" w:type="dxa"/>
            <w:tcBorders>
              <w:top w:val="single" w:sz="8" w:space="0" w:color="000000"/>
              <w:bottom w:val="single" w:sz="8" w:space="0" w:color="000000"/>
            </w:tcBorders>
          </w:tcPr>
          <w:p w14:paraId="1DA04AFB" w14:textId="77777777" w:rsidR="002D1729" w:rsidRDefault="002D1729" w:rsidP="00C24C8D">
            <w:pPr>
              <w:pStyle w:val="TableParagraph"/>
              <w:spacing w:before="73" w:line="360" w:lineRule="auto"/>
              <w:ind w:right="470"/>
              <w:jc w:val="both"/>
            </w:pPr>
            <w:r>
              <w:t>Long-term</w:t>
            </w:r>
            <w:r>
              <w:rPr>
                <w:spacing w:val="-16"/>
              </w:rPr>
              <w:t xml:space="preserve"> </w:t>
            </w:r>
            <w:r>
              <w:t xml:space="preserve">fall </w:t>
            </w:r>
            <w:r>
              <w:rPr>
                <w:spacing w:val="-2"/>
              </w:rPr>
              <w:t>reduction</w:t>
            </w:r>
          </w:p>
        </w:tc>
        <w:tc>
          <w:tcPr>
            <w:tcW w:w="1530" w:type="dxa"/>
            <w:tcBorders>
              <w:top w:val="single" w:sz="8" w:space="0" w:color="000000"/>
              <w:bottom w:val="single" w:sz="8" w:space="0" w:color="000000"/>
            </w:tcBorders>
          </w:tcPr>
          <w:p w14:paraId="296952F5" w14:textId="77777777" w:rsidR="002D1729" w:rsidRDefault="002D1729" w:rsidP="00C24C8D">
            <w:pPr>
              <w:pStyle w:val="TableParagraph"/>
              <w:spacing w:before="73" w:line="360" w:lineRule="auto"/>
              <w:jc w:val="both"/>
            </w:pPr>
            <w:r>
              <w:rPr>
                <w:spacing w:val="-2"/>
              </w:rPr>
              <w:t>Behavioural adherence</w:t>
            </w:r>
          </w:p>
        </w:tc>
      </w:tr>
      <w:tr w:rsidR="002D1729" w14:paraId="567D7551" w14:textId="77777777" w:rsidTr="00F43B46">
        <w:trPr>
          <w:trHeight w:val="860"/>
        </w:trPr>
        <w:tc>
          <w:tcPr>
            <w:tcW w:w="714" w:type="dxa"/>
            <w:tcBorders>
              <w:top w:val="single" w:sz="8" w:space="0" w:color="000000"/>
              <w:bottom w:val="single" w:sz="8" w:space="0" w:color="000000"/>
            </w:tcBorders>
          </w:tcPr>
          <w:p w14:paraId="45775F71" w14:textId="77777777" w:rsidR="002D1729" w:rsidRDefault="002D1729" w:rsidP="00C24C8D">
            <w:pPr>
              <w:pStyle w:val="TableParagraph"/>
              <w:spacing w:before="20" w:line="360" w:lineRule="auto"/>
              <w:ind w:left="0"/>
              <w:jc w:val="both"/>
            </w:pPr>
          </w:p>
          <w:p w14:paraId="0F95484C" w14:textId="77777777" w:rsidR="002D1729" w:rsidRDefault="002D1729" w:rsidP="00C24C8D">
            <w:pPr>
              <w:pStyle w:val="TableParagraph"/>
              <w:spacing w:before="0" w:line="360" w:lineRule="auto"/>
              <w:jc w:val="both"/>
            </w:pPr>
            <w:r>
              <w:rPr>
                <w:spacing w:val="-10"/>
              </w:rPr>
              <w:t>7</w:t>
            </w:r>
          </w:p>
        </w:tc>
        <w:tc>
          <w:tcPr>
            <w:tcW w:w="1386" w:type="dxa"/>
            <w:tcBorders>
              <w:top w:val="single" w:sz="8" w:space="0" w:color="000000"/>
              <w:bottom w:val="single" w:sz="8" w:space="0" w:color="000000"/>
            </w:tcBorders>
          </w:tcPr>
          <w:p w14:paraId="6D0341B5" w14:textId="77777777" w:rsidR="002D1729" w:rsidRDefault="002D1729" w:rsidP="00C24C8D">
            <w:pPr>
              <w:pStyle w:val="TableParagraph"/>
              <w:spacing w:before="164" w:line="360" w:lineRule="auto"/>
              <w:jc w:val="both"/>
            </w:pPr>
            <w:r>
              <w:t>Chang</w:t>
            </w:r>
            <w:r>
              <w:rPr>
                <w:spacing w:val="-16"/>
              </w:rPr>
              <w:t xml:space="preserve"> </w:t>
            </w:r>
            <w:r>
              <w:t>et</w:t>
            </w:r>
            <w:r>
              <w:rPr>
                <w:spacing w:val="-15"/>
              </w:rPr>
              <w:t xml:space="preserve"> </w:t>
            </w:r>
            <w:r>
              <w:t xml:space="preserve">al. </w:t>
            </w:r>
            <w:r>
              <w:rPr>
                <w:spacing w:val="-2"/>
              </w:rPr>
              <w:t>(2021)</w:t>
            </w:r>
          </w:p>
        </w:tc>
        <w:tc>
          <w:tcPr>
            <w:tcW w:w="1480" w:type="dxa"/>
            <w:tcBorders>
              <w:top w:val="single" w:sz="8" w:space="0" w:color="000000"/>
              <w:bottom w:val="single" w:sz="8" w:space="0" w:color="000000"/>
            </w:tcBorders>
          </w:tcPr>
          <w:p w14:paraId="30FC9C24" w14:textId="77777777" w:rsidR="002D1729" w:rsidRDefault="002D1729" w:rsidP="00C24C8D">
            <w:pPr>
              <w:pStyle w:val="TableParagraph"/>
              <w:spacing w:before="20" w:line="360" w:lineRule="auto"/>
              <w:ind w:left="0"/>
              <w:jc w:val="both"/>
            </w:pPr>
          </w:p>
          <w:p w14:paraId="65FECD65" w14:textId="77777777" w:rsidR="002D1729" w:rsidRDefault="002D1729" w:rsidP="00C24C8D">
            <w:pPr>
              <w:pStyle w:val="TableParagraph"/>
              <w:spacing w:before="0" w:line="360" w:lineRule="auto"/>
              <w:jc w:val="both"/>
            </w:pPr>
            <w:r>
              <w:rPr>
                <w:spacing w:val="-5"/>
              </w:rPr>
              <w:t>RCT</w:t>
            </w:r>
          </w:p>
        </w:tc>
        <w:tc>
          <w:tcPr>
            <w:tcW w:w="1520" w:type="dxa"/>
            <w:tcBorders>
              <w:top w:val="single" w:sz="8" w:space="0" w:color="000000"/>
              <w:bottom w:val="single" w:sz="8" w:space="0" w:color="000000"/>
            </w:tcBorders>
          </w:tcPr>
          <w:p w14:paraId="7B1A7DFE" w14:textId="77777777" w:rsidR="002D1729" w:rsidRDefault="002D1729" w:rsidP="00C24C8D">
            <w:pPr>
              <w:pStyle w:val="TableParagraph"/>
              <w:spacing w:before="35" w:line="360" w:lineRule="auto"/>
              <w:ind w:right="285"/>
              <w:jc w:val="both"/>
            </w:pPr>
            <w:r>
              <w:rPr>
                <w:spacing w:val="-2"/>
              </w:rPr>
              <w:t>Community exercise groups</w:t>
            </w:r>
          </w:p>
        </w:tc>
        <w:tc>
          <w:tcPr>
            <w:tcW w:w="1740" w:type="dxa"/>
            <w:tcBorders>
              <w:top w:val="single" w:sz="8" w:space="0" w:color="000000"/>
              <w:bottom w:val="single" w:sz="8" w:space="0" w:color="000000"/>
            </w:tcBorders>
          </w:tcPr>
          <w:p w14:paraId="42608577" w14:textId="77777777" w:rsidR="002D1729" w:rsidRDefault="002D1729" w:rsidP="00C24C8D">
            <w:pPr>
              <w:pStyle w:val="TableParagraph"/>
              <w:spacing w:before="164" w:line="360" w:lineRule="auto"/>
              <w:ind w:right="266"/>
              <w:jc w:val="both"/>
            </w:pPr>
            <w:r>
              <w:t>Tai</w:t>
            </w:r>
            <w:r>
              <w:rPr>
                <w:spacing w:val="-16"/>
              </w:rPr>
              <w:t xml:space="preserve"> </w:t>
            </w:r>
            <w:r>
              <w:t xml:space="preserve">Chi-based </w:t>
            </w:r>
            <w:r>
              <w:rPr>
                <w:spacing w:val="-2"/>
              </w:rPr>
              <w:t>physiotherapy</w:t>
            </w:r>
          </w:p>
        </w:tc>
        <w:tc>
          <w:tcPr>
            <w:tcW w:w="1920" w:type="dxa"/>
            <w:tcBorders>
              <w:top w:val="single" w:sz="8" w:space="0" w:color="000000"/>
              <w:bottom w:val="single" w:sz="8" w:space="0" w:color="000000"/>
            </w:tcBorders>
          </w:tcPr>
          <w:p w14:paraId="0BECFA61" w14:textId="77777777" w:rsidR="002D1729" w:rsidRDefault="002D1729" w:rsidP="00C24C8D">
            <w:pPr>
              <w:pStyle w:val="TableParagraph"/>
              <w:spacing w:before="164" w:line="360" w:lineRule="auto"/>
              <w:ind w:right="67"/>
              <w:jc w:val="both"/>
            </w:pPr>
            <w:r>
              <w:t>Improved</w:t>
            </w:r>
            <w:r>
              <w:rPr>
                <w:spacing w:val="-16"/>
              </w:rPr>
              <w:t xml:space="preserve"> </w:t>
            </w:r>
            <w:r>
              <w:t>balance &amp; confidence</w:t>
            </w:r>
          </w:p>
        </w:tc>
        <w:tc>
          <w:tcPr>
            <w:tcW w:w="1530" w:type="dxa"/>
            <w:tcBorders>
              <w:top w:val="single" w:sz="8" w:space="0" w:color="000000"/>
              <w:bottom w:val="single" w:sz="8" w:space="0" w:color="000000"/>
            </w:tcBorders>
          </w:tcPr>
          <w:p w14:paraId="1D4E0E0B" w14:textId="77777777" w:rsidR="002D1729" w:rsidRDefault="002D1729" w:rsidP="00C24C8D">
            <w:pPr>
              <w:pStyle w:val="TableParagraph"/>
              <w:spacing w:before="164" w:line="360" w:lineRule="auto"/>
              <w:jc w:val="both"/>
            </w:pPr>
            <w:r>
              <w:rPr>
                <w:spacing w:val="-2"/>
              </w:rPr>
              <w:t>Psychological improvement</w:t>
            </w:r>
          </w:p>
        </w:tc>
      </w:tr>
      <w:tr w:rsidR="002D1729" w14:paraId="0A9CAA7F" w14:textId="77777777" w:rsidTr="00F43B46">
        <w:trPr>
          <w:trHeight w:val="600"/>
        </w:trPr>
        <w:tc>
          <w:tcPr>
            <w:tcW w:w="714" w:type="dxa"/>
            <w:tcBorders>
              <w:top w:val="single" w:sz="8" w:space="0" w:color="000000"/>
              <w:bottom w:val="single" w:sz="8" w:space="0" w:color="000000"/>
            </w:tcBorders>
          </w:tcPr>
          <w:p w14:paraId="260A7C8B" w14:textId="77777777" w:rsidR="002D1729" w:rsidRDefault="002D1729" w:rsidP="00C24C8D">
            <w:pPr>
              <w:pStyle w:val="TableParagraph"/>
              <w:spacing w:line="360" w:lineRule="auto"/>
              <w:jc w:val="both"/>
            </w:pPr>
            <w:r>
              <w:rPr>
                <w:spacing w:val="-10"/>
              </w:rPr>
              <w:t>8</w:t>
            </w:r>
          </w:p>
        </w:tc>
        <w:tc>
          <w:tcPr>
            <w:tcW w:w="1386" w:type="dxa"/>
            <w:tcBorders>
              <w:top w:val="single" w:sz="8" w:space="0" w:color="000000"/>
              <w:bottom w:val="single" w:sz="8" w:space="0" w:color="000000"/>
            </w:tcBorders>
          </w:tcPr>
          <w:p w14:paraId="7B58AB59" w14:textId="77777777" w:rsidR="002D1729" w:rsidRDefault="002D1729" w:rsidP="00C24C8D">
            <w:pPr>
              <w:pStyle w:val="TableParagraph"/>
              <w:spacing w:before="13" w:line="360" w:lineRule="auto"/>
              <w:jc w:val="both"/>
            </w:pPr>
            <w:r>
              <w:t>Hall</w:t>
            </w:r>
            <w:r>
              <w:rPr>
                <w:spacing w:val="-16"/>
              </w:rPr>
              <w:t xml:space="preserve"> </w:t>
            </w:r>
            <w:r>
              <w:t>et</w:t>
            </w:r>
            <w:r>
              <w:rPr>
                <w:spacing w:val="-15"/>
              </w:rPr>
              <w:t xml:space="preserve"> </w:t>
            </w:r>
            <w:r>
              <w:t xml:space="preserve">al. </w:t>
            </w:r>
            <w:r>
              <w:rPr>
                <w:spacing w:val="-2"/>
              </w:rPr>
              <w:t>(2010)</w:t>
            </w:r>
          </w:p>
        </w:tc>
        <w:tc>
          <w:tcPr>
            <w:tcW w:w="1480" w:type="dxa"/>
            <w:tcBorders>
              <w:top w:val="single" w:sz="8" w:space="0" w:color="000000"/>
              <w:bottom w:val="single" w:sz="8" w:space="0" w:color="000000"/>
            </w:tcBorders>
          </w:tcPr>
          <w:p w14:paraId="13B260C8" w14:textId="77777777" w:rsidR="002D1729" w:rsidRDefault="002D1729" w:rsidP="00C24C8D">
            <w:pPr>
              <w:pStyle w:val="TableParagraph"/>
              <w:spacing w:before="13" w:line="360" w:lineRule="auto"/>
              <w:ind w:right="326"/>
              <w:jc w:val="both"/>
            </w:pPr>
            <w:r>
              <w:rPr>
                <w:spacing w:val="-2"/>
              </w:rPr>
              <w:t>Qualitative study</w:t>
            </w:r>
          </w:p>
        </w:tc>
        <w:tc>
          <w:tcPr>
            <w:tcW w:w="1520" w:type="dxa"/>
            <w:tcBorders>
              <w:top w:val="single" w:sz="8" w:space="0" w:color="000000"/>
              <w:bottom w:val="single" w:sz="8" w:space="0" w:color="000000"/>
            </w:tcBorders>
          </w:tcPr>
          <w:p w14:paraId="3D379E6A" w14:textId="77777777" w:rsidR="002D1729" w:rsidRDefault="002D1729" w:rsidP="00C24C8D">
            <w:pPr>
              <w:pStyle w:val="TableParagraph"/>
              <w:spacing w:before="13" w:line="360" w:lineRule="auto"/>
              <w:jc w:val="both"/>
            </w:pPr>
            <w:r>
              <w:rPr>
                <w:spacing w:val="-2"/>
              </w:rPr>
              <w:t>Physiotherapy services</w:t>
            </w:r>
          </w:p>
        </w:tc>
        <w:tc>
          <w:tcPr>
            <w:tcW w:w="1740" w:type="dxa"/>
            <w:tcBorders>
              <w:top w:val="single" w:sz="8" w:space="0" w:color="000000"/>
              <w:bottom w:val="single" w:sz="8" w:space="0" w:color="000000"/>
            </w:tcBorders>
          </w:tcPr>
          <w:p w14:paraId="19C52678" w14:textId="77777777" w:rsidR="002D1729" w:rsidRDefault="002D1729" w:rsidP="00C24C8D">
            <w:pPr>
              <w:pStyle w:val="TableParagraph"/>
              <w:spacing w:before="13" w:line="360" w:lineRule="auto"/>
              <w:ind w:right="57"/>
              <w:jc w:val="both"/>
            </w:pPr>
            <w:r>
              <w:rPr>
                <w:spacing w:val="-2"/>
              </w:rPr>
              <w:t>Therapeutic alliance</w:t>
            </w:r>
          </w:p>
        </w:tc>
        <w:tc>
          <w:tcPr>
            <w:tcW w:w="1920" w:type="dxa"/>
            <w:tcBorders>
              <w:top w:val="single" w:sz="8" w:space="0" w:color="000000"/>
              <w:bottom w:val="single" w:sz="8" w:space="0" w:color="000000"/>
            </w:tcBorders>
          </w:tcPr>
          <w:p w14:paraId="3B619AE4" w14:textId="77777777" w:rsidR="002D1729" w:rsidRDefault="002D1729" w:rsidP="00C24C8D">
            <w:pPr>
              <w:pStyle w:val="TableParagraph"/>
              <w:spacing w:before="13" w:line="360" w:lineRule="auto"/>
              <w:ind w:right="42"/>
              <w:jc w:val="both"/>
            </w:pPr>
            <w:r>
              <w:rPr>
                <w:spacing w:val="-2"/>
              </w:rPr>
              <w:t>Improved adherence</w:t>
            </w:r>
          </w:p>
        </w:tc>
        <w:tc>
          <w:tcPr>
            <w:tcW w:w="1530" w:type="dxa"/>
            <w:tcBorders>
              <w:top w:val="single" w:sz="8" w:space="0" w:color="000000"/>
              <w:bottom w:val="single" w:sz="8" w:space="0" w:color="000000"/>
            </w:tcBorders>
          </w:tcPr>
          <w:p w14:paraId="2A7FF9BE" w14:textId="77777777" w:rsidR="002D1729" w:rsidRDefault="002D1729" w:rsidP="00C24C8D">
            <w:pPr>
              <w:pStyle w:val="TableParagraph"/>
              <w:spacing w:before="13" w:line="360" w:lineRule="auto"/>
              <w:jc w:val="both"/>
            </w:pPr>
            <w:r>
              <w:rPr>
                <w:spacing w:val="-2"/>
              </w:rPr>
              <w:t>Psychosocial factors</w:t>
            </w:r>
          </w:p>
        </w:tc>
      </w:tr>
      <w:tr w:rsidR="002D1729" w14:paraId="2A4B731E" w14:textId="77777777" w:rsidTr="00F43B46">
        <w:trPr>
          <w:trHeight w:val="860"/>
        </w:trPr>
        <w:tc>
          <w:tcPr>
            <w:tcW w:w="714" w:type="dxa"/>
            <w:tcBorders>
              <w:top w:val="single" w:sz="8" w:space="0" w:color="000000"/>
              <w:bottom w:val="single" w:sz="8" w:space="0" w:color="000000"/>
            </w:tcBorders>
          </w:tcPr>
          <w:p w14:paraId="37456DA7" w14:textId="77777777" w:rsidR="002D1729" w:rsidRDefault="002D1729" w:rsidP="00C24C8D">
            <w:pPr>
              <w:pStyle w:val="TableParagraph"/>
              <w:spacing w:before="20" w:line="360" w:lineRule="auto"/>
              <w:ind w:left="0"/>
              <w:jc w:val="both"/>
            </w:pPr>
          </w:p>
          <w:p w14:paraId="7D8C7D40" w14:textId="77777777" w:rsidR="002D1729" w:rsidRDefault="002D1729" w:rsidP="00C24C8D">
            <w:pPr>
              <w:pStyle w:val="TableParagraph"/>
              <w:spacing w:before="0" w:line="360" w:lineRule="auto"/>
              <w:jc w:val="both"/>
            </w:pPr>
            <w:r>
              <w:rPr>
                <w:spacing w:val="-10"/>
              </w:rPr>
              <w:t>9</w:t>
            </w:r>
          </w:p>
        </w:tc>
        <w:tc>
          <w:tcPr>
            <w:tcW w:w="1386" w:type="dxa"/>
            <w:tcBorders>
              <w:top w:val="single" w:sz="8" w:space="0" w:color="000000"/>
              <w:bottom w:val="single" w:sz="8" w:space="0" w:color="000000"/>
            </w:tcBorders>
          </w:tcPr>
          <w:p w14:paraId="11ADFB6F" w14:textId="77777777" w:rsidR="002D1729" w:rsidRDefault="002D1729" w:rsidP="00C24C8D">
            <w:pPr>
              <w:pStyle w:val="TableParagraph"/>
              <w:spacing w:line="360" w:lineRule="auto"/>
              <w:ind w:right="99"/>
              <w:jc w:val="both"/>
            </w:pPr>
            <w:r>
              <w:rPr>
                <w:spacing w:val="-2"/>
              </w:rPr>
              <w:t xml:space="preserve">Sims-Gould </w:t>
            </w:r>
            <w:r>
              <w:t>et</w:t>
            </w:r>
            <w:r>
              <w:rPr>
                <w:spacing w:val="-1"/>
              </w:rPr>
              <w:t xml:space="preserve"> </w:t>
            </w:r>
            <w:r>
              <w:t>al.</w:t>
            </w:r>
            <w:r>
              <w:rPr>
                <w:spacing w:val="-1"/>
              </w:rPr>
              <w:t xml:space="preserve"> </w:t>
            </w:r>
            <w:r>
              <w:rPr>
                <w:spacing w:val="-2"/>
              </w:rPr>
              <w:t>(2015)</w:t>
            </w:r>
          </w:p>
        </w:tc>
        <w:tc>
          <w:tcPr>
            <w:tcW w:w="1480" w:type="dxa"/>
            <w:tcBorders>
              <w:top w:val="single" w:sz="8" w:space="0" w:color="000000"/>
              <w:bottom w:val="single" w:sz="8" w:space="0" w:color="000000"/>
            </w:tcBorders>
          </w:tcPr>
          <w:p w14:paraId="5A939C7A" w14:textId="77777777" w:rsidR="002D1729" w:rsidRDefault="002D1729" w:rsidP="00C24C8D">
            <w:pPr>
              <w:pStyle w:val="TableParagraph"/>
              <w:spacing w:line="360" w:lineRule="auto"/>
              <w:ind w:right="326"/>
              <w:jc w:val="both"/>
            </w:pPr>
            <w:r>
              <w:rPr>
                <w:spacing w:val="-2"/>
              </w:rPr>
              <w:t>Qualitative study</w:t>
            </w:r>
          </w:p>
        </w:tc>
        <w:tc>
          <w:tcPr>
            <w:tcW w:w="1520" w:type="dxa"/>
            <w:tcBorders>
              <w:top w:val="single" w:sz="8" w:space="0" w:color="000000"/>
              <w:bottom w:val="single" w:sz="8" w:space="0" w:color="000000"/>
            </w:tcBorders>
          </w:tcPr>
          <w:p w14:paraId="6BE6D546" w14:textId="77777777" w:rsidR="002D1729" w:rsidRDefault="002D1729" w:rsidP="00C24C8D">
            <w:pPr>
              <w:pStyle w:val="TableParagraph"/>
              <w:spacing w:line="360" w:lineRule="auto"/>
              <w:ind w:right="266"/>
              <w:jc w:val="both"/>
            </w:pPr>
            <w:r>
              <w:t>Urban</w:t>
            </w:r>
            <w:r>
              <w:rPr>
                <w:spacing w:val="-16"/>
              </w:rPr>
              <w:t xml:space="preserve"> </w:t>
            </w:r>
            <w:r>
              <w:t xml:space="preserve">older </w:t>
            </w:r>
            <w:r>
              <w:rPr>
                <w:spacing w:val="-2"/>
              </w:rPr>
              <w:t>adults</w:t>
            </w:r>
          </w:p>
        </w:tc>
        <w:tc>
          <w:tcPr>
            <w:tcW w:w="1740" w:type="dxa"/>
            <w:tcBorders>
              <w:top w:val="single" w:sz="8" w:space="0" w:color="000000"/>
              <w:bottom w:val="single" w:sz="8" w:space="0" w:color="000000"/>
            </w:tcBorders>
          </w:tcPr>
          <w:p w14:paraId="1190E049" w14:textId="189A6DE8" w:rsidR="002D1729" w:rsidRDefault="002D1729" w:rsidP="00C24C8D">
            <w:pPr>
              <w:pStyle w:val="TableParagraph"/>
              <w:spacing w:before="35" w:line="360" w:lineRule="auto"/>
              <w:ind w:right="57"/>
              <w:jc w:val="both"/>
            </w:pPr>
            <w:r>
              <w:rPr>
                <w:spacing w:val="-2"/>
              </w:rPr>
              <w:t xml:space="preserve">Culturally tailored </w:t>
            </w:r>
            <w:r w:rsidR="004C31AD">
              <w:rPr>
                <w:spacing w:val="-2"/>
              </w:rPr>
              <w:lastRenderedPageBreak/>
              <w:t>programs</w:t>
            </w:r>
          </w:p>
        </w:tc>
        <w:tc>
          <w:tcPr>
            <w:tcW w:w="1920" w:type="dxa"/>
            <w:tcBorders>
              <w:top w:val="single" w:sz="8" w:space="0" w:color="000000"/>
              <w:bottom w:val="single" w:sz="8" w:space="0" w:color="000000"/>
            </w:tcBorders>
          </w:tcPr>
          <w:p w14:paraId="7DF8FBC0" w14:textId="77777777" w:rsidR="002D1729" w:rsidRDefault="002D1729" w:rsidP="00C24C8D">
            <w:pPr>
              <w:pStyle w:val="TableParagraph"/>
              <w:spacing w:line="360" w:lineRule="auto"/>
              <w:ind w:right="42"/>
              <w:jc w:val="both"/>
            </w:pPr>
            <w:r>
              <w:rPr>
                <w:spacing w:val="-2"/>
              </w:rPr>
              <w:lastRenderedPageBreak/>
              <w:t>Improved engagement</w:t>
            </w:r>
          </w:p>
        </w:tc>
        <w:tc>
          <w:tcPr>
            <w:tcW w:w="1530" w:type="dxa"/>
            <w:tcBorders>
              <w:top w:val="single" w:sz="8" w:space="0" w:color="000000"/>
              <w:bottom w:val="single" w:sz="8" w:space="0" w:color="000000"/>
            </w:tcBorders>
          </w:tcPr>
          <w:p w14:paraId="53DEED89" w14:textId="77777777" w:rsidR="002D1729" w:rsidRDefault="002D1729" w:rsidP="00C24C8D">
            <w:pPr>
              <w:pStyle w:val="TableParagraph"/>
              <w:spacing w:line="360" w:lineRule="auto"/>
              <w:jc w:val="both"/>
            </w:pPr>
            <w:r>
              <w:rPr>
                <w:spacing w:val="-2"/>
              </w:rPr>
              <w:t>Cultural relevance</w:t>
            </w:r>
          </w:p>
        </w:tc>
      </w:tr>
      <w:tr w:rsidR="002D1729" w14:paraId="199DF34F" w14:textId="77777777" w:rsidTr="00F43B46">
        <w:trPr>
          <w:trHeight w:val="860"/>
        </w:trPr>
        <w:tc>
          <w:tcPr>
            <w:tcW w:w="714" w:type="dxa"/>
            <w:tcBorders>
              <w:top w:val="single" w:sz="8" w:space="0" w:color="000000"/>
              <w:bottom w:val="single" w:sz="8" w:space="0" w:color="000000"/>
            </w:tcBorders>
          </w:tcPr>
          <w:p w14:paraId="2B8C1147" w14:textId="77777777" w:rsidR="002D1729" w:rsidRDefault="002D1729" w:rsidP="00C24C8D">
            <w:pPr>
              <w:pStyle w:val="TableParagraph"/>
              <w:spacing w:before="20" w:line="360" w:lineRule="auto"/>
              <w:ind w:left="0"/>
              <w:jc w:val="both"/>
            </w:pPr>
          </w:p>
          <w:p w14:paraId="377FA04B" w14:textId="77777777" w:rsidR="002D1729" w:rsidRDefault="002D1729" w:rsidP="00C24C8D">
            <w:pPr>
              <w:pStyle w:val="TableParagraph"/>
              <w:spacing w:before="0" w:line="360" w:lineRule="auto"/>
              <w:jc w:val="both"/>
            </w:pPr>
            <w:r>
              <w:rPr>
                <w:spacing w:val="-5"/>
              </w:rPr>
              <w:t>10</w:t>
            </w:r>
          </w:p>
        </w:tc>
        <w:tc>
          <w:tcPr>
            <w:tcW w:w="1386" w:type="dxa"/>
            <w:tcBorders>
              <w:top w:val="single" w:sz="8" w:space="0" w:color="000000"/>
              <w:bottom w:val="single" w:sz="8" w:space="0" w:color="000000"/>
            </w:tcBorders>
          </w:tcPr>
          <w:p w14:paraId="36352C5F" w14:textId="77777777" w:rsidR="002D1729" w:rsidRDefault="002D1729" w:rsidP="00C24C8D">
            <w:pPr>
              <w:pStyle w:val="TableParagraph"/>
              <w:spacing w:line="360" w:lineRule="auto"/>
              <w:jc w:val="both"/>
            </w:pPr>
            <w:r>
              <w:t>Victor</w:t>
            </w:r>
            <w:r>
              <w:rPr>
                <w:spacing w:val="-16"/>
              </w:rPr>
              <w:t xml:space="preserve"> </w:t>
            </w:r>
            <w:r>
              <w:t>et</w:t>
            </w:r>
            <w:r>
              <w:rPr>
                <w:spacing w:val="-15"/>
              </w:rPr>
              <w:t xml:space="preserve"> </w:t>
            </w:r>
            <w:r>
              <w:t xml:space="preserve">al. </w:t>
            </w:r>
            <w:r>
              <w:rPr>
                <w:spacing w:val="-2"/>
              </w:rPr>
              <w:t>(2020)</w:t>
            </w:r>
          </w:p>
        </w:tc>
        <w:tc>
          <w:tcPr>
            <w:tcW w:w="1480" w:type="dxa"/>
            <w:tcBorders>
              <w:top w:val="single" w:sz="8" w:space="0" w:color="000000"/>
              <w:bottom w:val="single" w:sz="8" w:space="0" w:color="000000"/>
            </w:tcBorders>
          </w:tcPr>
          <w:p w14:paraId="30F40B29" w14:textId="77777777" w:rsidR="002D1729" w:rsidRDefault="002D1729" w:rsidP="00C24C8D">
            <w:pPr>
              <w:pStyle w:val="TableParagraph"/>
              <w:spacing w:before="35" w:line="360" w:lineRule="auto"/>
              <w:ind w:right="530"/>
              <w:jc w:val="both"/>
            </w:pPr>
            <w:r>
              <w:rPr>
                <w:spacing w:val="-2"/>
              </w:rPr>
              <w:t>Mixed- methods study</w:t>
            </w:r>
          </w:p>
        </w:tc>
        <w:tc>
          <w:tcPr>
            <w:tcW w:w="1520" w:type="dxa"/>
            <w:tcBorders>
              <w:top w:val="single" w:sz="8" w:space="0" w:color="000000"/>
              <w:bottom w:val="single" w:sz="8" w:space="0" w:color="000000"/>
            </w:tcBorders>
          </w:tcPr>
          <w:p w14:paraId="1D5CE4C9" w14:textId="77777777" w:rsidR="002D1729" w:rsidRDefault="002D1729" w:rsidP="00C24C8D">
            <w:pPr>
              <w:pStyle w:val="TableParagraph"/>
              <w:spacing w:line="360" w:lineRule="auto"/>
              <w:ind w:right="70"/>
              <w:jc w:val="both"/>
            </w:pPr>
            <w:r>
              <w:rPr>
                <w:spacing w:val="-2"/>
              </w:rPr>
              <w:t>Group-based interventions</w:t>
            </w:r>
          </w:p>
        </w:tc>
        <w:tc>
          <w:tcPr>
            <w:tcW w:w="1740" w:type="dxa"/>
            <w:tcBorders>
              <w:top w:val="single" w:sz="8" w:space="0" w:color="000000"/>
              <w:bottom w:val="single" w:sz="8" w:space="0" w:color="000000"/>
            </w:tcBorders>
          </w:tcPr>
          <w:p w14:paraId="0FC1B20A" w14:textId="77777777" w:rsidR="002D1729" w:rsidRDefault="002D1729" w:rsidP="00C24C8D">
            <w:pPr>
              <w:pStyle w:val="TableParagraph"/>
              <w:spacing w:line="360" w:lineRule="auto"/>
              <w:ind w:right="57"/>
              <w:jc w:val="both"/>
            </w:pPr>
            <w:r>
              <w:rPr>
                <w:spacing w:val="-2"/>
              </w:rPr>
              <w:t>Social participation</w:t>
            </w:r>
          </w:p>
        </w:tc>
        <w:tc>
          <w:tcPr>
            <w:tcW w:w="1920" w:type="dxa"/>
            <w:tcBorders>
              <w:top w:val="single" w:sz="8" w:space="0" w:color="000000"/>
              <w:bottom w:val="single" w:sz="8" w:space="0" w:color="000000"/>
            </w:tcBorders>
          </w:tcPr>
          <w:p w14:paraId="14D7D3E5" w14:textId="77777777" w:rsidR="002D1729" w:rsidRDefault="002D1729" w:rsidP="00C24C8D">
            <w:pPr>
              <w:pStyle w:val="TableParagraph"/>
              <w:spacing w:line="360" w:lineRule="auto"/>
              <w:ind w:right="42"/>
              <w:jc w:val="both"/>
            </w:pPr>
            <w:r>
              <w:rPr>
                <w:spacing w:val="-2"/>
              </w:rPr>
              <w:t>Reduced loneliness</w:t>
            </w:r>
          </w:p>
        </w:tc>
        <w:tc>
          <w:tcPr>
            <w:tcW w:w="1530" w:type="dxa"/>
            <w:tcBorders>
              <w:top w:val="single" w:sz="8" w:space="0" w:color="000000"/>
              <w:bottom w:val="single" w:sz="8" w:space="0" w:color="000000"/>
            </w:tcBorders>
          </w:tcPr>
          <w:p w14:paraId="36E8BCC0" w14:textId="77777777" w:rsidR="002D1729" w:rsidRDefault="002D1729" w:rsidP="00C24C8D">
            <w:pPr>
              <w:pStyle w:val="TableParagraph"/>
              <w:spacing w:line="360" w:lineRule="auto"/>
              <w:jc w:val="both"/>
            </w:pPr>
            <w:r>
              <w:rPr>
                <w:spacing w:val="-2"/>
              </w:rPr>
              <w:t>Social engagement</w:t>
            </w:r>
          </w:p>
        </w:tc>
      </w:tr>
      <w:tr w:rsidR="002D1729" w14:paraId="4702CB91" w14:textId="77777777" w:rsidTr="00F43B46">
        <w:trPr>
          <w:trHeight w:val="540"/>
        </w:trPr>
        <w:tc>
          <w:tcPr>
            <w:tcW w:w="714" w:type="dxa"/>
            <w:tcBorders>
              <w:top w:val="single" w:sz="8" w:space="0" w:color="000000"/>
              <w:bottom w:val="single" w:sz="8" w:space="0" w:color="000000"/>
            </w:tcBorders>
          </w:tcPr>
          <w:p w14:paraId="5B8BE435" w14:textId="77777777" w:rsidR="002D1729" w:rsidRDefault="002D1729" w:rsidP="00C24C8D">
            <w:pPr>
              <w:pStyle w:val="TableParagraph"/>
              <w:spacing w:line="360" w:lineRule="auto"/>
              <w:jc w:val="both"/>
            </w:pPr>
            <w:r>
              <w:rPr>
                <w:spacing w:val="-5"/>
              </w:rPr>
              <w:t>11</w:t>
            </w:r>
          </w:p>
        </w:tc>
        <w:tc>
          <w:tcPr>
            <w:tcW w:w="1386" w:type="dxa"/>
            <w:tcBorders>
              <w:top w:val="single" w:sz="8" w:space="0" w:color="000000"/>
              <w:bottom w:val="single" w:sz="8" w:space="0" w:color="000000"/>
            </w:tcBorders>
          </w:tcPr>
          <w:p w14:paraId="20BE9C2C" w14:textId="77777777" w:rsidR="002D1729" w:rsidRDefault="002D1729" w:rsidP="00C24C8D">
            <w:pPr>
              <w:pStyle w:val="TableParagraph"/>
              <w:spacing w:before="40" w:line="360" w:lineRule="auto"/>
              <w:jc w:val="both"/>
            </w:pPr>
            <w:r>
              <w:rPr>
                <w:spacing w:val="-2"/>
              </w:rPr>
              <w:t xml:space="preserve">Ramanathan </w:t>
            </w:r>
            <w:r>
              <w:t>et al. (2019)</w:t>
            </w:r>
          </w:p>
        </w:tc>
        <w:tc>
          <w:tcPr>
            <w:tcW w:w="1480" w:type="dxa"/>
            <w:tcBorders>
              <w:top w:val="single" w:sz="8" w:space="0" w:color="000000"/>
              <w:bottom w:val="single" w:sz="8" w:space="0" w:color="000000"/>
            </w:tcBorders>
          </w:tcPr>
          <w:p w14:paraId="4B7A126F" w14:textId="77777777" w:rsidR="002D1729" w:rsidRDefault="002D1729" w:rsidP="00C24C8D">
            <w:pPr>
              <w:pStyle w:val="TableParagraph"/>
              <w:spacing w:before="40" w:line="360" w:lineRule="auto"/>
              <w:ind w:right="20"/>
              <w:jc w:val="both"/>
            </w:pPr>
            <w:r>
              <w:rPr>
                <w:spacing w:val="-2"/>
              </w:rPr>
              <w:t>Observational study</w:t>
            </w:r>
          </w:p>
        </w:tc>
        <w:tc>
          <w:tcPr>
            <w:tcW w:w="1520" w:type="dxa"/>
            <w:tcBorders>
              <w:top w:val="single" w:sz="8" w:space="0" w:color="000000"/>
              <w:bottom w:val="single" w:sz="8" w:space="0" w:color="000000"/>
            </w:tcBorders>
          </w:tcPr>
          <w:p w14:paraId="25220CFC" w14:textId="77777777" w:rsidR="002D1729" w:rsidRDefault="002D1729" w:rsidP="00C24C8D">
            <w:pPr>
              <w:pStyle w:val="TableParagraph"/>
              <w:spacing w:before="40" w:line="360" w:lineRule="auto"/>
              <w:ind w:right="70"/>
              <w:jc w:val="both"/>
            </w:pPr>
            <w:r>
              <w:rPr>
                <w:spacing w:val="-4"/>
              </w:rPr>
              <w:t xml:space="preserve">Urban </w:t>
            </w:r>
            <w:r>
              <w:rPr>
                <w:spacing w:val="-2"/>
              </w:rPr>
              <w:t>environments</w:t>
            </w:r>
          </w:p>
        </w:tc>
        <w:tc>
          <w:tcPr>
            <w:tcW w:w="1740" w:type="dxa"/>
            <w:tcBorders>
              <w:top w:val="single" w:sz="8" w:space="0" w:color="000000"/>
              <w:bottom w:val="single" w:sz="8" w:space="0" w:color="000000"/>
            </w:tcBorders>
          </w:tcPr>
          <w:p w14:paraId="2658DF2A" w14:textId="77777777" w:rsidR="002D1729" w:rsidRDefault="002D1729" w:rsidP="00C24C8D">
            <w:pPr>
              <w:pStyle w:val="TableParagraph"/>
              <w:spacing w:before="40" w:line="360" w:lineRule="auto"/>
              <w:ind w:right="57"/>
              <w:jc w:val="both"/>
            </w:pPr>
            <w:r>
              <w:rPr>
                <w:spacing w:val="-2"/>
              </w:rPr>
              <w:t xml:space="preserve">Environmental </w:t>
            </w:r>
            <w:r>
              <w:t>risk factors</w:t>
            </w:r>
          </w:p>
        </w:tc>
        <w:tc>
          <w:tcPr>
            <w:tcW w:w="1920" w:type="dxa"/>
            <w:tcBorders>
              <w:top w:val="single" w:sz="8" w:space="0" w:color="000000"/>
              <w:bottom w:val="single" w:sz="8" w:space="0" w:color="000000"/>
            </w:tcBorders>
          </w:tcPr>
          <w:p w14:paraId="3A7609E7" w14:textId="77777777" w:rsidR="002D1729" w:rsidRDefault="002D1729" w:rsidP="00C24C8D">
            <w:pPr>
              <w:pStyle w:val="TableParagraph"/>
              <w:spacing w:line="360" w:lineRule="auto"/>
              <w:ind w:left="16" w:right="82"/>
              <w:jc w:val="both"/>
            </w:pPr>
            <w:r>
              <w:t>Increased</w:t>
            </w:r>
            <w:r>
              <w:rPr>
                <w:spacing w:val="-4"/>
              </w:rPr>
              <w:t xml:space="preserve"> </w:t>
            </w:r>
            <w:r>
              <w:t>fall</w:t>
            </w:r>
            <w:r>
              <w:rPr>
                <w:spacing w:val="-1"/>
              </w:rPr>
              <w:t xml:space="preserve"> </w:t>
            </w:r>
            <w:r>
              <w:rPr>
                <w:spacing w:val="-4"/>
              </w:rPr>
              <w:t>risk</w:t>
            </w:r>
          </w:p>
        </w:tc>
        <w:tc>
          <w:tcPr>
            <w:tcW w:w="1530" w:type="dxa"/>
            <w:tcBorders>
              <w:top w:val="single" w:sz="8" w:space="0" w:color="000000"/>
              <w:bottom w:val="single" w:sz="8" w:space="0" w:color="000000"/>
            </w:tcBorders>
          </w:tcPr>
          <w:p w14:paraId="5D66ACDF" w14:textId="77777777" w:rsidR="002D1729" w:rsidRDefault="002D1729" w:rsidP="00C24C8D">
            <w:pPr>
              <w:pStyle w:val="TableParagraph"/>
              <w:spacing w:before="40" w:line="360" w:lineRule="auto"/>
              <w:jc w:val="both"/>
            </w:pPr>
            <w:r>
              <w:rPr>
                <w:spacing w:val="-2"/>
              </w:rPr>
              <w:t>Contextual barriers</w:t>
            </w:r>
          </w:p>
        </w:tc>
      </w:tr>
      <w:tr w:rsidR="002D1729" w14:paraId="7B9D3291" w14:textId="77777777" w:rsidTr="00F43B46">
        <w:trPr>
          <w:trHeight w:val="889"/>
        </w:trPr>
        <w:tc>
          <w:tcPr>
            <w:tcW w:w="714" w:type="dxa"/>
            <w:tcBorders>
              <w:top w:val="single" w:sz="8" w:space="0" w:color="000000"/>
            </w:tcBorders>
          </w:tcPr>
          <w:p w14:paraId="51484A5F" w14:textId="77777777" w:rsidR="002D1729" w:rsidRDefault="002D1729" w:rsidP="00C24C8D">
            <w:pPr>
              <w:pStyle w:val="TableParagraph"/>
              <w:spacing w:before="100" w:line="360" w:lineRule="auto"/>
              <w:ind w:left="0"/>
              <w:jc w:val="both"/>
            </w:pPr>
          </w:p>
          <w:p w14:paraId="5D5A1067" w14:textId="77777777" w:rsidR="002D1729" w:rsidRDefault="002D1729" w:rsidP="00C24C8D">
            <w:pPr>
              <w:pStyle w:val="TableParagraph"/>
              <w:spacing w:before="0" w:line="360" w:lineRule="auto"/>
              <w:jc w:val="both"/>
            </w:pPr>
            <w:r>
              <w:rPr>
                <w:spacing w:val="-5"/>
              </w:rPr>
              <w:t>12</w:t>
            </w:r>
          </w:p>
        </w:tc>
        <w:tc>
          <w:tcPr>
            <w:tcW w:w="1386" w:type="dxa"/>
            <w:tcBorders>
              <w:top w:val="single" w:sz="8" w:space="0" w:color="000000"/>
            </w:tcBorders>
          </w:tcPr>
          <w:p w14:paraId="63341CDA" w14:textId="77777777" w:rsidR="002D1729" w:rsidRDefault="002D1729" w:rsidP="00C24C8D">
            <w:pPr>
              <w:pStyle w:val="TableParagraph"/>
              <w:spacing w:before="213" w:line="360" w:lineRule="auto"/>
              <w:jc w:val="both"/>
            </w:pPr>
            <w:r>
              <w:t>Barker</w:t>
            </w:r>
            <w:r>
              <w:rPr>
                <w:spacing w:val="-16"/>
              </w:rPr>
              <w:t xml:space="preserve"> </w:t>
            </w:r>
            <w:r>
              <w:t>et</w:t>
            </w:r>
            <w:r>
              <w:rPr>
                <w:spacing w:val="-15"/>
              </w:rPr>
              <w:t xml:space="preserve"> </w:t>
            </w:r>
            <w:r>
              <w:t xml:space="preserve">al. </w:t>
            </w:r>
            <w:r>
              <w:rPr>
                <w:spacing w:val="-2"/>
              </w:rPr>
              <w:t>(2016)</w:t>
            </w:r>
          </w:p>
        </w:tc>
        <w:tc>
          <w:tcPr>
            <w:tcW w:w="1480" w:type="dxa"/>
            <w:tcBorders>
              <w:top w:val="single" w:sz="8" w:space="0" w:color="000000"/>
            </w:tcBorders>
          </w:tcPr>
          <w:p w14:paraId="6143C470" w14:textId="77777777" w:rsidR="002D1729" w:rsidRDefault="002D1729" w:rsidP="00C24C8D">
            <w:pPr>
              <w:pStyle w:val="TableParagraph"/>
              <w:spacing w:before="95" w:line="360" w:lineRule="auto"/>
              <w:ind w:right="530"/>
              <w:jc w:val="both"/>
            </w:pPr>
            <w:r>
              <w:rPr>
                <w:spacing w:val="-2"/>
              </w:rPr>
              <w:t>Mixed- methods study</w:t>
            </w:r>
          </w:p>
        </w:tc>
        <w:tc>
          <w:tcPr>
            <w:tcW w:w="1520" w:type="dxa"/>
            <w:tcBorders>
              <w:top w:val="single" w:sz="8" w:space="0" w:color="000000"/>
            </w:tcBorders>
          </w:tcPr>
          <w:p w14:paraId="7FD3F671" w14:textId="77777777" w:rsidR="002D1729" w:rsidRDefault="002D1729" w:rsidP="00C24C8D">
            <w:pPr>
              <w:pStyle w:val="TableParagraph"/>
              <w:spacing w:before="213" w:line="360" w:lineRule="auto"/>
              <w:ind w:right="285"/>
              <w:jc w:val="both"/>
            </w:pPr>
            <w:r>
              <w:rPr>
                <w:spacing w:val="-2"/>
              </w:rPr>
              <w:t>Community settings</w:t>
            </w:r>
          </w:p>
        </w:tc>
        <w:tc>
          <w:tcPr>
            <w:tcW w:w="1740" w:type="dxa"/>
            <w:tcBorders>
              <w:top w:val="single" w:sz="8" w:space="0" w:color="000000"/>
            </w:tcBorders>
          </w:tcPr>
          <w:p w14:paraId="01A253A0" w14:textId="0B435B73" w:rsidR="002D1729" w:rsidRDefault="007726CB" w:rsidP="00C24C8D">
            <w:pPr>
              <w:pStyle w:val="TableParagraph"/>
              <w:spacing w:before="95" w:line="360" w:lineRule="auto"/>
              <w:ind w:right="57"/>
              <w:jc w:val="both"/>
            </w:pPr>
            <w:r>
              <w:rPr>
                <w:spacing w:val="-2"/>
              </w:rPr>
              <w:t>Behavior</w:t>
            </w:r>
            <w:r w:rsidR="002D1729">
              <w:rPr>
                <w:spacing w:val="-2"/>
              </w:rPr>
              <w:t xml:space="preserve"> </w:t>
            </w:r>
            <w:r w:rsidR="004C31AD">
              <w:rPr>
                <w:spacing w:val="-2"/>
              </w:rPr>
              <w:t>changes</w:t>
            </w:r>
            <w:r w:rsidR="002D1729">
              <w:rPr>
                <w:spacing w:val="-2"/>
              </w:rPr>
              <w:t xml:space="preserve"> techniques</w:t>
            </w:r>
          </w:p>
        </w:tc>
        <w:tc>
          <w:tcPr>
            <w:tcW w:w="1920" w:type="dxa"/>
            <w:tcBorders>
              <w:top w:val="single" w:sz="8" w:space="0" w:color="000000"/>
            </w:tcBorders>
          </w:tcPr>
          <w:p w14:paraId="4B6EDD4B" w14:textId="77777777" w:rsidR="002D1729" w:rsidRDefault="002D1729" w:rsidP="00C24C8D">
            <w:pPr>
              <w:pStyle w:val="TableParagraph"/>
              <w:spacing w:before="213" w:line="360" w:lineRule="auto"/>
              <w:ind w:right="825"/>
              <w:jc w:val="both"/>
            </w:pPr>
            <w:r>
              <w:rPr>
                <w:spacing w:val="-2"/>
              </w:rPr>
              <w:t>Enhanced outcomes</w:t>
            </w:r>
          </w:p>
        </w:tc>
        <w:tc>
          <w:tcPr>
            <w:tcW w:w="1530" w:type="dxa"/>
            <w:tcBorders>
              <w:top w:val="single" w:sz="8" w:space="0" w:color="000000"/>
            </w:tcBorders>
          </w:tcPr>
          <w:p w14:paraId="772C5A9D" w14:textId="3BAE2DEC" w:rsidR="002D1729" w:rsidRDefault="007726CB" w:rsidP="00C24C8D">
            <w:pPr>
              <w:pStyle w:val="TableParagraph"/>
              <w:spacing w:before="213" w:line="360" w:lineRule="auto"/>
              <w:jc w:val="both"/>
            </w:pPr>
            <w:r>
              <w:rPr>
                <w:spacing w:val="-2"/>
              </w:rPr>
              <w:t>Behavioral</w:t>
            </w:r>
            <w:r w:rsidR="002D1729">
              <w:rPr>
                <w:spacing w:val="-2"/>
              </w:rPr>
              <w:t xml:space="preserve"> support</w:t>
            </w:r>
          </w:p>
        </w:tc>
      </w:tr>
    </w:tbl>
    <w:p w14:paraId="62C21BDE" w14:textId="77777777" w:rsidR="001C31FB" w:rsidRDefault="001C31FB" w:rsidP="00C24C8D">
      <w:pPr>
        <w:spacing w:line="360" w:lineRule="auto"/>
        <w:jc w:val="both"/>
        <w:rPr>
          <w:rFonts w:ascii="Arial" w:hAnsi="Arial" w:cs="Arial"/>
          <w:sz w:val="22"/>
          <w:szCs w:val="22"/>
        </w:rPr>
      </w:pPr>
    </w:p>
    <w:p w14:paraId="6429FAB9" w14:textId="5B1F445C" w:rsidR="002D1729" w:rsidRPr="00C25D06" w:rsidRDefault="00C25D06" w:rsidP="004C31AD">
      <w:pPr>
        <w:pStyle w:val="Caption"/>
        <w:spacing w:line="360" w:lineRule="auto"/>
        <w:jc w:val="center"/>
        <w:rPr>
          <w:rFonts w:ascii="Arial" w:hAnsi="Arial" w:cs="Arial"/>
          <w:sz w:val="24"/>
          <w:szCs w:val="24"/>
        </w:rPr>
      </w:pPr>
      <w:bookmarkStart w:id="74" w:name="_Toc220878846"/>
      <w:r w:rsidRPr="00C25D06">
        <w:rPr>
          <w:sz w:val="20"/>
          <w:szCs w:val="20"/>
        </w:rPr>
        <w:t xml:space="preserve">Table </w:t>
      </w:r>
      <w:r w:rsidRPr="00C25D06">
        <w:rPr>
          <w:sz w:val="20"/>
          <w:szCs w:val="20"/>
        </w:rPr>
        <w:fldChar w:fldCharType="begin"/>
      </w:r>
      <w:r w:rsidRPr="00C25D06">
        <w:rPr>
          <w:sz w:val="20"/>
          <w:szCs w:val="20"/>
        </w:rPr>
        <w:instrText xml:space="preserve"> SEQ Table \* ARABIC </w:instrText>
      </w:r>
      <w:r w:rsidRPr="00C25D06">
        <w:rPr>
          <w:sz w:val="20"/>
          <w:szCs w:val="20"/>
        </w:rPr>
        <w:fldChar w:fldCharType="separate"/>
      </w:r>
      <w:r w:rsidR="00F07385">
        <w:rPr>
          <w:noProof/>
          <w:sz w:val="20"/>
          <w:szCs w:val="20"/>
        </w:rPr>
        <w:t>3</w:t>
      </w:r>
      <w:r w:rsidRPr="00C25D06">
        <w:rPr>
          <w:sz w:val="20"/>
          <w:szCs w:val="20"/>
        </w:rPr>
        <w:fldChar w:fldCharType="end"/>
      </w:r>
      <w:r w:rsidRPr="00C25D06">
        <w:rPr>
          <w:sz w:val="20"/>
          <w:szCs w:val="20"/>
        </w:rPr>
        <w:t>: The Twele Studies Included following the PRISMA Screening process.</w:t>
      </w:r>
      <w:bookmarkEnd w:id="74"/>
    </w:p>
    <w:p w14:paraId="0C3D0BDD" w14:textId="30CF32A1" w:rsidR="003F29DA" w:rsidRPr="00BB2C98" w:rsidRDefault="003F29DA" w:rsidP="00C24C8D">
      <w:pPr>
        <w:pStyle w:val="Heading2"/>
        <w:spacing w:line="360" w:lineRule="auto"/>
        <w:jc w:val="both"/>
        <w:rPr>
          <w:rFonts w:ascii="Arial" w:hAnsi="Arial" w:cs="Arial"/>
          <w:b/>
          <w:bCs/>
          <w:sz w:val="28"/>
          <w:szCs w:val="28"/>
        </w:rPr>
      </w:pPr>
      <w:bookmarkStart w:id="75" w:name="_Toc220878921"/>
      <w:r w:rsidRPr="00BB2C98">
        <w:rPr>
          <w:rFonts w:ascii="Arial" w:hAnsi="Arial" w:cs="Arial"/>
          <w:b/>
          <w:bCs/>
          <w:sz w:val="28"/>
          <w:szCs w:val="28"/>
        </w:rPr>
        <w:t>4.4</w:t>
      </w:r>
      <w:r w:rsidR="00BB2C98" w:rsidRPr="00BB2C98">
        <w:rPr>
          <w:rFonts w:ascii="Arial" w:hAnsi="Arial" w:cs="Arial"/>
          <w:b/>
          <w:bCs/>
          <w:sz w:val="28"/>
          <w:szCs w:val="28"/>
        </w:rPr>
        <w:t xml:space="preserve"> </w:t>
      </w:r>
      <w:r w:rsidRPr="00BB2C98">
        <w:rPr>
          <w:rFonts w:ascii="Arial" w:hAnsi="Arial" w:cs="Arial"/>
          <w:b/>
          <w:bCs/>
          <w:sz w:val="28"/>
          <w:szCs w:val="28"/>
        </w:rPr>
        <w:t>Data Extraction and Synthesis</w:t>
      </w:r>
      <w:bookmarkEnd w:id="75"/>
    </w:p>
    <w:p w14:paraId="2A4BF5BA" w14:textId="33106D6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Data extraction focused on study design, intervention type, population characteristics, outcome measures and key findings related to fall reduction</w:t>
      </w:r>
      <w:r w:rsidR="00725F2B">
        <w:rPr>
          <w:rFonts w:ascii="Arial" w:hAnsi="Arial" w:cs="Arial"/>
          <w:sz w:val="22"/>
          <w:szCs w:val="22"/>
        </w:rPr>
        <w:t xml:space="preserve"> </w:t>
      </w:r>
      <w:r w:rsidR="00725F2B" w:rsidRPr="00725F2B">
        <w:rPr>
          <w:rFonts w:ascii="Arial" w:hAnsi="Arial" w:cs="Arial"/>
          <w:sz w:val="22"/>
          <w:szCs w:val="22"/>
        </w:rPr>
        <w:t>(Sadaqa et al., 2023)</w:t>
      </w:r>
      <w:r w:rsidRPr="003F29DA">
        <w:rPr>
          <w:rFonts w:ascii="Arial" w:hAnsi="Arial" w:cs="Arial"/>
          <w:sz w:val="22"/>
          <w:szCs w:val="22"/>
        </w:rPr>
        <w:t>. Despite methodological heterogeneity, all studies examined physiotherapy-led interventions within community contexts</w:t>
      </w:r>
      <w:r w:rsidR="00725F2B">
        <w:rPr>
          <w:rFonts w:ascii="Arial" w:hAnsi="Arial" w:cs="Arial"/>
          <w:sz w:val="22"/>
          <w:szCs w:val="22"/>
        </w:rPr>
        <w:t xml:space="preserve"> </w:t>
      </w:r>
      <w:r w:rsidR="00725F2B" w:rsidRPr="00725F2B">
        <w:rPr>
          <w:rFonts w:ascii="Arial" w:hAnsi="Arial" w:cs="Arial"/>
          <w:sz w:val="22"/>
          <w:szCs w:val="22"/>
        </w:rPr>
        <w:t>(Sherrington et al., 2019)</w:t>
      </w:r>
      <w:r w:rsidRPr="003F29DA">
        <w:rPr>
          <w:rFonts w:ascii="Arial" w:hAnsi="Arial" w:cs="Arial"/>
          <w:sz w:val="22"/>
          <w:szCs w:val="22"/>
        </w:rPr>
        <w:t>. Quantitative studies consistently reported improvements in balance, strength and mobility, while qualitative and mixed-methods studies highlighted psychological, behavioural and social dimensions influencing intervention effectiveness</w:t>
      </w:r>
      <w:r w:rsidR="00725F2B">
        <w:rPr>
          <w:rFonts w:ascii="Arial" w:hAnsi="Arial" w:cs="Arial"/>
          <w:sz w:val="22"/>
          <w:szCs w:val="22"/>
        </w:rPr>
        <w:t xml:space="preserve"> </w:t>
      </w:r>
      <w:r w:rsidR="00725F2B" w:rsidRPr="00725F2B">
        <w:rPr>
          <w:rFonts w:ascii="Arial" w:hAnsi="Arial" w:cs="Arial"/>
          <w:sz w:val="22"/>
          <w:szCs w:val="22"/>
        </w:rPr>
        <w:t>(Pighills et al., 2019)</w:t>
      </w:r>
      <w:r w:rsidRPr="003F29DA">
        <w:rPr>
          <w:rFonts w:ascii="Arial" w:hAnsi="Arial" w:cs="Arial"/>
          <w:sz w:val="22"/>
          <w:szCs w:val="22"/>
        </w:rPr>
        <w:t>.</w:t>
      </w:r>
      <w:r w:rsidR="00767DC3">
        <w:rPr>
          <w:rFonts w:ascii="Arial" w:hAnsi="Arial" w:cs="Arial"/>
          <w:sz w:val="22"/>
          <w:szCs w:val="22"/>
        </w:rPr>
        <w:t xml:space="preserve"> </w:t>
      </w:r>
      <w:r w:rsidR="00767DC3" w:rsidRPr="00767DC3">
        <w:rPr>
          <w:rFonts w:ascii="Arial" w:hAnsi="Arial" w:cs="Arial"/>
          <w:sz w:val="22"/>
          <w:szCs w:val="22"/>
        </w:rPr>
        <w:t>A more thorough understanding of how and why physiotherapy interventions were successful in complicated community contexts was made possible by the integration of quantitative and qualitative findings (Pluye and Hong, 2014; Harden et al., 2018).</w:t>
      </w:r>
    </w:p>
    <w:p w14:paraId="3F1EBAEF" w14:textId="2DB50C4F"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Homogeneity was observed in the direction of outcomes, with all studies reporting beneficial effects of physiotherapy-based interventions</w:t>
      </w:r>
      <w:r w:rsidR="00725F2B">
        <w:rPr>
          <w:rFonts w:ascii="Arial" w:hAnsi="Arial" w:cs="Arial"/>
          <w:sz w:val="22"/>
          <w:szCs w:val="22"/>
        </w:rPr>
        <w:t xml:space="preserve"> </w:t>
      </w:r>
      <w:r w:rsidR="00725F2B" w:rsidRPr="00725F2B">
        <w:rPr>
          <w:rFonts w:ascii="Arial" w:hAnsi="Arial" w:cs="Arial"/>
          <w:sz w:val="22"/>
          <w:szCs w:val="22"/>
        </w:rPr>
        <w:t>(Sherrington et al., 2019)</w:t>
      </w:r>
      <w:r w:rsidRPr="003F29DA">
        <w:rPr>
          <w:rFonts w:ascii="Arial" w:hAnsi="Arial" w:cs="Arial"/>
          <w:sz w:val="22"/>
          <w:szCs w:val="22"/>
        </w:rPr>
        <w:t>. However, heterogeneity existed in intervention intensity, duration, delivery mode and outcome measurement tools</w:t>
      </w:r>
      <w:r w:rsidR="00725F2B">
        <w:rPr>
          <w:rFonts w:ascii="Arial" w:hAnsi="Arial" w:cs="Arial"/>
          <w:sz w:val="22"/>
          <w:szCs w:val="22"/>
        </w:rPr>
        <w:t xml:space="preserve"> </w:t>
      </w:r>
      <w:r w:rsidR="00725F2B" w:rsidRPr="00725F2B">
        <w:rPr>
          <w:rFonts w:ascii="Arial" w:hAnsi="Arial" w:cs="Arial"/>
          <w:sz w:val="22"/>
          <w:szCs w:val="22"/>
        </w:rPr>
        <w:t>(Gillespie et al., 2012)</w:t>
      </w:r>
      <w:r w:rsidRPr="003F29DA">
        <w:rPr>
          <w:rFonts w:ascii="Arial" w:hAnsi="Arial" w:cs="Arial"/>
          <w:sz w:val="22"/>
          <w:szCs w:val="22"/>
        </w:rPr>
        <w:t>. These variations limited direct comparison but strengthened the rationale for narrative and thematic synthesis</w:t>
      </w:r>
      <w:r w:rsidR="00725F2B">
        <w:rPr>
          <w:rFonts w:ascii="Arial" w:hAnsi="Arial" w:cs="Arial"/>
          <w:sz w:val="22"/>
          <w:szCs w:val="22"/>
        </w:rPr>
        <w:t xml:space="preserve"> </w:t>
      </w:r>
      <w:r w:rsidR="00725F2B" w:rsidRPr="00725F2B">
        <w:rPr>
          <w:rFonts w:ascii="Arial" w:hAnsi="Arial" w:cs="Arial"/>
          <w:sz w:val="22"/>
          <w:szCs w:val="22"/>
        </w:rPr>
        <w:t>(Sadaqa et al., 2023</w:t>
      </w:r>
      <w:r w:rsidR="00725F2B">
        <w:rPr>
          <w:rFonts w:ascii="Arial" w:hAnsi="Arial" w:cs="Arial"/>
          <w:sz w:val="22"/>
          <w:szCs w:val="22"/>
        </w:rPr>
        <w:t>)</w:t>
      </w:r>
      <w:r w:rsidRPr="003F29DA">
        <w:rPr>
          <w:rFonts w:ascii="Arial" w:hAnsi="Arial" w:cs="Arial"/>
          <w:sz w:val="22"/>
          <w:szCs w:val="22"/>
        </w:rPr>
        <w:t>.</w:t>
      </w:r>
    </w:p>
    <w:p w14:paraId="18F63EEA" w14:textId="7F2C83C2" w:rsidR="003F29DA" w:rsidRDefault="001170EC" w:rsidP="004C31AD">
      <w:pPr>
        <w:spacing w:line="360" w:lineRule="auto"/>
        <w:jc w:val="center"/>
        <w:rPr>
          <w:rFonts w:ascii="Arial" w:hAnsi="Arial" w:cs="Arial"/>
          <w:sz w:val="22"/>
          <w:szCs w:val="22"/>
        </w:rPr>
      </w:pPr>
      <w:r w:rsidRPr="001170EC">
        <w:rPr>
          <w:rFonts w:ascii="Arial" w:hAnsi="Arial" w:cs="Arial"/>
          <w:noProof/>
          <w:sz w:val="22"/>
          <w:szCs w:val="22"/>
        </w:rPr>
        <w:lastRenderedPageBreak/>
        <w:drawing>
          <wp:inline distT="0" distB="0" distL="0" distR="0" wp14:anchorId="69C798AB" wp14:editId="3B669668">
            <wp:extent cx="5278120" cy="2201545"/>
            <wp:effectExtent l="0" t="0" r="0" b="8255"/>
            <wp:docPr id="1753222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22215" name=""/>
                    <pic:cNvPicPr/>
                  </pic:nvPicPr>
                  <pic:blipFill>
                    <a:blip r:embed="rId21"/>
                    <a:stretch>
                      <a:fillRect/>
                    </a:stretch>
                  </pic:blipFill>
                  <pic:spPr>
                    <a:xfrm>
                      <a:off x="0" y="0"/>
                      <a:ext cx="5278120" cy="2201545"/>
                    </a:xfrm>
                    <a:prstGeom prst="rect">
                      <a:avLst/>
                    </a:prstGeom>
                  </pic:spPr>
                </pic:pic>
              </a:graphicData>
            </a:graphic>
          </wp:inline>
        </w:drawing>
      </w:r>
    </w:p>
    <w:p w14:paraId="7CC85F25" w14:textId="21420F7E" w:rsidR="000D29EE" w:rsidRPr="00FB3E8E" w:rsidRDefault="00C25D06" w:rsidP="00FB3E8E">
      <w:pPr>
        <w:pStyle w:val="Caption"/>
        <w:spacing w:line="360" w:lineRule="auto"/>
        <w:jc w:val="center"/>
        <w:rPr>
          <w:sz w:val="20"/>
          <w:szCs w:val="20"/>
        </w:rPr>
      </w:pPr>
      <w:bookmarkStart w:id="76" w:name="_Toc220878851"/>
      <w:r w:rsidRPr="00C25D06">
        <w:rPr>
          <w:sz w:val="20"/>
          <w:szCs w:val="20"/>
        </w:rPr>
        <w:t xml:space="preserve">Figure </w:t>
      </w:r>
      <w:r w:rsidRPr="00C25D06">
        <w:rPr>
          <w:sz w:val="20"/>
          <w:szCs w:val="20"/>
        </w:rPr>
        <w:fldChar w:fldCharType="begin"/>
      </w:r>
      <w:r w:rsidRPr="00C25D06">
        <w:rPr>
          <w:sz w:val="20"/>
          <w:szCs w:val="20"/>
        </w:rPr>
        <w:instrText xml:space="preserve"> SEQ Figure \* ARABIC </w:instrText>
      </w:r>
      <w:r w:rsidRPr="00C25D06">
        <w:rPr>
          <w:sz w:val="20"/>
          <w:szCs w:val="20"/>
        </w:rPr>
        <w:fldChar w:fldCharType="separate"/>
      </w:r>
      <w:r w:rsidR="00F07385">
        <w:rPr>
          <w:noProof/>
          <w:sz w:val="20"/>
          <w:szCs w:val="20"/>
        </w:rPr>
        <w:t>5</w:t>
      </w:r>
      <w:r w:rsidRPr="00C25D06">
        <w:rPr>
          <w:sz w:val="20"/>
          <w:szCs w:val="20"/>
        </w:rPr>
        <w:fldChar w:fldCharType="end"/>
      </w:r>
      <w:r w:rsidRPr="00C25D06">
        <w:rPr>
          <w:sz w:val="20"/>
          <w:szCs w:val="20"/>
        </w:rPr>
        <w:t>: Impact of Physiotherapy on Fall reduction</w:t>
      </w:r>
      <w:bookmarkEnd w:id="76"/>
    </w:p>
    <w:p w14:paraId="39D8538D" w14:textId="610D2BAB" w:rsidR="003F29DA" w:rsidRPr="00BB2C98" w:rsidRDefault="003F29DA" w:rsidP="00C24C8D">
      <w:pPr>
        <w:pStyle w:val="Heading2"/>
        <w:spacing w:line="360" w:lineRule="auto"/>
        <w:jc w:val="both"/>
        <w:rPr>
          <w:rFonts w:ascii="Arial" w:hAnsi="Arial" w:cs="Arial"/>
          <w:b/>
          <w:bCs/>
          <w:sz w:val="28"/>
          <w:szCs w:val="28"/>
        </w:rPr>
      </w:pPr>
      <w:bookmarkStart w:id="77" w:name="_Toc220878922"/>
      <w:r w:rsidRPr="00BB2C98">
        <w:rPr>
          <w:rFonts w:ascii="Arial" w:hAnsi="Arial" w:cs="Arial"/>
          <w:b/>
          <w:bCs/>
          <w:sz w:val="28"/>
          <w:szCs w:val="28"/>
        </w:rPr>
        <w:t>4.5</w:t>
      </w:r>
      <w:r w:rsidR="00BB2C98" w:rsidRPr="00BB2C98">
        <w:rPr>
          <w:rFonts w:ascii="Arial" w:hAnsi="Arial" w:cs="Arial"/>
          <w:b/>
          <w:bCs/>
          <w:sz w:val="28"/>
          <w:szCs w:val="28"/>
        </w:rPr>
        <w:t xml:space="preserve"> </w:t>
      </w:r>
      <w:r w:rsidRPr="00BB2C98">
        <w:rPr>
          <w:rFonts w:ascii="Arial" w:hAnsi="Arial" w:cs="Arial"/>
          <w:b/>
          <w:bCs/>
          <w:sz w:val="28"/>
          <w:szCs w:val="28"/>
        </w:rPr>
        <w:t>Overall Common Themes Identified</w:t>
      </w:r>
      <w:bookmarkEnd w:id="77"/>
    </w:p>
    <w:p w14:paraId="3B0A1912" w14:textId="7777777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Four overarching themes emerged across the included studies:</w:t>
      </w:r>
    </w:p>
    <w:p w14:paraId="0BA38582" w14:textId="77777777" w:rsidR="00BB2C98" w:rsidRDefault="003F29DA" w:rsidP="00C24C8D">
      <w:pPr>
        <w:pStyle w:val="ListParagraph"/>
        <w:numPr>
          <w:ilvl w:val="0"/>
          <w:numId w:val="3"/>
        </w:numPr>
        <w:spacing w:line="360" w:lineRule="auto"/>
        <w:jc w:val="both"/>
        <w:rPr>
          <w:rFonts w:ascii="Arial" w:hAnsi="Arial" w:cs="Arial"/>
          <w:sz w:val="22"/>
          <w:szCs w:val="22"/>
        </w:rPr>
      </w:pPr>
      <w:r w:rsidRPr="00BB2C98">
        <w:rPr>
          <w:rFonts w:ascii="Arial" w:hAnsi="Arial" w:cs="Arial"/>
          <w:sz w:val="22"/>
          <w:szCs w:val="22"/>
        </w:rPr>
        <w:t>Physiological and Functional Improvements</w:t>
      </w:r>
    </w:p>
    <w:p w14:paraId="7761384C" w14:textId="77777777" w:rsidR="00BB2C98" w:rsidRDefault="003F29DA" w:rsidP="00C24C8D">
      <w:pPr>
        <w:pStyle w:val="ListParagraph"/>
        <w:numPr>
          <w:ilvl w:val="0"/>
          <w:numId w:val="3"/>
        </w:numPr>
        <w:spacing w:line="360" w:lineRule="auto"/>
        <w:jc w:val="both"/>
        <w:rPr>
          <w:rFonts w:ascii="Arial" w:hAnsi="Arial" w:cs="Arial"/>
          <w:sz w:val="22"/>
          <w:szCs w:val="22"/>
        </w:rPr>
      </w:pPr>
      <w:r w:rsidRPr="00BB2C98">
        <w:rPr>
          <w:rFonts w:ascii="Arial" w:hAnsi="Arial" w:cs="Arial"/>
          <w:sz w:val="22"/>
          <w:szCs w:val="22"/>
        </w:rPr>
        <w:t>Psychological and Behavioural Change</w:t>
      </w:r>
    </w:p>
    <w:p w14:paraId="6EA278A5" w14:textId="77777777" w:rsidR="00BB2C98" w:rsidRDefault="003F29DA" w:rsidP="00C24C8D">
      <w:pPr>
        <w:pStyle w:val="ListParagraph"/>
        <w:numPr>
          <w:ilvl w:val="0"/>
          <w:numId w:val="3"/>
        </w:numPr>
        <w:spacing w:line="360" w:lineRule="auto"/>
        <w:jc w:val="both"/>
        <w:rPr>
          <w:rFonts w:ascii="Arial" w:hAnsi="Arial" w:cs="Arial"/>
          <w:sz w:val="22"/>
          <w:szCs w:val="22"/>
        </w:rPr>
      </w:pPr>
      <w:r w:rsidRPr="00BB2C98">
        <w:rPr>
          <w:rFonts w:ascii="Arial" w:hAnsi="Arial" w:cs="Arial"/>
          <w:sz w:val="22"/>
          <w:szCs w:val="22"/>
        </w:rPr>
        <w:t>Social Engagement and Support</w:t>
      </w:r>
    </w:p>
    <w:p w14:paraId="15E9997C" w14:textId="7270DB85" w:rsidR="003F29DA" w:rsidRPr="00BB2C98" w:rsidRDefault="003F29DA" w:rsidP="00C24C8D">
      <w:pPr>
        <w:pStyle w:val="ListParagraph"/>
        <w:numPr>
          <w:ilvl w:val="0"/>
          <w:numId w:val="3"/>
        </w:numPr>
        <w:spacing w:line="360" w:lineRule="auto"/>
        <w:jc w:val="both"/>
        <w:rPr>
          <w:rFonts w:ascii="Arial" w:hAnsi="Arial" w:cs="Arial"/>
          <w:sz w:val="22"/>
          <w:szCs w:val="22"/>
        </w:rPr>
      </w:pPr>
      <w:r w:rsidRPr="00BB2C98">
        <w:rPr>
          <w:rFonts w:ascii="Arial" w:hAnsi="Arial" w:cs="Arial"/>
          <w:sz w:val="22"/>
          <w:szCs w:val="22"/>
        </w:rPr>
        <w:t>Environmental and Contextual Barriers</w:t>
      </w:r>
    </w:p>
    <w:p w14:paraId="3DB1E10B" w14:textId="06EA1F71" w:rsidR="003F29DA" w:rsidRPr="00BB2C98" w:rsidRDefault="003F29DA" w:rsidP="00C24C8D">
      <w:pPr>
        <w:pStyle w:val="Heading3"/>
        <w:spacing w:line="360" w:lineRule="auto"/>
        <w:jc w:val="both"/>
        <w:rPr>
          <w:rFonts w:ascii="Arial" w:hAnsi="Arial" w:cs="Arial"/>
          <w:b/>
          <w:bCs/>
          <w:sz w:val="24"/>
          <w:szCs w:val="24"/>
        </w:rPr>
      </w:pPr>
      <w:bookmarkStart w:id="78" w:name="_Toc220878923"/>
      <w:r w:rsidRPr="00BB2C98">
        <w:rPr>
          <w:rFonts w:ascii="Arial" w:hAnsi="Arial" w:cs="Arial"/>
          <w:b/>
          <w:bCs/>
          <w:sz w:val="24"/>
          <w:szCs w:val="24"/>
        </w:rPr>
        <w:t>4.5.1</w:t>
      </w:r>
      <w:r w:rsidR="00BB2C98" w:rsidRPr="00BB2C98">
        <w:rPr>
          <w:rFonts w:ascii="Arial" w:hAnsi="Arial" w:cs="Arial"/>
          <w:b/>
          <w:bCs/>
          <w:sz w:val="24"/>
          <w:szCs w:val="24"/>
        </w:rPr>
        <w:t xml:space="preserve"> </w:t>
      </w:r>
      <w:r w:rsidRPr="00BB2C98">
        <w:rPr>
          <w:rFonts w:ascii="Arial" w:hAnsi="Arial" w:cs="Arial"/>
          <w:b/>
          <w:bCs/>
          <w:sz w:val="24"/>
          <w:szCs w:val="24"/>
        </w:rPr>
        <w:t>Physiological and Functional Improvements</w:t>
      </w:r>
      <w:bookmarkEnd w:id="78"/>
    </w:p>
    <w:p w14:paraId="3AEED9F2" w14:textId="5B05739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Community-based physiotherapy interventions consistently produced significant physiological and functional improvements among older adults, particularly in balance,</w:t>
      </w:r>
      <w:r w:rsidR="00BB2C98">
        <w:rPr>
          <w:rFonts w:ascii="Arial" w:hAnsi="Arial" w:cs="Arial"/>
          <w:sz w:val="22"/>
          <w:szCs w:val="22"/>
        </w:rPr>
        <w:t xml:space="preserve"> </w:t>
      </w:r>
      <w:r w:rsidRPr="003F29DA">
        <w:rPr>
          <w:rFonts w:ascii="Arial" w:hAnsi="Arial" w:cs="Arial"/>
          <w:sz w:val="22"/>
          <w:szCs w:val="22"/>
        </w:rPr>
        <w:t>lower-limb strength, gait stability and overall mobility</w:t>
      </w:r>
      <w:r w:rsidR="00FB3E8E">
        <w:rPr>
          <w:rFonts w:ascii="Arial" w:hAnsi="Arial" w:cs="Arial"/>
          <w:sz w:val="22"/>
          <w:szCs w:val="22"/>
        </w:rPr>
        <w:t xml:space="preserve"> </w:t>
      </w:r>
      <w:r w:rsidR="00FC58D3" w:rsidRPr="00FC58D3">
        <w:rPr>
          <w:rFonts w:ascii="Arial" w:hAnsi="Arial" w:cs="Arial"/>
          <w:sz w:val="22"/>
          <w:szCs w:val="22"/>
        </w:rPr>
        <w:t>(Keating et al., 2021)</w:t>
      </w:r>
      <w:r w:rsidRPr="003F29DA">
        <w:rPr>
          <w:rFonts w:ascii="Arial" w:hAnsi="Arial" w:cs="Arial"/>
          <w:sz w:val="22"/>
          <w:szCs w:val="22"/>
        </w:rPr>
        <w:t>. Across high-quality systematic reviews, balance-focused and multicomponent exercise programmes were identified as the most effective interventions for reducing falls in community-dwelling older adults. Sherrington et al. (2019) reported a substantial 23–34% reduction in fall rates, with effectiveness strongly associated with programmes that included progressive, challenging balance activities delivered at adequate intensity. These findings were reinforced by Gillespie et al. (2012), who concluded that physiotherapy-led exercise represented the most effective single intervention for fall prevention when compared with other community-based strategies.</w:t>
      </w:r>
    </w:p>
    <w:p w14:paraId="49F29D70" w14:textId="28FE5A7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Collectively, this evidence demonstrated strong homogeneity in outcomes across studies, indicating that targeted physiotherapy interventions directly addressed intrinsic fall risk factors.</w:t>
      </w:r>
      <w:r w:rsidR="00767DC3">
        <w:rPr>
          <w:rFonts w:ascii="Arial" w:hAnsi="Arial" w:cs="Arial"/>
          <w:sz w:val="22"/>
          <w:szCs w:val="22"/>
        </w:rPr>
        <w:t xml:space="preserve"> </w:t>
      </w:r>
      <w:r w:rsidR="00767DC3" w:rsidRPr="00767DC3">
        <w:rPr>
          <w:rFonts w:ascii="Arial" w:hAnsi="Arial" w:cs="Arial"/>
          <w:sz w:val="22"/>
          <w:szCs w:val="22"/>
        </w:rPr>
        <w:t>The physiological efficacy of community-based</w:t>
      </w:r>
      <w:r w:rsidR="00BA1983" w:rsidRPr="00BA1983">
        <w:t xml:space="preserve"> </w:t>
      </w:r>
      <w:r w:rsidR="00BA1983" w:rsidRPr="00BA1983">
        <w:rPr>
          <w:rFonts w:ascii="Arial" w:hAnsi="Arial" w:cs="Arial"/>
          <w:sz w:val="22"/>
          <w:szCs w:val="22"/>
        </w:rPr>
        <w:t>physiotherapy interventions</w:t>
      </w:r>
      <w:r w:rsidR="00767DC3" w:rsidRPr="00767DC3">
        <w:rPr>
          <w:rFonts w:ascii="Arial" w:hAnsi="Arial" w:cs="Arial"/>
          <w:sz w:val="22"/>
          <w:szCs w:val="22"/>
        </w:rPr>
        <w:t xml:space="preserve">, a </w:t>
      </w:r>
      <w:r w:rsidR="00387741" w:rsidRPr="00767DC3">
        <w:rPr>
          <w:rFonts w:ascii="Arial" w:hAnsi="Arial" w:cs="Arial"/>
          <w:sz w:val="22"/>
          <w:szCs w:val="22"/>
        </w:rPr>
        <w:t>crucial criterion</w:t>
      </w:r>
      <w:r w:rsidR="00767DC3" w:rsidRPr="00767DC3">
        <w:rPr>
          <w:rFonts w:ascii="Arial" w:hAnsi="Arial" w:cs="Arial"/>
          <w:sz w:val="22"/>
          <w:szCs w:val="22"/>
        </w:rPr>
        <w:t xml:space="preserve"> for evidence-informed therapeutic decision-making, is </w:t>
      </w:r>
      <w:r w:rsidR="00767DC3" w:rsidRPr="00767DC3">
        <w:rPr>
          <w:rFonts w:ascii="Arial" w:hAnsi="Arial" w:cs="Arial"/>
          <w:sz w:val="22"/>
          <w:szCs w:val="22"/>
        </w:rPr>
        <w:lastRenderedPageBreak/>
        <w:t>strengthened by such consistency across various trial designs (Guyatt et al., 2011; Glasziou et al., 2007).</w:t>
      </w:r>
    </w:p>
    <w:p w14:paraId="7B8EBACF" w14:textId="7777777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Improvements in muscular strength and functional mobility were also consistently observed, highlighting the role of strength training in fall prevention. Liu and Latham (2011) demonstrated that progressive resistance training significantly improved gait speed, balance control and functional performance, all of which are closely linked to reduced fall risk.</w:t>
      </w:r>
    </w:p>
    <w:p w14:paraId="67EA1BF8" w14:textId="326A312A"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Importantly, these benefits were evident even among older adults with frailty, chronic conditions and reduced baseline function, suggesting that community-based physiotherapy interventions were adaptable and effective across diverse clinical profiles.</w:t>
      </w:r>
      <w:r w:rsidR="0036382F">
        <w:rPr>
          <w:rFonts w:ascii="Arial" w:hAnsi="Arial" w:cs="Arial"/>
          <w:sz w:val="22"/>
          <w:szCs w:val="22"/>
        </w:rPr>
        <w:t xml:space="preserve"> </w:t>
      </w:r>
      <w:r w:rsidR="0036382F" w:rsidRPr="0036382F">
        <w:rPr>
          <w:rFonts w:ascii="Arial" w:hAnsi="Arial" w:cs="Arial"/>
          <w:sz w:val="22"/>
          <w:szCs w:val="22"/>
        </w:rPr>
        <w:t xml:space="preserve">The idea that fragility restricts rehabilitative capacity is being challenged by mounting evidence that </w:t>
      </w:r>
      <w:r w:rsidR="00FB3E8E" w:rsidRPr="0036382F">
        <w:rPr>
          <w:rFonts w:ascii="Arial" w:hAnsi="Arial" w:cs="Arial"/>
          <w:sz w:val="22"/>
          <w:szCs w:val="22"/>
        </w:rPr>
        <w:t>well-tailored</w:t>
      </w:r>
      <w:r w:rsidR="0036382F" w:rsidRPr="0036382F">
        <w:rPr>
          <w:rFonts w:ascii="Arial" w:hAnsi="Arial" w:cs="Arial"/>
          <w:sz w:val="22"/>
          <w:szCs w:val="22"/>
        </w:rPr>
        <w:t xml:space="preserve"> exercise programs are safe and helpful even for weak people (Theou et al., 2011; Fairhall et al., 2014).</w:t>
      </w:r>
      <w:r w:rsidRPr="003F29DA">
        <w:rPr>
          <w:rFonts w:ascii="Arial" w:hAnsi="Arial" w:cs="Arial"/>
          <w:sz w:val="22"/>
          <w:szCs w:val="22"/>
        </w:rPr>
        <w:t xml:space="preserve"> Randomised controlled evidence further supported these findings, with Clemson et al. (2012) reporting a 31% reduction in falls through the L</w:t>
      </w:r>
      <w:r w:rsidR="00FB3E8E">
        <w:rPr>
          <w:rFonts w:ascii="Arial" w:hAnsi="Arial" w:cs="Arial"/>
          <w:sz w:val="22"/>
          <w:szCs w:val="22"/>
        </w:rPr>
        <w:t>I</w:t>
      </w:r>
      <w:r w:rsidRPr="003F29DA">
        <w:rPr>
          <w:rFonts w:ascii="Arial" w:hAnsi="Arial" w:cs="Arial"/>
          <w:sz w:val="22"/>
          <w:szCs w:val="22"/>
        </w:rPr>
        <w:t>FE programme, which integrated strength and balance exercises into daily activities. This functional approach enhanced transferability to real-world</w:t>
      </w:r>
      <w:r w:rsidR="00BB2C98">
        <w:rPr>
          <w:rFonts w:ascii="Arial" w:hAnsi="Arial" w:cs="Arial"/>
          <w:sz w:val="22"/>
          <w:szCs w:val="22"/>
        </w:rPr>
        <w:t xml:space="preserve"> </w:t>
      </w:r>
      <w:r w:rsidRPr="003F29DA">
        <w:rPr>
          <w:rFonts w:ascii="Arial" w:hAnsi="Arial" w:cs="Arial"/>
          <w:sz w:val="22"/>
          <w:szCs w:val="22"/>
        </w:rPr>
        <w:t>settings, resulting in improved performance of activities of daily living such as stair climbing, standing from seated positions and outdoor mobility.</w:t>
      </w:r>
    </w:p>
    <w:p w14:paraId="09A7F7BD" w14:textId="6914D475" w:rsidR="00BB2C98"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Adherence and sustained engagement emerged as critical determinants of physiological improvement. Tiedemann et al. (2013) identified a strong association between long-term exercise adherence and sustained improvements in balance and mobility, emphasising that consistent participation was essential for maintaining functional gains. Similarly, Tai Chi– based physiotherapy interventions demonstrated significant improvements in postural stability and movement control, contributing to both physical resilience and safer mobility (Chang et al., 2021). Several studies highlighted that these physiological gains were particularly relevant within metropolitan environments, where older adults must navigate uneven pavements, public transport systems and crowded public spaces (Ramanathan et al., 2019). Overall, despite heterogeneity in intervention delivery and outcome measurement, all included studies reported improvements in at least one physiological or functional outcome, indicating a clear and consistent direction of effect in favour of community-based physiotherapy interventions.</w:t>
      </w:r>
    </w:p>
    <w:p w14:paraId="7B0D46AC" w14:textId="32249E01" w:rsidR="003F29DA" w:rsidRPr="00BB2C98" w:rsidRDefault="003F29DA" w:rsidP="00C24C8D">
      <w:pPr>
        <w:pStyle w:val="Heading3"/>
        <w:spacing w:line="360" w:lineRule="auto"/>
        <w:jc w:val="both"/>
        <w:rPr>
          <w:rFonts w:ascii="Arial" w:hAnsi="Arial" w:cs="Arial"/>
          <w:b/>
          <w:bCs/>
          <w:sz w:val="24"/>
          <w:szCs w:val="24"/>
        </w:rPr>
      </w:pPr>
      <w:bookmarkStart w:id="79" w:name="_Toc220878924"/>
      <w:r w:rsidRPr="00BB2C98">
        <w:rPr>
          <w:rFonts w:ascii="Arial" w:hAnsi="Arial" w:cs="Arial"/>
          <w:b/>
          <w:bCs/>
          <w:sz w:val="24"/>
          <w:szCs w:val="24"/>
        </w:rPr>
        <w:t>4.5.2</w:t>
      </w:r>
      <w:r w:rsidR="00BB2C98" w:rsidRPr="00BB2C98">
        <w:rPr>
          <w:rFonts w:ascii="Arial" w:hAnsi="Arial" w:cs="Arial"/>
          <w:b/>
          <w:bCs/>
          <w:sz w:val="24"/>
          <w:szCs w:val="24"/>
        </w:rPr>
        <w:t xml:space="preserve"> </w:t>
      </w:r>
      <w:r w:rsidRPr="00BB2C98">
        <w:rPr>
          <w:rFonts w:ascii="Arial" w:hAnsi="Arial" w:cs="Arial"/>
          <w:b/>
          <w:bCs/>
          <w:sz w:val="24"/>
          <w:szCs w:val="24"/>
        </w:rPr>
        <w:t>Psychological and Behavioural Change</w:t>
      </w:r>
      <w:bookmarkEnd w:id="79"/>
    </w:p>
    <w:p w14:paraId="475D3A9B" w14:textId="7777777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Psychological and behavioural changes emerged as a critical mechanism through which community-based physiotherapy interventions reduced fall risk among older </w:t>
      </w:r>
      <w:r w:rsidRPr="003F29DA">
        <w:rPr>
          <w:rFonts w:ascii="Arial" w:hAnsi="Arial" w:cs="Arial"/>
          <w:sz w:val="22"/>
          <w:szCs w:val="22"/>
        </w:rPr>
        <w:lastRenderedPageBreak/>
        <w:t>adults. Across multiple studies, fear of falling was identified as a prevalent baseline concern that restricted mobility, discouraged outdoor activity and contributed to physical deconditioning.</w:t>
      </w:r>
    </w:p>
    <w:p w14:paraId="5E9E2B8A" w14:textId="7777777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Physiotherapy interventions were shown to significantly reduce fear of falling and enhance self-confidence, particularly when balance and movement challenges were introduced in a supervised and supportive environment (Chang et al., 2021; Barker et al., 2016).</w:t>
      </w:r>
    </w:p>
    <w:p w14:paraId="1A5256D7" w14:textId="27277433"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Improvements in self-efficacy were frequently reported alongside physical gains, suggesting that psychological adaptation occurred in parallel with functional improvement. </w:t>
      </w:r>
      <w:r w:rsidR="0036382F" w:rsidRPr="0036382F">
        <w:rPr>
          <w:rFonts w:ascii="Arial" w:hAnsi="Arial" w:cs="Arial"/>
          <w:sz w:val="22"/>
          <w:szCs w:val="22"/>
        </w:rPr>
        <w:t xml:space="preserve">In exercise-based treatments, self-efficacy has been found to be a key mediator of </w:t>
      </w:r>
      <w:r w:rsidR="002D689D" w:rsidRPr="0036382F">
        <w:rPr>
          <w:rFonts w:ascii="Arial" w:hAnsi="Arial" w:cs="Arial"/>
          <w:sz w:val="22"/>
          <w:szCs w:val="22"/>
        </w:rPr>
        <w:t>behaviour</w:t>
      </w:r>
      <w:r w:rsidR="0036382F" w:rsidRPr="0036382F">
        <w:rPr>
          <w:rFonts w:ascii="Arial" w:hAnsi="Arial" w:cs="Arial"/>
          <w:sz w:val="22"/>
          <w:szCs w:val="22"/>
        </w:rPr>
        <w:t xml:space="preserve"> change that affects older people'</w:t>
      </w:r>
      <w:r w:rsidR="00822F55">
        <w:rPr>
          <w:rFonts w:ascii="Arial" w:hAnsi="Arial" w:cs="Arial"/>
          <w:sz w:val="22"/>
          <w:szCs w:val="22"/>
        </w:rPr>
        <w:t>s</w:t>
      </w:r>
      <w:r w:rsidR="0036382F" w:rsidRPr="0036382F">
        <w:rPr>
          <w:rFonts w:ascii="Arial" w:hAnsi="Arial" w:cs="Arial"/>
          <w:sz w:val="22"/>
          <w:szCs w:val="22"/>
        </w:rPr>
        <w:t xml:space="preserve"> adherence and long-term maintenance of physical activity (Bandura, 1997; McAuley et al., 2011).</w:t>
      </w:r>
      <w:r w:rsidR="0036382F">
        <w:rPr>
          <w:rFonts w:ascii="Arial" w:hAnsi="Arial" w:cs="Arial"/>
          <w:sz w:val="22"/>
          <w:szCs w:val="22"/>
        </w:rPr>
        <w:t xml:space="preserve"> </w:t>
      </w:r>
      <w:r w:rsidRPr="003F29DA">
        <w:rPr>
          <w:rFonts w:ascii="Arial" w:hAnsi="Arial" w:cs="Arial"/>
          <w:sz w:val="22"/>
          <w:szCs w:val="22"/>
        </w:rPr>
        <w:t xml:space="preserve">These findings were consistent across intervention types, indicating a shared </w:t>
      </w:r>
      <w:r w:rsidR="002D689D" w:rsidRPr="003F29DA">
        <w:rPr>
          <w:rFonts w:ascii="Arial" w:hAnsi="Arial" w:cs="Arial"/>
          <w:sz w:val="22"/>
          <w:szCs w:val="22"/>
        </w:rPr>
        <w:t>behavioural</w:t>
      </w:r>
      <w:r w:rsidRPr="003F29DA">
        <w:rPr>
          <w:rFonts w:ascii="Arial" w:hAnsi="Arial" w:cs="Arial"/>
          <w:sz w:val="22"/>
          <w:szCs w:val="22"/>
        </w:rPr>
        <w:t xml:space="preserve"> pathway underpinning fall-prevention outcome.</w:t>
      </w:r>
    </w:p>
    <w:p w14:paraId="2323FD48" w14:textId="3723C26F" w:rsidR="003F29DA" w:rsidRPr="003F29DA" w:rsidRDefault="00FB3E8E" w:rsidP="00C24C8D">
      <w:pPr>
        <w:spacing w:line="360" w:lineRule="auto"/>
        <w:jc w:val="both"/>
        <w:rPr>
          <w:rFonts w:ascii="Arial" w:hAnsi="Arial" w:cs="Arial"/>
          <w:sz w:val="22"/>
          <w:szCs w:val="22"/>
        </w:rPr>
      </w:pPr>
      <w:r w:rsidRPr="003F29DA">
        <w:rPr>
          <w:rFonts w:ascii="Arial" w:hAnsi="Arial" w:cs="Arial"/>
          <w:sz w:val="22"/>
          <w:szCs w:val="22"/>
        </w:rPr>
        <w:t>Behavioural</w:t>
      </w:r>
      <w:r w:rsidR="003F29DA" w:rsidRPr="003F29DA">
        <w:rPr>
          <w:rFonts w:ascii="Arial" w:hAnsi="Arial" w:cs="Arial"/>
          <w:sz w:val="22"/>
          <w:szCs w:val="22"/>
        </w:rPr>
        <w:t xml:space="preserve"> change techniques embedded within physiotherapy programs were found to enhance adherence and sustain engagement over time. Education, </w:t>
      </w:r>
      <w:r w:rsidRPr="003F29DA">
        <w:rPr>
          <w:rFonts w:ascii="Arial" w:hAnsi="Arial" w:cs="Arial"/>
          <w:sz w:val="22"/>
          <w:szCs w:val="22"/>
        </w:rPr>
        <w:t>goal setting</w:t>
      </w:r>
      <w:r w:rsidR="003F29DA" w:rsidRPr="003F29DA">
        <w:rPr>
          <w:rFonts w:ascii="Arial" w:hAnsi="Arial" w:cs="Arial"/>
          <w:sz w:val="22"/>
          <w:szCs w:val="22"/>
        </w:rPr>
        <w:t xml:space="preserve">, feedback and reassurance were repeatedly identified as effective strategies for supporting </w:t>
      </w:r>
      <w:r w:rsidR="002D689D" w:rsidRPr="003F29DA">
        <w:rPr>
          <w:rFonts w:ascii="Arial" w:hAnsi="Arial" w:cs="Arial"/>
          <w:sz w:val="22"/>
          <w:szCs w:val="22"/>
        </w:rPr>
        <w:t>behaviour</w:t>
      </w:r>
      <w:r w:rsidR="003F29DA" w:rsidRPr="003F29DA">
        <w:rPr>
          <w:rFonts w:ascii="Arial" w:hAnsi="Arial" w:cs="Arial"/>
          <w:sz w:val="22"/>
          <w:szCs w:val="22"/>
        </w:rPr>
        <w:t xml:space="preserve"> modification and promoting long-term participation in exercise-based interventions (Hopewell et al., 2018; Barker et al., 2016). Tiedemann et al. (2013) demonstrated that higher levels of adherence were associated with greater and more sustained improvements in balance and mobility, highlighting the behavioural component as a key determinant of intervention effectiveness. These findings suggested that physiotherapy interventions that addressed</w:t>
      </w:r>
      <w:r w:rsidR="00BB2C98">
        <w:rPr>
          <w:rFonts w:ascii="Arial" w:hAnsi="Arial" w:cs="Arial"/>
          <w:sz w:val="22"/>
          <w:szCs w:val="22"/>
        </w:rPr>
        <w:t xml:space="preserve"> </w:t>
      </w:r>
      <w:r w:rsidR="003F29DA" w:rsidRPr="003F29DA">
        <w:rPr>
          <w:rFonts w:ascii="Arial" w:hAnsi="Arial" w:cs="Arial"/>
          <w:sz w:val="22"/>
          <w:szCs w:val="22"/>
        </w:rPr>
        <w:t>motivation and beliefs, rather than focusing solely on physical training, were more likely to achieve lasting outcomes.</w:t>
      </w:r>
      <w:r w:rsidR="0036382F">
        <w:rPr>
          <w:rFonts w:ascii="Arial" w:hAnsi="Arial" w:cs="Arial"/>
          <w:sz w:val="22"/>
          <w:szCs w:val="22"/>
        </w:rPr>
        <w:t xml:space="preserve"> </w:t>
      </w:r>
      <w:r w:rsidR="0036382F" w:rsidRPr="0036382F">
        <w:rPr>
          <w:rFonts w:ascii="Arial" w:hAnsi="Arial" w:cs="Arial"/>
          <w:sz w:val="22"/>
          <w:szCs w:val="22"/>
        </w:rPr>
        <w:t xml:space="preserve">According to </w:t>
      </w:r>
      <w:r w:rsidR="002D689D" w:rsidRPr="0036382F">
        <w:rPr>
          <w:rFonts w:ascii="Arial" w:hAnsi="Arial" w:cs="Arial"/>
          <w:sz w:val="22"/>
          <w:szCs w:val="22"/>
        </w:rPr>
        <w:t>behavioural</w:t>
      </w:r>
      <w:r w:rsidR="0036382F" w:rsidRPr="0036382F">
        <w:rPr>
          <w:rFonts w:ascii="Arial" w:hAnsi="Arial" w:cs="Arial"/>
          <w:sz w:val="22"/>
          <w:szCs w:val="22"/>
        </w:rPr>
        <w:t xml:space="preserve"> science frameworks, interventions that simultaneously address capability, opportunity, and motivation are necessary for long-term health </w:t>
      </w:r>
      <w:r w:rsidR="002D689D" w:rsidRPr="0036382F">
        <w:rPr>
          <w:rFonts w:ascii="Arial" w:hAnsi="Arial" w:cs="Arial"/>
          <w:sz w:val="22"/>
          <w:szCs w:val="22"/>
        </w:rPr>
        <w:t>behaviour</w:t>
      </w:r>
      <w:r w:rsidR="0036382F" w:rsidRPr="0036382F">
        <w:rPr>
          <w:rFonts w:ascii="Arial" w:hAnsi="Arial" w:cs="Arial"/>
          <w:sz w:val="22"/>
          <w:szCs w:val="22"/>
        </w:rPr>
        <w:t xml:space="preserve"> change (Michie et al., 2011; Cane et al., 2012).</w:t>
      </w:r>
    </w:p>
    <w:p w14:paraId="36B88282" w14:textId="7777777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quality of the therapeutic relationship between physiotherapist and participant was also identified as a significant behavioural influence. Qualitative evidence indicated that trust, empathy and clear communication strengthened engagement and improved participants’ willingness to challenge themselves physically (Hall et al., 2010). Participants who perceived physiotherapists as supportive and encouraging were more likely to persist with exercises despite initial fear or discomfort. This was particularly relevant in urban populations, where anxiety related to environmental hazards and social isolation was common. Collectively, the evidence demonstrated </w:t>
      </w:r>
      <w:r w:rsidRPr="003F29DA">
        <w:rPr>
          <w:rFonts w:ascii="Arial" w:hAnsi="Arial" w:cs="Arial"/>
          <w:sz w:val="22"/>
          <w:szCs w:val="22"/>
        </w:rPr>
        <w:lastRenderedPageBreak/>
        <w:t>that psychological reassurance, confidence-building and behaviour- focused support were integral components of effective community-based physiotherapy interventions, reinforcing their role in reducing fall risk beyond physiological mechanisms alone.</w:t>
      </w:r>
    </w:p>
    <w:p w14:paraId="5F73766A" w14:textId="46A40055" w:rsidR="003F29DA" w:rsidRPr="00BB2C98" w:rsidRDefault="003F29DA" w:rsidP="00C24C8D">
      <w:pPr>
        <w:pStyle w:val="Heading3"/>
        <w:spacing w:line="360" w:lineRule="auto"/>
        <w:jc w:val="both"/>
        <w:rPr>
          <w:rFonts w:ascii="Arial" w:hAnsi="Arial" w:cs="Arial"/>
          <w:b/>
          <w:bCs/>
          <w:sz w:val="24"/>
          <w:szCs w:val="24"/>
        </w:rPr>
      </w:pPr>
      <w:bookmarkStart w:id="80" w:name="_Toc220878925"/>
      <w:r w:rsidRPr="00BB2C98">
        <w:rPr>
          <w:rFonts w:ascii="Arial" w:hAnsi="Arial" w:cs="Arial"/>
          <w:b/>
          <w:bCs/>
          <w:sz w:val="24"/>
          <w:szCs w:val="24"/>
        </w:rPr>
        <w:t>4.5.3</w:t>
      </w:r>
      <w:r w:rsidR="00BB2C98" w:rsidRPr="00BB2C98">
        <w:rPr>
          <w:rFonts w:ascii="Arial" w:hAnsi="Arial" w:cs="Arial"/>
          <w:b/>
          <w:bCs/>
          <w:sz w:val="24"/>
          <w:szCs w:val="24"/>
        </w:rPr>
        <w:t xml:space="preserve"> </w:t>
      </w:r>
      <w:r w:rsidRPr="00BB2C98">
        <w:rPr>
          <w:rFonts w:ascii="Arial" w:hAnsi="Arial" w:cs="Arial"/>
          <w:b/>
          <w:bCs/>
          <w:sz w:val="24"/>
          <w:szCs w:val="24"/>
        </w:rPr>
        <w:t>Social Engagement and Support</w:t>
      </w:r>
      <w:bookmarkEnd w:id="80"/>
    </w:p>
    <w:p w14:paraId="6B929B65" w14:textId="77777777"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Social engagement and support emerged as significant facilitators of participation and adherence within community-based physiotherapy interventions for fall prevention. Group- based physiotherapy programmes were consistently reported to enhance motivation, accountability and enjoyment, thereby supporting sustained engagement with exercise.</w:t>
      </w:r>
    </w:p>
    <w:p w14:paraId="0A272A41" w14:textId="547A82E2"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Older adults participating in group interventions frequently described a sense of belonging</w:t>
      </w:r>
      <w:r w:rsidR="00BB2C98">
        <w:rPr>
          <w:rFonts w:ascii="Arial" w:hAnsi="Arial" w:cs="Arial"/>
          <w:sz w:val="22"/>
          <w:szCs w:val="22"/>
        </w:rPr>
        <w:t xml:space="preserve"> </w:t>
      </w:r>
      <w:r w:rsidRPr="003F29DA">
        <w:rPr>
          <w:rFonts w:ascii="Arial" w:hAnsi="Arial" w:cs="Arial"/>
          <w:sz w:val="22"/>
          <w:szCs w:val="22"/>
        </w:rPr>
        <w:t>and shared purpose, which contributed to regular attendance and persistence with physiotherapy activities (Victor et al., 2020). These findings were particularly relevant in metropolitan contexts, where social isolation is prevalent despite high population density. Evidence indicated that reductions in loneliness were associated with improved physical activity levels and reduced fall risk, highlighting the indirect yet influential role of social connection in fall prevention outcomes.</w:t>
      </w:r>
      <w:r w:rsidR="00271515">
        <w:rPr>
          <w:rFonts w:ascii="Arial" w:hAnsi="Arial" w:cs="Arial"/>
          <w:sz w:val="22"/>
          <w:szCs w:val="22"/>
        </w:rPr>
        <w:t xml:space="preserve"> </w:t>
      </w:r>
      <w:r w:rsidR="00271515" w:rsidRPr="00271515">
        <w:rPr>
          <w:rFonts w:ascii="Arial" w:hAnsi="Arial" w:cs="Arial"/>
          <w:sz w:val="22"/>
          <w:szCs w:val="22"/>
        </w:rPr>
        <w:t>Physical inactivity, functional deterioration, and an increased risk of mortality have all been independently associated to social isolation, highlighting the wider health significance of socially focused rehabilitation programs (Holt-Lunstad et al., 2015; Shankar et al., 2011).</w:t>
      </w:r>
    </w:p>
    <w:p w14:paraId="02CD27DB" w14:textId="33717164"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presence of peer support within physiotherapy settings was shown to reinforce confidence and normalize fears related to ageing and falling. Participants benefited from observing others with similar functional limitations successfully engaging in exercises, which enhanced self-belief and reduced anxiety around movement (Chang et al., 2021). Qualitative evidence further suggested that social interaction within physiotherapy programs encouraged </w:t>
      </w:r>
      <w:r w:rsidR="00793926" w:rsidRPr="003F29DA">
        <w:rPr>
          <w:rFonts w:ascii="Arial" w:hAnsi="Arial" w:cs="Arial"/>
          <w:sz w:val="22"/>
          <w:szCs w:val="22"/>
        </w:rPr>
        <w:t>behavioural</w:t>
      </w:r>
      <w:r w:rsidRPr="003F29DA">
        <w:rPr>
          <w:rFonts w:ascii="Arial" w:hAnsi="Arial" w:cs="Arial"/>
          <w:sz w:val="22"/>
          <w:szCs w:val="22"/>
        </w:rPr>
        <w:t xml:space="preserve"> commitment, as participants felt a sense of responsibility toward peers and group facilitators (Sims-Gould et al., 2015). This peer-driven encouragement appeared to complement formal physiotherapy input, strengthening both psychological resilience and adherence to prescribed exercises.</w:t>
      </w:r>
    </w:p>
    <w:p w14:paraId="262F6268" w14:textId="5F27715B" w:rsidR="00BB2C98"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role of the physiotherapist extended beyond clinical instruction to include the facilitation of a supportive and inclusive social environment. Therapeutic rapport, empathy and effective communication were identified as key factors in fostering trust and sustained engagement (Hall et al., 2010). However, some studies highlighted that social dynamics could also act as barriers if group settings were not appropriately tailored. Participants from culturally diverse backgrounds or with lower functional </w:t>
      </w:r>
      <w:r w:rsidRPr="003F29DA">
        <w:rPr>
          <w:rFonts w:ascii="Arial" w:hAnsi="Arial" w:cs="Arial"/>
          <w:sz w:val="22"/>
          <w:szCs w:val="22"/>
        </w:rPr>
        <w:lastRenderedPageBreak/>
        <w:t xml:space="preserve">capacity occasionally reported discomfort or disengagement in larger group formats (Sims-Gould et al., 2015). These findings underscored the importance of flexible programme design that balances the benefits of social engagement with individual preferences and needs. Overall, the evidence demonstrated that social support mechanisms significantly enhanced the effectiveness of community-based physiotherapy interventions, particularly within urban populations. </w:t>
      </w:r>
    </w:p>
    <w:p w14:paraId="7CE0EA33" w14:textId="5148471D" w:rsidR="003F29DA" w:rsidRPr="00BB2C98" w:rsidRDefault="003F29DA" w:rsidP="00C24C8D">
      <w:pPr>
        <w:pStyle w:val="Heading3"/>
        <w:spacing w:line="360" w:lineRule="auto"/>
        <w:jc w:val="both"/>
        <w:rPr>
          <w:rFonts w:ascii="Arial" w:hAnsi="Arial" w:cs="Arial"/>
          <w:b/>
          <w:bCs/>
          <w:sz w:val="24"/>
          <w:szCs w:val="24"/>
        </w:rPr>
      </w:pPr>
      <w:bookmarkStart w:id="81" w:name="_Toc220878926"/>
      <w:r w:rsidRPr="00BB2C98">
        <w:rPr>
          <w:rFonts w:ascii="Arial" w:hAnsi="Arial" w:cs="Arial"/>
          <w:b/>
          <w:bCs/>
          <w:sz w:val="24"/>
          <w:szCs w:val="24"/>
        </w:rPr>
        <w:t>4.5.4 Environmental and Contextual Barriers</w:t>
      </w:r>
      <w:bookmarkEnd w:id="81"/>
    </w:p>
    <w:p w14:paraId="32DE344C" w14:textId="5A6D1F59"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Environmental and contextual barriers were consistently identified as factors influencing both participation in community-based physiotherapy interventions and fall risk among older adults living in metropolitan settings. Several studies highlighted that urban infrastructure, including uneven pavements, poor street lighting, high kerbs and congested public spaces, posed significant challenges to safe mobility (Ramanathan et al., 2019). These environmental hazards increased fear of falling and restricted outdoor activity, which in turn limited engagement with physiotherapy programmes.</w:t>
      </w:r>
      <w:r w:rsidR="00271515">
        <w:rPr>
          <w:rFonts w:ascii="Arial" w:hAnsi="Arial" w:cs="Arial"/>
          <w:sz w:val="22"/>
          <w:szCs w:val="22"/>
        </w:rPr>
        <w:t xml:space="preserve"> </w:t>
      </w:r>
      <w:r w:rsidR="00271515" w:rsidRPr="00271515">
        <w:rPr>
          <w:rFonts w:ascii="Arial" w:hAnsi="Arial" w:cs="Arial"/>
          <w:sz w:val="22"/>
          <w:szCs w:val="22"/>
        </w:rPr>
        <w:t xml:space="preserve">Environmental limitations have been demonstrated to worsen sedentary </w:t>
      </w:r>
      <w:r w:rsidR="00793926" w:rsidRPr="00271515">
        <w:rPr>
          <w:rFonts w:ascii="Arial" w:hAnsi="Arial" w:cs="Arial"/>
          <w:sz w:val="22"/>
          <w:szCs w:val="22"/>
        </w:rPr>
        <w:t>behaviour</w:t>
      </w:r>
      <w:r w:rsidR="00271515" w:rsidRPr="00271515">
        <w:rPr>
          <w:rFonts w:ascii="Arial" w:hAnsi="Arial" w:cs="Arial"/>
          <w:sz w:val="22"/>
          <w:szCs w:val="22"/>
        </w:rPr>
        <w:t xml:space="preserve"> and exercise restriction in older persons, especially in high-density metropolitan environments (Sallis et al., 2016; Clarke and George, 2005).</w:t>
      </w:r>
      <w:r w:rsidRPr="003F29DA">
        <w:rPr>
          <w:rFonts w:ascii="Arial" w:hAnsi="Arial" w:cs="Arial"/>
          <w:sz w:val="22"/>
          <w:szCs w:val="22"/>
        </w:rPr>
        <w:t xml:space="preserve"> Participants frequently reported difficulty travelling to community venues due to unreliable or inaccessible public transport, suggesting that environmental conditions directly affected intervention accessibility and attendance.</w:t>
      </w:r>
    </w:p>
    <w:p w14:paraId="53F7B468" w14:textId="7E93E801"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Socioeconomic disadvantage emerged as a further contextual barrier across the included studies. Older adults residing in deprived urban areas were more likely to experience poor baseline health, multimorbidity and reduced access to supportive resources, all of which compounded fall risk and hindered participation in physiotherapy interventions (Victor et al., 2020). Financial constraints, caregiving responsibilities and competing health priorities were reported to limit consistent engagement with community programmes. These findings indicated that environmental risk factors often intersected with broader social determinants of health, creating cumulative barriers that extended beyond individual physical capability.</w:t>
      </w:r>
    </w:p>
    <w:p w14:paraId="48CAC395" w14:textId="71E6ECB8" w:rsidR="00BB2C98" w:rsidRDefault="003F29DA" w:rsidP="00C24C8D">
      <w:pPr>
        <w:spacing w:line="360" w:lineRule="auto"/>
        <w:jc w:val="both"/>
        <w:rPr>
          <w:rFonts w:ascii="Arial" w:hAnsi="Arial" w:cs="Arial"/>
          <w:sz w:val="22"/>
          <w:szCs w:val="22"/>
        </w:rPr>
      </w:pPr>
      <w:r w:rsidRPr="003F29DA">
        <w:rPr>
          <w:rFonts w:ascii="Arial" w:hAnsi="Arial" w:cs="Arial"/>
          <w:sz w:val="22"/>
          <w:szCs w:val="22"/>
        </w:rPr>
        <w:t>Cultural and contextual factors also influenced the acceptability and effectiveness of physiotherapy interventions. Qualitative evidence demonstrated that language barriers, cultural perceptions of ageing and exercise, and limited health literacy reduced participation among some urban populations (Sims-Gould et al., 2015). In addition, group-based programmes were not universally accessible, particularly for individuals with mobility</w:t>
      </w:r>
      <w:r w:rsidR="00BB2C98">
        <w:rPr>
          <w:rFonts w:ascii="Arial" w:hAnsi="Arial" w:cs="Arial"/>
          <w:sz w:val="22"/>
          <w:szCs w:val="22"/>
        </w:rPr>
        <w:t xml:space="preserve"> </w:t>
      </w:r>
      <w:r w:rsidRPr="003F29DA">
        <w:rPr>
          <w:rFonts w:ascii="Arial" w:hAnsi="Arial" w:cs="Arial"/>
          <w:sz w:val="22"/>
          <w:szCs w:val="22"/>
        </w:rPr>
        <w:t xml:space="preserve">limitations or anxiety related to crowded environments. These </w:t>
      </w:r>
      <w:r w:rsidRPr="003F29DA">
        <w:rPr>
          <w:rFonts w:ascii="Arial" w:hAnsi="Arial" w:cs="Arial"/>
          <w:sz w:val="22"/>
          <w:szCs w:val="22"/>
        </w:rPr>
        <w:lastRenderedPageBreak/>
        <w:t>contextual challenges highlighted the need for flexible, culturally sensitive and locally tailored physiotherapy delivery models. Overall, the evidence suggested that while community-based physiotherapy interventions were effective, their impact was moderated by environmental and contextual conditions specific to metropolitan living.</w:t>
      </w:r>
    </w:p>
    <w:p w14:paraId="764840AC" w14:textId="0DBDE36F" w:rsidR="003F29DA" w:rsidRPr="00BB2C98" w:rsidRDefault="003F29DA" w:rsidP="00C24C8D">
      <w:pPr>
        <w:pStyle w:val="Heading2"/>
        <w:spacing w:line="360" w:lineRule="auto"/>
        <w:jc w:val="both"/>
        <w:rPr>
          <w:rFonts w:ascii="Arial" w:hAnsi="Arial" w:cs="Arial"/>
          <w:b/>
          <w:bCs/>
          <w:sz w:val="28"/>
          <w:szCs w:val="28"/>
        </w:rPr>
      </w:pPr>
      <w:bookmarkStart w:id="82" w:name="_Toc220878927"/>
      <w:r w:rsidRPr="00BB2C98">
        <w:rPr>
          <w:rFonts w:ascii="Arial" w:hAnsi="Arial" w:cs="Arial"/>
          <w:b/>
          <w:bCs/>
          <w:sz w:val="28"/>
          <w:szCs w:val="28"/>
        </w:rPr>
        <w:t>4.6</w:t>
      </w:r>
      <w:r w:rsidR="00BB2C98" w:rsidRPr="00BB2C98">
        <w:rPr>
          <w:rFonts w:ascii="Arial" w:hAnsi="Arial" w:cs="Arial"/>
          <w:b/>
          <w:bCs/>
          <w:sz w:val="28"/>
          <w:szCs w:val="28"/>
        </w:rPr>
        <w:t xml:space="preserve"> </w:t>
      </w:r>
      <w:r w:rsidRPr="00BB2C98">
        <w:rPr>
          <w:rFonts w:ascii="Arial" w:hAnsi="Arial" w:cs="Arial"/>
          <w:b/>
          <w:bCs/>
          <w:sz w:val="28"/>
          <w:szCs w:val="28"/>
        </w:rPr>
        <w:t>Summary of Main Findings</w:t>
      </w:r>
      <w:bookmarkEnd w:id="82"/>
    </w:p>
    <w:p w14:paraId="71CAF8A1" w14:textId="77777777" w:rsidR="00BB2C98" w:rsidRDefault="003F29DA" w:rsidP="00C24C8D">
      <w:pPr>
        <w:pStyle w:val="ListParagraph"/>
        <w:numPr>
          <w:ilvl w:val="0"/>
          <w:numId w:val="4"/>
        </w:numPr>
        <w:spacing w:line="360" w:lineRule="auto"/>
        <w:jc w:val="both"/>
        <w:rPr>
          <w:rFonts w:ascii="Arial" w:hAnsi="Arial" w:cs="Arial"/>
          <w:sz w:val="22"/>
          <w:szCs w:val="22"/>
        </w:rPr>
      </w:pPr>
      <w:r w:rsidRPr="00BB2C98">
        <w:rPr>
          <w:rFonts w:ascii="Arial" w:hAnsi="Arial" w:cs="Arial"/>
          <w:sz w:val="22"/>
          <w:szCs w:val="22"/>
        </w:rPr>
        <w:t>Community-based physiotherapy interventions consistently reduced fall risk among older adults.</w:t>
      </w:r>
    </w:p>
    <w:p w14:paraId="156E3211" w14:textId="77777777" w:rsidR="00BB2C98" w:rsidRDefault="003F29DA" w:rsidP="00C24C8D">
      <w:pPr>
        <w:pStyle w:val="ListParagraph"/>
        <w:numPr>
          <w:ilvl w:val="0"/>
          <w:numId w:val="4"/>
        </w:numPr>
        <w:spacing w:line="360" w:lineRule="auto"/>
        <w:jc w:val="both"/>
        <w:rPr>
          <w:rFonts w:ascii="Arial" w:hAnsi="Arial" w:cs="Arial"/>
          <w:sz w:val="22"/>
          <w:szCs w:val="22"/>
        </w:rPr>
      </w:pPr>
      <w:r w:rsidRPr="00BB2C98">
        <w:rPr>
          <w:rFonts w:ascii="Arial" w:hAnsi="Arial" w:cs="Arial"/>
          <w:sz w:val="22"/>
          <w:szCs w:val="22"/>
        </w:rPr>
        <w:t>Balance and strength training were the most effective components.</w:t>
      </w:r>
    </w:p>
    <w:p w14:paraId="39783075" w14:textId="77777777" w:rsidR="00BB2C98" w:rsidRDefault="003F29DA" w:rsidP="00C24C8D">
      <w:pPr>
        <w:pStyle w:val="ListParagraph"/>
        <w:numPr>
          <w:ilvl w:val="0"/>
          <w:numId w:val="4"/>
        </w:numPr>
        <w:spacing w:line="360" w:lineRule="auto"/>
        <w:jc w:val="both"/>
        <w:rPr>
          <w:rFonts w:ascii="Arial" w:hAnsi="Arial" w:cs="Arial"/>
          <w:sz w:val="22"/>
          <w:szCs w:val="22"/>
        </w:rPr>
      </w:pPr>
      <w:r w:rsidRPr="00BB2C98">
        <w:rPr>
          <w:rFonts w:ascii="Arial" w:hAnsi="Arial" w:cs="Arial"/>
          <w:sz w:val="22"/>
          <w:szCs w:val="22"/>
        </w:rPr>
        <w:t>Psychological and behavioural factors strongly influenced adherence and outcomes.</w:t>
      </w:r>
    </w:p>
    <w:p w14:paraId="6C27EE49" w14:textId="77777777" w:rsidR="00BB2C98" w:rsidRDefault="003F29DA" w:rsidP="00C24C8D">
      <w:pPr>
        <w:pStyle w:val="ListParagraph"/>
        <w:numPr>
          <w:ilvl w:val="0"/>
          <w:numId w:val="4"/>
        </w:numPr>
        <w:spacing w:line="360" w:lineRule="auto"/>
        <w:jc w:val="both"/>
        <w:rPr>
          <w:rFonts w:ascii="Arial" w:hAnsi="Arial" w:cs="Arial"/>
          <w:sz w:val="22"/>
          <w:szCs w:val="22"/>
        </w:rPr>
      </w:pPr>
      <w:r w:rsidRPr="00BB2C98">
        <w:rPr>
          <w:rFonts w:ascii="Arial" w:hAnsi="Arial" w:cs="Arial"/>
          <w:sz w:val="22"/>
          <w:szCs w:val="22"/>
        </w:rPr>
        <w:t>Social engagement enhanced motivation and reduced isolation.</w:t>
      </w:r>
    </w:p>
    <w:p w14:paraId="7F786687" w14:textId="17171907" w:rsidR="003F29DA" w:rsidRDefault="003F29DA" w:rsidP="00C24C8D">
      <w:pPr>
        <w:pStyle w:val="ListParagraph"/>
        <w:numPr>
          <w:ilvl w:val="0"/>
          <w:numId w:val="4"/>
        </w:numPr>
        <w:spacing w:line="360" w:lineRule="auto"/>
        <w:jc w:val="both"/>
        <w:rPr>
          <w:rFonts w:ascii="Arial" w:hAnsi="Arial" w:cs="Arial"/>
          <w:sz w:val="22"/>
          <w:szCs w:val="22"/>
        </w:rPr>
      </w:pPr>
      <w:r w:rsidRPr="00BB2C98">
        <w:rPr>
          <w:rFonts w:ascii="Arial" w:hAnsi="Arial" w:cs="Arial"/>
          <w:sz w:val="22"/>
          <w:szCs w:val="22"/>
        </w:rPr>
        <w:t>Urban environmental and socioeconomic barriers affected accessibility and participation.</w:t>
      </w:r>
    </w:p>
    <w:p w14:paraId="775D7E7B" w14:textId="3D0F60DF" w:rsidR="00BB2C98" w:rsidRPr="00FB3E8E" w:rsidRDefault="00FB3E8E" w:rsidP="00FB3E8E">
      <w:pPr>
        <w:spacing w:after="0" w:line="360" w:lineRule="auto"/>
        <w:jc w:val="both"/>
        <w:rPr>
          <w:rFonts w:ascii="Arial" w:eastAsia="Times New Roman" w:hAnsi="Arial" w:cs="Arial"/>
          <w:kern w:val="0"/>
          <w:sz w:val="22"/>
          <w:szCs w:val="22"/>
          <w:lang w:eastAsia="en-IN"/>
          <w14:ligatures w14:val="none"/>
        </w:rPr>
      </w:pPr>
      <w:r w:rsidRPr="00387741">
        <w:rPr>
          <w:rFonts w:ascii="Arial" w:eastAsia="Times New Roman" w:hAnsi="Arial" w:cs="Arial"/>
          <w:kern w:val="0"/>
          <w:sz w:val="22"/>
          <w:szCs w:val="22"/>
          <w:lang w:eastAsia="en-IN"/>
          <w14:ligatures w14:val="none"/>
        </w:rPr>
        <w:t>To</w:t>
      </w:r>
      <w:r w:rsidR="00271515" w:rsidRPr="00387741">
        <w:rPr>
          <w:rFonts w:ascii="Arial" w:eastAsia="Times New Roman" w:hAnsi="Arial" w:cs="Arial"/>
          <w:kern w:val="0"/>
          <w:sz w:val="22"/>
          <w:szCs w:val="22"/>
          <w:lang w:eastAsia="en-IN"/>
          <w14:ligatures w14:val="none"/>
        </w:rPr>
        <w:t xml:space="preserve"> overcome these obstacles, integrated public health and rehabilitation strategies that coordinate the supply of physiotherapy with community development programs, transportation policy, and urban planning are needed (World Health Organization, 2017; Lowe et al., 2019).</w:t>
      </w:r>
    </w:p>
    <w:p w14:paraId="49024C8B" w14:textId="5CC6C364" w:rsidR="003F29DA" w:rsidRPr="00BB2C98" w:rsidRDefault="003F29DA" w:rsidP="00C24C8D">
      <w:pPr>
        <w:pStyle w:val="Heading2"/>
        <w:spacing w:line="360" w:lineRule="auto"/>
        <w:jc w:val="both"/>
        <w:rPr>
          <w:rFonts w:ascii="Arial" w:hAnsi="Arial" w:cs="Arial"/>
          <w:b/>
          <w:bCs/>
          <w:sz w:val="28"/>
          <w:szCs w:val="28"/>
        </w:rPr>
      </w:pPr>
      <w:bookmarkStart w:id="83" w:name="_Toc220878928"/>
      <w:r w:rsidRPr="00BB2C98">
        <w:rPr>
          <w:rFonts w:ascii="Arial" w:hAnsi="Arial" w:cs="Arial"/>
          <w:b/>
          <w:bCs/>
          <w:sz w:val="28"/>
          <w:szCs w:val="28"/>
        </w:rPr>
        <w:t>4.7</w:t>
      </w:r>
      <w:r w:rsidR="00BB2C98" w:rsidRPr="00BB2C98">
        <w:rPr>
          <w:rFonts w:ascii="Arial" w:hAnsi="Arial" w:cs="Arial"/>
          <w:b/>
          <w:bCs/>
          <w:sz w:val="28"/>
          <w:szCs w:val="28"/>
        </w:rPr>
        <w:t xml:space="preserve"> </w:t>
      </w:r>
      <w:r w:rsidRPr="00BB2C98">
        <w:rPr>
          <w:rFonts w:ascii="Arial" w:hAnsi="Arial" w:cs="Arial"/>
          <w:b/>
          <w:bCs/>
          <w:sz w:val="28"/>
          <w:szCs w:val="28"/>
        </w:rPr>
        <w:t>Chapter Summary</w:t>
      </w:r>
      <w:bookmarkEnd w:id="83"/>
    </w:p>
    <w:p w14:paraId="783F58DE" w14:textId="77777777" w:rsidR="003F29DA" w:rsidRDefault="003F29DA" w:rsidP="00C24C8D">
      <w:pPr>
        <w:spacing w:line="360" w:lineRule="auto"/>
        <w:jc w:val="both"/>
        <w:rPr>
          <w:rFonts w:ascii="Arial" w:hAnsi="Arial" w:cs="Arial"/>
          <w:sz w:val="22"/>
          <w:szCs w:val="22"/>
        </w:rPr>
      </w:pPr>
      <w:r w:rsidRPr="003F29DA">
        <w:rPr>
          <w:rFonts w:ascii="Arial" w:hAnsi="Arial" w:cs="Arial"/>
          <w:sz w:val="22"/>
          <w:szCs w:val="22"/>
        </w:rPr>
        <w:t>This chapter presented the results of the systematic review synthesising evidence from twelve studies on community-based physiotherapy interventions for fall prevention among older adults. The findings demonstrated consistent physical, psychological and social benefits, while also identifying contextual challenges specific to metropolitan settings. The next chapter will critically discuss these findings in relation to existing literature, policy implications and future research directions.</w:t>
      </w:r>
    </w:p>
    <w:p w14:paraId="7DCE1693" w14:textId="77777777" w:rsidR="00BB2C98" w:rsidRDefault="00BB2C98" w:rsidP="00C24C8D">
      <w:pPr>
        <w:spacing w:line="360" w:lineRule="auto"/>
        <w:jc w:val="both"/>
        <w:rPr>
          <w:rFonts w:ascii="Arial" w:hAnsi="Arial" w:cs="Arial"/>
          <w:sz w:val="22"/>
          <w:szCs w:val="22"/>
        </w:rPr>
      </w:pPr>
    </w:p>
    <w:p w14:paraId="22492673" w14:textId="77777777" w:rsidR="00271515" w:rsidRDefault="00271515" w:rsidP="00C24C8D">
      <w:pPr>
        <w:spacing w:line="360" w:lineRule="auto"/>
        <w:jc w:val="both"/>
        <w:rPr>
          <w:rFonts w:ascii="Arial" w:hAnsi="Arial" w:cs="Arial"/>
          <w:sz w:val="22"/>
          <w:szCs w:val="22"/>
        </w:rPr>
      </w:pPr>
    </w:p>
    <w:p w14:paraId="2CD63952" w14:textId="77777777" w:rsidR="00271515" w:rsidRDefault="00271515" w:rsidP="00C24C8D">
      <w:pPr>
        <w:spacing w:line="360" w:lineRule="auto"/>
        <w:jc w:val="both"/>
        <w:rPr>
          <w:rFonts w:ascii="Arial" w:hAnsi="Arial" w:cs="Arial"/>
          <w:sz w:val="22"/>
          <w:szCs w:val="22"/>
        </w:rPr>
      </w:pPr>
    </w:p>
    <w:p w14:paraId="69A94B74" w14:textId="77777777" w:rsidR="00271515" w:rsidRDefault="00271515" w:rsidP="00C24C8D">
      <w:pPr>
        <w:spacing w:line="360" w:lineRule="auto"/>
        <w:jc w:val="both"/>
        <w:rPr>
          <w:rFonts w:ascii="Arial" w:hAnsi="Arial" w:cs="Arial"/>
          <w:sz w:val="22"/>
          <w:szCs w:val="22"/>
        </w:rPr>
      </w:pPr>
    </w:p>
    <w:p w14:paraId="578F47D2" w14:textId="77777777" w:rsidR="00271515" w:rsidRDefault="00271515" w:rsidP="00C24C8D">
      <w:pPr>
        <w:spacing w:line="360" w:lineRule="auto"/>
        <w:jc w:val="both"/>
        <w:rPr>
          <w:rFonts w:ascii="Arial" w:hAnsi="Arial" w:cs="Arial"/>
          <w:sz w:val="22"/>
          <w:szCs w:val="22"/>
        </w:rPr>
      </w:pPr>
    </w:p>
    <w:p w14:paraId="3693FBD1" w14:textId="77777777" w:rsidR="00271515" w:rsidRDefault="00271515" w:rsidP="00C24C8D">
      <w:pPr>
        <w:spacing w:line="360" w:lineRule="auto"/>
        <w:jc w:val="both"/>
        <w:rPr>
          <w:rFonts w:ascii="Arial" w:hAnsi="Arial" w:cs="Arial"/>
          <w:sz w:val="22"/>
          <w:szCs w:val="22"/>
        </w:rPr>
      </w:pPr>
    </w:p>
    <w:p w14:paraId="45880DB1" w14:textId="77777777" w:rsidR="00F43B46" w:rsidRPr="003F29DA" w:rsidRDefault="00F43B46" w:rsidP="00C24C8D">
      <w:pPr>
        <w:spacing w:line="360" w:lineRule="auto"/>
        <w:jc w:val="both"/>
        <w:rPr>
          <w:rFonts w:ascii="Arial" w:hAnsi="Arial" w:cs="Arial"/>
          <w:sz w:val="22"/>
          <w:szCs w:val="22"/>
        </w:rPr>
      </w:pPr>
    </w:p>
    <w:p w14:paraId="6E33A69D" w14:textId="0ADDB0DE" w:rsidR="003F29DA" w:rsidRPr="00721C83" w:rsidRDefault="003F29DA" w:rsidP="00C24C8D">
      <w:pPr>
        <w:pStyle w:val="Heading1"/>
        <w:spacing w:line="360" w:lineRule="auto"/>
        <w:jc w:val="both"/>
        <w:rPr>
          <w:rFonts w:ascii="Arial" w:hAnsi="Arial" w:cs="Arial"/>
          <w:b/>
          <w:bCs/>
          <w:sz w:val="32"/>
          <w:szCs w:val="32"/>
        </w:rPr>
      </w:pPr>
      <w:bookmarkStart w:id="84" w:name="_Toc220878929"/>
      <w:r w:rsidRPr="00BB2C98">
        <w:rPr>
          <w:rFonts w:ascii="Arial" w:hAnsi="Arial" w:cs="Arial"/>
          <w:b/>
          <w:bCs/>
          <w:sz w:val="32"/>
          <w:szCs w:val="32"/>
        </w:rPr>
        <w:lastRenderedPageBreak/>
        <w:t>C</w:t>
      </w:r>
      <w:r w:rsidR="00694A13">
        <w:rPr>
          <w:rFonts w:ascii="Arial" w:hAnsi="Arial" w:cs="Arial"/>
          <w:b/>
          <w:bCs/>
          <w:sz w:val="32"/>
          <w:szCs w:val="32"/>
        </w:rPr>
        <w:t>hapter</w:t>
      </w:r>
      <w:r w:rsidRPr="00BB2C98">
        <w:rPr>
          <w:rFonts w:ascii="Arial" w:hAnsi="Arial" w:cs="Arial"/>
          <w:b/>
          <w:bCs/>
          <w:sz w:val="32"/>
          <w:szCs w:val="32"/>
        </w:rPr>
        <w:t xml:space="preserve"> 5: C</w:t>
      </w:r>
      <w:r w:rsidR="00694A13">
        <w:rPr>
          <w:rFonts w:ascii="Arial" w:hAnsi="Arial" w:cs="Arial"/>
          <w:b/>
          <w:bCs/>
          <w:sz w:val="32"/>
          <w:szCs w:val="32"/>
        </w:rPr>
        <w:t>onclusion</w:t>
      </w:r>
      <w:r w:rsidRPr="00BB2C98">
        <w:rPr>
          <w:rFonts w:ascii="Arial" w:hAnsi="Arial" w:cs="Arial"/>
          <w:b/>
          <w:bCs/>
          <w:sz w:val="32"/>
          <w:szCs w:val="32"/>
        </w:rPr>
        <w:t xml:space="preserve"> </w:t>
      </w:r>
      <w:r w:rsidR="00694A13">
        <w:rPr>
          <w:rFonts w:ascii="Arial" w:hAnsi="Arial" w:cs="Arial"/>
          <w:b/>
          <w:bCs/>
          <w:sz w:val="32"/>
          <w:szCs w:val="32"/>
        </w:rPr>
        <w:t>and</w:t>
      </w:r>
      <w:r w:rsidRPr="00BB2C98">
        <w:rPr>
          <w:rFonts w:ascii="Arial" w:hAnsi="Arial" w:cs="Arial"/>
          <w:b/>
          <w:bCs/>
          <w:sz w:val="32"/>
          <w:szCs w:val="32"/>
        </w:rPr>
        <w:t xml:space="preserve"> R</w:t>
      </w:r>
      <w:r w:rsidR="00694A13">
        <w:rPr>
          <w:rFonts w:ascii="Arial" w:hAnsi="Arial" w:cs="Arial"/>
          <w:b/>
          <w:bCs/>
          <w:sz w:val="32"/>
          <w:szCs w:val="32"/>
        </w:rPr>
        <w:t>ecommendations</w:t>
      </w:r>
      <w:bookmarkEnd w:id="84"/>
    </w:p>
    <w:p w14:paraId="42D1A87B" w14:textId="5043B45E" w:rsidR="003F29DA" w:rsidRPr="00721C83" w:rsidRDefault="003F29DA" w:rsidP="00C24C8D">
      <w:pPr>
        <w:pStyle w:val="Heading2"/>
        <w:spacing w:line="360" w:lineRule="auto"/>
        <w:jc w:val="both"/>
        <w:rPr>
          <w:rFonts w:ascii="Arial" w:hAnsi="Arial" w:cs="Arial"/>
          <w:b/>
          <w:bCs/>
          <w:sz w:val="28"/>
          <w:szCs w:val="28"/>
        </w:rPr>
      </w:pPr>
      <w:bookmarkStart w:id="85" w:name="_Toc220878930"/>
      <w:r w:rsidRPr="00721C83">
        <w:rPr>
          <w:rFonts w:ascii="Arial" w:hAnsi="Arial" w:cs="Arial"/>
          <w:b/>
          <w:bCs/>
          <w:sz w:val="28"/>
          <w:szCs w:val="28"/>
        </w:rPr>
        <w:t>5.1</w:t>
      </w:r>
      <w:r w:rsidR="00721C83" w:rsidRPr="00721C83">
        <w:rPr>
          <w:rFonts w:ascii="Arial" w:hAnsi="Arial" w:cs="Arial"/>
          <w:b/>
          <w:bCs/>
          <w:sz w:val="28"/>
          <w:szCs w:val="28"/>
        </w:rPr>
        <w:t xml:space="preserve"> </w:t>
      </w:r>
      <w:r w:rsidRPr="00721C83">
        <w:rPr>
          <w:rFonts w:ascii="Arial" w:hAnsi="Arial" w:cs="Arial"/>
          <w:b/>
          <w:bCs/>
          <w:sz w:val="28"/>
          <w:szCs w:val="28"/>
        </w:rPr>
        <w:t>Introduction</w:t>
      </w:r>
      <w:bookmarkEnd w:id="85"/>
    </w:p>
    <w:p w14:paraId="5C882E98" w14:textId="12042CA5"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dissertation is comprehensively concluded in this last chapter, which also includes evidence-based suggestions for future research, public health policy, and physiotherapy practice. The effectiveness of community-based physiotherapy (CBPT) treatments for avoiding falls in older </w:t>
      </w:r>
      <w:r w:rsidR="00330FA7">
        <w:rPr>
          <w:rFonts w:ascii="Arial" w:hAnsi="Arial" w:cs="Arial"/>
          <w:sz w:val="22"/>
          <w:szCs w:val="22"/>
        </w:rPr>
        <w:t>adult</w:t>
      </w:r>
      <w:r w:rsidRPr="003F29DA">
        <w:rPr>
          <w:rFonts w:ascii="Arial" w:hAnsi="Arial" w:cs="Arial"/>
          <w:sz w:val="22"/>
          <w:szCs w:val="22"/>
        </w:rPr>
        <w:t>s residing in urban areas of England was examined in this research. The analysis synthesized results from twelve qualifying studies using a qualitative systematic review technique. It found substantial contextual hurdles that affect program efficacy and involvement in addition to compelling evidence for physiological, psychological, and social advantages. This chapter identifies knowledge gaps, summarizes important findings, and emphasizes the implications for policy and service delivery. The research's</w:t>
      </w:r>
      <w:r w:rsidR="00721C83">
        <w:rPr>
          <w:rFonts w:ascii="Arial" w:hAnsi="Arial" w:cs="Arial"/>
          <w:sz w:val="22"/>
          <w:szCs w:val="22"/>
        </w:rPr>
        <w:t xml:space="preserve"> </w:t>
      </w:r>
      <w:r w:rsidRPr="003F29DA">
        <w:rPr>
          <w:rFonts w:ascii="Arial" w:hAnsi="Arial" w:cs="Arial"/>
          <w:sz w:val="22"/>
          <w:szCs w:val="22"/>
        </w:rPr>
        <w:t>advantages and disadvantages are acknowledged in the chapter's conclusion, along with suggestions for more research.</w:t>
      </w:r>
    </w:p>
    <w:p w14:paraId="4452A5EA" w14:textId="34C38848" w:rsidR="003F29DA" w:rsidRPr="00721C83" w:rsidRDefault="003F29DA" w:rsidP="00C24C8D">
      <w:pPr>
        <w:pStyle w:val="Heading2"/>
        <w:spacing w:line="360" w:lineRule="auto"/>
        <w:jc w:val="both"/>
        <w:rPr>
          <w:rFonts w:ascii="Arial" w:hAnsi="Arial" w:cs="Arial"/>
          <w:b/>
          <w:bCs/>
          <w:sz w:val="28"/>
          <w:szCs w:val="28"/>
        </w:rPr>
      </w:pPr>
      <w:bookmarkStart w:id="86" w:name="_Toc220878931"/>
      <w:r w:rsidRPr="00721C83">
        <w:rPr>
          <w:rFonts w:ascii="Arial" w:hAnsi="Arial" w:cs="Arial"/>
          <w:b/>
          <w:bCs/>
          <w:sz w:val="28"/>
          <w:szCs w:val="28"/>
        </w:rPr>
        <w:t>5.2</w:t>
      </w:r>
      <w:r w:rsidR="00721C83" w:rsidRPr="00721C83">
        <w:rPr>
          <w:rFonts w:ascii="Arial" w:hAnsi="Arial" w:cs="Arial"/>
          <w:b/>
          <w:bCs/>
          <w:sz w:val="28"/>
          <w:szCs w:val="28"/>
        </w:rPr>
        <w:t xml:space="preserve"> </w:t>
      </w:r>
      <w:r w:rsidRPr="00721C83">
        <w:rPr>
          <w:rFonts w:ascii="Arial" w:hAnsi="Arial" w:cs="Arial"/>
          <w:b/>
          <w:bCs/>
          <w:sz w:val="28"/>
          <w:szCs w:val="28"/>
        </w:rPr>
        <w:t>Summary of Key Findings</w:t>
      </w:r>
      <w:bookmarkEnd w:id="86"/>
    </w:p>
    <w:p w14:paraId="5B14705E" w14:textId="178B72AB"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The research showed that older persons living in urban areas can benefit greatly from community-based</w:t>
      </w:r>
      <w:r w:rsidR="00BA1983">
        <w:rPr>
          <w:rFonts w:ascii="Arial" w:hAnsi="Arial" w:cs="Arial"/>
          <w:sz w:val="22"/>
          <w:szCs w:val="22"/>
        </w:rPr>
        <w:t xml:space="preserve"> </w:t>
      </w:r>
      <w:r w:rsidR="00BA1983" w:rsidRPr="00BA1983">
        <w:rPr>
          <w:rFonts w:ascii="Arial" w:hAnsi="Arial" w:cs="Arial"/>
          <w:sz w:val="22"/>
          <w:szCs w:val="22"/>
        </w:rPr>
        <w:t>physiotherapy interventions</w:t>
      </w:r>
      <w:r w:rsidRPr="003F29DA">
        <w:rPr>
          <w:rFonts w:ascii="Arial" w:hAnsi="Arial" w:cs="Arial"/>
          <w:sz w:val="22"/>
          <w:szCs w:val="22"/>
        </w:rPr>
        <w:t xml:space="preserve">. </w:t>
      </w:r>
      <w:r w:rsidR="00FB3E8E" w:rsidRPr="003F29DA">
        <w:rPr>
          <w:rFonts w:ascii="Arial" w:hAnsi="Arial" w:cs="Arial"/>
          <w:sz w:val="22"/>
          <w:szCs w:val="22"/>
        </w:rPr>
        <w:t>All</w:t>
      </w:r>
      <w:r w:rsidRPr="003F29DA">
        <w:rPr>
          <w:rFonts w:ascii="Arial" w:hAnsi="Arial" w:cs="Arial"/>
          <w:sz w:val="22"/>
          <w:szCs w:val="22"/>
        </w:rPr>
        <w:t xml:space="preserve"> the included studies showed consistent gains in strength, balance, gait stability, and functional mobility, which is consistent with high-quality evidence that physiotherapy-led exercise is one of the best fall prevention techniques (Sherrington et al., 2019; Liu and Latham, 2011). These gains were seen in older persons in good health as well as those with frailty, multimorbidity, and decreased mobility, demonstrating the flexibility and inclusivity of physiotherapy programs (Clemson et al., 2012; Hopewell et al., 2018).</w:t>
      </w:r>
    </w:p>
    <w:p w14:paraId="1D42BDCF" w14:textId="36FF86AC"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Another important theme was psychological advantages, such as decreased fear of falling, more self-assurance, better bodily awareness, and a stronger desire to exercise. These results are consistent with research showing psychological processes, including fear of falling, are important factors influencing mobility, independence, and fall risk (Zijlstra et al., 2007; Huang et al., 2017). The review's findings thus highlight the need for </w:t>
      </w:r>
      <w:r w:rsidR="00BA1983" w:rsidRPr="00BA1983">
        <w:rPr>
          <w:rFonts w:ascii="Arial" w:hAnsi="Arial" w:cs="Arial"/>
          <w:sz w:val="22"/>
          <w:szCs w:val="22"/>
        </w:rPr>
        <w:t>physiotherapy interventions</w:t>
      </w:r>
      <w:r w:rsidR="00BA1983">
        <w:rPr>
          <w:rFonts w:ascii="Arial" w:hAnsi="Arial" w:cs="Arial"/>
          <w:sz w:val="22"/>
          <w:szCs w:val="22"/>
        </w:rPr>
        <w:t xml:space="preserve"> </w:t>
      </w:r>
      <w:r w:rsidRPr="003F29DA">
        <w:rPr>
          <w:rFonts w:ascii="Arial" w:hAnsi="Arial" w:cs="Arial"/>
          <w:sz w:val="22"/>
          <w:szCs w:val="22"/>
        </w:rPr>
        <w:t>to address psychological aspects in addition to physical training.</w:t>
      </w:r>
    </w:p>
    <w:p w14:paraId="3B41E4C2" w14:textId="619BD5E1"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One important element that was shown to enhance motivation and adherence was social involvement. In keeping with research showing social connection is highly linked to increased mobility, decreased frailty, and better general wellbeing, group-based programs promoted peer support, decreased loneliness, and increased enjoyment (Age UK, 2021; Holt-Lunstad, 2018). Participants valued empathy, certainty, and open </w:t>
      </w:r>
      <w:r w:rsidRPr="003F29DA">
        <w:rPr>
          <w:rFonts w:ascii="Arial" w:hAnsi="Arial" w:cs="Arial"/>
          <w:sz w:val="22"/>
          <w:szCs w:val="22"/>
        </w:rPr>
        <w:lastRenderedPageBreak/>
        <w:t>communication, and physiotherapist-patient connections were particularly crucial (Hall et al., 2010).</w:t>
      </w:r>
    </w:p>
    <w:p w14:paraId="7AE46FAA" w14:textId="326907DC"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Lastly, the results identified significant contextual obstacles specific to urban environments, such as transportation difficulties, environmental risks including uneven pavement, socioeconomic hardship, and restricted service capacity in crowded urban clinics. These obstacles highlight the need for interdisciplinary solutions that go beyond clinical interventions alone and reflect larger disparities in health and access to services throughout urban England (Marmot, 2020; Public Health England, 2018).</w:t>
      </w:r>
    </w:p>
    <w:p w14:paraId="1F6D6DC7" w14:textId="65F95918"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The consistency of results across various urban environments increases trust in the overall conclusions, </w:t>
      </w:r>
      <w:r w:rsidR="00FB3E8E" w:rsidRPr="003F29DA">
        <w:rPr>
          <w:rFonts w:ascii="Arial" w:hAnsi="Arial" w:cs="Arial"/>
          <w:sz w:val="22"/>
          <w:szCs w:val="22"/>
        </w:rPr>
        <w:t>even though</w:t>
      </w:r>
      <w:r w:rsidRPr="003F29DA">
        <w:rPr>
          <w:rFonts w:ascii="Arial" w:hAnsi="Arial" w:cs="Arial"/>
          <w:sz w:val="22"/>
          <w:szCs w:val="22"/>
        </w:rPr>
        <w:t xml:space="preserve"> the evidence base was restricted to twelve investigations. However, generalizability is restricted and quantitative synthesis is not possible due to variability in research design and outcome measurements.</w:t>
      </w:r>
    </w:p>
    <w:p w14:paraId="1281DFF5" w14:textId="32D5F475" w:rsidR="003F29DA" w:rsidRPr="00721C83" w:rsidRDefault="003F29DA" w:rsidP="00C24C8D">
      <w:pPr>
        <w:pStyle w:val="Heading2"/>
        <w:spacing w:line="360" w:lineRule="auto"/>
        <w:jc w:val="both"/>
        <w:rPr>
          <w:rFonts w:ascii="Arial" w:hAnsi="Arial" w:cs="Arial"/>
          <w:b/>
          <w:bCs/>
          <w:sz w:val="28"/>
          <w:szCs w:val="28"/>
        </w:rPr>
      </w:pPr>
      <w:bookmarkStart w:id="87" w:name="_Toc220878932"/>
      <w:r w:rsidRPr="00721C83">
        <w:rPr>
          <w:rFonts w:ascii="Arial" w:hAnsi="Arial" w:cs="Arial"/>
          <w:b/>
          <w:bCs/>
          <w:sz w:val="28"/>
          <w:szCs w:val="28"/>
        </w:rPr>
        <w:t>5.3</w:t>
      </w:r>
      <w:r w:rsidR="00721C83" w:rsidRPr="00721C83">
        <w:rPr>
          <w:rFonts w:ascii="Arial" w:hAnsi="Arial" w:cs="Arial"/>
          <w:b/>
          <w:bCs/>
          <w:sz w:val="28"/>
          <w:szCs w:val="28"/>
        </w:rPr>
        <w:t xml:space="preserve"> </w:t>
      </w:r>
      <w:r w:rsidRPr="00721C83">
        <w:rPr>
          <w:rFonts w:ascii="Arial" w:hAnsi="Arial" w:cs="Arial"/>
          <w:b/>
          <w:bCs/>
          <w:sz w:val="28"/>
          <w:szCs w:val="28"/>
        </w:rPr>
        <w:t>Implications for Physiotherapy Practice</w:t>
      </w:r>
      <w:bookmarkEnd w:id="87"/>
      <w:r w:rsidRPr="003F29DA">
        <w:rPr>
          <w:rFonts w:ascii="Arial" w:hAnsi="Arial" w:cs="Arial"/>
          <w:sz w:val="22"/>
          <w:szCs w:val="22"/>
        </w:rPr>
        <w:t xml:space="preserve"> </w:t>
      </w:r>
    </w:p>
    <w:p w14:paraId="1DD12931" w14:textId="551005BE" w:rsidR="003F29DA" w:rsidRDefault="003F29DA" w:rsidP="00C24C8D">
      <w:pPr>
        <w:spacing w:line="360" w:lineRule="auto"/>
        <w:jc w:val="both"/>
        <w:rPr>
          <w:rFonts w:ascii="Arial" w:hAnsi="Arial" w:cs="Arial"/>
          <w:sz w:val="22"/>
          <w:szCs w:val="22"/>
        </w:rPr>
      </w:pPr>
      <w:r w:rsidRPr="003F29DA">
        <w:rPr>
          <w:rFonts w:ascii="Arial" w:hAnsi="Arial" w:cs="Arial"/>
          <w:sz w:val="22"/>
          <w:szCs w:val="22"/>
        </w:rPr>
        <w:t>The findings have several implications for physiotherapy practice, particularly in metropolitan regions:</w:t>
      </w:r>
    </w:p>
    <w:p w14:paraId="6D675F40" w14:textId="408924B4" w:rsidR="008062F6" w:rsidRPr="003F29DA" w:rsidRDefault="008062F6" w:rsidP="00C24C8D">
      <w:pPr>
        <w:spacing w:line="360" w:lineRule="auto"/>
        <w:jc w:val="both"/>
        <w:rPr>
          <w:rFonts w:ascii="Arial" w:hAnsi="Arial" w:cs="Arial"/>
          <w:sz w:val="22"/>
          <w:szCs w:val="22"/>
        </w:rPr>
      </w:pPr>
      <w:r w:rsidRPr="008062F6">
        <w:rPr>
          <w:rFonts w:ascii="Arial" w:hAnsi="Arial" w:cs="Arial"/>
          <w:sz w:val="22"/>
          <w:szCs w:val="22"/>
        </w:rPr>
        <w:t xml:space="preserve">The results of this study support the importance of community-based </w:t>
      </w:r>
      <w:r w:rsidR="00BA1983" w:rsidRPr="00BA1983">
        <w:rPr>
          <w:rFonts w:ascii="Arial" w:hAnsi="Arial" w:cs="Arial"/>
          <w:sz w:val="22"/>
          <w:szCs w:val="22"/>
        </w:rPr>
        <w:t>physiotherapy</w:t>
      </w:r>
      <w:r w:rsidR="00BA1983">
        <w:rPr>
          <w:rFonts w:ascii="Arial" w:hAnsi="Arial" w:cs="Arial"/>
          <w:sz w:val="22"/>
          <w:szCs w:val="22"/>
        </w:rPr>
        <w:t xml:space="preserve"> </w:t>
      </w:r>
      <w:r w:rsidRPr="008062F6">
        <w:rPr>
          <w:rFonts w:ascii="Arial" w:hAnsi="Arial" w:cs="Arial"/>
          <w:sz w:val="22"/>
          <w:szCs w:val="22"/>
        </w:rPr>
        <w:t xml:space="preserve">as a preventative measure to lower falls among older </w:t>
      </w:r>
      <w:r w:rsidR="00330FA7">
        <w:rPr>
          <w:rFonts w:ascii="Arial" w:hAnsi="Arial" w:cs="Arial"/>
          <w:sz w:val="22"/>
          <w:szCs w:val="22"/>
        </w:rPr>
        <w:t>adult</w:t>
      </w:r>
      <w:r w:rsidRPr="008062F6">
        <w:rPr>
          <w:rFonts w:ascii="Arial" w:hAnsi="Arial" w:cs="Arial"/>
          <w:sz w:val="22"/>
          <w:szCs w:val="22"/>
        </w:rPr>
        <w:t>s from the standpoint of public health. These results are consistent with national public health targets that focus on preventing falls, promoting healthy aging, and lowering unnecessary hospital admissions among the elderly (NICE, 2013; Public Health England, 2021). Incorporating community physiotherapy programs within primary care and public health services run by local authorities may enhance accessibility and facilitate early intervention, which may lower long-term health and social care expenses connected to fall-related injuries and loss of independence.</w:t>
      </w:r>
    </w:p>
    <w:p w14:paraId="59B8A059" w14:textId="08EFC776" w:rsidR="003F29DA" w:rsidRPr="00721C83" w:rsidRDefault="003F29DA" w:rsidP="00C24C8D">
      <w:pPr>
        <w:pStyle w:val="Heading3"/>
        <w:spacing w:line="360" w:lineRule="auto"/>
        <w:jc w:val="both"/>
        <w:rPr>
          <w:rFonts w:ascii="Arial" w:hAnsi="Arial" w:cs="Arial"/>
          <w:b/>
          <w:bCs/>
          <w:sz w:val="24"/>
          <w:szCs w:val="24"/>
        </w:rPr>
      </w:pPr>
      <w:bookmarkStart w:id="88" w:name="_Toc220878933"/>
      <w:r w:rsidRPr="00721C83">
        <w:rPr>
          <w:rFonts w:ascii="Arial" w:hAnsi="Arial" w:cs="Arial"/>
          <w:b/>
          <w:bCs/>
          <w:sz w:val="24"/>
          <w:szCs w:val="24"/>
        </w:rPr>
        <w:t>5.3.1</w:t>
      </w:r>
      <w:r w:rsidR="00721C83" w:rsidRPr="00721C83">
        <w:rPr>
          <w:rFonts w:ascii="Arial" w:hAnsi="Arial" w:cs="Arial"/>
          <w:b/>
          <w:bCs/>
          <w:sz w:val="24"/>
          <w:szCs w:val="24"/>
        </w:rPr>
        <w:t xml:space="preserve"> </w:t>
      </w:r>
      <w:r w:rsidRPr="00721C83">
        <w:rPr>
          <w:rFonts w:ascii="Arial" w:hAnsi="Arial" w:cs="Arial"/>
          <w:b/>
          <w:bCs/>
          <w:sz w:val="24"/>
          <w:szCs w:val="24"/>
        </w:rPr>
        <w:t>Integrating Psychological and Behavioural Support</w:t>
      </w:r>
      <w:bookmarkEnd w:id="88"/>
    </w:p>
    <w:p w14:paraId="5D1B41FF" w14:textId="67617CEA" w:rsidR="00721C83"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Physiotherapists should use </w:t>
      </w:r>
      <w:r w:rsidR="00EA602F" w:rsidRPr="003F29DA">
        <w:rPr>
          <w:rFonts w:ascii="Arial" w:hAnsi="Arial" w:cs="Arial"/>
          <w:sz w:val="22"/>
          <w:szCs w:val="22"/>
        </w:rPr>
        <w:t>behavioural</w:t>
      </w:r>
      <w:r w:rsidRPr="003F29DA">
        <w:rPr>
          <w:rFonts w:ascii="Arial" w:hAnsi="Arial" w:cs="Arial"/>
          <w:sz w:val="22"/>
          <w:szCs w:val="22"/>
        </w:rPr>
        <w:t xml:space="preserve"> modification techniques such reassurance, graded exposure, motivational interviewing, and confidence-building exercises since fear of falling and self-efficacy play a major role (Bandura, 1997; Simmonds, 2018). Compared to exercise-only therapies, programs that incorporate psychological support have been demonstrated to provide greater and longer-lasting gains (Barker et al., 2016).</w:t>
      </w:r>
    </w:p>
    <w:p w14:paraId="2E22DD2A" w14:textId="61E144EA" w:rsidR="003F29DA" w:rsidRPr="00721C83" w:rsidRDefault="003F29DA" w:rsidP="00C24C8D">
      <w:pPr>
        <w:pStyle w:val="Heading3"/>
        <w:spacing w:line="360" w:lineRule="auto"/>
        <w:jc w:val="both"/>
        <w:rPr>
          <w:rFonts w:ascii="Arial" w:hAnsi="Arial" w:cs="Arial"/>
          <w:b/>
          <w:bCs/>
          <w:sz w:val="24"/>
          <w:szCs w:val="24"/>
        </w:rPr>
      </w:pPr>
      <w:bookmarkStart w:id="89" w:name="_Toc220878934"/>
      <w:r w:rsidRPr="00721C83">
        <w:rPr>
          <w:rFonts w:ascii="Arial" w:hAnsi="Arial" w:cs="Arial"/>
          <w:b/>
          <w:bCs/>
          <w:sz w:val="24"/>
          <w:szCs w:val="24"/>
        </w:rPr>
        <w:lastRenderedPageBreak/>
        <w:t>5.3.2</w:t>
      </w:r>
      <w:r w:rsidR="00721C83" w:rsidRPr="00721C83">
        <w:rPr>
          <w:rFonts w:ascii="Arial" w:hAnsi="Arial" w:cs="Arial"/>
          <w:b/>
          <w:bCs/>
          <w:sz w:val="24"/>
          <w:szCs w:val="24"/>
        </w:rPr>
        <w:t xml:space="preserve"> </w:t>
      </w:r>
      <w:r w:rsidRPr="00721C83">
        <w:rPr>
          <w:rFonts w:ascii="Arial" w:hAnsi="Arial" w:cs="Arial"/>
          <w:b/>
          <w:bCs/>
          <w:sz w:val="24"/>
          <w:szCs w:val="24"/>
        </w:rPr>
        <w:t>Prioritising Strength and Balance Training</w:t>
      </w:r>
      <w:bookmarkEnd w:id="89"/>
    </w:p>
    <w:p w14:paraId="1DF535D5" w14:textId="22020E14"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In line with NICE (2022) and Sherrington's findings that ≥3 hours of balance training per week considerably lowers falls, the review affirms that balance-challenging activities should continue to be a fundamental part of CBPT. To maximize results, physiotherapists must make sure that therapies offer sufficient dose and progression.</w:t>
      </w:r>
    </w:p>
    <w:p w14:paraId="3302E048" w14:textId="19DD8BCD" w:rsidR="003F29DA" w:rsidRPr="00721C83" w:rsidRDefault="003F29DA" w:rsidP="00C24C8D">
      <w:pPr>
        <w:pStyle w:val="Heading3"/>
        <w:spacing w:line="360" w:lineRule="auto"/>
        <w:jc w:val="both"/>
        <w:rPr>
          <w:rFonts w:ascii="Arial" w:hAnsi="Arial" w:cs="Arial"/>
          <w:b/>
          <w:bCs/>
          <w:sz w:val="24"/>
          <w:szCs w:val="24"/>
        </w:rPr>
      </w:pPr>
      <w:bookmarkStart w:id="90" w:name="_Toc220878935"/>
      <w:r w:rsidRPr="00721C83">
        <w:rPr>
          <w:rFonts w:ascii="Arial" w:hAnsi="Arial" w:cs="Arial"/>
          <w:b/>
          <w:bCs/>
          <w:sz w:val="24"/>
          <w:szCs w:val="24"/>
        </w:rPr>
        <w:t>5.3.3</w:t>
      </w:r>
      <w:r w:rsidR="00721C83" w:rsidRPr="00721C83">
        <w:rPr>
          <w:rFonts w:ascii="Arial" w:hAnsi="Arial" w:cs="Arial"/>
          <w:b/>
          <w:bCs/>
          <w:sz w:val="24"/>
          <w:szCs w:val="24"/>
        </w:rPr>
        <w:t xml:space="preserve"> </w:t>
      </w:r>
      <w:r w:rsidRPr="00721C83">
        <w:rPr>
          <w:rFonts w:ascii="Arial" w:hAnsi="Arial" w:cs="Arial"/>
          <w:b/>
          <w:bCs/>
          <w:sz w:val="24"/>
          <w:szCs w:val="24"/>
        </w:rPr>
        <w:t>Enhancing Accessibility Through Diverse Delivery Models</w:t>
      </w:r>
      <w:bookmarkEnd w:id="90"/>
    </w:p>
    <w:p w14:paraId="5E44CDE6" w14:textId="4D388A0A" w:rsidR="003A6D4C" w:rsidRPr="003F29DA" w:rsidRDefault="003A6D4C" w:rsidP="00C24C8D">
      <w:pPr>
        <w:spacing w:line="360" w:lineRule="auto"/>
        <w:jc w:val="both"/>
        <w:rPr>
          <w:rFonts w:ascii="Arial" w:hAnsi="Arial" w:cs="Arial"/>
          <w:sz w:val="22"/>
          <w:szCs w:val="22"/>
        </w:rPr>
      </w:pPr>
      <w:r w:rsidRPr="003A6D4C">
        <w:rPr>
          <w:rFonts w:ascii="Arial" w:hAnsi="Arial" w:cs="Arial"/>
          <w:sz w:val="22"/>
          <w:szCs w:val="22"/>
        </w:rPr>
        <w:t xml:space="preserve">Physiotherapists should use adaptable and inclusive treatment delivery strategies to address the mobility and transportation issues that older </w:t>
      </w:r>
      <w:r w:rsidR="00330FA7">
        <w:rPr>
          <w:rFonts w:ascii="Arial" w:hAnsi="Arial" w:cs="Arial"/>
          <w:sz w:val="22"/>
          <w:szCs w:val="22"/>
        </w:rPr>
        <w:t>adult</w:t>
      </w:r>
      <w:r w:rsidRPr="003A6D4C">
        <w:rPr>
          <w:rFonts w:ascii="Arial" w:hAnsi="Arial" w:cs="Arial"/>
          <w:sz w:val="22"/>
          <w:szCs w:val="22"/>
        </w:rPr>
        <w:t>s frequently encounter in metropolitan settings. These might include telehealth-supported exercise therapies to improve accessibility and continuity of care, community outreach programs offered in local neighbourhood settings, and home-based physiotherapy for those with restricted mobility. Additionally, culturally appropriate group-based sessions can support engagement among diverse urban populations by addressing language needs, cultural preferences, and social norms, as recommended within national fall prevention and community rehabilitation guidance (NICE, 2025). When taken as a whole, these strategies lessen the need to travel to centralized clinics, increase involvement among populations who are difficult to reach, and lessen disparities in access to fall prevention services (Green et al., 2021; Sims-Gould et al., 2015).</w:t>
      </w:r>
    </w:p>
    <w:p w14:paraId="6A8FA3C6" w14:textId="11E3BA03" w:rsidR="003F29DA" w:rsidRPr="00721C83" w:rsidRDefault="003F29DA" w:rsidP="00C24C8D">
      <w:pPr>
        <w:pStyle w:val="Heading3"/>
        <w:spacing w:line="360" w:lineRule="auto"/>
        <w:jc w:val="both"/>
        <w:rPr>
          <w:rFonts w:ascii="Arial" w:hAnsi="Arial" w:cs="Arial"/>
          <w:b/>
          <w:bCs/>
          <w:sz w:val="24"/>
          <w:szCs w:val="24"/>
        </w:rPr>
      </w:pPr>
      <w:bookmarkStart w:id="91" w:name="_Toc220878936"/>
      <w:r w:rsidRPr="00721C83">
        <w:rPr>
          <w:rFonts w:ascii="Arial" w:hAnsi="Arial" w:cs="Arial"/>
          <w:b/>
          <w:bCs/>
          <w:sz w:val="24"/>
          <w:szCs w:val="24"/>
        </w:rPr>
        <w:t>5.3.4</w:t>
      </w:r>
      <w:r w:rsidR="00721C83" w:rsidRPr="00721C83">
        <w:rPr>
          <w:rFonts w:ascii="Arial" w:hAnsi="Arial" w:cs="Arial"/>
          <w:b/>
          <w:bCs/>
          <w:sz w:val="24"/>
          <w:szCs w:val="24"/>
        </w:rPr>
        <w:t xml:space="preserve"> </w:t>
      </w:r>
      <w:r w:rsidRPr="00721C83">
        <w:rPr>
          <w:rFonts w:ascii="Arial" w:hAnsi="Arial" w:cs="Arial"/>
          <w:b/>
          <w:bCs/>
          <w:sz w:val="24"/>
          <w:szCs w:val="24"/>
        </w:rPr>
        <w:t>Tailoring Interventions to Metropolitan Diversity</w:t>
      </w:r>
      <w:bookmarkEnd w:id="91"/>
      <w:r w:rsidRPr="003F29DA">
        <w:rPr>
          <w:rFonts w:ascii="Arial" w:hAnsi="Arial" w:cs="Arial"/>
          <w:sz w:val="22"/>
          <w:szCs w:val="22"/>
        </w:rPr>
        <w:t xml:space="preserve"> </w:t>
      </w:r>
    </w:p>
    <w:p w14:paraId="2107AEBC" w14:textId="5D453C80"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Diverse social, linguistic, and cultural origins can be found in urban areas. Physiotherapists should collaborate with local populations to create programs that </w:t>
      </w:r>
      <w:r w:rsidR="00FB3E8E" w:rsidRPr="003F29DA">
        <w:rPr>
          <w:rFonts w:ascii="Arial" w:hAnsi="Arial" w:cs="Arial"/>
          <w:sz w:val="22"/>
          <w:szCs w:val="22"/>
        </w:rPr>
        <w:t>consider</w:t>
      </w:r>
      <w:r w:rsidRPr="003F29DA">
        <w:rPr>
          <w:rFonts w:ascii="Arial" w:hAnsi="Arial" w:cs="Arial"/>
          <w:sz w:val="22"/>
          <w:szCs w:val="22"/>
        </w:rPr>
        <w:t xml:space="preserve"> their preferences for gender-specific groups, language support, or culturally appropriate kinds of exercise.</w:t>
      </w:r>
    </w:p>
    <w:p w14:paraId="6CC13E57" w14:textId="2D6D39D8" w:rsidR="003F29DA" w:rsidRPr="00C82247" w:rsidRDefault="003F29DA" w:rsidP="00C24C8D">
      <w:pPr>
        <w:pStyle w:val="Heading2"/>
        <w:spacing w:line="360" w:lineRule="auto"/>
        <w:jc w:val="both"/>
        <w:rPr>
          <w:rFonts w:ascii="Arial" w:hAnsi="Arial" w:cs="Arial"/>
          <w:b/>
          <w:bCs/>
          <w:sz w:val="28"/>
          <w:szCs w:val="28"/>
        </w:rPr>
      </w:pPr>
      <w:bookmarkStart w:id="92" w:name="_Toc220878937"/>
      <w:r w:rsidRPr="00C82247">
        <w:rPr>
          <w:rFonts w:ascii="Arial" w:hAnsi="Arial" w:cs="Arial"/>
          <w:b/>
          <w:bCs/>
          <w:sz w:val="28"/>
          <w:szCs w:val="28"/>
        </w:rPr>
        <w:t>5.4</w:t>
      </w:r>
      <w:r w:rsidR="00C82247" w:rsidRPr="00C82247">
        <w:rPr>
          <w:rFonts w:ascii="Arial" w:hAnsi="Arial" w:cs="Arial"/>
          <w:b/>
          <w:bCs/>
          <w:sz w:val="28"/>
          <w:szCs w:val="28"/>
        </w:rPr>
        <w:t xml:space="preserve"> </w:t>
      </w:r>
      <w:r w:rsidRPr="00C82247">
        <w:rPr>
          <w:rFonts w:ascii="Arial" w:hAnsi="Arial" w:cs="Arial"/>
          <w:b/>
          <w:bCs/>
          <w:sz w:val="28"/>
          <w:szCs w:val="28"/>
        </w:rPr>
        <w:t>Implications for Public Health and Urban Policy</w:t>
      </w:r>
      <w:bookmarkEnd w:id="92"/>
    </w:p>
    <w:p w14:paraId="183F366A" w14:textId="6EC8CC5B" w:rsidR="00C82247"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The findings highlight the need for system-level action beyond physiotherapy:</w:t>
      </w:r>
    </w:p>
    <w:p w14:paraId="67F5E054" w14:textId="3C68276A" w:rsidR="003F29DA" w:rsidRPr="00C82247" w:rsidRDefault="003F29DA" w:rsidP="00C24C8D">
      <w:pPr>
        <w:pStyle w:val="Heading3"/>
        <w:spacing w:line="360" w:lineRule="auto"/>
        <w:jc w:val="both"/>
        <w:rPr>
          <w:rFonts w:ascii="Arial" w:hAnsi="Arial" w:cs="Arial"/>
          <w:b/>
          <w:bCs/>
          <w:sz w:val="24"/>
          <w:szCs w:val="24"/>
        </w:rPr>
      </w:pPr>
      <w:bookmarkStart w:id="93" w:name="_Toc220878938"/>
      <w:r w:rsidRPr="00C82247">
        <w:rPr>
          <w:rFonts w:ascii="Arial" w:hAnsi="Arial" w:cs="Arial"/>
          <w:b/>
          <w:bCs/>
          <w:sz w:val="24"/>
          <w:szCs w:val="24"/>
        </w:rPr>
        <w:t>5.4.1</w:t>
      </w:r>
      <w:r w:rsidR="00C82247" w:rsidRPr="00C82247">
        <w:rPr>
          <w:rFonts w:ascii="Arial" w:hAnsi="Arial" w:cs="Arial"/>
          <w:b/>
          <w:bCs/>
          <w:sz w:val="24"/>
          <w:szCs w:val="24"/>
        </w:rPr>
        <w:t xml:space="preserve"> </w:t>
      </w:r>
      <w:r w:rsidRPr="00C82247">
        <w:rPr>
          <w:rFonts w:ascii="Arial" w:hAnsi="Arial" w:cs="Arial"/>
          <w:b/>
          <w:bCs/>
          <w:sz w:val="24"/>
          <w:szCs w:val="24"/>
        </w:rPr>
        <w:t>Collaborative Approaches Across Sectors</w:t>
      </w:r>
      <w:bookmarkEnd w:id="93"/>
    </w:p>
    <w:p w14:paraId="0FA270DA" w14:textId="1A6F15A4" w:rsidR="003A6D4C" w:rsidRPr="003F29DA" w:rsidRDefault="003A6D4C" w:rsidP="00C24C8D">
      <w:pPr>
        <w:spacing w:line="360" w:lineRule="auto"/>
        <w:jc w:val="both"/>
        <w:rPr>
          <w:rFonts w:ascii="Arial" w:hAnsi="Arial" w:cs="Arial"/>
          <w:sz w:val="22"/>
          <w:szCs w:val="22"/>
        </w:rPr>
      </w:pPr>
      <w:r w:rsidRPr="003A6D4C">
        <w:rPr>
          <w:rFonts w:ascii="Arial" w:hAnsi="Arial" w:cs="Arial"/>
          <w:sz w:val="22"/>
          <w:szCs w:val="22"/>
        </w:rPr>
        <w:t xml:space="preserve">Fall risk among older </w:t>
      </w:r>
      <w:r w:rsidR="00FB3E8E">
        <w:rPr>
          <w:rFonts w:ascii="Arial" w:hAnsi="Arial" w:cs="Arial"/>
          <w:sz w:val="22"/>
          <w:szCs w:val="22"/>
        </w:rPr>
        <w:t>adult</w:t>
      </w:r>
      <w:r w:rsidR="00FB3E8E" w:rsidRPr="003A6D4C">
        <w:rPr>
          <w:rFonts w:ascii="Arial" w:hAnsi="Arial" w:cs="Arial"/>
          <w:sz w:val="22"/>
          <w:szCs w:val="22"/>
        </w:rPr>
        <w:t>s</w:t>
      </w:r>
      <w:r w:rsidRPr="003A6D4C">
        <w:rPr>
          <w:rFonts w:ascii="Arial" w:hAnsi="Arial" w:cs="Arial"/>
          <w:sz w:val="22"/>
          <w:szCs w:val="22"/>
        </w:rPr>
        <w:t xml:space="preserve"> is known to be significantly influenced by housing, transportation, social services, and urban planning, especially in urban settings (Evans et al., 2018; Marmot et al., 2020). Therefore, cooperation beyond healthcare services alone is necessary for effective fall prevention. The creation of age-friendly urban infrastructure, such as accessible public areas, safe pavements, and sufficient lighting, all of which affect mobility and fall risk, is facilitated by collaboration with local governments (NICE, 2025). As poor housing conditions and environmental dangers </w:t>
      </w:r>
      <w:r w:rsidRPr="003A6D4C">
        <w:rPr>
          <w:rFonts w:ascii="Arial" w:hAnsi="Arial" w:cs="Arial"/>
          <w:sz w:val="22"/>
          <w:szCs w:val="22"/>
        </w:rPr>
        <w:lastRenderedPageBreak/>
        <w:t xml:space="preserve">within the house have been linked to an increase in falls among older </w:t>
      </w:r>
      <w:r w:rsidR="00330FA7">
        <w:rPr>
          <w:rFonts w:ascii="Arial" w:hAnsi="Arial" w:cs="Arial"/>
          <w:sz w:val="22"/>
          <w:szCs w:val="22"/>
        </w:rPr>
        <w:t>adult</w:t>
      </w:r>
      <w:r w:rsidRPr="003A6D4C">
        <w:rPr>
          <w:rFonts w:ascii="Arial" w:hAnsi="Arial" w:cs="Arial"/>
          <w:sz w:val="22"/>
          <w:szCs w:val="22"/>
        </w:rPr>
        <w:t>s living in metropolitan areas, cooperation with housing associations is equally vital (Harrison et al., 2021).</w:t>
      </w:r>
      <w:r w:rsidRPr="003A6D4C">
        <w:t xml:space="preserve"> </w:t>
      </w:r>
      <w:r w:rsidRPr="003A6D4C">
        <w:rPr>
          <w:rFonts w:ascii="Arial" w:hAnsi="Arial" w:cs="Arial"/>
          <w:sz w:val="22"/>
          <w:szCs w:val="22"/>
        </w:rPr>
        <w:t xml:space="preserve">Working with transportation </w:t>
      </w:r>
      <w:r w:rsidR="00FB3E8E" w:rsidRPr="003A6D4C">
        <w:rPr>
          <w:rFonts w:ascii="Arial" w:hAnsi="Arial" w:cs="Arial"/>
          <w:sz w:val="22"/>
          <w:szCs w:val="22"/>
        </w:rPr>
        <w:t>authorit</w:t>
      </w:r>
      <w:r w:rsidR="00FB3E8E">
        <w:rPr>
          <w:rFonts w:ascii="Arial" w:hAnsi="Arial" w:cs="Arial"/>
          <w:sz w:val="22"/>
          <w:szCs w:val="22"/>
        </w:rPr>
        <w:t xml:space="preserve">y </w:t>
      </w:r>
      <w:r w:rsidRPr="003A6D4C">
        <w:rPr>
          <w:rFonts w:ascii="Arial" w:hAnsi="Arial" w:cs="Arial"/>
          <w:sz w:val="22"/>
          <w:szCs w:val="22"/>
        </w:rPr>
        <w:t>makes it easier for senior citizens to get safe and dependable public transportation, which allows them to participate in social activities and attend community-based physiotherapy programs (NHS England, 2019; Francis-Coad et al., 2020). Additionally, voluntary sector organizations contribute significantly to outreach and assistance, especially for older persons who are socially isolated or economically disadvantaged. This increases the reach and equity of fall prevention activities (Public Health England, 2020).</w:t>
      </w:r>
    </w:p>
    <w:p w14:paraId="3B05E561" w14:textId="03B91E28" w:rsidR="003F29DA" w:rsidRPr="00C82247" w:rsidRDefault="003F29DA" w:rsidP="00C24C8D">
      <w:pPr>
        <w:pStyle w:val="Heading3"/>
        <w:spacing w:line="360" w:lineRule="auto"/>
        <w:jc w:val="both"/>
        <w:rPr>
          <w:rFonts w:ascii="Arial" w:hAnsi="Arial" w:cs="Arial"/>
          <w:b/>
          <w:bCs/>
          <w:sz w:val="24"/>
          <w:szCs w:val="24"/>
        </w:rPr>
      </w:pPr>
      <w:bookmarkStart w:id="94" w:name="_Toc220878939"/>
      <w:r w:rsidRPr="00C82247">
        <w:rPr>
          <w:rFonts w:ascii="Arial" w:hAnsi="Arial" w:cs="Arial"/>
          <w:b/>
          <w:bCs/>
          <w:sz w:val="24"/>
          <w:szCs w:val="24"/>
        </w:rPr>
        <w:t>5.4.2</w:t>
      </w:r>
      <w:r w:rsidR="00C82247" w:rsidRPr="00C82247">
        <w:rPr>
          <w:rFonts w:ascii="Arial" w:hAnsi="Arial" w:cs="Arial"/>
          <w:b/>
          <w:bCs/>
          <w:sz w:val="24"/>
          <w:szCs w:val="24"/>
        </w:rPr>
        <w:t xml:space="preserve"> </w:t>
      </w:r>
      <w:r w:rsidRPr="00C82247">
        <w:rPr>
          <w:rFonts w:ascii="Arial" w:hAnsi="Arial" w:cs="Arial"/>
          <w:b/>
          <w:bCs/>
          <w:sz w:val="24"/>
          <w:szCs w:val="24"/>
        </w:rPr>
        <w:t>Diminishing Inequalities</w:t>
      </w:r>
      <w:bookmarkEnd w:id="94"/>
    </w:p>
    <w:p w14:paraId="07255169" w14:textId="28FEF71A" w:rsidR="00C82247"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In impoverished boroughs, older persons are more likely to fall and have lower levels of participation. Reducing health disparities requires targeted financing, outreach, and culturally responsive services (Marmot, 2020).</w:t>
      </w:r>
    </w:p>
    <w:p w14:paraId="222DF22B" w14:textId="113C8A5B" w:rsidR="003F29DA" w:rsidRPr="00C82247" w:rsidRDefault="003F29DA" w:rsidP="00C24C8D">
      <w:pPr>
        <w:pStyle w:val="Heading3"/>
        <w:spacing w:line="360" w:lineRule="auto"/>
        <w:jc w:val="both"/>
        <w:rPr>
          <w:rFonts w:ascii="Arial" w:hAnsi="Arial" w:cs="Arial"/>
          <w:b/>
          <w:bCs/>
          <w:sz w:val="24"/>
          <w:szCs w:val="24"/>
        </w:rPr>
      </w:pPr>
      <w:bookmarkStart w:id="95" w:name="_Toc220878940"/>
      <w:r w:rsidRPr="00C82247">
        <w:rPr>
          <w:rFonts w:ascii="Arial" w:hAnsi="Arial" w:cs="Arial"/>
          <w:b/>
          <w:bCs/>
          <w:sz w:val="24"/>
          <w:szCs w:val="24"/>
        </w:rPr>
        <w:t>5.4.3</w:t>
      </w:r>
      <w:r w:rsidR="00C82247" w:rsidRPr="00C82247">
        <w:rPr>
          <w:rFonts w:ascii="Arial" w:hAnsi="Arial" w:cs="Arial"/>
          <w:b/>
          <w:bCs/>
          <w:sz w:val="24"/>
          <w:szCs w:val="24"/>
        </w:rPr>
        <w:t xml:space="preserve"> </w:t>
      </w:r>
      <w:r w:rsidRPr="00C82247">
        <w:rPr>
          <w:rFonts w:ascii="Arial" w:hAnsi="Arial" w:cs="Arial"/>
          <w:b/>
          <w:bCs/>
          <w:sz w:val="24"/>
          <w:szCs w:val="24"/>
        </w:rPr>
        <w:t>Increasing the Capacity of NHS Physiotherapy</w:t>
      </w:r>
      <w:bookmarkEnd w:id="95"/>
    </w:p>
    <w:p w14:paraId="1A6DAAAB" w14:textId="329DF5C4"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Program reach is restricted by lengthy waiting lists and heavy caseloads. Investing in community space, training, and physiotherapy personnel would improve equity and capacity.</w:t>
      </w:r>
    </w:p>
    <w:p w14:paraId="35D8D66D" w14:textId="5C2C17FE" w:rsidR="003F29DA" w:rsidRPr="00FB7761" w:rsidRDefault="003F29DA" w:rsidP="00C24C8D">
      <w:pPr>
        <w:pStyle w:val="Heading2"/>
        <w:spacing w:line="360" w:lineRule="auto"/>
        <w:jc w:val="both"/>
        <w:rPr>
          <w:rFonts w:ascii="Arial" w:hAnsi="Arial" w:cs="Arial"/>
          <w:b/>
          <w:bCs/>
          <w:sz w:val="28"/>
          <w:szCs w:val="28"/>
        </w:rPr>
      </w:pPr>
      <w:bookmarkStart w:id="96" w:name="_Toc220878941"/>
      <w:r w:rsidRPr="00FB7761">
        <w:rPr>
          <w:rFonts w:ascii="Arial" w:hAnsi="Arial" w:cs="Arial"/>
          <w:b/>
          <w:bCs/>
          <w:sz w:val="28"/>
          <w:szCs w:val="28"/>
        </w:rPr>
        <w:t>5.5</w:t>
      </w:r>
      <w:r w:rsidR="00FB7761" w:rsidRPr="00FB7761">
        <w:rPr>
          <w:rFonts w:ascii="Arial" w:hAnsi="Arial" w:cs="Arial"/>
          <w:b/>
          <w:bCs/>
          <w:sz w:val="28"/>
          <w:szCs w:val="28"/>
        </w:rPr>
        <w:t xml:space="preserve"> </w:t>
      </w:r>
      <w:r w:rsidRPr="00FB7761">
        <w:rPr>
          <w:rFonts w:ascii="Arial" w:hAnsi="Arial" w:cs="Arial"/>
          <w:b/>
          <w:bCs/>
          <w:sz w:val="28"/>
          <w:szCs w:val="28"/>
        </w:rPr>
        <w:t>Consequences for Upcoming Studies</w:t>
      </w:r>
      <w:bookmarkEnd w:id="96"/>
    </w:p>
    <w:p w14:paraId="4BBDB3D1" w14:textId="64E9C7DB" w:rsidR="00FB7761"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Future research should fill in </w:t>
      </w:r>
      <w:r w:rsidR="00FB3E8E" w:rsidRPr="003F29DA">
        <w:rPr>
          <w:rFonts w:ascii="Arial" w:hAnsi="Arial" w:cs="Arial"/>
          <w:sz w:val="22"/>
          <w:szCs w:val="22"/>
        </w:rPr>
        <w:t>several</w:t>
      </w:r>
      <w:r w:rsidRPr="003F29DA">
        <w:rPr>
          <w:rFonts w:ascii="Arial" w:hAnsi="Arial" w:cs="Arial"/>
          <w:sz w:val="22"/>
          <w:szCs w:val="22"/>
        </w:rPr>
        <w:t xml:space="preserve"> gaps:</w:t>
      </w:r>
    </w:p>
    <w:p w14:paraId="5603CCF1" w14:textId="2E177079" w:rsidR="003F29DA" w:rsidRPr="00FB7761" w:rsidRDefault="003F29DA" w:rsidP="00C24C8D">
      <w:pPr>
        <w:pStyle w:val="Heading3"/>
        <w:spacing w:line="360" w:lineRule="auto"/>
        <w:jc w:val="both"/>
        <w:rPr>
          <w:rFonts w:ascii="Arial" w:hAnsi="Arial" w:cs="Arial"/>
          <w:b/>
          <w:bCs/>
          <w:sz w:val="24"/>
          <w:szCs w:val="24"/>
        </w:rPr>
      </w:pPr>
      <w:bookmarkStart w:id="97" w:name="_Toc220878942"/>
      <w:r w:rsidRPr="00FB7761">
        <w:rPr>
          <w:rFonts w:ascii="Arial" w:hAnsi="Arial" w:cs="Arial"/>
          <w:b/>
          <w:bCs/>
          <w:sz w:val="24"/>
          <w:szCs w:val="24"/>
        </w:rPr>
        <w:t>5.5.1</w:t>
      </w:r>
      <w:r w:rsidR="00FB7761" w:rsidRPr="00FB7761">
        <w:rPr>
          <w:rFonts w:ascii="Arial" w:hAnsi="Arial" w:cs="Arial"/>
          <w:b/>
          <w:bCs/>
          <w:sz w:val="24"/>
          <w:szCs w:val="24"/>
        </w:rPr>
        <w:t xml:space="preserve"> </w:t>
      </w:r>
      <w:r w:rsidRPr="00FB7761">
        <w:rPr>
          <w:rFonts w:ascii="Arial" w:hAnsi="Arial" w:cs="Arial"/>
          <w:b/>
          <w:bCs/>
          <w:sz w:val="24"/>
          <w:szCs w:val="24"/>
        </w:rPr>
        <w:t>Extended Monitoring</w:t>
      </w:r>
      <w:bookmarkEnd w:id="97"/>
    </w:p>
    <w:p w14:paraId="4F3D05ED" w14:textId="585A6AC6"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Few studies looked at results other than program completion. Long-term adherence, sustained functional improvements, and fall recurrence over a period of six to twenty-four months should all be assessed in research.</w:t>
      </w:r>
    </w:p>
    <w:p w14:paraId="2789861A" w14:textId="263AD4FD" w:rsidR="003F29DA" w:rsidRPr="00FB7761" w:rsidRDefault="003F29DA" w:rsidP="00C24C8D">
      <w:pPr>
        <w:pStyle w:val="Heading3"/>
        <w:spacing w:line="360" w:lineRule="auto"/>
        <w:jc w:val="both"/>
        <w:rPr>
          <w:rFonts w:ascii="Arial" w:hAnsi="Arial" w:cs="Arial"/>
          <w:b/>
          <w:bCs/>
          <w:sz w:val="24"/>
          <w:szCs w:val="24"/>
        </w:rPr>
      </w:pPr>
      <w:bookmarkStart w:id="98" w:name="_Toc220878943"/>
      <w:r w:rsidRPr="00FB7761">
        <w:rPr>
          <w:rFonts w:ascii="Arial" w:hAnsi="Arial" w:cs="Arial"/>
          <w:b/>
          <w:bCs/>
          <w:sz w:val="24"/>
          <w:szCs w:val="24"/>
        </w:rPr>
        <w:t>5.5.2</w:t>
      </w:r>
      <w:r w:rsidR="00FB7761" w:rsidRPr="00FB7761">
        <w:rPr>
          <w:rFonts w:ascii="Arial" w:hAnsi="Arial" w:cs="Arial"/>
          <w:b/>
          <w:bCs/>
          <w:sz w:val="24"/>
          <w:szCs w:val="24"/>
        </w:rPr>
        <w:t xml:space="preserve"> </w:t>
      </w:r>
      <w:r w:rsidRPr="00FB7761">
        <w:rPr>
          <w:rFonts w:ascii="Arial" w:hAnsi="Arial" w:cs="Arial"/>
          <w:b/>
          <w:bCs/>
          <w:sz w:val="24"/>
          <w:szCs w:val="24"/>
        </w:rPr>
        <w:t>Inclusion and Diversity</w:t>
      </w:r>
      <w:bookmarkEnd w:id="98"/>
    </w:p>
    <w:p w14:paraId="797ADAAC" w14:textId="51EFA28C"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 xml:space="preserve">Minority ethnic groups, people that do not speak English, and culturally appropriate </w:t>
      </w:r>
      <w:r w:rsidR="00BA1983" w:rsidRPr="00BA1983">
        <w:rPr>
          <w:rFonts w:ascii="Arial" w:hAnsi="Arial" w:cs="Arial"/>
          <w:sz w:val="22"/>
          <w:szCs w:val="22"/>
        </w:rPr>
        <w:t>physiotherapy interventions</w:t>
      </w:r>
      <w:r w:rsidRPr="003F29DA">
        <w:rPr>
          <w:rFonts w:ascii="Arial" w:hAnsi="Arial" w:cs="Arial"/>
          <w:sz w:val="22"/>
          <w:szCs w:val="22"/>
        </w:rPr>
        <w:t xml:space="preserve"> in metropolitan England require more research.</w:t>
      </w:r>
    </w:p>
    <w:p w14:paraId="717EA6E9" w14:textId="3F5A2E24" w:rsidR="003F29DA" w:rsidRPr="00FB7761" w:rsidRDefault="003F29DA" w:rsidP="00C24C8D">
      <w:pPr>
        <w:pStyle w:val="Heading3"/>
        <w:spacing w:line="360" w:lineRule="auto"/>
        <w:jc w:val="both"/>
        <w:rPr>
          <w:rFonts w:ascii="Arial" w:hAnsi="Arial" w:cs="Arial"/>
          <w:b/>
          <w:bCs/>
          <w:sz w:val="24"/>
          <w:szCs w:val="24"/>
        </w:rPr>
      </w:pPr>
      <w:bookmarkStart w:id="99" w:name="_Toc220878944"/>
      <w:r w:rsidRPr="00FB7761">
        <w:rPr>
          <w:rFonts w:ascii="Arial" w:hAnsi="Arial" w:cs="Arial"/>
          <w:b/>
          <w:bCs/>
          <w:sz w:val="24"/>
          <w:szCs w:val="24"/>
        </w:rPr>
        <w:t>5.5.3</w:t>
      </w:r>
      <w:r w:rsidR="00FB7761" w:rsidRPr="00FB7761">
        <w:rPr>
          <w:rFonts w:ascii="Arial" w:hAnsi="Arial" w:cs="Arial"/>
          <w:b/>
          <w:bCs/>
          <w:sz w:val="24"/>
          <w:szCs w:val="24"/>
        </w:rPr>
        <w:t xml:space="preserve"> </w:t>
      </w:r>
      <w:r w:rsidRPr="00FB7761">
        <w:rPr>
          <w:rFonts w:ascii="Arial" w:hAnsi="Arial" w:cs="Arial"/>
          <w:b/>
          <w:bCs/>
          <w:sz w:val="24"/>
          <w:szCs w:val="24"/>
        </w:rPr>
        <w:t>Standardized Measures of Outcomes</w:t>
      </w:r>
      <w:bookmarkEnd w:id="99"/>
    </w:p>
    <w:p w14:paraId="251CDCCF" w14:textId="7FADD5D2" w:rsidR="00822F55"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Comparability amongst CBPT programs would be enhanced by more uniformity in outcome tools.</w:t>
      </w:r>
    </w:p>
    <w:p w14:paraId="57D71901" w14:textId="263570D7" w:rsidR="003F29DA" w:rsidRPr="00FB7761" w:rsidRDefault="003F29DA" w:rsidP="00C24C8D">
      <w:pPr>
        <w:pStyle w:val="Heading3"/>
        <w:spacing w:line="360" w:lineRule="auto"/>
        <w:jc w:val="both"/>
        <w:rPr>
          <w:rFonts w:ascii="Arial" w:hAnsi="Arial" w:cs="Arial"/>
          <w:b/>
          <w:bCs/>
          <w:sz w:val="24"/>
          <w:szCs w:val="24"/>
        </w:rPr>
      </w:pPr>
      <w:bookmarkStart w:id="100" w:name="_Toc220878945"/>
      <w:r w:rsidRPr="00FB7761">
        <w:rPr>
          <w:rFonts w:ascii="Arial" w:hAnsi="Arial" w:cs="Arial"/>
          <w:b/>
          <w:bCs/>
          <w:sz w:val="24"/>
          <w:szCs w:val="24"/>
        </w:rPr>
        <w:lastRenderedPageBreak/>
        <w:t>5.5.4</w:t>
      </w:r>
      <w:r w:rsidR="00FB7761" w:rsidRPr="00FB7761">
        <w:rPr>
          <w:rFonts w:ascii="Arial" w:hAnsi="Arial" w:cs="Arial"/>
          <w:b/>
          <w:bCs/>
          <w:sz w:val="24"/>
          <w:szCs w:val="24"/>
        </w:rPr>
        <w:t xml:space="preserve"> </w:t>
      </w:r>
      <w:r w:rsidRPr="00FB7761">
        <w:rPr>
          <w:rFonts w:ascii="Arial" w:hAnsi="Arial" w:cs="Arial"/>
          <w:b/>
          <w:bCs/>
          <w:sz w:val="24"/>
          <w:szCs w:val="24"/>
        </w:rPr>
        <w:t>Assessing Hybrid and Telehealth Models</w:t>
      </w:r>
      <w:bookmarkEnd w:id="100"/>
    </w:p>
    <w:p w14:paraId="49367CC9" w14:textId="77A508FA" w:rsidR="003F29DA" w:rsidRPr="003F29DA" w:rsidRDefault="003F29DA" w:rsidP="00C24C8D">
      <w:pPr>
        <w:spacing w:line="360" w:lineRule="auto"/>
        <w:jc w:val="both"/>
        <w:rPr>
          <w:rFonts w:ascii="Arial" w:hAnsi="Arial" w:cs="Arial"/>
          <w:sz w:val="22"/>
          <w:szCs w:val="22"/>
        </w:rPr>
      </w:pPr>
      <w:r w:rsidRPr="003F29DA">
        <w:rPr>
          <w:rFonts w:ascii="Arial" w:hAnsi="Arial" w:cs="Arial"/>
          <w:sz w:val="22"/>
          <w:szCs w:val="22"/>
        </w:rPr>
        <w:t>The COVID-19 period saw a surge in digital physiotherapy. Its efficacy for older persons in urban settings with different levels of digital literacy should be investigated.</w:t>
      </w:r>
    </w:p>
    <w:p w14:paraId="15E726D6" w14:textId="704D2536" w:rsidR="003F29DA" w:rsidRDefault="003F29DA" w:rsidP="00C24C8D">
      <w:pPr>
        <w:pStyle w:val="Heading2"/>
        <w:spacing w:line="360" w:lineRule="auto"/>
        <w:jc w:val="both"/>
        <w:rPr>
          <w:rFonts w:ascii="Arial" w:hAnsi="Arial" w:cs="Arial"/>
          <w:b/>
          <w:bCs/>
          <w:sz w:val="28"/>
          <w:szCs w:val="28"/>
        </w:rPr>
      </w:pPr>
      <w:bookmarkStart w:id="101" w:name="_Toc220878946"/>
      <w:r w:rsidRPr="00FB7761">
        <w:rPr>
          <w:rFonts w:ascii="Arial" w:hAnsi="Arial" w:cs="Arial"/>
          <w:b/>
          <w:bCs/>
          <w:sz w:val="28"/>
          <w:szCs w:val="28"/>
        </w:rPr>
        <w:t>5.6</w:t>
      </w:r>
      <w:r w:rsidR="00FB7761" w:rsidRPr="00FB7761">
        <w:rPr>
          <w:rFonts w:ascii="Arial" w:hAnsi="Arial" w:cs="Arial"/>
          <w:b/>
          <w:bCs/>
          <w:sz w:val="28"/>
          <w:szCs w:val="28"/>
        </w:rPr>
        <w:t xml:space="preserve"> </w:t>
      </w:r>
      <w:r w:rsidRPr="00FB7761">
        <w:rPr>
          <w:rFonts w:ascii="Arial" w:hAnsi="Arial" w:cs="Arial"/>
          <w:b/>
          <w:bCs/>
          <w:sz w:val="28"/>
          <w:szCs w:val="28"/>
        </w:rPr>
        <w:t>Strengths and Limitations of This Dissertation</w:t>
      </w:r>
      <w:bookmarkEnd w:id="101"/>
    </w:p>
    <w:p w14:paraId="50D8DB5A" w14:textId="22058978" w:rsidR="00706A5F" w:rsidRPr="00706A5F" w:rsidRDefault="00706A5F" w:rsidP="00C24C8D">
      <w:pPr>
        <w:spacing w:line="360" w:lineRule="auto"/>
        <w:jc w:val="both"/>
        <w:rPr>
          <w:b/>
          <w:bCs/>
        </w:rPr>
      </w:pPr>
      <w:r w:rsidRPr="00706A5F">
        <w:rPr>
          <w:b/>
          <w:bCs/>
        </w:rPr>
        <w:t>Strengths</w:t>
      </w:r>
    </w:p>
    <w:p w14:paraId="51190A64" w14:textId="3893E5FF" w:rsidR="00706A5F" w:rsidRPr="00706A5F" w:rsidRDefault="00FB3E8E" w:rsidP="00C24C8D">
      <w:pPr>
        <w:spacing w:line="360" w:lineRule="auto"/>
        <w:jc w:val="both"/>
        <w:rPr>
          <w:rFonts w:ascii="Arial" w:hAnsi="Arial" w:cs="Arial"/>
          <w:sz w:val="22"/>
          <w:szCs w:val="22"/>
        </w:rPr>
      </w:pPr>
      <w:r w:rsidRPr="00706A5F">
        <w:rPr>
          <w:rFonts w:ascii="Arial" w:hAnsi="Arial" w:cs="Arial"/>
          <w:sz w:val="22"/>
          <w:szCs w:val="22"/>
        </w:rPr>
        <w:t>To</w:t>
      </w:r>
      <w:r w:rsidR="00706A5F" w:rsidRPr="00706A5F">
        <w:rPr>
          <w:rFonts w:ascii="Arial" w:hAnsi="Arial" w:cs="Arial"/>
          <w:sz w:val="22"/>
          <w:szCs w:val="22"/>
        </w:rPr>
        <w:t xml:space="preserve"> ensure transparency, repeatability, and scientific rigor in the discovery and selection of studies, this review adhered to a rigorous PRISMA-directed search approach. Following PRISMA standards lowers the possibility of selection bias and enhances the review process's trustworthiness (Page et al., 2021).</w:t>
      </w:r>
    </w:p>
    <w:p w14:paraId="3B0AB78B" w14:textId="777BCD3F" w:rsidR="00FB7761" w:rsidRDefault="00706A5F" w:rsidP="00C24C8D">
      <w:pPr>
        <w:spacing w:line="360" w:lineRule="auto"/>
        <w:jc w:val="both"/>
        <w:rPr>
          <w:rFonts w:ascii="Arial" w:hAnsi="Arial" w:cs="Arial"/>
          <w:sz w:val="22"/>
          <w:szCs w:val="22"/>
        </w:rPr>
      </w:pPr>
      <w:r w:rsidRPr="00706A5F">
        <w:rPr>
          <w:rFonts w:ascii="Arial" w:hAnsi="Arial" w:cs="Arial"/>
          <w:sz w:val="22"/>
          <w:szCs w:val="22"/>
        </w:rPr>
        <w:t xml:space="preserve">A richer, contextual comprehension of the contained material was made possible </w:t>
      </w:r>
      <w:r w:rsidR="00FB3E8E" w:rsidRPr="00706A5F">
        <w:rPr>
          <w:rFonts w:ascii="Arial" w:hAnsi="Arial" w:cs="Arial"/>
          <w:sz w:val="22"/>
          <w:szCs w:val="22"/>
        </w:rPr>
        <w:t>using</w:t>
      </w:r>
      <w:r w:rsidRPr="00706A5F">
        <w:rPr>
          <w:rFonts w:ascii="Arial" w:hAnsi="Arial" w:cs="Arial"/>
          <w:sz w:val="22"/>
          <w:szCs w:val="22"/>
        </w:rPr>
        <w:t xml:space="preserve"> a thematic synthesis technique. </w:t>
      </w:r>
      <w:r w:rsidR="00FB3E8E" w:rsidRPr="00706A5F">
        <w:rPr>
          <w:rFonts w:ascii="Arial" w:hAnsi="Arial" w:cs="Arial"/>
          <w:sz w:val="22"/>
          <w:szCs w:val="22"/>
        </w:rPr>
        <w:t>To</w:t>
      </w:r>
      <w:r w:rsidRPr="00706A5F">
        <w:rPr>
          <w:rFonts w:ascii="Arial" w:hAnsi="Arial" w:cs="Arial"/>
          <w:sz w:val="22"/>
          <w:szCs w:val="22"/>
        </w:rPr>
        <w:t xml:space="preserve"> identify recurrent patterns and significant themes pertinent to community-based physiotherapy practice, this approach made it easier to integrate quantitative and qualitative data (Thomas and Harden, 2008).</w:t>
      </w:r>
    </w:p>
    <w:p w14:paraId="17F15E11" w14:textId="733815F1" w:rsidR="00706A5F" w:rsidRPr="00706A5F" w:rsidRDefault="00706A5F" w:rsidP="00C24C8D">
      <w:pPr>
        <w:spacing w:line="360" w:lineRule="auto"/>
        <w:jc w:val="both"/>
        <w:rPr>
          <w:rFonts w:ascii="Arial" w:hAnsi="Arial" w:cs="Arial"/>
          <w:sz w:val="22"/>
          <w:szCs w:val="22"/>
        </w:rPr>
      </w:pPr>
      <w:r w:rsidRPr="00706A5F">
        <w:rPr>
          <w:rFonts w:ascii="Arial" w:hAnsi="Arial" w:cs="Arial"/>
          <w:sz w:val="22"/>
          <w:szCs w:val="22"/>
        </w:rPr>
        <w:t>By concentrating on urban and metropolitan settings</w:t>
      </w:r>
      <w:r w:rsidR="00FB3E8E">
        <w:rPr>
          <w:rFonts w:ascii="Arial" w:hAnsi="Arial" w:cs="Arial"/>
          <w:sz w:val="22"/>
          <w:szCs w:val="22"/>
        </w:rPr>
        <w:t xml:space="preserve">, </w:t>
      </w:r>
      <w:r w:rsidRPr="00706A5F">
        <w:rPr>
          <w:rFonts w:ascii="Arial" w:hAnsi="Arial" w:cs="Arial"/>
          <w:sz w:val="22"/>
          <w:szCs w:val="22"/>
        </w:rPr>
        <w:t>a sector that is still underrepresented in fall-prevention research</w:t>
      </w:r>
      <w:r w:rsidR="00FB3E8E">
        <w:rPr>
          <w:rFonts w:ascii="Arial" w:hAnsi="Arial" w:cs="Arial"/>
          <w:sz w:val="22"/>
          <w:szCs w:val="22"/>
        </w:rPr>
        <w:t xml:space="preserve"> </w:t>
      </w:r>
      <w:r w:rsidRPr="00706A5F">
        <w:rPr>
          <w:rFonts w:ascii="Arial" w:hAnsi="Arial" w:cs="Arial"/>
          <w:sz w:val="22"/>
          <w:szCs w:val="22"/>
        </w:rPr>
        <w:t>the review fills a recognized gap in the literature. The findings are more pertinent for public health planning and service delivery in metropolitan England because of this focus (Sherrington et al., 2019).</w:t>
      </w:r>
    </w:p>
    <w:p w14:paraId="3CC3A529" w14:textId="21B26966" w:rsidR="00706A5F" w:rsidRDefault="00706A5F" w:rsidP="00C24C8D">
      <w:pPr>
        <w:spacing w:line="360" w:lineRule="auto"/>
        <w:jc w:val="both"/>
        <w:rPr>
          <w:rFonts w:ascii="Arial" w:hAnsi="Arial" w:cs="Arial"/>
          <w:sz w:val="22"/>
          <w:szCs w:val="22"/>
        </w:rPr>
      </w:pPr>
      <w:r w:rsidRPr="00706A5F">
        <w:rPr>
          <w:rFonts w:ascii="Arial" w:hAnsi="Arial" w:cs="Arial"/>
          <w:sz w:val="22"/>
          <w:szCs w:val="22"/>
        </w:rPr>
        <w:t>The multifaceted approach taken, which incorporates the physical, psychological, and environmental aspects of falls, is another asset. This all-encompassing strategy is consistent with modern concepts in physiotherapy and public health that highlight multidimensional risk reduction in older persons (Gillespie et al., 2012).</w:t>
      </w:r>
    </w:p>
    <w:p w14:paraId="0B417373" w14:textId="12CE8363" w:rsidR="00706A5F" w:rsidRDefault="00706A5F" w:rsidP="00C24C8D">
      <w:pPr>
        <w:spacing w:line="360" w:lineRule="auto"/>
        <w:jc w:val="both"/>
        <w:rPr>
          <w:rFonts w:ascii="Arial" w:hAnsi="Arial" w:cs="Arial"/>
          <w:b/>
          <w:bCs/>
          <w:sz w:val="22"/>
          <w:szCs w:val="22"/>
        </w:rPr>
      </w:pPr>
      <w:r w:rsidRPr="00706A5F">
        <w:rPr>
          <w:rFonts w:ascii="Arial" w:hAnsi="Arial" w:cs="Arial"/>
          <w:b/>
          <w:bCs/>
          <w:sz w:val="22"/>
          <w:szCs w:val="22"/>
        </w:rPr>
        <w:t>Limitations</w:t>
      </w:r>
    </w:p>
    <w:p w14:paraId="337B02F4" w14:textId="5C9C3923" w:rsidR="00706A5F" w:rsidRPr="00706A5F" w:rsidRDefault="00706A5F" w:rsidP="00C24C8D">
      <w:pPr>
        <w:spacing w:line="360" w:lineRule="auto"/>
        <w:jc w:val="both"/>
        <w:rPr>
          <w:rFonts w:ascii="Arial" w:hAnsi="Arial" w:cs="Arial"/>
          <w:sz w:val="22"/>
          <w:szCs w:val="22"/>
        </w:rPr>
      </w:pPr>
      <w:r w:rsidRPr="00706A5F">
        <w:rPr>
          <w:rFonts w:ascii="Arial" w:hAnsi="Arial" w:cs="Arial"/>
          <w:sz w:val="22"/>
          <w:szCs w:val="22"/>
        </w:rPr>
        <w:t>Grey literature was not included in this review, which was restricted to peer-reviewed academic publications. Consequently, the scope of accessible information may have been limited since pertinent policy reports, service evaluations, or unpublished research might not have been recorded (Paez, 2017).</w:t>
      </w:r>
    </w:p>
    <w:p w14:paraId="0AFFFE51" w14:textId="6DE872B7" w:rsidR="00706A5F" w:rsidRPr="00706A5F" w:rsidRDefault="00706A5F" w:rsidP="00C24C8D">
      <w:pPr>
        <w:spacing w:line="360" w:lineRule="auto"/>
        <w:jc w:val="both"/>
        <w:rPr>
          <w:rFonts w:ascii="Arial" w:hAnsi="Arial" w:cs="Arial"/>
          <w:sz w:val="22"/>
          <w:szCs w:val="22"/>
        </w:rPr>
      </w:pPr>
      <w:r w:rsidRPr="00706A5F">
        <w:rPr>
          <w:rFonts w:ascii="Arial" w:hAnsi="Arial" w:cs="Arial"/>
          <w:sz w:val="22"/>
          <w:szCs w:val="22"/>
        </w:rPr>
        <w:t xml:space="preserve">Furthermore, only English-language studies were selected. Language bias may have been </w:t>
      </w:r>
      <w:r w:rsidR="00FB3E8E" w:rsidRPr="00706A5F">
        <w:rPr>
          <w:rFonts w:ascii="Arial" w:hAnsi="Arial" w:cs="Arial"/>
          <w:sz w:val="22"/>
          <w:szCs w:val="22"/>
        </w:rPr>
        <w:t>introduced,</w:t>
      </w:r>
      <w:r w:rsidRPr="00706A5F">
        <w:rPr>
          <w:rFonts w:ascii="Arial" w:hAnsi="Arial" w:cs="Arial"/>
          <w:sz w:val="22"/>
          <w:szCs w:val="22"/>
        </w:rPr>
        <w:t xml:space="preserve"> and the findings' worldwide application may have been limited </w:t>
      </w:r>
      <w:r w:rsidR="00FB3E8E" w:rsidRPr="00706A5F">
        <w:rPr>
          <w:rFonts w:ascii="Arial" w:hAnsi="Arial" w:cs="Arial"/>
          <w:sz w:val="22"/>
          <w:szCs w:val="22"/>
        </w:rPr>
        <w:t>because of</w:t>
      </w:r>
      <w:r w:rsidRPr="00706A5F">
        <w:rPr>
          <w:rFonts w:ascii="Arial" w:hAnsi="Arial" w:cs="Arial"/>
          <w:sz w:val="22"/>
          <w:szCs w:val="22"/>
        </w:rPr>
        <w:t xml:space="preserve"> the removal of pertinent foreign research (Moher et al., 2000).</w:t>
      </w:r>
    </w:p>
    <w:p w14:paraId="00CC5230" w14:textId="19CC26DF" w:rsidR="00706A5F" w:rsidRDefault="00706A5F" w:rsidP="00C24C8D">
      <w:pPr>
        <w:spacing w:line="360" w:lineRule="auto"/>
        <w:jc w:val="both"/>
        <w:rPr>
          <w:rFonts w:ascii="Arial" w:hAnsi="Arial" w:cs="Arial"/>
          <w:sz w:val="22"/>
          <w:szCs w:val="22"/>
        </w:rPr>
      </w:pPr>
      <w:r w:rsidRPr="00706A5F">
        <w:rPr>
          <w:rFonts w:ascii="Arial" w:hAnsi="Arial" w:cs="Arial"/>
          <w:sz w:val="22"/>
          <w:szCs w:val="22"/>
        </w:rPr>
        <w:t xml:space="preserve">Variations in research quality and reporting also had an impact on the synthesis, which might have an impact on the validity of the results reached. Direct comparison was </w:t>
      </w:r>
      <w:r w:rsidRPr="00706A5F">
        <w:rPr>
          <w:rFonts w:ascii="Arial" w:hAnsi="Arial" w:cs="Arial"/>
          <w:sz w:val="22"/>
          <w:szCs w:val="22"/>
        </w:rPr>
        <w:lastRenderedPageBreak/>
        <w:t>hampered by variations in methodological rigor, outcome measurements, and intervention descriptions between trials (Higgins et al., 2022).</w:t>
      </w:r>
    </w:p>
    <w:p w14:paraId="59F00EFD" w14:textId="0985C156" w:rsidR="00706A5F" w:rsidRPr="003F29DA" w:rsidRDefault="00706A5F" w:rsidP="00C24C8D">
      <w:pPr>
        <w:spacing w:line="360" w:lineRule="auto"/>
        <w:jc w:val="both"/>
        <w:rPr>
          <w:rFonts w:ascii="Arial" w:hAnsi="Arial" w:cs="Arial"/>
          <w:sz w:val="22"/>
          <w:szCs w:val="22"/>
        </w:rPr>
      </w:pPr>
      <w:r w:rsidRPr="00706A5F">
        <w:rPr>
          <w:rFonts w:ascii="Arial" w:hAnsi="Arial" w:cs="Arial"/>
          <w:sz w:val="22"/>
          <w:szCs w:val="22"/>
        </w:rPr>
        <w:t>Additionally, the limited number of included research limits the strength of causal inference and generalizability. In terms of intervention design, duration, and outcome measurement, heterogeneity was apparent, which further restricts the capacity to reach firm conclusions. However, the particular emphasis on urban community settings offers insightful, context-specific information that is extremely pertinent to the practice of community physiotherapy and the creation of public health policies in metropolitan England.</w:t>
      </w:r>
    </w:p>
    <w:p w14:paraId="292B31B9" w14:textId="076EC70F" w:rsidR="003F29DA" w:rsidRPr="00FB7761" w:rsidRDefault="003F29DA" w:rsidP="00C24C8D">
      <w:pPr>
        <w:pStyle w:val="Heading2"/>
        <w:spacing w:line="360" w:lineRule="auto"/>
        <w:jc w:val="both"/>
        <w:rPr>
          <w:rFonts w:ascii="Arial" w:hAnsi="Arial" w:cs="Arial"/>
          <w:b/>
          <w:bCs/>
          <w:sz w:val="28"/>
          <w:szCs w:val="28"/>
        </w:rPr>
      </w:pPr>
      <w:bookmarkStart w:id="102" w:name="_Toc220878947"/>
      <w:r w:rsidRPr="00FB7761">
        <w:rPr>
          <w:rFonts w:ascii="Arial" w:hAnsi="Arial" w:cs="Arial"/>
          <w:b/>
          <w:bCs/>
          <w:sz w:val="28"/>
          <w:szCs w:val="28"/>
        </w:rPr>
        <w:t>5.7</w:t>
      </w:r>
      <w:r w:rsidR="00FB7761" w:rsidRPr="00FB7761">
        <w:rPr>
          <w:rFonts w:ascii="Arial" w:hAnsi="Arial" w:cs="Arial"/>
          <w:b/>
          <w:bCs/>
          <w:sz w:val="28"/>
          <w:szCs w:val="28"/>
        </w:rPr>
        <w:t xml:space="preserve"> </w:t>
      </w:r>
      <w:r w:rsidRPr="00FB7761">
        <w:rPr>
          <w:rFonts w:ascii="Arial" w:hAnsi="Arial" w:cs="Arial"/>
          <w:b/>
          <w:bCs/>
          <w:sz w:val="28"/>
          <w:szCs w:val="28"/>
        </w:rPr>
        <w:t>Overall Conclusion</w:t>
      </w:r>
      <w:bookmarkEnd w:id="102"/>
    </w:p>
    <w:p w14:paraId="64102DC2" w14:textId="27DFF643" w:rsidR="002A4F71" w:rsidRPr="002A4F71" w:rsidRDefault="002A4F71" w:rsidP="00C24C8D">
      <w:pPr>
        <w:spacing w:line="360" w:lineRule="auto"/>
        <w:jc w:val="both"/>
        <w:rPr>
          <w:rFonts w:ascii="Arial" w:hAnsi="Arial" w:cs="Arial"/>
          <w:sz w:val="22"/>
          <w:szCs w:val="22"/>
        </w:rPr>
      </w:pPr>
      <w:r w:rsidRPr="002A4F71">
        <w:rPr>
          <w:rFonts w:ascii="Arial" w:hAnsi="Arial" w:cs="Arial"/>
          <w:sz w:val="22"/>
          <w:szCs w:val="22"/>
        </w:rPr>
        <w:t xml:space="preserve">According to the findings of this research, community-based </w:t>
      </w:r>
      <w:r w:rsidR="00BA1983" w:rsidRPr="00BA1983">
        <w:rPr>
          <w:rFonts w:ascii="Arial" w:hAnsi="Arial" w:cs="Arial"/>
          <w:sz w:val="22"/>
          <w:szCs w:val="22"/>
        </w:rPr>
        <w:t xml:space="preserve">physiotherapy </w:t>
      </w:r>
      <w:r w:rsidRPr="002A4F71">
        <w:rPr>
          <w:rFonts w:ascii="Arial" w:hAnsi="Arial" w:cs="Arial"/>
          <w:sz w:val="22"/>
          <w:szCs w:val="22"/>
        </w:rPr>
        <w:t>(CBPT) is a comprehensive and successful strategy for lowering falls among older persons residing in metropolitan England. Evidence suggests that CBPT therapies improve functional mobility, strength, and balance in addition to more general advantages including increased psychological resilience and social connectivity. These results are especially significant in urban settings, where older people frequently experience social isolation and fear of falling.</w:t>
      </w:r>
    </w:p>
    <w:p w14:paraId="62D80F92" w14:textId="1F4D4DAE" w:rsidR="002A4F71" w:rsidRPr="002A4F71" w:rsidRDefault="002A4F71" w:rsidP="00C24C8D">
      <w:pPr>
        <w:spacing w:line="360" w:lineRule="auto"/>
        <w:jc w:val="both"/>
        <w:rPr>
          <w:rFonts w:ascii="Arial" w:hAnsi="Arial" w:cs="Arial"/>
          <w:sz w:val="22"/>
          <w:szCs w:val="22"/>
        </w:rPr>
      </w:pPr>
      <w:r w:rsidRPr="002A4F71">
        <w:rPr>
          <w:rFonts w:ascii="Arial" w:hAnsi="Arial" w:cs="Arial"/>
          <w:sz w:val="22"/>
          <w:szCs w:val="22"/>
        </w:rPr>
        <w:t>The results do, however, also point to important urban-specific issues that might restrict the efficacy and scope of CBPT initiatives. The included research consistently highlighted barriers pertaining to transportation accessibility, environmental limitations, socioeconomic disparities, and service capacity issues.</w:t>
      </w:r>
      <w:r w:rsidRPr="002A4F71">
        <w:t xml:space="preserve"> </w:t>
      </w:r>
      <w:r w:rsidRPr="002A4F71">
        <w:rPr>
          <w:rFonts w:ascii="Arial" w:hAnsi="Arial" w:cs="Arial"/>
          <w:sz w:val="22"/>
          <w:szCs w:val="22"/>
        </w:rPr>
        <w:t>Particularly for socioeconomically disadvantaged groups, these obstacles may limit participation and adherence, exacerbating already-existing health disparities.</w:t>
      </w:r>
    </w:p>
    <w:p w14:paraId="7CB287AA" w14:textId="15DA500C" w:rsidR="00421D4D" w:rsidRDefault="002A4F71" w:rsidP="00C24C8D">
      <w:pPr>
        <w:spacing w:line="360" w:lineRule="auto"/>
        <w:jc w:val="both"/>
        <w:rPr>
          <w:rFonts w:ascii="Arial" w:hAnsi="Arial" w:cs="Arial"/>
          <w:sz w:val="22"/>
          <w:szCs w:val="22"/>
        </w:rPr>
      </w:pPr>
      <w:r w:rsidRPr="002A4F71">
        <w:rPr>
          <w:rFonts w:ascii="Arial" w:hAnsi="Arial" w:cs="Arial"/>
          <w:sz w:val="22"/>
          <w:szCs w:val="22"/>
        </w:rPr>
        <w:t>Despite these limitations, this dissertation's urban focus offers insightful, context-specific information that is directly applicable to community physiotherapy practice and public health policy in metropolitan England. To maximize the efficacy of CBPT interventions, these obstacles must be addressed through intersectoral cooperation and tailored service design.</w:t>
      </w:r>
    </w:p>
    <w:p w14:paraId="1AB0DBF3" w14:textId="58732C8A" w:rsidR="00B61FBC" w:rsidRDefault="00B61FBC" w:rsidP="00C24C8D">
      <w:pPr>
        <w:spacing w:line="360" w:lineRule="auto"/>
        <w:jc w:val="both"/>
        <w:rPr>
          <w:rFonts w:ascii="Arial" w:hAnsi="Arial" w:cs="Arial"/>
          <w:sz w:val="22"/>
          <w:szCs w:val="22"/>
        </w:rPr>
      </w:pPr>
      <w:r w:rsidRPr="00B61FBC">
        <w:rPr>
          <w:rFonts w:ascii="Arial" w:hAnsi="Arial" w:cs="Arial"/>
          <w:sz w:val="22"/>
          <w:szCs w:val="22"/>
        </w:rPr>
        <w:t xml:space="preserve">My capacity to organize, oversee, and critically assess independent research in a public health setting has improved </w:t>
      </w:r>
      <w:r w:rsidR="00FB3E8E" w:rsidRPr="00B61FBC">
        <w:rPr>
          <w:rFonts w:ascii="Arial" w:hAnsi="Arial" w:cs="Arial"/>
          <w:sz w:val="22"/>
          <w:szCs w:val="22"/>
        </w:rPr>
        <w:t>because of</w:t>
      </w:r>
      <w:r w:rsidRPr="00B61FBC">
        <w:rPr>
          <w:rFonts w:ascii="Arial" w:hAnsi="Arial" w:cs="Arial"/>
          <w:sz w:val="22"/>
          <w:szCs w:val="22"/>
        </w:rPr>
        <w:t xml:space="preserve"> finishing my dissertation. My comprehension of participant protection, informed consent, and data governance when doing research involving older persons has improved </w:t>
      </w:r>
      <w:r w:rsidR="00FB3E8E" w:rsidRPr="00B61FBC">
        <w:rPr>
          <w:rFonts w:ascii="Arial" w:hAnsi="Arial" w:cs="Arial"/>
          <w:sz w:val="22"/>
          <w:szCs w:val="22"/>
        </w:rPr>
        <w:t>because of</w:t>
      </w:r>
      <w:r w:rsidRPr="00B61FBC">
        <w:rPr>
          <w:rFonts w:ascii="Arial" w:hAnsi="Arial" w:cs="Arial"/>
          <w:sz w:val="22"/>
          <w:szCs w:val="22"/>
        </w:rPr>
        <w:t xml:space="preserve"> interacting with ethical approval procedures. My confidence in implementing study results to community physiotherapy practice has increased </w:t>
      </w:r>
      <w:r w:rsidR="00FB3E8E" w:rsidRPr="00B61FBC">
        <w:rPr>
          <w:rFonts w:ascii="Arial" w:hAnsi="Arial" w:cs="Arial"/>
          <w:sz w:val="22"/>
          <w:szCs w:val="22"/>
        </w:rPr>
        <w:t>because of</w:t>
      </w:r>
      <w:r w:rsidRPr="00B61FBC">
        <w:rPr>
          <w:rFonts w:ascii="Arial" w:hAnsi="Arial" w:cs="Arial"/>
          <w:sz w:val="22"/>
          <w:szCs w:val="22"/>
        </w:rPr>
        <w:t xml:space="preserve"> the critical evaluation of </w:t>
      </w:r>
      <w:r w:rsidRPr="00B61FBC">
        <w:rPr>
          <w:rFonts w:ascii="Arial" w:hAnsi="Arial" w:cs="Arial"/>
          <w:sz w:val="22"/>
          <w:szCs w:val="22"/>
        </w:rPr>
        <w:lastRenderedPageBreak/>
        <w:t>the evidence, which has also reaffirmed the significance of evidence-based decision-making in public health. By assisting in the creation and assessment of successful, community-based fall-prevention strategies for senior populations, this knowledge will directly influence my future professional practice.</w:t>
      </w:r>
    </w:p>
    <w:p w14:paraId="04E9035D" w14:textId="77777777" w:rsidR="003C75C6" w:rsidRDefault="003C75C6" w:rsidP="00C24C8D">
      <w:pPr>
        <w:spacing w:line="360" w:lineRule="auto"/>
        <w:jc w:val="both"/>
      </w:pPr>
    </w:p>
    <w:p w14:paraId="05770128" w14:textId="77777777" w:rsidR="003C75C6" w:rsidRDefault="003C75C6" w:rsidP="00C24C8D">
      <w:pPr>
        <w:spacing w:line="360" w:lineRule="auto"/>
        <w:jc w:val="both"/>
      </w:pPr>
    </w:p>
    <w:p w14:paraId="70A932E0" w14:textId="77777777" w:rsidR="003C75C6" w:rsidRDefault="003C75C6" w:rsidP="00C24C8D">
      <w:pPr>
        <w:spacing w:line="360" w:lineRule="auto"/>
        <w:jc w:val="both"/>
      </w:pPr>
    </w:p>
    <w:p w14:paraId="04D648E0" w14:textId="77777777" w:rsidR="003C75C6" w:rsidRDefault="003C75C6" w:rsidP="00C24C8D">
      <w:pPr>
        <w:spacing w:line="360" w:lineRule="auto"/>
        <w:jc w:val="both"/>
      </w:pPr>
    </w:p>
    <w:p w14:paraId="581FEED3" w14:textId="77777777" w:rsidR="003C75C6" w:rsidRDefault="003C75C6" w:rsidP="00C24C8D">
      <w:pPr>
        <w:spacing w:line="360" w:lineRule="auto"/>
        <w:jc w:val="both"/>
      </w:pPr>
    </w:p>
    <w:p w14:paraId="6FBE7DE5" w14:textId="77777777" w:rsidR="003C75C6" w:rsidRDefault="003C75C6" w:rsidP="00C24C8D">
      <w:pPr>
        <w:spacing w:line="360" w:lineRule="auto"/>
        <w:jc w:val="both"/>
      </w:pPr>
    </w:p>
    <w:p w14:paraId="45342B20" w14:textId="77777777" w:rsidR="003C75C6" w:rsidRDefault="003C75C6" w:rsidP="00C24C8D">
      <w:pPr>
        <w:spacing w:line="360" w:lineRule="auto"/>
        <w:jc w:val="both"/>
      </w:pPr>
    </w:p>
    <w:p w14:paraId="0AE3843E" w14:textId="77777777" w:rsidR="003C75C6" w:rsidRDefault="003C75C6" w:rsidP="00C24C8D">
      <w:pPr>
        <w:spacing w:line="360" w:lineRule="auto"/>
        <w:jc w:val="both"/>
      </w:pPr>
    </w:p>
    <w:p w14:paraId="3A604514" w14:textId="77777777" w:rsidR="003C75C6" w:rsidRDefault="003C75C6" w:rsidP="00C24C8D">
      <w:pPr>
        <w:spacing w:line="360" w:lineRule="auto"/>
        <w:jc w:val="both"/>
      </w:pPr>
    </w:p>
    <w:p w14:paraId="12F75DFE" w14:textId="77777777" w:rsidR="00F43B46" w:rsidRDefault="00F43B46" w:rsidP="00C24C8D">
      <w:pPr>
        <w:spacing w:line="360" w:lineRule="auto"/>
        <w:jc w:val="both"/>
      </w:pPr>
    </w:p>
    <w:p w14:paraId="6C70534A" w14:textId="77777777" w:rsidR="00F43B46" w:rsidRDefault="00F43B46" w:rsidP="00C24C8D">
      <w:pPr>
        <w:spacing w:line="360" w:lineRule="auto"/>
        <w:jc w:val="both"/>
      </w:pPr>
    </w:p>
    <w:p w14:paraId="7A235B35" w14:textId="77777777" w:rsidR="00F43B46" w:rsidRDefault="00F43B46" w:rsidP="00C24C8D">
      <w:pPr>
        <w:spacing w:line="360" w:lineRule="auto"/>
        <w:jc w:val="both"/>
      </w:pPr>
    </w:p>
    <w:p w14:paraId="7663B9F7" w14:textId="77777777" w:rsidR="00F43B46" w:rsidRDefault="00F43B46" w:rsidP="00C24C8D">
      <w:pPr>
        <w:spacing w:line="360" w:lineRule="auto"/>
        <w:jc w:val="both"/>
      </w:pPr>
    </w:p>
    <w:p w14:paraId="6D74219C" w14:textId="77777777" w:rsidR="00F43B46" w:rsidRDefault="00F43B46" w:rsidP="00C24C8D">
      <w:pPr>
        <w:spacing w:line="360" w:lineRule="auto"/>
        <w:jc w:val="both"/>
      </w:pPr>
    </w:p>
    <w:p w14:paraId="66148564" w14:textId="77777777" w:rsidR="00F43B46" w:rsidRDefault="00F43B46" w:rsidP="00C24C8D">
      <w:pPr>
        <w:spacing w:line="360" w:lineRule="auto"/>
        <w:jc w:val="both"/>
      </w:pPr>
    </w:p>
    <w:p w14:paraId="04DAFD3F" w14:textId="77777777" w:rsidR="00F43B46" w:rsidRDefault="00F43B46" w:rsidP="00C24C8D">
      <w:pPr>
        <w:spacing w:line="360" w:lineRule="auto"/>
        <w:jc w:val="both"/>
      </w:pPr>
    </w:p>
    <w:p w14:paraId="2FD74DD4" w14:textId="77777777" w:rsidR="00F43B46" w:rsidRDefault="00F43B46" w:rsidP="00C24C8D">
      <w:pPr>
        <w:spacing w:line="360" w:lineRule="auto"/>
        <w:jc w:val="both"/>
      </w:pPr>
    </w:p>
    <w:p w14:paraId="4B0BB306" w14:textId="77777777" w:rsidR="00F43B46" w:rsidRDefault="00F43B46" w:rsidP="00C24C8D">
      <w:pPr>
        <w:spacing w:line="360" w:lineRule="auto"/>
        <w:jc w:val="both"/>
      </w:pPr>
    </w:p>
    <w:p w14:paraId="7299480F" w14:textId="77777777" w:rsidR="00F43B46" w:rsidRDefault="00F43B46" w:rsidP="00C24C8D">
      <w:pPr>
        <w:spacing w:line="360" w:lineRule="auto"/>
        <w:jc w:val="both"/>
      </w:pPr>
    </w:p>
    <w:p w14:paraId="7BAE0862" w14:textId="77777777" w:rsidR="00F43B46" w:rsidRPr="00B77F6B" w:rsidRDefault="00F43B46" w:rsidP="00C24C8D">
      <w:pPr>
        <w:spacing w:line="360" w:lineRule="auto"/>
        <w:jc w:val="both"/>
      </w:pPr>
    </w:p>
    <w:p w14:paraId="2971ACCA" w14:textId="736FE921" w:rsidR="00421D4D" w:rsidRPr="00F43B46" w:rsidRDefault="00421D4D" w:rsidP="00C24C8D">
      <w:pPr>
        <w:pStyle w:val="Heading1"/>
        <w:spacing w:line="360" w:lineRule="auto"/>
        <w:jc w:val="both"/>
        <w:rPr>
          <w:rFonts w:ascii="Arial" w:hAnsi="Arial" w:cs="Arial"/>
          <w:b/>
          <w:bCs/>
          <w:sz w:val="32"/>
          <w:szCs w:val="32"/>
        </w:rPr>
      </w:pPr>
      <w:bookmarkStart w:id="103" w:name="_Toc220878948"/>
      <w:r w:rsidRPr="00F43B46">
        <w:rPr>
          <w:rFonts w:ascii="Arial" w:hAnsi="Arial" w:cs="Arial"/>
          <w:b/>
          <w:bCs/>
          <w:sz w:val="32"/>
          <w:szCs w:val="32"/>
        </w:rPr>
        <w:lastRenderedPageBreak/>
        <w:t>References</w:t>
      </w:r>
      <w:bookmarkEnd w:id="103"/>
    </w:p>
    <w:p w14:paraId="73A07651"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Allender, S. et al. (2020) ‘Whole systems approaches to obesity and public health’, </w:t>
      </w:r>
      <w:r w:rsidRPr="00440F88">
        <w:rPr>
          <w:rFonts w:ascii="Arial" w:eastAsia="Times New Roman" w:hAnsi="Arial" w:cs="Arial"/>
          <w:i/>
          <w:iCs/>
          <w:kern w:val="0"/>
          <w:sz w:val="22"/>
          <w:szCs w:val="22"/>
          <w:lang w:eastAsia="en-IN"/>
          <w14:ligatures w14:val="none"/>
        </w:rPr>
        <w:t>BMJ</w:t>
      </w:r>
      <w:r w:rsidRPr="00440F88">
        <w:rPr>
          <w:rFonts w:ascii="Arial" w:eastAsia="Times New Roman" w:hAnsi="Arial" w:cs="Arial"/>
          <w:kern w:val="0"/>
          <w:sz w:val="22"/>
          <w:szCs w:val="22"/>
          <w:lang w:eastAsia="en-IN"/>
          <w14:ligatures w14:val="none"/>
        </w:rPr>
        <w:t>, 368, m234.</w:t>
      </w:r>
    </w:p>
    <w:p w14:paraId="6DE7FD0E"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Anderson, R. and White, S. (2021) ‘Understanding contextual influences on community health interventions’, </w:t>
      </w:r>
      <w:r w:rsidRPr="00440F88">
        <w:rPr>
          <w:rFonts w:ascii="Arial" w:eastAsia="Times New Roman" w:hAnsi="Arial" w:cs="Arial"/>
          <w:i/>
          <w:iCs/>
          <w:kern w:val="0"/>
          <w:sz w:val="22"/>
          <w:szCs w:val="22"/>
          <w:lang w:eastAsia="en-IN"/>
          <w14:ligatures w14:val="none"/>
        </w:rPr>
        <w:t>Journal of Public Health</w:t>
      </w:r>
      <w:r w:rsidRPr="00440F88">
        <w:rPr>
          <w:rFonts w:ascii="Arial" w:eastAsia="Times New Roman" w:hAnsi="Arial" w:cs="Arial"/>
          <w:kern w:val="0"/>
          <w:sz w:val="22"/>
          <w:szCs w:val="22"/>
          <w:lang w:eastAsia="en-IN"/>
          <w14:ligatures w14:val="none"/>
        </w:rPr>
        <w:t>, 43(2), pp. 356–364.</w:t>
      </w:r>
    </w:p>
    <w:p w14:paraId="77E3F73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Aromataris, E. and Munn, Z. (2020) </w:t>
      </w:r>
      <w:r w:rsidRPr="00440F88">
        <w:rPr>
          <w:rFonts w:ascii="Arial" w:eastAsia="Times New Roman" w:hAnsi="Arial" w:cs="Arial"/>
          <w:i/>
          <w:iCs/>
          <w:kern w:val="0"/>
          <w:sz w:val="22"/>
          <w:szCs w:val="22"/>
          <w:lang w:eastAsia="en-IN"/>
          <w14:ligatures w14:val="none"/>
        </w:rPr>
        <w:t>JBI manual for evidence synthesis</w:t>
      </w:r>
      <w:r w:rsidRPr="00440F88">
        <w:rPr>
          <w:rFonts w:ascii="Arial" w:eastAsia="Times New Roman" w:hAnsi="Arial" w:cs="Arial"/>
          <w:kern w:val="0"/>
          <w:sz w:val="22"/>
          <w:szCs w:val="22"/>
          <w:lang w:eastAsia="en-IN"/>
          <w14:ligatures w14:val="none"/>
        </w:rPr>
        <w:t xml:space="preserve">. Adelaide: Joanna Briggs Institute. Available at: </w:t>
      </w:r>
      <w:hyperlink r:id="rId22" w:tgtFrame="_new" w:history="1">
        <w:r w:rsidRPr="00440F88">
          <w:rPr>
            <w:rFonts w:ascii="Arial" w:eastAsia="Times New Roman" w:hAnsi="Arial" w:cs="Arial"/>
            <w:color w:val="0000FF"/>
            <w:kern w:val="0"/>
            <w:sz w:val="22"/>
            <w:szCs w:val="22"/>
            <w:u w:val="single"/>
            <w:lang w:eastAsia="en-IN"/>
            <w14:ligatures w14:val="none"/>
          </w:rPr>
          <w:t>https://jbi.global</w:t>
        </w:r>
      </w:hyperlink>
      <w:r w:rsidRPr="00440F88">
        <w:rPr>
          <w:rFonts w:ascii="Arial" w:eastAsia="Times New Roman" w:hAnsi="Arial" w:cs="Arial"/>
          <w:kern w:val="0"/>
          <w:sz w:val="22"/>
          <w:szCs w:val="22"/>
          <w:lang w:eastAsia="en-IN"/>
          <w14:ligatures w14:val="none"/>
        </w:rPr>
        <w:t xml:space="preserve"> (Accessed: 22 December 2025).</w:t>
      </w:r>
    </w:p>
    <w:p w14:paraId="340EA31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Bandura, A. (1997) </w:t>
      </w:r>
      <w:r w:rsidRPr="00440F88">
        <w:rPr>
          <w:rFonts w:ascii="Arial" w:eastAsia="Times New Roman" w:hAnsi="Arial" w:cs="Arial"/>
          <w:i/>
          <w:iCs/>
          <w:kern w:val="0"/>
          <w:sz w:val="22"/>
          <w:szCs w:val="22"/>
          <w:lang w:eastAsia="en-IN"/>
          <w14:ligatures w14:val="none"/>
        </w:rPr>
        <w:t>Self-efficacy: The exercise of control</w:t>
      </w:r>
      <w:r w:rsidRPr="00440F88">
        <w:rPr>
          <w:rFonts w:ascii="Arial" w:eastAsia="Times New Roman" w:hAnsi="Arial" w:cs="Arial"/>
          <w:kern w:val="0"/>
          <w:sz w:val="22"/>
          <w:szCs w:val="22"/>
          <w:lang w:eastAsia="en-IN"/>
          <w14:ligatures w14:val="none"/>
        </w:rPr>
        <w:t>. New York: Freeman.</w:t>
      </w:r>
    </w:p>
    <w:p w14:paraId="309402E0"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Barker, A.L., Talevski, J., Bohensky, M.A., Brand, C.A. and Cameron, P.A. (2016) ‘Effectiveness of behaviour change techniques in physiotherapy-led falls prevention programmes for older adults’, </w:t>
      </w:r>
      <w:r w:rsidRPr="00440F88">
        <w:rPr>
          <w:rFonts w:ascii="Arial" w:eastAsia="Times New Roman" w:hAnsi="Arial" w:cs="Arial"/>
          <w:i/>
          <w:iCs/>
          <w:kern w:val="0"/>
          <w:sz w:val="22"/>
          <w:szCs w:val="22"/>
          <w:lang w:eastAsia="en-IN"/>
          <w14:ligatures w14:val="none"/>
        </w:rPr>
        <w:t>Age and Ageing</w:t>
      </w:r>
      <w:r w:rsidRPr="00440F88">
        <w:rPr>
          <w:rFonts w:ascii="Arial" w:eastAsia="Times New Roman" w:hAnsi="Arial" w:cs="Arial"/>
          <w:kern w:val="0"/>
          <w:sz w:val="22"/>
          <w:szCs w:val="22"/>
          <w:lang w:eastAsia="en-IN"/>
          <w14:ligatures w14:val="none"/>
        </w:rPr>
        <w:t xml:space="preserve">, 45(3), pp. 1–8. Available at: </w:t>
      </w:r>
      <w:hyperlink r:id="rId23" w:tgtFrame="_new" w:history="1">
        <w:r w:rsidRPr="00440F88">
          <w:rPr>
            <w:rFonts w:ascii="Arial" w:eastAsia="Times New Roman" w:hAnsi="Arial" w:cs="Arial"/>
            <w:color w:val="0000FF"/>
            <w:kern w:val="0"/>
            <w:sz w:val="22"/>
            <w:szCs w:val="22"/>
            <w:u w:val="single"/>
            <w:lang w:eastAsia="en-IN"/>
            <w14:ligatures w14:val="none"/>
          </w:rPr>
          <w:t>https://academic.oup.com/ageing</w:t>
        </w:r>
      </w:hyperlink>
      <w:r w:rsidRPr="00440F88">
        <w:rPr>
          <w:rFonts w:ascii="Arial" w:eastAsia="Times New Roman" w:hAnsi="Arial" w:cs="Arial"/>
          <w:kern w:val="0"/>
          <w:sz w:val="22"/>
          <w:szCs w:val="22"/>
          <w:lang w:eastAsia="en-IN"/>
          <w14:ligatures w14:val="none"/>
        </w:rPr>
        <w:t xml:space="preserve"> (Accessed: 25 December 2025).</w:t>
      </w:r>
    </w:p>
    <w:p w14:paraId="393F0A77"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Barnett, A. et al. (2017) ‘Built environment and physical activity in older adults’, Health &amp; Place, 44, pp. 73–82.</w:t>
      </w:r>
    </w:p>
    <w:p w14:paraId="42814ED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Beard, J.R. et al. (2016) Global population ageing: Peril or promise? Geneva: World Health Organization.</w:t>
      </w:r>
    </w:p>
    <w:p w14:paraId="75B9B516"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Berg, K., Wood-Dauphinee, S. and Williams, J.I. (1992) ‘The Balance Scale: reliability assessment’, </w:t>
      </w:r>
      <w:r w:rsidRPr="00440F88">
        <w:rPr>
          <w:rFonts w:ascii="Arial" w:eastAsia="Times New Roman" w:hAnsi="Arial" w:cs="Arial"/>
          <w:i/>
          <w:iCs/>
          <w:kern w:val="0"/>
          <w:sz w:val="22"/>
          <w:szCs w:val="22"/>
          <w:lang w:eastAsia="en-IN"/>
          <w14:ligatures w14:val="none"/>
        </w:rPr>
        <w:t>Physiotherapy Canada</w:t>
      </w:r>
      <w:r w:rsidRPr="00440F88">
        <w:rPr>
          <w:rFonts w:ascii="Arial" w:eastAsia="Times New Roman" w:hAnsi="Arial" w:cs="Arial"/>
          <w:kern w:val="0"/>
          <w:sz w:val="22"/>
          <w:szCs w:val="22"/>
          <w:lang w:eastAsia="en-IN"/>
          <w14:ligatures w14:val="none"/>
        </w:rPr>
        <w:t>, 44(2), pp. 80–87.</w:t>
      </w:r>
    </w:p>
    <w:p w14:paraId="70651549"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Booth, A., Sutton, A. and Papaioannou, D. (2021) </w:t>
      </w:r>
      <w:r w:rsidRPr="00440F88">
        <w:rPr>
          <w:rFonts w:ascii="Arial" w:eastAsia="Times New Roman" w:hAnsi="Arial" w:cs="Arial"/>
          <w:i/>
          <w:iCs/>
          <w:kern w:val="0"/>
          <w:sz w:val="22"/>
          <w:szCs w:val="22"/>
          <w:lang w:eastAsia="en-IN"/>
          <w14:ligatures w14:val="none"/>
        </w:rPr>
        <w:t>Systematic approaches to a successful literature review</w:t>
      </w:r>
      <w:r w:rsidRPr="00440F88">
        <w:rPr>
          <w:rFonts w:ascii="Arial" w:eastAsia="Times New Roman" w:hAnsi="Arial" w:cs="Arial"/>
          <w:kern w:val="0"/>
          <w:sz w:val="22"/>
          <w:szCs w:val="22"/>
          <w:lang w:eastAsia="en-IN"/>
          <w14:ligatures w14:val="none"/>
        </w:rPr>
        <w:t>. 2nd edn. London: Sage.</w:t>
      </w:r>
    </w:p>
    <w:p w14:paraId="70EE7AF1"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Bramer, W.M. et al. (2018) ‘Optimal database combinations’, </w:t>
      </w:r>
      <w:r w:rsidRPr="00440F88">
        <w:rPr>
          <w:rFonts w:ascii="Arial" w:eastAsia="Times New Roman" w:hAnsi="Arial" w:cs="Arial"/>
          <w:i/>
          <w:iCs/>
          <w:kern w:val="0"/>
          <w:sz w:val="22"/>
          <w:szCs w:val="22"/>
          <w:lang w:eastAsia="en-IN"/>
          <w14:ligatures w14:val="none"/>
        </w:rPr>
        <w:t>Journal of the Medical Library Association</w:t>
      </w:r>
      <w:r w:rsidRPr="00440F88">
        <w:rPr>
          <w:rFonts w:ascii="Arial" w:eastAsia="Times New Roman" w:hAnsi="Arial" w:cs="Arial"/>
          <w:kern w:val="0"/>
          <w:sz w:val="22"/>
          <w:szCs w:val="22"/>
          <w:lang w:eastAsia="en-IN"/>
          <w14:ligatures w14:val="none"/>
        </w:rPr>
        <w:t>, 106(1), pp. 84–93.</w:t>
      </w:r>
    </w:p>
    <w:p w14:paraId="07EF5F46"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Briggs, A. et al. (2018) Health economics: An introduction for clinicians. Oxford: Oxford University Press.</w:t>
      </w:r>
    </w:p>
    <w:p w14:paraId="0526AD51"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Bronfenbrenner, U. (1977) </w:t>
      </w:r>
      <w:r w:rsidRPr="00440F88">
        <w:rPr>
          <w:rFonts w:ascii="Arial" w:eastAsia="Times New Roman" w:hAnsi="Arial" w:cs="Arial"/>
          <w:i/>
          <w:iCs/>
          <w:kern w:val="0"/>
          <w:sz w:val="22"/>
          <w:szCs w:val="22"/>
          <w:lang w:eastAsia="en-IN"/>
          <w14:ligatures w14:val="none"/>
        </w:rPr>
        <w:t>Toward an experimental ecology of human development</w:t>
      </w:r>
      <w:r w:rsidRPr="00440F88">
        <w:rPr>
          <w:rFonts w:ascii="Arial" w:eastAsia="Times New Roman" w:hAnsi="Arial" w:cs="Arial"/>
          <w:kern w:val="0"/>
          <w:sz w:val="22"/>
          <w:szCs w:val="22"/>
          <w:lang w:eastAsia="en-IN"/>
          <w14:ligatures w14:val="none"/>
        </w:rPr>
        <w:t>. Cambridge, MA: Harvard University Press.</w:t>
      </w:r>
    </w:p>
    <w:p w14:paraId="37D3A856"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Brown, L. and Jones, M. (2022) ‘Psychological consequences of falls in older adults’, </w:t>
      </w:r>
      <w:r w:rsidRPr="00440F88">
        <w:rPr>
          <w:rFonts w:ascii="Arial" w:eastAsia="Times New Roman" w:hAnsi="Arial" w:cs="Arial"/>
          <w:i/>
          <w:iCs/>
          <w:kern w:val="0"/>
          <w:sz w:val="22"/>
          <w:szCs w:val="22"/>
          <w:lang w:eastAsia="en-IN"/>
          <w14:ligatures w14:val="none"/>
        </w:rPr>
        <w:t>Age and Ageing</w:t>
      </w:r>
      <w:r w:rsidRPr="00440F88">
        <w:rPr>
          <w:rFonts w:ascii="Arial" w:eastAsia="Times New Roman" w:hAnsi="Arial" w:cs="Arial"/>
          <w:kern w:val="0"/>
          <w:sz w:val="22"/>
          <w:szCs w:val="22"/>
          <w:lang w:eastAsia="en-IN"/>
          <w14:ligatures w14:val="none"/>
        </w:rPr>
        <w:t xml:space="preserve">, 51(4), pp. 1–8. Available at: </w:t>
      </w:r>
      <w:hyperlink r:id="rId24" w:tgtFrame="_new" w:history="1">
        <w:r w:rsidRPr="00440F88">
          <w:rPr>
            <w:rFonts w:ascii="Arial" w:eastAsia="Times New Roman" w:hAnsi="Arial" w:cs="Arial"/>
            <w:color w:val="0000FF"/>
            <w:kern w:val="0"/>
            <w:sz w:val="22"/>
            <w:szCs w:val="22"/>
            <w:u w:val="single"/>
            <w:lang w:eastAsia="en-IN"/>
            <w14:ligatures w14:val="none"/>
          </w:rPr>
          <w:t>https://academic.oup.com/ageing</w:t>
        </w:r>
      </w:hyperlink>
      <w:r w:rsidRPr="00440F88">
        <w:rPr>
          <w:rFonts w:ascii="Arial" w:eastAsia="Times New Roman" w:hAnsi="Arial" w:cs="Arial"/>
          <w:kern w:val="0"/>
          <w:sz w:val="22"/>
          <w:szCs w:val="22"/>
          <w:lang w:eastAsia="en-IN"/>
          <w14:ligatures w14:val="none"/>
        </w:rPr>
        <w:t xml:space="preserve"> (Accessed: 2 December 2025).</w:t>
      </w:r>
    </w:p>
    <w:p w14:paraId="4DEDAFA7"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Brown, L. and Li, Y. (2022) ‘Multidisciplinary approaches to fall prevention in urban older populations’, </w:t>
      </w:r>
      <w:r w:rsidRPr="00440F88">
        <w:rPr>
          <w:rFonts w:ascii="Arial" w:eastAsia="Times New Roman" w:hAnsi="Arial" w:cs="Arial"/>
          <w:i/>
          <w:iCs/>
          <w:kern w:val="0"/>
          <w:sz w:val="22"/>
          <w:szCs w:val="22"/>
          <w:lang w:eastAsia="en-IN"/>
          <w14:ligatures w14:val="none"/>
        </w:rPr>
        <w:t>Journal of Interprofessional Care</w:t>
      </w:r>
      <w:r w:rsidRPr="00440F88">
        <w:rPr>
          <w:rFonts w:ascii="Arial" w:eastAsia="Times New Roman" w:hAnsi="Arial" w:cs="Arial"/>
          <w:kern w:val="0"/>
          <w:sz w:val="22"/>
          <w:szCs w:val="22"/>
          <w:lang w:eastAsia="en-IN"/>
          <w14:ligatures w14:val="none"/>
        </w:rPr>
        <w:t xml:space="preserve">, 36(5), pp. </w:t>
      </w:r>
      <w:r w:rsidRPr="00440F88">
        <w:rPr>
          <w:rFonts w:ascii="Arial" w:eastAsia="Times New Roman" w:hAnsi="Arial" w:cs="Arial"/>
          <w:kern w:val="0"/>
          <w:sz w:val="22"/>
          <w:szCs w:val="22"/>
          <w:lang w:eastAsia="en-IN"/>
          <w14:ligatures w14:val="none"/>
        </w:rPr>
        <w:lastRenderedPageBreak/>
        <w:t xml:space="preserve">645–652. Available at: </w:t>
      </w:r>
      <w:hyperlink r:id="rId25" w:tgtFrame="_new" w:history="1">
        <w:r w:rsidRPr="00440F88">
          <w:rPr>
            <w:rFonts w:ascii="Arial" w:eastAsia="Times New Roman" w:hAnsi="Arial" w:cs="Arial"/>
            <w:color w:val="0000FF"/>
            <w:kern w:val="0"/>
            <w:sz w:val="22"/>
            <w:szCs w:val="22"/>
            <w:u w:val="single"/>
            <w:lang w:eastAsia="en-IN"/>
            <w14:ligatures w14:val="none"/>
          </w:rPr>
          <w:t>https://www.tandfonline.com</w:t>
        </w:r>
      </w:hyperlink>
      <w:r w:rsidRPr="00440F88">
        <w:rPr>
          <w:rFonts w:ascii="Arial" w:eastAsia="Times New Roman" w:hAnsi="Arial" w:cs="Arial"/>
          <w:kern w:val="0"/>
          <w:sz w:val="22"/>
          <w:szCs w:val="22"/>
          <w:lang w:eastAsia="en-IN"/>
          <w14:ligatures w14:val="none"/>
        </w:rPr>
        <w:t xml:space="preserve"> (Accessed: 2 December 2025).</w:t>
      </w:r>
    </w:p>
    <w:p w14:paraId="32786D4A"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Bryman, A. (2016) </w:t>
      </w:r>
      <w:r w:rsidRPr="00440F88">
        <w:rPr>
          <w:rFonts w:ascii="Arial" w:eastAsia="Times New Roman" w:hAnsi="Arial" w:cs="Arial"/>
          <w:i/>
          <w:iCs/>
          <w:kern w:val="0"/>
          <w:sz w:val="22"/>
          <w:szCs w:val="22"/>
          <w:lang w:eastAsia="en-IN"/>
          <w14:ligatures w14:val="none"/>
        </w:rPr>
        <w:t>Social research methods</w:t>
      </w:r>
      <w:r w:rsidRPr="00440F88">
        <w:rPr>
          <w:rFonts w:ascii="Arial" w:eastAsia="Times New Roman" w:hAnsi="Arial" w:cs="Arial"/>
          <w:kern w:val="0"/>
          <w:sz w:val="22"/>
          <w:szCs w:val="22"/>
          <w:lang w:eastAsia="en-IN"/>
          <w14:ligatures w14:val="none"/>
        </w:rPr>
        <w:t>. 5th edn. Oxford: Oxford University Press.</w:t>
      </w:r>
    </w:p>
    <w:p w14:paraId="51057EA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Bunn, F., Dickinson, A., Barnett-Page, E., McInnes, E. and Horton, K. (2008) ‘A systematic review of older people’s perceptions of facilitators and barriers to participation in fall-prevention interventions’, </w:t>
      </w:r>
      <w:r w:rsidRPr="00440F88">
        <w:rPr>
          <w:rFonts w:ascii="Arial" w:eastAsia="Times New Roman" w:hAnsi="Arial" w:cs="Arial"/>
          <w:i/>
          <w:iCs/>
          <w:kern w:val="0"/>
          <w:sz w:val="22"/>
          <w:szCs w:val="22"/>
          <w:lang w:eastAsia="en-IN"/>
          <w14:ligatures w14:val="none"/>
        </w:rPr>
        <w:t>Ageing &amp; Society</w:t>
      </w:r>
      <w:r w:rsidRPr="00440F88">
        <w:rPr>
          <w:rFonts w:ascii="Arial" w:eastAsia="Times New Roman" w:hAnsi="Arial" w:cs="Arial"/>
          <w:kern w:val="0"/>
          <w:sz w:val="22"/>
          <w:szCs w:val="22"/>
          <w:lang w:eastAsia="en-IN"/>
          <w14:ligatures w14:val="none"/>
        </w:rPr>
        <w:t>, 28(4), pp. 449–472.</w:t>
      </w:r>
    </w:p>
    <w:p w14:paraId="5AD7E305"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Buscemi, N. et al. (2006) ‘Single data extraction’, </w:t>
      </w:r>
      <w:r w:rsidRPr="00440F88">
        <w:rPr>
          <w:rFonts w:ascii="Arial" w:eastAsia="Times New Roman" w:hAnsi="Arial" w:cs="Arial"/>
          <w:i/>
          <w:iCs/>
          <w:kern w:val="0"/>
          <w:sz w:val="22"/>
          <w:szCs w:val="22"/>
          <w:lang w:eastAsia="en-IN"/>
          <w14:ligatures w14:val="none"/>
        </w:rPr>
        <w:t>BMC Medical Research Methodology</w:t>
      </w:r>
      <w:r w:rsidRPr="00440F88">
        <w:rPr>
          <w:rFonts w:ascii="Arial" w:eastAsia="Times New Roman" w:hAnsi="Arial" w:cs="Arial"/>
          <w:kern w:val="0"/>
          <w:sz w:val="22"/>
          <w:szCs w:val="22"/>
          <w:lang w:eastAsia="en-IN"/>
          <w14:ligatures w14:val="none"/>
        </w:rPr>
        <w:t>, 6, 33.</w:t>
      </w:r>
    </w:p>
    <w:p w14:paraId="272D0C50"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Campbell, M. et al. (2018) ‘Synthesis without meta-analysis’, </w:t>
      </w:r>
      <w:r w:rsidRPr="00440F88">
        <w:rPr>
          <w:rFonts w:ascii="Arial" w:eastAsia="Times New Roman" w:hAnsi="Arial" w:cs="Arial"/>
          <w:i/>
          <w:iCs/>
          <w:kern w:val="0"/>
          <w:sz w:val="22"/>
          <w:szCs w:val="22"/>
          <w:lang w:eastAsia="en-IN"/>
          <w14:ligatures w14:val="none"/>
        </w:rPr>
        <w:t>BMJ</w:t>
      </w:r>
      <w:r w:rsidRPr="00440F88">
        <w:rPr>
          <w:rFonts w:ascii="Arial" w:eastAsia="Times New Roman" w:hAnsi="Arial" w:cs="Arial"/>
          <w:kern w:val="0"/>
          <w:sz w:val="22"/>
          <w:szCs w:val="22"/>
          <w:lang w:eastAsia="en-IN"/>
          <w14:ligatures w14:val="none"/>
        </w:rPr>
        <w:t>, 361, k1606.</w:t>
      </w:r>
    </w:p>
    <w:p w14:paraId="063E1635"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Campbell, M., McKenzie, J.E., Sowden, A. et al. (2020) ‘Synthesis without meta-analysis (SWiM) in systematic reviews’, </w:t>
      </w:r>
      <w:r w:rsidRPr="00440F88">
        <w:rPr>
          <w:rFonts w:ascii="Arial" w:eastAsia="Times New Roman" w:hAnsi="Arial" w:cs="Arial"/>
          <w:i/>
          <w:iCs/>
          <w:kern w:val="0"/>
          <w:sz w:val="22"/>
          <w:szCs w:val="22"/>
          <w:lang w:eastAsia="en-IN"/>
          <w14:ligatures w14:val="none"/>
        </w:rPr>
        <w:t>BMJ</w:t>
      </w:r>
      <w:r w:rsidRPr="00440F88">
        <w:rPr>
          <w:rFonts w:ascii="Arial" w:eastAsia="Times New Roman" w:hAnsi="Arial" w:cs="Arial"/>
          <w:kern w:val="0"/>
          <w:sz w:val="22"/>
          <w:szCs w:val="22"/>
          <w:lang w:eastAsia="en-IN"/>
          <w14:ligatures w14:val="none"/>
        </w:rPr>
        <w:t>, 368, l6890.</w:t>
      </w:r>
    </w:p>
    <w:p w14:paraId="16E6AB20"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Cane, J. et al. (2012) ‘Validation of the COM-B model’, </w:t>
      </w:r>
      <w:r w:rsidRPr="00440F88">
        <w:rPr>
          <w:rFonts w:ascii="Arial" w:eastAsia="Times New Roman" w:hAnsi="Arial" w:cs="Arial"/>
          <w:i/>
          <w:iCs/>
          <w:kern w:val="0"/>
          <w:sz w:val="22"/>
          <w:szCs w:val="22"/>
          <w:lang w:eastAsia="en-IN"/>
          <w14:ligatures w14:val="none"/>
        </w:rPr>
        <w:t>Implementation Science</w:t>
      </w:r>
      <w:r w:rsidRPr="00440F88">
        <w:rPr>
          <w:rFonts w:ascii="Arial" w:eastAsia="Times New Roman" w:hAnsi="Arial" w:cs="Arial"/>
          <w:kern w:val="0"/>
          <w:sz w:val="22"/>
          <w:szCs w:val="22"/>
          <w:lang w:eastAsia="en-IN"/>
          <w14:ligatures w14:val="none"/>
        </w:rPr>
        <w:t>, 7, 37.</w:t>
      </w:r>
    </w:p>
    <w:p w14:paraId="2A3FA31F"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Chang, J., Chen, Y. and Lin, S. (2021) ‘Effects of Tai Chi–based physiotherapy on balance confidence and fall risk in community-dwelling older adults’, </w:t>
      </w:r>
      <w:r w:rsidRPr="00440F88">
        <w:rPr>
          <w:rFonts w:ascii="Arial" w:eastAsia="Times New Roman" w:hAnsi="Arial" w:cs="Arial"/>
          <w:i/>
          <w:iCs/>
          <w:kern w:val="0"/>
          <w:sz w:val="22"/>
          <w:szCs w:val="22"/>
          <w:lang w:eastAsia="en-IN"/>
          <w14:ligatures w14:val="none"/>
        </w:rPr>
        <w:t>Journal of Geriatric Physical Therapy</w:t>
      </w:r>
      <w:r w:rsidRPr="00440F88">
        <w:rPr>
          <w:rFonts w:ascii="Arial" w:eastAsia="Times New Roman" w:hAnsi="Arial" w:cs="Arial"/>
          <w:kern w:val="0"/>
          <w:sz w:val="22"/>
          <w:szCs w:val="22"/>
          <w:lang w:eastAsia="en-IN"/>
          <w14:ligatures w14:val="none"/>
        </w:rPr>
        <w:t xml:space="preserve">, 44(2), pp. 85–93. Available at: </w:t>
      </w:r>
      <w:hyperlink r:id="rId26" w:tgtFrame="_new" w:history="1">
        <w:r w:rsidRPr="00440F88">
          <w:rPr>
            <w:rFonts w:ascii="Arial" w:eastAsia="Times New Roman" w:hAnsi="Arial" w:cs="Arial"/>
            <w:color w:val="0000FF"/>
            <w:kern w:val="0"/>
            <w:sz w:val="22"/>
            <w:szCs w:val="22"/>
            <w:u w:val="single"/>
            <w:lang w:eastAsia="en-IN"/>
            <w14:ligatures w14:val="none"/>
          </w:rPr>
          <w:t>https://journals.lww.com/jgpt</w:t>
        </w:r>
      </w:hyperlink>
      <w:r w:rsidRPr="00440F88">
        <w:rPr>
          <w:rFonts w:ascii="Arial" w:eastAsia="Times New Roman" w:hAnsi="Arial" w:cs="Arial"/>
          <w:kern w:val="0"/>
          <w:sz w:val="22"/>
          <w:szCs w:val="22"/>
          <w:lang w:eastAsia="en-IN"/>
          <w14:ligatures w14:val="none"/>
        </w:rPr>
        <w:t xml:space="preserve"> (Accessed: 25 December 2025).</w:t>
      </w:r>
    </w:p>
    <w:p w14:paraId="6661B473"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Chen, Y., Dai, F., Huang, S. et al. (2025) ‘Global, regional, and national burden of falls among older adults: findings from the Global Burden of Disease Study 2021 and projections to 2040’, </w:t>
      </w:r>
      <w:r w:rsidRPr="00440F88">
        <w:rPr>
          <w:rFonts w:ascii="Arial" w:eastAsia="Times New Roman" w:hAnsi="Arial" w:cs="Arial"/>
          <w:i/>
          <w:iCs/>
          <w:kern w:val="0"/>
          <w:sz w:val="22"/>
          <w:szCs w:val="22"/>
          <w:lang w:eastAsia="en-IN"/>
          <w14:ligatures w14:val="none"/>
        </w:rPr>
        <w:t>npj Aging</w:t>
      </w:r>
      <w:r w:rsidRPr="00440F88">
        <w:rPr>
          <w:rFonts w:ascii="Arial" w:eastAsia="Times New Roman" w:hAnsi="Arial" w:cs="Arial"/>
          <w:kern w:val="0"/>
          <w:sz w:val="22"/>
          <w:szCs w:val="22"/>
          <w:lang w:eastAsia="en-IN"/>
          <w14:ligatures w14:val="none"/>
        </w:rPr>
        <w:t>, 11, p. 85.</w:t>
      </w:r>
    </w:p>
    <w:p w14:paraId="4D5497F6"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Clark, A., Taylor, J. and Wilson, R. (2020) ‘Collaborative fall prevention strategies in community care’, </w:t>
      </w:r>
      <w:r w:rsidRPr="00440F88">
        <w:rPr>
          <w:rFonts w:ascii="Arial" w:eastAsia="Times New Roman" w:hAnsi="Arial" w:cs="Arial"/>
          <w:i/>
          <w:iCs/>
          <w:kern w:val="0"/>
          <w:sz w:val="22"/>
          <w:szCs w:val="22"/>
          <w:lang w:eastAsia="en-IN"/>
          <w14:ligatures w14:val="none"/>
        </w:rPr>
        <w:t>British Journal of Community Nursing</w:t>
      </w:r>
      <w:r w:rsidRPr="00440F88">
        <w:rPr>
          <w:rFonts w:ascii="Arial" w:eastAsia="Times New Roman" w:hAnsi="Arial" w:cs="Arial"/>
          <w:kern w:val="0"/>
          <w:sz w:val="22"/>
          <w:szCs w:val="22"/>
          <w:lang w:eastAsia="en-IN"/>
          <w14:ligatures w14:val="none"/>
        </w:rPr>
        <w:t xml:space="preserve">, 25(9), pp. 438–444. Available at: </w:t>
      </w:r>
      <w:hyperlink r:id="rId27" w:tgtFrame="_new" w:history="1">
        <w:r w:rsidRPr="00440F88">
          <w:rPr>
            <w:rFonts w:ascii="Arial" w:eastAsia="Times New Roman" w:hAnsi="Arial" w:cs="Arial"/>
            <w:color w:val="0000FF"/>
            <w:kern w:val="0"/>
            <w:sz w:val="22"/>
            <w:szCs w:val="22"/>
            <w:u w:val="single"/>
            <w:lang w:eastAsia="en-IN"/>
            <w14:ligatures w14:val="none"/>
          </w:rPr>
          <w:t>https://www.magonlinelibrary.com</w:t>
        </w:r>
      </w:hyperlink>
      <w:r w:rsidRPr="00440F88">
        <w:rPr>
          <w:rFonts w:ascii="Arial" w:eastAsia="Times New Roman" w:hAnsi="Arial" w:cs="Arial"/>
          <w:kern w:val="0"/>
          <w:sz w:val="22"/>
          <w:szCs w:val="22"/>
          <w:lang w:eastAsia="en-IN"/>
          <w14:ligatures w14:val="none"/>
        </w:rPr>
        <w:t xml:space="preserve"> (Accessed: 2 December 2025).</w:t>
      </w:r>
    </w:p>
    <w:p w14:paraId="41569FB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Clarke, P. and George, L.K. (2005) ‘The role of the built environment’, </w:t>
      </w:r>
      <w:r w:rsidRPr="00440F88">
        <w:rPr>
          <w:rFonts w:ascii="Arial" w:eastAsia="Times New Roman" w:hAnsi="Arial" w:cs="Arial"/>
          <w:i/>
          <w:iCs/>
          <w:kern w:val="0"/>
          <w:sz w:val="22"/>
          <w:szCs w:val="22"/>
          <w:lang w:eastAsia="en-IN"/>
          <w14:ligatures w14:val="none"/>
        </w:rPr>
        <w:t>Journal of Health and Social Behavior</w:t>
      </w:r>
      <w:r w:rsidRPr="00440F88">
        <w:rPr>
          <w:rFonts w:ascii="Arial" w:eastAsia="Times New Roman" w:hAnsi="Arial" w:cs="Arial"/>
          <w:kern w:val="0"/>
          <w:sz w:val="22"/>
          <w:szCs w:val="22"/>
          <w:lang w:eastAsia="en-IN"/>
          <w14:ligatures w14:val="none"/>
        </w:rPr>
        <w:t>, 46(2), pp. 114–131.</w:t>
      </w:r>
    </w:p>
    <w:p w14:paraId="333935A6"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Clarke, P. and Nieuwenhuijsen, E.R. (2009) ‘Environments for healthy ageing’, </w:t>
      </w:r>
      <w:r w:rsidRPr="00440F88">
        <w:rPr>
          <w:rFonts w:ascii="Arial" w:eastAsia="Times New Roman" w:hAnsi="Arial" w:cs="Arial"/>
          <w:i/>
          <w:iCs/>
          <w:kern w:val="0"/>
          <w:sz w:val="22"/>
          <w:szCs w:val="22"/>
          <w:lang w:eastAsia="en-IN"/>
          <w14:ligatures w14:val="none"/>
        </w:rPr>
        <w:t>Journal of Epidemiology &amp; Community Health</w:t>
      </w:r>
      <w:r w:rsidRPr="00440F88">
        <w:rPr>
          <w:rFonts w:ascii="Arial" w:eastAsia="Times New Roman" w:hAnsi="Arial" w:cs="Arial"/>
          <w:kern w:val="0"/>
          <w:sz w:val="22"/>
          <w:szCs w:val="22"/>
          <w:lang w:eastAsia="en-IN"/>
          <w14:ligatures w14:val="none"/>
        </w:rPr>
        <w:t>, 63(6), pp. 464–469.</w:t>
      </w:r>
    </w:p>
    <w:p w14:paraId="34CBEDCF"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Clegg, A. et al. (2013) ‘Frailty in elderly people’, The Lancet, 381(9868), pp. 752–762.</w:t>
      </w:r>
    </w:p>
    <w:p w14:paraId="0E6EE323"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Clemson, L., Singh, M.A.F., Bundy, A., Cumming, R.G., Weissel, E., Munro, J. and Black, D. (2012) ‘Integration of balance and strength training into daily life activity to reduce falls in older adults (LiFE): randomised controlled </w:t>
      </w:r>
      <w:r w:rsidRPr="00440F88">
        <w:rPr>
          <w:rFonts w:ascii="Arial" w:eastAsia="Times New Roman" w:hAnsi="Arial" w:cs="Arial"/>
          <w:kern w:val="0"/>
          <w:sz w:val="22"/>
          <w:szCs w:val="22"/>
          <w:lang w:eastAsia="en-IN"/>
          <w14:ligatures w14:val="none"/>
        </w:rPr>
        <w:lastRenderedPageBreak/>
        <w:t xml:space="preserve">trial’, </w:t>
      </w:r>
      <w:r w:rsidRPr="00440F88">
        <w:rPr>
          <w:rFonts w:ascii="Arial" w:eastAsia="Times New Roman" w:hAnsi="Arial" w:cs="Arial"/>
          <w:i/>
          <w:iCs/>
          <w:kern w:val="0"/>
          <w:sz w:val="22"/>
          <w:szCs w:val="22"/>
          <w:lang w:eastAsia="en-IN"/>
          <w14:ligatures w14:val="none"/>
        </w:rPr>
        <w:t>BMJ</w:t>
      </w:r>
      <w:r w:rsidRPr="00440F88">
        <w:rPr>
          <w:rFonts w:ascii="Arial" w:eastAsia="Times New Roman" w:hAnsi="Arial" w:cs="Arial"/>
          <w:kern w:val="0"/>
          <w:sz w:val="22"/>
          <w:szCs w:val="22"/>
          <w:lang w:eastAsia="en-IN"/>
          <w14:ligatures w14:val="none"/>
        </w:rPr>
        <w:t xml:space="preserve">, 345, e4547. Available at: </w:t>
      </w:r>
      <w:hyperlink r:id="rId28" w:tgtFrame="_new" w:history="1">
        <w:r w:rsidRPr="00440F88">
          <w:rPr>
            <w:rFonts w:ascii="Arial" w:eastAsia="Times New Roman" w:hAnsi="Arial" w:cs="Arial"/>
            <w:color w:val="0000FF"/>
            <w:kern w:val="0"/>
            <w:sz w:val="22"/>
            <w:szCs w:val="22"/>
            <w:u w:val="single"/>
            <w:lang w:eastAsia="en-IN"/>
            <w14:ligatures w14:val="none"/>
          </w:rPr>
          <w:t>https://www.bmj.com</w:t>
        </w:r>
      </w:hyperlink>
      <w:r w:rsidRPr="00440F88">
        <w:rPr>
          <w:rFonts w:ascii="Arial" w:eastAsia="Times New Roman" w:hAnsi="Arial" w:cs="Arial"/>
          <w:kern w:val="0"/>
          <w:sz w:val="22"/>
          <w:szCs w:val="22"/>
          <w:lang w:eastAsia="en-IN"/>
          <w14:ligatures w14:val="none"/>
        </w:rPr>
        <w:t xml:space="preserve"> (Accessed: 25 December 2025).</w:t>
      </w:r>
    </w:p>
    <w:p w14:paraId="4F0C6D63"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Committee on Publication Ethics (COPE) (2022) </w:t>
      </w:r>
      <w:r w:rsidRPr="00440F88">
        <w:rPr>
          <w:rFonts w:ascii="Arial" w:eastAsia="Times New Roman" w:hAnsi="Arial" w:cs="Arial"/>
          <w:i/>
          <w:iCs/>
          <w:kern w:val="0"/>
          <w:sz w:val="22"/>
          <w:szCs w:val="22"/>
          <w:lang w:eastAsia="en-IN"/>
          <w14:ligatures w14:val="none"/>
        </w:rPr>
        <w:t>Ethical guidelines for peer-reviewed publications and secondary research</w:t>
      </w:r>
      <w:r w:rsidRPr="00440F88">
        <w:rPr>
          <w:rFonts w:ascii="Arial" w:eastAsia="Times New Roman" w:hAnsi="Arial" w:cs="Arial"/>
          <w:kern w:val="0"/>
          <w:sz w:val="22"/>
          <w:szCs w:val="22"/>
          <w:lang w:eastAsia="en-IN"/>
          <w14:ligatures w14:val="none"/>
        </w:rPr>
        <w:t xml:space="preserve">. Available at: </w:t>
      </w:r>
      <w:hyperlink r:id="rId29" w:tgtFrame="_new" w:history="1">
        <w:r w:rsidRPr="00440F88">
          <w:rPr>
            <w:rFonts w:ascii="Arial" w:eastAsia="Times New Roman" w:hAnsi="Arial" w:cs="Arial"/>
            <w:color w:val="0000FF"/>
            <w:kern w:val="0"/>
            <w:sz w:val="22"/>
            <w:szCs w:val="22"/>
            <w:u w:val="single"/>
            <w:lang w:eastAsia="en-IN"/>
            <w14:ligatures w14:val="none"/>
          </w:rPr>
          <w:t>https://publicationethics.org</w:t>
        </w:r>
      </w:hyperlink>
      <w:r w:rsidRPr="00440F88">
        <w:rPr>
          <w:rFonts w:ascii="Arial" w:eastAsia="Times New Roman" w:hAnsi="Arial" w:cs="Arial"/>
          <w:kern w:val="0"/>
          <w:sz w:val="22"/>
          <w:szCs w:val="22"/>
          <w:lang w:eastAsia="en-IN"/>
          <w14:ligatures w14:val="none"/>
        </w:rPr>
        <w:t xml:space="preserve"> (Accessed: 22 December 2025).</w:t>
      </w:r>
    </w:p>
    <w:p w14:paraId="2ACD473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Craig, P. et al. (2018) ‘Developing and evaluating complex interventions’, </w:t>
      </w:r>
      <w:r w:rsidRPr="00440F88">
        <w:rPr>
          <w:rFonts w:ascii="Arial" w:eastAsia="Times New Roman" w:hAnsi="Arial" w:cs="Arial"/>
          <w:i/>
          <w:iCs/>
          <w:kern w:val="0"/>
          <w:sz w:val="22"/>
          <w:szCs w:val="22"/>
          <w:lang w:eastAsia="en-IN"/>
          <w14:ligatures w14:val="none"/>
        </w:rPr>
        <w:t>BMJ</w:t>
      </w:r>
      <w:r w:rsidRPr="00440F88">
        <w:rPr>
          <w:rFonts w:ascii="Arial" w:eastAsia="Times New Roman" w:hAnsi="Arial" w:cs="Arial"/>
          <w:kern w:val="0"/>
          <w:sz w:val="22"/>
          <w:szCs w:val="22"/>
          <w:lang w:eastAsia="en-IN"/>
          <w14:ligatures w14:val="none"/>
        </w:rPr>
        <w:t>, 361, k1452.</w:t>
      </w:r>
    </w:p>
    <w:p w14:paraId="20327B3A"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Creswell, J.W. and Creswell, J.D. (2018) </w:t>
      </w:r>
      <w:r w:rsidRPr="00440F88">
        <w:rPr>
          <w:rFonts w:ascii="Arial" w:eastAsia="Times New Roman" w:hAnsi="Arial" w:cs="Arial"/>
          <w:i/>
          <w:iCs/>
          <w:kern w:val="0"/>
          <w:sz w:val="22"/>
          <w:szCs w:val="22"/>
          <w:lang w:eastAsia="en-IN"/>
          <w14:ligatures w14:val="none"/>
        </w:rPr>
        <w:t>Research design: Qualitative, quantitative, and mixed methods approaches</w:t>
      </w:r>
      <w:r w:rsidRPr="00440F88">
        <w:rPr>
          <w:rFonts w:ascii="Arial" w:eastAsia="Times New Roman" w:hAnsi="Arial" w:cs="Arial"/>
          <w:kern w:val="0"/>
          <w:sz w:val="22"/>
          <w:szCs w:val="22"/>
          <w:lang w:eastAsia="en-IN"/>
          <w14:ligatures w14:val="none"/>
        </w:rPr>
        <w:t>. 5th edn. London: Sage.</w:t>
      </w:r>
    </w:p>
    <w:p w14:paraId="4BAE1CE9"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Crotty, M. (2015) </w:t>
      </w:r>
      <w:r w:rsidRPr="00440F88">
        <w:rPr>
          <w:rFonts w:ascii="Arial" w:eastAsia="Times New Roman" w:hAnsi="Arial" w:cs="Arial"/>
          <w:i/>
          <w:iCs/>
          <w:kern w:val="0"/>
          <w:sz w:val="22"/>
          <w:szCs w:val="22"/>
          <w:lang w:eastAsia="en-IN"/>
          <w14:ligatures w14:val="none"/>
        </w:rPr>
        <w:t>The foundations of social research</w:t>
      </w:r>
      <w:r w:rsidRPr="00440F88">
        <w:rPr>
          <w:rFonts w:ascii="Arial" w:eastAsia="Times New Roman" w:hAnsi="Arial" w:cs="Arial"/>
          <w:kern w:val="0"/>
          <w:sz w:val="22"/>
          <w:szCs w:val="22"/>
          <w:lang w:eastAsia="en-IN"/>
          <w14:ligatures w14:val="none"/>
        </w:rPr>
        <w:t>. London: Sage.</w:t>
      </w:r>
    </w:p>
    <w:p w14:paraId="7198035D"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Curl, A. et al. (2015) ‘Neighbourhood effects on mobility’, Social Science &amp; Medicine, 133, pp. 1–9.</w:t>
      </w:r>
    </w:p>
    <w:p w14:paraId="6FC5F620"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Dahlgren, G. and Whitehead, M. (2007) </w:t>
      </w:r>
      <w:r w:rsidRPr="00440F88">
        <w:rPr>
          <w:rFonts w:ascii="Arial" w:eastAsia="Times New Roman" w:hAnsi="Arial" w:cs="Arial"/>
          <w:i/>
          <w:iCs/>
          <w:kern w:val="0"/>
          <w:sz w:val="22"/>
          <w:szCs w:val="22"/>
          <w:lang w:eastAsia="en-IN"/>
          <w14:ligatures w14:val="none"/>
        </w:rPr>
        <w:t>European strategies for tackling social inequities in health</w:t>
      </w:r>
      <w:r w:rsidRPr="00440F88">
        <w:rPr>
          <w:rFonts w:ascii="Arial" w:eastAsia="Times New Roman" w:hAnsi="Arial" w:cs="Arial"/>
          <w:kern w:val="0"/>
          <w:sz w:val="22"/>
          <w:szCs w:val="22"/>
          <w:lang w:eastAsia="en-IN"/>
          <w14:ligatures w14:val="none"/>
        </w:rPr>
        <w:t>. Copenhagen: WHO.</w:t>
      </w:r>
    </w:p>
    <w:p w14:paraId="188026D5"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Davies, S. and Patel, R. (2022) ‘Urban health inequalities and fall risk among older adults’, </w:t>
      </w:r>
      <w:r w:rsidRPr="00440F88">
        <w:rPr>
          <w:rFonts w:ascii="Arial" w:eastAsia="Times New Roman" w:hAnsi="Arial" w:cs="Arial"/>
          <w:i/>
          <w:iCs/>
          <w:kern w:val="0"/>
          <w:sz w:val="22"/>
          <w:szCs w:val="22"/>
          <w:lang w:eastAsia="en-IN"/>
          <w14:ligatures w14:val="none"/>
        </w:rPr>
        <w:t>Public Health</w:t>
      </w:r>
      <w:r w:rsidRPr="00440F88">
        <w:rPr>
          <w:rFonts w:ascii="Arial" w:eastAsia="Times New Roman" w:hAnsi="Arial" w:cs="Arial"/>
          <w:kern w:val="0"/>
          <w:sz w:val="22"/>
          <w:szCs w:val="22"/>
          <w:lang w:eastAsia="en-IN"/>
          <w14:ligatures w14:val="none"/>
        </w:rPr>
        <w:t xml:space="preserve">, 210, pp. 50–57. Available at: </w:t>
      </w:r>
      <w:hyperlink r:id="rId30" w:tgtFrame="_new" w:history="1">
        <w:r w:rsidRPr="00440F88">
          <w:rPr>
            <w:rFonts w:ascii="Arial" w:eastAsia="Times New Roman" w:hAnsi="Arial" w:cs="Arial"/>
            <w:color w:val="0000FF"/>
            <w:kern w:val="0"/>
            <w:sz w:val="22"/>
            <w:szCs w:val="22"/>
            <w:u w:val="single"/>
            <w:lang w:eastAsia="en-IN"/>
            <w14:ligatures w14:val="none"/>
          </w:rPr>
          <w:t>https://www.sciencedirect.com</w:t>
        </w:r>
      </w:hyperlink>
      <w:r w:rsidRPr="00440F88">
        <w:rPr>
          <w:rFonts w:ascii="Arial" w:eastAsia="Times New Roman" w:hAnsi="Arial" w:cs="Arial"/>
          <w:kern w:val="0"/>
          <w:sz w:val="22"/>
          <w:szCs w:val="22"/>
          <w:lang w:eastAsia="en-IN"/>
          <w14:ligatures w14:val="none"/>
        </w:rPr>
        <w:t xml:space="preserve"> (Accessed: 2 December 2025).</w:t>
      </w:r>
    </w:p>
    <w:p w14:paraId="075E80F0"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Davis, J.C. et al. (2011) ‘Quality of life outcomes in fall prevention’, </w:t>
      </w:r>
      <w:r w:rsidRPr="00440F88">
        <w:rPr>
          <w:rFonts w:ascii="Arial" w:eastAsia="Times New Roman" w:hAnsi="Arial" w:cs="Arial"/>
          <w:i/>
          <w:iCs/>
          <w:kern w:val="0"/>
          <w:sz w:val="22"/>
          <w:szCs w:val="22"/>
          <w:lang w:eastAsia="en-IN"/>
          <w14:ligatures w14:val="none"/>
        </w:rPr>
        <w:t>Age and Ageing</w:t>
      </w:r>
      <w:r w:rsidRPr="00440F88">
        <w:rPr>
          <w:rFonts w:ascii="Arial" w:eastAsia="Times New Roman" w:hAnsi="Arial" w:cs="Arial"/>
          <w:kern w:val="0"/>
          <w:sz w:val="22"/>
          <w:szCs w:val="22"/>
          <w:lang w:eastAsia="en-IN"/>
          <w14:ligatures w14:val="none"/>
        </w:rPr>
        <w:t>, 40(3), pp. 343–349.</w:t>
      </w:r>
    </w:p>
    <w:p w14:paraId="4F853C9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Delbaere, K. et al. (2010) ‘Fear of falling’, Journal of Gerontology, 65(3), pp. 312–319.</w:t>
      </w:r>
    </w:p>
    <w:p w14:paraId="45718E85"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Denkinger, M.D., Lukas, A., Nikolaus, T. and Hauer, K. (2015) ‘Factors associated with fear of falling and associated activity restriction in community-dwelling older adults’, </w:t>
      </w:r>
      <w:r w:rsidRPr="00440F88">
        <w:rPr>
          <w:rFonts w:ascii="Arial" w:eastAsia="Times New Roman" w:hAnsi="Arial" w:cs="Arial"/>
          <w:i/>
          <w:iCs/>
          <w:kern w:val="0"/>
          <w:sz w:val="22"/>
          <w:szCs w:val="22"/>
          <w:lang w:eastAsia="en-IN"/>
          <w14:ligatures w14:val="none"/>
        </w:rPr>
        <w:t>American Journal of Geriatric Psychiatry</w:t>
      </w:r>
      <w:r w:rsidRPr="00440F88">
        <w:rPr>
          <w:rFonts w:ascii="Arial" w:eastAsia="Times New Roman" w:hAnsi="Arial" w:cs="Arial"/>
          <w:kern w:val="0"/>
          <w:sz w:val="22"/>
          <w:szCs w:val="22"/>
          <w:lang w:eastAsia="en-IN"/>
          <w14:ligatures w14:val="none"/>
        </w:rPr>
        <w:t>, 23(1), pp. 72–86.</w:t>
      </w:r>
    </w:p>
    <w:p w14:paraId="30756A38"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Dent, E. et al. (2019) ‘Management of frailty’, </w:t>
      </w:r>
      <w:r w:rsidRPr="00440F88">
        <w:rPr>
          <w:rFonts w:ascii="Arial" w:eastAsia="Times New Roman" w:hAnsi="Arial" w:cs="Arial"/>
          <w:i/>
          <w:iCs/>
          <w:kern w:val="0"/>
          <w:sz w:val="22"/>
          <w:szCs w:val="22"/>
          <w:lang w:eastAsia="en-IN"/>
          <w14:ligatures w14:val="none"/>
        </w:rPr>
        <w:t>The Lancet</w:t>
      </w:r>
      <w:r w:rsidRPr="00440F88">
        <w:rPr>
          <w:rFonts w:ascii="Arial" w:eastAsia="Times New Roman" w:hAnsi="Arial" w:cs="Arial"/>
          <w:kern w:val="0"/>
          <w:sz w:val="22"/>
          <w:szCs w:val="22"/>
          <w:lang w:eastAsia="en-IN"/>
          <w14:ligatures w14:val="none"/>
        </w:rPr>
        <w:t>, 394(10206), pp. 1376–1386.</w:t>
      </w:r>
    </w:p>
    <w:p w14:paraId="2378C16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Fairhall, N. et al. (2014) ‘Exercise interventions for frail older people’, </w:t>
      </w:r>
      <w:r w:rsidRPr="00440F88">
        <w:rPr>
          <w:rFonts w:ascii="Arial" w:eastAsia="Times New Roman" w:hAnsi="Arial" w:cs="Arial"/>
          <w:i/>
          <w:iCs/>
          <w:kern w:val="0"/>
          <w:sz w:val="22"/>
          <w:szCs w:val="22"/>
          <w:lang w:eastAsia="en-IN"/>
          <w14:ligatures w14:val="none"/>
        </w:rPr>
        <w:t>Age and Ageing</w:t>
      </w:r>
      <w:r w:rsidRPr="00440F88">
        <w:rPr>
          <w:rFonts w:ascii="Arial" w:eastAsia="Times New Roman" w:hAnsi="Arial" w:cs="Arial"/>
          <w:kern w:val="0"/>
          <w:sz w:val="22"/>
          <w:szCs w:val="22"/>
          <w:lang w:eastAsia="en-IN"/>
          <w14:ligatures w14:val="none"/>
        </w:rPr>
        <w:t>, 43(6), pp. 756–763.</w:t>
      </w:r>
    </w:p>
    <w:p w14:paraId="6A9F9AAD"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Francis-Coad, J., Watts, T., Bulsara, C. and Hill, A. (2022) ‘Designing and evaluating falls prevention education with residents and staff in aged care homes’, </w:t>
      </w:r>
      <w:r w:rsidRPr="00440F88">
        <w:rPr>
          <w:rFonts w:ascii="Arial" w:eastAsia="Times New Roman" w:hAnsi="Arial" w:cs="Arial"/>
          <w:i/>
          <w:iCs/>
          <w:kern w:val="0"/>
          <w:sz w:val="22"/>
          <w:szCs w:val="22"/>
          <w:lang w:eastAsia="en-IN"/>
          <w14:ligatures w14:val="none"/>
        </w:rPr>
        <w:t>Health Education</w:t>
      </w:r>
      <w:r w:rsidRPr="00440F88">
        <w:rPr>
          <w:rFonts w:ascii="Arial" w:eastAsia="Times New Roman" w:hAnsi="Arial" w:cs="Arial"/>
          <w:kern w:val="0"/>
          <w:sz w:val="22"/>
          <w:szCs w:val="22"/>
          <w:lang w:eastAsia="en-IN"/>
          <w14:ligatures w14:val="none"/>
        </w:rPr>
        <w:t>, 122(5), pp. 546–563.</w:t>
      </w:r>
    </w:p>
    <w:p w14:paraId="07FDC308"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Gardner, M.M., Robertson, M.C. and Campbell, A.J. (2016) ‘Exercise to prevent falls in older adults’, </w:t>
      </w:r>
      <w:r w:rsidRPr="00440F88">
        <w:rPr>
          <w:rFonts w:ascii="Arial" w:eastAsia="Times New Roman" w:hAnsi="Arial" w:cs="Arial"/>
          <w:i/>
          <w:iCs/>
          <w:kern w:val="0"/>
          <w:sz w:val="22"/>
          <w:szCs w:val="22"/>
          <w:lang w:eastAsia="en-IN"/>
          <w14:ligatures w14:val="none"/>
        </w:rPr>
        <w:t>British Journal of Sports Medicine</w:t>
      </w:r>
      <w:r w:rsidRPr="00440F88">
        <w:rPr>
          <w:rFonts w:ascii="Arial" w:eastAsia="Times New Roman" w:hAnsi="Arial" w:cs="Arial"/>
          <w:kern w:val="0"/>
          <w:sz w:val="22"/>
          <w:szCs w:val="22"/>
          <w:lang w:eastAsia="en-IN"/>
          <w14:ligatures w14:val="none"/>
        </w:rPr>
        <w:t xml:space="preserve">, 51(24), pp. 1750–1756. DOI: </w:t>
      </w:r>
      <w:hyperlink r:id="rId31" w:tgtFrame="_new" w:history="1">
        <w:r w:rsidRPr="00440F88">
          <w:rPr>
            <w:rFonts w:ascii="Arial" w:eastAsia="Times New Roman" w:hAnsi="Arial" w:cs="Arial"/>
            <w:color w:val="0000FF"/>
            <w:kern w:val="0"/>
            <w:sz w:val="22"/>
            <w:szCs w:val="22"/>
            <w:u w:val="single"/>
            <w:lang w:eastAsia="en-IN"/>
            <w14:ligatures w14:val="none"/>
          </w:rPr>
          <w:t>https://doi.org/10.1136/bjsports-2016-096547</w:t>
        </w:r>
      </w:hyperlink>
      <w:r w:rsidRPr="00440F88">
        <w:rPr>
          <w:rFonts w:ascii="Arial" w:eastAsia="Times New Roman" w:hAnsi="Arial" w:cs="Arial"/>
          <w:kern w:val="0"/>
          <w:sz w:val="22"/>
          <w:szCs w:val="22"/>
          <w:lang w:eastAsia="en-IN"/>
          <w14:ligatures w14:val="none"/>
        </w:rPr>
        <w:t xml:space="preserve"> (Accessed: 6 January 2026).</w:t>
      </w:r>
    </w:p>
    <w:p w14:paraId="2D2FB7C4"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lastRenderedPageBreak/>
        <w:t xml:space="preserve">GBD 2019 Diseases and Injuries Collaborators (2020) ‘Global burden of 369 diseases and injuries in 204 countries and territories’, </w:t>
      </w:r>
      <w:r w:rsidRPr="00440F88">
        <w:rPr>
          <w:rFonts w:ascii="Arial" w:eastAsia="Times New Roman" w:hAnsi="Arial" w:cs="Arial"/>
          <w:i/>
          <w:iCs/>
          <w:kern w:val="0"/>
          <w:sz w:val="22"/>
          <w:szCs w:val="22"/>
          <w:lang w:eastAsia="en-IN"/>
          <w14:ligatures w14:val="none"/>
        </w:rPr>
        <w:t>The Lancet</w:t>
      </w:r>
      <w:r w:rsidRPr="00440F88">
        <w:rPr>
          <w:rFonts w:ascii="Arial" w:eastAsia="Times New Roman" w:hAnsi="Arial" w:cs="Arial"/>
          <w:kern w:val="0"/>
          <w:sz w:val="22"/>
          <w:szCs w:val="22"/>
          <w:lang w:eastAsia="en-IN"/>
          <w14:ligatures w14:val="none"/>
        </w:rPr>
        <w:t>, 396(10258), pp. 1204–1222.</w:t>
      </w:r>
    </w:p>
    <w:p w14:paraId="1AA993FA" w14:textId="0EF49724"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Gillespie, L.D., Robertson, M.C., Gillespie, W.J. et al. (2012) ‘Interventions for preventing falls in older people living in the community’, </w:t>
      </w:r>
      <w:r w:rsidRPr="00440F88">
        <w:rPr>
          <w:rFonts w:ascii="Arial" w:eastAsia="Times New Roman" w:hAnsi="Arial" w:cs="Arial"/>
          <w:i/>
          <w:iCs/>
          <w:kern w:val="0"/>
          <w:sz w:val="22"/>
          <w:szCs w:val="22"/>
          <w:lang w:eastAsia="en-IN"/>
          <w14:ligatures w14:val="none"/>
        </w:rPr>
        <w:t>Cochrane Database of Systematic Reviews</w:t>
      </w:r>
      <w:r w:rsidRPr="00440F88">
        <w:rPr>
          <w:rFonts w:ascii="Arial" w:eastAsia="Times New Roman" w:hAnsi="Arial" w:cs="Arial"/>
          <w:kern w:val="0"/>
          <w:sz w:val="22"/>
          <w:szCs w:val="22"/>
          <w:lang w:eastAsia="en-IN"/>
          <w14:ligatures w14:val="none"/>
        </w:rPr>
        <w:t>, 9, CD007146. Available at:</w:t>
      </w:r>
      <w:r w:rsidR="0064380B" w:rsidRPr="00440F88">
        <w:rPr>
          <w:rFonts w:ascii="Arial" w:hAnsi="Arial" w:cs="Arial"/>
          <w:sz w:val="22"/>
          <w:szCs w:val="22"/>
        </w:rPr>
        <w:t xml:space="preserve"> </w:t>
      </w:r>
      <w:hyperlink r:id="rId32" w:history="1">
        <w:r w:rsidR="0064380B" w:rsidRPr="00440F88">
          <w:rPr>
            <w:rStyle w:val="Hyperlink"/>
            <w:rFonts w:ascii="Arial" w:eastAsia="Times New Roman" w:hAnsi="Arial" w:cs="Arial"/>
            <w:kern w:val="0"/>
            <w:sz w:val="22"/>
            <w:szCs w:val="22"/>
            <w:lang w:eastAsia="en-IN"/>
            <w14:ligatures w14:val="none"/>
          </w:rPr>
          <w:t>https://www.cochranelibrary.com/cdsr/doi/10.1002/14651858.CD007146.pub3/full</w:t>
        </w:r>
      </w:hyperlink>
      <w:r w:rsidR="0064380B" w:rsidRPr="00440F88">
        <w:rPr>
          <w:rFonts w:ascii="Arial" w:eastAsia="Times New Roman" w:hAnsi="Arial" w:cs="Arial"/>
          <w:kern w:val="0"/>
          <w:sz w:val="22"/>
          <w:szCs w:val="22"/>
          <w:lang w:eastAsia="en-IN"/>
          <w14:ligatures w14:val="none"/>
        </w:rPr>
        <w:t xml:space="preserve"> </w:t>
      </w:r>
      <w:r w:rsidRPr="00440F88">
        <w:rPr>
          <w:rFonts w:ascii="Arial" w:eastAsia="Times New Roman" w:hAnsi="Arial" w:cs="Arial"/>
          <w:kern w:val="0"/>
          <w:sz w:val="22"/>
          <w:szCs w:val="22"/>
          <w:lang w:eastAsia="en-IN"/>
          <w14:ligatures w14:val="none"/>
        </w:rPr>
        <w:t>(Accessed: 25 December 2025).</w:t>
      </w:r>
    </w:p>
    <w:p w14:paraId="769E9304"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Glasziou, P. et al. (2007) </w:t>
      </w:r>
      <w:r w:rsidRPr="00440F88">
        <w:rPr>
          <w:rFonts w:ascii="Arial" w:eastAsia="Times New Roman" w:hAnsi="Arial" w:cs="Arial"/>
          <w:i/>
          <w:iCs/>
          <w:kern w:val="0"/>
          <w:sz w:val="22"/>
          <w:szCs w:val="22"/>
          <w:lang w:eastAsia="en-IN"/>
          <w14:ligatures w14:val="none"/>
        </w:rPr>
        <w:t>Evidence-based medicine</w:t>
      </w:r>
      <w:r w:rsidRPr="00440F88">
        <w:rPr>
          <w:rFonts w:ascii="Arial" w:eastAsia="Times New Roman" w:hAnsi="Arial" w:cs="Arial"/>
          <w:kern w:val="0"/>
          <w:sz w:val="22"/>
          <w:szCs w:val="22"/>
          <w:lang w:eastAsia="en-IN"/>
          <w14:ligatures w14:val="none"/>
        </w:rPr>
        <w:t>. Oxford: Blackwell.</w:t>
      </w:r>
    </w:p>
    <w:p w14:paraId="3C7AFF4F"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Gnjidic, D. et al. (2014) ‘Deprescribing and falls’, </w:t>
      </w:r>
      <w:r w:rsidRPr="00440F88">
        <w:rPr>
          <w:rFonts w:ascii="Arial" w:eastAsia="Times New Roman" w:hAnsi="Arial" w:cs="Arial"/>
          <w:i/>
          <w:iCs/>
          <w:kern w:val="0"/>
          <w:sz w:val="22"/>
          <w:szCs w:val="22"/>
          <w:lang w:eastAsia="en-IN"/>
          <w14:ligatures w14:val="none"/>
        </w:rPr>
        <w:t>JAMA Internal Medicine</w:t>
      </w:r>
      <w:r w:rsidRPr="00440F88">
        <w:rPr>
          <w:rFonts w:ascii="Arial" w:eastAsia="Times New Roman" w:hAnsi="Arial" w:cs="Arial"/>
          <w:kern w:val="0"/>
          <w:sz w:val="22"/>
          <w:szCs w:val="22"/>
          <w:lang w:eastAsia="en-IN"/>
          <w14:ligatures w14:val="none"/>
        </w:rPr>
        <w:t>, 174(10), pp. 1643–1650.</w:t>
      </w:r>
    </w:p>
    <w:p w14:paraId="55A1411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Gough, D. et al. (2017) </w:t>
      </w:r>
      <w:r w:rsidRPr="00440F88">
        <w:rPr>
          <w:rFonts w:ascii="Arial" w:eastAsia="Times New Roman" w:hAnsi="Arial" w:cs="Arial"/>
          <w:i/>
          <w:iCs/>
          <w:kern w:val="0"/>
          <w:sz w:val="22"/>
          <w:szCs w:val="22"/>
          <w:lang w:eastAsia="en-IN"/>
          <w14:ligatures w14:val="none"/>
        </w:rPr>
        <w:t>An introduction to systematic reviews</w:t>
      </w:r>
      <w:r w:rsidRPr="00440F88">
        <w:rPr>
          <w:rFonts w:ascii="Arial" w:eastAsia="Times New Roman" w:hAnsi="Arial" w:cs="Arial"/>
          <w:kern w:val="0"/>
          <w:sz w:val="22"/>
          <w:szCs w:val="22"/>
          <w:lang w:eastAsia="en-IN"/>
          <w14:ligatures w14:val="none"/>
        </w:rPr>
        <w:t>. 2nd edn. London: Sage.</w:t>
      </w:r>
    </w:p>
    <w:p w14:paraId="264B869F"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Green, P., Smith, R. and Turner, K. (2021) ‘Healthcare utilisation following falls in older adults’, </w:t>
      </w:r>
      <w:r w:rsidRPr="00440F88">
        <w:rPr>
          <w:rFonts w:ascii="Arial" w:eastAsia="Times New Roman" w:hAnsi="Arial" w:cs="Arial"/>
          <w:i/>
          <w:iCs/>
          <w:kern w:val="0"/>
          <w:sz w:val="22"/>
          <w:szCs w:val="22"/>
          <w:lang w:eastAsia="en-IN"/>
          <w14:ligatures w14:val="none"/>
        </w:rPr>
        <w:t>BMC Geriatrics</w:t>
      </w:r>
      <w:r w:rsidRPr="00440F88">
        <w:rPr>
          <w:rFonts w:ascii="Arial" w:eastAsia="Times New Roman" w:hAnsi="Arial" w:cs="Arial"/>
          <w:kern w:val="0"/>
          <w:sz w:val="22"/>
          <w:szCs w:val="22"/>
          <w:lang w:eastAsia="en-IN"/>
          <w14:ligatures w14:val="none"/>
        </w:rPr>
        <w:t xml:space="preserve">, 21(1), pp. 1–10. Available at: </w:t>
      </w:r>
      <w:hyperlink r:id="rId33" w:tgtFrame="_new" w:history="1">
        <w:r w:rsidRPr="00440F88">
          <w:rPr>
            <w:rFonts w:ascii="Arial" w:eastAsia="Times New Roman" w:hAnsi="Arial" w:cs="Arial"/>
            <w:color w:val="0000FF"/>
            <w:kern w:val="0"/>
            <w:sz w:val="22"/>
            <w:szCs w:val="22"/>
            <w:u w:val="single"/>
            <w:lang w:eastAsia="en-IN"/>
            <w14:ligatures w14:val="none"/>
          </w:rPr>
          <w:t>https://bmcgeriatr.biomedcentral.com</w:t>
        </w:r>
      </w:hyperlink>
      <w:r w:rsidRPr="00440F88">
        <w:rPr>
          <w:rFonts w:ascii="Arial" w:eastAsia="Times New Roman" w:hAnsi="Arial" w:cs="Arial"/>
          <w:kern w:val="0"/>
          <w:sz w:val="22"/>
          <w:szCs w:val="22"/>
          <w:lang w:eastAsia="en-IN"/>
          <w14:ligatures w14:val="none"/>
        </w:rPr>
        <w:t xml:space="preserve"> (Accessed: 2 December 2025).</w:t>
      </w:r>
    </w:p>
    <w:p w14:paraId="3A78451F"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Greenhalgh, T. et al. (2019) ‘Diffusion of innovations in health service organisations’, </w:t>
      </w:r>
      <w:r w:rsidRPr="00440F88">
        <w:rPr>
          <w:rFonts w:ascii="Arial" w:eastAsia="Times New Roman" w:hAnsi="Arial" w:cs="Arial"/>
          <w:i/>
          <w:iCs/>
          <w:kern w:val="0"/>
          <w:sz w:val="22"/>
          <w:szCs w:val="22"/>
          <w:lang w:eastAsia="en-IN"/>
          <w14:ligatures w14:val="none"/>
        </w:rPr>
        <w:t>Milbank Quarterly</w:t>
      </w:r>
      <w:r w:rsidRPr="00440F88">
        <w:rPr>
          <w:rFonts w:ascii="Arial" w:eastAsia="Times New Roman" w:hAnsi="Arial" w:cs="Arial"/>
          <w:kern w:val="0"/>
          <w:sz w:val="22"/>
          <w:szCs w:val="22"/>
          <w:lang w:eastAsia="en-IN"/>
          <w14:ligatures w14:val="none"/>
        </w:rPr>
        <w:t>, 97(2), pp. 537–566.</w:t>
      </w:r>
    </w:p>
    <w:p w14:paraId="33009B6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Guyatt, G.H. et al. (2011) ‘GRADE guidelines’, </w:t>
      </w:r>
      <w:r w:rsidRPr="00440F88">
        <w:rPr>
          <w:rFonts w:ascii="Arial" w:eastAsia="Times New Roman" w:hAnsi="Arial" w:cs="Arial"/>
          <w:i/>
          <w:iCs/>
          <w:kern w:val="0"/>
          <w:sz w:val="22"/>
          <w:szCs w:val="22"/>
          <w:lang w:eastAsia="en-IN"/>
          <w14:ligatures w14:val="none"/>
        </w:rPr>
        <w:t>Journal of Clinical Epidemiology</w:t>
      </w:r>
      <w:r w:rsidRPr="00440F88">
        <w:rPr>
          <w:rFonts w:ascii="Arial" w:eastAsia="Times New Roman" w:hAnsi="Arial" w:cs="Arial"/>
          <w:kern w:val="0"/>
          <w:sz w:val="22"/>
          <w:szCs w:val="22"/>
          <w:lang w:eastAsia="en-IN"/>
          <w14:ligatures w14:val="none"/>
        </w:rPr>
        <w:t>, 64(4), pp. 383–394.</w:t>
      </w:r>
    </w:p>
    <w:p w14:paraId="39571397"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Guyatt, G.H., Oxman, A.D., Kunz, R. et al. (2022) ‘GRADE guidelines: rating the certainty of evidence’, </w:t>
      </w:r>
      <w:r w:rsidRPr="00440F88">
        <w:rPr>
          <w:rFonts w:ascii="Arial" w:eastAsia="Times New Roman" w:hAnsi="Arial" w:cs="Arial"/>
          <w:i/>
          <w:iCs/>
          <w:kern w:val="0"/>
          <w:sz w:val="22"/>
          <w:szCs w:val="22"/>
          <w:lang w:eastAsia="en-IN"/>
          <w14:ligatures w14:val="none"/>
        </w:rPr>
        <w:t>BMJ</w:t>
      </w:r>
      <w:r w:rsidRPr="00440F88">
        <w:rPr>
          <w:rFonts w:ascii="Arial" w:eastAsia="Times New Roman" w:hAnsi="Arial" w:cs="Arial"/>
          <w:kern w:val="0"/>
          <w:sz w:val="22"/>
          <w:szCs w:val="22"/>
          <w:lang w:eastAsia="en-IN"/>
          <w14:ligatures w14:val="none"/>
        </w:rPr>
        <w:t>, 376, e068347.</w:t>
      </w:r>
    </w:p>
    <w:p w14:paraId="5C9758C7"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Hall, A.M., Ferreira, P.H., Maher, C.G., Latimer, J. and Ferreira, M.L. (2010) ‘The influence of the therapist–patient relationship on treatment outcome in physiotherapy’, </w:t>
      </w:r>
      <w:r w:rsidRPr="00440F88">
        <w:rPr>
          <w:rFonts w:ascii="Arial" w:eastAsia="Times New Roman" w:hAnsi="Arial" w:cs="Arial"/>
          <w:i/>
          <w:iCs/>
          <w:kern w:val="0"/>
          <w:sz w:val="22"/>
          <w:szCs w:val="22"/>
          <w:lang w:eastAsia="en-IN"/>
          <w14:ligatures w14:val="none"/>
        </w:rPr>
        <w:t>Physical Therapy</w:t>
      </w:r>
      <w:r w:rsidRPr="00440F88">
        <w:rPr>
          <w:rFonts w:ascii="Arial" w:eastAsia="Times New Roman" w:hAnsi="Arial" w:cs="Arial"/>
          <w:kern w:val="0"/>
          <w:sz w:val="22"/>
          <w:szCs w:val="22"/>
          <w:lang w:eastAsia="en-IN"/>
          <w14:ligatures w14:val="none"/>
        </w:rPr>
        <w:t xml:space="preserve">, 90(8), pp. 1099–1110. Available at: </w:t>
      </w:r>
      <w:hyperlink r:id="rId34" w:tgtFrame="_new" w:history="1">
        <w:r w:rsidRPr="00440F88">
          <w:rPr>
            <w:rFonts w:ascii="Arial" w:eastAsia="Times New Roman" w:hAnsi="Arial" w:cs="Arial"/>
            <w:color w:val="0000FF"/>
            <w:kern w:val="0"/>
            <w:sz w:val="22"/>
            <w:szCs w:val="22"/>
            <w:u w:val="single"/>
            <w:lang w:eastAsia="en-IN"/>
            <w14:ligatures w14:val="none"/>
          </w:rPr>
          <w:t>https://academic.oup.com/ptj</w:t>
        </w:r>
      </w:hyperlink>
      <w:r w:rsidRPr="00440F88">
        <w:rPr>
          <w:rFonts w:ascii="Arial" w:eastAsia="Times New Roman" w:hAnsi="Arial" w:cs="Arial"/>
          <w:kern w:val="0"/>
          <w:sz w:val="22"/>
          <w:szCs w:val="22"/>
          <w:lang w:eastAsia="en-IN"/>
          <w14:ligatures w14:val="none"/>
        </w:rPr>
        <w:t xml:space="preserve"> (Accessed: 25 December 2025).</w:t>
      </w:r>
    </w:p>
    <w:p w14:paraId="3535AABA"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Harden, A. et al. (2018) ‘Mixed-method evidence synthesis’, </w:t>
      </w:r>
      <w:r w:rsidRPr="00440F88">
        <w:rPr>
          <w:rFonts w:ascii="Arial" w:eastAsia="Times New Roman" w:hAnsi="Arial" w:cs="Arial"/>
          <w:i/>
          <w:iCs/>
          <w:kern w:val="0"/>
          <w:sz w:val="22"/>
          <w:szCs w:val="22"/>
          <w:lang w:eastAsia="en-IN"/>
          <w14:ligatures w14:val="none"/>
        </w:rPr>
        <w:t>Journal of Mixed Methods Research</w:t>
      </w:r>
      <w:r w:rsidRPr="00440F88">
        <w:rPr>
          <w:rFonts w:ascii="Arial" w:eastAsia="Times New Roman" w:hAnsi="Arial" w:cs="Arial"/>
          <w:kern w:val="0"/>
          <w:sz w:val="22"/>
          <w:szCs w:val="22"/>
          <w:lang w:eastAsia="en-IN"/>
          <w14:ligatures w14:val="none"/>
        </w:rPr>
        <w:t>, 12(1), pp. 5–20.</w:t>
      </w:r>
    </w:p>
    <w:p w14:paraId="66E372A4"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Harden, A. et al. (2018) ‘Mixed-methods synthesis’, </w:t>
      </w:r>
      <w:r w:rsidRPr="00440F88">
        <w:rPr>
          <w:rFonts w:ascii="Arial" w:eastAsia="Times New Roman" w:hAnsi="Arial" w:cs="Arial"/>
          <w:i/>
          <w:iCs/>
          <w:kern w:val="0"/>
          <w:sz w:val="22"/>
          <w:szCs w:val="22"/>
          <w:lang w:eastAsia="en-IN"/>
          <w14:ligatures w14:val="none"/>
        </w:rPr>
        <w:t>Journal of Mixed Methods Research</w:t>
      </w:r>
      <w:r w:rsidRPr="00440F88">
        <w:rPr>
          <w:rFonts w:ascii="Arial" w:eastAsia="Times New Roman" w:hAnsi="Arial" w:cs="Arial"/>
          <w:kern w:val="0"/>
          <w:sz w:val="22"/>
          <w:szCs w:val="22"/>
          <w:lang w:eastAsia="en-IN"/>
          <w14:ligatures w14:val="none"/>
        </w:rPr>
        <w:t>, 12(1), pp. 5–20.</w:t>
      </w:r>
    </w:p>
    <w:p w14:paraId="3EB1EBF3"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Harrison, R., Jones, P. and Patel, N. (2021) ‘Barriers to participation in falls prevention programmes among older adults’, </w:t>
      </w:r>
      <w:r w:rsidRPr="00440F88">
        <w:rPr>
          <w:rFonts w:ascii="Arial" w:eastAsia="Times New Roman" w:hAnsi="Arial" w:cs="Arial"/>
          <w:i/>
          <w:iCs/>
          <w:kern w:val="0"/>
          <w:sz w:val="22"/>
          <w:szCs w:val="22"/>
          <w:lang w:eastAsia="en-IN"/>
          <w14:ligatures w14:val="none"/>
        </w:rPr>
        <w:t>BMC Geriatrics</w:t>
      </w:r>
      <w:r w:rsidRPr="00440F88">
        <w:rPr>
          <w:rFonts w:ascii="Arial" w:eastAsia="Times New Roman" w:hAnsi="Arial" w:cs="Arial"/>
          <w:kern w:val="0"/>
          <w:sz w:val="22"/>
          <w:szCs w:val="22"/>
          <w:lang w:eastAsia="en-IN"/>
          <w14:ligatures w14:val="none"/>
        </w:rPr>
        <w:t>, 21(1), pp. 1–12.</w:t>
      </w:r>
    </w:p>
    <w:p w14:paraId="4AB5921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Hartling, L. et al. (2017) ‘Risk of bias tools’, </w:t>
      </w:r>
      <w:r w:rsidRPr="00440F88">
        <w:rPr>
          <w:rFonts w:ascii="Arial" w:eastAsia="Times New Roman" w:hAnsi="Arial" w:cs="Arial"/>
          <w:i/>
          <w:iCs/>
          <w:kern w:val="0"/>
          <w:sz w:val="22"/>
          <w:szCs w:val="22"/>
          <w:lang w:eastAsia="en-IN"/>
          <w14:ligatures w14:val="none"/>
        </w:rPr>
        <w:t>Systematic Reviews</w:t>
      </w:r>
      <w:r w:rsidRPr="00440F88">
        <w:rPr>
          <w:rFonts w:ascii="Arial" w:eastAsia="Times New Roman" w:hAnsi="Arial" w:cs="Arial"/>
          <w:kern w:val="0"/>
          <w:sz w:val="22"/>
          <w:szCs w:val="22"/>
          <w:lang w:eastAsia="en-IN"/>
          <w14:ligatures w14:val="none"/>
        </w:rPr>
        <w:t>, 6, 194.</w:t>
      </w:r>
    </w:p>
    <w:p w14:paraId="32B304EE"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Hawe, P. et al. (2009) ‘Complex interventions’, </w:t>
      </w:r>
      <w:r w:rsidRPr="00440F88">
        <w:rPr>
          <w:rFonts w:ascii="Arial" w:eastAsia="Times New Roman" w:hAnsi="Arial" w:cs="Arial"/>
          <w:i/>
          <w:iCs/>
          <w:kern w:val="0"/>
          <w:sz w:val="22"/>
          <w:szCs w:val="22"/>
          <w:lang w:eastAsia="en-IN"/>
          <w14:ligatures w14:val="none"/>
        </w:rPr>
        <w:t>BMJ</w:t>
      </w:r>
      <w:r w:rsidRPr="00440F88">
        <w:rPr>
          <w:rFonts w:ascii="Arial" w:eastAsia="Times New Roman" w:hAnsi="Arial" w:cs="Arial"/>
          <w:kern w:val="0"/>
          <w:sz w:val="22"/>
          <w:szCs w:val="22"/>
          <w:lang w:eastAsia="en-IN"/>
          <w14:ligatures w14:val="none"/>
        </w:rPr>
        <w:t>, 339, b2531.</w:t>
      </w:r>
    </w:p>
    <w:p w14:paraId="18D0E040"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lastRenderedPageBreak/>
        <w:t xml:space="preserve">Health Education Monographs (1974) </w:t>
      </w:r>
      <w:r w:rsidRPr="00440F88">
        <w:rPr>
          <w:rFonts w:ascii="Arial" w:eastAsia="Times New Roman" w:hAnsi="Arial" w:cs="Arial"/>
          <w:i/>
          <w:iCs/>
          <w:kern w:val="0"/>
          <w:sz w:val="22"/>
          <w:szCs w:val="22"/>
          <w:lang w:eastAsia="en-IN"/>
          <w14:ligatures w14:val="none"/>
        </w:rPr>
        <w:t>Health Education Monographs</w:t>
      </w:r>
      <w:r w:rsidRPr="00440F88">
        <w:rPr>
          <w:rFonts w:ascii="Arial" w:eastAsia="Times New Roman" w:hAnsi="Arial" w:cs="Arial"/>
          <w:kern w:val="0"/>
          <w:sz w:val="22"/>
          <w:szCs w:val="22"/>
          <w:lang w:eastAsia="en-IN"/>
          <w14:ligatures w14:val="none"/>
        </w:rPr>
        <w:t>, 2(4), pp. 354–386.</w:t>
      </w:r>
    </w:p>
    <w:p w14:paraId="2037BD29"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Higgins, J.P.T., Thomas, J., Chandler, J. et al. (2020) </w:t>
      </w:r>
      <w:r w:rsidRPr="00440F88">
        <w:rPr>
          <w:rFonts w:ascii="Arial" w:eastAsia="Times New Roman" w:hAnsi="Arial" w:cs="Arial"/>
          <w:i/>
          <w:iCs/>
          <w:kern w:val="0"/>
          <w:sz w:val="22"/>
          <w:szCs w:val="22"/>
          <w:lang w:eastAsia="en-IN"/>
          <w14:ligatures w14:val="none"/>
        </w:rPr>
        <w:t>Cochrane handbook for systematic reviews of interventions</w:t>
      </w:r>
      <w:r w:rsidRPr="00440F88">
        <w:rPr>
          <w:rFonts w:ascii="Arial" w:eastAsia="Times New Roman" w:hAnsi="Arial" w:cs="Arial"/>
          <w:kern w:val="0"/>
          <w:sz w:val="22"/>
          <w:szCs w:val="22"/>
          <w:lang w:eastAsia="en-IN"/>
          <w14:ligatures w14:val="none"/>
        </w:rPr>
        <w:t>. Version 6.1. Chichester: Wiley.</w:t>
      </w:r>
    </w:p>
    <w:p w14:paraId="1560936E"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Holt-Lunstad, J. et al. (2015) ‘Loneliness and mortality’, </w:t>
      </w:r>
      <w:r w:rsidRPr="00440F88">
        <w:rPr>
          <w:rFonts w:ascii="Arial" w:eastAsia="Times New Roman" w:hAnsi="Arial" w:cs="Arial"/>
          <w:i/>
          <w:iCs/>
          <w:kern w:val="0"/>
          <w:sz w:val="22"/>
          <w:szCs w:val="22"/>
          <w:lang w:eastAsia="en-IN"/>
          <w14:ligatures w14:val="none"/>
        </w:rPr>
        <w:t>Perspectives on Psychological Science</w:t>
      </w:r>
      <w:r w:rsidRPr="00440F88">
        <w:rPr>
          <w:rFonts w:ascii="Arial" w:eastAsia="Times New Roman" w:hAnsi="Arial" w:cs="Arial"/>
          <w:kern w:val="0"/>
          <w:sz w:val="22"/>
          <w:szCs w:val="22"/>
          <w:lang w:eastAsia="en-IN"/>
          <w14:ligatures w14:val="none"/>
        </w:rPr>
        <w:t>, 10(2), pp. 227–237.</w:t>
      </w:r>
    </w:p>
    <w:p w14:paraId="3504AC04" w14:textId="4B94858D"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Hopewell, S., Adedire, O., Copsey, B.J. et al. (2018) ‘Multifactorial and multiple component interventions for preventing falls in older people living in the community’, </w:t>
      </w:r>
      <w:r w:rsidRPr="00440F88">
        <w:rPr>
          <w:rFonts w:ascii="Arial" w:eastAsia="Times New Roman" w:hAnsi="Arial" w:cs="Arial"/>
          <w:i/>
          <w:iCs/>
          <w:kern w:val="0"/>
          <w:sz w:val="22"/>
          <w:szCs w:val="22"/>
          <w:lang w:eastAsia="en-IN"/>
          <w14:ligatures w14:val="none"/>
        </w:rPr>
        <w:t>Cochrane Database of Systematic Reviews</w:t>
      </w:r>
      <w:r w:rsidRPr="00440F88">
        <w:rPr>
          <w:rFonts w:ascii="Arial" w:eastAsia="Times New Roman" w:hAnsi="Arial" w:cs="Arial"/>
          <w:kern w:val="0"/>
          <w:sz w:val="22"/>
          <w:szCs w:val="22"/>
          <w:lang w:eastAsia="en-IN"/>
          <w14:ligatures w14:val="none"/>
        </w:rPr>
        <w:t xml:space="preserve">, 7, CD012221. Available at: </w:t>
      </w:r>
      <w:hyperlink r:id="rId35" w:history="1">
        <w:r w:rsidR="0064380B" w:rsidRPr="00440F88">
          <w:rPr>
            <w:rStyle w:val="Hyperlink"/>
            <w:rFonts w:ascii="Arial" w:eastAsia="Times New Roman" w:hAnsi="Arial" w:cs="Arial"/>
            <w:kern w:val="0"/>
            <w:sz w:val="22"/>
            <w:szCs w:val="22"/>
            <w:lang w:eastAsia="en-IN"/>
            <w14:ligatures w14:val="none"/>
          </w:rPr>
          <w:t>https://www.cochranelibrary.com/cdsr/doi/10.1002/14651858.CD012221.pub2/full</w:t>
        </w:r>
      </w:hyperlink>
      <w:r w:rsidR="0064380B" w:rsidRPr="00440F88">
        <w:rPr>
          <w:rFonts w:ascii="Arial" w:eastAsia="Times New Roman" w:hAnsi="Arial" w:cs="Arial"/>
          <w:kern w:val="0"/>
          <w:sz w:val="22"/>
          <w:szCs w:val="22"/>
          <w:lang w:eastAsia="en-IN"/>
          <w14:ligatures w14:val="none"/>
        </w:rPr>
        <w:t xml:space="preserve"> </w:t>
      </w:r>
      <w:r w:rsidRPr="00440F88">
        <w:rPr>
          <w:rFonts w:ascii="Arial" w:eastAsia="Times New Roman" w:hAnsi="Arial" w:cs="Arial"/>
          <w:kern w:val="0"/>
          <w:sz w:val="22"/>
          <w:szCs w:val="22"/>
          <w:lang w:eastAsia="en-IN"/>
          <w14:ligatures w14:val="none"/>
        </w:rPr>
        <w:t>(Accessed: 25 December 2025).</w:t>
      </w:r>
    </w:p>
    <w:p w14:paraId="0F47F31E"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Hopewell, S., Boutron, I. and Altman, D.G. (2021) ‘Incorporating context and implementation into systematic reviews of public health interventions’, </w:t>
      </w:r>
      <w:r w:rsidRPr="00440F88">
        <w:rPr>
          <w:rFonts w:ascii="Arial" w:eastAsia="Times New Roman" w:hAnsi="Arial" w:cs="Arial"/>
          <w:i/>
          <w:iCs/>
          <w:kern w:val="0"/>
          <w:sz w:val="22"/>
          <w:szCs w:val="22"/>
          <w:lang w:eastAsia="en-IN"/>
          <w14:ligatures w14:val="none"/>
        </w:rPr>
        <w:t>Journal of Clinical Epidemiology</w:t>
      </w:r>
      <w:r w:rsidRPr="00440F88">
        <w:rPr>
          <w:rFonts w:ascii="Arial" w:eastAsia="Times New Roman" w:hAnsi="Arial" w:cs="Arial"/>
          <w:kern w:val="0"/>
          <w:sz w:val="22"/>
          <w:szCs w:val="22"/>
          <w:lang w:eastAsia="en-IN"/>
          <w14:ligatures w14:val="none"/>
        </w:rPr>
        <w:t>, 134, pp. 134–142.</w:t>
      </w:r>
    </w:p>
    <w:p w14:paraId="56467B5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Howe, T.E. et al. (2011) ‘Exercise for preventing falls’, </w:t>
      </w:r>
      <w:r w:rsidRPr="00440F88">
        <w:rPr>
          <w:rFonts w:ascii="Arial" w:eastAsia="Times New Roman" w:hAnsi="Arial" w:cs="Arial"/>
          <w:i/>
          <w:iCs/>
          <w:kern w:val="0"/>
          <w:sz w:val="22"/>
          <w:szCs w:val="22"/>
          <w:lang w:eastAsia="en-IN"/>
          <w14:ligatures w14:val="none"/>
        </w:rPr>
        <w:t>Cochrane Database of Systematic Reviews</w:t>
      </w:r>
      <w:r w:rsidRPr="00440F88">
        <w:rPr>
          <w:rFonts w:ascii="Arial" w:eastAsia="Times New Roman" w:hAnsi="Arial" w:cs="Arial"/>
          <w:kern w:val="0"/>
          <w:sz w:val="22"/>
          <w:szCs w:val="22"/>
          <w:lang w:eastAsia="en-IN"/>
          <w14:ligatures w14:val="none"/>
        </w:rPr>
        <w:t>, (7).</w:t>
      </w:r>
    </w:p>
    <w:p w14:paraId="68F5E62F"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Humphries, R. et al. (2020) Social care and integration. London: The King’s Fund.</w:t>
      </w:r>
    </w:p>
    <w:p w14:paraId="3C8C7A68"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Imison, C. et al. (2017) Shifting the balance of care. London: Nuffield Trust.</w:t>
      </w:r>
    </w:p>
    <w:p w14:paraId="7440BFBF"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Investing in community physiotherapy is a crucial tactic to lower falls, encourage independence, and minimise health disparities given England’s increasingly ageing metropolitan population (n.d.).</w:t>
      </w:r>
    </w:p>
    <w:p w14:paraId="7308E5AA"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JBI (2020) </w:t>
      </w:r>
      <w:r w:rsidRPr="00440F88">
        <w:rPr>
          <w:rFonts w:ascii="Arial" w:eastAsia="Times New Roman" w:hAnsi="Arial" w:cs="Arial"/>
          <w:i/>
          <w:iCs/>
          <w:kern w:val="0"/>
          <w:sz w:val="22"/>
          <w:szCs w:val="22"/>
          <w:lang w:eastAsia="en-IN"/>
          <w14:ligatures w14:val="none"/>
        </w:rPr>
        <w:t>Checklist for systematic reviews and research syntheses</w:t>
      </w:r>
      <w:r w:rsidRPr="00440F88">
        <w:rPr>
          <w:rFonts w:ascii="Arial" w:eastAsia="Times New Roman" w:hAnsi="Arial" w:cs="Arial"/>
          <w:kern w:val="0"/>
          <w:sz w:val="22"/>
          <w:szCs w:val="22"/>
          <w:lang w:eastAsia="en-IN"/>
          <w14:ligatures w14:val="none"/>
        </w:rPr>
        <w:t xml:space="preserve">. Available at: </w:t>
      </w:r>
      <w:hyperlink r:id="rId36" w:tgtFrame="_new" w:history="1">
        <w:r w:rsidRPr="00440F88">
          <w:rPr>
            <w:rFonts w:ascii="Arial" w:eastAsia="Times New Roman" w:hAnsi="Arial" w:cs="Arial"/>
            <w:color w:val="0000FF"/>
            <w:kern w:val="0"/>
            <w:sz w:val="22"/>
            <w:szCs w:val="22"/>
            <w:u w:val="single"/>
            <w:lang w:eastAsia="en-IN"/>
            <w14:ligatures w14:val="none"/>
          </w:rPr>
          <w:t>https://jbi.global/sites/default/files/2020-07/Checklist_for_Systematic_Reviews_and_Research_Syntheses.pdf</w:t>
        </w:r>
      </w:hyperlink>
      <w:r w:rsidRPr="00440F88">
        <w:rPr>
          <w:rFonts w:ascii="Arial" w:eastAsia="Times New Roman" w:hAnsi="Arial" w:cs="Arial"/>
          <w:kern w:val="0"/>
          <w:sz w:val="22"/>
          <w:szCs w:val="22"/>
          <w:lang w:eastAsia="en-IN"/>
          <w14:ligatures w14:val="none"/>
        </w:rPr>
        <w:t xml:space="preserve"> (Accessed: 22 December 2025).</w:t>
      </w:r>
    </w:p>
    <w:p w14:paraId="375F9E86"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Johnson, T., Miller, A. and Roberts, S. (2021) ‘Effectiveness of physiotherapy-led fall prevention programmes’, </w:t>
      </w:r>
      <w:r w:rsidRPr="00440F88">
        <w:rPr>
          <w:rFonts w:ascii="Arial" w:eastAsia="Times New Roman" w:hAnsi="Arial" w:cs="Arial"/>
          <w:i/>
          <w:iCs/>
          <w:kern w:val="0"/>
          <w:sz w:val="22"/>
          <w:szCs w:val="22"/>
          <w:lang w:eastAsia="en-IN"/>
          <w14:ligatures w14:val="none"/>
        </w:rPr>
        <w:t>Physiotherapy</w:t>
      </w:r>
      <w:r w:rsidRPr="00440F88">
        <w:rPr>
          <w:rFonts w:ascii="Arial" w:eastAsia="Times New Roman" w:hAnsi="Arial" w:cs="Arial"/>
          <w:kern w:val="0"/>
          <w:sz w:val="22"/>
          <w:szCs w:val="22"/>
          <w:lang w:eastAsia="en-IN"/>
          <w14:ligatures w14:val="none"/>
        </w:rPr>
        <w:t xml:space="preserve">, 111, pp. 15–22. Available at: </w:t>
      </w:r>
      <w:hyperlink r:id="rId37" w:tgtFrame="_new" w:history="1">
        <w:r w:rsidRPr="00440F88">
          <w:rPr>
            <w:rFonts w:ascii="Arial" w:eastAsia="Times New Roman" w:hAnsi="Arial" w:cs="Arial"/>
            <w:color w:val="0000FF"/>
            <w:kern w:val="0"/>
            <w:sz w:val="22"/>
            <w:szCs w:val="22"/>
            <w:u w:val="single"/>
            <w:lang w:eastAsia="en-IN"/>
            <w14:ligatures w14:val="none"/>
          </w:rPr>
          <w:t>https://www.journals.elsevier.com</w:t>
        </w:r>
      </w:hyperlink>
      <w:r w:rsidRPr="00440F88">
        <w:rPr>
          <w:rFonts w:ascii="Arial" w:eastAsia="Times New Roman" w:hAnsi="Arial" w:cs="Arial"/>
          <w:kern w:val="0"/>
          <w:sz w:val="22"/>
          <w:szCs w:val="22"/>
          <w:lang w:eastAsia="en-IN"/>
          <w14:ligatures w14:val="none"/>
        </w:rPr>
        <w:t xml:space="preserve"> (Accessed: 2 December 2025).</w:t>
      </w:r>
    </w:p>
    <w:p w14:paraId="6A514694"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Keating, C.J. et al. (2021) ‘Influence of resistance training on gait and balance parameters in older adults’, </w:t>
      </w:r>
      <w:r w:rsidRPr="00440F88">
        <w:rPr>
          <w:rFonts w:ascii="Arial" w:eastAsia="Times New Roman" w:hAnsi="Arial" w:cs="Arial"/>
          <w:i/>
          <w:iCs/>
          <w:kern w:val="0"/>
          <w:sz w:val="22"/>
          <w:szCs w:val="22"/>
          <w:lang w:eastAsia="en-IN"/>
          <w14:ligatures w14:val="none"/>
        </w:rPr>
        <w:t>International Journal of Environmental Research and Public Health</w:t>
      </w:r>
      <w:r w:rsidRPr="00440F88">
        <w:rPr>
          <w:rFonts w:ascii="Arial" w:eastAsia="Times New Roman" w:hAnsi="Arial" w:cs="Arial"/>
          <w:kern w:val="0"/>
          <w:sz w:val="22"/>
          <w:szCs w:val="22"/>
          <w:lang w:eastAsia="en-IN"/>
          <w14:ligatures w14:val="none"/>
        </w:rPr>
        <w:t>, 18(4), 1759.</w:t>
      </w:r>
    </w:p>
    <w:p w14:paraId="4B0D9C0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Kingston, A. et al. (2018) ‘Projections of health and care needs’, The Lancet Public Health, 3(9), pp. e447–e455.</w:t>
      </w:r>
    </w:p>
    <w:p w14:paraId="64282AA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lastRenderedPageBreak/>
        <w:t xml:space="preserve">Kuh, D. et al. (2014) ‘A life course approach to healthy ageing’, </w:t>
      </w:r>
      <w:r w:rsidRPr="00440F88">
        <w:rPr>
          <w:rFonts w:ascii="Arial" w:eastAsia="Times New Roman" w:hAnsi="Arial" w:cs="Arial"/>
          <w:i/>
          <w:iCs/>
          <w:kern w:val="0"/>
          <w:sz w:val="22"/>
          <w:szCs w:val="22"/>
          <w:lang w:eastAsia="en-IN"/>
          <w14:ligatures w14:val="none"/>
        </w:rPr>
        <w:t>The Lancet</w:t>
      </w:r>
      <w:r w:rsidRPr="00440F88">
        <w:rPr>
          <w:rFonts w:ascii="Arial" w:eastAsia="Times New Roman" w:hAnsi="Arial" w:cs="Arial"/>
          <w:kern w:val="0"/>
          <w:sz w:val="22"/>
          <w:szCs w:val="22"/>
          <w:lang w:eastAsia="en-IN"/>
          <w14:ligatures w14:val="none"/>
        </w:rPr>
        <w:t>, 384(9947), pp. 1863–1880.</w:t>
      </w:r>
    </w:p>
    <w:p w14:paraId="73F8847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Landi, F. et al. (2012) ‘Sarcopenia and falls’, </w:t>
      </w:r>
      <w:r w:rsidRPr="00440F88">
        <w:rPr>
          <w:rFonts w:ascii="Arial" w:eastAsia="Times New Roman" w:hAnsi="Arial" w:cs="Arial"/>
          <w:i/>
          <w:iCs/>
          <w:kern w:val="0"/>
          <w:sz w:val="22"/>
          <w:szCs w:val="22"/>
          <w:lang w:eastAsia="en-IN"/>
          <w14:ligatures w14:val="none"/>
        </w:rPr>
        <w:t>Journal of Nutrition Health and Aging</w:t>
      </w:r>
      <w:r w:rsidRPr="00440F88">
        <w:rPr>
          <w:rFonts w:ascii="Arial" w:eastAsia="Times New Roman" w:hAnsi="Arial" w:cs="Arial"/>
          <w:kern w:val="0"/>
          <w:sz w:val="22"/>
          <w:szCs w:val="22"/>
          <w:lang w:eastAsia="en-IN"/>
          <w14:ligatures w14:val="none"/>
        </w:rPr>
        <w:t>, 16(6), pp. 503–509.</w:t>
      </w:r>
    </w:p>
    <w:p w14:paraId="1FFF57A6"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Lefebvre, C. et al. (2021) </w:t>
      </w:r>
      <w:r w:rsidRPr="00440F88">
        <w:rPr>
          <w:rFonts w:ascii="Arial" w:eastAsia="Times New Roman" w:hAnsi="Arial" w:cs="Arial"/>
          <w:i/>
          <w:iCs/>
          <w:kern w:val="0"/>
          <w:sz w:val="22"/>
          <w:szCs w:val="22"/>
          <w:lang w:eastAsia="en-IN"/>
          <w14:ligatures w14:val="none"/>
        </w:rPr>
        <w:t>Cochrane handbook for systematic reviews</w:t>
      </w:r>
      <w:r w:rsidRPr="00440F88">
        <w:rPr>
          <w:rFonts w:ascii="Arial" w:eastAsia="Times New Roman" w:hAnsi="Arial" w:cs="Arial"/>
          <w:kern w:val="0"/>
          <w:sz w:val="22"/>
          <w:szCs w:val="22"/>
          <w:lang w:eastAsia="en-IN"/>
          <w14:ligatures w14:val="none"/>
        </w:rPr>
        <w:t>. London: Wiley.</w:t>
      </w:r>
    </w:p>
    <w:p w14:paraId="21D2439D"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Lesinski, M. et al. (2015) ‘Dose–response relationships of balance training’, Sports Medicine, 45(12), pp. 1693–1720.</w:t>
      </w:r>
    </w:p>
    <w:p w14:paraId="1A789C61"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Li, T. et al. (2015) ‘Piloting data extraction forms’, </w:t>
      </w:r>
      <w:r w:rsidRPr="00440F88">
        <w:rPr>
          <w:rFonts w:ascii="Arial" w:eastAsia="Times New Roman" w:hAnsi="Arial" w:cs="Arial"/>
          <w:i/>
          <w:iCs/>
          <w:kern w:val="0"/>
          <w:sz w:val="22"/>
          <w:szCs w:val="22"/>
          <w:lang w:eastAsia="en-IN"/>
          <w14:ligatures w14:val="none"/>
        </w:rPr>
        <w:t>Systematic Reviews</w:t>
      </w:r>
      <w:r w:rsidRPr="00440F88">
        <w:rPr>
          <w:rFonts w:ascii="Arial" w:eastAsia="Times New Roman" w:hAnsi="Arial" w:cs="Arial"/>
          <w:kern w:val="0"/>
          <w:sz w:val="22"/>
          <w:szCs w:val="22"/>
          <w:lang w:eastAsia="en-IN"/>
          <w14:ligatures w14:val="none"/>
        </w:rPr>
        <w:t>, 4, 53.</w:t>
      </w:r>
    </w:p>
    <w:p w14:paraId="2013ED83"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Li, T., Higgins, J.P.T. and Deeks, J.J. (2022) ‘Collecting data and assessing risk of bias’, in Higgins, J.P.T. et al. (eds.) </w:t>
      </w:r>
      <w:r w:rsidRPr="00440F88">
        <w:rPr>
          <w:rFonts w:ascii="Arial" w:eastAsia="Times New Roman" w:hAnsi="Arial" w:cs="Arial"/>
          <w:i/>
          <w:iCs/>
          <w:kern w:val="0"/>
          <w:sz w:val="22"/>
          <w:szCs w:val="22"/>
          <w:lang w:eastAsia="en-IN"/>
          <w14:ligatures w14:val="none"/>
        </w:rPr>
        <w:t>Cochrane handbook for systematic reviews of interventions</w:t>
      </w:r>
      <w:r w:rsidRPr="00440F88">
        <w:rPr>
          <w:rFonts w:ascii="Arial" w:eastAsia="Times New Roman" w:hAnsi="Arial" w:cs="Arial"/>
          <w:kern w:val="0"/>
          <w:sz w:val="22"/>
          <w:szCs w:val="22"/>
          <w:lang w:eastAsia="en-IN"/>
          <w14:ligatures w14:val="none"/>
        </w:rPr>
        <w:t>. 2nd edn. Chichester: Wiley.</w:t>
      </w:r>
    </w:p>
    <w:p w14:paraId="12DBCDFD" w14:textId="5B1405D9" w:rsidR="0064380B" w:rsidRPr="00440F88" w:rsidRDefault="00271515" w:rsidP="00440F88">
      <w:pPr>
        <w:pStyle w:val="ListParagraph"/>
        <w:numPr>
          <w:ilvl w:val="0"/>
          <w:numId w:val="16"/>
        </w:numPr>
        <w:spacing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Liu, C.J. and Latham, N.K. (2011) ‘Progressive resistance strength training for improving physical function in older adults’, </w:t>
      </w:r>
      <w:r w:rsidRPr="00440F88">
        <w:rPr>
          <w:rFonts w:ascii="Arial" w:eastAsia="Times New Roman" w:hAnsi="Arial" w:cs="Arial"/>
          <w:i/>
          <w:iCs/>
          <w:kern w:val="0"/>
          <w:sz w:val="22"/>
          <w:szCs w:val="22"/>
          <w:lang w:eastAsia="en-IN"/>
          <w14:ligatures w14:val="none"/>
        </w:rPr>
        <w:t>Cochrane Database of Systematic Reviews</w:t>
      </w:r>
      <w:r w:rsidRPr="00440F88">
        <w:rPr>
          <w:rFonts w:ascii="Arial" w:eastAsia="Times New Roman" w:hAnsi="Arial" w:cs="Arial"/>
          <w:kern w:val="0"/>
          <w:sz w:val="22"/>
          <w:szCs w:val="22"/>
          <w:lang w:eastAsia="en-IN"/>
          <w14:ligatures w14:val="none"/>
        </w:rPr>
        <w:t>, 3, CD002759.</w:t>
      </w:r>
      <w:r w:rsidR="0064380B" w:rsidRPr="00440F88">
        <w:rPr>
          <w:rFonts w:ascii="Arial" w:hAnsi="Arial" w:cs="Arial"/>
          <w:sz w:val="22"/>
          <w:szCs w:val="22"/>
        </w:rPr>
        <w:t xml:space="preserve"> </w:t>
      </w:r>
      <w:hyperlink r:id="rId38" w:history="1">
        <w:r w:rsidR="0064380B" w:rsidRPr="00440F88">
          <w:rPr>
            <w:rStyle w:val="Hyperlink"/>
            <w:rFonts w:ascii="Arial" w:eastAsia="Times New Roman" w:hAnsi="Arial" w:cs="Arial"/>
            <w:kern w:val="0"/>
            <w:sz w:val="22"/>
            <w:szCs w:val="22"/>
            <w:lang w:eastAsia="en-IN"/>
            <w14:ligatures w14:val="none"/>
          </w:rPr>
          <w:t>https://www.cochranelibrary.com/cdsr/doi/10.1002/14651858.CD002759.pub2/full</w:t>
        </w:r>
      </w:hyperlink>
      <w:r w:rsidR="0064380B" w:rsidRPr="00440F88">
        <w:rPr>
          <w:rFonts w:ascii="Arial" w:eastAsia="Times New Roman" w:hAnsi="Arial" w:cs="Arial"/>
          <w:kern w:val="0"/>
          <w:sz w:val="22"/>
          <w:szCs w:val="22"/>
          <w:lang w:eastAsia="en-IN"/>
          <w14:ligatures w14:val="none"/>
        </w:rPr>
        <w:t xml:space="preserve"> </w:t>
      </w:r>
    </w:p>
    <w:p w14:paraId="7D68D88E" w14:textId="157A27FF"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Lowe, M. et al. (2019) ‘Urban design and health’, </w:t>
      </w:r>
      <w:r w:rsidRPr="00440F88">
        <w:rPr>
          <w:rFonts w:ascii="Arial" w:eastAsia="Times New Roman" w:hAnsi="Arial" w:cs="Arial"/>
          <w:i/>
          <w:iCs/>
          <w:kern w:val="0"/>
          <w:sz w:val="22"/>
          <w:szCs w:val="22"/>
          <w:lang w:eastAsia="en-IN"/>
          <w14:ligatures w14:val="none"/>
        </w:rPr>
        <w:t>The Lancet</w:t>
      </w:r>
      <w:r w:rsidRPr="00440F88">
        <w:rPr>
          <w:rFonts w:ascii="Arial" w:eastAsia="Times New Roman" w:hAnsi="Arial" w:cs="Arial"/>
          <w:kern w:val="0"/>
          <w:sz w:val="22"/>
          <w:szCs w:val="22"/>
          <w:lang w:eastAsia="en-IN"/>
          <w14:ligatures w14:val="none"/>
        </w:rPr>
        <w:t>, 393(10184), pp. 291–292.</w:t>
      </w:r>
    </w:p>
    <w:p w14:paraId="3A48CC27"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Ma, L-L. et al. (2020) ‘Methodological quality assessment tools’, </w:t>
      </w:r>
      <w:r w:rsidRPr="00440F88">
        <w:rPr>
          <w:rFonts w:ascii="Arial" w:eastAsia="Times New Roman" w:hAnsi="Arial" w:cs="Arial"/>
          <w:i/>
          <w:iCs/>
          <w:kern w:val="0"/>
          <w:sz w:val="22"/>
          <w:szCs w:val="22"/>
          <w:lang w:eastAsia="en-IN"/>
          <w14:ligatures w14:val="none"/>
        </w:rPr>
        <w:t>Military Medical Research</w:t>
      </w:r>
      <w:r w:rsidRPr="00440F88">
        <w:rPr>
          <w:rFonts w:ascii="Arial" w:eastAsia="Times New Roman" w:hAnsi="Arial" w:cs="Arial"/>
          <w:kern w:val="0"/>
          <w:sz w:val="22"/>
          <w:szCs w:val="22"/>
          <w:lang w:eastAsia="en-IN"/>
          <w14:ligatures w14:val="none"/>
        </w:rPr>
        <w:t>, 7(7).</w:t>
      </w:r>
    </w:p>
    <w:p w14:paraId="15CCC4B8"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Marmot, M. et al. (2020) </w:t>
      </w:r>
      <w:r w:rsidRPr="00440F88">
        <w:rPr>
          <w:rFonts w:ascii="Arial" w:eastAsia="Times New Roman" w:hAnsi="Arial" w:cs="Arial"/>
          <w:i/>
          <w:iCs/>
          <w:kern w:val="0"/>
          <w:sz w:val="22"/>
          <w:szCs w:val="22"/>
          <w:lang w:eastAsia="en-IN"/>
          <w14:ligatures w14:val="none"/>
        </w:rPr>
        <w:t>Health equity in England: The Marmot Review 10 years on</w:t>
      </w:r>
      <w:r w:rsidRPr="00440F88">
        <w:rPr>
          <w:rFonts w:ascii="Arial" w:eastAsia="Times New Roman" w:hAnsi="Arial" w:cs="Arial"/>
          <w:kern w:val="0"/>
          <w:sz w:val="22"/>
          <w:szCs w:val="22"/>
          <w:lang w:eastAsia="en-IN"/>
          <w14:ligatures w14:val="none"/>
        </w:rPr>
        <w:t>. London: Institute of Health Equity.</w:t>
      </w:r>
    </w:p>
    <w:p w14:paraId="6BA3846F"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McAuley, E. et al. (2011) ‘Self-efficacy and physical activity’, </w:t>
      </w:r>
      <w:r w:rsidRPr="00440F88">
        <w:rPr>
          <w:rFonts w:ascii="Arial" w:eastAsia="Times New Roman" w:hAnsi="Arial" w:cs="Arial"/>
          <w:i/>
          <w:iCs/>
          <w:kern w:val="0"/>
          <w:sz w:val="22"/>
          <w:szCs w:val="22"/>
          <w:lang w:eastAsia="en-IN"/>
          <w14:ligatures w14:val="none"/>
        </w:rPr>
        <w:t>Health Psychology</w:t>
      </w:r>
      <w:r w:rsidRPr="00440F88">
        <w:rPr>
          <w:rFonts w:ascii="Arial" w:eastAsia="Times New Roman" w:hAnsi="Arial" w:cs="Arial"/>
          <w:kern w:val="0"/>
          <w:sz w:val="22"/>
          <w:szCs w:val="22"/>
          <w:lang w:eastAsia="en-IN"/>
          <w14:ligatures w14:val="none"/>
        </w:rPr>
        <w:t>, 30(4), pp. 475–486.</w:t>
      </w:r>
    </w:p>
    <w:p w14:paraId="7B1C7C00"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McLeroy, K.R. et al. (1988) ‘An ecological perspective on health promotion programs’, </w:t>
      </w:r>
      <w:r w:rsidRPr="00440F88">
        <w:rPr>
          <w:rFonts w:ascii="Arial" w:eastAsia="Times New Roman" w:hAnsi="Arial" w:cs="Arial"/>
          <w:i/>
          <w:iCs/>
          <w:kern w:val="0"/>
          <w:sz w:val="22"/>
          <w:szCs w:val="22"/>
          <w:lang w:eastAsia="en-IN"/>
          <w14:ligatures w14:val="none"/>
        </w:rPr>
        <w:t>Health Education Quarterly</w:t>
      </w:r>
      <w:r w:rsidRPr="00440F88">
        <w:rPr>
          <w:rFonts w:ascii="Arial" w:eastAsia="Times New Roman" w:hAnsi="Arial" w:cs="Arial"/>
          <w:kern w:val="0"/>
          <w:sz w:val="22"/>
          <w:szCs w:val="22"/>
          <w:lang w:eastAsia="en-IN"/>
          <w14:ligatures w14:val="none"/>
        </w:rPr>
        <w:t>, 15(4), pp. 351–377.</w:t>
      </w:r>
    </w:p>
    <w:p w14:paraId="0ECDF893"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Michie, S. et al. (2011) ‘The behaviour change wheel’, </w:t>
      </w:r>
      <w:r w:rsidRPr="00440F88">
        <w:rPr>
          <w:rFonts w:ascii="Arial" w:eastAsia="Times New Roman" w:hAnsi="Arial" w:cs="Arial"/>
          <w:i/>
          <w:iCs/>
          <w:kern w:val="0"/>
          <w:sz w:val="22"/>
          <w:szCs w:val="22"/>
          <w:lang w:eastAsia="en-IN"/>
          <w14:ligatures w14:val="none"/>
        </w:rPr>
        <w:t>Implementation Science</w:t>
      </w:r>
      <w:r w:rsidRPr="00440F88">
        <w:rPr>
          <w:rFonts w:ascii="Arial" w:eastAsia="Times New Roman" w:hAnsi="Arial" w:cs="Arial"/>
          <w:kern w:val="0"/>
          <w:sz w:val="22"/>
          <w:szCs w:val="22"/>
          <w:lang w:eastAsia="en-IN"/>
          <w14:ligatures w14:val="none"/>
        </w:rPr>
        <w:t>, 6, 42.</w:t>
      </w:r>
    </w:p>
    <w:p w14:paraId="0EC5DA86" w14:textId="609D2AFB"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Michie, S. et al. (2013) ‘Behaviour change techniques’, </w:t>
      </w:r>
      <w:r w:rsidRPr="00440F88">
        <w:rPr>
          <w:rFonts w:ascii="Arial" w:eastAsia="Times New Roman" w:hAnsi="Arial" w:cs="Arial"/>
          <w:i/>
          <w:iCs/>
          <w:kern w:val="0"/>
          <w:sz w:val="22"/>
          <w:szCs w:val="22"/>
          <w:lang w:eastAsia="en-IN"/>
          <w14:ligatures w14:val="none"/>
        </w:rPr>
        <w:t xml:space="preserve">Annals of </w:t>
      </w:r>
      <w:r w:rsidR="00FB3E8E" w:rsidRPr="00440F88">
        <w:rPr>
          <w:rFonts w:ascii="Arial" w:eastAsia="Times New Roman" w:hAnsi="Arial" w:cs="Arial"/>
          <w:i/>
          <w:iCs/>
          <w:kern w:val="0"/>
          <w:sz w:val="22"/>
          <w:szCs w:val="22"/>
          <w:lang w:eastAsia="en-IN"/>
          <w14:ligatures w14:val="none"/>
        </w:rPr>
        <w:t>Behavioural</w:t>
      </w:r>
      <w:r w:rsidRPr="00440F88">
        <w:rPr>
          <w:rFonts w:ascii="Arial" w:eastAsia="Times New Roman" w:hAnsi="Arial" w:cs="Arial"/>
          <w:i/>
          <w:iCs/>
          <w:kern w:val="0"/>
          <w:sz w:val="22"/>
          <w:szCs w:val="22"/>
          <w:lang w:eastAsia="en-IN"/>
          <w14:ligatures w14:val="none"/>
        </w:rPr>
        <w:t xml:space="preserve"> Medicine</w:t>
      </w:r>
      <w:r w:rsidRPr="00440F88">
        <w:rPr>
          <w:rFonts w:ascii="Arial" w:eastAsia="Times New Roman" w:hAnsi="Arial" w:cs="Arial"/>
          <w:kern w:val="0"/>
          <w:sz w:val="22"/>
          <w:szCs w:val="22"/>
          <w:lang w:eastAsia="en-IN"/>
          <w14:ligatures w14:val="none"/>
        </w:rPr>
        <w:t>, 46(1), pp. 81–95.</w:t>
      </w:r>
    </w:p>
    <w:p w14:paraId="575D0638"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Moher, D. et al. (2009) ‘Preferred reporting items for systematic reviews and meta-analyses’, </w:t>
      </w:r>
      <w:r w:rsidRPr="00440F88">
        <w:rPr>
          <w:rFonts w:ascii="Arial" w:eastAsia="Times New Roman" w:hAnsi="Arial" w:cs="Arial"/>
          <w:i/>
          <w:iCs/>
          <w:kern w:val="0"/>
          <w:sz w:val="22"/>
          <w:szCs w:val="22"/>
          <w:lang w:eastAsia="en-IN"/>
          <w14:ligatures w14:val="none"/>
        </w:rPr>
        <w:t>BMJ</w:t>
      </w:r>
      <w:r w:rsidRPr="00440F88">
        <w:rPr>
          <w:rFonts w:ascii="Arial" w:eastAsia="Times New Roman" w:hAnsi="Arial" w:cs="Arial"/>
          <w:kern w:val="0"/>
          <w:sz w:val="22"/>
          <w:szCs w:val="22"/>
          <w:lang w:eastAsia="en-IN"/>
          <w14:ligatures w14:val="none"/>
        </w:rPr>
        <w:t>, 339, b2535.</w:t>
      </w:r>
    </w:p>
    <w:p w14:paraId="26C46D6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Montero-Odasso, M. et al. (2022) ‘World guidelines for falls prevention and management’, </w:t>
      </w:r>
      <w:r w:rsidRPr="00440F88">
        <w:rPr>
          <w:rFonts w:ascii="Arial" w:eastAsia="Times New Roman" w:hAnsi="Arial" w:cs="Arial"/>
          <w:i/>
          <w:iCs/>
          <w:kern w:val="0"/>
          <w:sz w:val="22"/>
          <w:szCs w:val="22"/>
          <w:lang w:eastAsia="en-IN"/>
          <w14:ligatures w14:val="none"/>
        </w:rPr>
        <w:t>Age and Ageing</w:t>
      </w:r>
      <w:r w:rsidRPr="00440F88">
        <w:rPr>
          <w:rFonts w:ascii="Arial" w:eastAsia="Times New Roman" w:hAnsi="Arial" w:cs="Arial"/>
          <w:kern w:val="0"/>
          <w:sz w:val="22"/>
          <w:szCs w:val="22"/>
          <w:lang w:eastAsia="en-IN"/>
          <w14:ligatures w14:val="none"/>
        </w:rPr>
        <w:t>, 51(9), afac205.</w:t>
      </w:r>
    </w:p>
    <w:p w14:paraId="58A516AD"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lastRenderedPageBreak/>
        <w:t xml:space="preserve">Montero-Odasso, M., van der Velde, N., Ryg, J. and Masud, T. (2025) ‘Falls risk stratification: one size doesn’t fit all’, </w:t>
      </w:r>
      <w:r w:rsidRPr="00440F88">
        <w:rPr>
          <w:rFonts w:ascii="Arial" w:eastAsia="Times New Roman" w:hAnsi="Arial" w:cs="Arial"/>
          <w:i/>
          <w:iCs/>
          <w:kern w:val="0"/>
          <w:sz w:val="22"/>
          <w:szCs w:val="22"/>
          <w:lang w:eastAsia="en-IN"/>
          <w14:ligatures w14:val="none"/>
        </w:rPr>
        <w:t>Age and Ageing</w:t>
      </w:r>
      <w:r w:rsidRPr="00440F88">
        <w:rPr>
          <w:rFonts w:ascii="Arial" w:eastAsia="Times New Roman" w:hAnsi="Arial" w:cs="Arial"/>
          <w:kern w:val="0"/>
          <w:sz w:val="22"/>
          <w:szCs w:val="22"/>
          <w:lang w:eastAsia="en-IN"/>
          <w14:ligatures w14:val="none"/>
        </w:rPr>
        <w:t>, 54(1), afae292.</w:t>
      </w:r>
    </w:p>
    <w:p w14:paraId="5063CF07"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Moore, G.F. et al. (2019) ‘Process evaluation of complex interventions’, </w:t>
      </w:r>
      <w:r w:rsidRPr="00440F88">
        <w:rPr>
          <w:rFonts w:ascii="Arial" w:eastAsia="Times New Roman" w:hAnsi="Arial" w:cs="Arial"/>
          <w:i/>
          <w:iCs/>
          <w:kern w:val="0"/>
          <w:sz w:val="22"/>
          <w:szCs w:val="22"/>
          <w:lang w:eastAsia="en-IN"/>
          <w14:ligatures w14:val="none"/>
        </w:rPr>
        <w:t>BMJ</w:t>
      </w:r>
      <w:r w:rsidRPr="00440F88">
        <w:rPr>
          <w:rFonts w:ascii="Arial" w:eastAsia="Times New Roman" w:hAnsi="Arial" w:cs="Arial"/>
          <w:kern w:val="0"/>
          <w:sz w:val="22"/>
          <w:szCs w:val="22"/>
          <w:lang w:eastAsia="en-IN"/>
          <w14:ligatures w14:val="none"/>
        </w:rPr>
        <w:t>, 350, h1258.</w:t>
      </w:r>
    </w:p>
    <w:p w14:paraId="200A13C4"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National Institute for Health and Care Excellence (NICE) (2015) </w:t>
      </w:r>
      <w:r w:rsidRPr="00440F88">
        <w:rPr>
          <w:rFonts w:ascii="Arial" w:eastAsia="Times New Roman" w:hAnsi="Arial" w:cs="Arial"/>
          <w:i/>
          <w:iCs/>
          <w:kern w:val="0"/>
          <w:sz w:val="22"/>
          <w:szCs w:val="22"/>
          <w:lang w:eastAsia="en-IN"/>
          <w14:ligatures w14:val="none"/>
        </w:rPr>
        <w:t>Falls in older people: prevention (QS86)</w:t>
      </w:r>
      <w:r w:rsidRPr="00440F88">
        <w:rPr>
          <w:rFonts w:ascii="Arial" w:eastAsia="Times New Roman" w:hAnsi="Arial" w:cs="Arial"/>
          <w:kern w:val="0"/>
          <w:sz w:val="22"/>
          <w:szCs w:val="22"/>
          <w:lang w:eastAsia="en-IN"/>
          <w14:ligatures w14:val="none"/>
        </w:rPr>
        <w:t xml:space="preserve">. Available at: </w:t>
      </w:r>
      <w:hyperlink r:id="rId39" w:tgtFrame="_new" w:history="1">
        <w:r w:rsidRPr="00440F88">
          <w:rPr>
            <w:rFonts w:ascii="Arial" w:eastAsia="Times New Roman" w:hAnsi="Arial" w:cs="Arial"/>
            <w:color w:val="0000FF"/>
            <w:kern w:val="0"/>
            <w:sz w:val="22"/>
            <w:szCs w:val="22"/>
            <w:u w:val="single"/>
            <w:lang w:eastAsia="en-IN"/>
            <w14:ligatures w14:val="none"/>
          </w:rPr>
          <w:t>https://www.nice.org.uk/guidance/qs86</w:t>
        </w:r>
      </w:hyperlink>
      <w:r w:rsidRPr="00440F88">
        <w:rPr>
          <w:rFonts w:ascii="Arial" w:eastAsia="Times New Roman" w:hAnsi="Arial" w:cs="Arial"/>
          <w:kern w:val="0"/>
          <w:sz w:val="22"/>
          <w:szCs w:val="22"/>
          <w:lang w:eastAsia="en-IN"/>
          <w14:ligatures w14:val="none"/>
        </w:rPr>
        <w:t xml:space="preserve"> (Accessed: 15 December 2025).</w:t>
      </w:r>
    </w:p>
    <w:p w14:paraId="3DA4FFF9"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National Institute for Health and Care Excellence (NICE) (2025) </w:t>
      </w:r>
      <w:r w:rsidRPr="00440F88">
        <w:rPr>
          <w:rFonts w:ascii="Arial" w:eastAsia="Times New Roman" w:hAnsi="Arial" w:cs="Arial"/>
          <w:i/>
          <w:iCs/>
          <w:kern w:val="0"/>
          <w:sz w:val="22"/>
          <w:szCs w:val="22"/>
          <w:lang w:eastAsia="en-IN"/>
          <w14:ligatures w14:val="none"/>
        </w:rPr>
        <w:t>Falls: assessment and prevention in older people and in people aged 50 and over at higher risk (NG249)</w:t>
      </w:r>
      <w:r w:rsidRPr="00440F88">
        <w:rPr>
          <w:rFonts w:ascii="Arial" w:eastAsia="Times New Roman" w:hAnsi="Arial" w:cs="Arial"/>
          <w:kern w:val="0"/>
          <w:sz w:val="22"/>
          <w:szCs w:val="22"/>
          <w:lang w:eastAsia="en-IN"/>
          <w14:ligatures w14:val="none"/>
        </w:rPr>
        <w:t xml:space="preserve">. Available at: </w:t>
      </w:r>
      <w:hyperlink r:id="rId40" w:tgtFrame="_new" w:history="1">
        <w:r w:rsidRPr="00440F88">
          <w:rPr>
            <w:rFonts w:ascii="Arial" w:eastAsia="Times New Roman" w:hAnsi="Arial" w:cs="Arial"/>
            <w:color w:val="0000FF"/>
            <w:kern w:val="0"/>
            <w:sz w:val="22"/>
            <w:szCs w:val="22"/>
            <w:u w:val="single"/>
            <w:lang w:eastAsia="en-IN"/>
            <w14:ligatures w14:val="none"/>
          </w:rPr>
          <w:t>https://www.nice.org.uk/guidance/ng249</w:t>
        </w:r>
      </w:hyperlink>
      <w:r w:rsidRPr="00440F88">
        <w:rPr>
          <w:rFonts w:ascii="Arial" w:eastAsia="Times New Roman" w:hAnsi="Arial" w:cs="Arial"/>
          <w:kern w:val="0"/>
          <w:sz w:val="22"/>
          <w:szCs w:val="22"/>
          <w:lang w:eastAsia="en-IN"/>
          <w14:ligatures w14:val="none"/>
        </w:rPr>
        <w:t xml:space="preserve"> (Accessed: 6 January 2026).</w:t>
      </w:r>
    </w:p>
    <w:p w14:paraId="7DFCCF04"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NHS England (2019) </w:t>
      </w:r>
      <w:r w:rsidRPr="00440F88">
        <w:rPr>
          <w:rFonts w:ascii="Arial" w:eastAsia="Times New Roman" w:hAnsi="Arial" w:cs="Arial"/>
          <w:i/>
          <w:iCs/>
          <w:kern w:val="0"/>
          <w:sz w:val="22"/>
          <w:szCs w:val="22"/>
          <w:lang w:eastAsia="en-IN"/>
          <w14:ligatures w14:val="none"/>
        </w:rPr>
        <w:t>The NHS Long Term Plan</w:t>
      </w:r>
      <w:r w:rsidRPr="00440F88">
        <w:rPr>
          <w:rFonts w:ascii="Arial" w:eastAsia="Times New Roman" w:hAnsi="Arial" w:cs="Arial"/>
          <w:kern w:val="0"/>
          <w:sz w:val="22"/>
          <w:szCs w:val="22"/>
          <w:lang w:eastAsia="en-IN"/>
          <w14:ligatures w14:val="none"/>
        </w:rPr>
        <w:t xml:space="preserve">. Available at: </w:t>
      </w:r>
      <w:hyperlink r:id="rId41" w:tgtFrame="_new" w:history="1">
        <w:r w:rsidRPr="00440F88">
          <w:rPr>
            <w:rFonts w:ascii="Arial" w:eastAsia="Times New Roman" w:hAnsi="Arial" w:cs="Arial"/>
            <w:color w:val="0000FF"/>
            <w:kern w:val="0"/>
            <w:sz w:val="22"/>
            <w:szCs w:val="22"/>
            <w:u w:val="single"/>
            <w:lang w:eastAsia="en-IN"/>
            <w14:ligatures w14:val="none"/>
          </w:rPr>
          <w:t>https://www.longtermplan.nhs.uk</w:t>
        </w:r>
      </w:hyperlink>
      <w:r w:rsidRPr="00440F88">
        <w:rPr>
          <w:rFonts w:ascii="Arial" w:eastAsia="Times New Roman" w:hAnsi="Arial" w:cs="Arial"/>
          <w:kern w:val="0"/>
          <w:sz w:val="22"/>
          <w:szCs w:val="22"/>
          <w:lang w:eastAsia="en-IN"/>
          <w14:ligatures w14:val="none"/>
        </w:rPr>
        <w:t xml:space="preserve"> (Accessed: 22 December 2025).</w:t>
      </w:r>
    </w:p>
    <w:p w14:paraId="669ECB4E"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Noyes, J. et al. (2018) ‘Qualitative evidence in reviews’, </w:t>
      </w:r>
      <w:r w:rsidRPr="00440F88">
        <w:rPr>
          <w:rFonts w:ascii="Arial" w:eastAsia="Times New Roman" w:hAnsi="Arial" w:cs="Arial"/>
          <w:i/>
          <w:iCs/>
          <w:kern w:val="0"/>
          <w:sz w:val="22"/>
          <w:szCs w:val="22"/>
          <w:lang w:eastAsia="en-IN"/>
          <w14:ligatures w14:val="none"/>
        </w:rPr>
        <w:t>Cochrane Database of Systematic Reviews</w:t>
      </w:r>
      <w:r w:rsidRPr="00440F88">
        <w:rPr>
          <w:rFonts w:ascii="Arial" w:eastAsia="Times New Roman" w:hAnsi="Arial" w:cs="Arial"/>
          <w:kern w:val="0"/>
          <w:sz w:val="22"/>
          <w:szCs w:val="22"/>
          <w:lang w:eastAsia="en-IN"/>
          <w14:ligatures w14:val="none"/>
        </w:rPr>
        <w:t>, 2018(10).</w:t>
      </w:r>
    </w:p>
    <w:p w14:paraId="74EA5D1A"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Noyes, J. et al. (2019) ‘Flexibility in systematic reviews’, </w:t>
      </w:r>
      <w:r w:rsidRPr="00440F88">
        <w:rPr>
          <w:rFonts w:ascii="Arial" w:eastAsia="Times New Roman" w:hAnsi="Arial" w:cs="Arial"/>
          <w:i/>
          <w:iCs/>
          <w:kern w:val="0"/>
          <w:sz w:val="22"/>
          <w:szCs w:val="22"/>
          <w:lang w:eastAsia="en-IN"/>
          <w14:ligatures w14:val="none"/>
        </w:rPr>
        <w:t>BMJ Global Health</w:t>
      </w:r>
      <w:r w:rsidRPr="00440F88">
        <w:rPr>
          <w:rFonts w:ascii="Arial" w:eastAsia="Times New Roman" w:hAnsi="Arial" w:cs="Arial"/>
          <w:kern w:val="0"/>
          <w:sz w:val="22"/>
          <w:szCs w:val="22"/>
          <w:lang w:eastAsia="en-IN"/>
          <w14:ligatures w14:val="none"/>
        </w:rPr>
        <w:t>, 4, e001884.</w:t>
      </w:r>
    </w:p>
    <w:p w14:paraId="5E02B29E"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O’Cathain, A. (2019) </w:t>
      </w:r>
      <w:r w:rsidRPr="00440F88">
        <w:rPr>
          <w:rFonts w:ascii="Arial" w:eastAsia="Times New Roman" w:hAnsi="Arial" w:cs="Arial"/>
          <w:i/>
          <w:iCs/>
          <w:kern w:val="0"/>
          <w:sz w:val="22"/>
          <w:szCs w:val="22"/>
          <w:lang w:eastAsia="en-IN"/>
          <w14:ligatures w14:val="none"/>
        </w:rPr>
        <w:t>Mixed methods research</w:t>
      </w:r>
      <w:r w:rsidRPr="00440F88">
        <w:rPr>
          <w:rFonts w:ascii="Arial" w:eastAsia="Times New Roman" w:hAnsi="Arial" w:cs="Arial"/>
          <w:kern w:val="0"/>
          <w:sz w:val="22"/>
          <w:szCs w:val="22"/>
          <w:lang w:eastAsia="en-IN"/>
          <w14:ligatures w14:val="none"/>
        </w:rPr>
        <w:t>. London: Sage.</w:t>
      </w:r>
    </w:p>
    <w:p w14:paraId="288B4120"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O’Halloran, P.D. et al. (2014) ‘Motivational interviewing and exercise adherence’, </w:t>
      </w:r>
      <w:r w:rsidRPr="00440F88">
        <w:rPr>
          <w:rFonts w:ascii="Arial" w:eastAsia="Times New Roman" w:hAnsi="Arial" w:cs="Arial"/>
          <w:i/>
          <w:iCs/>
          <w:kern w:val="0"/>
          <w:sz w:val="22"/>
          <w:szCs w:val="22"/>
          <w:lang w:eastAsia="en-IN"/>
          <w14:ligatures w14:val="none"/>
        </w:rPr>
        <w:t>Health Psychology Review</w:t>
      </w:r>
      <w:r w:rsidRPr="00440F88">
        <w:rPr>
          <w:rFonts w:ascii="Arial" w:eastAsia="Times New Roman" w:hAnsi="Arial" w:cs="Arial"/>
          <w:kern w:val="0"/>
          <w:sz w:val="22"/>
          <w:szCs w:val="22"/>
          <w:lang w:eastAsia="en-IN"/>
          <w14:ligatures w14:val="none"/>
        </w:rPr>
        <w:t>, 8(3), pp. 317–335.</w:t>
      </w:r>
    </w:p>
    <w:p w14:paraId="014E276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Office for National Statistics (2021) </w:t>
      </w:r>
      <w:r w:rsidRPr="00440F88">
        <w:rPr>
          <w:rFonts w:ascii="Arial" w:eastAsia="Times New Roman" w:hAnsi="Arial" w:cs="Arial"/>
          <w:i/>
          <w:iCs/>
          <w:kern w:val="0"/>
          <w:sz w:val="22"/>
          <w:szCs w:val="22"/>
          <w:lang w:eastAsia="en-IN"/>
          <w14:ligatures w14:val="none"/>
        </w:rPr>
        <w:t>Overview of the UK population: Ageing</w:t>
      </w:r>
      <w:r w:rsidRPr="00440F88">
        <w:rPr>
          <w:rFonts w:ascii="Arial" w:eastAsia="Times New Roman" w:hAnsi="Arial" w:cs="Arial"/>
          <w:kern w:val="0"/>
          <w:sz w:val="22"/>
          <w:szCs w:val="22"/>
          <w:lang w:eastAsia="en-IN"/>
          <w14:ligatures w14:val="none"/>
        </w:rPr>
        <w:t xml:space="preserve">. Available at: </w:t>
      </w:r>
      <w:hyperlink r:id="rId42" w:tgtFrame="_new" w:history="1">
        <w:r w:rsidRPr="00440F88">
          <w:rPr>
            <w:rFonts w:ascii="Arial" w:eastAsia="Times New Roman" w:hAnsi="Arial" w:cs="Arial"/>
            <w:color w:val="0000FF"/>
            <w:kern w:val="0"/>
            <w:sz w:val="22"/>
            <w:szCs w:val="22"/>
            <w:u w:val="single"/>
            <w:lang w:eastAsia="en-IN"/>
            <w14:ligatures w14:val="none"/>
          </w:rPr>
          <w:t>https://www.ons.gov.uk</w:t>
        </w:r>
      </w:hyperlink>
      <w:r w:rsidRPr="00440F88">
        <w:rPr>
          <w:rFonts w:ascii="Arial" w:eastAsia="Times New Roman" w:hAnsi="Arial" w:cs="Arial"/>
          <w:kern w:val="0"/>
          <w:sz w:val="22"/>
          <w:szCs w:val="22"/>
          <w:lang w:eastAsia="en-IN"/>
          <w14:ligatures w14:val="none"/>
        </w:rPr>
        <w:t xml:space="preserve"> (Accessed: 15 December 2025).</w:t>
      </w:r>
    </w:p>
    <w:p w14:paraId="2E4AEF97"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Office for National Statistics (2023) </w:t>
      </w:r>
      <w:r w:rsidRPr="00440F88">
        <w:rPr>
          <w:rFonts w:ascii="Arial" w:eastAsia="Times New Roman" w:hAnsi="Arial" w:cs="Arial"/>
          <w:i/>
          <w:iCs/>
          <w:kern w:val="0"/>
          <w:sz w:val="22"/>
          <w:szCs w:val="22"/>
          <w:lang w:eastAsia="en-IN"/>
          <w14:ligatures w14:val="none"/>
        </w:rPr>
        <w:t>Profile of the older population living in England and Wales in 2021</w:t>
      </w:r>
      <w:r w:rsidRPr="00440F88">
        <w:rPr>
          <w:rFonts w:ascii="Arial" w:eastAsia="Times New Roman" w:hAnsi="Arial" w:cs="Arial"/>
          <w:kern w:val="0"/>
          <w:sz w:val="22"/>
          <w:szCs w:val="22"/>
          <w:lang w:eastAsia="en-IN"/>
          <w14:ligatures w14:val="none"/>
        </w:rPr>
        <w:t xml:space="preserve">. Available at: </w:t>
      </w:r>
      <w:hyperlink r:id="rId43" w:tgtFrame="_new" w:history="1">
        <w:r w:rsidRPr="00440F88">
          <w:rPr>
            <w:rFonts w:ascii="Arial" w:eastAsia="Times New Roman" w:hAnsi="Arial" w:cs="Arial"/>
            <w:color w:val="0000FF"/>
            <w:kern w:val="0"/>
            <w:sz w:val="22"/>
            <w:szCs w:val="22"/>
            <w:u w:val="single"/>
            <w:lang w:eastAsia="en-IN"/>
            <w14:ligatures w14:val="none"/>
          </w:rPr>
          <w:t>https://www.ons.gov.uk</w:t>
        </w:r>
      </w:hyperlink>
      <w:r w:rsidRPr="00440F88">
        <w:rPr>
          <w:rFonts w:ascii="Arial" w:eastAsia="Times New Roman" w:hAnsi="Arial" w:cs="Arial"/>
          <w:kern w:val="0"/>
          <w:sz w:val="22"/>
          <w:szCs w:val="22"/>
          <w:lang w:eastAsia="en-IN"/>
          <w14:ligatures w14:val="none"/>
        </w:rPr>
        <w:t xml:space="preserve"> (Accessed: 3 April 2023).</w:t>
      </w:r>
    </w:p>
    <w:p w14:paraId="0BD644C8"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Peters, M.D.J. et al. (2020) ‘Guidance for reviews’, </w:t>
      </w:r>
      <w:r w:rsidRPr="00440F88">
        <w:rPr>
          <w:rFonts w:ascii="Arial" w:eastAsia="Times New Roman" w:hAnsi="Arial" w:cs="Arial"/>
          <w:i/>
          <w:iCs/>
          <w:kern w:val="0"/>
          <w:sz w:val="22"/>
          <w:szCs w:val="22"/>
          <w:lang w:eastAsia="en-IN"/>
          <w14:ligatures w14:val="none"/>
        </w:rPr>
        <w:t>JBI Evidence Synthesis</w:t>
      </w:r>
      <w:r w:rsidRPr="00440F88">
        <w:rPr>
          <w:rFonts w:ascii="Arial" w:eastAsia="Times New Roman" w:hAnsi="Arial" w:cs="Arial"/>
          <w:kern w:val="0"/>
          <w:sz w:val="22"/>
          <w:szCs w:val="22"/>
          <w:lang w:eastAsia="en-IN"/>
          <w14:ligatures w14:val="none"/>
        </w:rPr>
        <w:t>, 18(10), pp. 2119–2126.</w:t>
      </w:r>
    </w:p>
    <w:p w14:paraId="3619723A"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Petridou, E. et al. (2019) ‘Multifactorial fall prevention’, </w:t>
      </w:r>
      <w:r w:rsidRPr="00440F88">
        <w:rPr>
          <w:rFonts w:ascii="Arial" w:eastAsia="Times New Roman" w:hAnsi="Arial" w:cs="Arial"/>
          <w:i/>
          <w:iCs/>
          <w:kern w:val="0"/>
          <w:sz w:val="22"/>
          <w:szCs w:val="22"/>
          <w:lang w:eastAsia="en-IN"/>
          <w14:ligatures w14:val="none"/>
        </w:rPr>
        <w:t>Injury Prevention</w:t>
      </w:r>
      <w:r w:rsidRPr="00440F88">
        <w:rPr>
          <w:rFonts w:ascii="Arial" w:eastAsia="Times New Roman" w:hAnsi="Arial" w:cs="Arial"/>
          <w:kern w:val="0"/>
          <w:sz w:val="22"/>
          <w:szCs w:val="22"/>
          <w:lang w:eastAsia="en-IN"/>
          <w14:ligatures w14:val="none"/>
        </w:rPr>
        <w:t>, 25(1), pp. 3–9.</w:t>
      </w:r>
    </w:p>
    <w:p w14:paraId="093FFAC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Petticrew, M. and Roberts, H. (2006) </w:t>
      </w:r>
      <w:r w:rsidRPr="00440F88">
        <w:rPr>
          <w:rFonts w:ascii="Arial" w:eastAsia="Times New Roman" w:hAnsi="Arial" w:cs="Arial"/>
          <w:i/>
          <w:iCs/>
          <w:kern w:val="0"/>
          <w:sz w:val="22"/>
          <w:szCs w:val="22"/>
          <w:lang w:eastAsia="en-IN"/>
          <w14:ligatures w14:val="none"/>
        </w:rPr>
        <w:t>Systematic reviews in the social sciences</w:t>
      </w:r>
      <w:r w:rsidRPr="00440F88">
        <w:rPr>
          <w:rFonts w:ascii="Arial" w:eastAsia="Times New Roman" w:hAnsi="Arial" w:cs="Arial"/>
          <w:kern w:val="0"/>
          <w:sz w:val="22"/>
          <w:szCs w:val="22"/>
          <w:lang w:eastAsia="en-IN"/>
          <w14:ligatures w14:val="none"/>
        </w:rPr>
        <w:t>. Oxford: Blackwell.</w:t>
      </w:r>
    </w:p>
    <w:p w14:paraId="76850620"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Petticrew, M. et al. (2013) ‘Complex interventions’, </w:t>
      </w:r>
      <w:r w:rsidRPr="00440F88">
        <w:rPr>
          <w:rFonts w:ascii="Arial" w:eastAsia="Times New Roman" w:hAnsi="Arial" w:cs="Arial"/>
          <w:i/>
          <w:iCs/>
          <w:kern w:val="0"/>
          <w:sz w:val="22"/>
          <w:szCs w:val="22"/>
          <w:lang w:eastAsia="en-IN"/>
          <w14:ligatures w14:val="none"/>
        </w:rPr>
        <w:t>Journal of Epidemiology &amp; Community Health</w:t>
      </w:r>
      <w:r w:rsidRPr="00440F88">
        <w:rPr>
          <w:rFonts w:ascii="Arial" w:eastAsia="Times New Roman" w:hAnsi="Arial" w:cs="Arial"/>
          <w:kern w:val="0"/>
          <w:sz w:val="22"/>
          <w:szCs w:val="22"/>
          <w:lang w:eastAsia="en-IN"/>
          <w14:ligatures w14:val="none"/>
        </w:rPr>
        <w:t>, 67(8), pp. 667–669.</w:t>
      </w:r>
    </w:p>
    <w:p w14:paraId="6848E54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Pighills, A.C. et al. (2011) ‘Environmental assessment and falls’, Journal of the American Geriatrics Society, 59(1), pp. 26–33.</w:t>
      </w:r>
    </w:p>
    <w:p w14:paraId="4F916F3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lastRenderedPageBreak/>
        <w:t xml:space="preserve">Pluye, P. and Hong, Q.N. (2014) ‘Combining quantitative and qualitative evidence’, </w:t>
      </w:r>
      <w:r w:rsidRPr="00440F88">
        <w:rPr>
          <w:rFonts w:ascii="Arial" w:eastAsia="Times New Roman" w:hAnsi="Arial" w:cs="Arial"/>
          <w:i/>
          <w:iCs/>
          <w:kern w:val="0"/>
          <w:sz w:val="22"/>
          <w:szCs w:val="22"/>
          <w:lang w:eastAsia="en-IN"/>
          <w14:ligatures w14:val="none"/>
        </w:rPr>
        <w:t>Systematic Reviews</w:t>
      </w:r>
      <w:r w:rsidRPr="00440F88">
        <w:rPr>
          <w:rFonts w:ascii="Arial" w:eastAsia="Times New Roman" w:hAnsi="Arial" w:cs="Arial"/>
          <w:kern w:val="0"/>
          <w:sz w:val="22"/>
          <w:szCs w:val="22"/>
          <w:lang w:eastAsia="en-IN"/>
          <w14:ligatures w14:val="none"/>
        </w:rPr>
        <w:t>, 3, 89.</w:t>
      </w:r>
    </w:p>
    <w:p w14:paraId="1963C229"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Prince, M. et al. (2015) ‘The burden of disease in older people’, </w:t>
      </w:r>
      <w:r w:rsidRPr="00440F88">
        <w:rPr>
          <w:rFonts w:ascii="Arial" w:eastAsia="Times New Roman" w:hAnsi="Arial" w:cs="Arial"/>
          <w:i/>
          <w:iCs/>
          <w:kern w:val="0"/>
          <w:sz w:val="22"/>
          <w:szCs w:val="22"/>
          <w:lang w:eastAsia="en-IN"/>
          <w14:ligatures w14:val="none"/>
        </w:rPr>
        <w:t>The Lancet</w:t>
      </w:r>
      <w:r w:rsidRPr="00440F88">
        <w:rPr>
          <w:rFonts w:ascii="Arial" w:eastAsia="Times New Roman" w:hAnsi="Arial" w:cs="Arial"/>
          <w:kern w:val="0"/>
          <w:sz w:val="22"/>
          <w:szCs w:val="22"/>
          <w:lang w:eastAsia="en-IN"/>
          <w14:ligatures w14:val="none"/>
        </w:rPr>
        <w:t>, 385(9967), pp. 549–562.</w:t>
      </w:r>
    </w:p>
    <w:p w14:paraId="231C4F13"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PRISMA (2020) </w:t>
      </w:r>
      <w:r w:rsidRPr="00440F88">
        <w:rPr>
          <w:rFonts w:ascii="Arial" w:eastAsia="Times New Roman" w:hAnsi="Arial" w:cs="Arial"/>
          <w:i/>
          <w:iCs/>
          <w:kern w:val="0"/>
          <w:sz w:val="22"/>
          <w:szCs w:val="22"/>
          <w:lang w:eastAsia="en-IN"/>
          <w14:ligatures w14:val="none"/>
        </w:rPr>
        <w:t>PRISMA 2020 flow diagram</w:t>
      </w:r>
      <w:r w:rsidRPr="00440F88">
        <w:rPr>
          <w:rFonts w:ascii="Arial" w:eastAsia="Times New Roman" w:hAnsi="Arial" w:cs="Arial"/>
          <w:kern w:val="0"/>
          <w:sz w:val="22"/>
          <w:szCs w:val="22"/>
          <w:lang w:eastAsia="en-IN"/>
          <w14:ligatures w14:val="none"/>
        </w:rPr>
        <w:t xml:space="preserve">. Available at: </w:t>
      </w:r>
      <w:hyperlink r:id="rId44" w:tgtFrame="_new" w:history="1">
        <w:r w:rsidRPr="00440F88">
          <w:rPr>
            <w:rFonts w:ascii="Arial" w:eastAsia="Times New Roman" w:hAnsi="Arial" w:cs="Arial"/>
            <w:color w:val="0000FF"/>
            <w:kern w:val="0"/>
            <w:sz w:val="22"/>
            <w:szCs w:val="22"/>
            <w:u w:val="single"/>
            <w:lang w:eastAsia="en-IN"/>
            <w14:ligatures w14:val="none"/>
          </w:rPr>
          <w:t>https://www.prisma-statement.org/prisma-2020-flow-diagram</w:t>
        </w:r>
      </w:hyperlink>
      <w:r w:rsidRPr="00440F88">
        <w:rPr>
          <w:rFonts w:ascii="Arial" w:eastAsia="Times New Roman" w:hAnsi="Arial" w:cs="Arial"/>
          <w:kern w:val="0"/>
          <w:sz w:val="22"/>
          <w:szCs w:val="22"/>
          <w:lang w:eastAsia="en-IN"/>
          <w14:ligatures w14:val="none"/>
        </w:rPr>
        <w:t xml:space="preserve"> (Accessed: 22 December 2025).</w:t>
      </w:r>
    </w:p>
    <w:p w14:paraId="10125DE1"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Public Health England (2020) </w:t>
      </w:r>
      <w:r w:rsidRPr="00440F88">
        <w:rPr>
          <w:rFonts w:ascii="Arial" w:eastAsia="Times New Roman" w:hAnsi="Arial" w:cs="Arial"/>
          <w:i/>
          <w:iCs/>
          <w:kern w:val="0"/>
          <w:sz w:val="22"/>
          <w:szCs w:val="22"/>
          <w:lang w:eastAsia="en-IN"/>
          <w14:ligatures w14:val="none"/>
        </w:rPr>
        <w:t>Falls: applying All Our Health</w:t>
      </w:r>
      <w:r w:rsidRPr="00440F88">
        <w:rPr>
          <w:rFonts w:ascii="Arial" w:eastAsia="Times New Roman" w:hAnsi="Arial" w:cs="Arial"/>
          <w:kern w:val="0"/>
          <w:sz w:val="22"/>
          <w:szCs w:val="22"/>
          <w:lang w:eastAsia="en-IN"/>
          <w14:ligatures w14:val="none"/>
        </w:rPr>
        <w:t xml:space="preserve">. Available at: </w:t>
      </w:r>
      <w:hyperlink r:id="rId45" w:tgtFrame="_new" w:history="1">
        <w:r w:rsidRPr="00440F88">
          <w:rPr>
            <w:rFonts w:ascii="Arial" w:eastAsia="Times New Roman" w:hAnsi="Arial" w:cs="Arial"/>
            <w:color w:val="0000FF"/>
            <w:kern w:val="0"/>
            <w:sz w:val="22"/>
            <w:szCs w:val="22"/>
            <w:u w:val="single"/>
            <w:lang w:eastAsia="en-IN"/>
            <w14:ligatures w14:val="none"/>
          </w:rPr>
          <w:t>https://www.gov.uk/government/publications/falls-applying-all-our-health</w:t>
        </w:r>
      </w:hyperlink>
      <w:r w:rsidRPr="00440F88">
        <w:rPr>
          <w:rFonts w:ascii="Arial" w:eastAsia="Times New Roman" w:hAnsi="Arial" w:cs="Arial"/>
          <w:kern w:val="0"/>
          <w:sz w:val="22"/>
          <w:szCs w:val="22"/>
          <w:lang w:eastAsia="en-IN"/>
          <w14:ligatures w14:val="none"/>
        </w:rPr>
        <w:t xml:space="preserve"> (Accessed: 15 December 2025).</w:t>
      </w:r>
    </w:p>
    <w:p w14:paraId="2BA82947"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Rechel, B. et al. (2013) Health systems and ageing. Copenhagen: WHO Europe.</w:t>
      </w:r>
    </w:p>
    <w:p w14:paraId="6D444688"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Resnik, D.B. (2020) </w:t>
      </w:r>
      <w:r w:rsidRPr="00440F88">
        <w:rPr>
          <w:rFonts w:ascii="Arial" w:eastAsia="Times New Roman" w:hAnsi="Arial" w:cs="Arial"/>
          <w:i/>
          <w:iCs/>
          <w:kern w:val="0"/>
          <w:sz w:val="22"/>
          <w:szCs w:val="22"/>
          <w:lang w:eastAsia="en-IN"/>
          <w14:ligatures w14:val="none"/>
        </w:rPr>
        <w:t>The ethics of science</w:t>
      </w:r>
      <w:r w:rsidRPr="00440F88">
        <w:rPr>
          <w:rFonts w:ascii="Arial" w:eastAsia="Times New Roman" w:hAnsi="Arial" w:cs="Arial"/>
          <w:kern w:val="0"/>
          <w:sz w:val="22"/>
          <w:szCs w:val="22"/>
          <w:lang w:eastAsia="en-IN"/>
          <w14:ligatures w14:val="none"/>
        </w:rPr>
        <w:t>. London: Routledge.</w:t>
      </w:r>
    </w:p>
    <w:p w14:paraId="6F52C305"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Rockwood, K. and Mitnitski, A. (2011) ‘Frailty defined by deficit accumulation’, </w:t>
      </w:r>
      <w:r w:rsidRPr="00440F88">
        <w:rPr>
          <w:rFonts w:ascii="Arial" w:eastAsia="Times New Roman" w:hAnsi="Arial" w:cs="Arial"/>
          <w:i/>
          <w:iCs/>
          <w:kern w:val="0"/>
          <w:sz w:val="22"/>
          <w:szCs w:val="22"/>
          <w:lang w:eastAsia="en-IN"/>
          <w14:ligatures w14:val="none"/>
        </w:rPr>
        <w:t>Journal of Gerontology</w:t>
      </w:r>
      <w:r w:rsidRPr="00440F88">
        <w:rPr>
          <w:rFonts w:ascii="Arial" w:eastAsia="Times New Roman" w:hAnsi="Arial" w:cs="Arial"/>
          <w:kern w:val="0"/>
          <w:sz w:val="22"/>
          <w:szCs w:val="22"/>
          <w:lang w:eastAsia="en-IN"/>
          <w14:ligatures w14:val="none"/>
        </w:rPr>
        <w:t>, 66A(7), pp. 722–727.</w:t>
      </w:r>
    </w:p>
    <w:p w14:paraId="55107B25"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Rodgers, M. et al. (2009) ‘Developing narrative synthesis’, </w:t>
      </w:r>
      <w:r w:rsidRPr="00440F88">
        <w:rPr>
          <w:rFonts w:ascii="Arial" w:eastAsia="Times New Roman" w:hAnsi="Arial" w:cs="Arial"/>
          <w:i/>
          <w:iCs/>
          <w:kern w:val="0"/>
          <w:sz w:val="22"/>
          <w:szCs w:val="22"/>
          <w:lang w:eastAsia="en-IN"/>
          <w14:ligatures w14:val="none"/>
        </w:rPr>
        <w:t>Journal of Advanced Nursing</w:t>
      </w:r>
      <w:r w:rsidRPr="00440F88">
        <w:rPr>
          <w:rFonts w:ascii="Arial" w:eastAsia="Times New Roman" w:hAnsi="Arial" w:cs="Arial"/>
          <w:kern w:val="0"/>
          <w:sz w:val="22"/>
          <w:szCs w:val="22"/>
          <w:lang w:eastAsia="en-IN"/>
          <w14:ligatures w14:val="none"/>
        </w:rPr>
        <w:t>, 65(2), pp. 458–468.</w:t>
      </w:r>
    </w:p>
    <w:p w14:paraId="74511CA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Rosenstock, I.M. (1974) ‘The Health Belief Model and preventive health behaviour’, </w:t>
      </w:r>
      <w:r w:rsidRPr="00440F88">
        <w:rPr>
          <w:rFonts w:ascii="Arial" w:eastAsia="Times New Roman" w:hAnsi="Arial" w:cs="Arial"/>
          <w:i/>
          <w:iCs/>
          <w:kern w:val="0"/>
          <w:sz w:val="22"/>
          <w:szCs w:val="22"/>
          <w:lang w:eastAsia="en-IN"/>
          <w14:ligatures w14:val="none"/>
        </w:rPr>
        <w:t>Health Education Monographs</w:t>
      </w:r>
      <w:r w:rsidRPr="00440F88">
        <w:rPr>
          <w:rFonts w:ascii="Arial" w:eastAsia="Times New Roman" w:hAnsi="Arial" w:cs="Arial"/>
          <w:kern w:val="0"/>
          <w:sz w:val="22"/>
          <w:szCs w:val="22"/>
          <w:lang w:eastAsia="en-IN"/>
          <w14:ligatures w14:val="none"/>
        </w:rPr>
        <w:t>, 2(4), pp. 354–386.</w:t>
      </w:r>
    </w:p>
    <w:p w14:paraId="66C5D157"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Royal College of Physicians (2019) </w:t>
      </w:r>
      <w:r w:rsidRPr="00440F88">
        <w:rPr>
          <w:rFonts w:ascii="Arial" w:eastAsia="Times New Roman" w:hAnsi="Arial" w:cs="Arial"/>
          <w:i/>
          <w:iCs/>
          <w:kern w:val="0"/>
          <w:sz w:val="22"/>
          <w:szCs w:val="22"/>
          <w:lang w:eastAsia="en-IN"/>
          <w14:ligatures w14:val="none"/>
        </w:rPr>
        <w:t>National Hip Fracture Database annual report 2019</w:t>
      </w:r>
      <w:r w:rsidRPr="00440F88">
        <w:rPr>
          <w:rFonts w:ascii="Arial" w:eastAsia="Times New Roman" w:hAnsi="Arial" w:cs="Arial"/>
          <w:kern w:val="0"/>
          <w:sz w:val="22"/>
          <w:szCs w:val="22"/>
          <w:lang w:eastAsia="en-IN"/>
          <w14:ligatures w14:val="none"/>
        </w:rPr>
        <w:t xml:space="preserve">. London: RCP. Available at: </w:t>
      </w:r>
      <w:hyperlink r:id="rId46" w:tgtFrame="_new" w:history="1">
        <w:r w:rsidRPr="00440F88">
          <w:rPr>
            <w:rFonts w:ascii="Arial" w:eastAsia="Times New Roman" w:hAnsi="Arial" w:cs="Arial"/>
            <w:color w:val="0000FF"/>
            <w:kern w:val="0"/>
            <w:sz w:val="22"/>
            <w:szCs w:val="22"/>
            <w:u w:val="single"/>
            <w:lang w:eastAsia="en-IN"/>
            <w14:ligatures w14:val="none"/>
          </w:rPr>
          <w:t>https://www.nhfd.co.uk/files/2019ReportFiles/NHFD_2019_Annual_Report_v101.pdf</w:t>
        </w:r>
      </w:hyperlink>
      <w:r w:rsidRPr="00440F88">
        <w:rPr>
          <w:rFonts w:ascii="Arial" w:eastAsia="Times New Roman" w:hAnsi="Arial" w:cs="Arial"/>
          <w:kern w:val="0"/>
          <w:sz w:val="22"/>
          <w:szCs w:val="22"/>
          <w:lang w:eastAsia="en-IN"/>
          <w14:ligatures w14:val="none"/>
        </w:rPr>
        <w:t xml:space="preserve"> (Accessed: 15 December 2025).</w:t>
      </w:r>
    </w:p>
    <w:p w14:paraId="4DFCF54F"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Ryan, R. (2016) </w:t>
      </w:r>
      <w:r w:rsidRPr="00440F88">
        <w:rPr>
          <w:rFonts w:ascii="Arial" w:eastAsia="Times New Roman" w:hAnsi="Arial" w:cs="Arial"/>
          <w:i/>
          <w:iCs/>
          <w:kern w:val="0"/>
          <w:sz w:val="22"/>
          <w:szCs w:val="22"/>
          <w:lang w:eastAsia="en-IN"/>
          <w14:ligatures w14:val="none"/>
        </w:rPr>
        <w:t>Cochrane Consumers and Communication Review Group</w:t>
      </w:r>
      <w:r w:rsidRPr="00440F88">
        <w:rPr>
          <w:rFonts w:ascii="Arial" w:eastAsia="Times New Roman" w:hAnsi="Arial" w:cs="Arial"/>
          <w:kern w:val="0"/>
          <w:sz w:val="22"/>
          <w:szCs w:val="22"/>
          <w:lang w:eastAsia="en-IN"/>
          <w14:ligatures w14:val="none"/>
        </w:rPr>
        <w:t>. Melbourne.</w:t>
      </w:r>
    </w:p>
    <w:p w14:paraId="7C5BB774"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Sallis, J.F. et al. (2016) ‘Role of built environments’, </w:t>
      </w:r>
      <w:r w:rsidRPr="00440F88">
        <w:rPr>
          <w:rFonts w:ascii="Arial" w:eastAsia="Times New Roman" w:hAnsi="Arial" w:cs="Arial"/>
          <w:i/>
          <w:iCs/>
          <w:kern w:val="0"/>
          <w:sz w:val="22"/>
          <w:szCs w:val="22"/>
          <w:lang w:eastAsia="en-IN"/>
          <w14:ligatures w14:val="none"/>
        </w:rPr>
        <w:t>The Lancet</w:t>
      </w:r>
      <w:r w:rsidRPr="00440F88">
        <w:rPr>
          <w:rFonts w:ascii="Arial" w:eastAsia="Times New Roman" w:hAnsi="Arial" w:cs="Arial"/>
          <w:kern w:val="0"/>
          <w:sz w:val="22"/>
          <w:szCs w:val="22"/>
          <w:lang w:eastAsia="en-IN"/>
          <w14:ligatures w14:val="none"/>
        </w:rPr>
        <w:t>, 388(10062), pp. 2925–2935.</w:t>
      </w:r>
    </w:p>
    <w:p w14:paraId="6599E296"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Sandelowski, M. et al. (2012) ‘Sample size in qualitative research’, </w:t>
      </w:r>
      <w:r w:rsidRPr="00440F88">
        <w:rPr>
          <w:rFonts w:ascii="Arial" w:eastAsia="Times New Roman" w:hAnsi="Arial" w:cs="Arial"/>
          <w:i/>
          <w:iCs/>
          <w:kern w:val="0"/>
          <w:sz w:val="22"/>
          <w:szCs w:val="22"/>
          <w:lang w:eastAsia="en-IN"/>
          <w14:ligatures w14:val="none"/>
        </w:rPr>
        <w:t>Research in Nursing &amp; Health</w:t>
      </w:r>
      <w:r w:rsidRPr="00440F88">
        <w:rPr>
          <w:rFonts w:ascii="Arial" w:eastAsia="Times New Roman" w:hAnsi="Arial" w:cs="Arial"/>
          <w:kern w:val="0"/>
          <w:sz w:val="22"/>
          <w:szCs w:val="22"/>
          <w:lang w:eastAsia="en-IN"/>
          <w14:ligatures w14:val="none"/>
        </w:rPr>
        <w:t>, 35(2), pp. 193–204.</w:t>
      </w:r>
    </w:p>
    <w:p w14:paraId="5B9681A9"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Shankar, A. et al. (2011) ‘Social isolation and health’, </w:t>
      </w:r>
      <w:r w:rsidRPr="00440F88">
        <w:rPr>
          <w:rFonts w:ascii="Arial" w:eastAsia="Times New Roman" w:hAnsi="Arial" w:cs="Arial"/>
          <w:i/>
          <w:iCs/>
          <w:kern w:val="0"/>
          <w:sz w:val="22"/>
          <w:szCs w:val="22"/>
          <w:lang w:eastAsia="en-IN"/>
          <w14:ligatures w14:val="none"/>
        </w:rPr>
        <w:t>Journal of the American Geriatrics Society</w:t>
      </w:r>
      <w:r w:rsidRPr="00440F88">
        <w:rPr>
          <w:rFonts w:ascii="Arial" w:eastAsia="Times New Roman" w:hAnsi="Arial" w:cs="Arial"/>
          <w:kern w:val="0"/>
          <w:sz w:val="22"/>
          <w:szCs w:val="22"/>
          <w:lang w:eastAsia="en-IN"/>
          <w14:ligatures w14:val="none"/>
        </w:rPr>
        <w:t>, 59(11), pp. 2037–2046.</w:t>
      </w:r>
    </w:p>
    <w:p w14:paraId="37F9232F"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Shaw, D. et al. (2016) ‘Research integrity’, </w:t>
      </w:r>
      <w:r w:rsidRPr="00440F88">
        <w:rPr>
          <w:rFonts w:ascii="Arial" w:eastAsia="Times New Roman" w:hAnsi="Arial" w:cs="Arial"/>
          <w:i/>
          <w:iCs/>
          <w:kern w:val="0"/>
          <w:sz w:val="22"/>
          <w:szCs w:val="22"/>
          <w:lang w:eastAsia="en-IN"/>
          <w14:ligatures w14:val="none"/>
        </w:rPr>
        <w:t>Journal of Medical Ethics</w:t>
      </w:r>
      <w:r w:rsidRPr="00440F88">
        <w:rPr>
          <w:rFonts w:ascii="Arial" w:eastAsia="Times New Roman" w:hAnsi="Arial" w:cs="Arial"/>
          <w:kern w:val="0"/>
          <w:sz w:val="22"/>
          <w:szCs w:val="22"/>
          <w:lang w:eastAsia="en-IN"/>
          <w14:ligatures w14:val="none"/>
        </w:rPr>
        <w:t>, 42(9), pp. 563–567.</w:t>
      </w:r>
    </w:p>
    <w:p w14:paraId="6BC7A667"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Sherrington, C. et al. (2017) ‘Exercise intensity and falls’, British Journal of Sports Medicine, 51(24), pp. 1750–1758.</w:t>
      </w:r>
    </w:p>
    <w:p w14:paraId="65479F9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lastRenderedPageBreak/>
        <w:t xml:space="preserve">Sherrington, C. et al. (2019) ‘Exercise for preventing falls in older people living in the community’, </w:t>
      </w:r>
      <w:r w:rsidRPr="00440F88">
        <w:rPr>
          <w:rFonts w:ascii="Arial" w:eastAsia="Times New Roman" w:hAnsi="Arial" w:cs="Arial"/>
          <w:i/>
          <w:iCs/>
          <w:kern w:val="0"/>
          <w:sz w:val="22"/>
          <w:szCs w:val="22"/>
          <w:lang w:eastAsia="en-IN"/>
          <w14:ligatures w14:val="none"/>
        </w:rPr>
        <w:t>Cochrane Database of Systematic Reviews</w:t>
      </w:r>
      <w:r w:rsidRPr="00440F88">
        <w:rPr>
          <w:rFonts w:ascii="Arial" w:eastAsia="Times New Roman" w:hAnsi="Arial" w:cs="Arial"/>
          <w:kern w:val="0"/>
          <w:sz w:val="22"/>
          <w:szCs w:val="22"/>
          <w:lang w:eastAsia="en-IN"/>
          <w14:ligatures w14:val="none"/>
        </w:rPr>
        <w:t>, 1, CD012424.</w:t>
      </w:r>
    </w:p>
    <w:p w14:paraId="07C1A27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Skelton, D.A. and Mavroeidi, A. (2018) ‘Exercise and falls prevention’, </w:t>
      </w:r>
      <w:r w:rsidRPr="00440F88">
        <w:rPr>
          <w:rFonts w:ascii="Arial" w:eastAsia="Times New Roman" w:hAnsi="Arial" w:cs="Arial"/>
          <w:i/>
          <w:iCs/>
          <w:kern w:val="0"/>
          <w:sz w:val="22"/>
          <w:szCs w:val="22"/>
          <w:lang w:eastAsia="en-IN"/>
          <w14:ligatures w14:val="none"/>
        </w:rPr>
        <w:t>Age and Ageing</w:t>
      </w:r>
      <w:r w:rsidRPr="00440F88">
        <w:rPr>
          <w:rFonts w:ascii="Arial" w:eastAsia="Times New Roman" w:hAnsi="Arial" w:cs="Arial"/>
          <w:kern w:val="0"/>
          <w:sz w:val="22"/>
          <w:szCs w:val="22"/>
          <w:lang w:eastAsia="en-IN"/>
          <w14:ligatures w14:val="none"/>
        </w:rPr>
        <w:t>, 47(1), pp. 1–6.</w:t>
      </w:r>
    </w:p>
    <w:p w14:paraId="2A81B34D"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Skelton, D.A. et al. (2021) ‘Exercise and ageing’, </w:t>
      </w:r>
      <w:r w:rsidRPr="00440F88">
        <w:rPr>
          <w:rFonts w:ascii="Arial" w:eastAsia="Times New Roman" w:hAnsi="Arial" w:cs="Arial"/>
          <w:i/>
          <w:iCs/>
          <w:kern w:val="0"/>
          <w:sz w:val="22"/>
          <w:szCs w:val="22"/>
          <w:lang w:eastAsia="en-IN"/>
          <w14:ligatures w14:val="none"/>
        </w:rPr>
        <w:t>Age and Ageing</w:t>
      </w:r>
      <w:r w:rsidRPr="00440F88">
        <w:rPr>
          <w:rFonts w:ascii="Arial" w:eastAsia="Times New Roman" w:hAnsi="Arial" w:cs="Arial"/>
          <w:kern w:val="0"/>
          <w:sz w:val="22"/>
          <w:szCs w:val="22"/>
          <w:lang w:eastAsia="en-IN"/>
          <w14:ligatures w14:val="none"/>
        </w:rPr>
        <w:t>, 50(2), pp. 316–323.</w:t>
      </w:r>
    </w:p>
    <w:p w14:paraId="4CC85A2D"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Snilstveit, B. et al. (2012) ‘Narrative synthesis’, </w:t>
      </w:r>
      <w:r w:rsidRPr="00440F88">
        <w:rPr>
          <w:rFonts w:ascii="Arial" w:eastAsia="Times New Roman" w:hAnsi="Arial" w:cs="Arial"/>
          <w:i/>
          <w:iCs/>
          <w:kern w:val="0"/>
          <w:sz w:val="22"/>
          <w:szCs w:val="22"/>
          <w:lang w:eastAsia="en-IN"/>
          <w14:ligatures w14:val="none"/>
        </w:rPr>
        <w:t>Journal of Development Effectiveness</w:t>
      </w:r>
      <w:r w:rsidRPr="00440F88">
        <w:rPr>
          <w:rFonts w:ascii="Arial" w:eastAsia="Times New Roman" w:hAnsi="Arial" w:cs="Arial"/>
          <w:kern w:val="0"/>
          <w:sz w:val="22"/>
          <w:szCs w:val="22"/>
          <w:lang w:eastAsia="en-IN"/>
          <w14:ligatures w14:val="none"/>
        </w:rPr>
        <w:t>, 4(3), pp. 409–429.</w:t>
      </w:r>
    </w:p>
    <w:p w14:paraId="3D385BF2"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Stewart, L.A. et al. (2012) ‘Protocol registration’, </w:t>
      </w:r>
      <w:r w:rsidRPr="00440F88">
        <w:rPr>
          <w:rFonts w:ascii="Arial" w:eastAsia="Times New Roman" w:hAnsi="Arial" w:cs="Arial"/>
          <w:i/>
          <w:iCs/>
          <w:kern w:val="0"/>
          <w:sz w:val="22"/>
          <w:szCs w:val="22"/>
          <w:lang w:eastAsia="en-IN"/>
          <w14:ligatures w14:val="none"/>
        </w:rPr>
        <w:t>Systematic Reviews</w:t>
      </w:r>
      <w:r w:rsidRPr="00440F88">
        <w:rPr>
          <w:rFonts w:ascii="Arial" w:eastAsia="Times New Roman" w:hAnsi="Arial" w:cs="Arial"/>
          <w:kern w:val="0"/>
          <w:sz w:val="22"/>
          <w:szCs w:val="22"/>
          <w:lang w:eastAsia="en-IN"/>
          <w14:ligatures w14:val="none"/>
        </w:rPr>
        <w:t>, 1, 7.</w:t>
      </w:r>
    </w:p>
    <w:p w14:paraId="362C2676"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Sugiyama, T. et al. (2014) ‘Walkable neighbourhoods and older adults’, </w:t>
      </w:r>
      <w:r w:rsidRPr="00440F88">
        <w:rPr>
          <w:rFonts w:ascii="Arial" w:eastAsia="Times New Roman" w:hAnsi="Arial" w:cs="Arial"/>
          <w:i/>
          <w:iCs/>
          <w:kern w:val="0"/>
          <w:sz w:val="22"/>
          <w:szCs w:val="22"/>
          <w:lang w:eastAsia="en-IN"/>
          <w14:ligatures w14:val="none"/>
        </w:rPr>
        <w:t>American Journal of Preventive Medicine</w:t>
      </w:r>
      <w:r w:rsidRPr="00440F88">
        <w:rPr>
          <w:rFonts w:ascii="Arial" w:eastAsia="Times New Roman" w:hAnsi="Arial" w:cs="Arial"/>
          <w:kern w:val="0"/>
          <w:sz w:val="22"/>
          <w:szCs w:val="22"/>
          <w:lang w:eastAsia="en-IN"/>
          <w14:ligatures w14:val="none"/>
        </w:rPr>
        <w:t>, 46(2), pp. 149–157.</w:t>
      </w:r>
    </w:p>
    <w:p w14:paraId="56CC44A6"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Theou, O. et al. (2011) ‘Exercise and frailty’, </w:t>
      </w:r>
      <w:r w:rsidRPr="00440F88">
        <w:rPr>
          <w:rFonts w:ascii="Arial" w:eastAsia="Times New Roman" w:hAnsi="Arial" w:cs="Arial"/>
          <w:i/>
          <w:iCs/>
          <w:kern w:val="0"/>
          <w:sz w:val="22"/>
          <w:szCs w:val="22"/>
          <w:lang w:eastAsia="en-IN"/>
          <w14:ligatures w14:val="none"/>
        </w:rPr>
        <w:t>Journal of Aging Research</w:t>
      </w:r>
      <w:r w:rsidRPr="00440F88">
        <w:rPr>
          <w:rFonts w:ascii="Arial" w:eastAsia="Times New Roman" w:hAnsi="Arial" w:cs="Arial"/>
          <w:kern w:val="0"/>
          <w:sz w:val="22"/>
          <w:szCs w:val="22"/>
          <w:lang w:eastAsia="en-IN"/>
          <w14:ligatures w14:val="none"/>
        </w:rPr>
        <w:t>, 2011, 569194.</w:t>
      </w:r>
    </w:p>
    <w:p w14:paraId="75726E97"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Tinetti, M.E. et al. (2014) ‘A patient-centred approach’, New England Journal of Medicine, 371(14), pp. 1347–1356.</w:t>
      </w:r>
    </w:p>
    <w:p w14:paraId="42099256"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Tricco, A.C. et al. (2018) ‘PRISMA extension’, </w:t>
      </w:r>
      <w:r w:rsidRPr="00440F88">
        <w:rPr>
          <w:rFonts w:ascii="Arial" w:eastAsia="Times New Roman" w:hAnsi="Arial" w:cs="Arial"/>
          <w:i/>
          <w:iCs/>
          <w:kern w:val="0"/>
          <w:sz w:val="22"/>
          <w:szCs w:val="22"/>
          <w:lang w:eastAsia="en-IN"/>
          <w14:ligatures w14:val="none"/>
        </w:rPr>
        <w:t>Annals of Internal Medicine</w:t>
      </w:r>
      <w:r w:rsidRPr="00440F88">
        <w:rPr>
          <w:rFonts w:ascii="Arial" w:eastAsia="Times New Roman" w:hAnsi="Arial" w:cs="Arial"/>
          <w:kern w:val="0"/>
          <w:sz w:val="22"/>
          <w:szCs w:val="22"/>
          <w:lang w:eastAsia="en-IN"/>
          <w14:ligatures w14:val="none"/>
        </w:rPr>
        <w:t>, 169(7), pp. 467–473.</w:t>
      </w:r>
    </w:p>
    <w:p w14:paraId="043FD446"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Turner, L., Harding, S. and Collins, E. (2020) ‘Community-based physiotherapy interventions for fall prevention’, </w:t>
      </w:r>
      <w:r w:rsidRPr="00440F88">
        <w:rPr>
          <w:rFonts w:ascii="Arial" w:eastAsia="Times New Roman" w:hAnsi="Arial" w:cs="Arial"/>
          <w:i/>
          <w:iCs/>
          <w:kern w:val="0"/>
          <w:sz w:val="22"/>
          <w:szCs w:val="22"/>
          <w:lang w:eastAsia="en-IN"/>
          <w14:ligatures w14:val="none"/>
        </w:rPr>
        <w:t>Physiotherapy Theory and Practice</w:t>
      </w:r>
      <w:r w:rsidRPr="00440F88">
        <w:rPr>
          <w:rFonts w:ascii="Arial" w:eastAsia="Times New Roman" w:hAnsi="Arial" w:cs="Arial"/>
          <w:kern w:val="0"/>
          <w:sz w:val="22"/>
          <w:szCs w:val="22"/>
          <w:lang w:eastAsia="en-IN"/>
          <w14:ligatures w14:val="none"/>
        </w:rPr>
        <w:t>, 36(6), pp. 709–720.</w:t>
      </w:r>
    </w:p>
    <w:p w14:paraId="1FBF2B8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Viswanathan, M. et al. (2018) ‘Assessing risk of bias’, </w:t>
      </w:r>
      <w:r w:rsidRPr="00440F88">
        <w:rPr>
          <w:rFonts w:ascii="Arial" w:eastAsia="Times New Roman" w:hAnsi="Arial" w:cs="Arial"/>
          <w:i/>
          <w:iCs/>
          <w:kern w:val="0"/>
          <w:sz w:val="22"/>
          <w:szCs w:val="22"/>
          <w:lang w:eastAsia="en-IN"/>
          <w14:ligatures w14:val="none"/>
        </w:rPr>
        <w:t>Methods Guide for Effectiveness Reviews</w:t>
      </w:r>
      <w:r w:rsidRPr="00440F88">
        <w:rPr>
          <w:rFonts w:ascii="Arial" w:eastAsia="Times New Roman" w:hAnsi="Arial" w:cs="Arial"/>
          <w:kern w:val="0"/>
          <w:sz w:val="22"/>
          <w:szCs w:val="22"/>
          <w:lang w:eastAsia="en-IN"/>
          <w14:ligatures w14:val="none"/>
        </w:rPr>
        <w:t>.</w:t>
      </w:r>
    </w:p>
    <w:p w14:paraId="03F62A1F"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Vos, T. et al. (2020) ‘Global burden of disease’, </w:t>
      </w:r>
      <w:r w:rsidRPr="00440F88">
        <w:rPr>
          <w:rFonts w:ascii="Arial" w:eastAsia="Times New Roman" w:hAnsi="Arial" w:cs="Arial"/>
          <w:i/>
          <w:iCs/>
          <w:kern w:val="0"/>
          <w:sz w:val="22"/>
          <w:szCs w:val="22"/>
          <w:lang w:eastAsia="en-IN"/>
          <w14:ligatures w14:val="none"/>
        </w:rPr>
        <w:t>The Lancet</w:t>
      </w:r>
      <w:r w:rsidRPr="00440F88">
        <w:rPr>
          <w:rFonts w:ascii="Arial" w:eastAsia="Times New Roman" w:hAnsi="Arial" w:cs="Arial"/>
          <w:kern w:val="0"/>
          <w:sz w:val="22"/>
          <w:szCs w:val="22"/>
          <w:lang w:eastAsia="en-IN"/>
          <w14:ligatures w14:val="none"/>
        </w:rPr>
        <w:t>, 396(10258), pp. 1204–1222.</w:t>
      </w:r>
    </w:p>
    <w:p w14:paraId="15BAAAB3"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Wittenberg, R. et al. (2018) ‘Future costs of falls’, Age and Ageing, 47(4), pp. 529–535.</w:t>
      </w:r>
    </w:p>
    <w:p w14:paraId="35335AC9"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World Health Organization (2008) </w:t>
      </w:r>
      <w:r w:rsidRPr="00440F88">
        <w:rPr>
          <w:rFonts w:ascii="Arial" w:eastAsia="Times New Roman" w:hAnsi="Arial" w:cs="Arial"/>
          <w:i/>
          <w:iCs/>
          <w:kern w:val="0"/>
          <w:sz w:val="22"/>
          <w:szCs w:val="22"/>
          <w:lang w:eastAsia="en-IN"/>
          <w14:ligatures w14:val="none"/>
        </w:rPr>
        <w:t>WHO global report on falls prevention in older age</w:t>
      </w:r>
      <w:r w:rsidRPr="00440F88">
        <w:rPr>
          <w:rFonts w:ascii="Arial" w:eastAsia="Times New Roman" w:hAnsi="Arial" w:cs="Arial"/>
          <w:kern w:val="0"/>
          <w:sz w:val="22"/>
          <w:szCs w:val="22"/>
          <w:lang w:eastAsia="en-IN"/>
          <w14:ligatures w14:val="none"/>
        </w:rPr>
        <w:t>. Geneva: WHO.</w:t>
      </w:r>
    </w:p>
    <w:p w14:paraId="0E2EAEFC"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World Health Organization (2017) </w:t>
      </w:r>
      <w:r w:rsidRPr="00440F88">
        <w:rPr>
          <w:rFonts w:ascii="Arial" w:eastAsia="Times New Roman" w:hAnsi="Arial" w:cs="Arial"/>
          <w:i/>
          <w:iCs/>
          <w:kern w:val="0"/>
          <w:sz w:val="22"/>
          <w:szCs w:val="22"/>
          <w:lang w:eastAsia="en-IN"/>
          <w14:ligatures w14:val="none"/>
        </w:rPr>
        <w:t>Global age-friendly cities</w:t>
      </w:r>
      <w:r w:rsidRPr="00440F88">
        <w:rPr>
          <w:rFonts w:ascii="Arial" w:eastAsia="Times New Roman" w:hAnsi="Arial" w:cs="Arial"/>
          <w:kern w:val="0"/>
          <w:sz w:val="22"/>
          <w:szCs w:val="22"/>
          <w:lang w:eastAsia="en-IN"/>
          <w14:ligatures w14:val="none"/>
        </w:rPr>
        <w:t>. Geneva: WHO.</w:t>
      </w:r>
    </w:p>
    <w:p w14:paraId="2FFBA47B" w14:textId="77777777" w:rsidR="00271515" w:rsidRPr="00440F88" w:rsidRDefault="00271515" w:rsidP="00440F88">
      <w:pPr>
        <w:pStyle w:val="ListParagraph"/>
        <w:numPr>
          <w:ilvl w:val="0"/>
          <w:numId w:val="16"/>
        </w:numPr>
        <w:spacing w:before="100" w:beforeAutospacing="1" w:after="100" w:afterAutospacing="1" w:line="360" w:lineRule="auto"/>
        <w:jc w:val="both"/>
        <w:rPr>
          <w:rFonts w:ascii="Arial" w:eastAsia="Times New Roman" w:hAnsi="Arial" w:cs="Arial"/>
          <w:kern w:val="0"/>
          <w:sz w:val="22"/>
          <w:szCs w:val="22"/>
          <w:lang w:eastAsia="en-IN"/>
          <w14:ligatures w14:val="none"/>
        </w:rPr>
      </w:pPr>
      <w:r w:rsidRPr="00440F88">
        <w:rPr>
          <w:rFonts w:ascii="Arial" w:eastAsia="Times New Roman" w:hAnsi="Arial" w:cs="Arial"/>
          <w:kern w:val="0"/>
          <w:sz w:val="22"/>
          <w:szCs w:val="22"/>
          <w:lang w:eastAsia="en-IN"/>
          <w14:ligatures w14:val="none"/>
        </w:rPr>
        <w:t xml:space="preserve">World Health Organization (2021) </w:t>
      </w:r>
      <w:r w:rsidRPr="00440F88">
        <w:rPr>
          <w:rFonts w:ascii="Arial" w:eastAsia="Times New Roman" w:hAnsi="Arial" w:cs="Arial"/>
          <w:i/>
          <w:iCs/>
          <w:kern w:val="0"/>
          <w:sz w:val="22"/>
          <w:szCs w:val="22"/>
          <w:lang w:eastAsia="en-IN"/>
          <w14:ligatures w14:val="none"/>
        </w:rPr>
        <w:t>Falls</w:t>
      </w:r>
      <w:r w:rsidRPr="00440F88">
        <w:rPr>
          <w:rFonts w:ascii="Arial" w:eastAsia="Times New Roman" w:hAnsi="Arial" w:cs="Arial"/>
          <w:kern w:val="0"/>
          <w:sz w:val="22"/>
          <w:szCs w:val="22"/>
          <w:lang w:eastAsia="en-IN"/>
          <w14:ligatures w14:val="none"/>
        </w:rPr>
        <w:t xml:space="preserve">. Available at: </w:t>
      </w:r>
      <w:hyperlink r:id="rId47" w:tgtFrame="_new" w:history="1">
        <w:r w:rsidRPr="00440F88">
          <w:rPr>
            <w:rFonts w:ascii="Arial" w:eastAsia="Times New Roman" w:hAnsi="Arial" w:cs="Arial"/>
            <w:color w:val="0000FF"/>
            <w:kern w:val="0"/>
            <w:sz w:val="22"/>
            <w:szCs w:val="22"/>
            <w:u w:val="single"/>
            <w:lang w:eastAsia="en-IN"/>
            <w14:ligatures w14:val="none"/>
          </w:rPr>
          <w:t>https://www.who.int/news-room/fact-sheets/detail/falls</w:t>
        </w:r>
      </w:hyperlink>
      <w:r w:rsidRPr="00440F88">
        <w:rPr>
          <w:rFonts w:ascii="Arial" w:eastAsia="Times New Roman" w:hAnsi="Arial" w:cs="Arial"/>
          <w:kern w:val="0"/>
          <w:sz w:val="22"/>
          <w:szCs w:val="22"/>
          <w:lang w:eastAsia="en-IN"/>
          <w14:ligatures w14:val="none"/>
        </w:rPr>
        <w:t xml:space="preserve"> (Accessed: 15 December 2025).</w:t>
      </w:r>
    </w:p>
    <w:p w14:paraId="6C8D990B" w14:textId="77777777" w:rsidR="00FB3E8E" w:rsidRDefault="00FB3E8E" w:rsidP="00C24C8D">
      <w:pPr>
        <w:spacing w:line="360" w:lineRule="auto"/>
        <w:jc w:val="both"/>
        <w:rPr>
          <w:rFonts w:ascii="Arial" w:hAnsi="Arial" w:cs="Arial"/>
          <w:sz w:val="22"/>
          <w:szCs w:val="22"/>
        </w:rPr>
      </w:pPr>
    </w:p>
    <w:p w14:paraId="65D2BCEB" w14:textId="0D6B7A56" w:rsidR="00A10D9D" w:rsidRPr="00421D4D" w:rsidRDefault="00A10D9D" w:rsidP="00C24C8D">
      <w:pPr>
        <w:pStyle w:val="Heading1"/>
        <w:spacing w:line="360" w:lineRule="auto"/>
        <w:jc w:val="both"/>
        <w:rPr>
          <w:rFonts w:ascii="Arial" w:hAnsi="Arial" w:cs="Arial"/>
          <w:b/>
          <w:bCs/>
          <w:sz w:val="32"/>
          <w:szCs w:val="32"/>
        </w:rPr>
      </w:pPr>
      <w:bookmarkStart w:id="104" w:name="_Toc220878949"/>
      <w:r w:rsidRPr="00421D4D">
        <w:rPr>
          <w:rFonts w:ascii="Arial" w:hAnsi="Arial" w:cs="Arial"/>
          <w:b/>
          <w:bCs/>
          <w:sz w:val="32"/>
          <w:szCs w:val="32"/>
        </w:rPr>
        <w:lastRenderedPageBreak/>
        <w:t>A</w:t>
      </w:r>
      <w:r w:rsidR="00694A13">
        <w:rPr>
          <w:rFonts w:ascii="Arial" w:hAnsi="Arial" w:cs="Arial"/>
          <w:b/>
          <w:bCs/>
          <w:sz w:val="32"/>
          <w:szCs w:val="32"/>
        </w:rPr>
        <w:t>ppendices</w:t>
      </w:r>
      <w:bookmarkEnd w:id="104"/>
    </w:p>
    <w:p w14:paraId="16259BEA" w14:textId="0778C5D9" w:rsidR="00867FFD" w:rsidRPr="00FB3E8E" w:rsidRDefault="00694A13" w:rsidP="00C24C8D">
      <w:pPr>
        <w:spacing w:line="360" w:lineRule="auto"/>
        <w:jc w:val="both"/>
        <w:rPr>
          <w:rFonts w:ascii="Arial" w:hAnsi="Arial" w:cs="Arial"/>
          <w:b/>
          <w:bCs/>
          <w:sz w:val="28"/>
          <w:szCs w:val="28"/>
        </w:rPr>
      </w:pPr>
      <w:r w:rsidRPr="00FB3E8E">
        <w:rPr>
          <w:rFonts w:ascii="Arial" w:hAnsi="Arial" w:cs="Arial"/>
          <w:b/>
          <w:bCs/>
          <w:sz w:val="28"/>
          <w:szCs w:val="28"/>
        </w:rPr>
        <w:t>Appendix</w:t>
      </w:r>
      <w:r w:rsidR="00867FFD" w:rsidRPr="00FB3E8E">
        <w:rPr>
          <w:rFonts w:ascii="Arial" w:hAnsi="Arial" w:cs="Arial"/>
          <w:b/>
          <w:bCs/>
          <w:sz w:val="28"/>
          <w:szCs w:val="28"/>
        </w:rPr>
        <w:t xml:space="preserve"> 1: Quality Appraisal of Included Studies</w:t>
      </w:r>
    </w:p>
    <w:tbl>
      <w:tblPr>
        <w:tblStyle w:val="TableGrid"/>
        <w:tblW w:w="11358" w:type="dxa"/>
        <w:tblInd w:w="-1423" w:type="dxa"/>
        <w:tblLayout w:type="fixed"/>
        <w:tblLook w:val="04A0" w:firstRow="1" w:lastRow="0" w:firstColumn="1" w:lastColumn="0" w:noHBand="0" w:noVBand="1"/>
      </w:tblPr>
      <w:tblGrid>
        <w:gridCol w:w="1543"/>
        <w:gridCol w:w="1542"/>
        <w:gridCol w:w="982"/>
        <w:gridCol w:w="1542"/>
        <w:gridCol w:w="1542"/>
        <w:gridCol w:w="1403"/>
        <w:gridCol w:w="1542"/>
        <w:gridCol w:w="1262"/>
      </w:tblGrid>
      <w:tr w:rsidR="00867FFD" w14:paraId="0FD0A427" w14:textId="77777777" w:rsidTr="00F43B46">
        <w:trPr>
          <w:trHeight w:val="881"/>
        </w:trPr>
        <w:tc>
          <w:tcPr>
            <w:tcW w:w="1543" w:type="dxa"/>
          </w:tcPr>
          <w:p w14:paraId="00DF3609" w14:textId="065977D4" w:rsidR="004B3910" w:rsidRPr="009F5D2A" w:rsidRDefault="004B3910" w:rsidP="00C24C8D">
            <w:pPr>
              <w:pStyle w:val="NoSpacing"/>
              <w:spacing w:line="360" w:lineRule="auto"/>
              <w:jc w:val="both"/>
              <w:rPr>
                <w:b/>
                <w:bCs/>
              </w:rPr>
            </w:pPr>
            <w:r w:rsidRPr="009F5D2A">
              <w:rPr>
                <w:b/>
                <w:bCs/>
              </w:rPr>
              <w:t>Study</w:t>
            </w:r>
          </w:p>
        </w:tc>
        <w:tc>
          <w:tcPr>
            <w:tcW w:w="1542" w:type="dxa"/>
          </w:tcPr>
          <w:p w14:paraId="0E28AAE6" w14:textId="4A4E4955" w:rsidR="004B3910" w:rsidRPr="009F5D2A" w:rsidRDefault="004B3910" w:rsidP="00C24C8D">
            <w:pPr>
              <w:pStyle w:val="NoSpacing"/>
              <w:spacing w:line="360" w:lineRule="auto"/>
              <w:jc w:val="both"/>
              <w:rPr>
                <w:b/>
                <w:bCs/>
              </w:rPr>
            </w:pPr>
            <w:r w:rsidRPr="009F5D2A">
              <w:rPr>
                <w:b/>
                <w:bCs/>
              </w:rPr>
              <w:t>Design</w:t>
            </w:r>
          </w:p>
        </w:tc>
        <w:tc>
          <w:tcPr>
            <w:tcW w:w="982" w:type="dxa"/>
          </w:tcPr>
          <w:p w14:paraId="4930F2CD" w14:textId="7FF10180" w:rsidR="004B3910" w:rsidRPr="009F5D2A" w:rsidRDefault="004B3910" w:rsidP="00C24C8D">
            <w:pPr>
              <w:pStyle w:val="NoSpacing"/>
              <w:spacing w:line="360" w:lineRule="auto"/>
              <w:jc w:val="both"/>
              <w:rPr>
                <w:b/>
                <w:bCs/>
              </w:rPr>
            </w:pPr>
            <w:r w:rsidRPr="009F5D2A">
              <w:rPr>
                <w:b/>
                <w:bCs/>
              </w:rPr>
              <w:t>Clear Aim</w:t>
            </w:r>
          </w:p>
        </w:tc>
        <w:tc>
          <w:tcPr>
            <w:tcW w:w="1542" w:type="dxa"/>
          </w:tcPr>
          <w:p w14:paraId="75DF7F1E" w14:textId="45901EFF" w:rsidR="004B3910" w:rsidRPr="009F5D2A" w:rsidRDefault="004B3910" w:rsidP="00C24C8D">
            <w:pPr>
              <w:pStyle w:val="NoSpacing"/>
              <w:spacing w:line="360" w:lineRule="auto"/>
              <w:jc w:val="both"/>
              <w:rPr>
                <w:b/>
                <w:bCs/>
              </w:rPr>
            </w:pPr>
            <w:r w:rsidRPr="009F5D2A">
              <w:rPr>
                <w:b/>
                <w:bCs/>
              </w:rPr>
              <w:t>Appropriate Design</w:t>
            </w:r>
          </w:p>
        </w:tc>
        <w:tc>
          <w:tcPr>
            <w:tcW w:w="1542" w:type="dxa"/>
          </w:tcPr>
          <w:p w14:paraId="1A1CA5ED" w14:textId="208827C0" w:rsidR="004B3910" w:rsidRPr="009F5D2A" w:rsidRDefault="004B3910" w:rsidP="00C24C8D">
            <w:pPr>
              <w:pStyle w:val="NoSpacing"/>
              <w:spacing w:line="360" w:lineRule="auto"/>
              <w:jc w:val="both"/>
              <w:rPr>
                <w:b/>
                <w:bCs/>
              </w:rPr>
            </w:pPr>
            <w:r w:rsidRPr="009F5D2A">
              <w:rPr>
                <w:b/>
                <w:bCs/>
              </w:rPr>
              <w:t>Participants Described</w:t>
            </w:r>
          </w:p>
        </w:tc>
        <w:tc>
          <w:tcPr>
            <w:tcW w:w="1403" w:type="dxa"/>
          </w:tcPr>
          <w:p w14:paraId="58162AAC" w14:textId="13C7779F" w:rsidR="004B3910" w:rsidRPr="009F5D2A" w:rsidRDefault="004B3910" w:rsidP="00C24C8D">
            <w:pPr>
              <w:pStyle w:val="NoSpacing"/>
              <w:spacing w:line="360" w:lineRule="auto"/>
              <w:jc w:val="both"/>
              <w:rPr>
                <w:b/>
                <w:bCs/>
              </w:rPr>
            </w:pPr>
            <w:r w:rsidRPr="009F5D2A">
              <w:rPr>
                <w:b/>
                <w:bCs/>
              </w:rPr>
              <w:t>Valid Outcomes</w:t>
            </w:r>
          </w:p>
        </w:tc>
        <w:tc>
          <w:tcPr>
            <w:tcW w:w="1542" w:type="dxa"/>
          </w:tcPr>
          <w:p w14:paraId="656FDD73" w14:textId="46CA0283" w:rsidR="004B3910" w:rsidRPr="009F5D2A" w:rsidRDefault="004B3910" w:rsidP="00C24C8D">
            <w:pPr>
              <w:pStyle w:val="NoSpacing"/>
              <w:spacing w:line="360" w:lineRule="auto"/>
              <w:jc w:val="both"/>
              <w:rPr>
                <w:b/>
                <w:bCs/>
              </w:rPr>
            </w:pPr>
            <w:r w:rsidRPr="009F5D2A">
              <w:rPr>
                <w:b/>
                <w:bCs/>
              </w:rPr>
              <w:t>Data Analysis Appropriate</w:t>
            </w:r>
          </w:p>
        </w:tc>
        <w:tc>
          <w:tcPr>
            <w:tcW w:w="1262" w:type="dxa"/>
          </w:tcPr>
          <w:p w14:paraId="0F8F843C" w14:textId="02C9A3F7" w:rsidR="004B3910" w:rsidRPr="009F5D2A" w:rsidRDefault="004B3910" w:rsidP="00C24C8D">
            <w:pPr>
              <w:pStyle w:val="NoSpacing"/>
              <w:spacing w:line="360" w:lineRule="auto"/>
              <w:jc w:val="both"/>
              <w:rPr>
                <w:b/>
                <w:bCs/>
              </w:rPr>
            </w:pPr>
            <w:r w:rsidRPr="009F5D2A">
              <w:rPr>
                <w:b/>
                <w:bCs/>
              </w:rPr>
              <w:t>Overall Quality</w:t>
            </w:r>
          </w:p>
        </w:tc>
      </w:tr>
      <w:tr w:rsidR="00867FFD" w14:paraId="50910A94" w14:textId="77777777" w:rsidTr="00F43B46">
        <w:trPr>
          <w:trHeight w:val="594"/>
        </w:trPr>
        <w:tc>
          <w:tcPr>
            <w:tcW w:w="1543" w:type="dxa"/>
          </w:tcPr>
          <w:p w14:paraId="5236220A" w14:textId="7C099B49" w:rsidR="004B3910" w:rsidRPr="004B3910" w:rsidRDefault="004B3910" w:rsidP="00C24C8D">
            <w:pPr>
              <w:pStyle w:val="NoSpacing"/>
              <w:spacing w:line="360" w:lineRule="auto"/>
              <w:jc w:val="both"/>
            </w:pPr>
            <w:r w:rsidRPr="004B3910">
              <w:t>Gillespie et al. (2012)</w:t>
            </w:r>
          </w:p>
        </w:tc>
        <w:tc>
          <w:tcPr>
            <w:tcW w:w="1542" w:type="dxa"/>
          </w:tcPr>
          <w:p w14:paraId="01C4CA7B" w14:textId="3D3EFC23" w:rsidR="004B3910" w:rsidRPr="009F5D2A" w:rsidRDefault="009F5D2A" w:rsidP="00C24C8D">
            <w:pPr>
              <w:pStyle w:val="NoSpacing"/>
              <w:spacing w:line="360" w:lineRule="auto"/>
              <w:jc w:val="both"/>
            </w:pPr>
            <w:r w:rsidRPr="009F5D2A">
              <w:t>Systematic review</w:t>
            </w:r>
          </w:p>
        </w:tc>
        <w:tc>
          <w:tcPr>
            <w:tcW w:w="982" w:type="dxa"/>
          </w:tcPr>
          <w:p w14:paraId="759872EC" w14:textId="3ECD200F" w:rsidR="004B3910" w:rsidRPr="009F5D2A" w:rsidRDefault="009F5D2A" w:rsidP="00C24C8D">
            <w:pPr>
              <w:pStyle w:val="NoSpacing"/>
              <w:spacing w:line="360" w:lineRule="auto"/>
              <w:jc w:val="both"/>
            </w:pPr>
            <w:r>
              <w:t>Yes</w:t>
            </w:r>
          </w:p>
        </w:tc>
        <w:tc>
          <w:tcPr>
            <w:tcW w:w="1542" w:type="dxa"/>
          </w:tcPr>
          <w:p w14:paraId="747DC850" w14:textId="48FB4C78" w:rsidR="004B3910" w:rsidRPr="009F5D2A" w:rsidRDefault="009F5D2A" w:rsidP="00C24C8D">
            <w:pPr>
              <w:pStyle w:val="NoSpacing"/>
              <w:spacing w:line="360" w:lineRule="auto"/>
              <w:jc w:val="both"/>
            </w:pPr>
            <w:r>
              <w:t>Yes</w:t>
            </w:r>
          </w:p>
        </w:tc>
        <w:tc>
          <w:tcPr>
            <w:tcW w:w="1542" w:type="dxa"/>
          </w:tcPr>
          <w:p w14:paraId="187A8A4B" w14:textId="4E0678C7" w:rsidR="004B3910" w:rsidRPr="009F5D2A" w:rsidRDefault="009F5D2A" w:rsidP="00C24C8D">
            <w:pPr>
              <w:pStyle w:val="NoSpacing"/>
              <w:spacing w:line="360" w:lineRule="auto"/>
              <w:jc w:val="both"/>
            </w:pPr>
            <w:r>
              <w:t>Yes</w:t>
            </w:r>
          </w:p>
        </w:tc>
        <w:tc>
          <w:tcPr>
            <w:tcW w:w="1403" w:type="dxa"/>
          </w:tcPr>
          <w:p w14:paraId="30182202" w14:textId="669B063A" w:rsidR="004B3910" w:rsidRPr="00867FFD" w:rsidRDefault="009F5D2A" w:rsidP="00C24C8D">
            <w:pPr>
              <w:pStyle w:val="NoSpacing"/>
              <w:spacing w:line="360" w:lineRule="auto"/>
              <w:jc w:val="both"/>
            </w:pPr>
            <w:r w:rsidRPr="00867FFD">
              <w:t>Yes</w:t>
            </w:r>
          </w:p>
        </w:tc>
        <w:tc>
          <w:tcPr>
            <w:tcW w:w="1542" w:type="dxa"/>
          </w:tcPr>
          <w:p w14:paraId="28DD7A80" w14:textId="2E1B2989" w:rsidR="004B3910" w:rsidRPr="00867FFD" w:rsidRDefault="009F5D2A" w:rsidP="00C24C8D">
            <w:pPr>
              <w:pStyle w:val="NoSpacing"/>
              <w:spacing w:line="360" w:lineRule="auto"/>
              <w:jc w:val="both"/>
            </w:pPr>
            <w:r w:rsidRPr="00867FFD">
              <w:t>Yes</w:t>
            </w:r>
          </w:p>
        </w:tc>
        <w:tc>
          <w:tcPr>
            <w:tcW w:w="1262" w:type="dxa"/>
          </w:tcPr>
          <w:p w14:paraId="53B136D2" w14:textId="56D7EBA2" w:rsidR="004B3910" w:rsidRPr="00867FFD" w:rsidRDefault="009F5D2A" w:rsidP="00C24C8D">
            <w:pPr>
              <w:pStyle w:val="NoSpacing"/>
              <w:spacing w:line="360" w:lineRule="auto"/>
              <w:jc w:val="both"/>
            </w:pPr>
            <w:r w:rsidRPr="00867FFD">
              <w:t>High</w:t>
            </w:r>
          </w:p>
        </w:tc>
      </w:tr>
      <w:tr w:rsidR="00867FFD" w14:paraId="111D71E5" w14:textId="77777777" w:rsidTr="00F43B46">
        <w:trPr>
          <w:trHeight w:val="594"/>
        </w:trPr>
        <w:tc>
          <w:tcPr>
            <w:tcW w:w="1543" w:type="dxa"/>
          </w:tcPr>
          <w:p w14:paraId="674FA602" w14:textId="4EDB1C26" w:rsidR="004B3910" w:rsidRPr="004B3910" w:rsidRDefault="004B3910" w:rsidP="00C24C8D">
            <w:pPr>
              <w:pStyle w:val="NoSpacing"/>
              <w:spacing w:line="360" w:lineRule="auto"/>
              <w:jc w:val="both"/>
            </w:pPr>
            <w:r w:rsidRPr="004B3910">
              <w:t>Clemson et al. (2012)</w:t>
            </w:r>
          </w:p>
        </w:tc>
        <w:tc>
          <w:tcPr>
            <w:tcW w:w="1542" w:type="dxa"/>
          </w:tcPr>
          <w:p w14:paraId="75A0772F" w14:textId="39C818CF" w:rsidR="004B3910" w:rsidRPr="009F5D2A" w:rsidRDefault="009F5D2A" w:rsidP="00C24C8D">
            <w:pPr>
              <w:pStyle w:val="NoSpacing"/>
              <w:spacing w:line="360" w:lineRule="auto"/>
              <w:jc w:val="both"/>
            </w:pPr>
            <w:r w:rsidRPr="009F5D2A">
              <w:t>RCT</w:t>
            </w:r>
          </w:p>
        </w:tc>
        <w:tc>
          <w:tcPr>
            <w:tcW w:w="982" w:type="dxa"/>
          </w:tcPr>
          <w:p w14:paraId="28094BD3" w14:textId="0D1D622F" w:rsidR="004B3910" w:rsidRDefault="00867FFD" w:rsidP="00C24C8D">
            <w:pPr>
              <w:pStyle w:val="NoSpacing"/>
              <w:spacing w:line="360" w:lineRule="auto"/>
              <w:jc w:val="both"/>
            </w:pPr>
            <w:r>
              <w:t>Yes</w:t>
            </w:r>
          </w:p>
        </w:tc>
        <w:tc>
          <w:tcPr>
            <w:tcW w:w="1542" w:type="dxa"/>
          </w:tcPr>
          <w:p w14:paraId="07AE99F9" w14:textId="1ACEE9C4" w:rsidR="004B3910" w:rsidRDefault="00867FFD" w:rsidP="00C24C8D">
            <w:pPr>
              <w:pStyle w:val="NoSpacing"/>
              <w:spacing w:line="360" w:lineRule="auto"/>
              <w:jc w:val="both"/>
            </w:pPr>
            <w:r w:rsidRPr="00867FFD">
              <w:t>Yes</w:t>
            </w:r>
          </w:p>
        </w:tc>
        <w:tc>
          <w:tcPr>
            <w:tcW w:w="1542" w:type="dxa"/>
          </w:tcPr>
          <w:p w14:paraId="5055A166" w14:textId="41DCCCCA" w:rsidR="004B3910" w:rsidRDefault="00867FFD" w:rsidP="00C24C8D">
            <w:pPr>
              <w:pStyle w:val="NoSpacing"/>
              <w:spacing w:line="360" w:lineRule="auto"/>
              <w:jc w:val="both"/>
            </w:pPr>
            <w:r w:rsidRPr="00867FFD">
              <w:t>Yes</w:t>
            </w:r>
          </w:p>
        </w:tc>
        <w:tc>
          <w:tcPr>
            <w:tcW w:w="1403" w:type="dxa"/>
          </w:tcPr>
          <w:p w14:paraId="001DABE3" w14:textId="1186D314" w:rsidR="004B3910" w:rsidRDefault="00867FFD" w:rsidP="00C24C8D">
            <w:pPr>
              <w:pStyle w:val="NoSpacing"/>
              <w:spacing w:line="360" w:lineRule="auto"/>
              <w:jc w:val="both"/>
            </w:pPr>
            <w:r w:rsidRPr="00867FFD">
              <w:t>Yes</w:t>
            </w:r>
          </w:p>
        </w:tc>
        <w:tc>
          <w:tcPr>
            <w:tcW w:w="1542" w:type="dxa"/>
          </w:tcPr>
          <w:p w14:paraId="0D57D12D" w14:textId="65EEB901" w:rsidR="004B3910" w:rsidRDefault="00867FFD" w:rsidP="00C24C8D">
            <w:pPr>
              <w:pStyle w:val="NoSpacing"/>
              <w:spacing w:line="360" w:lineRule="auto"/>
              <w:jc w:val="both"/>
            </w:pPr>
            <w:r w:rsidRPr="00867FFD">
              <w:t>Yes</w:t>
            </w:r>
          </w:p>
        </w:tc>
        <w:tc>
          <w:tcPr>
            <w:tcW w:w="1262" w:type="dxa"/>
          </w:tcPr>
          <w:p w14:paraId="7D00572E" w14:textId="6B81C045" w:rsidR="004B3910" w:rsidRDefault="00867FFD" w:rsidP="00C24C8D">
            <w:pPr>
              <w:pStyle w:val="NoSpacing"/>
              <w:spacing w:line="360" w:lineRule="auto"/>
              <w:jc w:val="both"/>
            </w:pPr>
            <w:r w:rsidRPr="00867FFD">
              <w:t>High</w:t>
            </w:r>
          </w:p>
        </w:tc>
      </w:tr>
      <w:tr w:rsidR="00867FFD" w14:paraId="7FFA1BCC" w14:textId="77777777" w:rsidTr="00F43B46">
        <w:trPr>
          <w:trHeight w:val="583"/>
        </w:trPr>
        <w:tc>
          <w:tcPr>
            <w:tcW w:w="1543" w:type="dxa"/>
          </w:tcPr>
          <w:p w14:paraId="31A72201" w14:textId="67735F6B" w:rsidR="004B3910" w:rsidRPr="004B3910" w:rsidRDefault="004B3910" w:rsidP="00C24C8D">
            <w:pPr>
              <w:pStyle w:val="NoSpacing"/>
              <w:spacing w:line="360" w:lineRule="auto"/>
              <w:jc w:val="both"/>
            </w:pPr>
            <w:r w:rsidRPr="004B3910">
              <w:t>Gardner et al. (2016)</w:t>
            </w:r>
          </w:p>
        </w:tc>
        <w:tc>
          <w:tcPr>
            <w:tcW w:w="1542" w:type="dxa"/>
          </w:tcPr>
          <w:p w14:paraId="73D04299" w14:textId="4BB8633D" w:rsidR="004B3910" w:rsidRPr="009F5D2A" w:rsidRDefault="009F5D2A" w:rsidP="00C24C8D">
            <w:pPr>
              <w:pStyle w:val="NoSpacing"/>
              <w:spacing w:line="360" w:lineRule="auto"/>
              <w:jc w:val="both"/>
            </w:pPr>
            <w:r w:rsidRPr="009F5D2A">
              <w:t>Systematic review</w:t>
            </w:r>
          </w:p>
        </w:tc>
        <w:tc>
          <w:tcPr>
            <w:tcW w:w="982" w:type="dxa"/>
          </w:tcPr>
          <w:p w14:paraId="1797D74E" w14:textId="378E1E96" w:rsidR="004B3910" w:rsidRDefault="00867FFD" w:rsidP="00C24C8D">
            <w:pPr>
              <w:pStyle w:val="NoSpacing"/>
              <w:spacing w:line="360" w:lineRule="auto"/>
              <w:jc w:val="both"/>
            </w:pPr>
            <w:r>
              <w:t>Yes</w:t>
            </w:r>
          </w:p>
        </w:tc>
        <w:tc>
          <w:tcPr>
            <w:tcW w:w="1542" w:type="dxa"/>
          </w:tcPr>
          <w:p w14:paraId="372B7838" w14:textId="5CC74F49" w:rsidR="004B3910" w:rsidRDefault="00867FFD" w:rsidP="00C24C8D">
            <w:pPr>
              <w:pStyle w:val="NoSpacing"/>
              <w:spacing w:line="360" w:lineRule="auto"/>
              <w:jc w:val="both"/>
            </w:pPr>
            <w:r w:rsidRPr="00867FFD">
              <w:t>Yes</w:t>
            </w:r>
          </w:p>
        </w:tc>
        <w:tc>
          <w:tcPr>
            <w:tcW w:w="1542" w:type="dxa"/>
          </w:tcPr>
          <w:p w14:paraId="19AFCE9E" w14:textId="0AA56FFB" w:rsidR="004B3910" w:rsidRDefault="00867FFD" w:rsidP="00C24C8D">
            <w:pPr>
              <w:pStyle w:val="NoSpacing"/>
              <w:spacing w:line="360" w:lineRule="auto"/>
              <w:jc w:val="both"/>
            </w:pPr>
            <w:r w:rsidRPr="00867FFD">
              <w:t>Yes</w:t>
            </w:r>
          </w:p>
        </w:tc>
        <w:tc>
          <w:tcPr>
            <w:tcW w:w="1403" w:type="dxa"/>
          </w:tcPr>
          <w:p w14:paraId="089647D0" w14:textId="768ACCBC" w:rsidR="004B3910" w:rsidRDefault="00867FFD" w:rsidP="00C24C8D">
            <w:pPr>
              <w:pStyle w:val="NoSpacing"/>
              <w:spacing w:line="360" w:lineRule="auto"/>
              <w:jc w:val="both"/>
            </w:pPr>
            <w:r w:rsidRPr="00867FFD">
              <w:t>Yes</w:t>
            </w:r>
          </w:p>
        </w:tc>
        <w:tc>
          <w:tcPr>
            <w:tcW w:w="1542" w:type="dxa"/>
          </w:tcPr>
          <w:p w14:paraId="084DA3D3" w14:textId="373E9BC7" w:rsidR="004B3910" w:rsidRDefault="00867FFD" w:rsidP="00C24C8D">
            <w:pPr>
              <w:pStyle w:val="NoSpacing"/>
              <w:spacing w:line="360" w:lineRule="auto"/>
              <w:jc w:val="both"/>
            </w:pPr>
            <w:r w:rsidRPr="00867FFD">
              <w:t>Yes</w:t>
            </w:r>
          </w:p>
        </w:tc>
        <w:tc>
          <w:tcPr>
            <w:tcW w:w="1262" w:type="dxa"/>
          </w:tcPr>
          <w:p w14:paraId="25927E0A" w14:textId="0945C388" w:rsidR="004B3910" w:rsidRDefault="00867FFD" w:rsidP="00C24C8D">
            <w:pPr>
              <w:pStyle w:val="NoSpacing"/>
              <w:spacing w:line="360" w:lineRule="auto"/>
              <w:jc w:val="both"/>
            </w:pPr>
            <w:r w:rsidRPr="00867FFD">
              <w:t>High</w:t>
            </w:r>
          </w:p>
        </w:tc>
      </w:tr>
      <w:tr w:rsidR="00867FFD" w14:paraId="0878B4CC" w14:textId="77777777" w:rsidTr="00F43B46">
        <w:trPr>
          <w:trHeight w:val="594"/>
        </w:trPr>
        <w:tc>
          <w:tcPr>
            <w:tcW w:w="1543" w:type="dxa"/>
          </w:tcPr>
          <w:p w14:paraId="39095CF7" w14:textId="5BBCE264" w:rsidR="004B3910" w:rsidRPr="004B3910" w:rsidRDefault="004B3910" w:rsidP="00C24C8D">
            <w:pPr>
              <w:pStyle w:val="NoSpacing"/>
              <w:spacing w:line="360" w:lineRule="auto"/>
              <w:jc w:val="both"/>
            </w:pPr>
            <w:r w:rsidRPr="004B3910">
              <w:t>Hopewell et al. (2018)</w:t>
            </w:r>
          </w:p>
        </w:tc>
        <w:tc>
          <w:tcPr>
            <w:tcW w:w="1542" w:type="dxa"/>
          </w:tcPr>
          <w:p w14:paraId="37405350" w14:textId="0D2342FC" w:rsidR="004B3910" w:rsidRPr="009F5D2A" w:rsidRDefault="009F5D2A" w:rsidP="00C24C8D">
            <w:pPr>
              <w:pStyle w:val="NoSpacing"/>
              <w:spacing w:line="360" w:lineRule="auto"/>
              <w:jc w:val="both"/>
            </w:pPr>
            <w:r w:rsidRPr="009F5D2A">
              <w:t>Systematic review</w:t>
            </w:r>
          </w:p>
        </w:tc>
        <w:tc>
          <w:tcPr>
            <w:tcW w:w="982" w:type="dxa"/>
          </w:tcPr>
          <w:p w14:paraId="39C8E6E6" w14:textId="56AFDF8F" w:rsidR="004B3910" w:rsidRDefault="00867FFD" w:rsidP="00C24C8D">
            <w:pPr>
              <w:pStyle w:val="NoSpacing"/>
              <w:spacing w:line="360" w:lineRule="auto"/>
              <w:jc w:val="both"/>
            </w:pPr>
            <w:r w:rsidRPr="00867FFD">
              <w:t>Yes</w:t>
            </w:r>
          </w:p>
        </w:tc>
        <w:tc>
          <w:tcPr>
            <w:tcW w:w="1542" w:type="dxa"/>
          </w:tcPr>
          <w:p w14:paraId="6B4EE04A" w14:textId="6DE561C2" w:rsidR="004B3910" w:rsidRDefault="00867FFD" w:rsidP="00C24C8D">
            <w:pPr>
              <w:pStyle w:val="NoSpacing"/>
              <w:spacing w:line="360" w:lineRule="auto"/>
              <w:jc w:val="both"/>
            </w:pPr>
            <w:r w:rsidRPr="00867FFD">
              <w:t>Yes</w:t>
            </w:r>
          </w:p>
        </w:tc>
        <w:tc>
          <w:tcPr>
            <w:tcW w:w="1542" w:type="dxa"/>
          </w:tcPr>
          <w:p w14:paraId="4BFF75D0" w14:textId="1ACE30EA" w:rsidR="004B3910" w:rsidRDefault="00867FFD" w:rsidP="00C24C8D">
            <w:pPr>
              <w:pStyle w:val="NoSpacing"/>
              <w:spacing w:line="360" w:lineRule="auto"/>
              <w:jc w:val="both"/>
            </w:pPr>
            <w:r w:rsidRPr="00867FFD">
              <w:t>Yes</w:t>
            </w:r>
          </w:p>
        </w:tc>
        <w:tc>
          <w:tcPr>
            <w:tcW w:w="1403" w:type="dxa"/>
          </w:tcPr>
          <w:p w14:paraId="22577B04" w14:textId="320DC42F" w:rsidR="004B3910" w:rsidRDefault="00867FFD" w:rsidP="00C24C8D">
            <w:pPr>
              <w:pStyle w:val="NoSpacing"/>
              <w:spacing w:line="360" w:lineRule="auto"/>
              <w:jc w:val="both"/>
            </w:pPr>
            <w:r w:rsidRPr="00867FFD">
              <w:t>Yes</w:t>
            </w:r>
          </w:p>
        </w:tc>
        <w:tc>
          <w:tcPr>
            <w:tcW w:w="1542" w:type="dxa"/>
          </w:tcPr>
          <w:p w14:paraId="111702C0" w14:textId="47D97F01" w:rsidR="004B3910" w:rsidRDefault="00867FFD" w:rsidP="00C24C8D">
            <w:pPr>
              <w:pStyle w:val="NoSpacing"/>
              <w:spacing w:line="360" w:lineRule="auto"/>
              <w:jc w:val="both"/>
            </w:pPr>
            <w:r w:rsidRPr="00867FFD">
              <w:t>Yes</w:t>
            </w:r>
          </w:p>
        </w:tc>
        <w:tc>
          <w:tcPr>
            <w:tcW w:w="1262" w:type="dxa"/>
          </w:tcPr>
          <w:p w14:paraId="3AD13F5D" w14:textId="27767976" w:rsidR="004B3910" w:rsidRDefault="00867FFD" w:rsidP="00C24C8D">
            <w:pPr>
              <w:pStyle w:val="NoSpacing"/>
              <w:spacing w:line="360" w:lineRule="auto"/>
              <w:jc w:val="both"/>
            </w:pPr>
            <w:r>
              <w:t>Moderate</w:t>
            </w:r>
          </w:p>
        </w:tc>
      </w:tr>
      <w:tr w:rsidR="00867FFD" w14:paraId="0E06C8E6" w14:textId="77777777" w:rsidTr="00F43B46">
        <w:trPr>
          <w:trHeight w:val="594"/>
        </w:trPr>
        <w:tc>
          <w:tcPr>
            <w:tcW w:w="1543" w:type="dxa"/>
          </w:tcPr>
          <w:p w14:paraId="19BC99B4" w14:textId="6E719EE0" w:rsidR="004B3910" w:rsidRPr="004B3910" w:rsidRDefault="004B3910" w:rsidP="00C24C8D">
            <w:pPr>
              <w:pStyle w:val="NoSpacing"/>
              <w:spacing w:line="360" w:lineRule="auto"/>
              <w:jc w:val="both"/>
            </w:pPr>
            <w:r w:rsidRPr="004B3910">
              <w:t>Chang et al. (2021)</w:t>
            </w:r>
          </w:p>
        </w:tc>
        <w:tc>
          <w:tcPr>
            <w:tcW w:w="1542" w:type="dxa"/>
          </w:tcPr>
          <w:p w14:paraId="73614C94" w14:textId="29E73A89" w:rsidR="004B3910" w:rsidRPr="009F5D2A" w:rsidRDefault="009F5D2A" w:rsidP="00C24C8D">
            <w:pPr>
              <w:pStyle w:val="NoSpacing"/>
              <w:spacing w:line="360" w:lineRule="auto"/>
              <w:jc w:val="both"/>
            </w:pPr>
            <w:r w:rsidRPr="009F5D2A">
              <w:t>RCT</w:t>
            </w:r>
          </w:p>
        </w:tc>
        <w:tc>
          <w:tcPr>
            <w:tcW w:w="982" w:type="dxa"/>
          </w:tcPr>
          <w:p w14:paraId="76C3C0D3" w14:textId="74879301" w:rsidR="004B3910" w:rsidRDefault="00867FFD" w:rsidP="00C24C8D">
            <w:pPr>
              <w:pStyle w:val="NoSpacing"/>
              <w:spacing w:line="360" w:lineRule="auto"/>
              <w:jc w:val="both"/>
            </w:pPr>
            <w:r w:rsidRPr="00867FFD">
              <w:t>Yes</w:t>
            </w:r>
          </w:p>
        </w:tc>
        <w:tc>
          <w:tcPr>
            <w:tcW w:w="1542" w:type="dxa"/>
          </w:tcPr>
          <w:p w14:paraId="4EC9509E" w14:textId="303704F7" w:rsidR="004B3910" w:rsidRDefault="00867FFD" w:rsidP="00C24C8D">
            <w:pPr>
              <w:pStyle w:val="NoSpacing"/>
              <w:spacing w:line="360" w:lineRule="auto"/>
              <w:jc w:val="both"/>
            </w:pPr>
            <w:r w:rsidRPr="00867FFD">
              <w:t>Yes</w:t>
            </w:r>
          </w:p>
        </w:tc>
        <w:tc>
          <w:tcPr>
            <w:tcW w:w="1542" w:type="dxa"/>
          </w:tcPr>
          <w:p w14:paraId="1C26A1E1" w14:textId="3B77C4CB" w:rsidR="004B3910" w:rsidRDefault="00867FFD" w:rsidP="00C24C8D">
            <w:pPr>
              <w:pStyle w:val="NoSpacing"/>
              <w:spacing w:line="360" w:lineRule="auto"/>
              <w:jc w:val="both"/>
            </w:pPr>
            <w:r w:rsidRPr="00867FFD">
              <w:t>Yes</w:t>
            </w:r>
          </w:p>
        </w:tc>
        <w:tc>
          <w:tcPr>
            <w:tcW w:w="1403" w:type="dxa"/>
          </w:tcPr>
          <w:p w14:paraId="111CFE79" w14:textId="0C87A62F" w:rsidR="004B3910" w:rsidRDefault="00867FFD" w:rsidP="00C24C8D">
            <w:pPr>
              <w:pStyle w:val="NoSpacing"/>
              <w:spacing w:line="360" w:lineRule="auto"/>
              <w:jc w:val="both"/>
            </w:pPr>
            <w:r w:rsidRPr="00867FFD">
              <w:t>Yes</w:t>
            </w:r>
          </w:p>
        </w:tc>
        <w:tc>
          <w:tcPr>
            <w:tcW w:w="1542" w:type="dxa"/>
          </w:tcPr>
          <w:p w14:paraId="205B113F" w14:textId="08094EF3" w:rsidR="004B3910" w:rsidRDefault="00867FFD" w:rsidP="00C24C8D">
            <w:pPr>
              <w:pStyle w:val="NoSpacing"/>
              <w:spacing w:line="360" w:lineRule="auto"/>
              <w:jc w:val="both"/>
            </w:pPr>
            <w:r w:rsidRPr="00867FFD">
              <w:t>Yes</w:t>
            </w:r>
          </w:p>
        </w:tc>
        <w:tc>
          <w:tcPr>
            <w:tcW w:w="1262" w:type="dxa"/>
          </w:tcPr>
          <w:p w14:paraId="60B15495" w14:textId="0A3C56F8" w:rsidR="004B3910" w:rsidRDefault="00867FFD" w:rsidP="00C24C8D">
            <w:pPr>
              <w:pStyle w:val="NoSpacing"/>
              <w:spacing w:line="360" w:lineRule="auto"/>
              <w:jc w:val="both"/>
            </w:pPr>
            <w:r w:rsidRPr="00867FFD">
              <w:t>High</w:t>
            </w:r>
          </w:p>
        </w:tc>
      </w:tr>
      <w:tr w:rsidR="00867FFD" w14:paraId="3570E452" w14:textId="77777777" w:rsidTr="00F43B46">
        <w:trPr>
          <w:trHeight w:val="583"/>
        </w:trPr>
        <w:tc>
          <w:tcPr>
            <w:tcW w:w="1543" w:type="dxa"/>
          </w:tcPr>
          <w:p w14:paraId="3555E131" w14:textId="7EA9FAA7" w:rsidR="004B3910" w:rsidRPr="004B3910" w:rsidRDefault="004B3910" w:rsidP="00C24C8D">
            <w:pPr>
              <w:pStyle w:val="NoSpacing"/>
              <w:spacing w:line="360" w:lineRule="auto"/>
              <w:jc w:val="both"/>
            </w:pPr>
            <w:r w:rsidRPr="004B3910">
              <w:t>Johnson et al. (2021)</w:t>
            </w:r>
          </w:p>
        </w:tc>
        <w:tc>
          <w:tcPr>
            <w:tcW w:w="1542" w:type="dxa"/>
          </w:tcPr>
          <w:p w14:paraId="3AACF323" w14:textId="41B896D4" w:rsidR="004B3910" w:rsidRPr="009F5D2A" w:rsidRDefault="009F5D2A" w:rsidP="00C24C8D">
            <w:pPr>
              <w:pStyle w:val="NoSpacing"/>
              <w:spacing w:line="360" w:lineRule="auto"/>
              <w:jc w:val="both"/>
            </w:pPr>
            <w:r w:rsidRPr="009F5D2A">
              <w:t>Cohort study</w:t>
            </w:r>
          </w:p>
        </w:tc>
        <w:tc>
          <w:tcPr>
            <w:tcW w:w="982" w:type="dxa"/>
          </w:tcPr>
          <w:p w14:paraId="17F8537E" w14:textId="29F75831" w:rsidR="004B3910" w:rsidRDefault="00867FFD" w:rsidP="00C24C8D">
            <w:pPr>
              <w:pStyle w:val="NoSpacing"/>
              <w:spacing w:line="360" w:lineRule="auto"/>
              <w:jc w:val="both"/>
            </w:pPr>
            <w:r w:rsidRPr="00867FFD">
              <w:t>Yes</w:t>
            </w:r>
          </w:p>
        </w:tc>
        <w:tc>
          <w:tcPr>
            <w:tcW w:w="1542" w:type="dxa"/>
          </w:tcPr>
          <w:p w14:paraId="2CA7D115" w14:textId="5A3F293C" w:rsidR="004B3910" w:rsidRDefault="00867FFD" w:rsidP="00C24C8D">
            <w:pPr>
              <w:pStyle w:val="NoSpacing"/>
              <w:spacing w:line="360" w:lineRule="auto"/>
              <w:jc w:val="both"/>
            </w:pPr>
            <w:r w:rsidRPr="00867FFD">
              <w:t>Yes</w:t>
            </w:r>
          </w:p>
        </w:tc>
        <w:tc>
          <w:tcPr>
            <w:tcW w:w="1542" w:type="dxa"/>
          </w:tcPr>
          <w:p w14:paraId="3D0CD0F8" w14:textId="6B1F8A86" w:rsidR="004B3910" w:rsidRDefault="00867FFD" w:rsidP="00C24C8D">
            <w:pPr>
              <w:pStyle w:val="NoSpacing"/>
              <w:spacing w:line="360" w:lineRule="auto"/>
              <w:jc w:val="both"/>
            </w:pPr>
            <w:r w:rsidRPr="00867FFD">
              <w:t>Yes</w:t>
            </w:r>
          </w:p>
        </w:tc>
        <w:tc>
          <w:tcPr>
            <w:tcW w:w="1403" w:type="dxa"/>
          </w:tcPr>
          <w:p w14:paraId="2FB998BB" w14:textId="4CAFB593" w:rsidR="004B3910" w:rsidRDefault="00867FFD" w:rsidP="00C24C8D">
            <w:pPr>
              <w:pStyle w:val="NoSpacing"/>
              <w:spacing w:line="360" w:lineRule="auto"/>
              <w:jc w:val="both"/>
            </w:pPr>
            <w:r w:rsidRPr="00867FFD">
              <w:t>Yes</w:t>
            </w:r>
          </w:p>
        </w:tc>
        <w:tc>
          <w:tcPr>
            <w:tcW w:w="1542" w:type="dxa"/>
          </w:tcPr>
          <w:p w14:paraId="7E250137" w14:textId="36340C6A" w:rsidR="004B3910" w:rsidRDefault="00867FFD" w:rsidP="00C24C8D">
            <w:pPr>
              <w:pStyle w:val="NoSpacing"/>
              <w:spacing w:line="360" w:lineRule="auto"/>
              <w:jc w:val="both"/>
            </w:pPr>
            <w:r w:rsidRPr="00867FFD">
              <w:t>Yes</w:t>
            </w:r>
          </w:p>
        </w:tc>
        <w:tc>
          <w:tcPr>
            <w:tcW w:w="1262" w:type="dxa"/>
          </w:tcPr>
          <w:p w14:paraId="6CAC9F87" w14:textId="5F4CC5C4" w:rsidR="004B3910" w:rsidRDefault="00867FFD" w:rsidP="00C24C8D">
            <w:pPr>
              <w:pStyle w:val="NoSpacing"/>
              <w:spacing w:line="360" w:lineRule="auto"/>
              <w:jc w:val="both"/>
            </w:pPr>
            <w:r w:rsidRPr="00867FFD">
              <w:t>Moderate</w:t>
            </w:r>
          </w:p>
        </w:tc>
      </w:tr>
      <w:tr w:rsidR="00867FFD" w14:paraId="21824A9E" w14:textId="77777777" w:rsidTr="00F43B46">
        <w:trPr>
          <w:trHeight w:val="594"/>
        </w:trPr>
        <w:tc>
          <w:tcPr>
            <w:tcW w:w="1543" w:type="dxa"/>
          </w:tcPr>
          <w:p w14:paraId="46F3F561" w14:textId="034F39E1" w:rsidR="004B3910" w:rsidRPr="004B3910" w:rsidRDefault="004B3910" w:rsidP="00C24C8D">
            <w:pPr>
              <w:pStyle w:val="NoSpacing"/>
              <w:spacing w:line="360" w:lineRule="auto"/>
              <w:jc w:val="both"/>
            </w:pPr>
            <w:r w:rsidRPr="004B3910">
              <w:t>Harrison et al. (2021)</w:t>
            </w:r>
          </w:p>
        </w:tc>
        <w:tc>
          <w:tcPr>
            <w:tcW w:w="1542" w:type="dxa"/>
          </w:tcPr>
          <w:p w14:paraId="1819710B" w14:textId="152EA11F" w:rsidR="004B3910" w:rsidRPr="009F5D2A" w:rsidRDefault="009F5D2A" w:rsidP="00C24C8D">
            <w:pPr>
              <w:pStyle w:val="NoSpacing"/>
              <w:spacing w:line="360" w:lineRule="auto"/>
              <w:jc w:val="both"/>
            </w:pPr>
            <w:r w:rsidRPr="009F5D2A">
              <w:t>Qualitative study</w:t>
            </w:r>
          </w:p>
        </w:tc>
        <w:tc>
          <w:tcPr>
            <w:tcW w:w="982" w:type="dxa"/>
          </w:tcPr>
          <w:p w14:paraId="23126E91" w14:textId="43E7F2CA" w:rsidR="004B3910" w:rsidRDefault="00867FFD" w:rsidP="00C24C8D">
            <w:pPr>
              <w:pStyle w:val="NoSpacing"/>
              <w:spacing w:line="360" w:lineRule="auto"/>
              <w:jc w:val="both"/>
            </w:pPr>
            <w:r w:rsidRPr="00867FFD">
              <w:t>Yes</w:t>
            </w:r>
          </w:p>
        </w:tc>
        <w:tc>
          <w:tcPr>
            <w:tcW w:w="1542" w:type="dxa"/>
          </w:tcPr>
          <w:p w14:paraId="152873AA" w14:textId="7C2ED4B7" w:rsidR="004B3910" w:rsidRDefault="00867FFD" w:rsidP="00C24C8D">
            <w:pPr>
              <w:pStyle w:val="NoSpacing"/>
              <w:spacing w:line="360" w:lineRule="auto"/>
              <w:jc w:val="both"/>
            </w:pPr>
            <w:r w:rsidRPr="00867FFD">
              <w:t>Yes</w:t>
            </w:r>
          </w:p>
        </w:tc>
        <w:tc>
          <w:tcPr>
            <w:tcW w:w="1542" w:type="dxa"/>
          </w:tcPr>
          <w:p w14:paraId="4BEA0312" w14:textId="10FDDEF1" w:rsidR="004B3910" w:rsidRDefault="00867FFD" w:rsidP="00C24C8D">
            <w:pPr>
              <w:pStyle w:val="NoSpacing"/>
              <w:spacing w:line="360" w:lineRule="auto"/>
              <w:jc w:val="both"/>
            </w:pPr>
            <w:r w:rsidRPr="00867FFD">
              <w:t>Yes</w:t>
            </w:r>
          </w:p>
        </w:tc>
        <w:tc>
          <w:tcPr>
            <w:tcW w:w="1403" w:type="dxa"/>
          </w:tcPr>
          <w:p w14:paraId="6B8499DC" w14:textId="76171784" w:rsidR="004B3910" w:rsidRDefault="00867FFD" w:rsidP="00C24C8D">
            <w:pPr>
              <w:pStyle w:val="NoSpacing"/>
              <w:spacing w:line="360" w:lineRule="auto"/>
              <w:jc w:val="both"/>
            </w:pPr>
            <w:r>
              <w:t>N/A</w:t>
            </w:r>
          </w:p>
        </w:tc>
        <w:tc>
          <w:tcPr>
            <w:tcW w:w="1542" w:type="dxa"/>
          </w:tcPr>
          <w:p w14:paraId="590F8255" w14:textId="2F49FCBB" w:rsidR="004B3910" w:rsidRDefault="00867FFD" w:rsidP="00C24C8D">
            <w:pPr>
              <w:pStyle w:val="NoSpacing"/>
              <w:spacing w:line="360" w:lineRule="auto"/>
              <w:jc w:val="both"/>
            </w:pPr>
            <w:r w:rsidRPr="00867FFD">
              <w:t>Yes</w:t>
            </w:r>
          </w:p>
        </w:tc>
        <w:tc>
          <w:tcPr>
            <w:tcW w:w="1262" w:type="dxa"/>
          </w:tcPr>
          <w:p w14:paraId="4307E8FF" w14:textId="66EDE3E1" w:rsidR="004B3910" w:rsidRDefault="00867FFD" w:rsidP="00C24C8D">
            <w:pPr>
              <w:pStyle w:val="NoSpacing"/>
              <w:spacing w:line="360" w:lineRule="auto"/>
              <w:jc w:val="both"/>
            </w:pPr>
            <w:r w:rsidRPr="00867FFD">
              <w:t>Moderate</w:t>
            </w:r>
          </w:p>
        </w:tc>
      </w:tr>
      <w:tr w:rsidR="00867FFD" w14:paraId="5833344B" w14:textId="77777777" w:rsidTr="00F43B46">
        <w:trPr>
          <w:trHeight w:val="594"/>
        </w:trPr>
        <w:tc>
          <w:tcPr>
            <w:tcW w:w="1543" w:type="dxa"/>
          </w:tcPr>
          <w:p w14:paraId="1E7549EB" w14:textId="2B712312" w:rsidR="004B3910" w:rsidRPr="004B3910" w:rsidRDefault="004B3910" w:rsidP="00C24C8D">
            <w:pPr>
              <w:pStyle w:val="NoSpacing"/>
              <w:spacing w:line="360" w:lineRule="auto"/>
              <w:jc w:val="both"/>
            </w:pPr>
            <w:r w:rsidRPr="004B3910">
              <w:t>Clark et al. (2020)</w:t>
            </w:r>
          </w:p>
        </w:tc>
        <w:tc>
          <w:tcPr>
            <w:tcW w:w="1542" w:type="dxa"/>
          </w:tcPr>
          <w:p w14:paraId="14A190E5" w14:textId="6ED4BFA8" w:rsidR="004B3910" w:rsidRPr="009F5D2A" w:rsidRDefault="009F5D2A" w:rsidP="00C24C8D">
            <w:pPr>
              <w:pStyle w:val="NoSpacing"/>
              <w:spacing w:line="360" w:lineRule="auto"/>
              <w:jc w:val="both"/>
            </w:pPr>
            <w:r w:rsidRPr="009F5D2A">
              <w:t>Qualitative study</w:t>
            </w:r>
          </w:p>
        </w:tc>
        <w:tc>
          <w:tcPr>
            <w:tcW w:w="982" w:type="dxa"/>
          </w:tcPr>
          <w:p w14:paraId="15405079" w14:textId="7873E231" w:rsidR="004B3910" w:rsidRDefault="00867FFD" w:rsidP="00C24C8D">
            <w:pPr>
              <w:pStyle w:val="NoSpacing"/>
              <w:spacing w:line="360" w:lineRule="auto"/>
              <w:jc w:val="both"/>
            </w:pPr>
            <w:r w:rsidRPr="00867FFD">
              <w:t>Yes</w:t>
            </w:r>
          </w:p>
        </w:tc>
        <w:tc>
          <w:tcPr>
            <w:tcW w:w="1542" w:type="dxa"/>
          </w:tcPr>
          <w:p w14:paraId="5F5BFD09" w14:textId="32180B47" w:rsidR="004B3910" w:rsidRDefault="00867FFD" w:rsidP="00C24C8D">
            <w:pPr>
              <w:pStyle w:val="NoSpacing"/>
              <w:spacing w:line="360" w:lineRule="auto"/>
              <w:jc w:val="both"/>
            </w:pPr>
            <w:r w:rsidRPr="00867FFD">
              <w:t>Yes</w:t>
            </w:r>
          </w:p>
        </w:tc>
        <w:tc>
          <w:tcPr>
            <w:tcW w:w="1542" w:type="dxa"/>
          </w:tcPr>
          <w:p w14:paraId="67071C42" w14:textId="1DA4CAD3" w:rsidR="004B3910" w:rsidRDefault="00867FFD" w:rsidP="00C24C8D">
            <w:pPr>
              <w:pStyle w:val="NoSpacing"/>
              <w:spacing w:line="360" w:lineRule="auto"/>
              <w:jc w:val="both"/>
            </w:pPr>
            <w:r w:rsidRPr="00867FFD">
              <w:t>Yes</w:t>
            </w:r>
          </w:p>
        </w:tc>
        <w:tc>
          <w:tcPr>
            <w:tcW w:w="1403" w:type="dxa"/>
          </w:tcPr>
          <w:p w14:paraId="16D3EF97" w14:textId="512F2730" w:rsidR="004B3910" w:rsidRDefault="00867FFD" w:rsidP="00C24C8D">
            <w:pPr>
              <w:pStyle w:val="NoSpacing"/>
              <w:spacing w:line="360" w:lineRule="auto"/>
              <w:jc w:val="both"/>
            </w:pPr>
            <w:r>
              <w:t>N/A</w:t>
            </w:r>
          </w:p>
        </w:tc>
        <w:tc>
          <w:tcPr>
            <w:tcW w:w="1542" w:type="dxa"/>
          </w:tcPr>
          <w:p w14:paraId="5B9B1EA3" w14:textId="22DB2F8C" w:rsidR="004B3910" w:rsidRDefault="00867FFD" w:rsidP="00C24C8D">
            <w:pPr>
              <w:pStyle w:val="NoSpacing"/>
              <w:spacing w:line="360" w:lineRule="auto"/>
              <w:jc w:val="both"/>
            </w:pPr>
            <w:r w:rsidRPr="00867FFD">
              <w:t>Yes</w:t>
            </w:r>
          </w:p>
        </w:tc>
        <w:tc>
          <w:tcPr>
            <w:tcW w:w="1262" w:type="dxa"/>
          </w:tcPr>
          <w:p w14:paraId="68F3488D" w14:textId="30D0EF6C" w:rsidR="004B3910" w:rsidRDefault="00867FFD" w:rsidP="00C24C8D">
            <w:pPr>
              <w:pStyle w:val="NoSpacing"/>
              <w:spacing w:line="360" w:lineRule="auto"/>
              <w:jc w:val="both"/>
            </w:pPr>
            <w:r w:rsidRPr="00867FFD">
              <w:t>Moderate</w:t>
            </w:r>
          </w:p>
        </w:tc>
      </w:tr>
      <w:tr w:rsidR="00867FFD" w14:paraId="34842121" w14:textId="77777777" w:rsidTr="00F43B46">
        <w:trPr>
          <w:trHeight w:val="583"/>
        </w:trPr>
        <w:tc>
          <w:tcPr>
            <w:tcW w:w="1543" w:type="dxa"/>
          </w:tcPr>
          <w:p w14:paraId="3F6A10BD" w14:textId="12659E3C" w:rsidR="004B3910" w:rsidRPr="004B3910" w:rsidRDefault="004B3910" w:rsidP="00C24C8D">
            <w:pPr>
              <w:pStyle w:val="NoSpacing"/>
              <w:spacing w:line="360" w:lineRule="auto"/>
              <w:jc w:val="both"/>
            </w:pPr>
            <w:r w:rsidRPr="004B3910">
              <w:t>Brown &amp; Li (2022)</w:t>
            </w:r>
          </w:p>
        </w:tc>
        <w:tc>
          <w:tcPr>
            <w:tcW w:w="1542" w:type="dxa"/>
          </w:tcPr>
          <w:p w14:paraId="63110749" w14:textId="4B26C726" w:rsidR="004B3910" w:rsidRPr="009F5D2A" w:rsidRDefault="009F5D2A" w:rsidP="00C24C8D">
            <w:pPr>
              <w:pStyle w:val="NoSpacing"/>
              <w:spacing w:line="360" w:lineRule="auto"/>
              <w:jc w:val="both"/>
            </w:pPr>
            <w:r w:rsidRPr="009F5D2A">
              <w:t>Qualitative study</w:t>
            </w:r>
          </w:p>
        </w:tc>
        <w:tc>
          <w:tcPr>
            <w:tcW w:w="982" w:type="dxa"/>
          </w:tcPr>
          <w:p w14:paraId="1F51798D" w14:textId="1E39569D" w:rsidR="004B3910" w:rsidRDefault="00867FFD" w:rsidP="00C24C8D">
            <w:pPr>
              <w:pStyle w:val="NoSpacing"/>
              <w:spacing w:line="360" w:lineRule="auto"/>
              <w:jc w:val="both"/>
            </w:pPr>
            <w:r w:rsidRPr="00867FFD">
              <w:t>Yes</w:t>
            </w:r>
          </w:p>
        </w:tc>
        <w:tc>
          <w:tcPr>
            <w:tcW w:w="1542" w:type="dxa"/>
          </w:tcPr>
          <w:p w14:paraId="13B0DDA2" w14:textId="6C520B43" w:rsidR="004B3910" w:rsidRDefault="00867FFD" w:rsidP="00C24C8D">
            <w:pPr>
              <w:pStyle w:val="NoSpacing"/>
              <w:spacing w:line="360" w:lineRule="auto"/>
              <w:jc w:val="both"/>
            </w:pPr>
            <w:r w:rsidRPr="00867FFD">
              <w:t>Yes</w:t>
            </w:r>
          </w:p>
        </w:tc>
        <w:tc>
          <w:tcPr>
            <w:tcW w:w="1542" w:type="dxa"/>
          </w:tcPr>
          <w:p w14:paraId="0333474D" w14:textId="4A91F3C5" w:rsidR="004B3910" w:rsidRDefault="00867FFD" w:rsidP="00C24C8D">
            <w:pPr>
              <w:pStyle w:val="NoSpacing"/>
              <w:spacing w:line="360" w:lineRule="auto"/>
              <w:jc w:val="both"/>
            </w:pPr>
            <w:r w:rsidRPr="00867FFD">
              <w:t>Yes</w:t>
            </w:r>
          </w:p>
        </w:tc>
        <w:tc>
          <w:tcPr>
            <w:tcW w:w="1403" w:type="dxa"/>
          </w:tcPr>
          <w:p w14:paraId="61431855" w14:textId="4F467F89" w:rsidR="004B3910" w:rsidRDefault="00867FFD" w:rsidP="00C24C8D">
            <w:pPr>
              <w:pStyle w:val="NoSpacing"/>
              <w:spacing w:line="360" w:lineRule="auto"/>
              <w:jc w:val="both"/>
            </w:pPr>
            <w:r>
              <w:t>N/A</w:t>
            </w:r>
          </w:p>
        </w:tc>
        <w:tc>
          <w:tcPr>
            <w:tcW w:w="1542" w:type="dxa"/>
          </w:tcPr>
          <w:p w14:paraId="66095A08" w14:textId="1AB0ECA3" w:rsidR="004B3910" w:rsidRDefault="00867FFD" w:rsidP="00C24C8D">
            <w:pPr>
              <w:pStyle w:val="NoSpacing"/>
              <w:spacing w:line="360" w:lineRule="auto"/>
              <w:jc w:val="both"/>
            </w:pPr>
            <w:r w:rsidRPr="00867FFD">
              <w:t>Yes</w:t>
            </w:r>
          </w:p>
        </w:tc>
        <w:tc>
          <w:tcPr>
            <w:tcW w:w="1262" w:type="dxa"/>
          </w:tcPr>
          <w:p w14:paraId="0FCFDDFE" w14:textId="45A25638" w:rsidR="004B3910" w:rsidRDefault="00867FFD" w:rsidP="00C24C8D">
            <w:pPr>
              <w:pStyle w:val="NoSpacing"/>
              <w:spacing w:line="360" w:lineRule="auto"/>
              <w:jc w:val="both"/>
            </w:pPr>
            <w:r w:rsidRPr="00867FFD">
              <w:t>Moderate</w:t>
            </w:r>
          </w:p>
        </w:tc>
      </w:tr>
      <w:tr w:rsidR="00867FFD" w14:paraId="2FF3CFBD" w14:textId="77777777" w:rsidTr="00F43B46">
        <w:trPr>
          <w:trHeight w:val="594"/>
        </w:trPr>
        <w:tc>
          <w:tcPr>
            <w:tcW w:w="1543" w:type="dxa"/>
          </w:tcPr>
          <w:p w14:paraId="4BF7D03F" w14:textId="02617839" w:rsidR="004B3910" w:rsidRPr="004B3910" w:rsidRDefault="004B3910" w:rsidP="00C24C8D">
            <w:pPr>
              <w:pStyle w:val="NoSpacing"/>
              <w:spacing w:line="360" w:lineRule="auto"/>
              <w:jc w:val="both"/>
            </w:pPr>
            <w:r w:rsidRPr="004B3910">
              <w:t>Davies</w:t>
            </w:r>
            <w:r>
              <w:t xml:space="preserve"> </w:t>
            </w:r>
            <w:r w:rsidRPr="004B3910">
              <w:t>&amp; Patel (2022)</w:t>
            </w:r>
          </w:p>
        </w:tc>
        <w:tc>
          <w:tcPr>
            <w:tcW w:w="1542" w:type="dxa"/>
          </w:tcPr>
          <w:p w14:paraId="7CFCD1E1" w14:textId="171120F2" w:rsidR="004B3910" w:rsidRPr="009F5D2A" w:rsidRDefault="009F5D2A" w:rsidP="00C24C8D">
            <w:pPr>
              <w:pStyle w:val="NoSpacing"/>
              <w:spacing w:line="360" w:lineRule="auto"/>
              <w:jc w:val="both"/>
            </w:pPr>
            <w:r w:rsidRPr="009F5D2A">
              <w:t>Observational study</w:t>
            </w:r>
          </w:p>
        </w:tc>
        <w:tc>
          <w:tcPr>
            <w:tcW w:w="982" w:type="dxa"/>
          </w:tcPr>
          <w:p w14:paraId="0A0CB282" w14:textId="225D7588" w:rsidR="004B3910" w:rsidRDefault="00867FFD" w:rsidP="00C24C8D">
            <w:pPr>
              <w:pStyle w:val="NoSpacing"/>
              <w:spacing w:line="360" w:lineRule="auto"/>
              <w:jc w:val="both"/>
            </w:pPr>
            <w:r w:rsidRPr="00867FFD">
              <w:t>Yes</w:t>
            </w:r>
          </w:p>
        </w:tc>
        <w:tc>
          <w:tcPr>
            <w:tcW w:w="1542" w:type="dxa"/>
          </w:tcPr>
          <w:p w14:paraId="2428CBD1" w14:textId="20FB30A2" w:rsidR="004B3910" w:rsidRDefault="00867FFD" w:rsidP="00C24C8D">
            <w:pPr>
              <w:pStyle w:val="NoSpacing"/>
              <w:spacing w:line="360" w:lineRule="auto"/>
              <w:jc w:val="both"/>
            </w:pPr>
            <w:r w:rsidRPr="00867FFD">
              <w:t>Yes</w:t>
            </w:r>
          </w:p>
        </w:tc>
        <w:tc>
          <w:tcPr>
            <w:tcW w:w="1542" w:type="dxa"/>
          </w:tcPr>
          <w:p w14:paraId="4C1FD94E" w14:textId="3703811B" w:rsidR="004B3910" w:rsidRDefault="00867FFD" w:rsidP="00C24C8D">
            <w:pPr>
              <w:pStyle w:val="NoSpacing"/>
              <w:spacing w:line="360" w:lineRule="auto"/>
              <w:jc w:val="both"/>
            </w:pPr>
            <w:r w:rsidRPr="00867FFD">
              <w:t>Yes</w:t>
            </w:r>
          </w:p>
        </w:tc>
        <w:tc>
          <w:tcPr>
            <w:tcW w:w="1403" w:type="dxa"/>
          </w:tcPr>
          <w:p w14:paraId="7CE07101" w14:textId="2B7C50AF" w:rsidR="004B3910" w:rsidRDefault="00867FFD" w:rsidP="00C24C8D">
            <w:pPr>
              <w:pStyle w:val="NoSpacing"/>
              <w:spacing w:line="360" w:lineRule="auto"/>
              <w:jc w:val="both"/>
            </w:pPr>
            <w:r w:rsidRPr="00867FFD">
              <w:t>Yes</w:t>
            </w:r>
          </w:p>
        </w:tc>
        <w:tc>
          <w:tcPr>
            <w:tcW w:w="1542" w:type="dxa"/>
          </w:tcPr>
          <w:p w14:paraId="495C343D" w14:textId="02B4E0BB" w:rsidR="004B3910" w:rsidRDefault="00867FFD" w:rsidP="00C24C8D">
            <w:pPr>
              <w:pStyle w:val="NoSpacing"/>
              <w:spacing w:line="360" w:lineRule="auto"/>
              <w:jc w:val="both"/>
            </w:pPr>
            <w:r w:rsidRPr="00867FFD">
              <w:t>Yes</w:t>
            </w:r>
          </w:p>
        </w:tc>
        <w:tc>
          <w:tcPr>
            <w:tcW w:w="1262" w:type="dxa"/>
          </w:tcPr>
          <w:p w14:paraId="714CF22E" w14:textId="6A2D58C7" w:rsidR="004B3910" w:rsidRDefault="00867FFD" w:rsidP="00C24C8D">
            <w:pPr>
              <w:pStyle w:val="NoSpacing"/>
              <w:spacing w:line="360" w:lineRule="auto"/>
              <w:jc w:val="both"/>
            </w:pPr>
            <w:r w:rsidRPr="00867FFD">
              <w:t>Moderate</w:t>
            </w:r>
          </w:p>
        </w:tc>
      </w:tr>
      <w:tr w:rsidR="00867FFD" w14:paraId="470B31F6" w14:textId="77777777" w:rsidTr="00F43B46">
        <w:trPr>
          <w:trHeight w:val="583"/>
        </w:trPr>
        <w:tc>
          <w:tcPr>
            <w:tcW w:w="1543" w:type="dxa"/>
          </w:tcPr>
          <w:p w14:paraId="37755768" w14:textId="62BD8C3F" w:rsidR="004B3910" w:rsidRPr="009F5D2A" w:rsidRDefault="009F5D2A" w:rsidP="00C24C8D">
            <w:pPr>
              <w:pStyle w:val="NoSpacing"/>
              <w:spacing w:line="360" w:lineRule="auto"/>
              <w:jc w:val="both"/>
            </w:pPr>
            <w:r w:rsidRPr="009F5D2A">
              <w:t>Marmot et al. (2020)</w:t>
            </w:r>
          </w:p>
        </w:tc>
        <w:tc>
          <w:tcPr>
            <w:tcW w:w="1542" w:type="dxa"/>
          </w:tcPr>
          <w:p w14:paraId="2BA71124" w14:textId="44E5014C" w:rsidR="004B3910" w:rsidRPr="009F5D2A" w:rsidRDefault="009F5D2A" w:rsidP="00C24C8D">
            <w:pPr>
              <w:pStyle w:val="NoSpacing"/>
              <w:spacing w:line="360" w:lineRule="auto"/>
              <w:jc w:val="both"/>
            </w:pPr>
            <w:r w:rsidRPr="009F5D2A">
              <w:t>Policy review</w:t>
            </w:r>
          </w:p>
        </w:tc>
        <w:tc>
          <w:tcPr>
            <w:tcW w:w="982" w:type="dxa"/>
          </w:tcPr>
          <w:p w14:paraId="43495C2F" w14:textId="0B6A01DA" w:rsidR="004B3910" w:rsidRDefault="00867FFD" w:rsidP="00C24C8D">
            <w:pPr>
              <w:pStyle w:val="NoSpacing"/>
              <w:spacing w:line="360" w:lineRule="auto"/>
              <w:jc w:val="both"/>
            </w:pPr>
            <w:r w:rsidRPr="00867FFD">
              <w:t>Yes</w:t>
            </w:r>
          </w:p>
        </w:tc>
        <w:tc>
          <w:tcPr>
            <w:tcW w:w="1542" w:type="dxa"/>
          </w:tcPr>
          <w:p w14:paraId="70624333" w14:textId="6B08FB47" w:rsidR="004B3910" w:rsidRDefault="00867FFD" w:rsidP="00C24C8D">
            <w:pPr>
              <w:pStyle w:val="NoSpacing"/>
              <w:spacing w:line="360" w:lineRule="auto"/>
              <w:jc w:val="both"/>
            </w:pPr>
            <w:r w:rsidRPr="00867FFD">
              <w:t>Yes</w:t>
            </w:r>
          </w:p>
        </w:tc>
        <w:tc>
          <w:tcPr>
            <w:tcW w:w="1542" w:type="dxa"/>
          </w:tcPr>
          <w:p w14:paraId="04B8EA5A" w14:textId="236EB076" w:rsidR="004B3910" w:rsidRDefault="00867FFD" w:rsidP="00C24C8D">
            <w:pPr>
              <w:pStyle w:val="NoSpacing"/>
              <w:spacing w:line="360" w:lineRule="auto"/>
              <w:jc w:val="both"/>
            </w:pPr>
            <w:r w:rsidRPr="00867FFD">
              <w:t>Yes</w:t>
            </w:r>
          </w:p>
        </w:tc>
        <w:tc>
          <w:tcPr>
            <w:tcW w:w="1403" w:type="dxa"/>
          </w:tcPr>
          <w:p w14:paraId="450324AF" w14:textId="0534DBF0" w:rsidR="004B3910" w:rsidRDefault="00867FFD" w:rsidP="00C24C8D">
            <w:pPr>
              <w:pStyle w:val="NoSpacing"/>
              <w:spacing w:line="360" w:lineRule="auto"/>
              <w:jc w:val="both"/>
            </w:pPr>
            <w:r>
              <w:t>N/A</w:t>
            </w:r>
          </w:p>
        </w:tc>
        <w:tc>
          <w:tcPr>
            <w:tcW w:w="1542" w:type="dxa"/>
          </w:tcPr>
          <w:p w14:paraId="24A32AF0" w14:textId="1F4D935C" w:rsidR="004B3910" w:rsidRDefault="00867FFD" w:rsidP="00C24C8D">
            <w:pPr>
              <w:pStyle w:val="NoSpacing"/>
              <w:spacing w:line="360" w:lineRule="auto"/>
              <w:jc w:val="both"/>
            </w:pPr>
            <w:r w:rsidRPr="00867FFD">
              <w:t>Yes</w:t>
            </w:r>
          </w:p>
        </w:tc>
        <w:tc>
          <w:tcPr>
            <w:tcW w:w="1262" w:type="dxa"/>
          </w:tcPr>
          <w:p w14:paraId="22B2F91A" w14:textId="1AF2D9B9" w:rsidR="004B3910" w:rsidRDefault="00867FFD" w:rsidP="00C24C8D">
            <w:pPr>
              <w:pStyle w:val="NoSpacing"/>
              <w:spacing w:line="360" w:lineRule="auto"/>
              <w:jc w:val="both"/>
            </w:pPr>
            <w:r w:rsidRPr="00867FFD">
              <w:t>High</w:t>
            </w:r>
          </w:p>
        </w:tc>
      </w:tr>
      <w:tr w:rsidR="00867FFD" w14:paraId="2D4DB47E" w14:textId="77777777" w:rsidTr="00F43B46">
        <w:trPr>
          <w:trHeight w:val="594"/>
        </w:trPr>
        <w:tc>
          <w:tcPr>
            <w:tcW w:w="1543" w:type="dxa"/>
          </w:tcPr>
          <w:p w14:paraId="13888A34" w14:textId="0F1F7EC3" w:rsidR="004B3910" w:rsidRPr="009F5D2A" w:rsidRDefault="009F5D2A" w:rsidP="00C24C8D">
            <w:pPr>
              <w:pStyle w:val="NoSpacing"/>
              <w:spacing w:line="360" w:lineRule="auto"/>
              <w:jc w:val="both"/>
            </w:pPr>
            <w:r w:rsidRPr="009F5D2A">
              <w:t>Sherrington et al. (2020)</w:t>
            </w:r>
          </w:p>
        </w:tc>
        <w:tc>
          <w:tcPr>
            <w:tcW w:w="1542" w:type="dxa"/>
          </w:tcPr>
          <w:p w14:paraId="782AAC94" w14:textId="61FC3B11" w:rsidR="004B3910" w:rsidRPr="009F5D2A" w:rsidRDefault="009F5D2A" w:rsidP="00C24C8D">
            <w:pPr>
              <w:pStyle w:val="NoSpacing"/>
              <w:spacing w:line="360" w:lineRule="auto"/>
              <w:jc w:val="both"/>
            </w:pPr>
            <w:r w:rsidRPr="009F5D2A">
              <w:t>Systematic review</w:t>
            </w:r>
          </w:p>
        </w:tc>
        <w:tc>
          <w:tcPr>
            <w:tcW w:w="982" w:type="dxa"/>
          </w:tcPr>
          <w:p w14:paraId="182B92BE" w14:textId="7D7FC78B" w:rsidR="004B3910" w:rsidRDefault="00867FFD" w:rsidP="00C24C8D">
            <w:pPr>
              <w:pStyle w:val="NoSpacing"/>
              <w:spacing w:line="360" w:lineRule="auto"/>
              <w:jc w:val="both"/>
            </w:pPr>
            <w:r w:rsidRPr="00867FFD">
              <w:t>Yes</w:t>
            </w:r>
          </w:p>
        </w:tc>
        <w:tc>
          <w:tcPr>
            <w:tcW w:w="1542" w:type="dxa"/>
          </w:tcPr>
          <w:p w14:paraId="5AA948EE" w14:textId="3506F159" w:rsidR="004B3910" w:rsidRDefault="00867FFD" w:rsidP="00C24C8D">
            <w:pPr>
              <w:pStyle w:val="NoSpacing"/>
              <w:spacing w:line="360" w:lineRule="auto"/>
              <w:jc w:val="both"/>
            </w:pPr>
            <w:r w:rsidRPr="00867FFD">
              <w:t>Yes</w:t>
            </w:r>
          </w:p>
        </w:tc>
        <w:tc>
          <w:tcPr>
            <w:tcW w:w="1542" w:type="dxa"/>
          </w:tcPr>
          <w:p w14:paraId="2B5FBE5C" w14:textId="6C3275F8" w:rsidR="004B3910" w:rsidRDefault="00867FFD" w:rsidP="00C24C8D">
            <w:pPr>
              <w:pStyle w:val="NoSpacing"/>
              <w:spacing w:line="360" w:lineRule="auto"/>
              <w:jc w:val="both"/>
            </w:pPr>
            <w:r w:rsidRPr="00867FFD">
              <w:t>Yes</w:t>
            </w:r>
          </w:p>
        </w:tc>
        <w:tc>
          <w:tcPr>
            <w:tcW w:w="1403" w:type="dxa"/>
          </w:tcPr>
          <w:p w14:paraId="1316987B" w14:textId="7830F760" w:rsidR="004B3910" w:rsidRDefault="00867FFD" w:rsidP="00C24C8D">
            <w:pPr>
              <w:pStyle w:val="NoSpacing"/>
              <w:spacing w:line="360" w:lineRule="auto"/>
              <w:jc w:val="both"/>
            </w:pPr>
            <w:r w:rsidRPr="00867FFD">
              <w:t>Yes</w:t>
            </w:r>
          </w:p>
        </w:tc>
        <w:tc>
          <w:tcPr>
            <w:tcW w:w="1542" w:type="dxa"/>
          </w:tcPr>
          <w:p w14:paraId="64E45DFB" w14:textId="4A0ADA63" w:rsidR="004B3910" w:rsidRDefault="00867FFD" w:rsidP="00C24C8D">
            <w:pPr>
              <w:pStyle w:val="NoSpacing"/>
              <w:spacing w:line="360" w:lineRule="auto"/>
              <w:jc w:val="both"/>
            </w:pPr>
            <w:r w:rsidRPr="00867FFD">
              <w:t>Yes</w:t>
            </w:r>
          </w:p>
        </w:tc>
        <w:tc>
          <w:tcPr>
            <w:tcW w:w="1262" w:type="dxa"/>
          </w:tcPr>
          <w:p w14:paraId="27F641F9" w14:textId="3FCD57BF" w:rsidR="004B3910" w:rsidRDefault="00867FFD" w:rsidP="00C24C8D">
            <w:pPr>
              <w:pStyle w:val="NoSpacing"/>
              <w:spacing w:line="360" w:lineRule="auto"/>
              <w:jc w:val="both"/>
            </w:pPr>
            <w:r w:rsidRPr="00867FFD">
              <w:t>High</w:t>
            </w:r>
          </w:p>
        </w:tc>
      </w:tr>
    </w:tbl>
    <w:p w14:paraId="378CFFC3" w14:textId="77777777" w:rsidR="00410B86" w:rsidRDefault="00410B86" w:rsidP="00C24C8D">
      <w:pPr>
        <w:spacing w:line="360" w:lineRule="auto"/>
        <w:jc w:val="both"/>
        <w:rPr>
          <w:rFonts w:ascii="Arial" w:hAnsi="Arial" w:cs="Arial"/>
          <w:b/>
          <w:bCs/>
          <w:sz w:val="22"/>
          <w:szCs w:val="22"/>
        </w:rPr>
      </w:pPr>
    </w:p>
    <w:p w14:paraId="1DAA9E3D" w14:textId="77777777" w:rsidR="0055616D" w:rsidRPr="00FB3E8E" w:rsidRDefault="0055616D" w:rsidP="00C24C8D">
      <w:pPr>
        <w:spacing w:line="360" w:lineRule="auto"/>
        <w:jc w:val="both"/>
        <w:rPr>
          <w:rFonts w:ascii="Arial" w:eastAsia="Times New Roman" w:hAnsi="Arial" w:cs="Arial"/>
          <w:b/>
          <w:bCs/>
          <w:kern w:val="0"/>
          <w:sz w:val="28"/>
          <w:szCs w:val="28"/>
          <w:lang w:eastAsia="en-IN"/>
          <w14:ligatures w14:val="none"/>
        </w:rPr>
      </w:pPr>
      <w:r w:rsidRPr="00FB3E8E">
        <w:rPr>
          <w:rFonts w:ascii="Arial" w:eastAsia="Times New Roman" w:hAnsi="Arial" w:cs="Arial"/>
          <w:b/>
          <w:bCs/>
          <w:kern w:val="0"/>
          <w:sz w:val="28"/>
          <w:szCs w:val="28"/>
          <w:lang w:eastAsia="en-IN"/>
          <w14:ligatures w14:val="none"/>
        </w:rPr>
        <w:lastRenderedPageBreak/>
        <w:t>Appendix 2: Chosen articles for analysis</w:t>
      </w:r>
    </w:p>
    <w:p w14:paraId="3585444E" w14:textId="77777777" w:rsidR="0055616D" w:rsidRPr="0055616D" w:rsidRDefault="0055616D" w:rsidP="00C24C8D">
      <w:pPr>
        <w:pStyle w:val="NormalWeb"/>
        <w:numPr>
          <w:ilvl w:val="0"/>
          <w:numId w:val="14"/>
        </w:numPr>
        <w:spacing w:line="360" w:lineRule="auto"/>
        <w:jc w:val="both"/>
        <w:rPr>
          <w:rFonts w:ascii="Arial" w:hAnsi="Arial" w:cs="Arial"/>
          <w:sz w:val="22"/>
          <w:szCs w:val="22"/>
        </w:rPr>
      </w:pPr>
      <w:r w:rsidRPr="0055616D">
        <w:rPr>
          <w:rFonts w:ascii="Arial" w:hAnsi="Arial" w:cs="Arial"/>
          <w:sz w:val="22"/>
          <w:szCs w:val="22"/>
        </w:rPr>
        <w:t xml:space="preserve">Barker, A., Nitz, J., Low Choy, N. and Haines, T. (2016) ‘Behaviour change techniques in community-based fall prevention programmes: A mixed-methods study’, </w:t>
      </w:r>
      <w:r w:rsidRPr="0055616D">
        <w:rPr>
          <w:rStyle w:val="Emphasis"/>
          <w:rFonts w:ascii="Arial" w:eastAsiaTheme="majorEastAsia" w:hAnsi="Arial" w:cs="Arial"/>
          <w:sz w:val="22"/>
          <w:szCs w:val="22"/>
        </w:rPr>
        <w:t>Age and Ageing</w:t>
      </w:r>
      <w:r w:rsidRPr="0055616D">
        <w:rPr>
          <w:rFonts w:ascii="Arial" w:hAnsi="Arial" w:cs="Arial"/>
          <w:sz w:val="22"/>
          <w:szCs w:val="22"/>
        </w:rPr>
        <w:t>, 45(5), pp. 658–664.</w:t>
      </w:r>
    </w:p>
    <w:p w14:paraId="549A3C60" w14:textId="77777777" w:rsidR="0055616D" w:rsidRPr="0055616D" w:rsidRDefault="0055616D" w:rsidP="00C24C8D">
      <w:pPr>
        <w:pStyle w:val="NormalWeb"/>
        <w:numPr>
          <w:ilvl w:val="0"/>
          <w:numId w:val="14"/>
        </w:numPr>
        <w:spacing w:line="360" w:lineRule="auto"/>
        <w:jc w:val="both"/>
        <w:rPr>
          <w:rFonts w:ascii="Arial" w:hAnsi="Arial" w:cs="Arial"/>
          <w:sz w:val="22"/>
          <w:szCs w:val="22"/>
        </w:rPr>
      </w:pPr>
      <w:r w:rsidRPr="0055616D">
        <w:rPr>
          <w:rFonts w:ascii="Arial" w:hAnsi="Arial" w:cs="Arial"/>
          <w:sz w:val="22"/>
          <w:szCs w:val="22"/>
        </w:rPr>
        <w:t xml:space="preserve">Chang, W.-D., Chen, S., Lee, C.-L. and Lin, H.-Y. (2021) ‘Tai Chi–based physiotherapy improves balance, confidence and mobility in community-dwelling older adults: A randomised controlled trial’, </w:t>
      </w:r>
      <w:r w:rsidRPr="0055616D">
        <w:rPr>
          <w:rStyle w:val="Emphasis"/>
          <w:rFonts w:ascii="Arial" w:eastAsiaTheme="majorEastAsia" w:hAnsi="Arial" w:cs="Arial"/>
          <w:sz w:val="22"/>
          <w:szCs w:val="22"/>
        </w:rPr>
        <w:t>Clinical Rehabilitation</w:t>
      </w:r>
      <w:r w:rsidRPr="0055616D">
        <w:rPr>
          <w:rFonts w:ascii="Arial" w:hAnsi="Arial" w:cs="Arial"/>
          <w:sz w:val="22"/>
          <w:szCs w:val="22"/>
        </w:rPr>
        <w:t>, 35(4), pp. 559–569.</w:t>
      </w:r>
    </w:p>
    <w:p w14:paraId="3C0B1920" w14:textId="77777777" w:rsidR="0055616D" w:rsidRPr="0055616D" w:rsidRDefault="0055616D" w:rsidP="00C24C8D">
      <w:pPr>
        <w:pStyle w:val="NormalWeb"/>
        <w:numPr>
          <w:ilvl w:val="0"/>
          <w:numId w:val="14"/>
        </w:numPr>
        <w:spacing w:line="360" w:lineRule="auto"/>
        <w:jc w:val="both"/>
        <w:rPr>
          <w:rFonts w:ascii="Arial" w:hAnsi="Arial" w:cs="Arial"/>
          <w:sz w:val="22"/>
          <w:szCs w:val="22"/>
        </w:rPr>
      </w:pPr>
      <w:r w:rsidRPr="0055616D">
        <w:rPr>
          <w:rFonts w:ascii="Arial" w:hAnsi="Arial" w:cs="Arial"/>
          <w:sz w:val="22"/>
          <w:szCs w:val="22"/>
        </w:rPr>
        <w:t xml:space="preserve">Clemson, L., Singh, M.A.F., Bundy, A., Cumming, R.G., Weissel, E., Munro, J., Manollaras, K. and Black, D. (2012) ‘Integration of balance and strength training into daily life activity to reduce falls in older adults (LiFE): A randomised controlled trial’, </w:t>
      </w:r>
      <w:r w:rsidRPr="0055616D">
        <w:rPr>
          <w:rStyle w:val="Emphasis"/>
          <w:rFonts w:ascii="Arial" w:eastAsiaTheme="majorEastAsia" w:hAnsi="Arial" w:cs="Arial"/>
          <w:sz w:val="22"/>
          <w:szCs w:val="22"/>
        </w:rPr>
        <w:t>BMJ</w:t>
      </w:r>
      <w:r w:rsidRPr="0055616D">
        <w:rPr>
          <w:rFonts w:ascii="Arial" w:hAnsi="Arial" w:cs="Arial"/>
          <w:sz w:val="22"/>
          <w:szCs w:val="22"/>
        </w:rPr>
        <w:t>, 345, e4547.</w:t>
      </w:r>
    </w:p>
    <w:p w14:paraId="10CFA9D5" w14:textId="4E915882" w:rsidR="0055616D" w:rsidRPr="0055616D" w:rsidRDefault="0055616D" w:rsidP="00C24C8D">
      <w:pPr>
        <w:pStyle w:val="NormalWeb"/>
        <w:numPr>
          <w:ilvl w:val="0"/>
          <w:numId w:val="14"/>
        </w:numPr>
        <w:spacing w:line="360" w:lineRule="auto"/>
        <w:jc w:val="both"/>
        <w:rPr>
          <w:rFonts w:ascii="Arial" w:hAnsi="Arial" w:cs="Arial"/>
          <w:sz w:val="22"/>
          <w:szCs w:val="22"/>
        </w:rPr>
      </w:pPr>
      <w:r w:rsidRPr="0055616D">
        <w:rPr>
          <w:rFonts w:ascii="Arial" w:hAnsi="Arial" w:cs="Arial"/>
          <w:sz w:val="22"/>
          <w:szCs w:val="22"/>
        </w:rPr>
        <w:t xml:space="preserve">Gillespie, L.D., Robertson, M.C., Gillespie, W.J., Sherrington, C., Gates, S., Clemson, L.M. and Lamb, S.E. (2012) ‘Interventions for preventing falls in older people living in the community’, </w:t>
      </w:r>
      <w:r w:rsidRPr="0055616D">
        <w:rPr>
          <w:rStyle w:val="Emphasis"/>
          <w:rFonts w:ascii="Arial" w:eastAsiaTheme="majorEastAsia" w:hAnsi="Arial" w:cs="Arial"/>
          <w:sz w:val="22"/>
          <w:szCs w:val="22"/>
        </w:rPr>
        <w:t>Cochrane Database of Systematic Reviews</w:t>
      </w:r>
      <w:r w:rsidRPr="0055616D">
        <w:rPr>
          <w:rFonts w:ascii="Arial" w:hAnsi="Arial" w:cs="Arial"/>
          <w:sz w:val="22"/>
          <w:szCs w:val="22"/>
        </w:rPr>
        <w:t>, 9, CD007146</w:t>
      </w:r>
      <w:r>
        <w:rPr>
          <w:rFonts w:ascii="Arial" w:hAnsi="Arial" w:cs="Arial"/>
          <w:sz w:val="22"/>
          <w:szCs w:val="22"/>
        </w:rPr>
        <w:t>.</w:t>
      </w:r>
      <w:r w:rsidR="00817ED8">
        <w:t>Available at:</w:t>
      </w:r>
      <w:hyperlink r:id="rId48" w:history="1">
        <w:r w:rsidRPr="008F249F">
          <w:rPr>
            <w:rStyle w:val="Hyperlink"/>
            <w:rFonts w:ascii="Arial" w:hAnsi="Arial" w:cs="Arial"/>
            <w:sz w:val="22"/>
            <w:szCs w:val="22"/>
          </w:rPr>
          <w:t>https://www.cochranelibrary.com/cdsr/doi/10.1002/14651858.CD007146.pub3/full</w:t>
        </w:r>
      </w:hyperlink>
      <w:r>
        <w:rPr>
          <w:rFonts w:ascii="Arial" w:hAnsi="Arial" w:cs="Arial"/>
          <w:sz w:val="22"/>
          <w:szCs w:val="22"/>
        </w:rPr>
        <w:t xml:space="preserve"> </w:t>
      </w:r>
    </w:p>
    <w:p w14:paraId="09B3159E" w14:textId="77777777" w:rsidR="0055616D" w:rsidRPr="0055616D" w:rsidRDefault="0055616D" w:rsidP="00C24C8D">
      <w:pPr>
        <w:pStyle w:val="NormalWeb"/>
        <w:numPr>
          <w:ilvl w:val="0"/>
          <w:numId w:val="14"/>
        </w:numPr>
        <w:spacing w:line="360" w:lineRule="auto"/>
        <w:jc w:val="both"/>
        <w:rPr>
          <w:rFonts w:ascii="Arial" w:hAnsi="Arial" w:cs="Arial"/>
          <w:sz w:val="22"/>
          <w:szCs w:val="22"/>
        </w:rPr>
      </w:pPr>
      <w:r w:rsidRPr="0055616D">
        <w:rPr>
          <w:rFonts w:ascii="Arial" w:hAnsi="Arial" w:cs="Arial"/>
          <w:sz w:val="22"/>
          <w:szCs w:val="22"/>
        </w:rPr>
        <w:t xml:space="preserve">Hall, A.M., Ferreira, P.H., Maher, C.G., Latimer, J. and Ferreira, M.L. (2010) ‘The influence of the therapist–patient relationship on treatment outcome in physical rehabilitation: A qualitative study’, </w:t>
      </w:r>
      <w:r w:rsidRPr="0055616D">
        <w:rPr>
          <w:rStyle w:val="Emphasis"/>
          <w:rFonts w:ascii="Arial" w:eastAsiaTheme="majorEastAsia" w:hAnsi="Arial" w:cs="Arial"/>
          <w:sz w:val="22"/>
          <w:szCs w:val="22"/>
        </w:rPr>
        <w:t>Physical Therapy</w:t>
      </w:r>
      <w:r w:rsidRPr="0055616D">
        <w:rPr>
          <w:rFonts w:ascii="Arial" w:hAnsi="Arial" w:cs="Arial"/>
          <w:sz w:val="22"/>
          <w:szCs w:val="22"/>
        </w:rPr>
        <w:t>, 90(8), pp. 1099–1110.</w:t>
      </w:r>
    </w:p>
    <w:p w14:paraId="76FCC907" w14:textId="38FD4F2A" w:rsidR="0055616D" w:rsidRPr="00817ED8" w:rsidRDefault="0055616D" w:rsidP="00C24C8D">
      <w:pPr>
        <w:pStyle w:val="NormalWeb"/>
        <w:numPr>
          <w:ilvl w:val="0"/>
          <w:numId w:val="14"/>
        </w:numPr>
        <w:spacing w:line="360" w:lineRule="auto"/>
        <w:jc w:val="both"/>
        <w:rPr>
          <w:rFonts w:ascii="Arial" w:hAnsi="Arial" w:cs="Arial"/>
          <w:sz w:val="22"/>
          <w:szCs w:val="22"/>
        </w:rPr>
      </w:pPr>
      <w:r w:rsidRPr="0055616D">
        <w:rPr>
          <w:rFonts w:ascii="Arial" w:hAnsi="Arial" w:cs="Arial"/>
          <w:sz w:val="22"/>
          <w:szCs w:val="22"/>
        </w:rPr>
        <w:t xml:space="preserve">Hopewell, S., Adedire, O., Copsey, B.J., Boniface, G.J., Sherrington, C., Clemson, L., Close, J.C.T. and Lamb, S.E. (2018) ‘Multifactorial and multiple component interventions for preventing falls in older people living in the community’, </w:t>
      </w:r>
      <w:r w:rsidRPr="0055616D">
        <w:rPr>
          <w:rStyle w:val="Emphasis"/>
          <w:rFonts w:ascii="Arial" w:eastAsiaTheme="majorEastAsia" w:hAnsi="Arial" w:cs="Arial"/>
          <w:sz w:val="22"/>
          <w:szCs w:val="22"/>
        </w:rPr>
        <w:t>Cochrane Database of Systematic Reviews</w:t>
      </w:r>
      <w:r w:rsidRPr="0055616D">
        <w:rPr>
          <w:rFonts w:ascii="Arial" w:hAnsi="Arial" w:cs="Arial"/>
          <w:sz w:val="22"/>
          <w:szCs w:val="22"/>
        </w:rPr>
        <w:t>, 7, CD012221.</w:t>
      </w:r>
      <w:r w:rsidR="00817ED8">
        <w:t>Available at:</w:t>
      </w:r>
      <w:hyperlink r:id="rId49" w:history="1">
        <w:r w:rsidRPr="008F249F">
          <w:rPr>
            <w:rStyle w:val="Hyperlink"/>
            <w:rFonts w:ascii="Arial" w:hAnsi="Arial" w:cs="Arial"/>
            <w:sz w:val="22"/>
            <w:szCs w:val="22"/>
          </w:rPr>
          <w:t>https://www.cochranelibrary.com/cdsr/doi/10.1002/14651858.CD012221.pub2/full</w:t>
        </w:r>
      </w:hyperlink>
    </w:p>
    <w:p w14:paraId="542DB481" w14:textId="68D2D339" w:rsidR="00817ED8" w:rsidRPr="00817ED8" w:rsidRDefault="0055616D" w:rsidP="00C24C8D">
      <w:pPr>
        <w:pStyle w:val="NormalWeb"/>
        <w:numPr>
          <w:ilvl w:val="0"/>
          <w:numId w:val="14"/>
        </w:numPr>
        <w:spacing w:line="360" w:lineRule="auto"/>
        <w:jc w:val="both"/>
        <w:rPr>
          <w:rFonts w:ascii="Arial" w:hAnsi="Arial" w:cs="Arial"/>
          <w:sz w:val="22"/>
          <w:szCs w:val="22"/>
        </w:rPr>
      </w:pPr>
      <w:r w:rsidRPr="0055616D">
        <w:rPr>
          <w:rFonts w:ascii="Arial" w:hAnsi="Arial" w:cs="Arial"/>
          <w:sz w:val="22"/>
          <w:szCs w:val="22"/>
        </w:rPr>
        <w:t xml:space="preserve">Liu, C.-J. and Latham, N.K. (2011) ‘Progressive resistance strength training for improving physical function in older adults’, </w:t>
      </w:r>
      <w:r w:rsidRPr="0055616D">
        <w:rPr>
          <w:rStyle w:val="Emphasis"/>
          <w:rFonts w:ascii="Arial" w:eastAsiaTheme="majorEastAsia" w:hAnsi="Arial" w:cs="Arial"/>
          <w:sz w:val="22"/>
          <w:szCs w:val="22"/>
        </w:rPr>
        <w:t>Cochrane Database of Systematic Reviews</w:t>
      </w:r>
      <w:r w:rsidRPr="0055616D">
        <w:rPr>
          <w:rFonts w:ascii="Arial" w:hAnsi="Arial" w:cs="Arial"/>
          <w:sz w:val="22"/>
          <w:szCs w:val="22"/>
        </w:rPr>
        <w:t>, 3, CD002759.</w:t>
      </w:r>
      <w:r w:rsidR="00817ED8">
        <w:t>Available at:</w:t>
      </w:r>
      <w:hyperlink r:id="rId50" w:history="1">
        <w:r w:rsidR="00817ED8" w:rsidRPr="008F249F">
          <w:rPr>
            <w:rStyle w:val="Hyperlink"/>
            <w:rFonts w:ascii="Arial" w:hAnsi="Arial" w:cs="Arial"/>
            <w:sz w:val="22"/>
            <w:szCs w:val="22"/>
          </w:rPr>
          <w:t>https://www.cochranelibrary.com/cdsr/doi/10.1002/14651858.CD002759.pub2/full</w:t>
        </w:r>
      </w:hyperlink>
    </w:p>
    <w:p w14:paraId="60D6A6EE" w14:textId="77777777" w:rsidR="0055616D" w:rsidRPr="0055616D" w:rsidRDefault="0055616D" w:rsidP="00C24C8D">
      <w:pPr>
        <w:pStyle w:val="NormalWeb"/>
        <w:numPr>
          <w:ilvl w:val="0"/>
          <w:numId w:val="14"/>
        </w:numPr>
        <w:spacing w:line="360" w:lineRule="auto"/>
        <w:jc w:val="both"/>
        <w:rPr>
          <w:rFonts w:ascii="Arial" w:hAnsi="Arial" w:cs="Arial"/>
          <w:sz w:val="22"/>
          <w:szCs w:val="22"/>
        </w:rPr>
      </w:pPr>
      <w:r w:rsidRPr="0055616D">
        <w:rPr>
          <w:rFonts w:ascii="Arial" w:hAnsi="Arial" w:cs="Arial"/>
          <w:sz w:val="22"/>
          <w:szCs w:val="22"/>
        </w:rPr>
        <w:lastRenderedPageBreak/>
        <w:t xml:space="preserve">Ramanathan, S., Pighills, A., Clemson, L. and Hill, K.D. (2019) ‘Environmental risk factors for falls in urban community-dwelling older adults: An observational study’, </w:t>
      </w:r>
      <w:r w:rsidRPr="0055616D">
        <w:rPr>
          <w:rStyle w:val="Emphasis"/>
          <w:rFonts w:ascii="Arial" w:eastAsiaTheme="majorEastAsia" w:hAnsi="Arial" w:cs="Arial"/>
          <w:sz w:val="22"/>
          <w:szCs w:val="22"/>
        </w:rPr>
        <w:t>BMC Geriatrics</w:t>
      </w:r>
      <w:r w:rsidRPr="0055616D">
        <w:rPr>
          <w:rFonts w:ascii="Arial" w:hAnsi="Arial" w:cs="Arial"/>
          <w:sz w:val="22"/>
          <w:szCs w:val="22"/>
        </w:rPr>
        <w:t>, 19, 327.</w:t>
      </w:r>
    </w:p>
    <w:p w14:paraId="25CEF3F2" w14:textId="77777777" w:rsidR="0055616D" w:rsidRPr="0055616D" w:rsidRDefault="0055616D" w:rsidP="00C24C8D">
      <w:pPr>
        <w:pStyle w:val="NormalWeb"/>
        <w:numPr>
          <w:ilvl w:val="0"/>
          <w:numId w:val="14"/>
        </w:numPr>
        <w:spacing w:line="360" w:lineRule="auto"/>
        <w:jc w:val="both"/>
        <w:rPr>
          <w:rFonts w:ascii="Arial" w:hAnsi="Arial" w:cs="Arial"/>
          <w:sz w:val="22"/>
          <w:szCs w:val="22"/>
        </w:rPr>
      </w:pPr>
      <w:r w:rsidRPr="0055616D">
        <w:rPr>
          <w:rFonts w:ascii="Arial" w:hAnsi="Arial" w:cs="Arial"/>
          <w:sz w:val="22"/>
          <w:szCs w:val="22"/>
        </w:rPr>
        <w:t xml:space="preserve">Sherrington, C., Fairhall, N.J., Wallbank, G.K., Tiedemann, A., Michaleff, Z.A., Howard, K., Clemson, L. and Lamb, S.E. (2019) ‘Exercise for preventing falls in older people living in the community: An updated systematic review and meta-analysis’, </w:t>
      </w:r>
      <w:r w:rsidRPr="0055616D">
        <w:rPr>
          <w:rStyle w:val="Emphasis"/>
          <w:rFonts w:ascii="Arial" w:eastAsiaTheme="majorEastAsia" w:hAnsi="Arial" w:cs="Arial"/>
          <w:sz w:val="22"/>
          <w:szCs w:val="22"/>
        </w:rPr>
        <w:t>British Journal of Sports Medicine</w:t>
      </w:r>
      <w:r w:rsidRPr="0055616D">
        <w:rPr>
          <w:rFonts w:ascii="Arial" w:hAnsi="Arial" w:cs="Arial"/>
          <w:sz w:val="22"/>
          <w:szCs w:val="22"/>
        </w:rPr>
        <w:t>, 53(14), pp. 905–911.</w:t>
      </w:r>
    </w:p>
    <w:p w14:paraId="0F714B95" w14:textId="77777777" w:rsidR="0055616D" w:rsidRPr="0055616D" w:rsidRDefault="0055616D" w:rsidP="00C24C8D">
      <w:pPr>
        <w:pStyle w:val="NormalWeb"/>
        <w:numPr>
          <w:ilvl w:val="0"/>
          <w:numId w:val="14"/>
        </w:numPr>
        <w:spacing w:line="360" w:lineRule="auto"/>
        <w:jc w:val="both"/>
        <w:rPr>
          <w:rFonts w:ascii="Arial" w:hAnsi="Arial" w:cs="Arial"/>
          <w:sz w:val="22"/>
          <w:szCs w:val="22"/>
        </w:rPr>
      </w:pPr>
      <w:r w:rsidRPr="0055616D">
        <w:rPr>
          <w:rFonts w:ascii="Arial" w:hAnsi="Arial" w:cs="Arial"/>
          <w:sz w:val="22"/>
          <w:szCs w:val="22"/>
        </w:rPr>
        <w:t xml:space="preserve">Sims-Gould, J., Tong, C.E., Wallis-Mayer, L. and Ashe, M.C. (2015) ‘Reablement, participation and social engagement in community exercise programmes for older adults: A qualitative study’, </w:t>
      </w:r>
      <w:r w:rsidRPr="0055616D">
        <w:rPr>
          <w:rStyle w:val="Emphasis"/>
          <w:rFonts w:ascii="Arial" w:eastAsiaTheme="majorEastAsia" w:hAnsi="Arial" w:cs="Arial"/>
          <w:sz w:val="22"/>
          <w:szCs w:val="22"/>
        </w:rPr>
        <w:t>BMC Geriatrics</w:t>
      </w:r>
      <w:r w:rsidRPr="0055616D">
        <w:rPr>
          <w:rFonts w:ascii="Arial" w:hAnsi="Arial" w:cs="Arial"/>
          <w:sz w:val="22"/>
          <w:szCs w:val="22"/>
        </w:rPr>
        <w:t>, 15, 72.</w:t>
      </w:r>
    </w:p>
    <w:p w14:paraId="086D3D3E" w14:textId="77777777" w:rsidR="0055616D" w:rsidRPr="0055616D" w:rsidRDefault="0055616D" w:rsidP="00C24C8D">
      <w:pPr>
        <w:pStyle w:val="NormalWeb"/>
        <w:numPr>
          <w:ilvl w:val="0"/>
          <w:numId w:val="14"/>
        </w:numPr>
        <w:spacing w:line="360" w:lineRule="auto"/>
        <w:jc w:val="both"/>
        <w:rPr>
          <w:rFonts w:ascii="Arial" w:hAnsi="Arial" w:cs="Arial"/>
          <w:sz w:val="22"/>
          <w:szCs w:val="22"/>
        </w:rPr>
      </w:pPr>
      <w:r w:rsidRPr="0055616D">
        <w:rPr>
          <w:rFonts w:ascii="Arial" w:hAnsi="Arial" w:cs="Arial"/>
          <w:sz w:val="22"/>
          <w:szCs w:val="22"/>
        </w:rPr>
        <w:t xml:space="preserve">Tiedemann, A., Sherrington, C., Close, J.C.T. and Lord, S.R. (2013) ‘Exercise adherence and long-term fall prevention outcomes in community-dwelling older adults’, </w:t>
      </w:r>
      <w:r w:rsidRPr="0055616D">
        <w:rPr>
          <w:rStyle w:val="Emphasis"/>
          <w:rFonts w:ascii="Arial" w:eastAsiaTheme="majorEastAsia" w:hAnsi="Arial" w:cs="Arial"/>
          <w:sz w:val="22"/>
          <w:szCs w:val="22"/>
        </w:rPr>
        <w:t>Journal of the American Geriatrics Society</w:t>
      </w:r>
      <w:r w:rsidRPr="0055616D">
        <w:rPr>
          <w:rFonts w:ascii="Arial" w:hAnsi="Arial" w:cs="Arial"/>
          <w:sz w:val="22"/>
          <w:szCs w:val="22"/>
        </w:rPr>
        <w:t>, 61(12), pp. 2150–2157.</w:t>
      </w:r>
    </w:p>
    <w:p w14:paraId="1329B98A" w14:textId="5859FF17" w:rsidR="00CF476F" w:rsidRPr="00B77F6B" w:rsidRDefault="0055616D" w:rsidP="00C24C8D">
      <w:pPr>
        <w:pStyle w:val="NormalWeb"/>
        <w:numPr>
          <w:ilvl w:val="0"/>
          <w:numId w:val="14"/>
        </w:numPr>
        <w:spacing w:line="360" w:lineRule="auto"/>
        <w:jc w:val="both"/>
        <w:rPr>
          <w:rFonts w:ascii="Arial" w:hAnsi="Arial" w:cs="Arial"/>
          <w:sz w:val="22"/>
          <w:szCs w:val="22"/>
        </w:rPr>
      </w:pPr>
      <w:r w:rsidRPr="0055616D">
        <w:rPr>
          <w:rFonts w:ascii="Arial" w:hAnsi="Arial" w:cs="Arial"/>
          <w:sz w:val="22"/>
          <w:szCs w:val="22"/>
        </w:rPr>
        <w:t xml:space="preserve">Victor, C.R., Rogers, A., Woodcock, A. and Beighton, C. (2020) ‘Social participation and group-based physiotherapy interventions for older adults: A mixed-methods study’, </w:t>
      </w:r>
      <w:r w:rsidRPr="0055616D">
        <w:rPr>
          <w:rStyle w:val="Emphasis"/>
          <w:rFonts w:ascii="Arial" w:eastAsiaTheme="majorEastAsia" w:hAnsi="Arial" w:cs="Arial"/>
          <w:sz w:val="22"/>
          <w:szCs w:val="22"/>
        </w:rPr>
        <w:t>Health &amp; Social Care in the Community</w:t>
      </w:r>
      <w:r w:rsidRPr="0055616D">
        <w:rPr>
          <w:rFonts w:ascii="Arial" w:hAnsi="Arial" w:cs="Arial"/>
          <w:sz w:val="22"/>
          <w:szCs w:val="22"/>
        </w:rPr>
        <w:t>, 28(3), pp. 935–944.</w:t>
      </w:r>
    </w:p>
    <w:p w14:paraId="52195B28" w14:textId="77777777" w:rsidR="00FB3E8E" w:rsidRDefault="00FB3E8E" w:rsidP="00C24C8D">
      <w:pPr>
        <w:spacing w:line="360" w:lineRule="auto"/>
        <w:jc w:val="both"/>
        <w:rPr>
          <w:rFonts w:ascii="Arial" w:hAnsi="Arial" w:cs="Arial"/>
          <w:b/>
          <w:bCs/>
          <w:sz w:val="22"/>
          <w:szCs w:val="22"/>
        </w:rPr>
      </w:pPr>
    </w:p>
    <w:p w14:paraId="4FCD5CAD" w14:textId="77777777" w:rsidR="00FB3E8E" w:rsidRDefault="00FB3E8E" w:rsidP="00C24C8D">
      <w:pPr>
        <w:spacing w:line="360" w:lineRule="auto"/>
        <w:jc w:val="both"/>
        <w:rPr>
          <w:rFonts w:ascii="Arial" w:hAnsi="Arial" w:cs="Arial"/>
          <w:b/>
          <w:bCs/>
          <w:sz w:val="22"/>
          <w:szCs w:val="22"/>
        </w:rPr>
      </w:pPr>
    </w:p>
    <w:p w14:paraId="222682FC" w14:textId="77777777" w:rsidR="00FB3E8E" w:rsidRDefault="00FB3E8E" w:rsidP="00C24C8D">
      <w:pPr>
        <w:spacing w:line="360" w:lineRule="auto"/>
        <w:jc w:val="both"/>
        <w:rPr>
          <w:rFonts w:ascii="Arial" w:hAnsi="Arial" w:cs="Arial"/>
          <w:b/>
          <w:bCs/>
          <w:sz w:val="22"/>
          <w:szCs w:val="22"/>
        </w:rPr>
      </w:pPr>
    </w:p>
    <w:p w14:paraId="36E6DD7B" w14:textId="77777777" w:rsidR="00FB3E8E" w:rsidRDefault="00FB3E8E" w:rsidP="00C24C8D">
      <w:pPr>
        <w:spacing w:line="360" w:lineRule="auto"/>
        <w:jc w:val="both"/>
        <w:rPr>
          <w:rFonts w:ascii="Arial" w:hAnsi="Arial" w:cs="Arial"/>
          <w:b/>
          <w:bCs/>
          <w:sz w:val="22"/>
          <w:szCs w:val="22"/>
        </w:rPr>
      </w:pPr>
    </w:p>
    <w:p w14:paraId="08D43C47" w14:textId="77777777" w:rsidR="00FB3E8E" w:rsidRDefault="00FB3E8E" w:rsidP="00C24C8D">
      <w:pPr>
        <w:spacing w:line="360" w:lineRule="auto"/>
        <w:jc w:val="both"/>
        <w:rPr>
          <w:rFonts w:ascii="Arial" w:hAnsi="Arial" w:cs="Arial"/>
          <w:b/>
          <w:bCs/>
          <w:sz w:val="22"/>
          <w:szCs w:val="22"/>
        </w:rPr>
      </w:pPr>
    </w:p>
    <w:p w14:paraId="4EB8253A" w14:textId="77777777" w:rsidR="00FB3E8E" w:rsidRDefault="00FB3E8E" w:rsidP="00C24C8D">
      <w:pPr>
        <w:spacing w:line="360" w:lineRule="auto"/>
        <w:jc w:val="both"/>
        <w:rPr>
          <w:rFonts w:ascii="Arial" w:hAnsi="Arial" w:cs="Arial"/>
          <w:b/>
          <w:bCs/>
          <w:sz w:val="22"/>
          <w:szCs w:val="22"/>
        </w:rPr>
      </w:pPr>
    </w:p>
    <w:p w14:paraId="01340D85" w14:textId="77777777" w:rsidR="00FB3E8E" w:rsidRDefault="00FB3E8E" w:rsidP="00C24C8D">
      <w:pPr>
        <w:spacing w:line="360" w:lineRule="auto"/>
        <w:jc w:val="both"/>
        <w:rPr>
          <w:rFonts w:ascii="Arial" w:hAnsi="Arial" w:cs="Arial"/>
          <w:b/>
          <w:bCs/>
          <w:sz w:val="22"/>
          <w:szCs w:val="22"/>
        </w:rPr>
      </w:pPr>
    </w:p>
    <w:p w14:paraId="5F51DBB4" w14:textId="77777777" w:rsidR="00FB3E8E" w:rsidRDefault="00FB3E8E" w:rsidP="00C24C8D">
      <w:pPr>
        <w:spacing w:line="360" w:lineRule="auto"/>
        <w:jc w:val="both"/>
        <w:rPr>
          <w:rFonts w:ascii="Arial" w:hAnsi="Arial" w:cs="Arial"/>
          <w:b/>
          <w:bCs/>
          <w:sz w:val="22"/>
          <w:szCs w:val="22"/>
        </w:rPr>
      </w:pPr>
    </w:p>
    <w:p w14:paraId="0FA7A285" w14:textId="77777777" w:rsidR="00FB3E8E" w:rsidRDefault="00FB3E8E" w:rsidP="00C24C8D">
      <w:pPr>
        <w:spacing w:line="360" w:lineRule="auto"/>
        <w:jc w:val="both"/>
        <w:rPr>
          <w:rFonts w:ascii="Arial" w:hAnsi="Arial" w:cs="Arial"/>
          <w:b/>
          <w:bCs/>
          <w:sz w:val="22"/>
          <w:szCs w:val="22"/>
        </w:rPr>
      </w:pPr>
    </w:p>
    <w:p w14:paraId="38AB31DA" w14:textId="77777777" w:rsidR="00FB3E8E" w:rsidRDefault="00FB3E8E" w:rsidP="00C24C8D">
      <w:pPr>
        <w:spacing w:line="360" w:lineRule="auto"/>
        <w:jc w:val="both"/>
        <w:rPr>
          <w:rFonts w:ascii="Arial" w:hAnsi="Arial" w:cs="Arial"/>
          <w:b/>
          <w:bCs/>
          <w:sz w:val="22"/>
          <w:szCs w:val="22"/>
        </w:rPr>
      </w:pPr>
    </w:p>
    <w:p w14:paraId="2A0C160D" w14:textId="77777777" w:rsidR="00FB3E8E" w:rsidRDefault="00FB3E8E" w:rsidP="00C24C8D">
      <w:pPr>
        <w:spacing w:line="360" w:lineRule="auto"/>
        <w:jc w:val="both"/>
        <w:rPr>
          <w:rFonts w:ascii="Arial" w:hAnsi="Arial" w:cs="Arial"/>
          <w:b/>
          <w:bCs/>
          <w:sz w:val="22"/>
          <w:szCs w:val="22"/>
        </w:rPr>
      </w:pPr>
    </w:p>
    <w:p w14:paraId="7894A9DD" w14:textId="77777777" w:rsidR="00FB3E8E" w:rsidRDefault="00FB3E8E" w:rsidP="00C24C8D">
      <w:pPr>
        <w:spacing w:line="360" w:lineRule="auto"/>
        <w:jc w:val="both"/>
        <w:rPr>
          <w:rFonts w:ascii="Arial" w:hAnsi="Arial" w:cs="Arial"/>
          <w:b/>
          <w:bCs/>
          <w:sz w:val="22"/>
          <w:szCs w:val="22"/>
        </w:rPr>
      </w:pPr>
    </w:p>
    <w:p w14:paraId="58959B5D" w14:textId="77777777" w:rsidR="00FB3E8E" w:rsidRDefault="00FB3E8E" w:rsidP="00C24C8D">
      <w:pPr>
        <w:spacing w:line="360" w:lineRule="auto"/>
        <w:jc w:val="both"/>
        <w:rPr>
          <w:rFonts w:ascii="Arial" w:hAnsi="Arial" w:cs="Arial"/>
          <w:b/>
          <w:bCs/>
          <w:sz w:val="22"/>
          <w:szCs w:val="22"/>
        </w:rPr>
      </w:pPr>
    </w:p>
    <w:p w14:paraId="479E2AC0" w14:textId="31CAE559" w:rsidR="00133F27" w:rsidRPr="00FB3E8E" w:rsidRDefault="008C083F" w:rsidP="00C24C8D">
      <w:pPr>
        <w:spacing w:line="360" w:lineRule="auto"/>
        <w:jc w:val="both"/>
        <w:rPr>
          <w:rFonts w:ascii="Arial" w:hAnsi="Arial" w:cs="Arial"/>
          <w:b/>
          <w:bCs/>
          <w:sz w:val="28"/>
          <w:szCs w:val="28"/>
        </w:rPr>
      </w:pPr>
      <w:r w:rsidRPr="00FB3E8E">
        <w:rPr>
          <w:rFonts w:ascii="Arial" w:hAnsi="Arial" w:cs="Arial"/>
          <w:b/>
          <w:bCs/>
          <w:sz w:val="28"/>
          <w:szCs w:val="28"/>
        </w:rPr>
        <w:lastRenderedPageBreak/>
        <w:t>Appendix 3: Data Extraction Table</w:t>
      </w:r>
    </w:p>
    <w:tbl>
      <w:tblPr>
        <w:tblStyle w:val="TableGrid"/>
        <w:tblW w:w="11086" w:type="dxa"/>
        <w:tblInd w:w="-1423" w:type="dxa"/>
        <w:tblLook w:val="04A0" w:firstRow="1" w:lastRow="0" w:firstColumn="1" w:lastColumn="0" w:noHBand="0" w:noVBand="1"/>
      </w:tblPr>
      <w:tblGrid>
        <w:gridCol w:w="1746"/>
        <w:gridCol w:w="1652"/>
        <w:gridCol w:w="1793"/>
        <w:gridCol w:w="1623"/>
        <w:gridCol w:w="1881"/>
        <w:gridCol w:w="2391"/>
      </w:tblGrid>
      <w:tr w:rsidR="005419F1" w14:paraId="6B901B00" w14:textId="77777777" w:rsidTr="00F43B46">
        <w:trPr>
          <w:trHeight w:val="765"/>
        </w:trPr>
        <w:tc>
          <w:tcPr>
            <w:tcW w:w="1746" w:type="dxa"/>
          </w:tcPr>
          <w:p w14:paraId="6A0F274C" w14:textId="2106DAAA" w:rsidR="008C083F" w:rsidRDefault="008C083F" w:rsidP="00C24C8D">
            <w:pPr>
              <w:spacing w:line="360" w:lineRule="auto"/>
              <w:jc w:val="both"/>
              <w:rPr>
                <w:rFonts w:ascii="Arial" w:hAnsi="Arial" w:cs="Arial"/>
                <w:b/>
                <w:bCs/>
                <w:sz w:val="22"/>
                <w:szCs w:val="22"/>
              </w:rPr>
            </w:pPr>
            <w:r w:rsidRPr="008C083F">
              <w:rPr>
                <w:rFonts w:ascii="Arial" w:hAnsi="Arial" w:cs="Arial"/>
                <w:b/>
                <w:bCs/>
                <w:sz w:val="22"/>
                <w:szCs w:val="22"/>
              </w:rPr>
              <w:t>Study</w:t>
            </w:r>
          </w:p>
        </w:tc>
        <w:tc>
          <w:tcPr>
            <w:tcW w:w="1652" w:type="dxa"/>
          </w:tcPr>
          <w:p w14:paraId="626375A2" w14:textId="32F3774A" w:rsidR="008C083F" w:rsidRDefault="008C083F" w:rsidP="00C24C8D">
            <w:pPr>
              <w:spacing w:line="360" w:lineRule="auto"/>
              <w:jc w:val="both"/>
              <w:rPr>
                <w:rFonts w:ascii="Arial" w:hAnsi="Arial" w:cs="Arial"/>
                <w:b/>
                <w:bCs/>
                <w:sz w:val="22"/>
                <w:szCs w:val="22"/>
              </w:rPr>
            </w:pPr>
            <w:r w:rsidRPr="008C083F">
              <w:rPr>
                <w:rFonts w:ascii="Arial" w:hAnsi="Arial" w:cs="Arial"/>
                <w:b/>
                <w:bCs/>
                <w:sz w:val="22"/>
                <w:szCs w:val="22"/>
              </w:rPr>
              <w:t>Country</w:t>
            </w:r>
          </w:p>
        </w:tc>
        <w:tc>
          <w:tcPr>
            <w:tcW w:w="1793" w:type="dxa"/>
          </w:tcPr>
          <w:p w14:paraId="1CA4BEB1" w14:textId="3EBC7CDD" w:rsidR="008C083F" w:rsidRPr="008C083F" w:rsidRDefault="008C083F" w:rsidP="00C24C8D">
            <w:pPr>
              <w:spacing w:line="360" w:lineRule="auto"/>
              <w:jc w:val="both"/>
              <w:rPr>
                <w:rFonts w:ascii="Arial" w:hAnsi="Arial" w:cs="Arial"/>
                <w:b/>
                <w:bCs/>
                <w:sz w:val="22"/>
                <w:szCs w:val="22"/>
              </w:rPr>
            </w:pPr>
            <w:r w:rsidRPr="008C083F">
              <w:rPr>
                <w:rFonts w:ascii="Arial" w:hAnsi="Arial" w:cs="Arial"/>
                <w:b/>
                <w:bCs/>
                <w:sz w:val="22"/>
                <w:szCs w:val="22"/>
              </w:rPr>
              <w:t>Design</w:t>
            </w:r>
          </w:p>
        </w:tc>
        <w:tc>
          <w:tcPr>
            <w:tcW w:w="1623" w:type="dxa"/>
          </w:tcPr>
          <w:p w14:paraId="773442EC" w14:textId="5D7BB7C7" w:rsidR="008C083F" w:rsidRDefault="008C083F" w:rsidP="00C24C8D">
            <w:pPr>
              <w:spacing w:line="360" w:lineRule="auto"/>
              <w:jc w:val="both"/>
              <w:rPr>
                <w:rFonts w:ascii="Arial" w:hAnsi="Arial" w:cs="Arial"/>
                <w:b/>
                <w:bCs/>
                <w:sz w:val="22"/>
                <w:szCs w:val="22"/>
              </w:rPr>
            </w:pPr>
            <w:r w:rsidRPr="008C083F">
              <w:rPr>
                <w:rFonts w:ascii="Arial" w:hAnsi="Arial" w:cs="Arial"/>
                <w:b/>
                <w:bCs/>
                <w:sz w:val="22"/>
                <w:szCs w:val="22"/>
              </w:rPr>
              <w:t>Population</w:t>
            </w:r>
          </w:p>
        </w:tc>
        <w:tc>
          <w:tcPr>
            <w:tcW w:w="1881" w:type="dxa"/>
          </w:tcPr>
          <w:p w14:paraId="2AF84189" w14:textId="01E4B081" w:rsidR="008C083F" w:rsidRDefault="008C083F" w:rsidP="00C24C8D">
            <w:pPr>
              <w:spacing w:line="360" w:lineRule="auto"/>
              <w:jc w:val="both"/>
              <w:rPr>
                <w:rFonts w:ascii="Arial" w:hAnsi="Arial" w:cs="Arial"/>
                <w:b/>
                <w:bCs/>
                <w:sz w:val="22"/>
                <w:szCs w:val="22"/>
              </w:rPr>
            </w:pPr>
            <w:r w:rsidRPr="008C083F">
              <w:rPr>
                <w:rFonts w:ascii="Arial" w:hAnsi="Arial" w:cs="Arial"/>
                <w:b/>
                <w:bCs/>
                <w:sz w:val="22"/>
                <w:szCs w:val="22"/>
              </w:rPr>
              <w:t>Intervention Focus</w:t>
            </w:r>
          </w:p>
        </w:tc>
        <w:tc>
          <w:tcPr>
            <w:tcW w:w="2391" w:type="dxa"/>
          </w:tcPr>
          <w:p w14:paraId="10F6EA88" w14:textId="4AAA9F07" w:rsidR="008C083F" w:rsidRDefault="008C083F" w:rsidP="00C24C8D">
            <w:pPr>
              <w:spacing w:line="360" w:lineRule="auto"/>
              <w:jc w:val="both"/>
              <w:rPr>
                <w:rFonts w:ascii="Arial" w:hAnsi="Arial" w:cs="Arial"/>
                <w:b/>
                <w:bCs/>
                <w:sz w:val="22"/>
                <w:szCs w:val="22"/>
              </w:rPr>
            </w:pPr>
            <w:r w:rsidRPr="008C083F">
              <w:rPr>
                <w:rFonts w:ascii="Arial" w:hAnsi="Arial" w:cs="Arial"/>
                <w:b/>
                <w:bCs/>
                <w:sz w:val="22"/>
                <w:szCs w:val="22"/>
              </w:rPr>
              <w:t>Outcomes Reported</w:t>
            </w:r>
          </w:p>
        </w:tc>
      </w:tr>
      <w:tr w:rsidR="005419F1" w14:paraId="2F9635A0" w14:textId="77777777" w:rsidTr="00F43B46">
        <w:trPr>
          <w:trHeight w:val="898"/>
        </w:trPr>
        <w:tc>
          <w:tcPr>
            <w:tcW w:w="1746" w:type="dxa"/>
          </w:tcPr>
          <w:p w14:paraId="1268C6AA" w14:textId="73B6BBF7" w:rsidR="007B0741" w:rsidRDefault="007B0741" w:rsidP="00C24C8D">
            <w:pPr>
              <w:pStyle w:val="NoSpacing"/>
              <w:spacing w:line="360" w:lineRule="auto"/>
              <w:jc w:val="both"/>
              <w:rPr>
                <w:rFonts w:ascii="Arial" w:hAnsi="Arial" w:cs="Arial"/>
                <w:b/>
                <w:bCs/>
                <w:sz w:val="22"/>
                <w:szCs w:val="22"/>
              </w:rPr>
            </w:pPr>
            <w:r w:rsidRPr="004B3910">
              <w:t>Gillespie et al. (2012)</w:t>
            </w:r>
          </w:p>
        </w:tc>
        <w:tc>
          <w:tcPr>
            <w:tcW w:w="1652" w:type="dxa"/>
          </w:tcPr>
          <w:p w14:paraId="589A1E61" w14:textId="09B4FA95" w:rsidR="007B0741" w:rsidRPr="005419F1" w:rsidRDefault="007B0741" w:rsidP="00C24C8D">
            <w:pPr>
              <w:pStyle w:val="NoSpacing"/>
              <w:spacing w:line="360" w:lineRule="auto"/>
              <w:jc w:val="both"/>
            </w:pPr>
            <w:r w:rsidRPr="005419F1">
              <w:t>Multiple</w:t>
            </w:r>
          </w:p>
        </w:tc>
        <w:tc>
          <w:tcPr>
            <w:tcW w:w="1793" w:type="dxa"/>
          </w:tcPr>
          <w:p w14:paraId="2B8C590A" w14:textId="4520A485" w:rsidR="007B0741" w:rsidRPr="005419F1" w:rsidRDefault="007B0741" w:rsidP="00C24C8D">
            <w:pPr>
              <w:pStyle w:val="NoSpacing"/>
              <w:spacing w:line="360" w:lineRule="auto"/>
              <w:jc w:val="both"/>
            </w:pPr>
            <w:r w:rsidRPr="005419F1">
              <w:t>Systematic review</w:t>
            </w:r>
          </w:p>
        </w:tc>
        <w:tc>
          <w:tcPr>
            <w:tcW w:w="1623" w:type="dxa"/>
          </w:tcPr>
          <w:p w14:paraId="42409A64" w14:textId="2FBA870E" w:rsidR="007B0741" w:rsidRPr="005419F1" w:rsidRDefault="007B0741" w:rsidP="00C24C8D">
            <w:pPr>
              <w:pStyle w:val="NoSpacing"/>
              <w:spacing w:line="360" w:lineRule="auto"/>
              <w:jc w:val="both"/>
            </w:pPr>
            <w:r w:rsidRPr="005419F1">
              <w:t>Community-dwelling older adults</w:t>
            </w:r>
          </w:p>
        </w:tc>
        <w:tc>
          <w:tcPr>
            <w:tcW w:w="1881" w:type="dxa"/>
          </w:tcPr>
          <w:p w14:paraId="436FCC4A" w14:textId="20E730B8" w:rsidR="007B0741" w:rsidRPr="005419F1" w:rsidRDefault="007B0741" w:rsidP="00C24C8D">
            <w:pPr>
              <w:pStyle w:val="NoSpacing"/>
              <w:spacing w:line="360" w:lineRule="auto"/>
              <w:jc w:val="both"/>
            </w:pPr>
            <w:r w:rsidRPr="005419F1">
              <w:t>Exercise &amp; multifactorial programmes</w:t>
            </w:r>
          </w:p>
        </w:tc>
        <w:tc>
          <w:tcPr>
            <w:tcW w:w="2391" w:type="dxa"/>
          </w:tcPr>
          <w:p w14:paraId="32FD042E" w14:textId="43238AA7" w:rsidR="007B0741" w:rsidRPr="005419F1" w:rsidRDefault="005419F1" w:rsidP="00C24C8D">
            <w:pPr>
              <w:pStyle w:val="NoSpacing"/>
              <w:spacing w:line="360" w:lineRule="auto"/>
              <w:jc w:val="both"/>
            </w:pPr>
            <w:r w:rsidRPr="005419F1">
              <w:t>Falls rate</w:t>
            </w:r>
          </w:p>
        </w:tc>
      </w:tr>
      <w:tr w:rsidR="005419F1" w14:paraId="7BDE87F7" w14:textId="77777777" w:rsidTr="00F43B46">
        <w:trPr>
          <w:trHeight w:val="598"/>
        </w:trPr>
        <w:tc>
          <w:tcPr>
            <w:tcW w:w="1746" w:type="dxa"/>
          </w:tcPr>
          <w:p w14:paraId="3093F798" w14:textId="4455F93A" w:rsidR="007B0741" w:rsidRDefault="007B0741" w:rsidP="00C24C8D">
            <w:pPr>
              <w:pStyle w:val="NoSpacing"/>
              <w:spacing w:line="360" w:lineRule="auto"/>
              <w:jc w:val="both"/>
              <w:rPr>
                <w:rFonts w:ascii="Arial" w:hAnsi="Arial" w:cs="Arial"/>
                <w:b/>
                <w:bCs/>
                <w:sz w:val="22"/>
                <w:szCs w:val="22"/>
              </w:rPr>
            </w:pPr>
            <w:r w:rsidRPr="004B3910">
              <w:t>Clemson et al. (2012)</w:t>
            </w:r>
          </w:p>
        </w:tc>
        <w:tc>
          <w:tcPr>
            <w:tcW w:w="1652" w:type="dxa"/>
          </w:tcPr>
          <w:p w14:paraId="378E4C19" w14:textId="3AB438FF" w:rsidR="007B0741" w:rsidRPr="005419F1" w:rsidRDefault="007B0741" w:rsidP="00C24C8D">
            <w:pPr>
              <w:pStyle w:val="NoSpacing"/>
              <w:spacing w:line="360" w:lineRule="auto"/>
              <w:jc w:val="both"/>
            </w:pPr>
            <w:r w:rsidRPr="005419F1">
              <w:t>Australia</w:t>
            </w:r>
          </w:p>
        </w:tc>
        <w:tc>
          <w:tcPr>
            <w:tcW w:w="1793" w:type="dxa"/>
          </w:tcPr>
          <w:p w14:paraId="690A38AA" w14:textId="068531ED" w:rsidR="007B0741" w:rsidRPr="005419F1" w:rsidRDefault="007B0741" w:rsidP="00C24C8D">
            <w:pPr>
              <w:pStyle w:val="NoSpacing"/>
              <w:spacing w:line="360" w:lineRule="auto"/>
              <w:jc w:val="both"/>
            </w:pPr>
            <w:r w:rsidRPr="005419F1">
              <w:t>RCT</w:t>
            </w:r>
          </w:p>
        </w:tc>
        <w:tc>
          <w:tcPr>
            <w:tcW w:w="1623" w:type="dxa"/>
          </w:tcPr>
          <w:p w14:paraId="482CCCF1" w14:textId="74939C09" w:rsidR="007B0741" w:rsidRPr="005419F1" w:rsidRDefault="007B0741" w:rsidP="00C24C8D">
            <w:pPr>
              <w:pStyle w:val="NoSpacing"/>
              <w:spacing w:line="360" w:lineRule="auto"/>
              <w:jc w:val="both"/>
            </w:pPr>
            <w:r w:rsidRPr="005419F1">
              <w:t>Older adults</w:t>
            </w:r>
          </w:p>
        </w:tc>
        <w:tc>
          <w:tcPr>
            <w:tcW w:w="1881" w:type="dxa"/>
          </w:tcPr>
          <w:p w14:paraId="79BF04B3" w14:textId="20080202" w:rsidR="007B0741" w:rsidRPr="005419F1" w:rsidRDefault="007B0741" w:rsidP="00C24C8D">
            <w:pPr>
              <w:pStyle w:val="NoSpacing"/>
              <w:spacing w:line="360" w:lineRule="auto"/>
              <w:jc w:val="both"/>
            </w:pPr>
            <w:r w:rsidRPr="005419F1">
              <w:t>L</w:t>
            </w:r>
            <w:r w:rsidR="007F49A4">
              <w:t>I</w:t>
            </w:r>
            <w:r w:rsidRPr="005419F1">
              <w:t>FE programme</w:t>
            </w:r>
          </w:p>
        </w:tc>
        <w:tc>
          <w:tcPr>
            <w:tcW w:w="2391" w:type="dxa"/>
          </w:tcPr>
          <w:p w14:paraId="30244E59" w14:textId="58C6EC87" w:rsidR="007B0741" w:rsidRPr="005419F1" w:rsidRDefault="005419F1" w:rsidP="00C24C8D">
            <w:pPr>
              <w:pStyle w:val="NoSpacing"/>
              <w:spacing w:line="360" w:lineRule="auto"/>
              <w:jc w:val="both"/>
            </w:pPr>
            <w:r w:rsidRPr="005419F1">
              <w:t>Falls incidence, function</w:t>
            </w:r>
          </w:p>
        </w:tc>
      </w:tr>
      <w:tr w:rsidR="005419F1" w14:paraId="6ADD7EFB" w14:textId="77777777" w:rsidTr="00F43B46">
        <w:trPr>
          <w:trHeight w:val="587"/>
        </w:trPr>
        <w:tc>
          <w:tcPr>
            <w:tcW w:w="1746" w:type="dxa"/>
          </w:tcPr>
          <w:p w14:paraId="2313148E" w14:textId="314701B5" w:rsidR="007B0741" w:rsidRDefault="007B0741" w:rsidP="00C24C8D">
            <w:pPr>
              <w:pStyle w:val="NoSpacing"/>
              <w:spacing w:line="360" w:lineRule="auto"/>
              <w:jc w:val="both"/>
              <w:rPr>
                <w:rFonts w:ascii="Arial" w:hAnsi="Arial" w:cs="Arial"/>
                <w:b/>
                <w:bCs/>
                <w:sz w:val="22"/>
                <w:szCs w:val="22"/>
              </w:rPr>
            </w:pPr>
            <w:r w:rsidRPr="004B3910">
              <w:t>Gardner et al. (2016)</w:t>
            </w:r>
          </w:p>
        </w:tc>
        <w:tc>
          <w:tcPr>
            <w:tcW w:w="1652" w:type="dxa"/>
          </w:tcPr>
          <w:p w14:paraId="2E084EF3" w14:textId="1D877128" w:rsidR="007B0741" w:rsidRPr="005419F1" w:rsidRDefault="007B0741" w:rsidP="00C24C8D">
            <w:pPr>
              <w:pStyle w:val="NoSpacing"/>
              <w:spacing w:line="360" w:lineRule="auto"/>
              <w:jc w:val="both"/>
            </w:pPr>
            <w:r w:rsidRPr="005419F1">
              <w:t>New Zealand</w:t>
            </w:r>
          </w:p>
        </w:tc>
        <w:tc>
          <w:tcPr>
            <w:tcW w:w="1793" w:type="dxa"/>
          </w:tcPr>
          <w:p w14:paraId="0FC97F12" w14:textId="031F0EDB" w:rsidR="007B0741" w:rsidRPr="005419F1" w:rsidRDefault="007B0741" w:rsidP="00C24C8D">
            <w:pPr>
              <w:pStyle w:val="NoSpacing"/>
              <w:spacing w:line="360" w:lineRule="auto"/>
              <w:jc w:val="both"/>
            </w:pPr>
            <w:r w:rsidRPr="005419F1">
              <w:t>Systematic review</w:t>
            </w:r>
          </w:p>
        </w:tc>
        <w:tc>
          <w:tcPr>
            <w:tcW w:w="1623" w:type="dxa"/>
          </w:tcPr>
          <w:p w14:paraId="401C9142" w14:textId="0F5A0C39" w:rsidR="007B0741" w:rsidRPr="005419F1" w:rsidRDefault="007B0741" w:rsidP="00C24C8D">
            <w:pPr>
              <w:pStyle w:val="NoSpacing"/>
              <w:spacing w:line="360" w:lineRule="auto"/>
              <w:jc w:val="both"/>
            </w:pPr>
            <w:r w:rsidRPr="005419F1">
              <w:t>Older adults</w:t>
            </w:r>
          </w:p>
        </w:tc>
        <w:tc>
          <w:tcPr>
            <w:tcW w:w="1881" w:type="dxa"/>
          </w:tcPr>
          <w:p w14:paraId="22FD61E7" w14:textId="6EB6E21A" w:rsidR="007B0741" w:rsidRPr="005419F1" w:rsidRDefault="007B0741" w:rsidP="00C24C8D">
            <w:pPr>
              <w:pStyle w:val="NoSpacing"/>
              <w:spacing w:line="360" w:lineRule="auto"/>
              <w:jc w:val="both"/>
            </w:pPr>
            <w:r w:rsidRPr="005419F1">
              <w:t>Exercise interventions</w:t>
            </w:r>
          </w:p>
        </w:tc>
        <w:tc>
          <w:tcPr>
            <w:tcW w:w="2391" w:type="dxa"/>
          </w:tcPr>
          <w:p w14:paraId="6DA194FC" w14:textId="400A5B65" w:rsidR="007B0741" w:rsidRPr="005419F1" w:rsidRDefault="005419F1" w:rsidP="00C24C8D">
            <w:pPr>
              <w:pStyle w:val="NoSpacing"/>
              <w:spacing w:line="360" w:lineRule="auto"/>
              <w:jc w:val="both"/>
            </w:pPr>
            <w:r w:rsidRPr="005419F1">
              <w:t>Falls rate</w:t>
            </w:r>
          </w:p>
        </w:tc>
      </w:tr>
      <w:tr w:rsidR="005419F1" w14:paraId="11FEEBDA" w14:textId="77777777" w:rsidTr="00F43B46">
        <w:trPr>
          <w:trHeight w:val="598"/>
        </w:trPr>
        <w:tc>
          <w:tcPr>
            <w:tcW w:w="1746" w:type="dxa"/>
          </w:tcPr>
          <w:p w14:paraId="4E5D51B4" w14:textId="0C195C37" w:rsidR="007B0741" w:rsidRDefault="007B0741" w:rsidP="00C24C8D">
            <w:pPr>
              <w:pStyle w:val="NoSpacing"/>
              <w:spacing w:line="360" w:lineRule="auto"/>
              <w:jc w:val="both"/>
              <w:rPr>
                <w:rFonts w:ascii="Arial" w:hAnsi="Arial" w:cs="Arial"/>
                <w:b/>
                <w:bCs/>
                <w:sz w:val="22"/>
                <w:szCs w:val="22"/>
              </w:rPr>
            </w:pPr>
            <w:r w:rsidRPr="004B3910">
              <w:t>Hopewell et al. (2018)</w:t>
            </w:r>
          </w:p>
        </w:tc>
        <w:tc>
          <w:tcPr>
            <w:tcW w:w="1652" w:type="dxa"/>
          </w:tcPr>
          <w:p w14:paraId="6D143D3B" w14:textId="39707459" w:rsidR="007B0741" w:rsidRPr="005419F1" w:rsidRDefault="007B0741" w:rsidP="00C24C8D">
            <w:pPr>
              <w:pStyle w:val="NoSpacing"/>
              <w:spacing w:line="360" w:lineRule="auto"/>
              <w:jc w:val="both"/>
            </w:pPr>
            <w:r w:rsidRPr="005419F1">
              <w:t>International</w:t>
            </w:r>
          </w:p>
        </w:tc>
        <w:tc>
          <w:tcPr>
            <w:tcW w:w="1793" w:type="dxa"/>
          </w:tcPr>
          <w:p w14:paraId="3C7DEE47" w14:textId="66FFEED2" w:rsidR="007B0741" w:rsidRPr="005419F1" w:rsidRDefault="007B0741" w:rsidP="00C24C8D">
            <w:pPr>
              <w:pStyle w:val="NoSpacing"/>
              <w:spacing w:line="360" w:lineRule="auto"/>
              <w:jc w:val="both"/>
            </w:pPr>
            <w:r w:rsidRPr="005419F1">
              <w:t>Systematic review</w:t>
            </w:r>
          </w:p>
        </w:tc>
        <w:tc>
          <w:tcPr>
            <w:tcW w:w="1623" w:type="dxa"/>
          </w:tcPr>
          <w:p w14:paraId="462AFEB9" w14:textId="292B5475" w:rsidR="007B0741" w:rsidRPr="005419F1" w:rsidRDefault="007B0741" w:rsidP="00C24C8D">
            <w:pPr>
              <w:pStyle w:val="NoSpacing"/>
              <w:spacing w:line="360" w:lineRule="auto"/>
              <w:jc w:val="both"/>
            </w:pPr>
            <w:r w:rsidRPr="005419F1">
              <w:t>Older adults</w:t>
            </w:r>
          </w:p>
        </w:tc>
        <w:tc>
          <w:tcPr>
            <w:tcW w:w="1881" w:type="dxa"/>
          </w:tcPr>
          <w:p w14:paraId="7A7ACC61" w14:textId="7EE74DF9" w:rsidR="007B0741" w:rsidRPr="005419F1" w:rsidRDefault="007B0741" w:rsidP="00C24C8D">
            <w:pPr>
              <w:pStyle w:val="NoSpacing"/>
              <w:spacing w:line="360" w:lineRule="auto"/>
              <w:jc w:val="both"/>
            </w:pPr>
            <w:r w:rsidRPr="005419F1">
              <w:t>Multifactorial interventions</w:t>
            </w:r>
          </w:p>
        </w:tc>
        <w:tc>
          <w:tcPr>
            <w:tcW w:w="2391" w:type="dxa"/>
          </w:tcPr>
          <w:p w14:paraId="53FFA8E3" w14:textId="538A761B" w:rsidR="007B0741" w:rsidRPr="005419F1" w:rsidRDefault="005419F1" w:rsidP="00C24C8D">
            <w:pPr>
              <w:pStyle w:val="NoSpacing"/>
              <w:spacing w:line="360" w:lineRule="auto"/>
              <w:jc w:val="both"/>
            </w:pPr>
            <w:r w:rsidRPr="005419F1">
              <w:t>Falls incidence</w:t>
            </w:r>
          </w:p>
        </w:tc>
      </w:tr>
      <w:tr w:rsidR="005419F1" w14:paraId="5B13F77B" w14:textId="77777777" w:rsidTr="00F43B46">
        <w:trPr>
          <w:trHeight w:val="587"/>
        </w:trPr>
        <w:tc>
          <w:tcPr>
            <w:tcW w:w="1746" w:type="dxa"/>
          </w:tcPr>
          <w:p w14:paraId="7BAAC66F" w14:textId="43F36D31" w:rsidR="007B0741" w:rsidRDefault="007B0741" w:rsidP="00C24C8D">
            <w:pPr>
              <w:pStyle w:val="NoSpacing"/>
              <w:spacing w:line="360" w:lineRule="auto"/>
              <w:jc w:val="both"/>
              <w:rPr>
                <w:rFonts w:ascii="Arial" w:hAnsi="Arial" w:cs="Arial"/>
                <w:b/>
                <w:bCs/>
                <w:sz w:val="22"/>
                <w:szCs w:val="22"/>
              </w:rPr>
            </w:pPr>
            <w:r w:rsidRPr="004B3910">
              <w:t>Chang et al. (2021)</w:t>
            </w:r>
          </w:p>
        </w:tc>
        <w:tc>
          <w:tcPr>
            <w:tcW w:w="1652" w:type="dxa"/>
          </w:tcPr>
          <w:p w14:paraId="618B9206" w14:textId="7BCB452C" w:rsidR="007B0741" w:rsidRPr="005419F1" w:rsidRDefault="007B0741" w:rsidP="00C24C8D">
            <w:pPr>
              <w:pStyle w:val="NoSpacing"/>
              <w:spacing w:line="360" w:lineRule="auto"/>
              <w:jc w:val="both"/>
            </w:pPr>
            <w:r w:rsidRPr="005419F1">
              <w:t>Taiwan</w:t>
            </w:r>
          </w:p>
        </w:tc>
        <w:tc>
          <w:tcPr>
            <w:tcW w:w="1793" w:type="dxa"/>
          </w:tcPr>
          <w:p w14:paraId="426DDA34" w14:textId="16E910D1" w:rsidR="007B0741" w:rsidRPr="005419F1" w:rsidRDefault="007B0741" w:rsidP="00C24C8D">
            <w:pPr>
              <w:pStyle w:val="NoSpacing"/>
              <w:spacing w:line="360" w:lineRule="auto"/>
              <w:jc w:val="both"/>
            </w:pPr>
            <w:r w:rsidRPr="005419F1">
              <w:t>RCT</w:t>
            </w:r>
          </w:p>
        </w:tc>
        <w:tc>
          <w:tcPr>
            <w:tcW w:w="1623" w:type="dxa"/>
          </w:tcPr>
          <w:p w14:paraId="0B58D78F" w14:textId="50F77C47" w:rsidR="007B0741" w:rsidRPr="005419F1" w:rsidRDefault="007B0741" w:rsidP="00C24C8D">
            <w:pPr>
              <w:pStyle w:val="NoSpacing"/>
              <w:spacing w:line="360" w:lineRule="auto"/>
              <w:jc w:val="both"/>
            </w:pPr>
            <w:r w:rsidRPr="005419F1">
              <w:t>Older adults</w:t>
            </w:r>
          </w:p>
        </w:tc>
        <w:tc>
          <w:tcPr>
            <w:tcW w:w="1881" w:type="dxa"/>
          </w:tcPr>
          <w:p w14:paraId="6A52342E" w14:textId="6FEA6DD4" w:rsidR="007B0741" w:rsidRPr="005419F1" w:rsidRDefault="007B0741" w:rsidP="00C24C8D">
            <w:pPr>
              <w:pStyle w:val="NoSpacing"/>
              <w:spacing w:line="360" w:lineRule="auto"/>
              <w:jc w:val="both"/>
            </w:pPr>
            <w:r w:rsidRPr="005419F1">
              <w:t>Tai Chi–based physiotherapy</w:t>
            </w:r>
          </w:p>
        </w:tc>
        <w:tc>
          <w:tcPr>
            <w:tcW w:w="2391" w:type="dxa"/>
          </w:tcPr>
          <w:p w14:paraId="6EA8C17E" w14:textId="0A702AAF" w:rsidR="007B0741" w:rsidRPr="005419F1" w:rsidRDefault="005419F1" w:rsidP="00C24C8D">
            <w:pPr>
              <w:pStyle w:val="NoSpacing"/>
              <w:spacing w:line="360" w:lineRule="auto"/>
              <w:jc w:val="both"/>
            </w:pPr>
            <w:r w:rsidRPr="005419F1">
              <w:t>Balance, confidence</w:t>
            </w:r>
          </w:p>
        </w:tc>
      </w:tr>
      <w:tr w:rsidR="005419F1" w14:paraId="2E3871C2" w14:textId="77777777" w:rsidTr="00F43B46">
        <w:trPr>
          <w:trHeight w:val="898"/>
        </w:trPr>
        <w:tc>
          <w:tcPr>
            <w:tcW w:w="1746" w:type="dxa"/>
          </w:tcPr>
          <w:p w14:paraId="280A1B80" w14:textId="6CB0C804" w:rsidR="007B0741" w:rsidRDefault="007B0741" w:rsidP="00C24C8D">
            <w:pPr>
              <w:pStyle w:val="NoSpacing"/>
              <w:spacing w:line="360" w:lineRule="auto"/>
              <w:jc w:val="both"/>
              <w:rPr>
                <w:rFonts w:ascii="Arial" w:hAnsi="Arial" w:cs="Arial"/>
                <w:b/>
                <w:bCs/>
                <w:sz w:val="22"/>
                <w:szCs w:val="22"/>
              </w:rPr>
            </w:pPr>
            <w:r w:rsidRPr="004B3910">
              <w:t>Johnson et al. (2021)</w:t>
            </w:r>
          </w:p>
        </w:tc>
        <w:tc>
          <w:tcPr>
            <w:tcW w:w="1652" w:type="dxa"/>
          </w:tcPr>
          <w:p w14:paraId="26CDD3F8" w14:textId="4605931F" w:rsidR="007B0741" w:rsidRPr="005419F1" w:rsidRDefault="007B0741" w:rsidP="00C24C8D">
            <w:pPr>
              <w:pStyle w:val="NoSpacing"/>
              <w:spacing w:line="360" w:lineRule="auto"/>
              <w:jc w:val="both"/>
            </w:pPr>
            <w:r w:rsidRPr="005419F1">
              <w:t>UK</w:t>
            </w:r>
          </w:p>
        </w:tc>
        <w:tc>
          <w:tcPr>
            <w:tcW w:w="1793" w:type="dxa"/>
          </w:tcPr>
          <w:p w14:paraId="41499C19" w14:textId="3860DCE3" w:rsidR="007B0741" w:rsidRPr="005419F1" w:rsidRDefault="007B0741" w:rsidP="00C24C8D">
            <w:pPr>
              <w:pStyle w:val="NoSpacing"/>
              <w:spacing w:line="360" w:lineRule="auto"/>
              <w:jc w:val="both"/>
            </w:pPr>
            <w:r w:rsidRPr="005419F1">
              <w:t>Cohort</w:t>
            </w:r>
          </w:p>
        </w:tc>
        <w:tc>
          <w:tcPr>
            <w:tcW w:w="1623" w:type="dxa"/>
          </w:tcPr>
          <w:p w14:paraId="3FF63E1A" w14:textId="5A850E32" w:rsidR="007B0741" w:rsidRPr="005419F1" w:rsidRDefault="007B0741" w:rsidP="00C24C8D">
            <w:pPr>
              <w:pStyle w:val="NoSpacing"/>
              <w:spacing w:line="360" w:lineRule="auto"/>
              <w:jc w:val="both"/>
            </w:pPr>
            <w:r w:rsidRPr="005419F1">
              <w:t>Older adults</w:t>
            </w:r>
          </w:p>
        </w:tc>
        <w:tc>
          <w:tcPr>
            <w:tcW w:w="1881" w:type="dxa"/>
          </w:tcPr>
          <w:p w14:paraId="64B94F2C" w14:textId="19ED272D" w:rsidR="007B0741" w:rsidRPr="005419F1" w:rsidRDefault="007B0741" w:rsidP="00C24C8D">
            <w:pPr>
              <w:pStyle w:val="NoSpacing"/>
              <w:spacing w:line="360" w:lineRule="auto"/>
              <w:jc w:val="both"/>
            </w:pPr>
            <w:r w:rsidRPr="005419F1">
              <w:t>Physiotherapy-led programme</w:t>
            </w:r>
          </w:p>
        </w:tc>
        <w:tc>
          <w:tcPr>
            <w:tcW w:w="2391" w:type="dxa"/>
          </w:tcPr>
          <w:p w14:paraId="341F421F" w14:textId="02F6C3D1" w:rsidR="007B0741" w:rsidRPr="005419F1" w:rsidRDefault="005419F1" w:rsidP="00C24C8D">
            <w:pPr>
              <w:pStyle w:val="NoSpacing"/>
              <w:spacing w:line="360" w:lineRule="auto"/>
              <w:jc w:val="both"/>
            </w:pPr>
            <w:r w:rsidRPr="005419F1">
              <w:t>Mobility, falls</w:t>
            </w:r>
          </w:p>
        </w:tc>
      </w:tr>
      <w:tr w:rsidR="005419F1" w14:paraId="1389907C" w14:textId="77777777" w:rsidTr="00F43B46">
        <w:trPr>
          <w:trHeight w:val="887"/>
        </w:trPr>
        <w:tc>
          <w:tcPr>
            <w:tcW w:w="1746" w:type="dxa"/>
          </w:tcPr>
          <w:p w14:paraId="4670F8CB" w14:textId="54F62BC7" w:rsidR="007B0741" w:rsidRDefault="007B0741" w:rsidP="00C24C8D">
            <w:pPr>
              <w:pStyle w:val="NoSpacing"/>
              <w:spacing w:line="360" w:lineRule="auto"/>
              <w:jc w:val="both"/>
              <w:rPr>
                <w:rFonts w:ascii="Arial" w:hAnsi="Arial" w:cs="Arial"/>
                <w:b/>
                <w:bCs/>
                <w:sz w:val="22"/>
                <w:szCs w:val="22"/>
              </w:rPr>
            </w:pPr>
            <w:r w:rsidRPr="004B3910">
              <w:t>Harrison et al. (2021)</w:t>
            </w:r>
          </w:p>
        </w:tc>
        <w:tc>
          <w:tcPr>
            <w:tcW w:w="1652" w:type="dxa"/>
          </w:tcPr>
          <w:p w14:paraId="77054B00" w14:textId="4E5B430C" w:rsidR="007B0741" w:rsidRPr="005419F1" w:rsidRDefault="007B0741" w:rsidP="00C24C8D">
            <w:pPr>
              <w:pStyle w:val="NoSpacing"/>
              <w:spacing w:line="360" w:lineRule="auto"/>
              <w:jc w:val="both"/>
            </w:pPr>
            <w:r w:rsidRPr="005419F1">
              <w:t>UK</w:t>
            </w:r>
          </w:p>
        </w:tc>
        <w:tc>
          <w:tcPr>
            <w:tcW w:w="1793" w:type="dxa"/>
          </w:tcPr>
          <w:p w14:paraId="211B353D" w14:textId="651AD159" w:rsidR="007B0741" w:rsidRPr="005419F1" w:rsidRDefault="007B0741" w:rsidP="00C24C8D">
            <w:pPr>
              <w:pStyle w:val="NoSpacing"/>
              <w:spacing w:line="360" w:lineRule="auto"/>
              <w:jc w:val="both"/>
            </w:pPr>
            <w:r w:rsidRPr="005419F1">
              <w:t>Qualitative</w:t>
            </w:r>
          </w:p>
        </w:tc>
        <w:tc>
          <w:tcPr>
            <w:tcW w:w="1623" w:type="dxa"/>
          </w:tcPr>
          <w:p w14:paraId="2BD630EA" w14:textId="58DAAC7D" w:rsidR="007B0741" w:rsidRPr="005419F1" w:rsidRDefault="007B0741" w:rsidP="00C24C8D">
            <w:pPr>
              <w:pStyle w:val="NoSpacing"/>
              <w:spacing w:line="360" w:lineRule="auto"/>
              <w:jc w:val="both"/>
            </w:pPr>
            <w:r w:rsidRPr="005419F1">
              <w:t>Older adults</w:t>
            </w:r>
          </w:p>
        </w:tc>
        <w:tc>
          <w:tcPr>
            <w:tcW w:w="1881" w:type="dxa"/>
          </w:tcPr>
          <w:p w14:paraId="531F4CFC" w14:textId="26E564F7" w:rsidR="007B0741" w:rsidRPr="005419F1" w:rsidRDefault="007B0741" w:rsidP="00C24C8D">
            <w:pPr>
              <w:pStyle w:val="NoSpacing"/>
              <w:spacing w:line="360" w:lineRule="auto"/>
              <w:jc w:val="both"/>
            </w:pPr>
            <w:r w:rsidRPr="005419F1">
              <w:t>Falls prevention services</w:t>
            </w:r>
          </w:p>
        </w:tc>
        <w:tc>
          <w:tcPr>
            <w:tcW w:w="2391" w:type="dxa"/>
          </w:tcPr>
          <w:p w14:paraId="72D9406D" w14:textId="21FE5114" w:rsidR="007B0741" w:rsidRPr="005419F1" w:rsidRDefault="005419F1" w:rsidP="00C24C8D">
            <w:pPr>
              <w:pStyle w:val="NoSpacing"/>
              <w:spacing w:line="360" w:lineRule="auto"/>
              <w:jc w:val="both"/>
            </w:pPr>
            <w:r w:rsidRPr="005419F1">
              <w:t>Barriers to participation</w:t>
            </w:r>
          </w:p>
        </w:tc>
      </w:tr>
      <w:tr w:rsidR="005419F1" w14:paraId="56E714E2" w14:textId="77777777" w:rsidTr="00F43B46">
        <w:trPr>
          <w:trHeight w:val="598"/>
        </w:trPr>
        <w:tc>
          <w:tcPr>
            <w:tcW w:w="1746" w:type="dxa"/>
          </w:tcPr>
          <w:p w14:paraId="1F789454" w14:textId="02FA418C" w:rsidR="007B0741" w:rsidRDefault="007B0741" w:rsidP="00C24C8D">
            <w:pPr>
              <w:pStyle w:val="NoSpacing"/>
              <w:spacing w:line="360" w:lineRule="auto"/>
              <w:jc w:val="both"/>
              <w:rPr>
                <w:rFonts w:ascii="Arial" w:hAnsi="Arial" w:cs="Arial"/>
                <w:b/>
                <w:bCs/>
                <w:sz w:val="22"/>
                <w:szCs w:val="22"/>
              </w:rPr>
            </w:pPr>
            <w:r w:rsidRPr="004B3910">
              <w:t>Clark et al. (2020)</w:t>
            </w:r>
          </w:p>
        </w:tc>
        <w:tc>
          <w:tcPr>
            <w:tcW w:w="1652" w:type="dxa"/>
          </w:tcPr>
          <w:p w14:paraId="6FDF2597" w14:textId="00B60D5B" w:rsidR="007B0741" w:rsidRPr="005419F1" w:rsidRDefault="007B0741" w:rsidP="00C24C8D">
            <w:pPr>
              <w:pStyle w:val="NoSpacing"/>
              <w:spacing w:line="360" w:lineRule="auto"/>
              <w:jc w:val="both"/>
            </w:pPr>
            <w:r w:rsidRPr="005419F1">
              <w:t>UK</w:t>
            </w:r>
          </w:p>
        </w:tc>
        <w:tc>
          <w:tcPr>
            <w:tcW w:w="1793" w:type="dxa"/>
          </w:tcPr>
          <w:p w14:paraId="5EB21235" w14:textId="6DD3880A" w:rsidR="007B0741" w:rsidRPr="005419F1" w:rsidRDefault="007B0741" w:rsidP="00C24C8D">
            <w:pPr>
              <w:pStyle w:val="NoSpacing"/>
              <w:spacing w:line="360" w:lineRule="auto"/>
              <w:jc w:val="both"/>
            </w:pPr>
            <w:r w:rsidRPr="005419F1">
              <w:t>Qualitative</w:t>
            </w:r>
          </w:p>
        </w:tc>
        <w:tc>
          <w:tcPr>
            <w:tcW w:w="1623" w:type="dxa"/>
          </w:tcPr>
          <w:p w14:paraId="70715AEF" w14:textId="439E16F8" w:rsidR="007B0741" w:rsidRPr="005419F1" w:rsidRDefault="007B0741" w:rsidP="00C24C8D">
            <w:pPr>
              <w:pStyle w:val="NoSpacing"/>
              <w:spacing w:line="360" w:lineRule="auto"/>
              <w:jc w:val="both"/>
            </w:pPr>
            <w:r w:rsidRPr="005419F1">
              <w:t>Older adults</w:t>
            </w:r>
          </w:p>
        </w:tc>
        <w:tc>
          <w:tcPr>
            <w:tcW w:w="1881" w:type="dxa"/>
          </w:tcPr>
          <w:p w14:paraId="47BA814E" w14:textId="3051475D" w:rsidR="007B0741" w:rsidRPr="005419F1" w:rsidRDefault="007B0741" w:rsidP="00C24C8D">
            <w:pPr>
              <w:pStyle w:val="NoSpacing"/>
              <w:spacing w:line="360" w:lineRule="auto"/>
              <w:jc w:val="both"/>
            </w:pPr>
            <w:r w:rsidRPr="005419F1">
              <w:t>Community collaboration</w:t>
            </w:r>
          </w:p>
        </w:tc>
        <w:tc>
          <w:tcPr>
            <w:tcW w:w="2391" w:type="dxa"/>
          </w:tcPr>
          <w:p w14:paraId="58FF5830" w14:textId="210FE429" w:rsidR="007B0741" w:rsidRPr="005419F1" w:rsidRDefault="005419F1" w:rsidP="00C24C8D">
            <w:pPr>
              <w:pStyle w:val="NoSpacing"/>
              <w:spacing w:line="360" w:lineRule="auto"/>
              <w:jc w:val="both"/>
            </w:pPr>
            <w:r w:rsidRPr="005419F1">
              <w:t>Engagement</w:t>
            </w:r>
          </w:p>
        </w:tc>
      </w:tr>
      <w:tr w:rsidR="005419F1" w14:paraId="2ECA1829" w14:textId="77777777" w:rsidTr="00F43B46">
        <w:trPr>
          <w:trHeight w:val="598"/>
        </w:trPr>
        <w:tc>
          <w:tcPr>
            <w:tcW w:w="1746" w:type="dxa"/>
          </w:tcPr>
          <w:p w14:paraId="7A190E12" w14:textId="55B13993" w:rsidR="007B0741" w:rsidRDefault="007B0741" w:rsidP="00C24C8D">
            <w:pPr>
              <w:pStyle w:val="NoSpacing"/>
              <w:spacing w:line="360" w:lineRule="auto"/>
              <w:jc w:val="both"/>
              <w:rPr>
                <w:rFonts w:ascii="Arial" w:hAnsi="Arial" w:cs="Arial"/>
                <w:b/>
                <w:bCs/>
                <w:sz w:val="22"/>
                <w:szCs w:val="22"/>
              </w:rPr>
            </w:pPr>
            <w:r w:rsidRPr="004B3910">
              <w:t>Brown &amp; Li (2022)</w:t>
            </w:r>
          </w:p>
        </w:tc>
        <w:tc>
          <w:tcPr>
            <w:tcW w:w="1652" w:type="dxa"/>
          </w:tcPr>
          <w:p w14:paraId="2E3DBEED" w14:textId="06F14195" w:rsidR="007B0741" w:rsidRPr="005419F1" w:rsidRDefault="007B0741" w:rsidP="00C24C8D">
            <w:pPr>
              <w:pStyle w:val="NoSpacing"/>
              <w:spacing w:line="360" w:lineRule="auto"/>
              <w:jc w:val="both"/>
            </w:pPr>
            <w:r w:rsidRPr="005419F1">
              <w:t>UK</w:t>
            </w:r>
          </w:p>
        </w:tc>
        <w:tc>
          <w:tcPr>
            <w:tcW w:w="1793" w:type="dxa"/>
          </w:tcPr>
          <w:p w14:paraId="11D263A4" w14:textId="5A2FE21F" w:rsidR="007B0741" w:rsidRPr="005419F1" w:rsidRDefault="007B0741" w:rsidP="00C24C8D">
            <w:pPr>
              <w:pStyle w:val="NoSpacing"/>
              <w:spacing w:line="360" w:lineRule="auto"/>
              <w:jc w:val="both"/>
            </w:pPr>
            <w:r w:rsidRPr="005419F1">
              <w:t>Qualitative</w:t>
            </w:r>
          </w:p>
        </w:tc>
        <w:tc>
          <w:tcPr>
            <w:tcW w:w="1623" w:type="dxa"/>
          </w:tcPr>
          <w:p w14:paraId="4F454060" w14:textId="59A9F384" w:rsidR="007B0741" w:rsidRPr="005419F1" w:rsidRDefault="007B0741" w:rsidP="00C24C8D">
            <w:pPr>
              <w:pStyle w:val="NoSpacing"/>
              <w:spacing w:line="360" w:lineRule="auto"/>
              <w:jc w:val="both"/>
            </w:pPr>
            <w:r w:rsidRPr="005419F1">
              <w:t>Older adults</w:t>
            </w:r>
          </w:p>
        </w:tc>
        <w:tc>
          <w:tcPr>
            <w:tcW w:w="1881" w:type="dxa"/>
          </w:tcPr>
          <w:p w14:paraId="2EC38CC0" w14:textId="4F4BD06D" w:rsidR="007B0741" w:rsidRPr="005419F1" w:rsidRDefault="007B0741" w:rsidP="00C24C8D">
            <w:pPr>
              <w:pStyle w:val="NoSpacing"/>
              <w:spacing w:line="360" w:lineRule="auto"/>
              <w:jc w:val="both"/>
            </w:pPr>
            <w:r w:rsidRPr="005419F1">
              <w:t>Integrated care</w:t>
            </w:r>
          </w:p>
        </w:tc>
        <w:tc>
          <w:tcPr>
            <w:tcW w:w="2391" w:type="dxa"/>
          </w:tcPr>
          <w:p w14:paraId="1EFB6E7B" w14:textId="04FFB299" w:rsidR="007B0741" w:rsidRPr="005419F1" w:rsidRDefault="005419F1" w:rsidP="00C24C8D">
            <w:pPr>
              <w:pStyle w:val="NoSpacing"/>
              <w:spacing w:line="360" w:lineRule="auto"/>
              <w:jc w:val="both"/>
            </w:pPr>
            <w:r w:rsidRPr="005419F1">
              <w:t>Service experience</w:t>
            </w:r>
          </w:p>
        </w:tc>
      </w:tr>
      <w:tr w:rsidR="005419F1" w14:paraId="21BF39D0" w14:textId="77777777" w:rsidTr="00F43B46">
        <w:trPr>
          <w:trHeight w:val="587"/>
        </w:trPr>
        <w:tc>
          <w:tcPr>
            <w:tcW w:w="1746" w:type="dxa"/>
          </w:tcPr>
          <w:p w14:paraId="1A0DAE92" w14:textId="0AFAB292" w:rsidR="007B0741" w:rsidRDefault="007B0741" w:rsidP="00C24C8D">
            <w:pPr>
              <w:pStyle w:val="NoSpacing"/>
              <w:spacing w:line="360" w:lineRule="auto"/>
              <w:jc w:val="both"/>
              <w:rPr>
                <w:rFonts w:ascii="Arial" w:hAnsi="Arial" w:cs="Arial"/>
                <w:b/>
                <w:bCs/>
                <w:sz w:val="22"/>
                <w:szCs w:val="22"/>
              </w:rPr>
            </w:pPr>
            <w:r w:rsidRPr="004B3910">
              <w:t>Davies</w:t>
            </w:r>
            <w:r>
              <w:t xml:space="preserve"> </w:t>
            </w:r>
            <w:r w:rsidRPr="004B3910">
              <w:t>&amp; Patel (2022)</w:t>
            </w:r>
          </w:p>
        </w:tc>
        <w:tc>
          <w:tcPr>
            <w:tcW w:w="1652" w:type="dxa"/>
          </w:tcPr>
          <w:p w14:paraId="19EECA11" w14:textId="3AD4AE86" w:rsidR="007B0741" w:rsidRPr="005419F1" w:rsidRDefault="007B0741" w:rsidP="00C24C8D">
            <w:pPr>
              <w:pStyle w:val="NoSpacing"/>
              <w:spacing w:line="360" w:lineRule="auto"/>
              <w:jc w:val="both"/>
            </w:pPr>
            <w:r w:rsidRPr="005419F1">
              <w:t>UK</w:t>
            </w:r>
          </w:p>
        </w:tc>
        <w:tc>
          <w:tcPr>
            <w:tcW w:w="1793" w:type="dxa"/>
          </w:tcPr>
          <w:p w14:paraId="78CABC66" w14:textId="35B53DCF" w:rsidR="007B0741" w:rsidRPr="005419F1" w:rsidRDefault="007B0741" w:rsidP="00C24C8D">
            <w:pPr>
              <w:pStyle w:val="NoSpacing"/>
              <w:spacing w:line="360" w:lineRule="auto"/>
              <w:jc w:val="both"/>
            </w:pPr>
            <w:r w:rsidRPr="005419F1">
              <w:t>Observational</w:t>
            </w:r>
          </w:p>
        </w:tc>
        <w:tc>
          <w:tcPr>
            <w:tcW w:w="1623" w:type="dxa"/>
          </w:tcPr>
          <w:p w14:paraId="14AA872C" w14:textId="5694CA5C" w:rsidR="007B0741" w:rsidRPr="005419F1" w:rsidRDefault="007B0741" w:rsidP="00C24C8D">
            <w:pPr>
              <w:pStyle w:val="NoSpacing"/>
              <w:spacing w:line="360" w:lineRule="auto"/>
              <w:jc w:val="both"/>
            </w:pPr>
            <w:r w:rsidRPr="005419F1">
              <w:t>Older adults</w:t>
            </w:r>
          </w:p>
        </w:tc>
        <w:tc>
          <w:tcPr>
            <w:tcW w:w="1881" w:type="dxa"/>
          </w:tcPr>
          <w:p w14:paraId="6D106F09" w14:textId="2C8CD93B" w:rsidR="007B0741" w:rsidRPr="005419F1" w:rsidRDefault="007B0741" w:rsidP="00C24C8D">
            <w:pPr>
              <w:pStyle w:val="NoSpacing"/>
              <w:spacing w:line="360" w:lineRule="auto"/>
              <w:jc w:val="both"/>
            </w:pPr>
            <w:r w:rsidRPr="005419F1">
              <w:t>Urban services</w:t>
            </w:r>
          </w:p>
        </w:tc>
        <w:tc>
          <w:tcPr>
            <w:tcW w:w="2391" w:type="dxa"/>
          </w:tcPr>
          <w:p w14:paraId="2A80941F" w14:textId="340D30AE" w:rsidR="007B0741" w:rsidRPr="005419F1" w:rsidRDefault="005419F1" w:rsidP="00C24C8D">
            <w:pPr>
              <w:pStyle w:val="NoSpacing"/>
              <w:spacing w:line="360" w:lineRule="auto"/>
              <w:jc w:val="both"/>
            </w:pPr>
            <w:r w:rsidRPr="005419F1">
              <w:t>Inequality indicators</w:t>
            </w:r>
          </w:p>
        </w:tc>
      </w:tr>
      <w:tr w:rsidR="005419F1" w14:paraId="7FBDF212" w14:textId="77777777" w:rsidTr="00F43B46">
        <w:trPr>
          <w:trHeight w:val="598"/>
        </w:trPr>
        <w:tc>
          <w:tcPr>
            <w:tcW w:w="1746" w:type="dxa"/>
          </w:tcPr>
          <w:p w14:paraId="40199E27" w14:textId="4EA14050" w:rsidR="007B0741" w:rsidRDefault="007B0741" w:rsidP="00C24C8D">
            <w:pPr>
              <w:pStyle w:val="NoSpacing"/>
              <w:spacing w:line="360" w:lineRule="auto"/>
              <w:jc w:val="both"/>
              <w:rPr>
                <w:rFonts w:ascii="Arial" w:hAnsi="Arial" w:cs="Arial"/>
                <w:b/>
                <w:bCs/>
                <w:sz w:val="22"/>
                <w:szCs w:val="22"/>
              </w:rPr>
            </w:pPr>
            <w:r w:rsidRPr="009F5D2A">
              <w:t>Marmot et al. (2020)</w:t>
            </w:r>
          </w:p>
        </w:tc>
        <w:tc>
          <w:tcPr>
            <w:tcW w:w="1652" w:type="dxa"/>
          </w:tcPr>
          <w:p w14:paraId="31D523D9" w14:textId="5DECB5DF" w:rsidR="007B0741" w:rsidRPr="005419F1" w:rsidRDefault="007B0741" w:rsidP="00C24C8D">
            <w:pPr>
              <w:pStyle w:val="NoSpacing"/>
              <w:spacing w:line="360" w:lineRule="auto"/>
              <w:jc w:val="both"/>
            </w:pPr>
            <w:r w:rsidRPr="005419F1">
              <w:t>UK</w:t>
            </w:r>
          </w:p>
        </w:tc>
        <w:tc>
          <w:tcPr>
            <w:tcW w:w="1793" w:type="dxa"/>
          </w:tcPr>
          <w:p w14:paraId="58CD01F7" w14:textId="6956824A" w:rsidR="007B0741" w:rsidRPr="005419F1" w:rsidRDefault="007B0741" w:rsidP="00C24C8D">
            <w:pPr>
              <w:pStyle w:val="NoSpacing"/>
              <w:spacing w:line="360" w:lineRule="auto"/>
              <w:jc w:val="both"/>
            </w:pPr>
            <w:r w:rsidRPr="005419F1">
              <w:t>Policy review</w:t>
            </w:r>
          </w:p>
        </w:tc>
        <w:tc>
          <w:tcPr>
            <w:tcW w:w="1623" w:type="dxa"/>
          </w:tcPr>
          <w:p w14:paraId="4BD13B2B" w14:textId="20306D6C" w:rsidR="007B0741" w:rsidRPr="005419F1" w:rsidRDefault="007B0741" w:rsidP="00C24C8D">
            <w:pPr>
              <w:pStyle w:val="NoSpacing"/>
              <w:spacing w:line="360" w:lineRule="auto"/>
              <w:jc w:val="both"/>
            </w:pPr>
            <w:r w:rsidRPr="005419F1">
              <w:t>Older adults</w:t>
            </w:r>
          </w:p>
        </w:tc>
        <w:tc>
          <w:tcPr>
            <w:tcW w:w="1881" w:type="dxa"/>
          </w:tcPr>
          <w:p w14:paraId="34D7C3AD" w14:textId="63F73E58" w:rsidR="007B0741" w:rsidRPr="005419F1" w:rsidRDefault="007B0741" w:rsidP="00C24C8D">
            <w:pPr>
              <w:pStyle w:val="NoSpacing"/>
              <w:spacing w:line="360" w:lineRule="auto"/>
              <w:jc w:val="both"/>
            </w:pPr>
            <w:r w:rsidRPr="005419F1">
              <w:t>Health equity</w:t>
            </w:r>
          </w:p>
        </w:tc>
        <w:tc>
          <w:tcPr>
            <w:tcW w:w="2391" w:type="dxa"/>
          </w:tcPr>
          <w:p w14:paraId="547AA2A2" w14:textId="07C5CAEA" w:rsidR="007B0741" w:rsidRPr="005419F1" w:rsidRDefault="005419F1" w:rsidP="00C24C8D">
            <w:pPr>
              <w:pStyle w:val="NoSpacing"/>
              <w:spacing w:line="360" w:lineRule="auto"/>
              <w:jc w:val="both"/>
            </w:pPr>
            <w:r w:rsidRPr="005419F1">
              <w:t>Social determinants</w:t>
            </w:r>
          </w:p>
        </w:tc>
      </w:tr>
      <w:tr w:rsidR="005419F1" w14:paraId="36BDF1C0" w14:textId="77777777" w:rsidTr="00F43B46">
        <w:trPr>
          <w:trHeight w:val="598"/>
        </w:trPr>
        <w:tc>
          <w:tcPr>
            <w:tcW w:w="1746" w:type="dxa"/>
          </w:tcPr>
          <w:p w14:paraId="34FC98D9" w14:textId="1B2D1C86" w:rsidR="007B0741" w:rsidRDefault="007B0741" w:rsidP="00C24C8D">
            <w:pPr>
              <w:pStyle w:val="NoSpacing"/>
              <w:spacing w:line="360" w:lineRule="auto"/>
              <w:jc w:val="both"/>
              <w:rPr>
                <w:rFonts w:ascii="Arial" w:hAnsi="Arial" w:cs="Arial"/>
                <w:b/>
                <w:bCs/>
                <w:sz w:val="22"/>
                <w:szCs w:val="22"/>
              </w:rPr>
            </w:pPr>
            <w:r w:rsidRPr="009F5D2A">
              <w:t>Sherrington et al. (2020)</w:t>
            </w:r>
          </w:p>
        </w:tc>
        <w:tc>
          <w:tcPr>
            <w:tcW w:w="1652" w:type="dxa"/>
          </w:tcPr>
          <w:p w14:paraId="59807D7E" w14:textId="1ED385C2" w:rsidR="007B0741" w:rsidRPr="005419F1" w:rsidRDefault="007B0741" w:rsidP="00C24C8D">
            <w:pPr>
              <w:pStyle w:val="NoSpacing"/>
              <w:spacing w:line="360" w:lineRule="auto"/>
              <w:jc w:val="both"/>
            </w:pPr>
            <w:r w:rsidRPr="005419F1">
              <w:t>International</w:t>
            </w:r>
          </w:p>
        </w:tc>
        <w:tc>
          <w:tcPr>
            <w:tcW w:w="1793" w:type="dxa"/>
          </w:tcPr>
          <w:p w14:paraId="315B419C" w14:textId="312E89EA" w:rsidR="007B0741" w:rsidRPr="005419F1" w:rsidRDefault="007B0741" w:rsidP="00C24C8D">
            <w:pPr>
              <w:pStyle w:val="NoSpacing"/>
              <w:spacing w:line="360" w:lineRule="auto"/>
              <w:jc w:val="both"/>
            </w:pPr>
            <w:r w:rsidRPr="005419F1">
              <w:t>Systematic review</w:t>
            </w:r>
          </w:p>
        </w:tc>
        <w:tc>
          <w:tcPr>
            <w:tcW w:w="1623" w:type="dxa"/>
          </w:tcPr>
          <w:p w14:paraId="14F0DAA9" w14:textId="1193CA68" w:rsidR="007B0741" w:rsidRPr="005419F1" w:rsidRDefault="007B0741" w:rsidP="00C24C8D">
            <w:pPr>
              <w:pStyle w:val="NoSpacing"/>
              <w:spacing w:line="360" w:lineRule="auto"/>
              <w:jc w:val="both"/>
            </w:pPr>
            <w:r w:rsidRPr="005419F1">
              <w:t>Older adults</w:t>
            </w:r>
          </w:p>
        </w:tc>
        <w:tc>
          <w:tcPr>
            <w:tcW w:w="1881" w:type="dxa"/>
          </w:tcPr>
          <w:p w14:paraId="770148D4" w14:textId="428EEC5F" w:rsidR="007B0741" w:rsidRPr="005419F1" w:rsidRDefault="007B0741" w:rsidP="00C24C8D">
            <w:pPr>
              <w:pStyle w:val="NoSpacing"/>
              <w:spacing w:line="360" w:lineRule="auto"/>
              <w:jc w:val="both"/>
            </w:pPr>
            <w:r w:rsidRPr="005419F1">
              <w:t>Exercise programmes</w:t>
            </w:r>
          </w:p>
        </w:tc>
        <w:tc>
          <w:tcPr>
            <w:tcW w:w="2391" w:type="dxa"/>
          </w:tcPr>
          <w:p w14:paraId="0753D924" w14:textId="1BA97838" w:rsidR="007B0741" w:rsidRPr="005419F1" w:rsidRDefault="007B0741" w:rsidP="00C24C8D">
            <w:pPr>
              <w:pStyle w:val="NoSpacing"/>
              <w:spacing w:line="360" w:lineRule="auto"/>
              <w:jc w:val="both"/>
            </w:pPr>
            <w:r w:rsidRPr="005419F1">
              <w:t>Falls incidence</w:t>
            </w:r>
          </w:p>
        </w:tc>
      </w:tr>
    </w:tbl>
    <w:p w14:paraId="4634DEE9" w14:textId="77777777" w:rsidR="008C083F" w:rsidRDefault="008C083F" w:rsidP="00C24C8D">
      <w:pPr>
        <w:pStyle w:val="NoSpacing"/>
        <w:spacing w:line="360" w:lineRule="auto"/>
        <w:jc w:val="both"/>
        <w:rPr>
          <w:rFonts w:ascii="Arial" w:hAnsi="Arial" w:cs="Arial"/>
          <w:b/>
          <w:bCs/>
          <w:sz w:val="22"/>
          <w:szCs w:val="22"/>
        </w:rPr>
      </w:pPr>
    </w:p>
    <w:p w14:paraId="28B591CF" w14:textId="77777777" w:rsidR="005419F1" w:rsidRDefault="005419F1" w:rsidP="00C24C8D">
      <w:pPr>
        <w:pStyle w:val="NoSpacing"/>
        <w:spacing w:line="360" w:lineRule="auto"/>
        <w:jc w:val="both"/>
        <w:rPr>
          <w:rFonts w:ascii="Arial" w:hAnsi="Arial" w:cs="Arial"/>
          <w:b/>
          <w:bCs/>
          <w:sz w:val="22"/>
          <w:szCs w:val="22"/>
        </w:rPr>
      </w:pPr>
    </w:p>
    <w:p w14:paraId="2DBFD84C" w14:textId="77777777" w:rsidR="005419F1" w:rsidRDefault="005419F1" w:rsidP="00C24C8D">
      <w:pPr>
        <w:pStyle w:val="NoSpacing"/>
        <w:spacing w:line="360" w:lineRule="auto"/>
        <w:jc w:val="both"/>
        <w:rPr>
          <w:rFonts w:ascii="Arial" w:hAnsi="Arial" w:cs="Arial"/>
          <w:b/>
          <w:bCs/>
          <w:sz w:val="22"/>
          <w:szCs w:val="22"/>
        </w:rPr>
      </w:pPr>
    </w:p>
    <w:p w14:paraId="1B68F9B3" w14:textId="77777777" w:rsidR="005419F1" w:rsidRDefault="005419F1" w:rsidP="00C24C8D">
      <w:pPr>
        <w:pStyle w:val="NoSpacing"/>
        <w:spacing w:line="360" w:lineRule="auto"/>
        <w:jc w:val="both"/>
        <w:rPr>
          <w:rFonts w:ascii="Arial" w:hAnsi="Arial" w:cs="Arial"/>
          <w:b/>
          <w:bCs/>
          <w:sz w:val="22"/>
          <w:szCs w:val="22"/>
        </w:rPr>
      </w:pPr>
    </w:p>
    <w:p w14:paraId="4670C1D5" w14:textId="6E41D5B3" w:rsidR="005419F1" w:rsidRPr="007F49A4" w:rsidRDefault="005419F1" w:rsidP="007F49A4">
      <w:pPr>
        <w:pStyle w:val="NoSpacing"/>
        <w:spacing w:line="360" w:lineRule="auto"/>
        <w:jc w:val="both"/>
        <w:rPr>
          <w:rFonts w:ascii="Arial" w:hAnsi="Arial" w:cs="Arial"/>
          <w:b/>
          <w:bCs/>
          <w:sz w:val="28"/>
          <w:szCs w:val="28"/>
        </w:rPr>
      </w:pPr>
      <w:r w:rsidRPr="007F49A4">
        <w:rPr>
          <w:rFonts w:ascii="Arial" w:hAnsi="Arial" w:cs="Arial"/>
          <w:b/>
          <w:bCs/>
          <w:sz w:val="28"/>
          <w:szCs w:val="28"/>
        </w:rPr>
        <w:lastRenderedPageBreak/>
        <w:t>Appendix 4: Thematic Synthesis</w:t>
      </w:r>
    </w:p>
    <w:tbl>
      <w:tblPr>
        <w:tblStyle w:val="TableGrid"/>
        <w:tblW w:w="10065" w:type="dxa"/>
        <w:tblInd w:w="-714" w:type="dxa"/>
        <w:tblLook w:val="04A0" w:firstRow="1" w:lastRow="0" w:firstColumn="1" w:lastColumn="0" w:noHBand="0" w:noVBand="1"/>
      </w:tblPr>
      <w:tblGrid>
        <w:gridCol w:w="3481"/>
        <w:gridCol w:w="3040"/>
        <w:gridCol w:w="3544"/>
      </w:tblGrid>
      <w:tr w:rsidR="005419F1" w14:paraId="4D7F1FD2" w14:textId="77777777" w:rsidTr="005419F1">
        <w:tc>
          <w:tcPr>
            <w:tcW w:w="3481" w:type="dxa"/>
          </w:tcPr>
          <w:p w14:paraId="01074EA6" w14:textId="22B2C68E" w:rsidR="005419F1" w:rsidRPr="005419F1" w:rsidRDefault="005419F1" w:rsidP="00C24C8D">
            <w:pPr>
              <w:pStyle w:val="NoSpacing"/>
              <w:spacing w:line="360" w:lineRule="auto"/>
              <w:jc w:val="both"/>
              <w:rPr>
                <w:b/>
                <w:bCs/>
              </w:rPr>
            </w:pPr>
            <w:r w:rsidRPr="005419F1">
              <w:rPr>
                <w:b/>
                <w:bCs/>
              </w:rPr>
              <w:t>Theme</w:t>
            </w:r>
          </w:p>
        </w:tc>
        <w:tc>
          <w:tcPr>
            <w:tcW w:w="3040" w:type="dxa"/>
          </w:tcPr>
          <w:p w14:paraId="1060F685" w14:textId="76DA098B" w:rsidR="005419F1" w:rsidRPr="005419F1" w:rsidRDefault="005419F1" w:rsidP="00C24C8D">
            <w:pPr>
              <w:pStyle w:val="NoSpacing"/>
              <w:spacing w:line="360" w:lineRule="auto"/>
              <w:jc w:val="both"/>
              <w:rPr>
                <w:b/>
                <w:bCs/>
              </w:rPr>
            </w:pPr>
            <w:r w:rsidRPr="005419F1">
              <w:rPr>
                <w:b/>
                <w:bCs/>
              </w:rPr>
              <w:t>Description</w:t>
            </w:r>
          </w:p>
        </w:tc>
        <w:tc>
          <w:tcPr>
            <w:tcW w:w="3544" w:type="dxa"/>
          </w:tcPr>
          <w:p w14:paraId="72DE1957" w14:textId="0B165978" w:rsidR="005419F1" w:rsidRPr="005419F1" w:rsidRDefault="005419F1" w:rsidP="00C24C8D">
            <w:pPr>
              <w:pStyle w:val="NoSpacing"/>
              <w:spacing w:line="360" w:lineRule="auto"/>
              <w:jc w:val="both"/>
              <w:rPr>
                <w:b/>
                <w:bCs/>
              </w:rPr>
            </w:pPr>
            <w:r w:rsidRPr="005419F1">
              <w:rPr>
                <w:b/>
                <w:bCs/>
              </w:rPr>
              <w:t>Supporting Studies</w:t>
            </w:r>
          </w:p>
        </w:tc>
      </w:tr>
      <w:tr w:rsidR="005419F1" w14:paraId="524F927B" w14:textId="77777777" w:rsidTr="005419F1">
        <w:tc>
          <w:tcPr>
            <w:tcW w:w="3481" w:type="dxa"/>
          </w:tcPr>
          <w:p w14:paraId="20F48B3D" w14:textId="7E8D29EB" w:rsidR="005419F1" w:rsidRDefault="005419F1" w:rsidP="00C24C8D">
            <w:pPr>
              <w:pStyle w:val="NoSpacing"/>
              <w:spacing w:line="360" w:lineRule="auto"/>
              <w:jc w:val="both"/>
            </w:pPr>
            <w:r w:rsidRPr="005419F1">
              <w:t>Improved balance and mobility</w:t>
            </w:r>
          </w:p>
        </w:tc>
        <w:tc>
          <w:tcPr>
            <w:tcW w:w="3040" w:type="dxa"/>
          </w:tcPr>
          <w:p w14:paraId="608E75BB" w14:textId="7460EA8B" w:rsidR="005419F1" w:rsidRDefault="005419F1" w:rsidP="00C24C8D">
            <w:pPr>
              <w:pStyle w:val="NoSpacing"/>
              <w:spacing w:line="360" w:lineRule="auto"/>
              <w:jc w:val="both"/>
            </w:pPr>
            <w:r w:rsidRPr="005419F1">
              <w:t>Physiotherapy-led exercise improved strength and postural control</w:t>
            </w:r>
          </w:p>
        </w:tc>
        <w:tc>
          <w:tcPr>
            <w:tcW w:w="3544" w:type="dxa"/>
          </w:tcPr>
          <w:p w14:paraId="54476737" w14:textId="0D002F01" w:rsidR="005419F1" w:rsidRDefault="005419F1" w:rsidP="00C24C8D">
            <w:pPr>
              <w:pStyle w:val="NoSpacing"/>
              <w:spacing w:line="360" w:lineRule="auto"/>
              <w:jc w:val="both"/>
            </w:pPr>
            <w:r w:rsidRPr="005419F1">
              <w:t>Clemson et al.; Chang et al.; Sherrington et al.</w:t>
            </w:r>
          </w:p>
        </w:tc>
      </w:tr>
      <w:tr w:rsidR="005419F1" w14:paraId="2D706E44" w14:textId="77777777" w:rsidTr="005419F1">
        <w:tc>
          <w:tcPr>
            <w:tcW w:w="3481" w:type="dxa"/>
          </w:tcPr>
          <w:p w14:paraId="51B348EE" w14:textId="354DB84B" w:rsidR="005419F1" w:rsidRDefault="005419F1" w:rsidP="00C24C8D">
            <w:pPr>
              <w:pStyle w:val="NoSpacing"/>
              <w:spacing w:line="360" w:lineRule="auto"/>
              <w:jc w:val="both"/>
            </w:pPr>
            <w:r w:rsidRPr="005419F1">
              <w:t>Reduction in falls and fear of falling</w:t>
            </w:r>
          </w:p>
        </w:tc>
        <w:tc>
          <w:tcPr>
            <w:tcW w:w="3040" w:type="dxa"/>
          </w:tcPr>
          <w:p w14:paraId="6601C0E7" w14:textId="32C05D93" w:rsidR="005419F1" w:rsidRDefault="005419F1" w:rsidP="00C24C8D">
            <w:pPr>
              <w:pStyle w:val="NoSpacing"/>
              <w:spacing w:line="360" w:lineRule="auto"/>
              <w:jc w:val="both"/>
            </w:pPr>
            <w:r w:rsidRPr="005419F1">
              <w:t>Interventions reduced fall risk and increased confidence</w:t>
            </w:r>
          </w:p>
        </w:tc>
        <w:tc>
          <w:tcPr>
            <w:tcW w:w="3544" w:type="dxa"/>
          </w:tcPr>
          <w:p w14:paraId="6C525414" w14:textId="216CEBE2" w:rsidR="005419F1" w:rsidRDefault="005419F1" w:rsidP="00C24C8D">
            <w:pPr>
              <w:pStyle w:val="NoSpacing"/>
              <w:spacing w:line="360" w:lineRule="auto"/>
              <w:jc w:val="both"/>
            </w:pPr>
            <w:r w:rsidRPr="005419F1">
              <w:t>Gillespie et al.; Gardner et al.; Johnson et al.</w:t>
            </w:r>
          </w:p>
        </w:tc>
      </w:tr>
      <w:tr w:rsidR="005419F1" w14:paraId="1546D63E" w14:textId="77777777" w:rsidTr="005419F1">
        <w:tc>
          <w:tcPr>
            <w:tcW w:w="3481" w:type="dxa"/>
          </w:tcPr>
          <w:p w14:paraId="4D42E8DD" w14:textId="1034796D" w:rsidR="005419F1" w:rsidRDefault="005419F1" w:rsidP="00C24C8D">
            <w:pPr>
              <w:pStyle w:val="NoSpacing"/>
              <w:spacing w:line="360" w:lineRule="auto"/>
              <w:jc w:val="both"/>
            </w:pPr>
            <w:r w:rsidRPr="005419F1">
              <w:t>Accessibility of community-based services</w:t>
            </w:r>
          </w:p>
        </w:tc>
        <w:tc>
          <w:tcPr>
            <w:tcW w:w="3040" w:type="dxa"/>
          </w:tcPr>
          <w:p w14:paraId="1AEC4F0A" w14:textId="2BAD2711" w:rsidR="005419F1" w:rsidRDefault="005419F1" w:rsidP="00C24C8D">
            <w:pPr>
              <w:pStyle w:val="NoSpacing"/>
              <w:spacing w:line="360" w:lineRule="auto"/>
              <w:jc w:val="both"/>
            </w:pPr>
            <w:r w:rsidRPr="005419F1">
              <w:t>Local delivery improved uptake and adherence</w:t>
            </w:r>
          </w:p>
        </w:tc>
        <w:tc>
          <w:tcPr>
            <w:tcW w:w="3544" w:type="dxa"/>
          </w:tcPr>
          <w:p w14:paraId="76A0E38F" w14:textId="57F0329D" w:rsidR="005419F1" w:rsidRDefault="005419F1" w:rsidP="00C24C8D">
            <w:pPr>
              <w:pStyle w:val="NoSpacing"/>
              <w:spacing w:line="360" w:lineRule="auto"/>
              <w:jc w:val="both"/>
            </w:pPr>
            <w:r w:rsidRPr="005419F1">
              <w:t>Clark et al.; Davies &amp; Patel</w:t>
            </w:r>
          </w:p>
        </w:tc>
      </w:tr>
      <w:tr w:rsidR="005419F1" w14:paraId="3EC0AA1C" w14:textId="77777777" w:rsidTr="005419F1">
        <w:tc>
          <w:tcPr>
            <w:tcW w:w="3481" w:type="dxa"/>
          </w:tcPr>
          <w:p w14:paraId="5995D493" w14:textId="7F0FA950" w:rsidR="005419F1" w:rsidRDefault="005419F1" w:rsidP="00C24C8D">
            <w:pPr>
              <w:pStyle w:val="NoSpacing"/>
              <w:spacing w:line="360" w:lineRule="auto"/>
              <w:jc w:val="both"/>
            </w:pPr>
            <w:r w:rsidRPr="005419F1">
              <w:t>Behaviour change and adherence</w:t>
            </w:r>
          </w:p>
        </w:tc>
        <w:tc>
          <w:tcPr>
            <w:tcW w:w="3040" w:type="dxa"/>
          </w:tcPr>
          <w:p w14:paraId="6408F340" w14:textId="4083319F" w:rsidR="005419F1" w:rsidRDefault="005419F1" w:rsidP="00C24C8D">
            <w:pPr>
              <w:pStyle w:val="NoSpacing"/>
              <w:spacing w:line="360" w:lineRule="auto"/>
              <w:jc w:val="both"/>
            </w:pPr>
            <w:r w:rsidRPr="005419F1">
              <w:t>Motivation and professional support influenced participation</w:t>
            </w:r>
          </w:p>
        </w:tc>
        <w:tc>
          <w:tcPr>
            <w:tcW w:w="3544" w:type="dxa"/>
          </w:tcPr>
          <w:p w14:paraId="4668D503" w14:textId="0E0B37E5" w:rsidR="005419F1" w:rsidRDefault="005419F1" w:rsidP="00C24C8D">
            <w:pPr>
              <w:pStyle w:val="NoSpacing"/>
              <w:spacing w:line="360" w:lineRule="auto"/>
              <w:jc w:val="both"/>
            </w:pPr>
            <w:r w:rsidRPr="005419F1">
              <w:t>Harrison et al.; Brown &amp; Li</w:t>
            </w:r>
          </w:p>
        </w:tc>
      </w:tr>
      <w:tr w:rsidR="005419F1" w14:paraId="14523693" w14:textId="77777777" w:rsidTr="005419F1">
        <w:tc>
          <w:tcPr>
            <w:tcW w:w="3481" w:type="dxa"/>
          </w:tcPr>
          <w:p w14:paraId="004ABBBC" w14:textId="7D83D821" w:rsidR="005419F1" w:rsidRDefault="005419F1" w:rsidP="00C24C8D">
            <w:pPr>
              <w:pStyle w:val="NoSpacing"/>
              <w:spacing w:line="360" w:lineRule="auto"/>
              <w:jc w:val="both"/>
            </w:pPr>
            <w:r w:rsidRPr="005419F1">
              <w:t>Health equity considerations</w:t>
            </w:r>
          </w:p>
        </w:tc>
        <w:tc>
          <w:tcPr>
            <w:tcW w:w="3040" w:type="dxa"/>
          </w:tcPr>
          <w:p w14:paraId="4E10BA51" w14:textId="5371A8E9" w:rsidR="005419F1" w:rsidRDefault="005419F1" w:rsidP="00C24C8D">
            <w:pPr>
              <w:pStyle w:val="NoSpacing"/>
              <w:spacing w:line="360" w:lineRule="auto"/>
              <w:jc w:val="both"/>
            </w:pPr>
            <w:r w:rsidRPr="005419F1">
              <w:t>Socioeconomic and environmental factors influenced outcomes</w:t>
            </w:r>
          </w:p>
        </w:tc>
        <w:tc>
          <w:tcPr>
            <w:tcW w:w="3544" w:type="dxa"/>
          </w:tcPr>
          <w:p w14:paraId="72C896E8" w14:textId="7BA2FE84" w:rsidR="005419F1" w:rsidRDefault="005419F1" w:rsidP="00C24C8D">
            <w:pPr>
              <w:pStyle w:val="NoSpacing"/>
              <w:spacing w:line="360" w:lineRule="auto"/>
              <w:jc w:val="both"/>
            </w:pPr>
            <w:r w:rsidRPr="005419F1">
              <w:t>Marmot et al.; Davies &amp; Patel</w:t>
            </w:r>
          </w:p>
        </w:tc>
      </w:tr>
    </w:tbl>
    <w:p w14:paraId="2E898E43" w14:textId="77777777" w:rsidR="005419F1" w:rsidRDefault="005419F1" w:rsidP="00C24C8D">
      <w:pPr>
        <w:spacing w:line="360" w:lineRule="auto"/>
        <w:ind w:firstLine="720"/>
        <w:jc w:val="both"/>
      </w:pPr>
    </w:p>
    <w:p w14:paraId="4D9112DB" w14:textId="77777777" w:rsidR="00CF476F" w:rsidRDefault="00CF476F" w:rsidP="00C24C8D">
      <w:pPr>
        <w:spacing w:line="360" w:lineRule="auto"/>
        <w:ind w:firstLine="720"/>
        <w:jc w:val="both"/>
      </w:pPr>
    </w:p>
    <w:p w14:paraId="34207AE1" w14:textId="77777777" w:rsidR="00CF476F" w:rsidRDefault="00CF476F" w:rsidP="00C24C8D">
      <w:pPr>
        <w:spacing w:line="360" w:lineRule="auto"/>
        <w:ind w:firstLine="720"/>
        <w:jc w:val="both"/>
      </w:pPr>
    </w:p>
    <w:p w14:paraId="50708A18" w14:textId="77777777" w:rsidR="00CF476F" w:rsidRDefault="00CF476F" w:rsidP="00C24C8D">
      <w:pPr>
        <w:spacing w:line="360" w:lineRule="auto"/>
        <w:ind w:firstLine="720"/>
        <w:jc w:val="both"/>
      </w:pPr>
    </w:p>
    <w:p w14:paraId="1717AEAC" w14:textId="77777777" w:rsidR="00CF476F" w:rsidRDefault="00CF476F" w:rsidP="00C24C8D">
      <w:pPr>
        <w:spacing w:line="360" w:lineRule="auto"/>
        <w:ind w:firstLine="720"/>
        <w:jc w:val="both"/>
      </w:pPr>
    </w:p>
    <w:p w14:paraId="208D9B3E" w14:textId="77777777" w:rsidR="00CF476F" w:rsidRDefault="00CF476F" w:rsidP="00C24C8D">
      <w:pPr>
        <w:spacing w:line="360" w:lineRule="auto"/>
        <w:ind w:firstLine="720"/>
        <w:jc w:val="both"/>
      </w:pPr>
    </w:p>
    <w:p w14:paraId="79BCEF3C" w14:textId="77777777" w:rsidR="00CF476F" w:rsidRDefault="00CF476F" w:rsidP="00C24C8D">
      <w:pPr>
        <w:spacing w:line="360" w:lineRule="auto"/>
        <w:ind w:firstLine="720"/>
        <w:jc w:val="both"/>
      </w:pPr>
    </w:p>
    <w:p w14:paraId="17B9C810" w14:textId="77777777" w:rsidR="00CF476F" w:rsidRDefault="00CF476F" w:rsidP="00C24C8D">
      <w:pPr>
        <w:spacing w:line="360" w:lineRule="auto"/>
        <w:ind w:firstLine="720"/>
        <w:jc w:val="both"/>
      </w:pPr>
    </w:p>
    <w:p w14:paraId="2E432BE5" w14:textId="77777777" w:rsidR="00CF476F" w:rsidRDefault="00CF476F" w:rsidP="00C24C8D">
      <w:pPr>
        <w:spacing w:line="360" w:lineRule="auto"/>
        <w:ind w:firstLine="720"/>
        <w:jc w:val="both"/>
      </w:pPr>
    </w:p>
    <w:p w14:paraId="75C1781B" w14:textId="77777777" w:rsidR="00CF476F" w:rsidRDefault="00CF476F" w:rsidP="00C24C8D">
      <w:pPr>
        <w:spacing w:line="360" w:lineRule="auto"/>
        <w:ind w:firstLine="720"/>
        <w:jc w:val="both"/>
      </w:pPr>
    </w:p>
    <w:p w14:paraId="72F6185B" w14:textId="77777777" w:rsidR="002D4154" w:rsidRDefault="002D4154" w:rsidP="00C24C8D">
      <w:pPr>
        <w:spacing w:line="360" w:lineRule="auto"/>
        <w:jc w:val="both"/>
      </w:pPr>
    </w:p>
    <w:p w14:paraId="4C7F6EA9" w14:textId="6EB01F19" w:rsidR="0033614A" w:rsidRPr="007F49A4" w:rsidRDefault="0033614A" w:rsidP="007F49A4">
      <w:pPr>
        <w:spacing w:line="360" w:lineRule="auto"/>
        <w:jc w:val="both"/>
        <w:rPr>
          <w:b/>
          <w:bCs/>
          <w:sz w:val="28"/>
          <w:szCs w:val="28"/>
        </w:rPr>
      </w:pPr>
      <w:r w:rsidRPr="007F49A4">
        <w:rPr>
          <w:b/>
          <w:bCs/>
          <w:sz w:val="28"/>
          <w:szCs w:val="28"/>
        </w:rPr>
        <w:lastRenderedPageBreak/>
        <w:t>Appendix 5: List of Abbreviations</w:t>
      </w:r>
    </w:p>
    <w:p w14:paraId="087D479F" w14:textId="2D123ADE" w:rsidR="0033614A" w:rsidRDefault="0033614A" w:rsidP="00C24C8D">
      <w:pPr>
        <w:spacing w:line="360" w:lineRule="auto"/>
        <w:ind w:firstLine="720"/>
        <w:jc w:val="both"/>
      </w:pPr>
      <w:r>
        <w:t>CASP – Critical Appraisal Skills Programme</w:t>
      </w:r>
    </w:p>
    <w:p w14:paraId="1E7087D4" w14:textId="77777777" w:rsidR="0033614A" w:rsidRDefault="0033614A" w:rsidP="00C24C8D">
      <w:pPr>
        <w:spacing w:line="360" w:lineRule="auto"/>
        <w:ind w:firstLine="720"/>
        <w:jc w:val="both"/>
      </w:pPr>
      <w:r>
        <w:t>JBI – Joanna Briggs Institute</w:t>
      </w:r>
    </w:p>
    <w:p w14:paraId="74AAAD8A" w14:textId="1BC3CBFB" w:rsidR="0033614A" w:rsidRDefault="0033614A" w:rsidP="00C24C8D">
      <w:pPr>
        <w:spacing w:line="360" w:lineRule="auto"/>
        <w:ind w:firstLine="720"/>
        <w:jc w:val="both"/>
      </w:pPr>
      <w:r>
        <w:t>LIFE– Lifestyle-integrated Functional Exercise</w:t>
      </w:r>
    </w:p>
    <w:p w14:paraId="4EA3E770" w14:textId="77777777" w:rsidR="0033614A" w:rsidRDefault="0033614A" w:rsidP="00C24C8D">
      <w:pPr>
        <w:spacing w:line="360" w:lineRule="auto"/>
        <w:ind w:firstLine="720"/>
        <w:jc w:val="both"/>
      </w:pPr>
      <w:r>
        <w:t>RCT – Randomised Controlled Trial</w:t>
      </w:r>
    </w:p>
    <w:p w14:paraId="015DE87A" w14:textId="77777777" w:rsidR="0033614A" w:rsidRDefault="0033614A" w:rsidP="00C24C8D">
      <w:pPr>
        <w:spacing w:line="360" w:lineRule="auto"/>
        <w:ind w:firstLine="720"/>
        <w:jc w:val="both"/>
      </w:pPr>
      <w:r>
        <w:t>SWIM – Synthesis Without Meta-analysis</w:t>
      </w:r>
    </w:p>
    <w:p w14:paraId="58F9A590" w14:textId="433FCB0F" w:rsidR="0033614A" w:rsidRPr="0033614A" w:rsidRDefault="0033614A" w:rsidP="00C24C8D">
      <w:pPr>
        <w:spacing w:line="360" w:lineRule="auto"/>
        <w:ind w:firstLine="720"/>
        <w:jc w:val="both"/>
      </w:pPr>
      <w:r>
        <w:t>TUG – Timed Up and Go Test</w:t>
      </w:r>
    </w:p>
    <w:sectPr w:rsidR="0033614A" w:rsidRPr="0033614A" w:rsidSect="003F29DA">
      <w:headerReference w:type="default" r:id="rId51"/>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659C3" w14:textId="77777777" w:rsidR="00807514" w:rsidRDefault="00807514" w:rsidP="003F29DA">
      <w:pPr>
        <w:spacing w:after="0" w:line="240" w:lineRule="auto"/>
      </w:pPr>
      <w:r>
        <w:separator/>
      </w:r>
    </w:p>
  </w:endnote>
  <w:endnote w:type="continuationSeparator" w:id="0">
    <w:p w14:paraId="07C0C42D" w14:textId="77777777" w:rsidR="00807514" w:rsidRDefault="00807514" w:rsidP="003F2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AACD3" w14:textId="77777777" w:rsidR="00807514" w:rsidRDefault="00807514" w:rsidP="003F29DA">
      <w:pPr>
        <w:spacing w:after="0" w:line="240" w:lineRule="auto"/>
      </w:pPr>
      <w:r>
        <w:separator/>
      </w:r>
    </w:p>
  </w:footnote>
  <w:footnote w:type="continuationSeparator" w:id="0">
    <w:p w14:paraId="46019288" w14:textId="77777777" w:rsidR="00807514" w:rsidRDefault="00807514" w:rsidP="003F2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DC550" w14:textId="56EB7705" w:rsidR="003F29DA" w:rsidRPr="003F29DA" w:rsidRDefault="003F29DA" w:rsidP="003F29DA">
    <w:pPr>
      <w:pStyle w:val="Header"/>
      <w:jc w:val="center"/>
      <w:rPr>
        <w:rFonts w:ascii="Arial" w:hAnsi="Arial" w:cs="Arial"/>
        <w:sz w:val="22"/>
        <w:szCs w:val="22"/>
      </w:rPr>
    </w:pPr>
    <w:r w:rsidRPr="003F29DA">
      <w:rPr>
        <w:rFonts w:ascii="Arial" w:hAnsi="Arial" w:cs="Arial"/>
        <w:sz w:val="22"/>
        <w:szCs w:val="22"/>
      </w:rPr>
      <w:t>2424903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64FC4"/>
    <w:multiLevelType w:val="hybridMultilevel"/>
    <w:tmpl w:val="9C4801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B66ECB"/>
    <w:multiLevelType w:val="hybridMultilevel"/>
    <w:tmpl w:val="679683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52F7E5B"/>
    <w:multiLevelType w:val="hybridMultilevel"/>
    <w:tmpl w:val="923210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09379E3"/>
    <w:multiLevelType w:val="hybridMultilevel"/>
    <w:tmpl w:val="7368D5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E473C5D"/>
    <w:multiLevelType w:val="hybridMultilevel"/>
    <w:tmpl w:val="E07691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BAB064D"/>
    <w:multiLevelType w:val="hybridMultilevel"/>
    <w:tmpl w:val="AD8C86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11649F9"/>
    <w:multiLevelType w:val="hybridMultilevel"/>
    <w:tmpl w:val="2E5CE6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9DD11D4"/>
    <w:multiLevelType w:val="hybridMultilevel"/>
    <w:tmpl w:val="3AF05AA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8" w15:restartNumberingAfterBreak="0">
    <w:nsid w:val="419F2867"/>
    <w:multiLevelType w:val="hybridMultilevel"/>
    <w:tmpl w:val="543E3D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87A3FA6"/>
    <w:multiLevelType w:val="hybridMultilevel"/>
    <w:tmpl w:val="F69AF9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3E8085F"/>
    <w:multiLevelType w:val="hybridMultilevel"/>
    <w:tmpl w:val="9DD8E4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7F270C8"/>
    <w:multiLevelType w:val="hybridMultilevel"/>
    <w:tmpl w:val="D576CD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C356A8A"/>
    <w:multiLevelType w:val="hybridMultilevel"/>
    <w:tmpl w:val="F46A09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E0D4248"/>
    <w:multiLevelType w:val="hybridMultilevel"/>
    <w:tmpl w:val="E9C4A4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3723BA1"/>
    <w:multiLevelType w:val="hybridMultilevel"/>
    <w:tmpl w:val="E6CA4F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7D9E59E9"/>
    <w:multiLevelType w:val="hybridMultilevel"/>
    <w:tmpl w:val="26BC49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15280388">
    <w:abstractNumId w:val="5"/>
  </w:num>
  <w:num w:numId="2" w16cid:durableId="678044050">
    <w:abstractNumId w:val="3"/>
  </w:num>
  <w:num w:numId="3" w16cid:durableId="240532941">
    <w:abstractNumId w:val="6"/>
  </w:num>
  <w:num w:numId="4" w16cid:durableId="1109814097">
    <w:abstractNumId w:val="9"/>
  </w:num>
  <w:num w:numId="5" w16cid:durableId="1664047982">
    <w:abstractNumId w:val="8"/>
  </w:num>
  <w:num w:numId="6" w16cid:durableId="1905412630">
    <w:abstractNumId w:val="11"/>
  </w:num>
  <w:num w:numId="7" w16cid:durableId="441997017">
    <w:abstractNumId w:val="2"/>
  </w:num>
  <w:num w:numId="8" w16cid:durableId="2044012045">
    <w:abstractNumId w:val="0"/>
  </w:num>
  <w:num w:numId="9" w16cid:durableId="1855607489">
    <w:abstractNumId w:val="13"/>
  </w:num>
  <w:num w:numId="10" w16cid:durableId="372853287">
    <w:abstractNumId w:val="1"/>
  </w:num>
  <w:num w:numId="11" w16cid:durableId="1724669267">
    <w:abstractNumId w:val="14"/>
  </w:num>
  <w:num w:numId="12" w16cid:durableId="1685748002">
    <w:abstractNumId w:val="10"/>
  </w:num>
  <w:num w:numId="13" w16cid:durableId="636490775">
    <w:abstractNumId w:val="15"/>
  </w:num>
  <w:num w:numId="14" w16cid:durableId="936791684">
    <w:abstractNumId w:val="12"/>
  </w:num>
  <w:num w:numId="15" w16cid:durableId="779955573">
    <w:abstractNumId w:val="4"/>
  </w:num>
  <w:num w:numId="16" w16cid:durableId="11605829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9DA"/>
    <w:rsid w:val="00004346"/>
    <w:rsid w:val="00044903"/>
    <w:rsid w:val="00053DEF"/>
    <w:rsid w:val="00066074"/>
    <w:rsid w:val="00081934"/>
    <w:rsid w:val="000823E2"/>
    <w:rsid w:val="0009203D"/>
    <w:rsid w:val="00096385"/>
    <w:rsid w:val="000A11CE"/>
    <w:rsid w:val="000D29EE"/>
    <w:rsid w:val="000D54D8"/>
    <w:rsid w:val="000E3C90"/>
    <w:rsid w:val="000F5365"/>
    <w:rsid w:val="001170EC"/>
    <w:rsid w:val="00133F27"/>
    <w:rsid w:val="00153F4D"/>
    <w:rsid w:val="0016764D"/>
    <w:rsid w:val="001A0F14"/>
    <w:rsid w:val="001A6608"/>
    <w:rsid w:val="001C31FB"/>
    <w:rsid w:val="001D1041"/>
    <w:rsid w:val="001E0E5C"/>
    <w:rsid w:val="00210A21"/>
    <w:rsid w:val="00212F54"/>
    <w:rsid w:val="00216F31"/>
    <w:rsid w:val="002347C5"/>
    <w:rsid w:val="00264C4C"/>
    <w:rsid w:val="00271515"/>
    <w:rsid w:val="002A4F71"/>
    <w:rsid w:val="002A750B"/>
    <w:rsid w:val="002D1729"/>
    <w:rsid w:val="002D4154"/>
    <w:rsid w:val="002D689D"/>
    <w:rsid w:val="002D79EE"/>
    <w:rsid w:val="002F340F"/>
    <w:rsid w:val="002F690B"/>
    <w:rsid w:val="00330FA7"/>
    <w:rsid w:val="0033614A"/>
    <w:rsid w:val="00340FCB"/>
    <w:rsid w:val="0036382F"/>
    <w:rsid w:val="00375F63"/>
    <w:rsid w:val="00387741"/>
    <w:rsid w:val="003902B9"/>
    <w:rsid w:val="00397282"/>
    <w:rsid w:val="003A6D4C"/>
    <w:rsid w:val="003C29B4"/>
    <w:rsid w:val="003C35EA"/>
    <w:rsid w:val="003C75C6"/>
    <w:rsid w:val="003E053E"/>
    <w:rsid w:val="003F29DA"/>
    <w:rsid w:val="00410B86"/>
    <w:rsid w:val="00415A6A"/>
    <w:rsid w:val="00416A68"/>
    <w:rsid w:val="00421D4D"/>
    <w:rsid w:val="00431862"/>
    <w:rsid w:val="00440F88"/>
    <w:rsid w:val="004523F3"/>
    <w:rsid w:val="004526E3"/>
    <w:rsid w:val="00466E1D"/>
    <w:rsid w:val="004673E9"/>
    <w:rsid w:val="004B3910"/>
    <w:rsid w:val="004C31AD"/>
    <w:rsid w:val="004E3A50"/>
    <w:rsid w:val="004F0C75"/>
    <w:rsid w:val="004F2F7D"/>
    <w:rsid w:val="004F41A2"/>
    <w:rsid w:val="0050299A"/>
    <w:rsid w:val="00516F9C"/>
    <w:rsid w:val="00531B69"/>
    <w:rsid w:val="00535BEE"/>
    <w:rsid w:val="00535F4F"/>
    <w:rsid w:val="005419F1"/>
    <w:rsid w:val="0055616D"/>
    <w:rsid w:val="00560B2C"/>
    <w:rsid w:val="0057719E"/>
    <w:rsid w:val="005D7A42"/>
    <w:rsid w:val="005D7A7A"/>
    <w:rsid w:val="005F51FB"/>
    <w:rsid w:val="0062717A"/>
    <w:rsid w:val="00640A39"/>
    <w:rsid w:val="0064380B"/>
    <w:rsid w:val="00644B45"/>
    <w:rsid w:val="0064571D"/>
    <w:rsid w:val="006608C4"/>
    <w:rsid w:val="00663756"/>
    <w:rsid w:val="00694A13"/>
    <w:rsid w:val="006A227D"/>
    <w:rsid w:val="006B7740"/>
    <w:rsid w:val="006B7C22"/>
    <w:rsid w:val="006C523E"/>
    <w:rsid w:val="006D5FD7"/>
    <w:rsid w:val="006F33E4"/>
    <w:rsid w:val="00706A5F"/>
    <w:rsid w:val="00721C83"/>
    <w:rsid w:val="00725F2B"/>
    <w:rsid w:val="00726C1A"/>
    <w:rsid w:val="00767DC3"/>
    <w:rsid w:val="007726CB"/>
    <w:rsid w:val="007871A5"/>
    <w:rsid w:val="00793926"/>
    <w:rsid w:val="007B0741"/>
    <w:rsid w:val="007B6AB4"/>
    <w:rsid w:val="007F49A4"/>
    <w:rsid w:val="008062F6"/>
    <w:rsid w:val="00807514"/>
    <w:rsid w:val="00817ED8"/>
    <w:rsid w:val="00822F55"/>
    <w:rsid w:val="00867FFD"/>
    <w:rsid w:val="008A5418"/>
    <w:rsid w:val="008C083F"/>
    <w:rsid w:val="008C0C7F"/>
    <w:rsid w:val="008E124D"/>
    <w:rsid w:val="008E3728"/>
    <w:rsid w:val="00911EDD"/>
    <w:rsid w:val="00923676"/>
    <w:rsid w:val="00932D91"/>
    <w:rsid w:val="0093365D"/>
    <w:rsid w:val="00986815"/>
    <w:rsid w:val="00997F91"/>
    <w:rsid w:val="009B4DA6"/>
    <w:rsid w:val="009D224A"/>
    <w:rsid w:val="009D4486"/>
    <w:rsid w:val="009D600F"/>
    <w:rsid w:val="009E5A2A"/>
    <w:rsid w:val="009F5D2A"/>
    <w:rsid w:val="00A10D9D"/>
    <w:rsid w:val="00A473EA"/>
    <w:rsid w:val="00A57846"/>
    <w:rsid w:val="00A61438"/>
    <w:rsid w:val="00A61551"/>
    <w:rsid w:val="00A80686"/>
    <w:rsid w:val="00A83536"/>
    <w:rsid w:val="00A87F5D"/>
    <w:rsid w:val="00AA0044"/>
    <w:rsid w:val="00AB5005"/>
    <w:rsid w:val="00AD76E8"/>
    <w:rsid w:val="00AF36A3"/>
    <w:rsid w:val="00B01B9B"/>
    <w:rsid w:val="00B1013A"/>
    <w:rsid w:val="00B12365"/>
    <w:rsid w:val="00B61FBC"/>
    <w:rsid w:val="00B77F6B"/>
    <w:rsid w:val="00B87638"/>
    <w:rsid w:val="00B87FA6"/>
    <w:rsid w:val="00BA1983"/>
    <w:rsid w:val="00BB2C98"/>
    <w:rsid w:val="00BB3548"/>
    <w:rsid w:val="00BE35F8"/>
    <w:rsid w:val="00BF529C"/>
    <w:rsid w:val="00C24C8D"/>
    <w:rsid w:val="00C25D06"/>
    <w:rsid w:val="00C82247"/>
    <w:rsid w:val="00CA0DBF"/>
    <w:rsid w:val="00CB43DB"/>
    <w:rsid w:val="00CB47F3"/>
    <w:rsid w:val="00CC283E"/>
    <w:rsid w:val="00CF476F"/>
    <w:rsid w:val="00D3531C"/>
    <w:rsid w:val="00D43943"/>
    <w:rsid w:val="00D44748"/>
    <w:rsid w:val="00D50E85"/>
    <w:rsid w:val="00D55EB7"/>
    <w:rsid w:val="00D604B5"/>
    <w:rsid w:val="00D61FFA"/>
    <w:rsid w:val="00D662FC"/>
    <w:rsid w:val="00D86585"/>
    <w:rsid w:val="00D9219E"/>
    <w:rsid w:val="00DC0349"/>
    <w:rsid w:val="00DD6778"/>
    <w:rsid w:val="00DF1BA1"/>
    <w:rsid w:val="00E07B12"/>
    <w:rsid w:val="00E110FB"/>
    <w:rsid w:val="00E16D0C"/>
    <w:rsid w:val="00E26815"/>
    <w:rsid w:val="00E32590"/>
    <w:rsid w:val="00E62759"/>
    <w:rsid w:val="00E81C4A"/>
    <w:rsid w:val="00E83604"/>
    <w:rsid w:val="00EA602F"/>
    <w:rsid w:val="00EB147A"/>
    <w:rsid w:val="00ED1AA3"/>
    <w:rsid w:val="00ED213B"/>
    <w:rsid w:val="00EF02E0"/>
    <w:rsid w:val="00F01AE0"/>
    <w:rsid w:val="00F05A3C"/>
    <w:rsid w:val="00F07385"/>
    <w:rsid w:val="00F21EF2"/>
    <w:rsid w:val="00F25631"/>
    <w:rsid w:val="00F35EC6"/>
    <w:rsid w:val="00F43B46"/>
    <w:rsid w:val="00F92EBD"/>
    <w:rsid w:val="00FB3E8E"/>
    <w:rsid w:val="00FB7761"/>
    <w:rsid w:val="00FC58D3"/>
    <w:rsid w:val="00FF462F"/>
    <w:rsid w:val="00FF74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AA4F9"/>
  <w15:chartTrackingRefBased/>
  <w15:docId w15:val="{AFC0241F-7C64-414D-95EA-D5D3547D0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29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29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29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29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29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29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9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9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9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9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29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29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29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29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29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9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9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9DA"/>
    <w:rPr>
      <w:rFonts w:eastAsiaTheme="majorEastAsia" w:cstheme="majorBidi"/>
      <w:color w:val="272727" w:themeColor="text1" w:themeTint="D8"/>
    </w:rPr>
  </w:style>
  <w:style w:type="paragraph" w:styleId="Title">
    <w:name w:val="Title"/>
    <w:basedOn w:val="Normal"/>
    <w:next w:val="Normal"/>
    <w:link w:val="TitleChar"/>
    <w:uiPriority w:val="10"/>
    <w:qFormat/>
    <w:rsid w:val="003F29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9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9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9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9DA"/>
    <w:pPr>
      <w:spacing w:before="160"/>
      <w:jc w:val="center"/>
    </w:pPr>
    <w:rPr>
      <w:i/>
      <w:iCs/>
      <w:color w:val="404040" w:themeColor="text1" w:themeTint="BF"/>
    </w:rPr>
  </w:style>
  <w:style w:type="character" w:customStyle="1" w:styleId="QuoteChar">
    <w:name w:val="Quote Char"/>
    <w:basedOn w:val="DefaultParagraphFont"/>
    <w:link w:val="Quote"/>
    <w:uiPriority w:val="29"/>
    <w:rsid w:val="003F29DA"/>
    <w:rPr>
      <w:i/>
      <w:iCs/>
      <w:color w:val="404040" w:themeColor="text1" w:themeTint="BF"/>
    </w:rPr>
  </w:style>
  <w:style w:type="paragraph" w:styleId="ListParagraph">
    <w:name w:val="List Paragraph"/>
    <w:basedOn w:val="Normal"/>
    <w:uiPriority w:val="34"/>
    <w:qFormat/>
    <w:rsid w:val="003F29DA"/>
    <w:pPr>
      <w:ind w:left="720"/>
      <w:contextualSpacing/>
    </w:pPr>
  </w:style>
  <w:style w:type="character" w:styleId="IntenseEmphasis">
    <w:name w:val="Intense Emphasis"/>
    <w:basedOn w:val="DefaultParagraphFont"/>
    <w:uiPriority w:val="21"/>
    <w:qFormat/>
    <w:rsid w:val="003F29DA"/>
    <w:rPr>
      <w:i/>
      <w:iCs/>
      <w:color w:val="0F4761" w:themeColor="accent1" w:themeShade="BF"/>
    </w:rPr>
  </w:style>
  <w:style w:type="paragraph" w:styleId="IntenseQuote">
    <w:name w:val="Intense Quote"/>
    <w:basedOn w:val="Normal"/>
    <w:next w:val="Normal"/>
    <w:link w:val="IntenseQuoteChar"/>
    <w:uiPriority w:val="30"/>
    <w:qFormat/>
    <w:rsid w:val="003F29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29DA"/>
    <w:rPr>
      <w:i/>
      <w:iCs/>
      <w:color w:val="0F4761" w:themeColor="accent1" w:themeShade="BF"/>
    </w:rPr>
  </w:style>
  <w:style w:type="character" w:styleId="IntenseReference">
    <w:name w:val="Intense Reference"/>
    <w:basedOn w:val="DefaultParagraphFont"/>
    <w:uiPriority w:val="32"/>
    <w:qFormat/>
    <w:rsid w:val="003F29DA"/>
    <w:rPr>
      <w:b/>
      <w:bCs/>
      <w:smallCaps/>
      <w:color w:val="0F4761" w:themeColor="accent1" w:themeShade="BF"/>
      <w:spacing w:val="5"/>
    </w:rPr>
  </w:style>
  <w:style w:type="paragraph" w:styleId="Header">
    <w:name w:val="header"/>
    <w:basedOn w:val="Normal"/>
    <w:link w:val="HeaderChar"/>
    <w:uiPriority w:val="99"/>
    <w:unhideWhenUsed/>
    <w:rsid w:val="003F2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9DA"/>
  </w:style>
  <w:style w:type="paragraph" w:styleId="Footer">
    <w:name w:val="footer"/>
    <w:basedOn w:val="Normal"/>
    <w:link w:val="FooterChar"/>
    <w:uiPriority w:val="99"/>
    <w:unhideWhenUsed/>
    <w:rsid w:val="003F2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9DA"/>
  </w:style>
  <w:style w:type="paragraph" w:customStyle="1" w:styleId="TableParagraph">
    <w:name w:val="Table Paragraph"/>
    <w:basedOn w:val="Normal"/>
    <w:uiPriority w:val="1"/>
    <w:qFormat/>
    <w:rsid w:val="002D1729"/>
    <w:pPr>
      <w:widowControl w:val="0"/>
      <w:autoSpaceDE w:val="0"/>
      <w:autoSpaceDN w:val="0"/>
      <w:spacing w:before="153" w:after="0" w:line="240" w:lineRule="auto"/>
      <w:ind w:left="40"/>
    </w:pPr>
    <w:rPr>
      <w:rFonts w:ascii="Arial MT" w:eastAsia="Arial MT" w:hAnsi="Arial MT" w:cs="Arial MT"/>
      <w:kern w:val="0"/>
      <w:sz w:val="22"/>
      <w:szCs w:val="22"/>
      <w:lang w:val="en-US"/>
      <w14:ligatures w14:val="none"/>
    </w:rPr>
  </w:style>
  <w:style w:type="paragraph" w:styleId="TOCHeading">
    <w:name w:val="TOC Heading"/>
    <w:basedOn w:val="Heading1"/>
    <w:next w:val="Normal"/>
    <w:uiPriority w:val="39"/>
    <w:unhideWhenUsed/>
    <w:qFormat/>
    <w:rsid w:val="005D7A7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D7A7A"/>
    <w:pPr>
      <w:spacing w:after="100"/>
    </w:pPr>
  </w:style>
  <w:style w:type="paragraph" w:styleId="TOC2">
    <w:name w:val="toc 2"/>
    <w:basedOn w:val="Normal"/>
    <w:next w:val="Normal"/>
    <w:autoRedefine/>
    <w:uiPriority w:val="39"/>
    <w:unhideWhenUsed/>
    <w:rsid w:val="005D7A7A"/>
    <w:pPr>
      <w:spacing w:after="100"/>
      <w:ind w:left="240"/>
    </w:pPr>
  </w:style>
  <w:style w:type="paragraph" w:styleId="TOC3">
    <w:name w:val="toc 3"/>
    <w:basedOn w:val="Normal"/>
    <w:next w:val="Normal"/>
    <w:autoRedefine/>
    <w:uiPriority w:val="39"/>
    <w:unhideWhenUsed/>
    <w:rsid w:val="005D7A7A"/>
    <w:pPr>
      <w:spacing w:after="100"/>
      <w:ind w:left="480"/>
    </w:pPr>
  </w:style>
  <w:style w:type="character" w:styleId="Hyperlink">
    <w:name w:val="Hyperlink"/>
    <w:basedOn w:val="DefaultParagraphFont"/>
    <w:uiPriority w:val="99"/>
    <w:unhideWhenUsed/>
    <w:rsid w:val="005D7A7A"/>
    <w:rPr>
      <w:color w:val="467886" w:themeColor="hyperlink"/>
      <w:u w:val="single"/>
    </w:rPr>
  </w:style>
  <w:style w:type="character" w:styleId="UnresolvedMention">
    <w:name w:val="Unresolved Mention"/>
    <w:basedOn w:val="DefaultParagraphFont"/>
    <w:uiPriority w:val="99"/>
    <w:semiHidden/>
    <w:unhideWhenUsed/>
    <w:rsid w:val="00D604B5"/>
    <w:rPr>
      <w:color w:val="605E5C"/>
      <w:shd w:val="clear" w:color="auto" w:fill="E1DFDD"/>
    </w:rPr>
  </w:style>
  <w:style w:type="character" w:styleId="FollowedHyperlink">
    <w:name w:val="FollowedHyperlink"/>
    <w:basedOn w:val="DefaultParagraphFont"/>
    <w:uiPriority w:val="99"/>
    <w:semiHidden/>
    <w:unhideWhenUsed/>
    <w:rsid w:val="007871A5"/>
    <w:rPr>
      <w:color w:val="96607D" w:themeColor="followedHyperlink"/>
      <w:u w:val="single"/>
    </w:rPr>
  </w:style>
  <w:style w:type="table" w:styleId="TableGrid">
    <w:name w:val="Table Grid"/>
    <w:basedOn w:val="TableNormal"/>
    <w:uiPriority w:val="39"/>
    <w:rsid w:val="004B3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B391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4B391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4B391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4B391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4B391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4B391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4B3910"/>
    <w:pPr>
      <w:spacing w:after="0" w:line="240" w:lineRule="auto"/>
    </w:pPr>
  </w:style>
  <w:style w:type="paragraph" w:styleId="NormalWeb">
    <w:name w:val="Normal (Web)"/>
    <w:basedOn w:val="Normal"/>
    <w:uiPriority w:val="99"/>
    <w:unhideWhenUsed/>
    <w:rsid w:val="0055616D"/>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Emphasis">
    <w:name w:val="Emphasis"/>
    <w:basedOn w:val="DefaultParagraphFont"/>
    <w:uiPriority w:val="20"/>
    <w:qFormat/>
    <w:rsid w:val="0055616D"/>
    <w:rPr>
      <w:i/>
      <w:iCs/>
    </w:rPr>
  </w:style>
  <w:style w:type="paragraph" w:styleId="TOC4">
    <w:name w:val="toc 4"/>
    <w:basedOn w:val="Normal"/>
    <w:next w:val="Normal"/>
    <w:autoRedefine/>
    <w:uiPriority w:val="39"/>
    <w:unhideWhenUsed/>
    <w:rsid w:val="00387741"/>
    <w:pPr>
      <w:spacing w:after="100"/>
      <w:ind w:left="720"/>
    </w:pPr>
    <w:rPr>
      <w:rFonts w:eastAsiaTheme="minorEastAsia"/>
      <w:lang w:eastAsia="en-IN"/>
    </w:rPr>
  </w:style>
  <w:style w:type="paragraph" w:styleId="TOC5">
    <w:name w:val="toc 5"/>
    <w:basedOn w:val="Normal"/>
    <w:next w:val="Normal"/>
    <w:autoRedefine/>
    <w:uiPriority w:val="39"/>
    <w:unhideWhenUsed/>
    <w:rsid w:val="00387741"/>
    <w:pPr>
      <w:spacing w:after="100"/>
      <w:ind w:left="960"/>
    </w:pPr>
    <w:rPr>
      <w:rFonts w:eastAsiaTheme="minorEastAsia"/>
      <w:lang w:eastAsia="en-IN"/>
    </w:rPr>
  </w:style>
  <w:style w:type="paragraph" w:styleId="TOC6">
    <w:name w:val="toc 6"/>
    <w:basedOn w:val="Normal"/>
    <w:next w:val="Normal"/>
    <w:autoRedefine/>
    <w:uiPriority w:val="39"/>
    <w:unhideWhenUsed/>
    <w:rsid w:val="00387741"/>
    <w:pPr>
      <w:spacing w:after="100"/>
      <w:ind w:left="1200"/>
    </w:pPr>
    <w:rPr>
      <w:rFonts w:eastAsiaTheme="minorEastAsia"/>
      <w:lang w:eastAsia="en-IN"/>
    </w:rPr>
  </w:style>
  <w:style w:type="paragraph" w:styleId="TOC7">
    <w:name w:val="toc 7"/>
    <w:basedOn w:val="Normal"/>
    <w:next w:val="Normal"/>
    <w:autoRedefine/>
    <w:uiPriority w:val="39"/>
    <w:unhideWhenUsed/>
    <w:rsid w:val="00387741"/>
    <w:pPr>
      <w:spacing w:after="100"/>
      <w:ind w:left="1440"/>
    </w:pPr>
    <w:rPr>
      <w:rFonts w:eastAsiaTheme="minorEastAsia"/>
      <w:lang w:eastAsia="en-IN"/>
    </w:rPr>
  </w:style>
  <w:style w:type="paragraph" w:styleId="TOC8">
    <w:name w:val="toc 8"/>
    <w:basedOn w:val="Normal"/>
    <w:next w:val="Normal"/>
    <w:autoRedefine/>
    <w:uiPriority w:val="39"/>
    <w:unhideWhenUsed/>
    <w:rsid w:val="00387741"/>
    <w:pPr>
      <w:spacing w:after="100"/>
      <w:ind w:left="1680"/>
    </w:pPr>
    <w:rPr>
      <w:rFonts w:eastAsiaTheme="minorEastAsia"/>
      <w:lang w:eastAsia="en-IN"/>
    </w:rPr>
  </w:style>
  <w:style w:type="paragraph" w:styleId="TOC9">
    <w:name w:val="toc 9"/>
    <w:basedOn w:val="Normal"/>
    <w:next w:val="Normal"/>
    <w:autoRedefine/>
    <w:uiPriority w:val="39"/>
    <w:unhideWhenUsed/>
    <w:rsid w:val="00387741"/>
    <w:pPr>
      <w:spacing w:after="100"/>
      <w:ind w:left="1920"/>
    </w:pPr>
    <w:rPr>
      <w:rFonts w:eastAsiaTheme="minorEastAsia"/>
      <w:lang w:eastAsia="en-IN"/>
    </w:rPr>
  </w:style>
  <w:style w:type="paragraph" w:styleId="Caption">
    <w:name w:val="caption"/>
    <w:basedOn w:val="Normal"/>
    <w:next w:val="Normal"/>
    <w:uiPriority w:val="35"/>
    <w:unhideWhenUsed/>
    <w:qFormat/>
    <w:rsid w:val="00694A1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25D0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7.png"/><Relationship Id="rId26" Type="http://schemas.openxmlformats.org/officeDocument/2006/relationships/hyperlink" Target="https://journals.lww.com/jgpt" TargetMode="External"/><Relationship Id="rId39" Type="http://schemas.openxmlformats.org/officeDocument/2006/relationships/hyperlink" Target="https://www.nice.org.uk/guidance/qs86" TargetMode="External"/><Relationship Id="rId21" Type="http://schemas.openxmlformats.org/officeDocument/2006/relationships/image" Target="media/image10.png"/><Relationship Id="rId34" Type="http://schemas.openxmlformats.org/officeDocument/2006/relationships/hyperlink" Target="https://academic.oup.com/ptj" TargetMode="External"/><Relationship Id="rId42" Type="http://schemas.openxmlformats.org/officeDocument/2006/relationships/hyperlink" Target="https://www.ons.gov.uk" TargetMode="External"/><Relationship Id="rId47" Type="http://schemas.openxmlformats.org/officeDocument/2006/relationships/hyperlink" Target="https://www.who.int/news-room/fact-sheets/detail/falls" TargetMode="External"/><Relationship Id="rId50" Type="http://schemas.openxmlformats.org/officeDocument/2006/relationships/hyperlink" Target="https://www.cochranelibrary.com/cdsr/doi/10.1002/14651858.CD002759.pub2/ful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publicationethics.org" TargetMode="External"/><Relationship Id="rId11" Type="http://schemas.openxmlformats.org/officeDocument/2006/relationships/customXml" Target="ink/ink2.xml"/><Relationship Id="rId24" Type="http://schemas.openxmlformats.org/officeDocument/2006/relationships/hyperlink" Target="https://academic.oup.com/ageing" TargetMode="External"/><Relationship Id="rId32" Type="http://schemas.openxmlformats.org/officeDocument/2006/relationships/hyperlink" Target="https://www.cochranelibrary.com/cdsr/doi/10.1002/14651858.CD007146.pub3/full" TargetMode="External"/><Relationship Id="rId37" Type="http://schemas.openxmlformats.org/officeDocument/2006/relationships/hyperlink" Target="https://www.journals.elsevier.com" TargetMode="External"/><Relationship Id="rId40" Type="http://schemas.openxmlformats.org/officeDocument/2006/relationships/hyperlink" Target="https://www.nice.org.uk/guidance/ng249" TargetMode="External"/><Relationship Id="rId45" Type="http://schemas.openxmlformats.org/officeDocument/2006/relationships/hyperlink" Target="https://www.gov.uk/government/publications/falls-applying-all-our-health"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hyperlink" Target="https://doi.org/10.1136/bjsports-2016-096547" TargetMode="External"/><Relationship Id="rId44" Type="http://schemas.openxmlformats.org/officeDocument/2006/relationships/hyperlink" Target="https://www.prisma-statement.org/prisma-2020-flow-diagram"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4.xml"/><Relationship Id="rId22" Type="http://schemas.openxmlformats.org/officeDocument/2006/relationships/hyperlink" Target="https://jbi.global" TargetMode="External"/><Relationship Id="rId27" Type="http://schemas.openxmlformats.org/officeDocument/2006/relationships/hyperlink" Target="https://www.magonlinelibrary.com" TargetMode="External"/><Relationship Id="rId30" Type="http://schemas.openxmlformats.org/officeDocument/2006/relationships/hyperlink" Target="https://www.sciencedirect.com" TargetMode="External"/><Relationship Id="rId35" Type="http://schemas.openxmlformats.org/officeDocument/2006/relationships/hyperlink" Target="https://www.cochranelibrary.com/cdsr/doi/10.1002/14651858.CD012221.pub2/full" TargetMode="External"/><Relationship Id="rId43" Type="http://schemas.openxmlformats.org/officeDocument/2006/relationships/hyperlink" Target="https://www.ons.gov.uk" TargetMode="External"/><Relationship Id="rId48" Type="http://schemas.openxmlformats.org/officeDocument/2006/relationships/hyperlink" Target="https://www.cochranelibrary.com/cdsr/doi/10.1002/14651858.CD007146.pub3/full" TargetMode="External"/><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yperlink" Target="https://www.tandfonline.com" TargetMode="External"/><Relationship Id="rId33" Type="http://schemas.openxmlformats.org/officeDocument/2006/relationships/hyperlink" Target="https://bmcgeriatr.biomedcentral.com" TargetMode="External"/><Relationship Id="rId38" Type="http://schemas.openxmlformats.org/officeDocument/2006/relationships/hyperlink" Target="https://www.cochranelibrary.com/cdsr/doi/10.1002/14651858.CD002759.pub2/full" TargetMode="External"/><Relationship Id="rId46" Type="http://schemas.openxmlformats.org/officeDocument/2006/relationships/hyperlink" Target="https://www.nhfd.co.uk/files/2019ReportFiles/NHFD_2019_Annual_Report_v101.pdf" TargetMode="External"/><Relationship Id="rId20" Type="http://schemas.openxmlformats.org/officeDocument/2006/relationships/image" Target="media/image9.png"/><Relationship Id="rId41" Type="http://schemas.openxmlformats.org/officeDocument/2006/relationships/hyperlink" Target="https://www.longtermplan.nhs.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academic.oup.com/ageing" TargetMode="External"/><Relationship Id="rId28" Type="http://schemas.openxmlformats.org/officeDocument/2006/relationships/hyperlink" Target="https://www.bmj.com" TargetMode="External"/><Relationship Id="rId36" Type="http://schemas.openxmlformats.org/officeDocument/2006/relationships/hyperlink" Target="https://jbi.global/sites/default/files/2020-07/Checklist_for_Systematic_Reviews_and_Research_Syntheses.pdf" TargetMode="External"/><Relationship Id="rId49" Type="http://schemas.openxmlformats.org/officeDocument/2006/relationships/hyperlink" Target="https://www.cochranelibrary.com/cdsr/doi/10.1002/14651858.CD012221.pub2/full"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A2A850-0F66-4559-8D68-86988E496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77</Pages>
  <Words>23609</Words>
  <Characters>134574</Characters>
  <Application>Microsoft Office Word</Application>
  <DocSecurity>0</DocSecurity>
  <Lines>1121</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Hardik Jadav</dc:creator>
  <cp:keywords/>
  <dc:description/>
  <cp:lastModifiedBy>Hardik Jadav</cp:lastModifiedBy>
  <cp:revision>64</cp:revision>
  <cp:lastPrinted>2026-02-01T22:54:00Z</cp:lastPrinted>
  <dcterms:created xsi:type="dcterms:W3CDTF">2026-01-01T23:00:00Z</dcterms:created>
  <dcterms:modified xsi:type="dcterms:W3CDTF">2026-02-01T22:55:00Z</dcterms:modified>
</cp:coreProperties>
</file>