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5CB282" w14:textId="77777777" w:rsidR="00385FDE" w:rsidRDefault="00014B51">
      <w:pPr>
        <w:spacing w:line="360" w:lineRule="auto"/>
        <w:ind w:hanging="2"/>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7B5CB283" w14:textId="77777777" w:rsidR="00385FDE" w:rsidRDefault="00385FDE">
      <w:pPr>
        <w:spacing w:line="360" w:lineRule="auto"/>
        <w:ind w:hanging="2"/>
        <w:rPr>
          <w:rFonts w:ascii="Times New Roman" w:eastAsia="Times New Roman" w:hAnsi="Times New Roman" w:cs="Times New Roman"/>
          <w:sz w:val="24"/>
          <w:szCs w:val="24"/>
        </w:rPr>
      </w:pPr>
    </w:p>
    <w:p w14:paraId="7B5CB284" w14:textId="77777777" w:rsidR="00385FDE" w:rsidRDefault="00385FDE">
      <w:pPr>
        <w:spacing w:line="360" w:lineRule="auto"/>
        <w:ind w:hanging="2"/>
        <w:rPr>
          <w:rFonts w:ascii="Times New Roman" w:eastAsia="Times New Roman" w:hAnsi="Times New Roman" w:cs="Times New Roman"/>
          <w:sz w:val="24"/>
          <w:szCs w:val="24"/>
        </w:rPr>
      </w:pPr>
    </w:p>
    <w:p w14:paraId="7B5CB285" w14:textId="77777777" w:rsidR="00385FDE" w:rsidRDefault="00385FDE">
      <w:pPr>
        <w:spacing w:line="360" w:lineRule="auto"/>
        <w:ind w:hanging="2"/>
        <w:rPr>
          <w:rFonts w:ascii="Times New Roman" w:eastAsia="Times New Roman" w:hAnsi="Times New Roman" w:cs="Times New Roman"/>
          <w:sz w:val="24"/>
          <w:szCs w:val="24"/>
        </w:rPr>
      </w:pPr>
    </w:p>
    <w:p w14:paraId="7B5CB286" w14:textId="77777777" w:rsidR="00385FDE" w:rsidRDefault="00385FDE">
      <w:pPr>
        <w:spacing w:line="360" w:lineRule="auto"/>
        <w:ind w:hanging="2"/>
        <w:rPr>
          <w:rFonts w:ascii="Times New Roman" w:eastAsia="Times New Roman" w:hAnsi="Times New Roman" w:cs="Times New Roman"/>
          <w:sz w:val="24"/>
          <w:szCs w:val="24"/>
        </w:rPr>
      </w:pPr>
    </w:p>
    <w:p w14:paraId="7B5CB287" w14:textId="77777777" w:rsidR="00385FDE" w:rsidRDefault="00385FDE">
      <w:pPr>
        <w:spacing w:line="360" w:lineRule="auto"/>
        <w:ind w:hanging="2"/>
        <w:rPr>
          <w:rFonts w:ascii="Times New Roman" w:eastAsia="Times New Roman" w:hAnsi="Times New Roman" w:cs="Times New Roman"/>
          <w:sz w:val="24"/>
          <w:szCs w:val="24"/>
        </w:rPr>
      </w:pPr>
    </w:p>
    <w:p w14:paraId="7B5CB288" w14:textId="77777777" w:rsidR="00385FDE" w:rsidRDefault="00385FDE">
      <w:pPr>
        <w:spacing w:line="360" w:lineRule="auto"/>
        <w:ind w:hanging="2"/>
        <w:rPr>
          <w:rFonts w:ascii="Times New Roman" w:eastAsia="Times New Roman" w:hAnsi="Times New Roman" w:cs="Times New Roman"/>
          <w:sz w:val="24"/>
          <w:szCs w:val="24"/>
        </w:rPr>
      </w:pPr>
    </w:p>
    <w:p w14:paraId="7B5CB289" w14:textId="194502DB" w:rsidR="00385FDE" w:rsidRPr="002303FC" w:rsidRDefault="002303FC">
      <w:pPr>
        <w:spacing w:line="360" w:lineRule="auto"/>
        <w:ind w:hanging="2"/>
        <w:jc w:val="center"/>
        <w:rPr>
          <w:rFonts w:ascii="Times New Roman" w:eastAsia="Times New Roman" w:hAnsi="Times New Roman" w:cs="Times New Roman"/>
          <w:b/>
          <w:bCs/>
          <w:sz w:val="24"/>
          <w:szCs w:val="24"/>
        </w:rPr>
      </w:pPr>
      <w:r w:rsidRPr="002303FC">
        <w:rPr>
          <w:rFonts w:ascii="Times New Roman" w:eastAsia="Times New Roman" w:hAnsi="Times New Roman" w:cs="Times New Roman"/>
          <w:b/>
          <w:bCs/>
          <w:sz w:val="24"/>
          <w:szCs w:val="24"/>
        </w:rPr>
        <w:t>Introduction to Health and Social Care</w:t>
      </w:r>
      <w:r>
        <w:rPr>
          <w:rFonts w:ascii="Times New Roman" w:eastAsia="Times New Roman" w:hAnsi="Times New Roman" w:cs="Times New Roman"/>
          <w:b/>
          <w:bCs/>
          <w:sz w:val="24"/>
          <w:szCs w:val="24"/>
        </w:rPr>
        <w:t xml:space="preserve">: </w:t>
      </w:r>
      <w:r w:rsidRPr="002303FC">
        <w:rPr>
          <w:rFonts w:ascii="Times New Roman" w:eastAsia="Times New Roman" w:hAnsi="Times New Roman" w:cs="Times New Roman"/>
          <w:b/>
          <w:bCs/>
          <w:sz w:val="24"/>
          <w:szCs w:val="24"/>
        </w:rPr>
        <w:t>Written Assignment</w:t>
      </w:r>
      <w:r w:rsidRPr="002303FC">
        <w:rPr>
          <w:rFonts w:ascii="Times New Roman" w:eastAsia="Times New Roman" w:hAnsi="Times New Roman" w:cs="Times New Roman"/>
          <w:b/>
          <w:bCs/>
          <w:sz w:val="24"/>
          <w:szCs w:val="24"/>
        </w:rPr>
        <w:br/>
      </w:r>
      <w:r w:rsidR="00901331" w:rsidRPr="00901331">
        <w:rPr>
          <w:rFonts w:ascii="Times New Roman" w:eastAsia="Times New Roman" w:hAnsi="Times New Roman" w:cs="Times New Roman"/>
          <w:sz w:val="24"/>
          <w:szCs w:val="24"/>
        </w:rPr>
        <w:t>Student Number</w:t>
      </w:r>
      <w:r w:rsidR="00901331">
        <w:rPr>
          <w:rFonts w:ascii="Times New Roman" w:eastAsia="Times New Roman" w:hAnsi="Times New Roman" w:cs="Times New Roman"/>
          <w:sz w:val="24"/>
          <w:szCs w:val="24"/>
        </w:rPr>
        <w:t xml:space="preserve">: </w:t>
      </w:r>
      <w:r w:rsidR="00853C0E" w:rsidRPr="00853C0E">
        <w:rPr>
          <w:rFonts w:ascii="Times New Roman" w:eastAsia="Times New Roman" w:hAnsi="Times New Roman" w:cs="Times New Roman"/>
          <w:sz w:val="24"/>
          <w:szCs w:val="24"/>
        </w:rPr>
        <w:t>2442792</w:t>
      </w:r>
    </w:p>
    <w:p w14:paraId="2E9FDE9A" w14:textId="45227CE6" w:rsidR="002303FC" w:rsidRDefault="002303FC">
      <w:pPr>
        <w:spacing w:line="360" w:lineRule="auto"/>
        <w:ind w:hanging="2"/>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Module code: </w:t>
      </w:r>
      <w:r w:rsidRPr="002303FC">
        <w:rPr>
          <w:rFonts w:ascii="Times New Roman" w:eastAsia="Times New Roman" w:hAnsi="Times New Roman" w:cs="Times New Roman"/>
          <w:sz w:val="24"/>
          <w:szCs w:val="24"/>
        </w:rPr>
        <w:t>LCHS4003</w:t>
      </w:r>
    </w:p>
    <w:p w14:paraId="7B5CB28B" w14:textId="46094DC4" w:rsidR="00385FDE" w:rsidRDefault="00014B51">
      <w:pPr>
        <w:spacing w:line="360" w:lineRule="auto"/>
        <w:ind w:hanging="2"/>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Module Leader</w:t>
      </w:r>
      <w:r w:rsidR="002303FC">
        <w:rPr>
          <w:rFonts w:ascii="Times New Roman" w:eastAsia="Times New Roman" w:hAnsi="Times New Roman" w:cs="Times New Roman"/>
          <w:sz w:val="24"/>
          <w:szCs w:val="24"/>
        </w:rPr>
        <w:t>:</w:t>
      </w:r>
      <w:r w:rsidR="00535F13" w:rsidRPr="00535F13">
        <w:t xml:space="preserve"> </w:t>
      </w:r>
      <w:r w:rsidR="00535F13" w:rsidRPr="00535F13">
        <w:rPr>
          <w:rFonts w:ascii="Times New Roman" w:eastAsia="Times New Roman" w:hAnsi="Times New Roman" w:cs="Times New Roman"/>
          <w:sz w:val="24"/>
          <w:szCs w:val="24"/>
        </w:rPr>
        <w:t>Muhammad Aliyu</w:t>
      </w:r>
    </w:p>
    <w:p w14:paraId="7B5CB28D" w14:textId="0391F96A" w:rsidR="00385FDE" w:rsidRDefault="00901331">
      <w:pPr>
        <w:spacing w:line="360" w:lineRule="auto"/>
        <w:ind w:hanging="2"/>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UW</w:t>
      </w:r>
      <w:r w:rsidR="00986FB4">
        <w:rPr>
          <w:rFonts w:ascii="Times New Roman" w:eastAsia="Times New Roman" w:hAnsi="Times New Roman" w:cs="Times New Roman"/>
          <w:sz w:val="24"/>
          <w:szCs w:val="24"/>
        </w:rPr>
        <w:t>TSD</w:t>
      </w:r>
    </w:p>
    <w:p w14:paraId="7B5CB28E" w14:textId="613B514A" w:rsidR="00385FDE" w:rsidRDefault="00901331">
      <w:pPr>
        <w:spacing w:line="360" w:lineRule="auto"/>
        <w:ind w:hanging="2"/>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30 April 2026</w:t>
      </w:r>
    </w:p>
    <w:p w14:paraId="7B5CB28F" w14:textId="77777777" w:rsidR="00385FDE" w:rsidRDefault="00385FDE">
      <w:pPr>
        <w:spacing w:line="360" w:lineRule="auto"/>
        <w:ind w:hanging="2"/>
        <w:rPr>
          <w:rFonts w:ascii="Times New Roman" w:eastAsia="Times New Roman" w:hAnsi="Times New Roman" w:cs="Times New Roman"/>
          <w:sz w:val="24"/>
          <w:szCs w:val="24"/>
        </w:rPr>
      </w:pPr>
    </w:p>
    <w:p w14:paraId="7B5CB290" w14:textId="77777777" w:rsidR="00385FDE" w:rsidRDefault="00385FDE">
      <w:pPr>
        <w:spacing w:line="360" w:lineRule="auto"/>
        <w:ind w:hanging="2"/>
        <w:rPr>
          <w:rFonts w:ascii="Times New Roman" w:eastAsia="Times New Roman" w:hAnsi="Times New Roman" w:cs="Times New Roman"/>
          <w:sz w:val="24"/>
          <w:szCs w:val="24"/>
        </w:rPr>
      </w:pPr>
    </w:p>
    <w:p w14:paraId="7B5CB291" w14:textId="77777777" w:rsidR="00385FDE" w:rsidRDefault="00385FDE">
      <w:pPr>
        <w:spacing w:line="360" w:lineRule="auto"/>
        <w:ind w:hanging="2"/>
        <w:rPr>
          <w:rFonts w:ascii="Times New Roman" w:eastAsia="Times New Roman" w:hAnsi="Times New Roman" w:cs="Times New Roman"/>
          <w:sz w:val="24"/>
          <w:szCs w:val="24"/>
        </w:rPr>
      </w:pPr>
    </w:p>
    <w:p w14:paraId="7B5CB292" w14:textId="77777777" w:rsidR="00385FDE" w:rsidRDefault="00385FDE">
      <w:pPr>
        <w:spacing w:line="360" w:lineRule="auto"/>
        <w:ind w:hanging="2"/>
        <w:rPr>
          <w:rFonts w:ascii="Times New Roman" w:eastAsia="Times New Roman" w:hAnsi="Times New Roman" w:cs="Times New Roman"/>
          <w:sz w:val="24"/>
          <w:szCs w:val="24"/>
        </w:rPr>
      </w:pPr>
    </w:p>
    <w:p w14:paraId="7B5CB293" w14:textId="77777777" w:rsidR="00385FDE" w:rsidRDefault="00385FDE">
      <w:pPr>
        <w:spacing w:line="360" w:lineRule="auto"/>
        <w:ind w:hanging="2"/>
        <w:rPr>
          <w:rFonts w:ascii="Times New Roman" w:eastAsia="Times New Roman" w:hAnsi="Times New Roman" w:cs="Times New Roman"/>
          <w:sz w:val="24"/>
          <w:szCs w:val="24"/>
        </w:rPr>
      </w:pPr>
    </w:p>
    <w:p w14:paraId="7B5CB294" w14:textId="77777777" w:rsidR="00385FDE" w:rsidRDefault="00385FDE">
      <w:pPr>
        <w:spacing w:line="360" w:lineRule="auto"/>
        <w:ind w:firstLine="0"/>
        <w:rPr>
          <w:rFonts w:ascii="Times New Roman" w:eastAsia="Times New Roman" w:hAnsi="Times New Roman" w:cs="Times New Roman"/>
          <w:sz w:val="24"/>
          <w:szCs w:val="24"/>
        </w:rPr>
      </w:pPr>
    </w:p>
    <w:p w14:paraId="7B5CB295" w14:textId="77777777" w:rsidR="00385FDE" w:rsidRDefault="00385FDE">
      <w:pPr>
        <w:ind w:firstLine="0"/>
        <w:jc w:val="both"/>
        <w:rPr>
          <w:rFonts w:ascii="Times New Roman" w:eastAsia="Times New Roman" w:hAnsi="Times New Roman" w:cs="Times New Roman"/>
          <w:b/>
          <w:bCs/>
          <w:sz w:val="24"/>
          <w:szCs w:val="24"/>
        </w:rPr>
      </w:pPr>
    </w:p>
    <w:p w14:paraId="5CD1933D" w14:textId="77777777" w:rsidR="00014B51" w:rsidRDefault="00014B51">
      <w:pPr>
        <w:spacing w:after="0" w:line="480" w:lineRule="auto"/>
        <w:ind w:left="480" w:hanging="48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br w:type="page"/>
      </w:r>
    </w:p>
    <w:p w14:paraId="7B5CB296" w14:textId="6F925B9D" w:rsidR="00385FDE" w:rsidRDefault="00014B51">
      <w:pPr>
        <w:spacing w:after="0" w:line="480" w:lineRule="auto"/>
        <w:ind w:left="480" w:hanging="480"/>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Introduction</w:t>
      </w:r>
    </w:p>
    <w:p w14:paraId="7B5CB297" w14:textId="77777777" w:rsidR="00385FDE" w:rsidRDefault="00014B51">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Good communication, administrative skills and inter-agency partnerships are important aspects of health and social care in the UK. They are critical in the care of at-risk people with complex needs. The experience of Mrs Mann, a 72-year-old woman recovering from hip surgery, illustrates problems in the provision of care including language barriers, poor documentation and an absence of effective communication that led to a delay in changing her medication. Not only can these issues endanger patient safety, b</w:t>
      </w:r>
      <w:r>
        <w:rPr>
          <w:rFonts w:ascii="Times New Roman" w:eastAsia="Times New Roman" w:hAnsi="Times New Roman" w:cs="Times New Roman"/>
          <w:sz w:val="24"/>
          <w:szCs w:val="24"/>
        </w:rPr>
        <w:t>ut also expose the problems associated with integrated care (Anderson et al., 2020). In this paper, the significance of communication, administrative capacity and collaboration in the care of Mrs Mann will be discussed. It will look at the ways in which communication can be adjusted to suit her language barriers, impact of legislation and ways of enhancing multi-agency associations. The discussion will demonstrate how these issues interact to deliver safe, person-centred and lawful care.</w:t>
      </w:r>
    </w:p>
    <w:p w14:paraId="7B5CB298" w14:textId="77777777" w:rsidR="00385FDE" w:rsidRDefault="00014B51">
      <w:pPr>
        <w:spacing w:after="0" w:line="48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Importance of Effective Communication</w:t>
      </w:r>
    </w:p>
    <w:p w14:paraId="7B5CB299" w14:textId="77777777" w:rsidR="00385FDE" w:rsidRDefault="00014B51">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Safety and person-centred care delivery depends on good communication, particularly in cases like those of Mrs Mann where there is a language barrier (Anderson et al., 2020). The consequences of poor communication are already evident as an adjustment in her medication has already been delayed due to poor communication (Redley et al., 2020). One of the essential elements is the customisation of communication to the needs of individuals (Anderson et al., 2020). Mrs Mann is not fluent in English and therefore </w:t>
      </w:r>
      <w:r>
        <w:rPr>
          <w:rFonts w:ascii="Times New Roman" w:eastAsia="Times New Roman" w:hAnsi="Times New Roman" w:cs="Times New Roman"/>
          <w:sz w:val="24"/>
          <w:szCs w:val="24"/>
        </w:rPr>
        <w:t xml:space="preserve">health professionals must consider effective communication strategies which includes the use of professional interpreters, visual aids and plain language. Mrs Mann's daughter is currently interpreting but using family members as interpreters poses risks to confidentiality, accuracy and bias (Soled, 2020). So, it is advisable to use professional interpreters for clarity and ethical reasons. Ideally, the care team should use an </w:t>
      </w:r>
      <w:r>
        <w:rPr>
          <w:rFonts w:ascii="Times New Roman" w:eastAsia="Times New Roman" w:hAnsi="Times New Roman" w:cs="Times New Roman"/>
          <w:sz w:val="24"/>
          <w:szCs w:val="24"/>
        </w:rPr>
        <w:lastRenderedPageBreak/>
        <w:t>interpreter who understands Mrs Mann’s culture to enable them to offer a more nuan</w:t>
      </w:r>
      <w:r>
        <w:rPr>
          <w:rFonts w:ascii="Times New Roman" w:eastAsia="Times New Roman" w:hAnsi="Times New Roman" w:cs="Times New Roman"/>
          <w:sz w:val="24"/>
          <w:szCs w:val="24"/>
        </w:rPr>
        <w:t>ced viewpoint concerning her beliefs and concerns (Soled, 2020).  The Equality Act 2010 is important here, as it obligates health providers to make reasonable adjustments to prevent discrimination on the grounds of protected characteristics, such as race and language (Redley et al., 2020). Lack of appropriate communication support for Mrs Mann might constitute indirect discrimination, because it places her in a disadvantaged position compared to English speakers (Redley et al., 2020).</w:t>
      </w:r>
    </w:p>
    <w:p w14:paraId="7B5CB29A" w14:textId="77777777" w:rsidR="00385FDE" w:rsidRDefault="00014B51">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case can be applied to the Shannon and Weaver Model of Communication (</w:t>
      </w:r>
      <w:proofErr w:type="spellStart"/>
      <w:r>
        <w:rPr>
          <w:rFonts w:ascii="Times New Roman" w:eastAsia="Times New Roman" w:hAnsi="Times New Roman" w:cs="Times New Roman"/>
          <w:sz w:val="24"/>
          <w:szCs w:val="24"/>
        </w:rPr>
        <w:t>Alboksmaty</w:t>
      </w:r>
      <w:proofErr w:type="spellEnd"/>
      <w:r>
        <w:rPr>
          <w:rFonts w:ascii="Times New Roman" w:eastAsia="Times New Roman" w:hAnsi="Times New Roman" w:cs="Times New Roman"/>
          <w:sz w:val="24"/>
          <w:szCs w:val="24"/>
        </w:rPr>
        <w:t xml:space="preserve"> et al., 2026). This highlights the flow of information between source and receiver, as well as the threat of noise disruption (</w:t>
      </w:r>
      <w:proofErr w:type="spellStart"/>
      <w:r>
        <w:rPr>
          <w:rFonts w:ascii="Times New Roman" w:eastAsia="Times New Roman" w:hAnsi="Times New Roman" w:cs="Times New Roman"/>
          <w:sz w:val="24"/>
          <w:szCs w:val="24"/>
        </w:rPr>
        <w:t>Alboksmaty</w:t>
      </w:r>
      <w:proofErr w:type="spellEnd"/>
      <w:r>
        <w:rPr>
          <w:rFonts w:ascii="Times New Roman" w:eastAsia="Times New Roman" w:hAnsi="Times New Roman" w:cs="Times New Roman"/>
          <w:sz w:val="24"/>
          <w:szCs w:val="24"/>
        </w:rPr>
        <w:t xml:space="preserve"> et al., 2026). Language barriers and communication variations in documents are some of the examples of noise in the case of Mrs Mann, and they may cause a break in the communication process. As an example, when the care workers </w:t>
      </w:r>
      <w:proofErr w:type="spellStart"/>
      <w:r>
        <w:rPr>
          <w:rFonts w:ascii="Times New Roman" w:eastAsia="Times New Roman" w:hAnsi="Times New Roman" w:cs="Times New Roman"/>
          <w:sz w:val="24"/>
          <w:szCs w:val="24"/>
        </w:rPr>
        <w:t>misrecord</w:t>
      </w:r>
      <w:proofErr w:type="spellEnd"/>
      <w:r>
        <w:rPr>
          <w:rFonts w:ascii="Times New Roman" w:eastAsia="Times New Roman" w:hAnsi="Times New Roman" w:cs="Times New Roman"/>
          <w:sz w:val="24"/>
          <w:szCs w:val="24"/>
        </w:rPr>
        <w:t xml:space="preserve"> or miscommunicate medication orders, this can result in clinical errors, including the delayed medication change (Stephen et </w:t>
      </w:r>
      <w:r>
        <w:rPr>
          <w:rFonts w:ascii="Times New Roman" w:eastAsia="Times New Roman" w:hAnsi="Times New Roman" w:cs="Times New Roman"/>
          <w:sz w:val="24"/>
          <w:szCs w:val="24"/>
        </w:rPr>
        <w:t>al., 2024). Listening, understanding and cultural awareness also constitute good communication (Anderson et al., 2020). Health-care professionals should be culturally sensitive, particularly when they are attending to individuals of diverse origins (Shamsi et al., 2020). Understanding and accommodating Mrs Mann’s cultural and language needs can build rapport and engagement, both vital to rehabilitation. Practitioners also need to be aware of how to communicate with the patient’s family in a way that does no</w:t>
      </w:r>
      <w:r>
        <w:rPr>
          <w:rFonts w:ascii="Times New Roman" w:eastAsia="Times New Roman" w:hAnsi="Times New Roman" w:cs="Times New Roman"/>
          <w:sz w:val="24"/>
          <w:szCs w:val="24"/>
        </w:rPr>
        <w:t>t breach confidentiality. Mrs Mann's daughter is a supportive family member, but the health care team needs to ensure that communication with her complies with consent and confidentiality principles. This means ensuring that Mrs Mann’s has consented to any form of information sharing between the healthcare team and her family members (Francis, 2020).</w:t>
      </w:r>
    </w:p>
    <w:p w14:paraId="7B5CB29B" w14:textId="77777777" w:rsidR="00385FDE" w:rsidRDefault="00014B51">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In summary, successful communication with Mrs Mann must be systematic, inclusive and legal. Breaking language barriers, adhering to communication models, and legal regulations such as the Equality Act 2010 are all crucial to prevent additional errors and deliver safe care.</w:t>
      </w:r>
    </w:p>
    <w:p w14:paraId="7B5CB29C" w14:textId="77777777" w:rsidR="00385FDE" w:rsidRDefault="00014B51">
      <w:pPr>
        <w:spacing w:after="0" w:line="48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Importance of Administrative Skills </w:t>
      </w:r>
    </w:p>
    <w:p w14:paraId="7B5CB29D" w14:textId="77777777" w:rsidR="00385FDE" w:rsidRDefault="00014B51">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Health and social care rely heavily on administrative skills as a means of ensuring safety of care, responsibility and continuity of care. Good clinical records are also a critical responsibility of the entire practice team in the case of Mrs Mann, especially in providing safe and patient-centred care (Downey, 2024). Nevertheless, the problem of missed communication and improper documentation prove the consequences of a lack of administrative skills. Good documentation implies that the latest and correct in</w:t>
      </w:r>
      <w:r>
        <w:rPr>
          <w:rFonts w:ascii="Times New Roman" w:eastAsia="Times New Roman" w:hAnsi="Times New Roman" w:cs="Times New Roman"/>
          <w:sz w:val="24"/>
          <w:szCs w:val="24"/>
        </w:rPr>
        <w:t>formation is available to all care team members (Taylor, 2019). It is particularly important in multi-disciplinary care, where various professionals exchange information to inform care (Downey, 2024). Inadequate record-keeping may result in medication errors, gaps in care or missed opportunities for intervention (NMC, 2018). This could have a negative impact on her care outcome and even prompt fitness to practice proceedings. The team could benefit from the Data Protection Act 2018, which offers guidance on</w:t>
      </w:r>
      <w:r>
        <w:rPr>
          <w:rFonts w:ascii="Times New Roman" w:eastAsia="Times New Roman" w:hAnsi="Times New Roman" w:cs="Times New Roman"/>
          <w:sz w:val="24"/>
          <w:szCs w:val="24"/>
        </w:rPr>
        <w:t xml:space="preserve"> the collection, storage and sharing of personal information (Spencer and Patel, 2020). Mrs Mann’s health information must be secured and only the relevant information is exchanged among the professionals providing care to her. This Act contains data minimisation, accuracy, and legal processing guidelines, for instance, care records should be current and accurate to avoid errors like having medication being switched too late (Francis, 2020).</w:t>
      </w:r>
    </w:p>
    <w:p w14:paraId="7B5CB29E" w14:textId="77777777" w:rsidR="00385FDE" w:rsidRDefault="00014B51">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Information sharing in health and social care is also regulated by the Caldicott Principles, which highlights the need for information to be shared only when necessary (Dickerson, 2022). In the case of Mrs Mann, the domiciliary care agency, GP and the physiotherapist need to share </w:t>
      </w:r>
      <w:r>
        <w:rPr>
          <w:rFonts w:ascii="Times New Roman" w:eastAsia="Times New Roman" w:hAnsi="Times New Roman" w:cs="Times New Roman"/>
          <w:sz w:val="24"/>
          <w:szCs w:val="24"/>
        </w:rPr>
        <w:lastRenderedPageBreak/>
        <w:t>information, but should be done in a way that does not infringe her privacy. Administrative competence also means clear, legible and timely documentation. The NMC (2018) standards of practice states that documentation should be accurate, consistent and written as timely as possible following care. The failure to keep a consistent record in Mrs Mann suggests that these professional standards were not being realised, and there was a risk of harm. Moreover, policies of organisations, such as the Care Act 2014,</w:t>
      </w:r>
      <w:r>
        <w:rPr>
          <w:rFonts w:ascii="Times New Roman" w:eastAsia="Times New Roman" w:hAnsi="Times New Roman" w:cs="Times New Roman"/>
          <w:sz w:val="24"/>
          <w:szCs w:val="24"/>
        </w:rPr>
        <w:t xml:space="preserve"> stress the importance of safeguarding and accountability in care. Documentation is part of safeguarding as it enables risk assessment and such incidents are investigated and managed (Taylor, 2019). Technology can also aid administrative </w:t>
      </w:r>
      <w:proofErr w:type="gramStart"/>
      <w:r>
        <w:rPr>
          <w:rFonts w:ascii="Times New Roman" w:eastAsia="Times New Roman" w:hAnsi="Times New Roman" w:cs="Times New Roman"/>
          <w:sz w:val="24"/>
          <w:szCs w:val="24"/>
        </w:rPr>
        <w:t>tasks, but</w:t>
      </w:r>
      <w:proofErr w:type="gramEnd"/>
      <w:r>
        <w:rPr>
          <w:rFonts w:ascii="Times New Roman" w:eastAsia="Times New Roman" w:hAnsi="Times New Roman" w:cs="Times New Roman"/>
          <w:sz w:val="24"/>
          <w:szCs w:val="24"/>
        </w:rPr>
        <w:t xml:space="preserve"> must be used properly. Digital medical records may help with enhancing access and reducing mistakes, yet, when used improperly, or when personnel are not trained to use it properly, it can impact care quality (Dickerson, 2022). Generally, the administrative skill</w:t>
      </w:r>
      <w:r>
        <w:rPr>
          <w:rFonts w:ascii="Times New Roman" w:eastAsia="Times New Roman" w:hAnsi="Times New Roman" w:cs="Times New Roman"/>
          <w:sz w:val="24"/>
          <w:szCs w:val="24"/>
        </w:rPr>
        <w:t>s are important in offering effective and safe care to Mrs Mann. The adherence to the legislation, such as the Data Protection Act 2018, professional standards and policies guarantees record keeping, confidentiality, and care delivery without mistakes.</w:t>
      </w:r>
    </w:p>
    <w:p w14:paraId="7B5CB29F" w14:textId="77777777" w:rsidR="00385FDE" w:rsidRDefault="00014B51">
      <w:pPr>
        <w:spacing w:after="0" w:line="48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Importance of Collaborative Working</w:t>
      </w:r>
    </w:p>
    <w:p w14:paraId="7B5CB2A0" w14:textId="77777777" w:rsidR="00385FDE" w:rsidRDefault="00014B51">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Collaboration is a significant aspect of caring for Mrs Mann because </w:t>
      </w:r>
      <w:proofErr w:type="gramStart"/>
      <w:r>
        <w:rPr>
          <w:rFonts w:ascii="Times New Roman" w:eastAsia="Times New Roman" w:hAnsi="Times New Roman" w:cs="Times New Roman"/>
          <w:sz w:val="24"/>
          <w:szCs w:val="24"/>
        </w:rPr>
        <w:t>a number of</w:t>
      </w:r>
      <w:proofErr w:type="gramEnd"/>
      <w:r>
        <w:rPr>
          <w:rFonts w:ascii="Times New Roman" w:eastAsia="Times New Roman" w:hAnsi="Times New Roman" w:cs="Times New Roman"/>
          <w:sz w:val="24"/>
          <w:szCs w:val="24"/>
        </w:rPr>
        <w:t xml:space="preserve"> professionals are involved in her care such as home carers, general practitioner and physiotherapist. Teamwork is necessary to guarantee co-ordinated care, improved outcomes and provision that is devoid of mistakes and harm (</w:t>
      </w:r>
      <w:proofErr w:type="spellStart"/>
      <w:r>
        <w:rPr>
          <w:rFonts w:ascii="Times New Roman" w:eastAsia="Times New Roman" w:hAnsi="Times New Roman" w:cs="Times New Roman"/>
          <w:sz w:val="24"/>
          <w:szCs w:val="24"/>
        </w:rPr>
        <w:t>Sirimsi</w:t>
      </w:r>
      <w:proofErr w:type="spellEnd"/>
      <w:r>
        <w:rPr>
          <w:rFonts w:ascii="Times New Roman" w:eastAsia="Times New Roman" w:hAnsi="Times New Roman" w:cs="Times New Roman"/>
          <w:sz w:val="24"/>
          <w:szCs w:val="24"/>
        </w:rPr>
        <w:t xml:space="preserve"> et al., 2022). One of the most important methods to encourage collaborative working is effective communication (Rosen et al., 2019). Multidisciplinary meetings, care plans and documentation can give an overview of the condition of Mrs Mann and any updates to her care</w:t>
      </w:r>
      <w:r>
        <w:rPr>
          <w:rFonts w:ascii="Times New Roman" w:eastAsia="Times New Roman" w:hAnsi="Times New Roman" w:cs="Times New Roman"/>
          <w:sz w:val="24"/>
          <w:szCs w:val="24"/>
        </w:rPr>
        <w:t xml:space="preserve">. Research has indicated that informal communication between these professionals may facilitate better role understanding and thus form a common interprofessional team instead of a </w:t>
      </w:r>
      <w:r>
        <w:rPr>
          <w:rFonts w:ascii="Times New Roman" w:eastAsia="Times New Roman" w:hAnsi="Times New Roman" w:cs="Times New Roman"/>
          <w:sz w:val="24"/>
          <w:szCs w:val="24"/>
        </w:rPr>
        <w:lastRenderedPageBreak/>
        <w:t xml:space="preserve">profession-based identity, which Mrs Mann is now in need of to have in her rehabilitative process (Dib and </w:t>
      </w:r>
      <w:proofErr w:type="spellStart"/>
      <w:r>
        <w:rPr>
          <w:rFonts w:ascii="Times New Roman" w:eastAsia="Times New Roman" w:hAnsi="Times New Roman" w:cs="Times New Roman"/>
          <w:sz w:val="24"/>
          <w:szCs w:val="24"/>
        </w:rPr>
        <w:t>Belrhiti</w:t>
      </w:r>
      <w:proofErr w:type="spellEnd"/>
      <w:r>
        <w:rPr>
          <w:rFonts w:ascii="Times New Roman" w:eastAsia="Times New Roman" w:hAnsi="Times New Roman" w:cs="Times New Roman"/>
          <w:sz w:val="24"/>
          <w:szCs w:val="24"/>
        </w:rPr>
        <w:t>, 2025). UK integrated care systems foster such collaboration through coordinated service provision across health and social care (NHS England, 2019). A further approach that can be used to support effective collabor</w:t>
      </w:r>
      <w:r>
        <w:rPr>
          <w:rFonts w:ascii="Times New Roman" w:eastAsia="Times New Roman" w:hAnsi="Times New Roman" w:cs="Times New Roman"/>
          <w:sz w:val="24"/>
          <w:szCs w:val="24"/>
        </w:rPr>
        <w:t>ation is role clarity. Defining roles to prevent gaps or overlap in Mrs Mann’s care is essential (Rosen et al., 2019). For instance, a physiotherapist works to rehabilitate, while care workers help clients with daily tasks. This will guarantee effective care, which is co-ordinated.</w:t>
      </w:r>
    </w:p>
    <w:p w14:paraId="7B5CB2A1" w14:textId="77777777" w:rsidR="00385FDE" w:rsidRDefault="00014B51">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Nevertheless, it has been established that multi-agency working may be faced with challenges (</w:t>
      </w:r>
      <w:proofErr w:type="spellStart"/>
      <w:r>
        <w:rPr>
          <w:rFonts w:ascii="Times New Roman" w:eastAsia="Times New Roman" w:hAnsi="Times New Roman" w:cs="Times New Roman"/>
          <w:sz w:val="24"/>
          <w:szCs w:val="24"/>
        </w:rPr>
        <w:t>Sirimsi</w:t>
      </w:r>
      <w:proofErr w:type="spellEnd"/>
      <w:r>
        <w:rPr>
          <w:rFonts w:ascii="Times New Roman" w:eastAsia="Times New Roman" w:hAnsi="Times New Roman" w:cs="Times New Roman"/>
          <w:sz w:val="24"/>
          <w:szCs w:val="24"/>
        </w:rPr>
        <w:t xml:space="preserve"> et al., 2022). Failure with communication such as in the case of Mrs Mann can greatly jeopardise patient safety (</w:t>
      </w:r>
      <w:proofErr w:type="spellStart"/>
      <w:r>
        <w:rPr>
          <w:rFonts w:ascii="Times New Roman" w:eastAsia="Times New Roman" w:hAnsi="Times New Roman" w:cs="Times New Roman"/>
          <w:sz w:val="24"/>
          <w:szCs w:val="24"/>
        </w:rPr>
        <w:t>Sirimsi</w:t>
      </w:r>
      <w:proofErr w:type="spellEnd"/>
      <w:r>
        <w:rPr>
          <w:rFonts w:ascii="Times New Roman" w:eastAsia="Times New Roman" w:hAnsi="Times New Roman" w:cs="Times New Roman"/>
          <w:sz w:val="24"/>
          <w:szCs w:val="24"/>
        </w:rPr>
        <w:t xml:space="preserve"> et al., 2022). Co-operation can be influenced by aspects, such as cultural and time pressures, or lack of integrated systems, which might have been the case (Dib and </w:t>
      </w:r>
      <w:proofErr w:type="spellStart"/>
      <w:r>
        <w:rPr>
          <w:rFonts w:ascii="Times New Roman" w:eastAsia="Times New Roman" w:hAnsi="Times New Roman" w:cs="Times New Roman"/>
          <w:sz w:val="24"/>
          <w:szCs w:val="24"/>
        </w:rPr>
        <w:t>Belrhiti</w:t>
      </w:r>
      <w:proofErr w:type="spellEnd"/>
      <w:r>
        <w:rPr>
          <w:rFonts w:ascii="Times New Roman" w:eastAsia="Times New Roman" w:hAnsi="Times New Roman" w:cs="Times New Roman"/>
          <w:sz w:val="24"/>
          <w:szCs w:val="24"/>
        </w:rPr>
        <w:t>, 2025). To overcome these obstacles, use of standardised communication tools like SBAR (Situation, Background, Assessment, Recommendation) can be encouraged to enable the exchange of information. Interprofess</w:t>
      </w:r>
      <w:r>
        <w:rPr>
          <w:rFonts w:ascii="Times New Roman" w:eastAsia="Times New Roman" w:hAnsi="Times New Roman" w:cs="Times New Roman"/>
          <w:sz w:val="24"/>
          <w:szCs w:val="24"/>
        </w:rPr>
        <w:t xml:space="preserve">ional collaboration and cultural sensitivity education and provision of organisational support can also enhance staff collaboration (Dib and </w:t>
      </w:r>
      <w:proofErr w:type="spellStart"/>
      <w:r>
        <w:rPr>
          <w:rFonts w:ascii="Times New Roman" w:eastAsia="Times New Roman" w:hAnsi="Times New Roman" w:cs="Times New Roman"/>
          <w:sz w:val="24"/>
          <w:szCs w:val="24"/>
        </w:rPr>
        <w:t>Belrhiti</w:t>
      </w:r>
      <w:proofErr w:type="spellEnd"/>
      <w:r>
        <w:rPr>
          <w:rFonts w:ascii="Times New Roman" w:eastAsia="Times New Roman" w:hAnsi="Times New Roman" w:cs="Times New Roman"/>
          <w:sz w:val="24"/>
          <w:szCs w:val="24"/>
        </w:rPr>
        <w:t>, 2025). Moreover, by giving Mrs Mann and her daughter the authority to participate in the care planning, it is possible to encourage person-centred care and coordination. Engaging them in decision-making of care keeps care personalised to their needs and desires (</w:t>
      </w:r>
      <w:proofErr w:type="spellStart"/>
      <w:r>
        <w:rPr>
          <w:rFonts w:ascii="Times New Roman" w:eastAsia="Times New Roman" w:hAnsi="Times New Roman" w:cs="Times New Roman"/>
          <w:sz w:val="24"/>
          <w:szCs w:val="24"/>
        </w:rPr>
        <w:t>Sirimsi</w:t>
      </w:r>
      <w:proofErr w:type="spellEnd"/>
      <w:r>
        <w:rPr>
          <w:rFonts w:ascii="Times New Roman" w:eastAsia="Times New Roman" w:hAnsi="Times New Roman" w:cs="Times New Roman"/>
          <w:sz w:val="24"/>
          <w:szCs w:val="24"/>
        </w:rPr>
        <w:t xml:space="preserve"> et al., 2022). Ultimately, collaboration is facilitated by standardised communication, def</w:t>
      </w:r>
      <w:r>
        <w:rPr>
          <w:rFonts w:ascii="Times New Roman" w:eastAsia="Times New Roman" w:hAnsi="Times New Roman" w:cs="Times New Roman"/>
          <w:sz w:val="24"/>
          <w:szCs w:val="24"/>
        </w:rPr>
        <w:t>ined roles and person-centred care.</w:t>
      </w:r>
    </w:p>
    <w:p w14:paraId="7B5CB2A2" w14:textId="77777777" w:rsidR="00385FDE" w:rsidRDefault="00014B51">
      <w:pPr>
        <w:spacing w:after="0" w:line="48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Conclusion</w:t>
      </w:r>
    </w:p>
    <w:p w14:paraId="7B5CB2A3" w14:textId="77777777" w:rsidR="00385FDE" w:rsidRDefault="00014B51">
      <w:pPr>
        <w:spacing w:after="0"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case study has shown that good communication, excellent administration and collaboration are vital to the delivery of quality health and social care. In this case, poor communication, documentation and sharing of information led to a delay in medication adjustment, which </w:t>
      </w:r>
      <w:r>
        <w:rPr>
          <w:rFonts w:ascii="Times New Roman" w:eastAsia="Times New Roman" w:hAnsi="Times New Roman" w:cs="Times New Roman"/>
          <w:sz w:val="24"/>
          <w:szCs w:val="24"/>
        </w:rPr>
        <w:lastRenderedPageBreak/>
        <w:t>demonstrates the dangers of poor practice. The use of legislation such as the Equality Act 2010 and Data Protection Act 2018 ensures that care is equal, legal and patient rights are upheld. Models of communication and administrative systems also enable safe and effective practice. Finally, inter-professional practice is essential to ensure co-ordinated and integrated care, especially for people with complex needs. In turn, these areas will improve patient safety, patient-centred care and minimise the risk o</w:t>
      </w:r>
      <w:r>
        <w:rPr>
          <w:rFonts w:ascii="Times New Roman" w:eastAsia="Times New Roman" w:hAnsi="Times New Roman" w:cs="Times New Roman"/>
          <w:sz w:val="24"/>
          <w:szCs w:val="24"/>
        </w:rPr>
        <w:t xml:space="preserve">f error. It is therefore important to address the shortcomings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enhance performance and the professionalism in health and social care practice.</w:t>
      </w:r>
    </w:p>
    <w:p w14:paraId="7B5CB2A4" w14:textId="77777777" w:rsidR="00385FDE" w:rsidRDefault="00385FDE">
      <w:pPr>
        <w:spacing w:after="0" w:line="480" w:lineRule="auto"/>
        <w:jc w:val="both"/>
        <w:rPr>
          <w:rFonts w:ascii="Times New Roman" w:eastAsia="Times New Roman" w:hAnsi="Times New Roman" w:cs="Times New Roman"/>
          <w:sz w:val="24"/>
          <w:szCs w:val="24"/>
        </w:rPr>
      </w:pPr>
    </w:p>
    <w:p w14:paraId="7B5CB2A5" w14:textId="77777777" w:rsidR="00385FDE" w:rsidRDefault="00385FDE">
      <w:pPr>
        <w:spacing w:after="0" w:line="480" w:lineRule="auto"/>
        <w:jc w:val="both"/>
        <w:rPr>
          <w:rFonts w:ascii="Times New Roman" w:eastAsia="Times New Roman" w:hAnsi="Times New Roman" w:cs="Times New Roman"/>
          <w:sz w:val="24"/>
          <w:szCs w:val="24"/>
        </w:rPr>
      </w:pPr>
    </w:p>
    <w:p w14:paraId="7B5CB2A6" w14:textId="77777777" w:rsidR="00385FDE" w:rsidRDefault="00385FDE">
      <w:pPr>
        <w:spacing w:after="0" w:line="480" w:lineRule="auto"/>
        <w:jc w:val="both"/>
        <w:rPr>
          <w:rFonts w:ascii="Times New Roman" w:eastAsia="Times New Roman" w:hAnsi="Times New Roman" w:cs="Times New Roman"/>
          <w:sz w:val="24"/>
          <w:szCs w:val="24"/>
        </w:rPr>
      </w:pPr>
    </w:p>
    <w:p w14:paraId="7B5CB2A7" w14:textId="77777777" w:rsidR="00385FDE" w:rsidRDefault="00385FDE">
      <w:pPr>
        <w:spacing w:after="0" w:line="480" w:lineRule="auto"/>
        <w:jc w:val="both"/>
        <w:rPr>
          <w:rFonts w:ascii="Times New Roman" w:eastAsia="Times New Roman" w:hAnsi="Times New Roman" w:cs="Times New Roman"/>
          <w:sz w:val="24"/>
          <w:szCs w:val="24"/>
        </w:rPr>
      </w:pPr>
    </w:p>
    <w:p w14:paraId="7B5CB2A8" w14:textId="77777777" w:rsidR="00385FDE" w:rsidRDefault="00385FDE">
      <w:pPr>
        <w:spacing w:after="0" w:line="480" w:lineRule="auto"/>
        <w:jc w:val="both"/>
        <w:rPr>
          <w:rFonts w:ascii="Times New Roman" w:eastAsia="Times New Roman" w:hAnsi="Times New Roman" w:cs="Times New Roman"/>
          <w:sz w:val="24"/>
          <w:szCs w:val="24"/>
        </w:rPr>
      </w:pPr>
    </w:p>
    <w:p w14:paraId="7B5CB2A9" w14:textId="77777777" w:rsidR="00385FDE" w:rsidRDefault="00385FDE">
      <w:pPr>
        <w:spacing w:after="0" w:line="480" w:lineRule="auto"/>
        <w:jc w:val="both"/>
        <w:rPr>
          <w:rFonts w:ascii="Times New Roman" w:eastAsia="Times New Roman" w:hAnsi="Times New Roman" w:cs="Times New Roman"/>
          <w:sz w:val="24"/>
          <w:szCs w:val="24"/>
        </w:rPr>
      </w:pPr>
    </w:p>
    <w:p w14:paraId="7B5CB2AA" w14:textId="77777777" w:rsidR="00385FDE" w:rsidRDefault="00385FDE">
      <w:pPr>
        <w:spacing w:after="0" w:line="480" w:lineRule="auto"/>
        <w:jc w:val="both"/>
        <w:rPr>
          <w:rFonts w:ascii="Times New Roman" w:eastAsia="Times New Roman" w:hAnsi="Times New Roman" w:cs="Times New Roman"/>
          <w:sz w:val="24"/>
          <w:szCs w:val="24"/>
        </w:rPr>
      </w:pPr>
    </w:p>
    <w:p w14:paraId="7B5CB2AB" w14:textId="77777777" w:rsidR="00385FDE" w:rsidRDefault="00385FDE">
      <w:pPr>
        <w:spacing w:after="0" w:line="480" w:lineRule="auto"/>
        <w:jc w:val="both"/>
        <w:rPr>
          <w:rFonts w:ascii="Times New Roman" w:eastAsia="Times New Roman" w:hAnsi="Times New Roman" w:cs="Times New Roman"/>
          <w:sz w:val="24"/>
          <w:szCs w:val="24"/>
        </w:rPr>
      </w:pPr>
    </w:p>
    <w:p w14:paraId="7B5CB2AC" w14:textId="77777777" w:rsidR="00385FDE" w:rsidRDefault="00385FDE">
      <w:pPr>
        <w:spacing w:after="0" w:line="480" w:lineRule="auto"/>
        <w:jc w:val="both"/>
        <w:rPr>
          <w:rFonts w:ascii="Times New Roman" w:eastAsia="Times New Roman" w:hAnsi="Times New Roman" w:cs="Times New Roman"/>
          <w:sz w:val="24"/>
          <w:szCs w:val="24"/>
        </w:rPr>
      </w:pPr>
    </w:p>
    <w:p w14:paraId="7B5CB2AD" w14:textId="77777777" w:rsidR="00385FDE" w:rsidRDefault="00385FDE">
      <w:pPr>
        <w:spacing w:after="0" w:line="480" w:lineRule="auto"/>
        <w:jc w:val="both"/>
        <w:rPr>
          <w:rFonts w:ascii="Times New Roman" w:eastAsia="Times New Roman" w:hAnsi="Times New Roman" w:cs="Times New Roman"/>
          <w:sz w:val="24"/>
          <w:szCs w:val="24"/>
        </w:rPr>
      </w:pPr>
    </w:p>
    <w:p w14:paraId="7B5CB2AE" w14:textId="77777777" w:rsidR="00385FDE" w:rsidRDefault="00385FDE">
      <w:pPr>
        <w:spacing w:after="0" w:line="480" w:lineRule="auto"/>
        <w:jc w:val="both"/>
        <w:rPr>
          <w:rFonts w:ascii="Times New Roman" w:eastAsia="Times New Roman" w:hAnsi="Times New Roman" w:cs="Times New Roman"/>
          <w:sz w:val="24"/>
          <w:szCs w:val="24"/>
        </w:rPr>
      </w:pPr>
    </w:p>
    <w:p w14:paraId="7B5CB2AF" w14:textId="77777777" w:rsidR="00385FDE" w:rsidRDefault="00385FDE">
      <w:pPr>
        <w:spacing w:after="0" w:line="480" w:lineRule="auto"/>
        <w:jc w:val="both"/>
        <w:rPr>
          <w:rFonts w:ascii="Times New Roman" w:eastAsia="Times New Roman" w:hAnsi="Times New Roman" w:cs="Times New Roman"/>
          <w:sz w:val="24"/>
          <w:szCs w:val="24"/>
        </w:rPr>
      </w:pPr>
    </w:p>
    <w:p w14:paraId="7B5CB2B0" w14:textId="77777777" w:rsidR="00385FDE" w:rsidRDefault="00385FDE">
      <w:pPr>
        <w:spacing w:after="0" w:line="480" w:lineRule="auto"/>
        <w:jc w:val="both"/>
        <w:rPr>
          <w:rFonts w:ascii="Times New Roman" w:eastAsia="Times New Roman" w:hAnsi="Times New Roman" w:cs="Times New Roman"/>
          <w:sz w:val="24"/>
          <w:szCs w:val="24"/>
        </w:rPr>
      </w:pPr>
    </w:p>
    <w:p w14:paraId="7B5CB2B1" w14:textId="77777777" w:rsidR="00385FDE" w:rsidRDefault="00385FDE">
      <w:pPr>
        <w:spacing w:after="0" w:line="480" w:lineRule="auto"/>
        <w:jc w:val="both"/>
        <w:rPr>
          <w:rFonts w:ascii="Times New Roman" w:eastAsia="Times New Roman" w:hAnsi="Times New Roman" w:cs="Times New Roman"/>
          <w:sz w:val="24"/>
          <w:szCs w:val="24"/>
        </w:rPr>
      </w:pPr>
    </w:p>
    <w:p w14:paraId="38C91ACE" w14:textId="77777777" w:rsidR="00366FE3" w:rsidRDefault="00366FE3">
      <w:pPr>
        <w:spacing w:after="0" w:line="480" w:lineRule="auto"/>
        <w:jc w:val="both"/>
        <w:rPr>
          <w:rFonts w:ascii="Times New Roman" w:eastAsia="Times New Roman" w:hAnsi="Times New Roman" w:cs="Times New Roman"/>
          <w:sz w:val="24"/>
          <w:szCs w:val="24"/>
        </w:rPr>
      </w:pPr>
      <w:bookmarkStart w:id="0" w:name="_heading=h.pfjtcavcicaa" w:colFirst="0" w:colLast="0"/>
      <w:bookmarkEnd w:id="0"/>
      <w:r>
        <w:rPr>
          <w:rFonts w:ascii="Times New Roman" w:eastAsia="Times New Roman" w:hAnsi="Times New Roman" w:cs="Times New Roman"/>
          <w:sz w:val="24"/>
          <w:szCs w:val="24"/>
        </w:rPr>
        <w:br w:type="page"/>
      </w:r>
    </w:p>
    <w:p w14:paraId="7B5CB2B2" w14:textId="0CDA966A" w:rsidR="00385FDE" w:rsidRDefault="00014B51" w:rsidP="00366FE3">
      <w:pPr>
        <w:spacing w:after="0" w:line="480" w:lineRule="auto"/>
        <w:jc w:val="center"/>
        <w:rPr>
          <w:rFonts w:ascii="Times New Roman" w:eastAsia="Times New Roman" w:hAnsi="Times New Roman" w:cs="Times New Roman"/>
          <w:sz w:val="24"/>
          <w:szCs w:val="24"/>
        </w:rPr>
      </w:pPr>
      <w:r w:rsidRPr="00366FE3">
        <w:rPr>
          <w:rFonts w:ascii="Times New Roman" w:eastAsia="Times New Roman" w:hAnsi="Times New Roman" w:cs="Times New Roman"/>
          <w:b/>
          <w:bCs/>
          <w:sz w:val="24"/>
          <w:szCs w:val="24"/>
        </w:rPr>
        <w:lastRenderedPageBreak/>
        <w:t>Reference</w:t>
      </w:r>
    </w:p>
    <w:p w14:paraId="7B5CB2B3" w14:textId="77777777" w:rsidR="00385FDE" w:rsidRDefault="00014B51">
      <w:pPr>
        <w:pBdr>
          <w:top w:val="nil"/>
          <w:left w:val="nil"/>
          <w:bottom w:val="nil"/>
          <w:right w:val="nil"/>
          <w:between w:val="nil"/>
        </w:pBdr>
        <w:spacing w:after="0" w:line="480" w:lineRule="auto"/>
        <w:ind w:left="720" w:hanging="720"/>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Alboksmaty</w:t>
      </w:r>
      <w:proofErr w:type="spellEnd"/>
      <w:r>
        <w:rPr>
          <w:rFonts w:ascii="Times New Roman" w:eastAsia="Times New Roman" w:hAnsi="Times New Roman" w:cs="Times New Roman"/>
          <w:color w:val="000000"/>
          <w:sz w:val="24"/>
          <w:szCs w:val="24"/>
        </w:rPr>
        <w:t xml:space="preserve">, A., Lunova, T., Darzi, A. and Neves, A.-L. (2026) “Communication Challenges and Mitigation Strategies in Primary Care Virtual Consultations: Qualitative study,” </w:t>
      </w:r>
      <w:r>
        <w:rPr>
          <w:rFonts w:ascii="Times New Roman" w:eastAsia="Times New Roman" w:hAnsi="Times New Roman" w:cs="Times New Roman"/>
          <w:i/>
          <w:iCs/>
          <w:color w:val="000000"/>
          <w:sz w:val="24"/>
          <w:szCs w:val="24"/>
        </w:rPr>
        <w:t>Journal of Medical Internet Research</w:t>
      </w:r>
      <w:r>
        <w:rPr>
          <w:rFonts w:ascii="Times New Roman" w:eastAsia="Times New Roman" w:hAnsi="Times New Roman" w:cs="Times New Roman"/>
          <w:color w:val="000000"/>
          <w:sz w:val="24"/>
          <w:szCs w:val="24"/>
        </w:rPr>
        <w:t>, 28, p. e79399. Available at: https://doi.org/10.2196/79399.</w:t>
      </w:r>
    </w:p>
    <w:p w14:paraId="7B5CB2B4" w14:textId="77777777" w:rsidR="00385FDE" w:rsidRDefault="00014B51">
      <w:pPr>
        <w:pBdr>
          <w:top w:val="nil"/>
          <w:left w:val="nil"/>
          <w:bottom w:val="nil"/>
          <w:right w:val="nil"/>
          <w:between w:val="nil"/>
        </w:pBdr>
        <w:spacing w:after="0" w:line="48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Anderson, R.J., Bloch, S., Armstrong, M., Stone, P.C. and Low, J.T. (2020) “Communication between healthcare professionals and relatives of patients approaching the end-of-life: A systematic review of qualitative evidence,” </w:t>
      </w:r>
      <w:r>
        <w:rPr>
          <w:rFonts w:ascii="Times New Roman" w:eastAsia="Times New Roman" w:hAnsi="Times New Roman" w:cs="Times New Roman"/>
          <w:i/>
          <w:iCs/>
          <w:color w:val="000000"/>
          <w:sz w:val="24"/>
          <w:szCs w:val="24"/>
        </w:rPr>
        <w:t>Palliative Medicine</w:t>
      </w:r>
      <w:r>
        <w:rPr>
          <w:rFonts w:ascii="Times New Roman" w:eastAsia="Times New Roman" w:hAnsi="Times New Roman" w:cs="Times New Roman"/>
          <w:color w:val="000000"/>
          <w:sz w:val="24"/>
          <w:szCs w:val="24"/>
        </w:rPr>
        <w:t>, 33(8), pp. 926–941. Available at: https://doi.org/10.1177/0269216319852007.</w:t>
      </w:r>
    </w:p>
    <w:p w14:paraId="7B5CB2B5" w14:textId="77777777" w:rsidR="00385FDE" w:rsidRDefault="00014B51">
      <w:pPr>
        <w:pBdr>
          <w:top w:val="nil"/>
          <w:left w:val="nil"/>
          <w:bottom w:val="nil"/>
          <w:right w:val="nil"/>
          <w:between w:val="nil"/>
        </w:pBdr>
        <w:spacing w:after="0" w:line="48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Dib, K. and </w:t>
      </w:r>
      <w:proofErr w:type="spellStart"/>
      <w:r>
        <w:rPr>
          <w:rFonts w:ascii="Times New Roman" w:eastAsia="Times New Roman" w:hAnsi="Times New Roman" w:cs="Times New Roman"/>
          <w:color w:val="000000"/>
          <w:sz w:val="24"/>
          <w:szCs w:val="24"/>
        </w:rPr>
        <w:t>Belrhiti</w:t>
      </w:r>
      <w:proofErr w:type="spellEnd"/>
      <w:r>
        <w:rPr>
          <w:rFonts w:ascii="Times New Roman" w:eastAsia="Times New Roman" w:hAnsi="Times New Roman" w:cs="Times New Roman"/>
          <w:color w:val="000000"/>
          <w:sz w:val="24"/>
          <w:szCs w:val="24"/>
        </w:rPr>
        <w:t xml:space="preserve">, Z. (2025) “Unpacking the black box of interprofessional collaboration within healthcare networks: a scoping review,” </w:t>
      </w:r>
      <w:r>
        <w:rPr>
          <w:rFonts w:ascii="Times New Roman" w:eastAsia="Times New Roman" w:hAnsi="Times New Roman" w:cs="Times New Roman"/>
          <w:i/>
          <w:iCs/>
          <w:color w:val="000000"/>
          <w:sz w:val="24"/>
          <w:szCs w:val="24"/>
        </w:rPr>
        <w:t>BMJ Open</w:t>
      </w:r>
      <w:r>
        <w:rPr>
          <w:rFonts w:ascii="Times New Roman" w:eastAsia="Times New Roman" w:hAnsi="Times New Roman" w:cs="Times New Roman"/>
          <w:color w:val="000000"/>
          <w:sz w:val="24"/>
          <w:szCs w:val="24"/>
        </w:rPr>
        <w:t>, 15(6), p. e101702. Available at: https://doi.org/10.1136/bmjopen-2025-101702.</w:t>
      </w:r>
    </w:p>
    <w:p w14:paraId="7B5CB2B6" w14:textId="77777777" w:rsidR="00385FDE" w:rsidRDefault="00014B51">
      <w:pPr>
        <w:pBdr>
          <w:top w:val="nil"/>
          <w:left w:val="nil"/>
          <w:bottom w:val="nil"/>
          <w:right w:val="nil"/>
          <w:between w:val="nil"/>
        </w:pBdr>
        <w:spacing w:after="0" w:line="48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Dickerson, J.E. (2022) “Privacy, confidentiality, and security of healthcare information,” </w:t>
      </w:r>
      <w:r>
        <w:rPr>
          <w:rFonts w:ascii="Times New Roman" w:eastAsia="Times New Roman" w:hAnsi="Times New Roman" w:cs="Times New Roman"/>
          <w:i/>
          <w:iCs/>
          <w:color w:val="000000"/>
          <w:sz w:val="24"/>
          <w:szCs w:val="24"/>
        </w:rPr>
        <w:t>Anaesthesia &amp; Intensive Care Medicine</w:t>
      </w:r>
      <w:r>
        <w:rPr>
          <w:rFonts w:ascii="Times New Roman" w:eastAsia="Times New Roman" w:hAnsi="Times New Roman" w:cs="Times New Roman"/>
          <w:color w:val="000000"/>
          <w:sz w:val="24"/>
          <w:szCs w:val="24"/>
        </w:rPr>
        <w:t>, 23(11), pp. 740–743. Available at: https://doi.org/10.1016/j.mpaic.2022.08.014.</w:t>
      </w:r>
    </w:p>
    <w:p w14:paraId="7B5CB2B7" w14:textId="77777777" w:rsidR="00385FDE" w:rsidRDefault="00014B51">
      <w:pPr>
        <w:pBdr>
          <w:top w:val="nil"/>
          <w:left w:val="nil"/>
          <w:bottom w:val="nil"/>
          <w:right w:val="nil"/>
          <w:between w:val="nil"/>
        </w:pBdr>
        <w:spacing w:after="0" w:line="48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Downey, A. (2024) “Patient record-keeping: How to avoid making serious mistakes or leaving gaps,” </w:t>
      </w:r>
      <w:r>
        <w:rPr>
          <w:rFonts w:ascii="Times New Roman" w:eastAsia="Times New Roman" w:hAnsi="Times New Roman" w:cs="Times New Roman"/>
          <w:i/>
          <w:iCs/>
          <w:color w:val="000000"/>
          <w:sz w:val="24"/>
          <w:szCs w:val="24"/>
        </w:rPr>
        <w:t>Nursing Standard</w:t>
      </w:r>
      <w:r>
        <w:rPr>
          <w:rFonts w:ascii="Times New Roman" w:eastAsia="Times New Roman" w:hAnsi="Times New Roman" w:cs="Times New Roman"/>
          <w:color w:val="000000"/>
          <w:sz w:val="24"/>
          <w:szCs w:val="24"/>
        </w:rPr>
        <w:t>, 39(10), pp. 47–49. Available at: https://doi.org/10.7748/ns.39.10.47.s17.</w:t>
      </w:r>
    </w:p>
    <w:p w14:paraId="7B5CB2B8" w14:textId="77777777" w:rsidR="00385FDE" w:rsidRDefault="00014B51">
      <w:pPr>
        <w:pBdr>
          <w:top w:val="nil"/>
          <w:left w:val="nil"/>
          <w:bottom w:val="nil"/>
          <w:right w:val="nil"/>
          <w:between w:val="nil"/>
        </w:pBdr>
        <w:spacing w:after="0" w:line="48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Francis, B. (2020) “General Data Protection Regulation (GDPR) and Data Protection Act 2018: What does this mean for </w:t>
      </w:r>
      <w:proofErr w:type="gramStart"/>
      <w:r>
        <w:rPr>
          <w:rFonts w:ascii="Times New Roman" w:eastAsia="Times New Roman" w:hAnsi="Times New Roman" w:cs="Times New Roman"/>
          <w:color w:val="000000"/>
          <w:sz w:val="24"/>
          <w:szCs w:val="24"/>
        </w:rPr>
        <w:t>clinicians?,</w:t>
      </w:r>
      <w:proofErr w:type="gram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iCs/>
          <w:color w:val="000000"/>
          <w:sz w:val="24"/>
          <w:szCs w:val="24"/>
        </w:rPr>
        <w:t>Archives of Disease in Childhood Education &amp; Practice</w:t>
      </w:r>
      <w:r>
        <w:rPr>
          <w:rFonts w:ascii="Times New Roman" w:eastAsia="Times New Roman" w:hAnsi="Times New Roman" w:cs="Times New Roman"/>
          <w:color w:val="000000"/>
          <w:sz w:val="24"/>
          <w:szCs w:val="24"/>
        </w:rPr>
        <w:t>, 105(5), pp. 298–299. Available at: https://doi.org/10.1136/archdischild-2018-316057.</w:t>
      </w:r>
    </w:p>
    <w:p w14:paraId="7B5CB2B9" w14:textId="77777777" w:rsidR="00385FDE" w:rsidRDefault="00014B51">
      <w:pPr>
        <w:pBdr>
          <w:top w:val="nil"/>
          <w:left w:val="nil"/>
          <w:bottom w:val="nil"/>
          <w:right w:val="nil"/>
          <w:between w:val="nil"/>
        </w:pBdr>
        <w:spacing w:after="0" w:line="48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Nursing and Midwifery Council (NMC) (2018) </w:t>
      </w:r>
      <w:r>
        <w:rPr>
          <w:rFonts w:ascii="Times New Roman" w:eastAsia="Times New Roman" w:hAnsi="Times New Roman" w:cs="Times New Roman"/>
          <w:i/>
          <w:iCs/>
          <w:color w:val="000000"/>
          <w:sz w:val="24"/>
          <w:szCs w:val="24"/>
        </w:rPr>
        <w:t>The Code: Professional standards of practice and behaviour for nurses, midwives and nursing associates</w:t>
      </w:r>
      <w:r>
        <w:rPr>
          <w:rFonts w:ascii="Times New Roman" w:eastAsia="Times New Roman" w:hAnsi="Times New Roman" w:cs="Times New Roman"/>
          <w:color w:val="000000"/>
          <w:sz w:val="24"/>
          <w:szCs w:val="24"/>
        </w:rPr>
        <w:t>. Available at: https://www.nmc.org.uk/standards/code/ (Accessed: April 30, 2026).</w:t>
      </w:r>
    </w:p>
    <w:p w14:paraId="7B5CB2BA" w14:textId="77777777" w:rsidR="00385FDE" w:rsidRDefault="00014B51">
      <w:pPr>
        <w:pBdr>
          <w:top w:val="nil"/>
          <w:left w:val="nil"/>
          <w:bottom w:val="nil"/>
          <w:right w:val="nil"/>
          <w:between w:val="nil"/>
        </w:pBdr>
        <w:spacing w:after="0" w:line="48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Redley, M., Lancaster, I., Pitt, A., Holland, A., Thompson, A., Bradley, J.R., Glover, G., Thomson, K., Jones, S., Herbert, B., Holme, A. and Clare, I.C.H. (2020) “‘Reasonable adjustments’ under the UK’s Equality Act 2010: An enquiry into the care and treatment to patients with intellectual disabilities in acute hospital settings,” </w:t>
      </w:r>
      <w:r>
        <w:rPr>
          <w:rFonts w:ascii="Times New Roman" w:eastAsia="Times New Roman" w:hAnsi="Times New Roman" w:cs="Times New Roman"/>
          <w:i/>
          <w:iCs/>
          <w:color w:val="000000"/>
          <w:sz w:val="24"/>
          <w:szCs w:val="24"/>
        </w:rPr>
        <w:t>Journal of Applied Research in Intellectual Disabilities</w:t>
      </w:r>
      <w:r>
        <w:rPr>
          <w:rFonts w:ascii="Times New Roman" w:eastAsia="Times New Roman" w:hAnsi="Times New Roman" w:cs="Times New Roman"/>
          <w:color w:val="000000"/>
          <w:sz w:val="24"/>
          <w:szCs w:val="24"/>
        </w:rPr>
        <w:t>, 32(6), pp. 1412–1420. Available at: https://doi.org/10.1111/jar.12623.</w:t>
      </w:r>
    </w:p>
    <w:p w14:paraId="7B5CB2BB" w14:textId="77777777" w:rsidR="00385FDE" w:rsidRDefault="00014B51">
      <w:pPr>
        <w:pBdr>
          <w:top w:val="nil"/>
          <w:left w:val="nil"/>
          <w:bottom w:val="nil"/>
          <w:right w:val="nil"/>
          <w:between w:val="nil"/>
        </w:pBdr>
        <w:spacing w:after="0" w:line="48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Rosen, M.A., DiazGranados, D., Dietz, A.S., Benishek, L.E., Thompson, D., Pronovost, P.J. and Weaver, S.J. (2019) “Teamwork in healthcare: Key discoveries enabling safer, high-quality care.,” </w:t>
      </w:r>
      <w:r>
        <w:rPr>
          <w:rFonts w:ascii="Times New Roman" w:eastAsia="Times New Roman" w:hAnsi="Times New Roman" w:cs="Times New Roman"/>
          <w:i/>
          <w:iCs/>
          <w:color w:val="000000"/>
          <w:sz w:val="24"/>
          <w:szCs w:val="24"/>
        </w:rPr>
        <w:t>American Psychologist</w:t>
      </w:r>
      <w:r>
        <w:rPr>
          <w:rFonts w:ascii="Times New Roman" w:eastAsia="Times New Roman" w:hAnsi="Times New Roman" w:cs="Times New Roman"/>
          <w:color w:val="000000"/>
          <w:sz w:val="24"/>
          <w:szCs w:val="24"/>
        </w:rPr>
        <w:t>, 73(4), pp. 433–450. Available at: https://doi.org/10.1037/amp0000298.</w:t>
      </w:r>
    </w:p>
    <w:p w14:paraId="7B5CB2BC" w14:textId="77777777" w:rsidR="00385FDE" w:rsidRDefault="00014B51">
      <w:pPr>
        <w:pBdr>
          <w:top w:val="nil"/>
          <w:left w:val="nil"/>
          <w:bottom w:val="nil"/>
          <w:right w:val="nil"/>
          <w:between w:val="nil"/>
        </w:pBdr>
        <w:spacing w:after="0" w:line="48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Shamsi, H.A., Almutairi, A.G., </w:t>
      </w:r>
      <w:proofErr w:type="spellStart"/>
      <w:r>
        <w:rPr>
          <w:rFonts w:ascii="Times New Roman" w:eastAsia="Times New Roman" w:hAnsi="Times New Roman" w:cs="Times New Roman"/>
          <w:color w:val="000000"/>
          <w:sz w:val="24"/>
          <w:szCs w:val="24"/>
        </w:rPr>
        <w:t>Mashrafi</w:t>
      </w:r>
      <w:proofErr w:type="spellEnd"/>
      <w:r>
        <w:rPr>
          <w:rFonts w:ascii="Times New Roman" w:eastAsia="Times New Roman" w:hAnsi="Times New Roman" w:cs="Times New Roman"/>
          <w:color w:val="000000"/>
          <w:sz w:val="24"/>
          <w:szCs w:val="24"/>
        </w:rPr>
        <w:t xml:space="preserve">, S.A. and </w:t>
      </w:r>
      <w:proofErr w:type="spellStart"/>
      <w:r>
        <w:rPr>
          <w:rFonts w:ascii="Times New Roman" w:eastAsia="Times New Roman" w:hAnsi="Times New Roman" w:cs="Times New Roman"/>
          <w:color w:val="000000"/>
          <w:sz w:val="24"/>
          <w:szCs w:val="24"/>
        </w:rPr>
        <w:t>Kalbani</w:t>
      </w:r>
      <w:proofErr w:type="spellEnd"/>
      <w:r>
        <w:rPr>
          <w:rFonts w:ascii="Times New Roman" w:eastAsia="Times New Roman" w:hAnsi="Times New Roman" w:cs="Times New Roman"/>
          <w:color w:val="000000"/>
          <w:sz w:val="24"/>
          <w:szCs w:val="24"/>
        </w:rPr>
        <w:t xml:space="preserve">, T.A. (2020) “Implications of Language Barriers for Healthcare: A Systematic review,” </w:t>
      </w:r>
      <w:r>
        <w:rPr>
          <w:rFonts w:ascii="Times New Roman" w:eastAsia="Times New Roman" w:hAnsi="Times New Roman" w:cs="Times New Roman"/>
          <w:i/>
          <w:iCs/>
          <w:color w:val="000000"/>
          <w:sz w:val="24"/>
          <w:szCs w:val="24"/>
        </w:rPr>
        <w:t>Oman Medical Journal</w:t>
      </w:r>
      <w:r>
        <w:rPr>
          <w:rFonts w:ascii="Times New Roman" w:eastAsia="Times New Roman" w:hAnsi="Times New Roman" w:cs="Times New Roman"/>
          <w:color w:val="000000"/>
          <w:sz w:val="24"/>
          <w:szCs w:val="24"/>
        </w:rPr>
        <w:t>, 35(2), p. e122. Available at: https://doi.org/10.5001/omj.2020.40.</w:t>
      </w:r>
    </w:p>
    <w:p w14:paraId="7B5CB2BD" w14:textId="77777777" w:rsidR="00385FDE" w:rsidRDefault="00014B51">
      <w:pPr>
        <w:pBdr>
          <w:top w:val="nil"/>
          <w:left w:val="nil"/>
          <w:bottom w:val="nil"/>
          <w:right w:val="nil"/>
          <w:between w:val="nil"/>
        </w:pBdr>
        <w:spacing w:after="0" w:line="480" w:lineRule="auto"/>
        <w:ind w:left="720" w:hanging="720"/>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Sirimsi</w:t>
      </w:r>
      <w:proofErr w:type="spellEnd"/>
      <w:r>
        <w:rPr>
          <w:rFonts w:ascii="Times New Roman" w:eastAsia="Times New Roman" w:hAnsi="Times New Roman" w:cs="Times New Roman"/>
          <w:color w:val="000000"/>
          <w:sz w:val="24"/>
          <w:szCs w:val="24"/>
        </w:rPr>
        <w:t xml:space="preserve">, M.M., De Loof, H., Van Den Broeck, K., De Vliegher, K., </w:t>
      </w:r>
      <w:proofErr w:type="spellStart"/>
      <w:r>
        <w:rPr>
          <w:rFonts w:ascii="Times New Roman" w:eastAsia="Times New Roman" w:hAnsi="Times New Roman" w:cs="Times New Roman"/>
          <w:color w:val="000000"/>
          <w:sz w:val="24"/>
          <w:szCs w:val="24"/>
        </w:rPr>
        <w:t>Pype</w:t>
      </w:r>
      <w:proofErr w:type="spellEnd"/>
      <w:r>
        <w:rPr>
          <w:rFonts w:ascii="Times New Roman" w:eastAsia="Times New Roman" w:hAnsi="Times New Roman" w:cs="Times New Roman"/>
          <w:color w:val="000000"/>
          <w:sz w:val="24"/>
          <w:szCs w:val="24"/>
        </w:rPr>
        <w:t xml:space="preserve">, P., Remmen, R. and Van Bogaert, P. (2022) “Scoping review to identify strategies and interventions improving interprofessional collaboration and integration in primary care,” </w:t>
      </w:r>
      <w:r>
        <w:rPr>
          <w:rFonts w:ascii="Times New Roman" w:eastAsia="Times New Roman" w:hAnsi="Times New Roman" w:cs="Times New Roman"/>
          <w:i/>
          <w:iCs/>
          <w:color w:val="000000"/>
          <w:sz w:val="24"/>
          <w:szCs w:val="24"/>
        </w:rPr>
        <w:t>BMJ Open</w:t>
      </w:r>
      <w:r>
        <w:rPr>
          <w:rFonts w:ascii="Times New Roman" w:eastAsia="Times New Roman" w:hAnsi="Times New Roman" w:cs="Times New Roman"/>
          <w:color w:val="000000"/>
          <w:sz w:val="24"/>
          <w:szCs w:val="24"/>
        </w:rPr>
        <w:t>, 12(10), p. e062111. Available at: https://doi.org/10.1136/bmjopen-2022-062111.</w:t>
      </w:r>
    </w:p>
    <w:p w14:paraId="7B5CB2BE" w14:textId="77777777" w:rsidR="00385FDE" w:rsidRDefault="00014B51">
      <w:pPr>
        <w:pBdr>
          <w:top w:val="nil"/>
          <w:left w:val="nil"/>
          <w:bottom w:val="nil"/>
          <w:right w:val="nil"/>
          <w:between w:val="nil"/>
        </w:pBdr>
        <w:spacing w:after="0" w:line="48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Soled, D. (2020) “Language and cultural discordance: barriers to improved patient care and understanding,” </w:t>
      </w:r>
      <w:r>
        <w:rPr>
          <w:rFonts w:ascii="Times New Roman" w:eastAsia="Times New Roman" w:hAnsi="Times New Roman" w:cs="Times New Roman"/>
          <w:i/>
          <w:iCs/>
          <w:color w:val="000000"/>
          <w:sz w:val="24"/>
          <w:szCs w:val="24"/>
        </w:rPr>
        <w:t>Journal of Patient Experience</w:t>
      </w:r>
      <w:r>
        <w:rPr>
          <w:rFonts w:ascii="Times New Roman" w:eastAsia="Times New Roman" w:hAnsi="Times New Roman" w:cs="Times New Roman"/>
          <w:color w:val="000000"/>
          <w:sz w:val="24"/>
          <w:szCs w:val="24"/>
        </w:rPr>
        <w:t>, 7(6), pp. 830–832. Available at: https://doi.org/10.1177/2374373520942398.</w:t>
      </w:r>
    </w:p>
    <w:p w14:paraId="7B5CB2BF" w14:textId="77777777" w:rsidR="00385FDE" w:rsidRDefault="00014B51">
      <w:pPr>
        <w:pBdr>
          <w:top w:val="nil"/>
          <w:left w:val="nil"/>
          <w:bottom w:val="nil"/>
          <w:right w:val="nil"/>
          <w:between w:val="nil"/>
        </w:pBdr>
        <w:spacing w:after="0" w:line="48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Spencer, A. and Patel, S. (2020) “Applying the Data Protection Act 2018 and General Data Protection Regulation principles in healthcare settings,” </w:t>
      </w:r>
      <w:r>
        <w:rPr>
          <w:rFonts w:ascii="Times New Roman" w:eastAsia="Times New Roman" w:hAnsi="Times New Roman" w:cs="Times New Roman"/>
          <w:i/>
          <w:iCs/>
          <w:color w:val="000000"/>
          <w:sz w:val="24"/>
          <w:szCs w:val="24"/>
        </w:rPr>
        <w:t>Nursing Management</w:t>
      </w:r>
      <w:r>
        <w:rPr>
          <w:rFonts w:ascii="Times New Roman" w:eastAsia="Times New Roman" w:hAnsi="Times New Roman" w:cs="Times New Roman"/>
          <w:color w:val="000000"/>
          <w:sz w:val="24"/>
          <w:szCs w:val="24"/>
        </w:rPr>
        <w:t>, 26(1), pp. 34–40. Available at: https://doi.org/10.7748/nm.2019.e1806.</w:t>
      </w:r>
    </w:p>
    <w:p w14:paraId="7B5CB2C0" w14:textId="77777777" w:rsidR="00385FDE" w:rsidRDefault="00014B51">
      <w:pPr>
        <w:pBdr>
          <w:top w:val="nil"/>
          <w:left w:val="nil"/>
          <w:bottom w:val="nil"/>
          <w:right w:val="nil"/>
          <w:between w:val="nil"/>
        </w:pBdr>
        <w:spacing w:after="0" w:line="48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Stephen, A., Connelly, D., Hung, L. and Unger, J. (2024) “Staff-Family Communication Methods in Long-Term Care Homes: An Integrative </w:t>
      </w:r>
      <w:r>
        <w:rPr>
          <w:rFonts w:ascii="Times New Roman" w:eastAsia="Times New Roman" w:hAnsi="Times New Roman" w:cs="Times New Roman"/>
          <w:sz w:val="24"/>
          <w:szCs w:val="24"/>
        </w:rPr>
        <w:t>Review,"</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iCs/>
          <w:color w:val="000000"/>
          <w:sz w:val="24"/>
          <w:szCs w:val="24"/>
        </w:rPr>
        <w:t>Journal of Long-Term Care</w:t>
      </w:r>
      <w:r>
        <w:rPr>
          <w:rFonts w:ascii="Times New Roman" w:eastAsia="Times New Roman" w:hAnsi="Times New Roman" w:cs="Times New Roman"/>
          <w:color w:val="000000"/>
          <w:sz w:val="24"/>
          <w:szCs w:val="24"/>
        </w:rPr>
        <w:t xml:space="preserve"> [Preprint]. Available at: https://doi.org/10.31389/jltc.282.</w:t>
      </w:r>
    </w:p>
    <w:p w14:paraId="7B5CB2C1" w14:textId="77777777" w:rsidR="00385FDE" w:rsidRDefault="00014B51">
      <w:pPr>
        <w:pBdr>
          <w:top w:val="nil"/>
          <w:left w:val="nil"/>
          <w:bottom w:val="nil"/>
          <w:right w:val="nil"/>
          <w:between w:val="nil"/>
        </w:pBdr>
        <w:spacing w:after="0" w:line="480" w:lineRule="auto"/>
        <w:ind w:left="720" w:hanging="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Taylor, K. (2019) “The importance of keeping good medical records,” </w:t>
      </w:r>
      <w:r>
        <w:rPr>
          <w:rFonts w:ascii="Times New Roman" w:eastAsia="Times New Roman" w:hAnsi="Times New Roman" w:cs="Times New Roman"/>
          <w:i/>
          <w:iCs/>
          <w:color w:val="000000"/>
          <w:sz w:val="24"/>
          <w:szCs w:val="24"/>
        </w:rPr>
        <w:t>Practice Management</w:t>
      </w:r>
      <w:r>
        <w:rPr>
          <w:rFonts w:ascii="Times New Roman" w:eastAsia="Times New Roman" w:hAnsi="Times New Roman" w:cs="Times New Roman"/>
          <w:color w:val="000000"/>
          <w:sz w:val="24"/>
          <w:szCs w:val="24"/>
        </w:rPr>
        <w:t>, 29(1), pp. 16–20. Available at: https://doi.org/10.12968/prma.2019.29.1.16.</w:t>
      </w:r>
    </w:p>
    <w:p w14:paraId="7B5CB2C2" w14:textId="77777777" w:rsidR="00385FDE" w:rsidRDefault="00385FDE">
      <w:pPr>
        <w:spacing w:after="0" w:line="480" w:lineRule="auto"/>
        <w:jc w:val="both"/>
        <w:rPr>
          <w:rFonts w:ascii="Times New Roman" w:eastAsia="Times New Roman" w:hAnsi="Times New Roman" w:cs="Times New Roman"/>
          <w:sz w:val="24"/>
          <w:szCs w:val="24"/>
        </w:rPr>
      </w:pPr>
    </w:p>
    <w:p w14:paraId="7B5CB2C3" w14:textId="77777777" w:rsidR="00385FDE" w:rsidRDefault="00385FDE">
      <w:pPr>
        <w:spacing w:after="0" w:line="480" w:lineRule="auto"/>
        <w:ind w:left="480" w:hanging="480"/>
        <w:jc w:val="both"/>
        <w:rPr>
          <w:rFonts w:ascii="Times New Roman" w:eastAsia="Times New Roman" w:hAnsi="Times New Roman" w:cs="Times New Roman"/>
          <w:sz w:val="24"/>
          <w:szCs w:val="24"/>
        </w:rPr>
      </w:pPr>
    </w:p>
    <w:p w14:paraId="7B5CB2C4" w14:textId="77777777" w:rsidR="00385FDE" w:rsidRDefault="00385FDE">
      <w:pPr>
        <w:spacing w:after="0" w:line="480" w:lineRule="auto"/>
        <w:jc w:val="both"/>
        <w:rPr>
          <w:rFonts w:ascii="Times New Roman" w:eastAsia="Times New Roman" w:hAnsi="Times New Roman" w:cs="Times New Roman"/>
          <w:sz w:val="24"/>
          <w:szCs w:val="24"/>
        </w:rPr>
      </w:pPr>
    </w:p>
    <w:sectPr w:rsidR="00385FDE">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6A2667" w14:textId="77777777" w:rsidR="007A5442" w:rsidRDefault="007A5442">
      <w:pPr>
        <w:spacing w:after="0" w:line="240" w:lineRule="auto"/>
      </w:pPr>
      <w:r>
        <w:separator/>
      </w:r>
    </w:p>
  </w:endnote>
  <w:endnote w:type="continuationSeparator" w:id="0">
    <w:p w14:paraId="6D6ABBC5" w14:textId="77777777" w:rsidR="007A5442" w:rsidRDefault="007A54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embedRegular r:id="rId1" w:fontKey="{F8A87B07-D1F9-42B3-888A-8E7E993499E4}"/>
    <w:embedBold r:id="rId2" w:fontKey="{0F948667-4C20-4311-9BAB-9E5390E21DAD}"/>
    <w:embedBoldItalic r:id="rId3" w:fontKey="{59595670-A8FC-42BD-8DC1-5F387E1E0CC9}"/>
  </w:font>
  <w:font w:name="Cambria">
    <w:panose1 w:val="02040503050406030204"/>
    <w:charset w:val="00"/>
    <w:family w:val="roman"/>
    <w:pitch w:val="variable"/>
    <w:sig w:usb0="E00006FF" w:usb1="420024FF" w:usb2="02000000" w:usb3="00000000" w:csb0="0000019F" w:csb1="00000000"/>
    <w:embedRegular r:id="rId4" w:fontKey="{09EB6A9E-AF6B-4638-884E-448981F94031}"/>
    <w:embedBold r:id="rId5" w:fontKey="{0C0E5E22-D2B9-460F-922D-E7FC75DB609E}"/>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6" w:fontKey="{13B38D6C-84D4-4933-8CD9-40A8753761B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5CB2C9" w14:textId="77777777" w:rsidR="00385FDE" w:rsidRDefault="00385FDE">
    <w:pPr>
      <w:pBdr>
        <w:top w:val="none" w:sz="0" w:space="0" w:color="000000"/>
        <w:left w:val="none" w:sz="0" w:space="0" w:color="000000"/>
        <w:bottom w:val="none" w:sz="0" w:space="0" w:color="000000"/>
        <w:right w:val="none" w:sz="0" w:space="0" w:color="000000"/>
        <w:between w:val="none" w:sz="0" w:space="0" w:color="000000"/>
      </w:pBdr>
      <w:tabs>
        <w:tab w:val="center" w:pos="4680"/>
        <w:tab w:val="right" w:pos="9360"/>
      </w:tabs>
      <w:ind w:hanging="2"/>
      <w:rPr>
        <w:color w:val="000000"/>
      </w:rPr>
    </w:pPr>
  </w:p>
  <w:p w14:paraId="7B5CB2CA" w14:textId="77777777" w:rsidR="00385FDE" w:rsidRDefault="00385FDE"/>
  <w:p w14:paraId="7B5CB2CB" w14:textId="77777777" w:rsidR="00385FDE" w:rsidRDefault="00385FDE"/>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5CB2CC" w14:textId="77777777" w:rsidR="00385FDE" w:rsidRDefault="00385FDE"/>
  <w:p w14:paraId="7B5CB2CD" w14:textId="77777777" w:rsidR="00385FDE" w:rsidRDefault="00385FDE"/>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5CB2D1" w14:textId="77777777" w:rsidR="00385FDE" w:rsidRDefault="00385FDE">
    <w:pPr>
      <w:pBdr>
        <w:top w:val="none" w:sz="0" w:space="0" w:color="000000"/>
        <w:left w:val="none" w:sz="0" w:space="0" w:color="000000"/>
        <w:bottom w:val="none" w:sz="0" w:space="0" w:color="000000"/>
        <w:right w:val="none" w:sz="0" w:space="0" w:color="000000"/>
        <w:between w:val="none" w:sz="0" w:space="0" w:color="000000"/>
      </w:pBdr>
      <w:tabs>
        <w:tab w:val="center" w:pos="4680"/>
        <w:tab w:val="right" w:pos="9360"/>
      </w:tabs>
      <w:ind w:hanging="2"/>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B9FCFB" w14:textId="77777777" w:rsidR="007A5442" w:rsidRDefault="007A5442">
      <w:pPr>
        <w:spacing w:after="0" w:line="240" w:lineRule="auto"/>
      </w:pPr>
      <w:r>
        <w:separator/>
      </w:r>
    </w:p>
  </w:footnote>
  <w:footnote w:type="continuationSeparator" w:id="0">
    <w:p w14:paraId="2F3A3038" w14:textId="77777777" w:rsidR="007A5442" w:rsidRDefault="007A54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5CB2C5" w14:textId="77777777" w:rsidR="00385FDE" w:rsidRDefault="00385FDE">
    <w:pPr>
      <w:pBdr>
        <w:top w:val="none" w:sz="0" w:space="0" w:color="000000"/>
        <w:left w:val="none" w:sz="0" w:space="0" w:color="000000"/>
        <w:bottom w:val="none" w:sz="0" w:space="0" w:color="000000"/>
        <w:right w:val="none" w:sz="0" w:space="0" w:color="000000"/>
        <w:between w:val="none" w:sz="0" w:space="0" w:color="000000"/>
      </w:pBdr>
      <w:tabs>
        <w:tab w:val="center" w:pos="4680"/>
        <w:tab w:val="right" w:pos="9360"/>
      </w:tabs>
      <w:ind w:hanging="2"/>
      <w:rPr>
        <w:color w:val="000000"/>
      </w:rPr>
    </w:pPr>
  </w:p>
  <w:p w14:paraId="7B5CB2C6" w14:textId="77777777" w:rsidR="00385FDE" w:rsidRDefault="00385FDE"/>
  <w:p w14:paraId="7B5CB2C7" w14:textId="77777777" w:rsidR="00385FDE" w:rsidRDefault="00385FDE"/>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5CB2C8" w14:textId="62CDCAE2" w:rsidR="00385FDE" w:rsidRDefault="00014B51">
    <w:pPr>
      <w:spacing w:line="480" w:lineRule="auto"/>
      <w:ind w:hanging="2"/>
      <w:jc w:val="right"/>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366FE3">
      <w:rPr>
        <w:rFonts w:ascii="Times New Roman" w:eastAsia="Times New Roman" w:hAnsi="Times New Roman" w:cs="Times New Roman"/>
        <w:noProof/>
        <w:sz w:val="24"/>
        <w:szCs w:val="24"/>
      </w:rPr>
      <w:t>2</w:t>
    </w:r>
    <w:r>
      <w:rPr>
        <w:rFonts w:ascii="Times New Roman" w:eastAsia="Times New Roman" w:hAnsi="Times New Roman" w:cs="Times New Roman"/>
        <w:sz w:val="24"/>
        <w:szCs w:val="24"/>
      </w:rPr>
      <w:fldChar w:fldCharType="end"/>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5CB2CE" w14:textId="36973B61" w:rsidR="00385FDE" w:rsidRDefault="00014B51">
    <w:pPr>
      <w:spacing w:after="0" w:line="240" w:lineRule="auto"/>
      <w:ind w:hanging="2"/>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366FE3">
      <w:rPr>
        <w:rFonts w:ascii="Times New Roman" w:eastAsia="Times New Roman" w:hAnsi="Times New Roman" w:cs="Times New Roman"/>
        <w:noProof/>
        <w:sz w:val="24"/>
        <w:szCs w:val="24"/>
      </w:rPr>
      <w:t>1</w:t>
    </w:r>
    <w:r>
      <w:rPr>
        <w:rFonts w:ascii="Times New Roman" w:eastAsia="Times New Roman" w:hAnsi="Times New Roman" w:cs="Times New Roman"/>
        <w:sz w:val="24"/>
        <w:szCs w:val="24"/>
      </w:rPr>
      <w:fldChar w:fldCharType="end"/>
    </w:r>
  </w:p>
  <w:p w14:paraId="7B5CB2CF" w14:textId="77777777" w:rsidR="00385FDE" w:rsidRDefault="00385FDE"/>
  <w:p w14:paraId="7B5CB2D0" w14:textId="77777777" w:rsidR="00385FDE" w:rsidRDefault="00385FDE"/>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5FDE"/>
    <w:rsid w:val="00014B51"/>
    <w:rsid w:val="002303FC"/>
    <w:rsid w:val="00366FE3"/>
    <w:rsid w:val="00385FDE"/>
    <w:rsid w:val="00535F13"/>
    <w:rsid w:val="005E0760"/>
    <w:rsid w:val="007A5442"/>
    <w:rsid w:val="00853C0E"/>
    <w:rsid w:val="00901331"/>
    <w:rsid w:val="00986F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CB282"/>
  <w15:docId w15:val="{F5B53304-7962-4C90-BB1F-B629E1DD01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GB" w:bidi="ar-SA"/>
      </w:rPr>
    </w:rPrDefault>
    <w:pPrDefault>
      <w:pPr>
        <w:spacing w:after="200" w:line="276" w:lineRule="auto"/>
        <w:ind w:hanging="1"/>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spacing w:before="240" w:after="60"/>
      <w:outlineLvl w:val="0"/>
    </w:pPr>
    <w:rPr>
      <w:rFonts w:ascii="Cambria" w:eastAsia="Cambria" w:hAnsi="Cambria" w:cs="Cambria"/>
      <w:b/>
      <w:bCs/>
      <w:sz w:val="32"/>
      <w:szCs w:val="32"/>
    </w:rPr>
  </w:style>
  <w:style w:type="paragraph" w:styleId="Heading2">
    <w:name w:val="heading 2"/>
    <w:basedOn w:val="Normal"/>
    <w:next w:val="Normal"/>
    <w:uiPriority w:val="9"/>
    <w:semiHidden/>
    <w:unhideWhenUsed/>
    <w:qFormat/>
    <w:pPr>
      <w:keepNext/>
      <w:spacing w:before="240" w:after="60"/>
      <w:outlineLvl w:val="1"/>
    </w:pPr>
    <w:rPr>
      <w:b/>
      <w:bCs/>
      <w:i/>
      <w:iCs/>
      <w:sz w:val="28"/>
      <w:szCs w:val="28"/>
    </w:rPr>
  </w:style>
  <w:style w:type="paragraph" w:styleId="Heading3">
    <w:name w:val="heading 3"/>
    <w:basedOn w:val="Normal"/>
    <w:next w:val="Normal"/>
    <w:uiPriority w:val="9"/>
    <w:semiHidden/>
    <w:unhideWhenUsed/>
    <w:qFormat/>
    <w:pPr>
      <w:keepNext/>
      <w:spacing w:before="240" w:after="60"/>
      <w:outlineLvl w:val="2"/>
    </w:pPr>
    <w:rPr>
      <w:b/>
      <w:bCs/>
      <w:sz w:val="26"/>
      <w:szCs w:val="26"/>
    </w:rPr>
  </w:style>
  <w:style w:type="paragraph" w:styleId="Heading4">
    <w:name w:val="heading 4"/>
    <w:basedOn w:val="Normal"/>
    <w:next w:val="Normal"/>
    <w:uiPriority w:val="9"/>
    <w:semiHidden/>
    <w:unhideWhenUsed/>
    <w:qFormat/>
    <w:pPr>
      <w:keepNext/>
      <w:spacing w:before="240" w:after="60"/>
      <w:outlineLvl w:val="3"/>
    </w:pPr>
    <w:rPr>
      <w:b/>
      <w:bCs/>
      <w:sz w:val="28"/>
      <w:szCs w:val="28"/>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jXLyvwSXE/JhOAR7Y7gUSWcwMIg==">CgMxLjAyDmgucGZqdGNhdmNpY2FhOAByITF6Nndsc25RUmZuRzdYMDFBemQ0N3VwOU5uWEVfdjNUdQ==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10</Pages>
  <Words>2233</Words>
  <Characters>12729</Characters>
  <DocSecurity>0</DocSecurity>
  <Lines>106</Lines>
  <Paragraphs>29</Paragraphs>
  <ScaleCrop>false</ScaleCrop>
  <Company/>
  <LinksUpToDate>false</LinksUpToDate>
  <CharactersWithSpaces>14933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2026-04-30T11:20:00Z</dcterms:created>
  <dcterms:modified xsi:type="dcterms:W3CDTF">2026-04-30T11:40:00Z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186279a31dffec49a0d8cc351ce9b3aca0aabdb9d2c90d45fe309bc184e4b345</vt:lpwstr>
  </property>
  <property fmtid="{D5CDD505-2E9C-101B-9397-08002B2CF9AE}" pid="3" name="MSIP_Label_d0354ca5-015e-47ab-9fdb-c0a8323bc23e_Enabled">
    <vt:lpwstr>true</vt:lpwstr>
  </property>
  <property fmtid="{D5CDD505-2E9C-101B-9397-08002B2CF9AE}" pid="4" name="MSIP_Label_d0354ca5-015e-47ab-9fdb-c0a8323bc23e_SetDate">
    <vt:lpwstr>2023-12-18T11:57:27Z</vt:lpwstr>
  </property>
  <property fmtid="{D5CDD505-2E9C-101B-9397-08002B2CF9AE}" pid="5" name="MSIP_Label_d0354ca5-015e-47ab-9fdb-c0a8323bc23e_Method">
    <vt:lpwstr>Privileged</vt:lpwstr>
  </property>
  <property fmtid="{D5CDD505-2E9C-101B-9397-08002B2CF9AE}" pid="6" name="MSIP_Label_d0354ca5-015e-47ab-9fdb-c0a8323bc23e_Name">
    <vt:lpwstr>d0354ca5-015e-47ab-9fdb-c0a8323bc23e</vt:lpwstr>
  </property>
  <property fmtid="{D5CDD505-2E9C-101B-9397-08002B2CF9AE}" pid="7" name="MSIP_Label_d0354ca5-015e-47ab-9fdb-c0a8323bc23e_SiteId">
    <vt:lpwstr>07ebc6c3-7074-4387-a625-b9d918ba4a97</vt:lpwstr>
  </property>
  <property fmtid="{D5CDD505-2E9C-101B-9397-08002B2CF9AE}" pid="8" name="MSIP_Label_d0354ca5-015e-47ab-9fdb-c0a8323bc23e_ActionId">
    <vt:lpwstr>17fc6f72-6f24-481b-8f46-2153f1eab63d</vt:lpwstr>
  </property>
  <property fmtid="{D5CDD505-2E9C-101B-9397-08002B2CF9AE}" pid="9" name="MSIP_Label_d0354ca5-015e-47ab-9fdb-c0a8323bc23e_ContentBits">
    <vt:lpwstr>0</vt:lpwstr>
  </property>
  <property fmtid="{D5CDD505-2E9C-101B-9397-08002B2CF9AE}" pid="10" name="KSOProductBuildVer">
    <vt:lpwstr>1033-12.1.0.25242</vt:lpwstr>
  </property>
  <property fmtid="{D5CDD505-2E9C-101B-9397-08002B2CF9AE}" pid="11" name="ICV">
    <vt:lpwstr>F5868F4AB2984EE6A426F676D59C2842_13</vt:lpwstr>
  </property>
  <property fmtid="{D5CDD505-2E9C-101B-9397-08002B2CF9AE}" pid="12" name="KSOTemplateDocerSaveRecord">
    <vt:lpwstr>eyJoZGlkIjoiMDJhMjUwODI5ZjgxNzlmODFjZDI1YWFkOWZmYjBkY2YiLCJ1c2VySWQiOiIzNzI4NzIwOTgzNjUzIn0=</vt:lpwstr>
  </property>
</Properties>
</file>