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0F545A" w14:textId="77777777" w:rsidR="00656C93" w:rsidRPr="00656C93" w:rsidRDefault="00656C93" w:rsidP="00656C93">
      <w:pPr>
        <w:rPr>
          <w:sz w:val="24"/>
          <w:szCs w:val="24"/>
          <w:u w:val="single"/>
        </w:rPr>
      </w:pPr>
      <w:r w:rsidRPr="00656C93">
        <w:rPr>
          <w:sz w:val="24"/>
          <w:szCs w:val="24"/>
          <w:u w:val="single"/>
        </w:rPr>
        <w:t>Classical Mythology in Roman and Medieval Times:</w:t>
      </w:r>
    </w:p>
    <w:p w14:paraId="4AC1851D" w14:textId="7D1C8F96" w:rsidR="00656C93" w:rsidRPr="00656C93" w:rsidRDefault="00656C93" w:rsidP="00656C93">
      <w:pPr>
        <w:rPr>
          <w:sz w:val="24"/>
          <w:szCs w:val="24"/>
          <w:u w:val="single"/>
        </w:rPr>
      </w:pPr>
      <w:r w:rsidRPr="00656C93">
        <w:rPr>
          <w:sz w:val="24"/>
          <w:szCs w:val="24"/>
          <w:u w:val="single"/>
        </w:rPr>
        <w:t>Assessment 1:</w:t>
      </w:r>
      <w:r>
        <w:rPr>
          <w:sz w:val="24"/>
          <w:szCs w:val="24"/>
          <w:u w:val="single"/>
        </w:rPr>
        <w:t xml:space="preserve"> ii: </w:t>
      </w:r>
      <w:r w:rsidRPr="00656C93">
        <w:rPr>
          <w:sz w:val="24"/>
          <w:szCs w:val="24"/>
          <w:u w:val="single"/>
        </w:rPr>
        <w:t xml:space="preserve">Give a detailed account of Alexander’s relationship with </w:t>
      </w:r>
      <w:proofErr w:type="spellStart"/>
      <w:r w:rsidRPr="00656C93">
        <w:rPr>
          <w:sz w:val="24"/>
          <w:szCs w:val="24"/>
          <w:u w:val="single"/>
        </w:rPr>
        <w:t>Bagoas</w:t>
      </w:r>
      <w:proofErr w:type="spellEnd"/>
      <w:r w:rsidRPr="00656C93">
        <w:rPr>
          <w:sz w:val="24"/>
          <w:szCs w:val="24"/>
          <w:u w:val="single"/>
        </w:rPr>
        <w:t xml:space="preserve"> in the sources and include analysis of reasons for the differences.</w:t>
      </w:r>
    </w:p>
    <w:p w14:paraId="23F3FBE8" w14:textId="6CA48396" w:rsidR="00451336" w:rsidRDefault="00656C93" w:rsidP="00656C93">
      <w:r>
        <w:t>Alexander the Grea</w:t>
      </w:r>
      <w:r w:rsidR="00DD0F81">
        <w:t>t, h</w:t>
      </w:r>
      <w:r w:rsidR="00CC112B">
        <w:t>is life</w:t>
      </w:r>
      <w:r w:rsidR="00DD0F81">
        <w:t xml:space="preserve"> </w:t>
      </w:r>
      <w:r w:rsidR="00CC112B">
        <w:t xml:space="preserve">and lasting legacy have always been a point of scholarly contention. If one wishes to research or write about Alexander </w:t>
      </w:r>
      <w:r w:rsidR="00DD0F81">
        <w:t>they</w:t>
      </w:r>
      <w:r w:rsidR="00CC112B">
        <w:t xml:space="preserve"> must first </w:t>
      </w:r>
      <w:r w:rsidR="00DD0F81">
        <w:t>accept</w:t>
      </w:r>
      <w:r w:rsidR="00CC112B">
        <w:t xml:space="preserve">, </w:t>
      </w:r>
      <w:r w:rsidR="00DD0F81">
        <w:t>the truth can never be known.</w:t>
      </w:r>
      <w:r w:rsidR="00CC112B">
        <w:t xml:space="preserve"> </w:t>
      </w:r>
      <w:r w:rsidR="00451336">
        <w:t xml:space="preserve">Attempting to utilise the knowledge we currently possess of Alexander to piece together his reality, is a futile endeavour. One would have to meticulously sift through sources to root out anecdotes, fables and dramatic fiction in order to access </w:t>
      </w:r>
      <w:r w:rsidR="00DD0F81">
        <w:t xml:space="preserve">the </w:t>
      </w:r>
      <w:r w:rsidR="00451336">
        <w:t xml:space="preserve">grain of truth from which they originally sprung. </w:t>
      </w:r>
      <w:r w:rsidR="00DD0F81">
        <w:t>U</w:t>
      </w:r>
      <w:r w:rsidR="00451336">
        <w:t xml:space="preserve">tilising source criticism to recover the truth of Alexander the Great has </w:t>
      </w:r>
      <w:r w:rsidR="00DD0F81">
        <w:t>been the predominant approach to source analysis.</w:t>
      </w:r>
      <w:r w:rsidR="00451336">
        <w:t xml:space="preserve"> A far more productive approach has emerged which aims to appreciate what surviving sources we do have simply in their own right.</w:t>
      </w:r>
      <w:r w:rsidR="00451336">
        <w:rPr>
          <w:rStyle w:val="FootnoteReference"/>
        </w:rPr>
        <w:footnoteReference w:id="1"/>
      </w:r>
    </w:p>
    <w:p w14:paraId="1BD4E687" w14:textId="4171E762" w:rsidR="00E931E2" w:rsidRDefault="00E931E2" w:rsidP="00656C93">
      <w:r>
        <w:t xml:space="preserve">In some </w:t>
      </w:r>
      <w:r w:rsidR="0049589F">
        <w:t>sources</w:t>
      </w:r>
      <w:r>
        <w:t xml:space="preserve">, mention is given to </w:t>
      </w:r>
      <w:r w:rsidR="00711B87">
        <w:t xml:space="preserve">a </w:t>
      </w:r>
      <w:r>
        <w:t>so called, “eunuch of remarkable beauty”,</w:t>
      </w:r>
      <w:r>
        <w:rPr>
          <w:rStyle w:val="FootnoteReference"/>
        </w:rPr>
        <w:footnoteReference w:id="2"/>
      </w:r>
      <w:r>
        <w:t xml:space="preserve"> in regard to the King</w:t>
      </w:r>
      <w:r w:rsidR="0049589F">
        <w:t>,</w:t>
      </w:r>
      <w:r w:rsidR="00711B87">
        <w:t xml:space="preserve"> </w:t>
      </w:r>
      <w:proofErr w:type="spellStart"/>
      <w:r w:rsidR="00711B87">
        <w:t>Bagoas</w:t>
      </w:r>
      <w:proofErr w:type="spellEnd"/>
      <w:r w:rsidR="00711B87">
        <w:t>.</w:t>
      </w:r>
      <w:r>
        <w:t xml:space="preserve"> Quintus Curtius Rufus presents him in book six and ten</w:t>
      </w:r>
      <w:r w:rsidR="0049589F">
        <w:t>.</w:t>
      </w:r>
      <w:r>
        <w:t xml:space="preserve"> Plutarch</w:t>
      </w:r>
      <w:r w:rsidR="0049589F">
        <w:t xml:space="preserve"> includes him</w:t>
      </w:r>
      <w:r>
        <w:t xml:space="preserve"> in, </w:t>
      </w:r>
      <w:r>
        <w:rPr>
          <w:i/>
          <w:iCs/>
        </w:rPr>
        <w:t xml:space="preserve">Life of Alexander. </w:t>
      </w:r>
      <w:r>
        <w:t xml:space="preserve">He is however missing from Justin and </w:t>
      </w:r>
      <w:proofErr w:type="spellStart"/>
      <w:r>
        <w:t>Arrian</w:t>
      </w:r>
      <w:proofErr w:type="spellEnd"/>
      <w:r>
        <w:t>.</w:t>
      </w:r>
      <w:r>
        <w:rPr>
          <w:rStyle w:val="FootnoteReference"/>
        </w:rPr>
        <w:footnoteReference w:id="3"/>
      </w:r>
      <w:r>
        <w:t xml:space="preserve"> </w:t>
      </w:r>
      <w:r w:rsidR="00711B87">
        <w:t xml:space="preserve">The </w:t>
      </w:r>
      <w:r>
        <w:t xml:space="preserve">treatment of </w:t>
      </w:r>
      <w:proofErr w:type="spellStart"/>
      <w:r>
        <w:t>Bagoas</w:t>
      </w:r>
      <w:proofErr w:type="spellEnd"/>
      <w:r>
        <w:t xml:space="preserve"> in source tradition invites speculation of the legitimacy of his personage and validity of his narrative role. </w:t>
      </w:r>
      <w:r w:rsidR="00A04BF5">
        <w:t>He can be seen as, “one of the most controversial figures in Alexander’s career”.</w:t>
      </w:r>
      <w:r w:rsidR="00A04BF5">
        <w:rPr>
          <w:rStyle w:val="FootnoteReference"/>
        </w:rPr>
        <w:footnoteReference w:id="4"/>
      </w:r>
      <w:r w:rsidR="00A04BF5">
        <w:t xml:space="preserve"> </w:t>
      </w:r>
      <w:r>
        <w:t xml:space="preserve">In considering the similarities and differences between accounts of </w:t>
      </w:r>
      <w:proofErr w:type="spellStart"/>
      <w:r>
        <w:t>Bagoas</w:t>
      </w:r>
      <w:proofErr w:type="spellEnd"/>
      <w:r>
        <w:t xml:space="preserve">, particularly his relationship </w:t>
      </w:r>
      <w:r w:rsidRPr="00E931E2">
        <w:rPr>
          <w:i/>
          <w:iCs/>
        </w:rPr>
        <w:t>to</w:t>
      </w:r>
      <w:r>
        <w:t xml:space="preserve"> or </w:t>
      </w:r>
      <w:r w:rsidRPr="00E931E2">
        <w:rPr>
          <w:i/>
          <w:iCs/>
        </w:rPr>
        <w:t>with</w:t>
      </w:r>
      <w:r>
        <w:t xml:space="preserve"> Alexander, clarity may emerge as to his usage, or lack thereof, in ancient sources. </w:t>
      </w:r>
    </w:p>
    <w:p w14:paraId="337A3395" w14:textId="6ACC4C98" w:rsidR="00BD4444" w:rsidRDefault="00E931E2" w:rsidP="00656C93">
      <w:r>
        <w:t xml:space="preserve">Curtius introduces </w:t>
      </w:r>
      <w:proofErr w:type="spellStart"/>
      <w:r>
        <w:t>Bagoas</w:t>
      </w:r>
      <w:proofErr w:type="spellEnd"/>
      <w:r>
        <w:t xml:space="preserve"> in book six of his</w:t>
      </w:r>
      <w:r w:rsidRPr="00E931E2">
        <w:t xml:space="preserve"> </w:t>
      </w:r>
      <w:proofErr w:type="spellStart"/>
      <w:r w:rsidRPr="00E931E2">
        <w:rPr>
          <w:i/>
          <w:iCs/>
        </w:rPr>
        <w:t>Historiae</w:t>
      </w:r>
      <w:proofErr w:type="spellEnd"/>
      <w:r w:rsidRPr="00E931E2">
        <w:rPr>
          <w:i/>
          <w:iCs/>
        </w:rPr>
        <w:t xml:space="preserve"> </w:t>
      </w:r>
      <w:proofErr w:type="spellStart"/>
      <w:r w:rsidRPr="00E931E2">
        <w:rPr>
          <w:i/>
          <w:iCs/>
        </w:rPr>
        <w:t>Alexandri</w:t>
      </w:r>
      <w:proofErr w:type="spellEnd"/>
      <w:r w:rsidRPr="00E931E2">
        <w:rPr>
          <w:i/>
          <w:iCs/>
        </w:rPr>
        <w:t xml:space="preserve"> </w:t>
      </w:r>
      <w:proofErr w:type="spellStart"/>
      <w:r w:rsidRPr="00E931E2">
        <w:rPr>
          <w:i/>
          <w:iCs/>
        </w:rPr>
        <w:t>Magni</w:t>
      </w:r>
      <w:proofErr w:type="spellEnd"/>
      <w:r>
        <w:t xml:space="preserve">. </w:t>
      </w:r>
      <w:r w:rsidR="00BD4444">
        <w:t xml:space="preserve">He practiced </w:t>
      </w:r>
      <w:r w:rsidR="00711B87">
        <w:t xml:space="preserve">a </w:t>
      </w:r>
      <w:r w:rsidR="00BD4444">
        <w:t>rhetorical approach meaning, presumably fabricated, speeches are included in his material.</w:t>
      </w:r>
      <w:r w:rsidR="00711B87">
        <w:t xml:space="preserve"> I</w:t>
      </w:r>
      <w:r w:rsidR="00BD4444">
        <w:t>t is generally accepted that Curtius is, “founded on good sources though detail cannot be relied upon”.</w:t>
      </w:r>
      <w:r w:rsidR="00BD4444">
        <w:rPr>
          <w:rStyle w:val="FootnoteReference"/>
        </w:rPr>
        <w:footnoteReference w:id="5"/>
      </w:r>
      <w:r w:rsidR="00BD4444">
        <w:t xml:space="preserve"> We also cannot determine which emperor he was writing </w:t>
      </w:r>
      <w:r w:rsidR="00711B87">
        <w:t xml:space="preserve">under; </w:t>
      </w:r>
      <w:r w:rsidR="00BD4444">
        <w:t xml:space="preserve">Claudius is generally accepted as sufficient. This is relevant to any discussion regarding Curtius due to the fact that his purpose for writing, style and freedom of speech have a significant influence on </w:t>
      </w:r>
      <w:r w:rsidR="0049589F">
        <w:t xml:space="preserve">his </w:t>
      </w:r>
      <w:r w:rsidR="00BD4444">
        <w:t>work. The first two books of his history did not survive</w:t>
      </w:r>
      <w:r w:rsidR="00711B87">
        <w:t xml:space="preserve">, </w:t>
      </w:r>
      <w:r w:rsidR="00BD4444">
        <w:t xml:space="preserve">as a result no biography or methodology are available from the author himself. </w:t>
      </w:r>
      <w:r w:rsidR="00711B87">
        <w:t xml:space="preserve">This </w:t>
      </w:r>
      <w:r w:rsidR="00BD4444">
        <w:t xml:space="preserve">leaves gaps in our knowledge of his aims and sources making any comment on either guess work at best. </w:t>
      </w:r>
    </w:p>
    <w:p w14:paraId="1A0D25BF" w14:textId="46949494" w:rsidR="00E931E2" w:rsidRDefault="00A04BF5" w:rsidP="00656C93">
      <w:r>
        <w:t xml:space="preserve">Curtius states it was in </w:t>
      </w:r>
      <w:proofErr w:type="spellStart"/>
      <w:r>
        <w:t>Hyrcania</w:t>
      </w:r>
      <w:proofErr w:type="spellEnd"/>
      <w:r>
        <w:t xml:space="preserve"> Alexander received </w:t>
      </w:r>
      <w:proofErr w:type="spellStart"/>
      <w:r>
        <w:t>Bagoas</w:t>
      </w:r>
      <w:proofErr w:type="spellEnd"/>
      <w:r>
        <w:t>,</w:t>
      </w:r>
      <w:r w:rsidR="00711B87">
        <w:t xml:space="preserve"> </w:t>
      </w:r>
      <w:r>
        <w:t xml:space="preserve">formerly an attendant of Darius, from </w:t>
      </w:r>
      <w:proofErr w:type="spellStart"/>
      <w:r>
        <w:t>Nabarzanes</w:t>
      </w:r>
      <w:proofErr w:type="spellEnd"/>
      <w:r>
        <w:t xml:space="preserve"> utilising him to gain Alexanders pardon. Curtius </w:t>
      </w:r>
      <w:r w:rsidR="00711B87">
        <w:t xml:space="preserve">suggests </w:t>
      </w:r>
      <w:r>
        <w:t xml:space="preserve">that Alexander regarded </w:t>
      </w:r>
      <w:proofErr w:type="spellStart"/>
      <w:r>
        <w:t>Bagoas</w:t>
      </w:r>
      <w:proofErr w:type="spellEnd"/>
      <w:r>
        <w:t xml:space="preserve"> as a, “great gift”,</w:t>
      </w:r>
      <w:r>
        <w:rPr>
          <w:rStyle w:val="FootnoteReference"/>
        </w:rPr>
        <w:footnoteReference w:id="6"/>
      </w:r>
      <w:r>
        <w:t xml:space="preserve"> and it was through </w:t>
      </w:r>
      <w:r w:rsidR="00711B87">
        <w:t>his</w:t>
      </w:r>
      <w:r>
        <w:t xml:space="preserve"> request that </w:t>
      </w:r>
      <w:proofErr w:type="spellStart"/>
      <w:r>
        <w:t>Nabarzanes</w:t>
      </w:r>
      <w:proofErr w:type="spellEnd"/>
      <w:r>
        <w:t xml:space="preserve"> became the sole person involved in the murder of Darius to gain the forgiveness of Alexander.</w:t>
      </w:r>
      <w:r>
        <w:rPr>
          <w:rStyle w:val="FootnoteReference"/>
        </w:rPr>
        <w:footnoteReference w:id="7"/>
      </w:r>
      <w:r>
        <w:t xml:space="preserve"> The subtle undertone of this account is the influence of </w:t>
      </w:r>
      <w:proofErr w:type="spellStart"/>
      <w:r>
        <w:t>Bagoas</w:t>
      </w:r>
      <w:proofErr w:type="spellEnd"/>
      <w:r>
        <w:t xml:space="preserve"> over Alexander</w:t>
      </w:r>
      <w:r w:rsidR="00BD4444">
        <w:t xml:space="preserve">, something which Curtius himself revisits later. </w:t>
      </w:r>
      <w:r w:rsidR="00D87BA0">
        <w:t>D</w:t>
      </w:r>
      <w:r>
        <w:t xml:space="preserve">etails given by Curtius at this stage </w:t>
      </w:r>
      <w:r w:rsidR="00D87BA0">
        <w:t>foreshadow</w:t>
      </w:r>
      <w:r>
        <w:t xml:space="preserve"> the second pentad of his work. Attention brought to the fact that </w:t>
      </w:r>
      <w:proofErr w:type="spellStart"/>
      <w:r>
        <w:t>Bagoas</w:t>
      </w:r>
      <w:proofErr w:type="spellEnd"/>
      <w:r>
        <w:t xml:space="preserve"> was, “loved by Darius and was afterwards to be loved by Alexander”,</w:t>
      </w:r>
      <w:r>
        <w:rPr>
          <w:rStyle w:val="FootnoteReference"/>
        </w:rPr>
        <w:footnoteReference w:id="8"/>
      </w:r>
      <w:r>
        <w:t xml:space="preserve"> link</w:t>
      </w:r>
      <w:r w:rsidR="00D87BA0">
        <w:t xml:space="preserve">s </w:t>
      </w:r>
      <w:r>
        <w:t xml:space="preserve">the previous Persian king and his habits or customs </w:t>
      </w:r>
      <w:r w:rsidR="00D87BA0">
        <w:t xml:space="preserve">to </w:t>
      </w:r>
      <w:r>
        <w:t xml:space="preserve">those of Macedonian Alexander. This relates more generally to the narrative structure of Curtius’ work as the second pentad is focused upon the decline of Alexander and his submission to Persian customs. </w:t>
      </w:r>
      <w:r w:rsidR="00BD4444">
        <w:t xml:space="preserve">The notion of Alexander becoming less </w:t>
      </w:r>
      <w:r w:rsidR="00BD4444">
        <w:lastRenderedPageBreak/>
        <w:t xml:space="preserve">Macedonian is a familiar aspect of the narrative tradition as it is said to be the cause of much unrest later in his reign. </w:t>
      </w:r>
      <w:r>
        <w:t xml:space="preserve">As the first book in this second half it is important to introduce and solidify a change in thematic </w:t>
      </w:r>
      <w:r w:rsidR="00BD4444">
        <w:t>development</w:t>
      </w:r>
      <w:r w:rsidR="004E4E33">
        <w:t>,</w:t>
      </w:r>
      <w:r w:rsidR="00BD4444">
        <w:t xml:space="preserve"> the episode detailing </w:t>
      </w:r>
      <w:proofErr w:type="spellStart"/>
      <w:r w:rsidR="00BD4444">
        <w:t>Bagoas</w:t>
      </w:r>
      <w:proofErr w:type="spellEnd"/>
      <w:r w:rsidR="00BD4444">
        <w:t xml:space="preserve"> assists in this</w:t>
      </w:r>
      <w:r>
        <w:t>.</w:t>
      </w:r>
      <w:r>
        <w:rPr>
          <w:rStyle w:val="FootnoteReference"/>
        </w:rPr>
        <w:footnoteReference w:id="9"/>
      </w:r>
    </w:p>
    <w:p w14:paraId="29E95058" w14:textId="3129555C" w:rsidR="00D87BA0" w:rsidRDefault="00D87BA0" w:rsidP="00656C93">
      <w:pPr>
        <w:rPr>
          <w:rFonts w:cstheme="minorHAnsi"/>
          <w:spacing w:val="-2"/>
        </w:rPr>
      </w:pPr>
      <w:r>
        <w:t>T</w:t>
      </w:r>
      <w:r w:rsidR="006D748D">
        <w:t xml:space="preserve">his is not the only account of </w:t>
      </w:r>
      <w:proofErr w:type="spellStart"/>
      <w:r w:rsidR="006D748D">
        <w:t>Bagoas</w:t>
      </w:r>
      <w:proofErr w:type="spellEnd"/>
      <w:r w:rsidR="006D748D">
        <w:t xml:space="preserve"> in Curtius’ work as in book ten he is revisited. </w:t>
      </w:r>
      <w:r>
        <w:t>V</w:t>
      </w:r>
      <w:r w:rsidR="006D748D">
        <w:t>illainised quite significantly in this account</w:t>
      </w:r>
      <w:r>
        <w:t xml:space="preserve"> </w:t>
      </w:r>
      <w:proofErr w:type="spellStart"/>
      <w:r>
        <w:t>Bagoas</w:t>
      </w:r>
      <w:proofErr w:type="spellEnd"/>
      <w:r>
        <w:t xml:space="preserve">’ characterisation has drastically changed. </w:t>
      </w:r>
      <w:r w:rsidR="006D748D">
        <w:t>Curtius refers to him as a, “</w:t>
      </w:r>
      <w:r w:rsidR="006D748D" w:rsidRPr="008E1CC1">
        <w:rPr>
          <w:rFonts w:cstheme="minorHAnsi"/>
          <w:spacing w:val="-2"/>
        </w:rPr>
        <w:t>guiltless man</w:t>
      </w:r>
      <w:r w:rsidR="006D748D">
        <w:rPr>
          <w:rFonts w:cstheme="minorHAnsi"/>
          <w:spacing w:val="-2"/>
        </w:rPr>
        <w:t>” and, “</w:t>
      </w:r>
      <w:r w:rsidR="006D748D" w:rsidRPr="00F164A2">
        <w:rPr>
          <w:rFonts w:cstheme="minorHAnsi"/>
          <w:spacing w:val="-2"/>
        </w:rPr>
        <w:t>shameless harlot</w:t>
      </w:r>
      <w:r w:rsidR="006D748D">
        <w:rPr>
          <w:rStyle w:val="FootnoteReference"/>
          <w:rFonts w:cstheme="minorHAnsi"/>
          <w:spacing w:val="-2"/>
        </w:rPr>
        <w:t xml:space="preserve"> </w:t>
      </w:r>
      <w:r w:rsidR="006D748D">
        <w:rPr>
          <w:rFonts w:cstheme="minorHAnsi"/>
          <w:spacing w:val="-2"/>
        </w:rPr>
        <w:t>“.</w:t>
      </w:r>
      <w:r w:rsidR="006D748D">
        <w:rPr>
          <w:rStyle w:val="FootnoteReference"/>
          <w:rFonts w:cstheme="minorHAnsi"/>
          <w:spacing w:val="-2"/>
        </w:rPr>
        <w:footnoteReference w:id="10"/>
      </w:r>
      <w:r w:rsidR="006D748D">
        <w:rPr>
          <w:rFonts w:cstheme="minorHAnsi"/>
          <w:spacing w:val="-2"/>
        </w:rPr>
        <w:t xml:space="preserve"> H</w:t>
      </w:r>
      <w:r w:rsidR="00073FEA">
        <w:rPr>
          <w:rFonts w:cstheme="minorHAnsi"/>
          <w:spacing w:val="-2"/>
        </w:rPr>
        <w:t>e</w:t>
      </w:r>
      <w:r w:rsidR="006D748D">
        <w:rPr>
          <w:rFonts w:cstheme="minorHAnsi"/>
          <w:spacing w:val="-2"/>
        </w:rPr>
        <w:t xml:space="preserve"> is accused of plotting the downfall and death of, “a blameless man” who showed Alexander, “great generosity” and, “remarkable kindness”.</w:t>
      </w:r>
      <w:r w:rsidR="006D748D">
        <w:rPr>
          <w:rStyle w:val="FootnoteReference"/>
          <w:rFonts w:cstheme="minorHAnsi"/>
          <w:spacing w:val="-2"/>
        </w:rPr>
        <w:footnoteReference w:id="11"/>
      </w:r>
      <w:r w:rsidR="00711B87">
        <w:rPr>
          <w:rFonts w:cstheme="minorHAnsi"/>
          <w:spacing w:val="-2"/>
        </w:rPr>
        <w:t xml:space="preserve"> </w:t>
      </w:r>
      <w:proofErr w:type="spellStart"/>
      <w:r w:rsidR="00711B87">
        <w:rPr>
          <w:rFonts w:cstheme="minorHAnsi"/>
          <w:spacing w:val="-2"/>
        </w:rPr>
        <w:t>Orsines</w:t>
      </w:r>
      <w:proofErr w:type="spellEnd"/>
      <w:r w:rsidR="00711B87">
        <w:rPr>
          <w:rFonts w:cstheme="minorHAnsi"/>
          <w:spacing w:val="-2"/>
        </w:rPr>
        <w:t xml:space="preserve"> was a prominent high born Persian </w:t>
      </w:r>
      <w:r>
        <w:rPr>
          <w:rFonts w:cstheme="minorHAnsi"/>
          <w:spacing w:val="-2"/>
        </w:rPr>
        <w:t>and</w:t>
      </w:r>
      <w:r w:rsidR="00711B87">
        <w:rPr>
          <w:rFonts w:cstheme="minorHAnsi"/>
          <w:spacing w:val="-2"/>
        </w:rPr>
        <w:t xml:space="preserve"> satrap of </w:t>
      </w:r>
      <w:proofErr w:type="spellStart"/>
      <w:r w:rsidR="00711B87">
        <w:rPr>
          <w:rFonts w:cstheme="minorHAnsi"/>
          <w:spacing w:val="-2"/>
        </w:rPr>
        <w:t>Parsagada</w:t>
      </w:r>
      <w:proofErr w:type="spellEnd"/>
      <w:r>
        <w:rPr>
          <w:rFonts w:cstheme="minorHAnsi"/>
          <w:spacing w:val="-2"/>
        </w:rPr>
        <w:t>.</w:t>
      </w:r>
      <w:r w:rsidR="00711B87">
        <w:rPr>
          <w:rFonts w:cstheme="minorHAnsi"/>
          <w:spacing w:val="-2"/>
        </w:rPr>
        <w:t xml:space="preserve"> </w:t>
      </w:r>
      <w:r>
        <w:rPr>
          <w:rFonts w:cstheme="minorHAnsi"/>
          <w:spacing w:val="-2"/>
        </w:rPr>
        <w:t xml:space="preserve">He </w:t>
      </w:r>
      <w:r w:rsidR="00711B87">
        <w:rPr>
          <w:rFonts w:cstheme="minorHAnsi"/>
          <w:spacing w:val="-2"/>
        </w:rPr>
        <w:t xml:space="preserve">offended </w:t>
      </w:r>
      <w:proofErr w:type="spellStart"/>
      <w:r w:rsidR="00711B87">
        <w:rPr>
          <w:rFonts w:cstheme="minorHAnsi"/>
          <w:spacing w:val="-2"/>
        </w:rPr>
        <w:t>Bagoas</w:t>
      </w:r>
      <w:proofErr w:type="spellEnd"/>
      <w:r w:rsidR="00711B87">
        <w:rPr>
          <w:rFonts w:cstheme="minorHAnsi"/>
          <w:spacing w:val="-2"/>
        </w:rPr>
        <w:t xml:space="preserve"> by paying him no honour </w:t>
      </w:r>
      <w:r>
        <w:rPr>
          <w:rFonts w:cstheme="minorHAnsi"/>
          <w:spacing w:val="-2"/>
        </w:rPr>
        <w:t>where he had paid honour to others</w:t>
      </w:r>
      <w:r w:rsidR="00711B87">
        <w:rPr>
          <w:rFonts w:cstheme="minorHAnsi"/>
          <w:spacing w:val="-2"/>
        </w:rPr>
        <w:t>. Curtius reports that when questioned as to why he stated he was, “honouring the friend</w:t>
      </w:r>
      <w:r>
        <w:rPr>
          <w:rFonts w:cstheme="minorHAnsi"/>
          <w:spacing w:val="-2"/>
        </w:rPr>
        <w:t>s</w:t>
      </w:r>
      <w:r w:rsidR="00711B87">
        <w:rPr>
          <w:rFonts w:cstheme="minorHAnsi"/>
          <w:spacing w:val="-2"/>
        </w:rPr>
        <w:t xml:space="preserve"> of the king</w:t>
      </w:r>
      <w:r>
        <w:rPr>
          <w:rFonts w:cstheme="minorHAnsi"/>
          <w:spacing w:val="-2"/>
        </w:rPr>
        <w:t>,</w:t>
      </w:r>
      <w:r w:rsidR="00711B87">
        <w:rPr>
          <w:rFonts w:cstheme="minorHAnsi"/>
          <w:spacing w:val="-2"/>
        </w:rPr>
        <w:t xml:space="preserve"> not his harlots”.</w:t>
      </w:r>
      <w:r w:rsidR="00711B87">
        <w:rPr>
          <w:rStyle w:val="FootnoteReference"/>
          <w:rFonts w:cstheme="minorHAnsi"/>
          <w:spacing w:val="-2"/>
        </w:rPr>
        <w:footnoteReference w:id="12"/>
      </w:r>
      <w:r>
        <w:rPr>
          <w:rFonts w:cstheme="minorHAnsi"/>
          <w:spacing w:val="-2"/>
        </w:rPr>
        <w:t xml:space="preserve"> The subtle suggestion previously made by Curtius of </w:t>
      </w:r>
      <w:proofErr w:type="spellStart"/>
      <w:r>
        <w:rPr>
          <w:rFonts w:cstheme="minorHAnsi"/>
          <w:spacing w:val="-2"/>
        </w:rPr>
        <w:t>Bagoas</w:t>
      </w:r>
      <w:proofErr w:type="spellEnd"/>
      <w:r>
        <w:rPr>
          <w:rFonts w:cstheme="minorHAnsi"/>
          <w:spacing w:val="-2"/>
        </w:rPr>
        <w:t>’ influence is explicitly shown in this account when he is said to utilise his closeness with Alexander to, “fill the king’s ears with false charges”.</w:t>
      </w:r>
      <w:r>
        <w:rPr>
          <w:rStyle w:val="FootnoteReference"/>
          <w:rFonts w:cstheme="minorHAnsi"/>
          <w:spacing w:val="-2"/>
        </w:rPr>
        <w:footnoteReference w:id="13"/>
      </w:r>
      <w:r>
        <w:rPr>
          <w:rFonts w:cstheme="minorHAnsi"/>
          <w:spacing w:val="-2"/>
        </w:rPr>
        <w:t xml:space="preserve"> This change in their relationship and shifting power dynamic is expected when considering the wider narrative of a decline in Alexanders morality.</w:t>
      </w:r>
      <w:r w:rsidR="00F32560">
        <w:rPr>
          <w:rStyle w:val="FootnoteReference"/>
          <w:rFonts w:cstheme="minorHAnsi"/>
          <w:spacing w:val="-2"/>
        </w:rPr>
        <w:footnoteReference w:id="14"/>
      </w:r>
    </w:p>
    <w:p w14:paraId="08949BAB" w14:textId="51A865F5" w:rsidR="00DD0F81" w:rsidRDefault="00DD0F81" w:rsidP="00656C93">
      <w:pPr>
        <w:rPr>
          <w:rFonts w:cstheme="minorHAnsi"/>
          <w:spacing w:val="-2"/>
        </w:rPr>
      </w:pPr>
      <w:r>
        <w:rPr>
          <w:rFonts w:cstheme="minorHAnsi"/>
          <w:spacing w:val="-2"/>
        </w:rPr>
        <w:t xml:space="preserve">Where these accounts appear in Curtius another episode appears elsewhere. In Plutarch’s </w:t>
      </w:r>
      <w:r>
        <w:rPr>
          <w:rFonts w:cstheme="minorHAnsi"/>
          <w:i/>
          <w:iCs/>
          <w:spacing w:val="-2"/>
        </w:rPr>
        <w:t>Life of Alexander</w:t>
      </w:r>
      <w:r>
        <w:rPr>
          <w:rFonts w:cstheme="minorHAnsi"/>
          <w:spacing w:val="-2"/>
        </w:rPr>
        <w:t>, 67. Plutarch is clear in his intention to write not a factual history but rather to explore powerful individual virtues and vices as exemplary to the everyday Roman.</w:t>
      </w:r>
      <w:r>
        <w:rPr>
          <w:rStyle w:val="FootnoteReference"/>
          <w:rFonts w:cstheme="minorHAnsi"/>
          <w:spacing w:val="-2"/>
        </w:rPr>
        <w:footnoteReference w:id="15"/>
      </w:r>
      <w:r>
        <w:rPr>
          <w:rFonts w:cstheme="minorHAnsi"/>
          <w:spacing w:val="-2"/>
        </w:rPr>
        <w:t xml:space="preserve"> For this reason his narrative is not the most reliable</w:t>
      </w:r>
      <w:r w:rsidR="00073FEA">
        <w:rPr>
          <w:rFonts w:cstheme="minorHAnsi"/>
          <w:spacing w:val="-2"/>
        </w:rPr>
        <w:t>.</w:t>
      </w:r>
      <w:r>
        <w:rPr>
          <w:rFonts w:cstheme="minorHAnsi"/>
          <w:spacing w:val="-2"/>
        </w:rPr>
        <w:t xml:space="preserve"> </w:t>
      </w:r>
      <w:r w:rsidR="00073FEA">
        <w:rPr>
          <w:rFonts w:cstheme="minorHAnsi"/>
          <w:spacing w:val="-2"/>
        </w:rPr>
        <w:t>Indeed,</w:t>
      </w:r>
      <w:r>
        <w:rPr>
          <w:rFonts w:cstheme="minorHAnsi"/>
          <w:spacing w:val="-2"/>
        </w:rPr>
        <w:t xml:space="preserve"> he can be seen as having, “inconsistency that he contradicts for greater effect”.</w:t>
      </w:r>
      <w:r>
        <w:rPr>
          <w:rStyle w:val="FootnoteReference"/>
          <w:rFonts w:cstheme="minorHAnsi"/>
          <w:spacing w:val="-2"/>
        </w:rPr>
        <w:footnoteReference w:id="16"/>
      </w:r>
      <w:r>
        <w:rPr>
          <w:rFonts w:cstheme="minorHAnsi"/>
          <w:spacing w:val="-2"/>
        </w:rPr>
        <w:t xml:space="preserve"> In his account then</w:t>
      </w:r>
      <w:r w:rsidR="00073FEA">
        <w:rPr>
          <w:rFonts w:cstheme="minorHAnsi"/>
          <w:spacing w:val="-2"/>
        </w:rPr>
        <w:t>,</w:t>
      </w:r>
      <w:r>
        <w:rPr>
          <w:rFonts w:cstheme="minorHAnsi"/>
          <w:spacing w:val="-2"/>
        </w:rPr>
        <w:t xml:space="preserve"> his primary concern is that of Alexander’s character and how it comes across. </w:t>
      </w:r>
      <w:proofErr w:type="spellStart"/>
      <w:r>
        <w:rPr>
          <w:rFonts w:cstheme="minorHAnsi"/>
          <w:spacing w:val="-2"/>
        </w:rPr>
        <w:t>Bagoas</w:t>
      </w:r>
      <w:proofErr w:type="spellEnd"/>
      <w:r>
        <w:rPr>
          <w:rFonts w:cstheme="minorHAnsi"/>
          <w:spacing w:val="-2"/>
        </w:rPr>
        <w:t xml:space="preserve"> and Alexanders relationship is presented quite differently. After arriving in </w:t>
      </w:r>
      <w:proofErr w:type="spellStart"/>
      <w:r>
        <w:rPr>
          <w:rFonts w:cstheme="minorHAnsi"/>
          <w:spacing w:val="-2"/>
        </w:rPr>
        <w:t>Gedrosia</w:t>
      </w:r>
      <w:proofErr w:type="spellEnd"/>
      <w:r>
        <w:rPr>
          <w:rFonts w:cstheme="minorHAnsi"/>
          <w:spacing w:val="-2"/>
        </w:rPr>
        <w:t xml:space="preserve"> Alexander gave the army an opportunity to rest and held a festival. During said festival, “his favourite </w:t>
      </w:r>
      <w:proofErr w:type="spellStart"/>
      <w:r>
        <w:rPr>
          <w:rFonts w:cstheme="minorHAnsi"/>
          <w:spacing w:val="-2"/>
        </w:rPr>
        <w:t>Bagoas</w:t>
      </w:r>
      <w:proofErr w:type="spellEnd"/>
      <w:r>
        <w:rPr>
          <w:rFonts w:cstheme="minorHAnsi"/>
          <w:spacing w:val="-2"/>
        </w:rPr>
        <w:t xml:space="preserve"> won”,</w:t>
      </w:r>
      <w:r>
        <w:rPr>
          <w:rStyle w:val="FootnoteReference"/>
          <w:rFonts w:cstheme="minorHAnsi"/>
          <w:spacing w:val="-2"/>
        </w:rPr>
        <w:footnoteReference w:id="17"/>
      </w:r>
      <w:r>
        <w:rPr>
          <w:rFonts w:cstheme="minorHAnsi"/>
          <w:spacing w:val="-2"/>
        </w:rPr>
        <w:t xml:space="preserve"> upon returning to his seat besides the king was kissed at the request of the applauding audience. This account is given in such a way as to suggest it was not Alexanders desire that made him kiss </w:t>
      </w:r>
      <w:proofErr w:type="spellStart"/>
      <w:r>
        <w:rPr>
          <w:rFonts w:cstheme="minorHAnsi"/>
          <w:spacing w:val="-2"/>
        </w:rPr>
        <w:t>Bagoas</w:t>
      </w:r>
      <w:proofErr w:type="spellEnd"/>
      <w:r>
        <w:rPr>
          <w:rFonts w:cstheme="minorHAnsi"/>
          <w:spacing w:val="-2"/>
        </w:rPr>
        <w:t xml:space="preserve"> but rather the surrounding Macedonians who, “clapped and loudly bade the king kiss the victor”.</w:t>
      </w:r>
      <w:r>
        <w:rPr>
          <w:rStyle w:val="FootnoteReference"/>
          <w:rFonts w:cstheme="minorHAnsi"/>
          <w:spacing w:val="-2"/>
        </w:rPr>
        <w:footnoteReference w:id="18"/>
      </w:r>
      <w:r>
        <w:rPr>
          <w:rFonts w:cstheme="minorHAnsi"/>
          <w:spacing w:val="-2"/>
        </w:rPr>
        <w:t xml:space="preserve"> It is </w:t>
      </w:r>
      <w:r w:rsidR="00970C3F">
        <w:rPr>
          <w:rFonts w:cstheme="minorHAnsi"/>
          <w:spacing w:val="-2"/>
        </w:rPr>
        <w:t xml:space="preserve">an </w:t>
      </w:r>
      <w:r>
        <w:rPr>
          <w:rFonts w:cstheme="minorHAnsi"/>
          <w:spacing w:val="-2"/>
        </w:rPr>
        <w:t xml:space="preserve">anecdotal episode offered without much comment from Plutarch himself. It is mentioned elsewhere by </w:t>
      </w:r>
      <w:proofErr w:type="spellStart"/>
      <w:r>
        <w:rPr>
          <w:rFonts w:cstheme="minorHAnsi"/>
          <w:spacing w:val="-2"/>
        </w:rPr>
        <w:t>Dicaearchus</w:t>
      </w:r>
      <w:proofErr w:type="spellEnd"/>
      <w:r>
        <w:rPr>
          <w:rFonts w:cstheme="minorHAnsi"/>
          <w:spacing w:val="-2"/>
        </w:rPr>
        <w:t xml:space="preserve"> via </w:t>
      </w:r>
      <w:proofErr w:type="spellStart"/>
      <w:r>
        <w:rPr>
          <w:rFonts w:cstheme="minorHAnsi"/>
          <w:spacing w:val="-2"/>
        </w:rPr>
        <w:t>Athenaeus</w:t>
      </w:r>
      <w:proofErr w:type="spellEnd"/>
      <w:r>
        <w:rPr>
          <w:rFonts w:cstheme="minorHAnsi"/>
          <w:spacing w:val="-2"/>
        </w:rPr>
        <w:t xml:space="preserve"> a notable difference being that it was Alexanders pure, “infatuation with </w:t>
      </w:r>
      <w:proofErr w:type="spellStart"/>
      <w:r>
        <w:rPr>
          <w:rFonts w:cstheme="minorHAnsi"/>
          <w:spacing w:val="-2"/>
        </w:rPr>
        <w:t>Bagoas</w:t>
      </w:r>
      <w:proofErr w:type="spellEnd"/>
      <w:r>
        <w:rPr>
          <w:rFonts w:cstheme="minorHAnsi"/>
          <w:spacing w:val="-2"/>
        </w:rPr>
        <w:t>”,</w:t>
      </w:r>
      <w:r>
        <w:rPr>
          <w:rStyle w:val="FootnoteReference"/>
          <w:rFonts w:cstheme="minorHAnsi"/>
          <w:spacing w:val="-2"/>
        </w:rPr>
        <w:footnoteReference w:id="19"/>
      </w:r>
      <w:r>
        <w:rPr>
          <w:rFonts w:cstheme="minorHAnsi"/>
          <w:spacing w:val="-2"/>
        </w:rPr>
        <w:t xml:space="preserve"> which led to the kiss. </w:t>
      </w:r>
    </w:p>
    <w:p w14:paraId="6B5A1EC4" w14:textId="4D007858" w:rsidR="0030269C" w:rsidRPr="00DD0F81" w:rsidRDefault="0030269C" w:rsidP="00656C93">
      <w:pPr>
        <w:rPr>
          <w:rFonts w:cstheme="minorHAnsi"/>
          <w:spacing w:val="-2"/>
        </w:rPr>
      </w:pPr>
      <w:r>
        <w:rPr>
          <w:rFonts w:cstheme="minorHAnsi"/>
          <w:spacing w:val="-2"/>
        </w:rPr>
        <w:t xml:space="preserve">The difference in the sources accounts of Alexanders relationship with </w:t>
      </w:r>
      <w:proofErr w:type="spellStart"/>
      <w:r>
        <w:rPr>
          <w:rFonts w:cstheme="minorHAnsi"/>
          <w:spacing w:val="-2"/>
        </w:rPr>
        <w:t>Bagoas</w:t>
      </w:r>
      <w:proofErr w:type="spellEnd"/>
      <w:r>
        <w:rPr>
          <w:rFonts w:cstheme="minorHAnsi"/>
          <w:spacing w:val="-2"/>
        </w:rPr>
        <w:t xml:space="preserve"> could be a result of narrative purposes, personal moral standing, the intention of the work and its audience as well as the time period, imperial critique for example could be an undertone. Potentially which portrait tradition the author wished to utilise could </w:t>
      </w:r>
      <w:bookmarkStart w:id="0" w:name="_GoBack"/>
      <w:r>
        <w:rPr>
          <w:rFonts w:cstheme="minorHAnsi"/>
          <w:spacing w:val="-2"/>
        </w:rPr>
        <w:t>also</w:t>
      </w:r>
      <w:bookmarkEnd w:id="0"/>
      <w:r>
        <w:rPr>
          <w:rFonts w:cstheme="minorHAnsi"/>
          <w:spacing w:val="-2"/>
        </w:rPr>
        <w:t xml:space="preserve"> be influential. Two main thematic options were available, Peripatetic and Stoic representations of Alexander. One focused on a gradual moral decline and the other suggests an inherent negativity to be found in any ruler.</w:t>
      </w:r>
      <w:r w:rsidR="00D85B4B">
        <w:rPr>
          <w:rStyle w:val="FootnoteReference"/>
          <w:rFonts w:cstheme="minorHAnsi"/>
          <w:spacing w:val="-2"/>
        </w:rPr>
        <w:footnoteReference w:id="20"/>
      </w:r>
    </w:p>
    <w:p w14:paraId="20E3CD6F" w14:textId="501E70BD" w:rsidR="00D87BA0" w:rsidRDefault="00D87BA0" w:rsidP="00656C93">
      <w:pPr>
        <w:rPr>
          <w:rFonts w:cstheme="minorHAnsi"/>
          <w:spacing w:val="-2"/>
        </w:rPr>
      </w:pPr>
    </w:p>
    <w:p w14:paraId="3AD7D59C" w14:textId="4027EE0E" w:rsidR="00D85B4B" w:rsidRPr="00D85B4B" w:rsidRDefault="00D85B4B" w:rsidP="00656C93">
      <w:pPr>
        <w:rPr>
          <w:rFonts w:cstheme="minorHAnsi"/>
          <w:spacing w:val="-2"/>
          <w:sz w:val="24"/>
          <w:szCs w:val="24"/>
          <w:u w:val="single"/>
        </w:rPr>
      </w:pPr>
      <w:r w:rsidRPr="00D85B4B">
        <w:rPr>
          <w:rFonts w:cstheme="minorHAnsi"/>
          <w:spacing w:val="-2"/>
          <w:sz w:val="24"/>
          <w:szCs w:val="24"/>
          <w:u w:val="single"/>
        </w:rPr>
        <w:lastRenderedPageBreak/>
        <w:t>Bibliography:</w:t>
      </w:r>
    </w:p>
    <w:p w14:paraId="56E45631" w14:textId="3B1AE5DF" w:rsidR="00D85B4B" w:rsidRDefault="00D85B4B" w:rsidP="00656C93">
      <w:pPr>
        <w:rPr>
          <w:rFonts w:cstheme="minorHAnsi"/>
          <w:spacing w:val="-2"/>
          <w:u w:val="single"/>
        </w:rPr>
      </w:pPr>
      <w:r>
        <w:rPr>
          <w:rFonts w:cstheme="minorHAnsi"/>
          <w:spacing w:val="-2"/>
          <w:u w:val="single"/>
        </w:rPr>
        <w:t>Ancient Sources:</w:t>
      </w:r>
    </w:p>
    <w:p w14:paraId="6B7008D0" w14:textId="77777777" w:rsidR="00D85B4B" w:rsidRPr="00D85B4B" w:rsidRDefault="00D85B4B" w:rsidP="00656C93">
      <w:pPr>
        <w:rPr>
          <w:rFonts w:cstheme="minorHAnsi"/>
          <w:spacing w:val="-2"/>
        </w:rPr>
      </w:pPr>
      <w:proofErr w:type="spellStart"/>
      <w:r>
        <w:rPr>
          <w:rFonts w:cstheme="minorHAnsi"/>
          <w:spacing w:val="-2"/>
        </w:rPr>
        <w:t>Athenaeus</w:t>
      </w:r>
      <w:proofErr w:type="spellEnd"/>
      <w:r>
        <w:rPr>
          <w:rFonts w:cstheme="minorHAnsi"/>
          <w:spacing w:val="-2"/>
        </w:rPr>
        <w:t xml:space="preserve">, </w:t>
      </w:r>
      <w:r>
        <w:rPr>
          <w:rFonts w:cstheme="minorHAnsi"/>
          <w:i/>
          <w:iCs/>
          <w:spacing w:val="-2"/>
        </w:rPr>
        <w:t xml:space="preserve">The Learned Banqueters. </w:t>
      </w:r>
      <w:r>
        <w:rPr>
          <w:rFonts w:cstheme="minorHAnsi"/>
          <w:spacing w:val="-2"/>
        </w:rPr>
        <w:t xml:space="preserve">(2007). Douglas Olson, S. (trans.). Loeb Classical Library. Cambridge, MA: Harvard University Press. </w:t>
      </w:r>
    </w:p>
    <w:p w14:paraId="440F10EB" w14:textId="77777777" w:rsidR="00D85B4B" w:rsidRPr="00D85B4B" w:rsidRDefault="00D85B4B" w:rsidP="00656C93">
      <w:pPr>
        <w:rPr>
          <w:rFonts w:cstheme="minorHAnsi"/>
          <w:spacing w:val="-2"/>
        </w:rPr>
      </w:pPr>
      <w:r>
        <w:rPr>
          <w:rFonts w:cstheme="minorHAnsi"/>
          <w:spacing w:val="-2"/>
        </w:rPr>
        <w:t xml:space="preserve">Plutarch, </w:t>
      </w:r>
      <w:r>
        <w:rPr>
          <w:rFonts w:cstheme="minorHAnsi"/>
          <w:i/>
          <w:iCs/>
          <w:spacing w:val="-2"/>
        </w:rPr>
        <w:t xml:space="preserve">Lives, Volume VII: Demosthenes and Cicero, Alexander and Caesar. </w:t>
      </w:r>
      <w:r>
        <w:rPr>
          <w:rFonts w:cstheme="minorHAnsi"/>
          <w:spacing w:val="-2"/>
        </w:rPr>
        <w:t xml:space="preserve">(1919). Perrin, B. (trans.). Loeb Classical Library. Cambridge, MA: Harvard University Press. </w:t>
      </w:r>
    </w:p>
    <w:p w14:paraId="1108DCDE" w14:textId="77777777" w:rsidR="00D85B4B" w:rsidRPr="00D85B4B" w:rsidRDefault="00D85B4B" w:rsidP="00656C93">
      <w:pPr>
        <w:rPr>
          <w:rFonts w:cstheme="minorHAnsi"/>
          <w:spacing w:val="-2"/>
        </w:rPr>
      </w:pPr>
      <w:r>
        <w:rPr>
          <w:rFonts w:cstheme="minorHAnsi"/>
          <w:spacing w:val="-2"/>
        </w:rPr>
        <w:t xml:space="preserve">Quintus Curtius Rufus, </w:t>
      </w:r>
      <w:r>
        <w:rPr>
          <w:rFonts w:cstheme="minorHAnsi"/>
          <w:i/>
          <w:iCs/>
          <w:spacing w:val="-2"/>
        </w:rPr>
        <w:t xml:space="preserve">History of Alexander. </w:t>
      </w:r>
      <w:r>
        <w:rPr>
          <w:rFonts w:cstheme="minorHAnsi"/>
          <w:spacing w:val="-2"/>
        </w:rPr>
        <w:t xml:space="preserve">Rolfe, J.C. (trans.). Loeb Classical Library. Cambridge, MA: Harvard University Press. </w:t>
      </w:r>
    </w:p>
    <w:p w14:paraId="1F8ABEDD" w14:textId="69568C87" w:rsidR="00D85B4B" w:rsidRDefault="00D85B4B" w:rsidP="00656C93">
      <w:pPr>
        <w:rPr>
          <w:rFonts w:cstheme="minorHAnsi"/>
          <w:spacing w:val="-2"/>
          <w:u w:val="single"/>
        </w:rPr>
      </w:pPr>
      <w:r>
        <w:rPr>
          <w:rFonts w:cstheme="minorHAnsi"/>
          <w:spacing w:val="-2"/>
          <w:u w:val="single"/>
        </w:rPr>
        <w:t>Modern Scholarship:</w:t>
      </w:r>
    </w:p>
    <w:p w14:paraId="007F8BF3" w14:textId="53CFAD23" w:rsidR="00D85B4B" w:rsidRDefault="00D85B4B" w:rsidP="00656C93">
      <w:pPr>
        <w:rPr>
          <w:rFonts w:cstheme="minorHAnsi"/>
          <w:spacing w:val="-2"/>
        </w:rPr>
      </w:pPr>
      <w:r>
        <w:rPr>
          <w:rFonts w:cstheme="minorHAnsi"/>
          <w:spacing w:val="-2"/>
        </w:rPr>
        <w:t xml:space="preserve">Atkinson, J.E. (1994). </w:t>
      </w:r>
      <w:r w:rsidRPr="00D85B4B">
        <w:rPr>
          <w:rFonts w:cstheme="minorHAnsi"/>
          <w:i/>
          <w:iCs/>
          <w:spacing w:val="-2"/>
        </w:rPr>
        <w:t xml:space="preserve">A Commentary on Q. Curtius Rufus’ </w:t>
      </w:r>
      <w:proofErr w:type="spellStart"/>
      <w:r w:rsidRPr="00D85B4B">
        <w:rPr>
          <w:rFonts w:cstheme="minorHAnsi"/>
          <w:i/>
          <w:iCs/>
          <w:spacing w:val="-2"/>
        </w:rPr>
        <w:t>Historiae</w:t>
      </w:r>
      <w:proofErr w:type="spellEnd"/>
      <w:r w:rsidRPr="00D85B4B">
        <w:rPr>
          <w:rFonts w:cstheme="minorHAnsi"/>
          <w:i/>
          <w:iCs/>
          <w:spacing w:val="-2"/>
        </w:rPr>
        <w:t xml:space="preserve"> </w:t>
      </w:r>
      <w:proofErr w:type="spellStart"/>
      <w:r w:rsidRPr="00D85B4B">
        <w:rPr>
          <w:rFonts w:cstheme="minorHAnsi"/>
          <w:i/>
          <w:iCs/>
          <w:spacing w:val="-2"/>
        </w:rPr>
        <w:t>Alexandri</w:t>
      </w:r>
      <w:proofErr w:type="spellEnd"/>
      <w:r w:rsidRPr="00D85B4B">
        <w:rPr>
          <w:rFonts w:cstheme="minorHAnsi"/>
          <w:i/>
          <w:iCs/>
          <w:spacing w:val="-2"/>
        </w:rPr>
        <w:t xml:space="preserve"> </w:t>
      </w:r>
      <w:proofErr w:type="spellStart"/>
      <w:r w:rsidRPr="00D85B4B">
        <w:rPr>
          <w:rFonts w:cstheme="minorHAnsi"/>
          <w:i/>
          <w:iCs/>
          <w:spacing w:val="-2"/>
        </w:rPr>
        <w:t>Magni</w:t>
      </w:r>
      <w:proofErr w:type="spellEnd"/>
      <w:r w:rsidRPr="00D85B4B">
        <w:rPr>
          <w:rFonts w:cstheme="minorHAnsi"/>
          <w:i/>
          <w:iCs/>
          <w:spacing w:val="-2"/>
        </w:rPr>
        <w:t xml:space="preserve"> Books 5 to 7, 2</w:t>
      </w:r>
      <w:r>
        <w:rPr>
          <w:rFonts w:cstheme="minorHAnsi"/>
          <w:spacing w:val="-2"/>
        </w:rPr>
        <w:t xml:space="preserve">. Amsterdam: A. M. </w:t>
      </w:r>
      <w:proofErr w:type="spellStart"/>
      <w:r>
        <w:rPr>
          <w:rFonts w:cstheme="minorHAnsi"/>
          <w:spacing w:val="-2"/>
        </w:rPr>
        <w:t>Hakkert</w:t>
      </w:r>
      <w:proofErr w:type="spellEnd"/>
      <w:r>
        <w:rPr>
          <w:rFonts w:cstheme="minorHAnsi"/>
          <w:spacing w:val="-2"/>
        </w:rPr>
        <w:t>.</w:t>
      </w:r>
    </w:p>
    <w:p w14:paraId="6131F35A" w14:textId="4EBF8C68" w:rsidR="00D85B4B" w:rsidRPr="00D85B4B" w:rsidRDefault="00D85B4B" w:rsidP="00656C93">
      <w:pPr>
        <w:rPr>
          <w:rFonts w:cstheme="minorHAnsi"/>
          <w:spacing w:val="-2"/>
        </w:rPr>
      </w:pPr>
      <w:r>
        <w:rPr>
          <w:rFonts w:cstheme="minorHAnsi"/>
          <w:spacing w:val="-2"/>
        </w:rPr>
        <w:t xml:space="preserve">Atkinson, J.E.; Yardley, J.C. (2009). </w:t>
      </w:r>
      <w:r>
        <w:rPr>
          <w:rFonts w:cstheme="minorHAnsi"/>
          <w:i/>
          <w:iCs/>
          <w:spacing w:val="-2"/>
        </w:rPr>
        <w:t xml:space="preserve">Curtius Rufus, Histories of Alexander the Great, Book 10. </w:t>
      </w:r>
      <w:r>
        <w:rPr>
          <w:rFonts w:cstheme="minorHAnsi"/>
          <w:spacing w:val="-2"/>
        </w:rPr>
        <w:t xml:space="preserve">Oxford: Oxford University Press. </w:t>
      </w:r>
    </w:p>
    <w:p w14:paraId="3828A7D8" w14:textId="53F9BAA0" w:rsidR="00D85B4B" w:rsidRPr="00D85B4B" w:rsidRDefault="00D85B4B" w:rsidP="00656C93">
      <w:pPr>
        <w:rPr>
          <w:rFonts w:cstheme="minorHAnsi"/>
          <w:spacing w:val="-2"/>
        </w:rPr>
      </w:pPr>
      <w:r>
        <w:rPr>
          <w:rFonts w:cstheme="minorHAnsi"/>
          <w:spacing w:val="-2"/>
        </w:rPr>
        <w:t xml:space="preserve">Badin, E. (1958). ‘The Eunuch </w:t>
      </w:r>
      <w:proofErr w:type="spellStart"/>
      <w:r>
        <w:rPr>
          <w:rFonts w:cstheme="minorHAnsi"/>
          <w:spacing w:val="-2"/>
        </w:rPr>
        <w:t>Bagoas</w:t>
      </w:r>
      <w:proofErr w:type="spellEnd"/>
      <w:r>
        <w:rPr>
          <w:rFonts w:cstheme="minorHAnsi"/>
          <w:spacing w:val="-2"/>
        </w:rPr>
        <w:t xml:space="preserve">: A Study in Method’, </w:t>
      </w:r>
      <w:r>
        <w:rPr>
          <w:rFonts w:cstheme="minorHAnsi"/>
          <w:i/>
          <w:iCs/>
          <w:spacing w:val="-2"/>
        </w:rPr>
        <w:t xml:space="preserve">The Classical Quarterly. </w:t>
      </w:r>
      <w:r>
        <w:rPr>
          <w:rFonts w:cstheme="minorHAnsi"/>
          <w:spacing w:val="-2"/>
        </w:rPr>
        <w:t xml:space="preserve">8.3/4. 144-157. </w:t>
      </w:r>
    </w:p>
    <w:p w14:paraId="0ABBD6A6" w14:textId="3A6EC9B1" w:rsidR="00D85B4B" w:rsidRDefault="00D85B4B" w:rsidP="00656C93">
      <w:pPr>
        <w:rPr>
          <w:rFonts w:cstheme="minorHAnsi"/>
          <w:spacing w:val="-2"/>
        </w:rPr>
      </w:pPr>
      <w:proofErr w:type="spellStart"/>
      <w:r>
        <w:rPr>
          <w:rFonts w:cstheme="minorHAnsi"/>
          <w:spacing w:val="-2"/>
        </w:rPr>
        <w:t>Baynham</w:t>
      </w:r>
      <w:proofErr w:type="spellEnd"/>
      <w:r>
        <w:rPr>
          <w:rFonts w:cstheme="minorHAnsi"/>
          <w:spacing w:val="-2"/>
        </w:rPr>
        <w:t xml:space="preserve">, E. (1998). </w:t>
      </w:r>
      <w:r>
        <w:rPr>
          <w:rFonts w:cstheme="minorHAnsi"/>
          <w:i/>
          <w:iCs/>
          <w:spacing w:val="-2"/>
        </w:rPr>
        <w:t xml:space="preserve">Alexander the Great: The Unique </w:t>
      </w:r>
      <w:r w:rsidRPr="00D85B4B">
        <w:rPr>
          <w:rFonts w:cstheme="minorHAnsi"/>
          <w:i/>
          <w:iCs/>
          <w:spacing w:val="-2"/>
        </w:rPr>
        <w:t>History of Quintus Curtius</w:t>
      </w:r>
      <w:r>
        <w:rPr>
          <w:rFonts w:cstheme="minorHAnsi"/>
          <w:i/>
          <w:iCs/>
          <w:spacing w:val="-2"/>
        </w:rPr>
        <w:t xml:space="preserve">. </w:t>
      </w:r>
      <w:r>
        <w:rPr>
          <w:rFonts w:cstheme="minorHAnsi"/>
          <w:spacing w:val="-2"/>
        </w:rPr>
        <w:t>University of Michigan Press.</w:t>
      </w:r>
    </w:p>
    <w:p w14:paraId="473C6849" w14:textId="0300F57D" w:rsidR="00D85B4B" w:rsidRPr="00D85B4B" w:rsidRDefault="00D85B4B" w:rsidP="00656C93">
      <w:pPr>
        <w:rPr>
          <w:rFonts w:cstheme="minorHAnsi"/>
          <w:spacing w:val="-2"/>
        </w:rPr>
      </w:pPr>
      <w:proofErr w:type="spellStart"/>
      <w:r w:rsidRPr="00D85B4B">
        <w:rPr>
          <w:rFonts w:cstheme="minorHAnsi"/>
          <w:spacing w:val="-2"/>
        </w:rPr>
        <w:t>Baynham</w:t>
      </w:r>
      <w:proofErr w:type="spellEnd"/>
      <w:r w:rsidRPr="00D85B4B">
        <w:rPr>
          <w:rFonts w:cstheme="minorHAnsi"/>
          <w:spacing w:val="-2"/>
        </w:rPr>
        <w:t>, E.</w:t>
      </w:r>
      <w:r>
        <w:rPr>
          <w:rFonts w:cstheme="minorHAnsi"/>
          <w:spacing w:val="-2"/>
        </w:rPr>
        <w:t xml:space="preserve">; </w:t>
      </w:r>
      <w:r w:rsidRPr="00D85B4B">
        <w:rPr>
          <w:rFonts w:cstheme="minorHAnsi"/>
          <w:spacing w:val="-2"/>
        </w:rPr>
        <w:t xml:space="preserve">Ryan, T. (2018). "The Unmanly Ruler: </w:t>
      </w:r>
      <w:proofErr w:type="spellStart"/>
      <w:r w:rsidRPr="00D85B4B">
        <w:rPr>
          <w:rFonts w:cstheme="minorHAnsi"/>
          <w:spacing w:val="-2"/>
        </w:rPr>
        <w:t>Bagoas</w:t>
      </w:r>
      <w:proofErr w:type="spellEnd"/>
      <w:r w:rsidRPr="00D85B4B">
        <w:rPr>
          <w:rFonts w:cstheme="minorHAnsi"/>
          <w:spacing w:val="-2"/>
        </w:rPr>
        <w:t>, Alexander’s Eunuch Lover, Mary Renault’s The Persian Boy, and Alexander Reception". In “</w:t>
      </w:r>
      <w:r w:rsidRPr="00D85B4B">
        <w:rPr>
          <w:rFonts w:cstheme="minorHAnsi"/>
          <w:i/>
          <w:iCs/>
          <w:spacing w:val="-2"/>
        </w:rPr>
        <w:t xml:space="preserve">The Unmanly Ruler”: </w:t>
      </w:r>
      <w:proofErr w:type="spellStart"/>
      <w:r w:rsidRPr="00D85B4B">
        <w:rPr>
          <w:rFonts w:cstheme="minorHAnsi"/>
          <w:i/>
          <w:iCs/>
          <w:spacing w:val="-2"/>
        </w:rPr>
        <w:t>Bagoas</w:t>
      </w:r>
      <w:proofErr w:type="spellEnd"/>
      <w:r w:rsidRPr="00D85B4B">
        <w:rPr>
          <w:rFonts w:cstheme="minorHAnsi"/>
          <w:i/>
          <w:iCs/>
          <w:spacing w:val="-2"/>
        </w:rPr>
        <w:t>, Alexander’s Eunuch Lover, Mary Renault’s The Persian Boy, and Alexander Reception</w:t>
      </w:r>
      <w:r w:rsidRPr="00D85B4B">
        <w:rPr>
          <w:rFonts w:cstheme="minorHAnsi"/>
          <w:spacing w:val="-2"/>
        </w:rPr>
        <w:t>. Leiden, The Netherlands: Brill.</w:t>
      </w:r>
    </w:p>
    <w:p w14:paraId="632660B0" w14:textId="4F20DA98" w:rsidR="00D85B4B" w:rsidRPr="00D85B4B" w:rsidRDefault="00D85B4B" w:rsidP="00656C93">
      <w:pPr>
        <w:rPr>
          <w:rFonts w:cstheme="minorHAnsi"/>
          <w:spacing w:val="-2"/>
        </w:rPr>
      </w:pPr>
      <w:proofErr w:type="spellStart"/>
      <w:r>
        <w:rPr>
          <w:rFonts w:cstheme="minorHAnsi"/>
          <w:spacing w:val="-2"/>
        </w:rPr>
        <w:t>Chugg</w:t>
      </w:r>
      <w:proofErr w:type="spellEnd"/>
      <w:r>
        <w:rPr>
          <w:rFonts w:cstheme="minorHAnsi"/>
          <w:spacing w:val="-2"/>
        </w:rPr>
        <w:t xml:space="preserve">, A. (2012). </w:t>
      </w:r>
      <w:r w:rsidRPr="00D85B4B">
        <w:rPr>
          <w:rFonts w:cstheme="minorHAnsi"/>
          <w:i/>
          <w:iCs/>
          <w:spacing w:val="-2"/>
        </w:rPr>
        <w:t>Alexander's Lovers (Second Edition)</w:t>
      </w:r>
      <w:r>
        <w:rPr>
          <w:rFonts w:cstheme="minorHAnsi"/>
          <w:i/>
          <w:iCs/>
          <w:spacing w:val="-2"/>
        </w:rPr>
        <w:t xml:space="preserve">. </w:t>
      </w:r>
      <w:r w:rsidRPr="00D85B4B">
        <w:rPr>
          <w:rFonts w:cstheme="minorHAnsi"/>
          <w:spacing w:val="-2"/>
        </w:rPr>
        <w:t>Lulu.com</w:t>
      </w:r>
      <w:r>
        <w:rPr>
          <w:rFonts w:cstheme="minorHAnsi"/>
          <w:spacing w:val="-2"/>
        </w:rPr>
        <w:t>.</w:t>
      </w:r>
    </w:p>
    <w:p w14:paraId="038B77EC" w14:textId="35119893" w:rsidR="00D85B4B" w:rsidRPr="00D85B4B" w:rsidRDefault="00D85B4B" w:rsidP="00656C93">
      <w:pPr>
        <w:rPr>
          <w:rFonts w:cstheme="minorHAnsi"/>
          <w:spacing w:val="-2"/>
        </w:rPr>
      </w:pPr>
      <w:proofErr w:type="spellStart"/>
      <w:r>
        <w:rPr>
          <w:rFonts w:cstheme="minorHAnsi"/>
          <w:spacing w:val="-2"/>
        </w:rPr>
        <w:t>Howatson</w:t>
      </w:r>
      <w:proofErr w:type="spellEnd"/>
      <w:r>
        <w:rPr>
          <w:rFonts w:cstheme="minorHAnsi"/>
          <w:spacing w:val="-2"/>
        </w:rPr>
        <w:t xml:space="preserve">, M.C. (2011). </w:t>
      </w:r>
      <w:r>
        <w:rPr>
          <w:rFonts w:cstheme="minorHAnsi"/>
          <w:i/>
          <w:iCs/>
          <w:spacing w:val="-2"/>
        </w:rPr>
        <w:t xml:space="preserve">The Oxford Companion to Classical </w:t>
      </w:r>
      <w:proofErr w:type="spellStart"/>
      <w:r>
        <w:rPr>
          <w:rFonts w:cstheme="minorHAnsi"/>
          <w:i/>
          <w:iCs/>
          <w:spacing w:val="-2"/>
        </w:rPr>
        <w:t>Literarture</w:t>
      </w:r>
      <w:proofErr w:type="spellEnd"/>
      <w:r>
        <w:rPr>
          <w:rFonts w:cstheme="minorHAnsi"/>
          <w:i/>
          <w:iCs/>
          <w:spacing w:val="-2"/>
        </w:rPr>
        <w:t xml:space="preserve">. </w:t>
      </w:r>
      <w:r>
        <w:rPr>
          <w:rFonts w:cstheme="minorHAnsi"/>
          <w:spacing w:val="-2"/>
        </w:rPr>
        <w:t>Oxford University Press.</w:t>
      </w:r>
    </w:p>
    <w:p w14:paraId="0DFB6CDC" w14:textId="60503B20" w:rsidR="00D85B4B" w:rsidRPr="00D85B4B" w:rsidRDefault="00D85B4B" w:rsidP="00656C93">
      <w:pPr>
        <w:rPr>
          <w:rFonts w:cstheme="minorHAnsi"/>
          <w:spacing w:val="-2"/>
        </w:rPr>
      </w:pPr>
      <w:r>
        <w:rPr>
          <w:rFonts w:cstheme="minorHAnsi"/>
          <w:spacing w:val="-2"/>
        </w:rPr>
        <w:t xml:space="preserve">Roberts, J. (2007). </w:t>
      </w:r>
      <w:r>
        <w:rPr>
          <w:rFonts w:cstheme="minorHAnsi"/>
          <w:i/>
          <w:iCs/>
          <w:spacing w:val="-2"/>
        </w:rPr>
        <w:t xml:space="preserve">The Oxford Dictionary of the Classical World. </w:t>
      </w:r>
      <w:r>
        <w:rPr>
          <w:rFonts w:cstheme="minorHAnsi"/>
          <w:spacing w:val="-2"/>
        </w:rPr>
        <w:t>Oxford University Press.</w:t>
      </w:r>
    </w:p>
    <w:p w14:paraId="018BF56A" w14:textId="7E490EF4" w:rsidR="00D85B4B" w:rsidRPr="00D85B4B" w:rsidRDefault="00D85B4B" w:rsidP="00656C93">
      <w:pPr>
        <w:rPr>
          <w:rFonts w:cstheme="minorHAnsi"/>
          <w:spacing w:val="-2"/>
        </w:rPr>
      </w:pPr>
      <w:r>
        <w:rPr>
          <w:rFonts w:cstheme="minorHAnsi"/>
          <w:spacing w:val="-2"/>
        </w:rPr>
        <w:t xml:space="preserve">Wardman, A.E. (1955). ‘Plutarch and Alexander’, </w:t>
      </w:r>
      <w:r>
        <w:rPr>
          <w:rFonts w:cstheme="minorHAnsi"/>
          <w:i/>
          <w:iCs/>
          <w:spacing w:val="-2"/>
        </w:rPr>
        <w:t>The Classical Quarterly.</w:t>
      </w:r>
      <w:r>
        <w:rPr>
          <w:rFonts w:cstheme="minorHAnsi"/>
          <w:spacing w:val="-2"/>
        </w:rPr>
        <w:t xml:space="preserve"> 5.1/2. 96-107.</w:t>
      </w:r>
    </w:p>
    <w:sectPr w:rsidR="00D85B4B" w:rsidRPr="00D85B4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59174C" w14:textId="77777777" w:rsidR="00B92100" w:rsidRDefault="00B92100" w:rsidP="00451336">
      <w:pPr>
        <w:spacing w:after="0" w:line="240" w:lineRule="auto"/>
      </w:pPr>
      <w:r>
        <w:separator/>
      </w:r>
    </w:p>
  </w:endnote>
  <w:endnote w:type="continuationSeparator" w:id="0">
    <w:p w14:paraId="7F81A3A7" w14:textId="77777777" w:rsidR="00B92100" w:rsidRDefault="00B92100" w:rsidP="004513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97E358" w14:textId="77777777" w:rsidR="00B92100" w:rsidRDefault="00B92100" w:rsidP="00451336">
      <w:pPr>
        <w:spacing w:after="0" w:line="240" w:lineRule="auto"/>
      </w:pPr>
      <w:r>
        <w:separator/>
      </w:r>
    </w:p>
  </w:footnote>
  <w:footnote w:type="continuationSeparator" w:id="0">
    <w:p w14:paraId="4072D87B" w14:textId="77777777" w:rsidR="00B92100" w:rsidRDefault="00B92100" w:rsidP="00451336">
      <w:pPr>
        <w:spacing w:after="0" w:line="240" w:lineRule="auto"/>
      </w:pPr>
      <w:r>
        <w:continuationSeparator/>
      </w:r>
    </w:p>
  </w:footnote>
  <w:footnote w:id="1">
    <w:p w14:paraId="32EF8F67" w14:textId="4B0E1B2F" w:rsidR="00451336" w:rsidRDefault="00451336">
      <w:pPr>
        <w:pStyle w:val="FootnoteText"/>
      </w:pPr>
      <w:r>
        <w:rPr>
          <w:rStyle w:val="FootnoteReference"/>
        </w:rPr>
        <w:footnoteRef/>
      </w:r>
      <w:r>
        <w:t xml:space="preserve"> Flower. </w:t>
      </w:r>
      <w:r w:rsidR="00E931E2">
        <w:t>(</w:t>
      </w:r>
      <w:r>
        <w:t>2007</w:t>
      </w:r>
      <w:r w:rsidR="00E931E2">
        <w:t>)</w:t>
      </w:r>
      <w:r>
        <w:t>. 423.</w:t>
      </w:r>
    </w:p>
  </w:footnote>
  <w:footnote w:id="2">
    <w:p w14:paraId="69EC2A71" w14:textId="326CDDB6" w:rsidR="00E931E2" w:rsidRDefault="00E931E2">
      <w:pPr>
        <w:pStyle w:val="FootnoteText"/>
      </w:pPr>
      <w:r>
        <w:rPr>
          <w:rStyle w:val="FootnoteReference"/>
        </w:rPr>
        <w:footnoteRef/>
      </w:r>
      <w:r>
        <w:t xml:space="preserve"> Quintus Curtius Rufus. 6.5.22.</w:t>
      </w:r>
    </w:p>
  </w:footnote>
  <w:footnote w:id="3">
    <w:p w14:paraId="206C9948" w14:textId="71239B4B" w:rsidR="00E931E2" w:rsidRDefault="00E931E2">
      <w:pPr>
        <w:pStyle w:val="FootnoteText"/>
      </w:pPr>
      <w:r>
        <w:rPr>
          <w:rStyle w:val="FootnoteReference"/>
        </w:rPr>
        <w:footnoteRef/>
      </w:r>
      <w:r>
        <w:t xml:space="preserve"> </w:t>
      </w:r>
      <w:proofErr w:type="spellStart"/>
      <w:r w:rsidRPr="00E931E2">
        <w:t>Baynham</w:t>
      </w:r>
      <w:proofErr w:type="spellEnd"/>
      <w:r w:rsidRPr="00E931E2">
        <w:t>, E</w:t>
      </w:r>
      <w:r>
        <w:t>.;</w:t>
      </w:r>
      <w:r w:rsidRPr="00E931E2">
        <w:t xml:space="preserve"> Ryan, T. (2018).</w:t>
      </w:r>
    </w:p>
  </w:footnote>
  <w:footnote w:id="4">
    <w:p w14:paraId="36F6FFAD" w14:textId="3BE4D52D" w:rsidR="00A04BF5" w:rsidRDefault="00A04BF5">
      <w:pPr>
        <w:pStyle w:val="FootnoteText"/>
      </w:pPr>
      <w:r>
        <w:rPr>
          <w:rStyle w:val="FootnoteReference"/>
        </w:rPr>
        <w:footnoteRef/>
      </w:r>
      <w:r>
        <w:t xml:space="preserve"> </w:t>
      </w:r>
      <w:proofErr w:type="spellStart"/>
      <w:r>
        <w:t>Chugg</w:t>
      </w:r>
      <w:proofErr w:type="spellEnd"/>
      <w:r>
        <w:t>. (2012). 152.</w:t>
      </w:r>
    </w:p>
  </w:footnote>
  <w:footnote w:id="5">
    <w:p w14:paraId="4432D8D3" w14:textId="7BC89035" w:rsidR="00BD4444" w:rsidRDefault="00BD4444">
      <w:pPr>
        <w:pStyle w:val="FootnoteText"/>
      </w:pPr>
      <w:r>
        <w:rPr>
          <w:rStyle w:val="FootnoteReference"/>
        </w:rPr>
        <w:footnoteRef/>
      </w:r>
      <w:r>
        <w:t xml:space="preserve"> </w:t>
      </w:r>
      <w:proofErr w:type="spellStart"/>
      <w:r>
        <w:t>Howatson</w:t>
      </w:r>
      <w:proofErr w:type="spellEnd"/>
      <w:r>
        <w:t>. (2011).</w:t>
      </w:r>
    </w:p>
  </w:footnote>
  <w:footnote w:id="6">
    <w:p w14:paraId="11F75743" w14:textId="6762E116" w:rsidR="00A04BF5" w:rsidRDefault="00A04BF5">
      <w:pPr>
        <w:pStyle w:val="FootnoteText"/>
      </w:pPr>
      <w:r>
        <w:rPr>
          <w:rStyle w:val="FootnoteReference"/>
        </w:rPr>
        <w:footnoteRef/>
      </w:r>
      <w:r>
        <w:t xml:space="preserve"> Quintus Curtius Rufus. 6.5.22.</w:t>
      </w:r>
    </w:p>
  </w:footnote>
  <w:footnote w:id="7">
    <w:p w14:paraId="58F46F3C" w14:textId="6DA36B43" w:rsidR="00A04BF5" w:rsidRDefault="00A04BF5">
      <w:pPr>
        <w:pStyle w:val="FootnoteText"/>
      </w:pPr>
      <w:r>
        <w:rPr>
          <w:rStyle w:val="FootnoteReference"/>
        </w:rPr>
        <w:footnoteRef/>
      </w:r>
      <w:r>
        <w:t xml:space="preserve"> Badin. (1958). 144-157.</w:t>
      </w:r>
    </w:p>
  </w:footnote>
  <w:footnote w:id="8">
    <w:p w14:paraId="63B549EA" w14:textId="5D462EC8" w:rsidR="00A04BF5" w:rsidRDefault="00A04BF5">
      <w:pPr>
        <w:pStyle w:val="FootnoteText"/>
      </w:pPr>
      <w:r>
        <w:rPr>
          <w:rStyle w:val="FootnoteReference"/>
        </w:rPr>
        <w:footnoteRef/>
      </w:r>
      <w:r>
        <w:t xml:space="preserve"> Quintus Curtius Rufus. 6.5.22-23.</w:t>
      </w:r>
    </w:p>
  </w:footnote>
  <w:footnote w:id="9">
    <w:p w14:paraId="18992BAD" w14:textId="4ADA532D" w:rsidR="00A04BF5" w:rsidRDefault="00A04BF5">
      <w:pPr>
        <w:pStyle w:val="FootnoteText"/>
      </w:pPr>
      <w:r>
        <w:rPr>
          <w:rStyle w:val="FootnoteReference"/>
        </w:rPr>
        <w:footnoteRef/>
      </w:r>
      <w:r>
        <w:t xml:space="preserve"> Atkinson.; Yardley. (2009).</w:t>
      </w:r>
    </w:p>
  </w:footnote>
  <w:footnote w:id="10">
    <w:p w14:paraId="0B0DD179" w14:textId="291B73C8" w:rsidR="006D748D" w:rsidRDefault="006D748D">
      <w:pPr>
        <w:pStyle w:val="FootnoteText"/>
      </w:pPr>
      <w:r>
        <w:rPr>
          <w:rStyle w:val="FootnoteReference"/>
        </w:rPr>
        <w:footnoteRef/>
      </w:r>
      <w:r>
        <w:t xml:space="preserve"> </w:t>
      </w:r>
      <w:r w:rsidRPr="006D748D">
        <w:t>Quintus Curtius Rufus 10.1.22-42</w:t>
      </w:r>
      <w:r>
        <w:t>.</w:t>
      </w:r>
    </w:p>
  </w:footnote>
  <w:footnote w:id="11">
    <w:p w14:paraId="78C0760F" w14:textId="5F4A3958" w:rsidR="006D748D" w:rsidRDefault="006D748D">
      <w:pPr>
        <w:pStyle w:val="FootnoteText"/>
      </w:pPr>
      <w:r>
        <w:rPr>
          <w:rStyle w:val="FootnoteReference"/>
        </w:rPr>
        <w:footnoteRef/>
      </w:r>
      <w:r>
        <w:t xml:space="preserve"> </w:t>
      </w:r>
      <w:r w:rsidRPr="006D748D">
        <w:t>Quintus Curtius Rufus 10.1.22-42</w:t>
      </w:r>
      <w:r>
        <w:t>.</w:t>
      </w:r>
    </w:p>
  </w:footnote>
  <w:footnote w:id="12">
    <w:p w14:paraId="267D0CC4" w14:textId="3CE3E615" w:rsidR="00711B87" w:rsidRDefault="00711B87">
      <w:pPr>
        <w:pStyle w:val="FootnoteText"/>
      </w:pPr>
      <w:r>
        <w:rPr>
          <w:rStyle w:val="FootnoteReference"/>
        </w:rPr>
        <w:footnoteRef/>
      </w:r>
      <w:r>
        <w:t xml:space="preserve"> </w:t>
      </w:r>
      <w:r w:rsidRPr="006D748D">
        <w:t>Quintus Curtius Rufus 10.1.22-42</w:t>
      </w:r>
      <w:r>
        <w:t>.</w:t>
      </w:r>
    </w:p>
  </w:footnote>
  <w:footnote w:id="13">
    <w:p w14:paraId="693AEBB2" w14:textId="11516FDF" w:rsidR="00D87BA0" w:rsidRDefault="00D87BA0">
      <w:pPr>
        <w:pStyle w:val="FootnoteText"/>
      </w:pPr>
      <w:r>
        <w:rPr>
          <w:rStyle w:val="FootnoteReference"/>
        </w:rPr>
        <w:footnoteRef/>
      </w:r>
      <w:r>
        <w:t xml:space="preserve"> </w:t>
      </w:r>
      <w:r w:rsidRPr="006D748D">
        <w:t>Quintus Curtius Rufus 10.1.22-42</w:t>
      </w:r>
      <w:r>
        <w:t>.</w:t>
      </w:r>
    </w:p>
  </w:footnote>
  <w:footnote w:id="14">
    <w:p w14:paraId="06CCFC33" w14:textId="2B0900B9" w:rsidR="00F32560" w:rsidRDefault="00F32560">
      <w:pPr>
        <w:pStyle w:val="FootnoteText"/>
      </w:pPr>
      <w:r>
        <w:rPr>
          <w:rStyle w:val="FootnoteReference"/>
        </w:rPr>
        <w:footnoteRef/>
      </w:r>
      <w:r>
        <w:t xml:space="preserve"> Gunderson. (1982).</w:t>
      </w:r>
    </w:p>
  </w:footnote>
  <w:footnote w:id="15">
    <w:p w14:paraId="1BC11438" w14:textId="42DE02B5" w:rsidR="00DD0F81" w:rsidRDefault="00DD0F81">
      <w:pPr>
        <w:pStyle w:val="FootnoteText"/>
      </w:pPr>
      <w:r>
        <w:rPr>
          <w:rStyle w:val="FootnoteReference"/>
        </w:rPr>
        <w:footnoteRef/>
      </w:r>
      <w:r>
        <w:t xml:space="preserve"> Roberts. (2007).</w:t>
      </w:r>
    </w:p>
  </w:footnote>
  <w:footnote w:id="16">
    <w:p w14:paraId="7F7BD788" w14:textId="40F895CC" w:rsidR="00DD0F81" w:rsidRDefault="00DD0F81">
      <w:pPr>
        <w:pStyle w:val="FootnoteText"/>
      </w:pPr>
      <w:r>
        <w:rPr>
          <w:rStyle w:val="FootnoteReference"/>
        </w:rPr>
        <w:footnoteRef/>
      </w:r>
      <w:r>
        <w:t xml:space="preserve"> Wardman. (1955). 96-97.</w:t>
      </w:r>
    </w:p>
  </w:footnote>
  <w:footnote w:id="17">
    <w:p w14:paraId="75D104AF" w14:textId="428C4C17" w:rsidR="00DD0F81" w:rsidRPr="00DD0F81" w:rsidRDefault="00DD0F81">
      <w:pPr>
        <w:pStyle w:val="FootnoteText"/>
      </w:pPr>
      <w:r>
        <w:rPr>
          <w:rStyle w:val="FootnoteReference"/>
        </w:rPr>
        <w:footnoteRef/>
      </w:r>
      <w:r>
        <w:t xml:space="preserve"> Plutarch, </w:t>
      </w:r>
      <w:r>
        <w:rPr>
          <w:i/>
          <w:iCs/>
        </w:rPr>
        <w:t xml:space="preserve">Alexander, </w:t>
      </w:r>
      <w:r>
        <w:t xml:space="preserve">67. </w:t>
      </w:r>
    </w:p>
  </w:footnote>
  <w:footnote w:id="18">
    <w:p w14:paraId="3B54C909" w14:textId="509730F3" w:rsidR="00DD0F81" w:rsidRDefault="00DD0F81">
      <w:pPr>
        <w:pStyle w:val="FootnoteText"/>
      </w:pPr>
      <w:r>
        <w:rPr>
          <w:rStyle w:val="FootnoteReference"/>
        </w:rPr>
        <w:footnoteRef/>
      </w:r>
      <w:r>
        <w:t xml:space="preserve"> Plutarch, </w:t>
      </w:r>
      <w:r>
        <w:rPr>
          <w:i/>
          <w:iCs/>
        </w:rPr>
        <w:t xml:space="preserve">Alexander, </w:t>
      </w:r>
      <w:r>
        <w:t>67.</w:t>
      </w:r>
    </w:p>
  </w:footnote>
  <w:footnote w:id="19">
    <w:p w14:paraId="38A5C484" w14:textId="3FD3395B" w:rsidR="00DD0F81" w:rsidRDefault="00DD0F81">
      <w:pPr>
        <w:pStyle w:val="FootnoteText"/>
      </w:pPr>
      <w:r>
        <w:rPr>
          <w:rStyle w:val="FootnoteReference"/>
        </w:rPr>
        <w:footnoteRef/>
      </w:r>
      <w:r>
        <w:t xml:space="preserve"> </w:t>
      </w:r>
      <w:proofErr w:type="spellStart"/>
      <w:r w:rsidRPr="00DD0F81">
        <w:t>Athenaeus</w:t>
      </w:r>
      <w:proofErr w:type="spellEnd"/>
      <w:r>
        <w:t>.</w:t>
      </w:r>
      <w:r w:rsidRPr="00DD0F81">
        <w:t xml:space="preserve"> 603b</w:t>
      </w:r>
      <w:r>
        <w:t>.</w:t>
      </w:r>
    </w:p>
  </w:footnote>
  <w:footnote w:id="20">
    <w:p w14:paraId="74F2A0E7" w14:textId="0108F7FE" w:rsidR="00D85B4B" w:rsidRDefault="00D85B4B">
      <w:pPr>
        <w:pStyle w:val="FootnoteText"/>
      </w:pPr>
      <w:r>
        <w:rPr>
          <w:rStyle w:val="FootnoteReference"/>
        </w:rPr>
        <w:footnoteRef/>
      </w:r>
      <w:r>
        <w:t xml:space="preserve"> Wardman. (1955). 96-97.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C93"/>
    <w:rsid w:val="00073FEA"/>
    <w:rsid w:val="00293098"/>
    <w:rsid w:val="0030269C"/>
    <w:rsid w:val="00302BCB"/>
    <w:rsid w:val="003311D8"/>
    <w:rsid w:val="00390712"/>
    <w:rsid w:val="00394B28"/>
    <w:rsid w:val="003C6CCA"/>
    <w:rsid w:val="003D7870"/>
    <w:rsid w:val="004308EF"/>
    <w:rsid w:val="004454DF"/>
    <w:rsid w:val="00451336"/>
    <w:rsid w:val="00477B46"/>
    <w:rsid w:val="004903F8"/>
    <w:rsid w:val="0049589F"/>
    <w:rsid w:val="004D5A26"/>
    <w:rsid w:val="004E4E33"/>
    <w:rsid w:val="00524B45"/>
    <w:rsid w:val="005D0CAC"/>
    <w:rsid w:val="0060551A"/>
    <w:rsid w:val="00610E29"/>
    <w:rsid w:val="0064369A"/>
    <w:rsid w:val="00653BA2"/>
    <w:rsid w:val="00656C93"/>
    <w:rsid w:val="00690F54"/>
    <w:rsid w:val="006D2951"/>
    <w:rsid w:val="006D748D"/>
    <w:rsid w:val="00700015"/>
    <w:rsid w:val="00711B87"/>
    <w:rsid w:val="00744A17"/>
    <w:rsid w:val="00825B00"/>
    <w:rsid w:val="009148CA"/>
    <w:rsid w:val="00970C3F"/>
    <w:rsid w:val="009834C0"/>
    <w:rsid w:val="00993BD6"/>
    <w:rsid w:val="009970CE"/>
    <w:rsid w:val="009A183E"/>
    <w:rsid w:val="00A04BF5"/>
    <w:rsid w:val="00B92100"/>
    <w:rsid w:val="00BA1C29"/>
    <w:rsid w:val="00BD4444"/>
    <w:rsid w:val="00BE261C"/>
    <w:rsid w:val="00C21E1D"/>
    <w:rsid w:val="00C32D36"/>
    <w:rsid w:val="00C4029B"/>
    <w:rsid w:val="00C64C81"/>
    <w:rsid w:val="00CA7871"/>
    <w:rsid w:val="00CC112B"/>
    <w:rsid w:val="00D85B4B"/>
    <w:rsid w:val="00D87BA0"/>
    <w:rsid w:val="00DC6CEA"/>
    <w:rsid w:val="00DD0F81"/>
    <w:rsid w:val="00DD3FA6"/>
    <w:rsid w:val="00DD6F9E"/>
    <w:rsid w:val="00E00D45"/>
    <w:rsid w:val="00E243A4"/>
    <w:rsid w:val="00E41A97"/>
    <w:rsid w:val="00E759CD"/>
    <w:rsid w:val="00E931E2"/>
    <w:rsid w:val="00F23022"/>
    <w:rsid w:val="00F32560"/>
    <w:rsid w:val="00F354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D1286"/>
  <w15:chartTrackingRefBased/>
  <w15:docId w15:val="{9C1863A6-A703-49A7-A239-B0A7304FB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6C9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5133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51336"/>
    <w:rPr>
      <w:sz w:val="20"/>
      <w:szCs w:val="20"/>
    </w:rPr>
  </w:style>
  <w:style w:type="character" w:styleId="FootnoteReference">
    <w:name w:val="footnote reference"/>
    <w:basedOn w:val="DefaultParagraphFont"/>
    <w:uiPriority w:val="99"/>
    <w:semiHidden/>
    <w:unhideWhenUsed/>
    <w:rsid w:val="00451336"/>
    <w:rPr>
      <w:vertAlign w:val="superscript"/>
    </w:rPr>
  </w:style>
  <w:style w:type="paragraph" w:styleId="NormalWeb">
    <w:name w:val="Normal (Web)"/>
    <w:basedOn w:val="Normal"/>
    <w:uiPriority w:val="99"/>
    <w:unhideWhenUsed/>
    <w:rsid w:val="006D748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247</TotalTime>
  <Pages>3</Pages>
  <Words>1217</Words>
  <Characters>6941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Sheep</dc:creator>
  <cp:keywords/>
  <dc:description/>
  <cp:lastModifiedBy>Sophie Sheep</cp:lastModifiedBy>
  <cp:revision>185</cp:revision>
  <dcterms:created xsi:type="dcterms:W3CDTF">2020-01-13T11:59:00Z</dcterms:created>
  <dcterms:modified xsi:type="dcterms:W3CDTF">2020-01-13T17:15:00Z</dcterms:modified>
</cp:coreProperties>
</file>