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4F4AED1" w:rsidR="00986B43" w:rsidRPr="00BA0548" w:rsidRDefault="00986B43" w:rsidP="005D3F07">
            <w:pPr>
              <w:overflowPunct/>
              <w:autoSpaceDE/>
              <w:autoSpaceDN/>
              <w:adjustRightInd/>
              <w:ind w:right="-957"/>
              <w:textAlignment w:val="auto"/>
              <w:rPr>
                <w:rFonts w:ascii="Times New Roman" w:hAnsi="Times New Roman" w:cs="Times New Roman"/>
                <w:b/>
                <w:color w:val="auto"/>
                <w:sz w:val="44"/>
              </w:rPr>
            </w:pPr>
            <w:r w:rsidRPr="00BA0548">
              <w:rPr>
                <w:rFonts w:ascii="Times New Roman" w:hAnsi="Times New Roman" w:cs="Times New Roman"/>
                <w:b/>
                <w:color w:val="auto"/>
                <w:sz w:val="44"/>
              </w:rPr>
              <w:t>Learner’s name:</w:t>
            </w:r>
            <w:r w:rsidR="00247265" w:rsidRPr="00BA0548">
              <w:rPr>
                <w:rFonts w:ascii="Times New Roman" w:hAnsi="Times New Roman" w:cs="Times New Roman"/>
                <w:b/>
                <w:color w:val="auto"/>
                <w:sz w:val="44"/>
              </w:rPr>
              <w:t xml:space="preserve"> </w:t>
            </w:r>
            <w:r w:rsidR="00BA0548" w:rsidRPr="00BA0548">
              <w:rPr>
                <w:rFonts w:ascii="Times New Roman" w:hAnsi="Times New Roman" w:cs="Times New Roman"/>
                <w:b/>
                <w:color w:val="auto"/>
                <w:sz w:val="44"/>
              </w:rPr>
              <w:t>Mollie Snape</w:t>
            </w:r>
          </w:p>
          <w:p w14:paraId="0B6CD0DB" w14:textId="689515B5" w:rsidR="009C337F" w:rsidRPr="00BA0548" w:rsidRDefault="009C337F" w:rsidP="005D3F07">
            <w:pPr>
              <w:overflowPunct/>
              <w:autoSpaceDE/>
              <w:autoSpaceDN/>
              <w:adjustRightInd/>
              <w:ind w:right="-957"/>
              <w:textAlignment w:val="auto"/>
              <w:rPr>
                <w:rFonts w:ascii="Times New Roman" w:hAnsi="Times New Roman" w:cs="Times New Roman"/>
                <w:b/>
                <w:color w:val="auto"/>
                <w:sz w:val="44"/>
              </w:rPr>
            </w:pPr>
          </w:p>
          <w:p w14:paraId="3A6EAAC7" w14:textId="5B1E432E" w:rsidR="009C337F" w:rsidRPr="00BA0548" w:rsidRDefault="009C337F" w:rsidP="005D3F07">
            <w:pPr>
              <w:overflowPunct/>
              <w:autoSpaceDE/>
              <w:autoSpaceDN/>
              <w:adjustRightInd/>
              <w:ind w:right="-957"/>
              <w:textAlignment w:val="auto"/>
              <w:rPr>
                <w:rFonts w:ascii="Times New Roman" w:hAnsi="Times New Roman" w:cs="Times New Roman"/>
                <w:b/>
                <w:color w:val="auto"/>
                <w:sz w:val="44"/>
              </w:rPr>
            </w:pPr>
            <w:r w:rsidRPr="00BA0548">
              <w:rPr>
                <w:rFonts w:ascii="Times New Roman" w:hAnsi="Times New Roman" w:cs="Times New Roman"/>
                <w:b/>
                <w:color w:val="auto"/>
                <w:sz w:val="44"/>
              </w:rPr>
              <w:t>Email address:</w:t>
            </w:r>
            <w:r w:rsidR="00BA0548" w:rsidRPr="00BA0548">
              <w:rPr>
                <w:rFonts w:ascii="Times New Roman" w:hAnsi="Times New Roman" w:cs="Times New Roman"/>
                <w:b/>
                <w:color w:val="auto"/>
                <w:sz w:val="44"/>
              </w:rPr>
              <w:t xml:space="preserve"> molliesnape@yahoo.co.uk</w:t>
            </w:r>
          </w:p>
          <w:p w14:paraId="22E38809" w14:textId="77777777" w:rsidR="00986B43" w:rsidRPr="00BA0548" w:rsidRDefault="00986B43" w:rsidP="005D3F07">
            <w:pPr>
              <w:overflowPunct/>
              <w:autoSpaceDE/>
              <w:autoSpaceDN/>
              <w:adjustRightInd/>
              <w:ind w:right="-957"/>
              <w:textAlignment w:val="auto"/>
              <w:rPr>
                <w:rFonts w:ascii="Times New Roman" w:hAnsi="Times New Roman" w:cs="Times New Roman"/>
                <w:b/>
                <w:color w:val="auto"/>
                <w:sz w:val="44"/>
              </w:rPr>
            </w:pPr>
          </w:p>
          <w:p w14:paraId="0DE696B2" w14:textId="206EF12A" w:rsidR="00F927A1" w:rsidRPr="00BA0548" w:rsidRDefault="0085230E" w:rsidP="005D3F07">
            <w:pPr>
              <w:overflowPunct/>
              <w:autoSpaceDE/>
              <w:autoSpaceDN/>
              <w:adjustRightInd/>
              <w:ind w:right="-957"/>
              <w:textAlignment w:val="auto"/>
              <w:rPr>
                <w:rFonts w:ascii="Times New Roman" w:hAnsi="Times New Roman" w:cs="Times New Roman"/>
                <w:b/>
                <w:color w:val="auto"/>
                <w:sz w:val="44"/>
              </w:rPr>
            </w:pPr>
            <w:r w:rsidRPr="00BA0548">
              <w:rPr>
                <w:rFonts w:ascii="Times New Roman" w:hAnsi="Times New Roman" w:cs="Times New Roman"/>
                <w:b/>
                <w:color w:val="auto"/>
                <w:sz w:val="44"/>
              </w:rPr>
              <w:t>Learner’s University Registration</w:t>
            </w:r>
            <w:r w:rsidR="00F927A1" w:rsidRPr="00BA0548">
              <w:rPr>
                <w:rFonts w:ascii="Times New Roman" w:hAnsi="Times New Roman" w:cs="Times New Roman"/>
                <w:b/>
                <w:color w:val="auto"/>
                <w:sz w:val="44"/>
              </w:rPr>
              <w:t xml:space="preserve"> Number:</w:t>
            </w:r>
            <w:r w:rsidR="00BA0548" w:rsidRPr="00BA0548">
              <w:rPr>
                <w:rFonts w:ascii="Times New Roman" w:hAnsi="Times New Roman" w:cs="Times New Roman"/>
                <w:b/>
                <w:color w:val="auto"/>
                <w:sz w:val="44"/>
              </w:rPr>
              <w:t xml:space="preserve"> 2224345</w:t>
            </w:r>
          </w:p>
          <w:p w14:paraId="622FD17A" w14:textId="77777777" w:rsidR="0085230E" w:rsidRPr="00BA0548" w:rsidRDefault="0085230E" w:rsidP="005D3F07">
            <w:pPr>
              <w:overflowPunct/>
              <w:autoSpaceDE/>
              <w:autoSpaceDN/>
              <w:adjustRightInd/>
              <w:ind w:right="-957"/>
              <w:textAlignment w:val="auto"/>
              <w:rPr>
                <w:rFonts w:ascii="Times New Roman" w:hAnsi="Times New Roman" w:cs="Times New Roman"/>
                <w:b/>
                <w:color w:val="auto"/>
                <w:sz w:val="44"/>
              </w:rPr>
            </w:pPr>
          </w:p>
          <w:p w14:paraId="5F84129B" w14:textId="057692C7" w:rsidR="0085230E" w:rsidRPr="005D3F07" w:rsidRDefault="00BA0548" w:rsidP="00BA0548">
            <w:pPr>
              <w:overflowPunct/>
              <w:autoSpaceDE/>
              <w:autoSpaceDN/>
              <w:adjustRightInd/>
              <w:ind w:right="-957"/>
              <w:textAlignment w:val="auto"/>
              <w:rPr>
                <w:rFonts w:ascii="Times New Roman" w:hAnsi="Times New Roman" w:cs="Times New Roman"/>
                <w:b/>
                <w:color w:val="auto"/>
                <w:sz w:val="48"/>
              </w:rPr>
            </w:pPr>
            <w:r w:rsidRPr="00BA0548">
              <w:rPr>
                <w:rFonts w:ascii="Times New Roman" w:hAnsi="Times New Roman" w:cs="Times New Roman"/>
                <w:b/>
                <w:color w:val="auto"/>
                <w:sz w:val="44"/>
              </w:rPr>
              <w:t>Cohort: 20</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4FF8EBF3" w14:textId="4CD4B0A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1689D60E" w14:textId="58F90D25" w:rsidR="00BA0548" w:rsidRDefault="00BA0548" w:rsidP="00FF7EBB">
            <w:pPr>
              <w:jc w:val="both"/>
              <w:rPr>
                <w:sz w:val="24"/>
                <w:szCs w:val="24"/>
              </w:rPr>
            </w:pPr>
          </w:p>
          <w:p w14:paraId="3392993D" w14:textId="77777777" w:rsidR="00BA0548" w:rsidRPr="004522EF" w:rsidRDefault="00BA0548" w:rsidP="00BA0548">
            <w:pPr>
              <w:rPr>
                <w:sz w:val="24"/>
                <w:szCs w:val="24"/>
              </w:rPr>
            </w:pPr>
            <w:r w:rsidRPr="004522EF">
              <w:rPr>
                <w:bCs/>
                <w:sz w:val="24"/>
                <w:szCs w:val="24"/>
              </w:rPr>
              <w:t>An adult at risk is defined as a person over 18 who; is experiencing, or is at risk of experiencing, abuse or neglect, has needs for care and support whether or not the authority is meeting any of those needs, and as a result of those needs, is unable to protect him or herself against the abuse or neglect or the risk of it (SSWBA</w:t>
            </w:r>
            <w:r>
              <w:rPr>
                <w:bCs/>
                <w:sz w:val="24"/>
                <w:szCs w:val="24"/>
              </w:rPr>
              <w:t xml:space="preserve">, </w:t>
            </w:r>
            <w:r w:rsidRPr="004522EF">
              <w:rPr>
                <w:bCs/>
                <w:sz w:val="24"/>
                <w:szCs w:val="24"/>
              </w:rPr>
              <w:t xml:space="preserve">2014). The social Services and Wellbeing (Wales) Act (2014) underpins the safeguarding legislation in Wales for adults and children, although more specifically part 7 which covers adults at risk of significant harm or who are experiencing significant harm. The Act provides statutory duties and guidance for best practice when safeguarding adults at risk. If an adult is deemed at risk, there is a duty to report this to the relevant professionals, and then after a duty on services to provide safeguarding measures to protect the adult at risk, or to provide appropriate care and support. Thompson et al (2017) highlight the importance of workers being trained appropriately in areas of adult risk and safeguarding to ensure they are able to appropriately treat and support vulnerable adults. </w:t>
            </w:r>
            <w:r w:rsidRPr="004522EF">
              <w:rPr>
                <w:sz w:val="24"/>
                <w:szCs w:val="24"/>
              </w:rPr>
              <w:t xml:space="preserve">Local safeguarding boards contribute to policies and procedures nationally, and contribute to reviews. </w:t>
            </w:r>
          </w:p>
          <w:p w14:paraId="1A0D971F" w14:textId="77777777" w:rsidR="00BA0548" w:rsidRPr="004522EF" w:rsidRDefault="00BA0548" w:rsidP="00BA0548">
            <w:pPr>
              <w:rPr>
                <w:sz w:val="24"/>
                <w:szCs w:val="24"/>
              </w:rPr>
            </w:pPr>
          </w:p>
          <w:p w14:paraId="166B5190" w14:textId="77777777" w:rsidR="00BA0548" w:rsidRPr="004522EF" w:rsidRDefault="00BA0548" w:rsidP="00BA0548">
            <w:pPr>
              <w:rPr>
                <w:sz w:val="24"/>
                <w:szCs w:val="24"/>
              </w:rPr>
            </w:pPr>
            <w:r w:rsidRPr="004522EF">
              <w:rPr>
                <w:sz w:val="24"/>
                <w:szCs w:val="24"/>
              </w:rPr>
              <w:t xml:space="preserve">Within my time as a qualified social worker, I have worked closely with agencies who support vulnerable adults, and also worker alongside those adults myself. During these times it has been important to ensure my own understanding of the key pieces of legislation underpinning adults safeguarding, and to understand my own Local Authority’s policies and procedures. For example, when working with vulnerable adults who may lack mental capacity, The Mental Capacity Act (MCA) (2005) is used to support individuals with their decision making process across England and Wales. This allows for a trained professional to undertake a capacity assessment of the vulnerable adult, to determine if a person has capacity for decision making or not. Wilson et al (2010) argue the safeguarding benefits of this Act, whilst highlighting the importance of voice and control for vulnerable adults. For example, if a person is deemed to lack capacity in one area, they may still have competent decision making in another area. </w:t>
            </w:r>
          </w:p>
          <w:p w14:paraId="2E24B7DD" w14:textId="77777777" w:rsidR="00BA0548" w:rsidRPr="004522EF" w:rsidRDefault="00BA0548" w:rsidP="00BA0548">
            <w:pPr>
              <w:rPr>
                <w:sz w:val="24"/>
                <w:szCs w:val="24"/>
              </w:rPr>
            </w:pPr>
          </w:p>
          <w:p w14:paraId="51AE55C0" w14:textId="77777777" w:rsidR="00BA0548" w:rsidRPr="004522EF" w:rsidRDefault="00BA0548" w:rsidP="00BA0548">
            <w:pPr>
              <w:rPr>
                <w:sz w:val="24"/>
                <w:szCs w:val="24"/>
              </w:rPr>
            </w:pPr>
            <w:r w:rsidRPr="004522EF">
              <w:rPr>
                <w:sz w:val="24"/>
                <w:szCs w:val="24"/>
              </w:rPr>
              <w:t xml:space="preserve">It is clear that there are some conflictions between certain safeguarding legislation for adults, where both can be created in the hopes of safeguarding adults, but also contradicts another. The Human Rights Act (1998) sets out the fundamental rights and freedoms that everyone in the United Kingdom is entitled to. The Act highlights the right to private and family life, and right to personal liberty; which are protected for each individual, along with many others. However, The Mental Health Act (1989) allows for individual’s to be detained under this Act, if it is deemed the individual is a risk to themselves or others. Examples of this could be individuals with mental health disorders, learning disability, or this could be drug-induced. This is a clear conflict in legislation, although clear that both set out to safeguard adults. </w:t>
            </w:r>
          </w:p>
          <w:p w14:paraId="281C96FF" w14:textId="77777777" w:rsidR="00BA0548" w:rsidRPr="004522EF" w:rsidRDefault="00BA0548" w:rsidP="00BA0548">
            <w:pPr>
              <w:rPr>
                <w:sz w:val="24"/>
                <w:szCs w:val="24"/>
              </w:rPr>
            </w:pPr>
          </w:p>
          <w:p w14:paraId="6BD96BDB" w14:textId="77777777" w:rsidR="00BA0548" w:rsidRPr="004522EF" w:rsidRDefault="00BA0548" w:rsidP="00BA0548">
            <w:pPr>
              <w:rPr>
                <w:sz w:val="24"/>
                <w:szCs w:val="24"/>
              </w:rPr>
            </w:pPr>
            <w:r w:rsidRPr="004522EF">
              <w:rPr>
                <w:sz w:val="24"/>
                <w:szCs w:val="24"/>
              </w:rPr>
              <w:t>Word count – 509.</w:t>
            </w:r>
          </w:p>
          <w:p w14:paraId="657A1822" w14:textId="77777777" w:rsidR="00BA0548" w:rsidRDefault="00BA0548" w:rsidP="00FF7EBB">
            <w:pPr>
              <w:jc w:val="both"/>
              <w:rPr>
                <w:sz w:val="24"/>
                <w:szCs w:val="24"/>
              </w:rPr>
            </w:pP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6EF4F417" w14:textId="77777777" w:rsidR="00BA0548" w:rsidRDefault="00BA0548" w:rsidP="00FC0334">
            <w:pPr>
              <w:jc w:val="both"/>
              <w:rPr>
                <w:sz w:val="24"/>
                <w:szCs w:val="24"/>
              </w:rPr>
            </w:pPr>
          </w:p>
          <w:p w14:paraId="6BA3DD84" w14:textId="7587640F"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6616881C" w14:textId="70FBC086" w:rsidR="00BA0548" w:rsidRDefault="00BA0548" w:rsidP="00FC0334">
            <w:pPr>
              <w:jc w:val="both"/>
              <w:rPr>
                <w:i/>
                <w:sz w:val="24"/>
                <w:szCs w:val="24"/>
              </w:rPr>
            </w:pPr>
          </w:p>
          <w:p w14:paraId="2B01974C" w14:textId="77777777" w:rsidR="00BA0548" w:rsidRPr="004522EF" w:rsidRDefault="00BA0548" w:rsidP="00BA0548">
            <w:pPr>
              <w:rPr>
                <w:sz w:val="24"/>
                <w:szCs w:val="24"/>
              </w:rPr>
            </w:pPr>
            <w:r w:rsidRPr="004522EF">
              <w:rPr>
                <w:sz w:val="24"/>
                <w:szCs w:val="24"/>
              </w:rPr>
              <w:t xml:space="preserve">Safeguarding in adult’s social work is different to children’s due to numerous factors, which have implications for the way legislation is implemented with adults and children. For example, the legislation used for adults can be different than that used for safeguarding children, where pieces of legislation are specific to adults or children; such as the Children Act (1989) or The Metal Capacity Act (2005), which states that adults are able to decline care and support from services. This also applies for individual’s aged 16 and above, which means that they can decline care and support services. The Children Act (1989) allows for a child to be deprived of their liberties within secure accommodation due to criminality or risk which would be ruled by a judge. However, the Mental Capacity Act (2005) will assess an adult for capacity, and if they are deemed to have capacity, they have the right to decline care.  </w:t>
            </w:r>
          </w:p>
          <w:p w14:paraId="77160ABC" w14:textId="77777777" w:rsidR="00BA0548" w:rsidRPr="004522EF" w:rsidRDefault="00BA0548" w:rsidP="00BA0548">
            <w:pPr>
              <w:rPr>
                <w:sz w:val="24"/>
                <w:szCs w:val="24"/>
              </w:rPr>
            </w:pPr>
          </w:p>
          <w:p w14:paraId="23A6BD1E" w14:textId="77777777" w:rsidR="00BA0548" w:rsidRPr="004522EF" w:rsidRDefault="00BA0548" w:rsidP="00BA0548">
            <w:pPr>
              <w:rPr>
                <w:sz w:val="24"/>
                <w:szCs w:val="24"/>
              </w:rPr>
            </w:pPr>
            <w:r w:rsidRPr="004522EF">
              <w:rPr>
                <w:sz w:val="24"/>
                <w:szCs w:val="24"/>
              </w:rPr>
              <w:t xml:space="preserve">The Social Services and Wellbeing (Wales) Act (2014) covers safeguarding for both children and adults, although there are some differences within this legislation. For example, there is clearly a use of different language, and different processes to be followed with regards to safeguarding adults as opposed to children. It is also evident that a child’s parent can consent to their placement in care, however, as an adult this is not the case (Care Quality Commission, 2018). Children’s safeguarding cases will be heard at family court, which differs again from how cases of adult safeguarding would be managed, again highlighting the differing legislation which would underpin. Hempton and Williams (2011) explain how children are seen by many professionals from a young age, and their safety and wellbeing needs are monitored by professionals throughout their early life. These professionals, such as health visitors and teachers are safeguarding trained, and therefore are able to support and advise appropriately if and where needed. This indicates a higher level of preventative safeguarding for children, as opposed to adults.  </w:t>
            </w:r>
          </w:p>
          <w:p w14:paraId="4EB1F440" w14:textId="77777777" w:rsidR="00BA0548" w:rsidRPr="004522EF" w:rsidRDefault="00BA0548" w:rsidP="00BA0548">
            <w:pPr>
              <w:rPr>
                <w:sz w:val="24"/>
                <w:szCs w:val="24"/>
              </w:rPr>
            </w:pPr>
          </w:p>
          <w:p w14:paraId="1BF4189D" w14:textId="77777777" w:rsidR="00BA0548" w:rsidRPr="004522EF" w:rsidRDefault="00BA0548" w:rsidP="00BA0548">
            <w:pPr>
              <w:rPr>
                <w:sz w:val="24"/>
                <w:szCs w:val="24"/>
              </w:rPr>
            </w:pPr>
            <w:r w:rsidRPr="004522EF">
              <w:rPr>
                <w:sz w:val="24"/>
                <w:szCs w:val="24"/>
              </w:rPr>
              <w:t xml:space="preserve">Overall, it is clear that age plays a significant role in safeguarding legislation and decision making, with this also varying from 16 to 18 years old within differing pieces of legislation. There is importance placed on the voices of both children and adults in their own care, however, it is evident that adults are able to have more involvement within he decision making process generally more than children are, where there are additional measures to be considered, such as parental responsibility. </w:t>
            </w:r>
          </w:p>
          <w:p w14:paraId="7E60FEF2" w14:textId="77777777" w:rsidR="00BA0548" w:rsidRPr="004522EF" w:rsidRDefault="00BA0548" w:rsidP="00BA0548">
            <w:pPr>
              <w:rPr>
                <w:sz w:val="24"/>
                <w:szCs w:val="24"/>
              </w:rPr>
            </w:pPr>
          </w:p>
          <w:p w14:paraId="6A2187CB" w14:textId="77777777" w:rsidR="00BA0548" w:rsidRPr="004522EF" w:rsidRDefault="00BA0548" w:rsidP="00BA0548">
            <w:pPr>
              <w:rPr>
                <w:sz w:val="24"/>
                <w:szCs w:val="24"/>
              </w:rPr>
            </w:pPr>
            <w:r w:rsidRPr="004522EF">
              <w:rPr>
                <w:sz w:val="24"/>
                <w:szCs w:val="24"/>
              </w:rPr>
              <w:t>Word count - 406</w:t>
            </w:r>
          </w:p>
          <w:p w14:paraId="0515CC6B" w14:textId="77777777" w:rsidR="00BA0548" w:rsidRDefault="00BA0548" w:rsidP="00FC0334">
            <w:pPr>
              <w:jc w:val="both"/>
              <w:rPr>
                <w:i/>
                <w:sz w:val="24"/>
                <w:szCs w:val="24"/>
              </w:rPr>
            </w:pPr>
            <w:bookmarkStart w:id="0" w:name="_GoBack"/>
            <w:bookmarkEnd w:id="0"/>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6A26AC20" w:rsidR="00A5656A" w:rsidRDefault="00A5656A">
    <w:pPr>
      <w:pStyle w:val="Footer"/>
      <w:jc w:val="right"/>
    </w:pPr>
    <w:r>
      <w:fldChar w:fldCharType="begin"/>
    </w:r>
    <w:r>
      <w:instrText xml:space="preserve"> PAGE   \* MERGEFORMAT </w:instrText>
    </w:r>
    <w:r>
      <w:fldChar w:fldCharType="separate"/>
    </w:r>
    <w:r w:rsidR="00BA0548">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0548"/>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811F54AB-80B5-41B3-8FAC-AF3CDD0A33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1113</Words>
  <Characters>5893</Characters>
  <Application>Microsoft Office Word</Application>
  <DocSecurity>4</DocSecurity>
  <Lines>49</Lines>
  <Paragraphs>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Mollie Snape</cp:lastModifiedBy>
  <cp:revision>2</cp:revision>
  <cp:lastPrinted>2020-02-11T19:20:00Z</cp:lastPrinted>
  <dcterms:created xsi:type="dcterms:W3CDTF">2023-10-24T11:20:00Z</dcterms:created>
  <dcterms:modified xsi:type="dcterms:W3CDTF">2023-10-24T11:20:00Z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