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76BA24" w14:textId="1D753A59" w:rsidR="00486AF7" w:rsidRDefault="008F1F54">
      <w:pPr>
        <w:rPr>
          <w:sz w:val="52"/>
          <w:szCs w:val="52"/>
        </w:rPr>
      </w:pPr>
      <w:r w:rsidRPr="00486AF7">
        <w:rPr>
          <w:sz w:val="52"/>
          <w:szCs w:val="52"/>
        </w:rPr>
        <w:t>The Peace of Philocrates- 346BCE</w:t>
      </w:r>
    </w:p>
    <w:p w14:paraId="354C3296" w14:textId="473D7E8E" w:rsidR="00486AF7" w:rsidRDefault="00486AF7">
      <w:pPr>
        <w:rPr>
          <w:sz w:val="26"/>
          <w:szCs w:val="26"/>
        </w:rPr>
      </w:pPr>
    </w:p>
    <w:p w14:paraId="4C0B9E6B" w14:textId="5C1E214D" w:rsidR="00486AF7" w:rsidRPr="00B21A03" w:rsidRDefault="00486AF7" w:rsidP="00486AF7">
      <w:pPr>
        <w:rPr>
          <w:sz w:val="28"/>
          <w:szCs w:val="28"/>
        </w:rPr>
      </w:pPr>
      <w:r w:rsidRPr="00B21A03">
        <w:rPr>
          <w:sz w:val="28"/>
          <w:szCs w:val="28"/>
        </w:rPr>
        <w:t>Philocrates was an Athenian Politician who was the main negotiator in the peace treaty which drew a close to the 10 yearlong War of Amphipolis and therefore concluded the tension between Athens and Macedon (Rickard</w:t>
      </w:r>
      <w:r w:rsidR="00B21A03">
        <w:rPr>
          <w:sz w:val="28"/>
          <w:szCs w:val="28"/>
        </w:rPr>
        <w:t>,</w:t>
      </w:r>
      <w:r w:rsidRPr="00B21A03">
        <w:rPr>
          <w:sz w:val="28"/>
          <w:szCs w:val="28"/>
        </w:rPr>
        <w:t xml:space="preserve"> 2017). He originally pushed forward the idea of a peace treaty two years before in 348 BCE after Philip II of Macedon destroyed the city of </w:t>
      </w:r>
      <w:r w:rsidR="00B21A03" w:rsidRPr="00B21A03">
        <w:rPr>
          <w:sz w:val="28"/>
          <w:szCs w:val="28"/>
        </w:rPr>
        <w:t>Olynthus</w:t>
      </w:r>
      <w:r w:rsidRPr="00B21A03">
        <w:rPr>
          <w:sz w:val="28"/>
          <w:szCs w:val="28"/>
        </w:rPr>
        <w:t xml:space="preserve">, however Philip did not agree at the time (Adkins, 1998, pp. 72; Hazel, 2001, pp. 185-186). </w:t>
      </w:r>
      <w:r w:rsidRPr="00B21A03">
        <w:rPr>
          <w:sz w:val="28"/>
          <w:szCs w:val="28"/>
        </w:rPr>
        <w:t>Aeschines also point out that the negotiation may have also been assisted by Demosthenes (Aeschin. 3. 54).</w:t>
      </w:r>
      <w:r w:rsidRPr="00B21A03">
        <w:rPr>
          <w:sz w:val="28"/>
          <w:szCs w:val="28"/>
        </w:rPr>
        <w:t xml:space="preserve"> </w:t>
      </w:r>
    </w:p>
    <w:p w14:paraId="12E0B46E" w14:textId="51768F9D" w:rsidR="00486AF7" w:rsidRPr="00B21A03" w:rsidRDefault="00486AF7" w:rsidP="00486AF7">
      <w:pPr>
        <w:rPr>
          <w:sz w:val="28"/>
          <w:szCs w:val="28"/>
        </w:rPr>
      </w:pPr>
    </w:p>
    <w:p w14:paraId="4C7067F4" w14:textId="58620FB1" w:rsidR="00486AF7" w:rsidRPr="00B21A03" w:rsidRDefault="00486AF7" w:rsidP="00486AF7">
      <w:pPr>
        <w:rPr>
          <w:sz w:val="28"/>
          <w:szCs w:val="28"/>
        </w:rPr>
      </w:pPr>
      <w:r w:rsidRPr="00B21A03">
        <w:rPr>
          <w:sz w:val="28"/>
          <w:szCs w:val="28"/>
        </w:rPr>
        <w:t>Philocrates was prosecuted and fled Athens in 343 BCE as he was said to have been accepting bribes from Philip II of Macedon. He was exiled and then condemned to death whilst he remained out of Athens (Hazel, 2001, pp. 185-186).</w:t>
      </w:r>
    </w:p>
    <w:p w14:paraId="414147C4" w14:textId="51EBB021" w:rsidR="00486AF7" w:rsidRPr="00B21A03" w:rsidRDefault="00486AF7">
      <w:pPr>
        <w:rPr>
          <w:sz w:val="28"/>
          <w:szCs w:val="28"/>
        </w:rPr>
      </w:pPr>
    </w:p>
    <w:p w14:paraId="337151E4" w14:textId="0F6A46C8" w:rsidR="00B21A03" w:rsidRPr="00B21A03" w:rsidRDefault="00B21A03">
      <w:pPr>
        <w:rPr>
          <w:sz w:val="28"/>
          <w:szCs w:val="28"/>
        </w:rPr>
      </w:pPr>
      <w:r w:rsidRPr="00B21A03">
        <w:rPr>
          <w:rFonts w:ascii="Times New Roman" w:eastAsia="Times New Roman" w:hAnsi="Times New Roman" w:cs="Times New Roman"/>
          <w:noProof/>
          <w:sz w:val="28"/>
          <w:szCs w:val="28"/>
          <w:lang w:eastAsia="en-GB"/>
        </w:rPr>
        <w:drawing>
          <wp:anchor distT="0" distB="0" distL="114300" distR="114300" simplePos="0" relativeHeight="251658240" behindDoc="1" locked="0" layoutInCell="1" allowOverlap="1" wp14:anchorId="7BE6BE35" wp14:editId="13919F02">
            <wp:simplePos x="0" y="0"/>
            <wp:positionH relativeFrom="column">
              <wp:posOffset>-158750</wp:posOffset>
            </wp:positionH>
            <wp:positionV relativeFrom="paragraph">
              <wp:posOffset>94441</wp:posOffset>
            </wp:positionV>
            <wp:extent cx="3139440" cy="2350770"/>
            <wp:effectExtent l="0" t="0" r="0" b="0"/>
            <wp:wrapTight wrapText="bothSides">
              <wp:wrapPolygon edited="0">
                <wp:start x="0" y="0"/>
                <wp:lineTo x="0" y="21472"/>
                <wp:lineTo x="21495" y="21472"/>
                <wp:lineTo x="21495" y="0"/>
                <wp:lineTo x="0" y="0"/>
              </wp:wrapPolygon>
            </wp:wrapTight>
            <wp:docPr id="1" name="Picture 1" descr="Image result for peace of philocr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ace of philocrat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39440" cy="23507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21A03">
        <w:rPr>
          <w:sz w:val="28"/>
          <w:szCs w:val="28"/>
        </w:rPr>
        <w:t xml:space="preserve">The third Sacred War began when Phocis seized the Temple of Apollo in Delphi. Athens, which had previously been a member of the Amphictyonic league in both Peloponnesian Wars (in fact Athens was the leader/most powerful in said league), went on to ally with Phocis against other members of the Amphictyonic league which it was previously in partnership with. </w:t>
      </w:r>
      <w:r>
        <w:rPr>
          <w:sz w:val="28"/>
          <w:szCs w:val="28"/>
        </w:rPr>
        <w:t>This showed the breakdown on the Amphictyonic league and was one of the reasons that the peace could be decided upon.</w:t>
      </w:r>
    </w:p>
    <w:p w14:paraId="2F0F37E9" w14:textId="64445228" w:rsidR="00D455D0" w:rsidRPr="00B21A03" w:rsidRDefault="00D455D0">
      <w:pPr>
        <w:rPr>
          <w:sz w:val="28"/>
          <w:szCs w:val="28"/>
        </w:rPr>
      </w:pPr>
    </w:p>
    <w:p w14:paraId="30A66D0D" w14:textId="4B50E304" w:rsidR="00B21A03" w:rsidRPr="00B21A03" w:rsidRDefault="00D455D0">
      <w:pPr>
        <w:rPr>
          <w:i/>
          <w:iCs/>
          <w:color w:val="44546A" w:themeColor="text2"/>
          <w:sz w:val="28"/>
          <w:szCs w:val="28"/>
        </w:rPr>
      </w:pPr>
      <w:r w:rsidRPr="00B21A03">
        <w:rPr>
          <w:i/>
          <w:iCs/>
          <w:color w:val="44546A" w:themeColor="text2"/>
          <w:sz w:val="28"/>
          <w:szCs w:val="28"/>
        </w:rPr>
        <w:t>Fig</w:t>
      </w:r>
      <w:r w:rsidR="00B21A03" w:rsidRPr="00B21A03">
        <w:rPr>
          <w:i/>
          <w:iCs/>
          <w:color w:val="44546A" w:themeColor="text2"/>
          <w:sz w:val="28"/>
          <w:szCs w:val="28"/>
        </w:rPr>
        <w:t>ure</w:t>
      </w:r>
      <w:r w:rsidRPr="00B21A03">
        <w:rPr>
          <w:i/>
          <w:iCs/>
          <w:color w:val="44546A" w:themeColor="text2"/>
          <w:sz w:val="28"/>
          <w:szCs w:val="28"/>
        </w:rPr>
        <w:t xml:space="preserve"> 1</w:t>
      </w:r>
      <w:r w:rsidR="00B21A03" w:rsidRPr="00B21A03">
        <w:rPr>
          <w:i/>
          <w:iCs/>
          <w:color w:val="44546A" w:themeColor="text2"/>
          <w:sz w:val="28"/>
          <w:szCs w:val="28"/>
        </w:rPr>
        <w:t>:</w:t>
      </w:r>
      <w:r w:rsidRPr="00B21A03">
        <w:rPr>
          <w:i/>
          <w:iCs/>
          <w:color w:val="44546A" w:themeColor="text2"/>
          <w:sz w:val="28"/>
          <w:szCs w:val="28"/>
        </w:rPr>
        <w:t xml:space="preserve"> Third Sacred War</w:t>
      </w:r>
      <w:r w:rsidR="00B21A03" w:rsidRPr="00B21A03">
        <w:rPr>
          <w:i/>
          <w:iCs/>
          <w:color w:val="44546A" w:themeColor="text2"/>
          <w:sz w:val="28"/>
          <w:szCs w:val="28"/>
        </w:rPr>
        <w:t xml:space="preserve">. </w:t>
      </w:r>
    </w:p>
    <w:p w14:paraId="292FB6EC" w14:textId="0FF98F19" w:rsidR="00D455D0" w:rsidRPr="00B21A03" w:rsidRDefault="00D455D0">
      <w:pPr>
        <w:rPr>
          <w:color w:val="44546A" w:themeColor="text2"/>
          <w:sz w:val="28"/>
          <w:szCs w:val="28"/>
        </w:rPr>
      </w:pPr>
      <w:r w:rsidRPr="00B21A03">
        <w:rPr>
          <w:i/>
          <w:iCs/>
          <w:color w:val="44546A" w:themeColor="text2"/>
          <w:sz w:val="28"/>
          <w:szCs w:val="28"/>
        </w:rPr>
        <w:t>(</w:t>
      </w:r>
      <w:r w:rsidR="00B21A03" w:rsidRPr="00B21A03">
        <w:rPr>
          <w:i/>
          <w:iCs/>
          <w:color w:val="44546A" w:themeColor="text2"/>
          <w:sz w:val="28"/>
          <w:szCs w:val="28"/>
        </w:rPr>
        <w:t>Image from:</w:t>
      </w:r>
      <w:r w:rsidR="00B21A03" w:rsidRPr="00B21A03">
        <w:rPr>
          <w:color w:val="44546A" w:themeColor="text2"/>
          <w:sz w:val="28"/>
          <w:szCs w:val="28"/>
        </w:rPr>
        <w:t xml:space="preserve"> </w:t>
      </w:r>
      <w:hyperlink r:id="rId8" w:history="1">
        <w:r w:rsidR="00B21A03" w:rsidRPr="00B21A03">
          <w:rPr>
            <w:rStyle w:val="Hyperlink"/>
            <w:color w:val="44546A" w:themeColor="text2"/>
            <w:sz w:val="28"/>
            <w:szCs w:val="28"/>
          </w:rPr>
          <w:t>https://www.wikiwand.com/en/Third_Sacred_War</w:t>
        </w:r>
      </w:hyperlink>
      <w:r w:rsidRPr="00B21A03">
        <w:rPr>
          <w:color w:val="44546A" w:themeColor="text2"/>
          <w:sz w:val="28"/>
          <w:szCs w:val="28"/>
        </w:rPr>
        <w:t>)</w:t>
      </w:r>
    </w:p>
    <w:p w14:paraId="7C312649" w14:textId="1778EA82" w:rsidR="00486AF7" w:rsidRPr="00B21A03" w:rsidRDefault="00486AF7">
      <w:pPr>
        <w:rPr>
          <w:sz w:val="28"/>
          <w:szCs w:val="28"/>
        </w:rPr>
      </w:pPr>
    </w:p>
    <w:p w14:paraId="14C9349A" w14:textId="79544885" w:rsidR="00486AF7" w:rsidRDefault="00B21A03">
      <w:pPr>
        <w:rPr>
          <w:sz w:val="28"/>
          <w:szCs w:val="28"/>
        </w:rPr>
      </w:pPr>
      <w:r>
        <w:rPr>
          <w:sz w:val="28"/>
          <w:szCs w:val="28"/>
        </w:rPr>
        <w:t>Peace became apparent after the Boeotian Campaign in Phocis where the Thebans requested the help from Macedon and Philip sent a small army and then returned to the Sacred war so that he could finish the war himself. However, Athenian politician including Philocrates and Demosthenes went to Philip to try and conclude some sort of peace treaty in order to put an end to all of the war and death. Both parties agreed to the terms and peace was announced in April of 346 BCE (Cawkwell, 1978, pp 98-101).</w:t>
      </w:r>
    </w:p>
    <w:p w14:paraId="316F024A" w14:textId="0AB7A0FC" w:rsidR="00B21A03" w:rsidRDefault="00B21A03">
      <w:pPr>
        <w:rPr>
          <w:sz w:val="28"/>
          <w:szCs w:val="28"/>
        </w:rPr>
      </w:pPr>
    </w:p>
    <w:p w14:paraId="1792866D" w14:textId="77404550" w:rsidR="00486AF7" w:rsidRPr="00B21A03" w:rsidRDefault="00B21A03">
      <w:pPr>
        <w:rPr>
          <w:sz w:val="28"/>
          <w:szCs w:val="28"/>
        </w:rPr>
      </w:pPr>
      <w:r>
        <w:rPr>
          <w:sz w:val="28"/>
          <w:szCs w:val="28"/>
        </w:rPr>
        <w:t>The peace didn’t last too long as it was overshadowed by the Fourth Sacred War which started in 339 BCE which was Philip invade Greece. The Athenians knew that this was a threat and so went on to gather an alliance against him. Philip managed to establish dominance over Greece when he was victorious in 338 BCE at Chaeronea (Rickard, 2017).</w:t>
      </w:r>
    </w:p>
    <w:p w14:paraId="6E555547" w14:textId="5AB57004" w:rsidR="00486AF7" w:rsidRPr="00B21A03" w:rsidRDefault="00486AF7">
      <w:pPr>
        <w:rPr>
          <w:sz w:val="28"/>
          <w:szCs w:val="28"/>
        </w:rPr>
      </w:pPr>
    </w:p>
    <w:p w14:paraId="205BA5DD" w14:textId="77777777" w:rsidR="00B21A03" w:rsidRPr="00B21A03" w:rsidRDefault="00B21A03" w:rsidP="00486AF7">
      <w:pPr>
        <w:rPr>
          <w:sz w:val="28"/>
          <w:szCs w:val="28"/>
        </w:rPr>
      </w:pPr>
    </w:p>
    <w:p w14:paraId="43CAFD98" w14:textId="77777777" w:rsidR="00B21A03" w:rsidRDefault="00B21A03" w:rsidP="00486AF7">
      <w:pPr>
        <w:rPr>
          <w:sz w:val="28"/>
          <w:szCs w:val="28"/>
        </w:rPr>
      </w:pPr>
      <w:bookmarkStart w:id="0" w:name="_GoBack"/>
      <w:bookmarkEnd w:id="0"/>
    </w:p>
    <w:p w14:paraId="5653683A" w14:textId="01EB87F2" w:rsidR="00486AF7" w:rsidRPr="00B21A03" w:rsidRDefault="00486AF7" w:rsidP="00486AF7">
      <w:pPr>
        <w:rPr>
          <w:sz w:val="28"/>
          <w:szCs w:val="28"/>
        </w:rPr>
      </w:pPr>
      <w:r w:rsidRPr="00B21A03">
        <w:rPr>
          <w:sz w:val="28"/>
          <w:szCs w:val="28"/>
        </w:rPr>
        <w:lastRenderedPageBreak/>
        <w:t>Bibliography:</w:t>
      </w:r>
    </w:p>
    <w:p w14:paraId="19F07960" w14:textId="77777777" w:rsidR="00B21A03" w:rsidRPr="00B21A03" w:rsidRDefault="00B21A03">
      <w:pPr>
        <w:rPr>
          <w:sz w:val="28"/>
          <w:szCs w:val="28"/>
        </w:rPr>
      </w:pPr>
    </w:p>
    <w:p w14:paraId="396D1DEF" w14:textId="4FE26032" w:rsidR="00B21A03" w:rsidRDefault="00B21A03" w:rsidP="00486AF7">
      <w:pPr>
        <w:rPr>
          <w:sz w:val="28"/>
          <w:szCs w:val="28"/>
        </w:rPr>
      </w:pPr>
      <w:r w:rsidRPr="00B21A03">
        <w:rPr>
          <w:sz w:val="28"/>
          <w:szCs w:val="28"/>
        </w:rPr>
        <w:t xml:space="preserve">Adkins, L &amp; Adkins, R. (1998) </w:t>
      </w:r>
      <w:r w:rsidRPr="00B21A03">
        <w:rPr>
          <w:i/>
          <w:iCs/>
          <w:sz w:val="28"/>
          <w:szCs w:val="28"/>
        </w:rPr>
        <w:t xml:space="preserve">Handbook to Life in Ancient Greece. </w:t>
      </w:r>
      <w:r w:rsidRPr="00B21A03">
        <w:rPr>
          <w:sz w:val="28"/>
          <w:szCs w:val="28"/>
        </w:rPr>
        <w:t>New York: Oxford University Press</w:t>
      </w:r>
    </w:p>
    <w:p w14:paraId="3A914A36" w14:textId="77777777" w:rsidR="00B21A03" w:rsidRPr="00B21A03" w:rsidRDefault="00B21A03" w:rsidP="00486AF7">
      <w:pPr>
        <w:rPr>
          <w:sz w:val="28"/>
          <w:szCs w:val="28"/>
        </w:rPr>
      </w:pPr>
    </w:p>
    <w:p w14:paraId="2A222D4C" w14:textId="72D8D09B" w:rsidR="00B21A03" w:rsidRDefault="00B21A03">
      <w:pPr>
        <w:rPr>
          <w:sz w:val="28"/>
          <w:szCs w:val="28"/>
        </w:rPr>
      </w:pPr>
      <w:r w:rsidRPr="00B21A03">
        <w:rPr>
          <w:sz w:val="28"/>
          <w:szCs w:val="28"/>
        </w:rPr>
        <w:t xml:space="preserve">Aeschines, </w:t>
      </w:r>
      <w:r w:rsidRPr="00B21A03">
        <w:rPr>
          <w:i/>
          <w:iCs/>
          <w:sz w:val="28"/>
          <w:szCs w:val="28"/>
        </w:rPr>
        <w:t xml:space="preserve">Against Ctesiphon. </w:t>
      </w:r>
      <w:r w:rsidRPr="00B21A03">
        <w:rPr>
          <w:sz w:val="28"/>
          <w:szCs w:val="28"/>
        </w:rPr>
        <w:t>C. D. Adams</w:t>
      </w:r>
      <w:r w:rsidRPr="00B21A03">
        <w:rPr>
          <w:i/>
          <w:iCs/>
          <w:sz w:val="28"/>
          <w:szCs w:val="28"/>
        </w:rPr>
        <w:t xml:space="preserve"> </w:t>
      </w:r>
      <w:r w:rsidRPr="00B21A03">
        <w:rPr>
          <w:sz w:val="28"/>
          <w:szCs w:val="28"/>
        </w:rPr>
        <w:t>(trans.). 1919. London: Harvard University Press</w:t>
      </w:r>
    </w:p>
    <w:p w14:paraId="02C7C618" w14:textId="77777777" w:rsidR="00B21A03" w:rsidRPr="00B21A03" w:rsidRDefault="00B21A03">
      <w:pPr>
        <w:rPr>
          <w:sz w:val="28"/>
          <w:szCs w:val="28"/>
        </w:rPr>
      </w:pPr>
    </w:p>
    <w:p w14:paraId="7C307D6B" w14:textId="253D2F8A" w:rsidR="00B21A03" w:rsidRDefault="00B21A03">
      <w:pPr>
        <w:rPr>
          <w:sz w:val="28"/>
          <w:szCs w:val="28"/>
        </w:rPr>
      </w:pPr>
      <w:r>
        <w:rPr>
          <w:sz w:val="28"/>
          <w:szCs w:val="28"/>
        </w:rPr>
        <w:t>C</w:t>
      </w:r>
      <w:r w:rsidRPr="00B21A03">
        <w:rPr>
          <w:sz w:val="28"/>
          <w:szCs w:val="28"/>
        </w:rPr>
        <w:t xml:space="preserve">awkwell, G. L. (1978) </w:t>
      </w:r>
      <w:r w:rsidRPr="00B21A03">
        <w:rPr>
          <w:i/>
          <w:iCs/>
          <w:sz w:val="28"/>
          <w:szCs w:val="28"/>
        </w:rPr>
        <w:t xml:space="preserve">‘The Peace of Philocrates Again’, </w:t>
      </w:r>
      <w:r w:rsidRPr="00B21A03">
        <w:rPr>
          <w:sz w:val="28"/>
          <w:szCs w:val="28"/>
        </w:rPr>
        <w:t xml:space="preserve">The Classical </w:t>
      </w:r>
      <w:proofErr w:type="spellStart"/>
      <w:r w:rsidRPr="00B21A03">
        <w:rPr>
          <w:sz w:val="28"/>
          <w:szCs w:val="28"/>
        </w:rPr>
        <w:t>Quaterly</w:t>
      </w:r>
      <w:proofErr w:type="spellEnd"/>
      <w:r w:rsidRPr="00B21A03">
        <w:rPr>
          <w:sz w:val="28"/>
          <w:szCs w:val="28"/>
        </w:rPr>
        <w:t>, 28(1), pp 93-104</w:t>
      </w:r>
    </w:p>
    <w:p w14:paraId="20C5DFEE" w14:textId="48ED0D61" w:rsidR="00B21A03" w:rsidRDefault="00B21A03">
      <w:pPr>
        <w:rPr>
          <w:sz w:val="28"/>
          <w:szCs w:val="28"/>
        </w:rPr>
      </w:pPr>
    </w:p>
    <w:p w14:paraId="01BFA1B3" w14:textId="66CE7AAA" w:rsidR="00B21A03" w:rsidRPr="00B21A03" w:rsidRDefault="00B21A03" w:rsidP="00B21A03">
      <w:pPr>
        <w:rPr>
          <w:sz w:val="28"/>
          <w:szCs w:val="28"/>
        </w:rPr>
      </w:pPr>
      <w:r>
        <w:rPr>
          <w:sz w:val="28"/>
          <w:szCs w:val="28"/>
        </w:rPr>
        <w:t xml:space="preserve">Cawkwell, G. L. (1978) </w:t>
      </w:r>
      <w:r>
        <w:rPr>
          <w:i/>
          <w:iCs/>
          <w:sz w:val="28"/>
          <w:szCs w:val="28"/>
        </w:rPr>
        <w:t xml:space="preserve">Philip II of Macedon. </w:t>
      </w:r>
      <w:r>
        <w:rPr>
          <w:sz w:val="28"/>
          <w:szCs w:val="28"/>
        </w:rPr>
        <w:t>London: Faber &amp; Faber</w:t>
      </w:r>
    </w:p>
    <w:p w14:paraId="41B7DD2F" w14:textId="77777777" w:rsidR="00B21A03" w:rsidRPr="00B21A03" w:rsidRDefault="00B21A03">
      <w:pPr>
        <w:rPr>
          <w:sz w:val="28"/>
          <w:szCs w:val="28"/>
        </w:rPr>
      </w:pPr>
    </w:p>
    <w:p w14:paraId="6B4876A4" w14:textId="45AD2333" w:rsidR="00B21A03" w:rsidRDefault="00B21A03">
      <w:pPr>
        <w:rPr>
          <w:sz w:val="28"/>
          <w:szCs w:val="28"/>
        </w:rPr>
      </w:pPr>
      <w:r w:rsidRPr="00B21A03">
        <w:rPr>
          <w:sz w:val="28"/>
          <w:szCs w:val="28"/>
        </w:rPr>
        <w:t xml:space="preserve">Hazel, J. (2001) </w:t>
      </w:r>
      <w:r w:rsidRPr="00B21A03">
        <w:rPr>
          <w:i/>
          <w:iCs/>
          <w:sz w:val="28"/>
          <w:szCs w:val="28"/>
        </w:rPr>
        <w:t xml:space="preserve">Who’s Who in the Greek World. </w:t>
      </w:r>
      <w:r w:rsidRPr="00B21A03">
        <w:rPr>
          <w:sz w:val="28"/>
          <w:szCs w:val="28"/>
        </w:rPr>
        <w:t>New York: Routledge</w:t>
      </w:r>
    </w:p>
    <w:p w14:paraId="1E2C2E2D" w14:textId="77777777" w:rsidR="00B21A03" w:rsidRPr="00B21A03" w:rsidRDefault="00B21A03">
      <w:pPr>
        <w:rPr>
          <w:sz w:val="28"/>
          <w:szCs w:val="28"/>
        </w:rPr>
      </w:pPr>
    </w:p>
    <w:p w14:paraId="55FC6CAF" w14:textId="77777777" w:rsidR="00B21A03" w:rsidRPr="00B21A03" w:rsidRDefault="00B21A03">
      <w:pPr>
        <w:rPr>
          <w:sz w:val="28"/>
          <w:szCs w:val="28"/>
        </w:rPr>
      </w:pPr>
      <w:r w:rsidRPr="00B21A03">
        <w:rPr>
          <w:sz w:val="28"/>
          <w:szCs w:val="28"/>
        </w:rPr>
        <w:t xml:space="preserve">Rickard, J. (2017) </w:t>
      </w:r>
      <w:r w:rsidRPr="00B21A03">
        <w:rPr>
          <w:i/>
          <w:iCs/>
          <w:sz w:val="28"/>
          <w:szCs w:val="28"/>
        </w:rPr>
        <w:t xml:space="preserve">Peace of Philocrates 346BC. </w:t>
      </w:r>
      <w:r w:rsidRPr="00B21A03">
        <w:rPr>
          <w:sz w:val="28"/>
          <w:szCs w:val="28"/>
        </w:rPr>
        <w:t xml:space="preserve">Available at: </w:t>
      </w:r>
      <w:hyperlink r:id="rId9" w:history="1">
        <w:r w:rsidRPr="00B21A03">
          <w:rPr>
            <w:rStyle w:val="Hyperlink"/>
            <w:sz w:val="28"/>
            <w:szCs w:val="28"/>
          </w:rPr>
          <w:t>http://www.historyofwar.org/articles/peace_philocrates.html</w:t>
        </w:r>
      </w:hyperlink>
      <w:r w:rsidRPr="00B21A03">
        <w:rPr>
          <w:sz w:val="28"/>
          <w:szCs w:val="28"/>
        </w:rPr>
        <w:t xml:space="preserve"> (Accessed: Friday 31</w:t>
      </w:r>
      <w:r w:rsidRPr="00B21A03">
        <w:rPr>
          <w:sz w:val="28"/>
          <w:szCs w:val="28"/>
          <w:vertAlign w:val="superscript"/>
        </w:rPr>
        <w:t>st</w:t>
      </w:r>
      <w:r w:rsidRPr="00B21A03">
        <w:rPr>
          <w:sz w:val="28"/>
          <w:szCs w:val="28"/>
        </w:rPr>
        <w:t xml:space="preserve"> January 2020)</w:t>
      </w:r>
    </w:p>
    <w:p w14:paraId="0C9F39FA" w14:textId="77777777" w:rsidR="00486AF7" w:rsidRPr="00486AF7" w:rsidRDefault="00486AF7">
      <w:pPr>
        <w:rPr>
          <w:sz w:val="27"/>
          <w:szCs w:val="27"/>
        </w:rPr>
      </w:pPr>
    </w:p>
    <w:sectPr w:rsidR="00486AF7" w:rsidRPr="00486AF7" w:rsidSect="008F1F54">
      <w:headerReference w:type="default" r:id="rId10"/>
      <w:pgSz w:w="11900" w:h="16840"/>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453336" w14:textId="77777777" w:rsidR="005838F8" w:rsidRDefault="005838F8" w:rsidP="008F1F54">
      <w:r>
        <w:separator/>
      </w:r>
    </w:p>
  </w:endnote>
  <w:endnote w:type="continuationSeparator" w:id="0">
    <w:p w14:paraId="6F66F99A" w14:textId="77777777" w:rsidR="005838F8" w:rsidRDefault="005838F8" w:rsidP="008F1F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4A2BE8" w14:textId="77777777" w:rsidR="005838F8" w:rsidRDefault="005838F8" w:rsidP="008F1F54">
      <w:r>
        <w:separator/>
      </w:r>
    </w:p>
  </w:footnote>
  <w:footnote w:type="continuationSeparator" w:id="0">
    <w:p w14:paraId="38EC9588" w14:textId="77777777" w:rsidR="005838F8" w:rsidRDefault="005838F8" w:rsidP="008F1F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594043" w14:textId="291B5C5C" w:rsidR="008F1F54" w:rsidRDefault="008F1F54">
    <w:pPr>
      <w:pStyle w:val="Header"/>
    </w:pPr>
    <w:r>
      <w:t>Feryn Walmsley 1901540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8762FD"/>
    <w:multiLevelType w:val="multilevel"/>
    <w:tmpl w:val="9DB82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0590EEC"/>
    <w:multiLevelType w:val="multilevel"/>
    <w:tmpl w:val="4B14C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9424B5"/>
    <w:multiLevelType w:val="multilevel"/>
    <w:tmpl w:val="BD9829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894D59"/>
    <w:multiLevelType w:val="multilevel"/>
    <w:tmpl w:val="09EC0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F54"/>
    <w:rsid w:val="00015A41"/>
    <w:rsid w:val="000B1B3B"/>
    <w:rsid w:val="000E6D7B"/>
    <w:rsid w:val="00486AF7"/>
    <w:rsid w:val="00557499"/>
    <w:rsid w:val="005838F8"/>
    <w:rsid w:val="008F1F54"/>
    <w:rsid w:val="00B21A03"/>
    <w:rsid w:val="00C9430C"/>
    <w:rsid w:val="00D455D0"/>
    <w:rsid w:val="00DD3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C7901F"/>
  <w15:chartTrackingRefBased/>
  <w15:docId w15:val="{0A5559DD-5BE4-324C-BA61-17176F67C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1F54"/>
    <w:pPr>
      <w:tabs>
        <w:tab w:val="center" w:pos="4513"/>
        <w:tab w:val="right" w:pos="9026"/>
      </w:tabs>
    </w:pPr>
  </w:style>
  <w:style w:type="character" w:customStyle="1" w:styleId="HeaderChar">
    <w:name w:val="Header Char"/>
    <w:basedOn w:val="DefaultParagraphFont"/>
    <w:link w:val="Header"/>
    <w:uiPriority w:val="99"/>
    <w:rsid w:val="008F1F54"/>
  </w:style>
  <w:style w:type="paragraph" w:styleId="Footer">
    <w:name w:val="footer"/>
    <w:basedOn w:val="Normal"/>
    <w:link w:val="FooterChar"/>
    <w:uiPriority w:val="99"/>
    <w:unhideWhenUsed/>
    <w:rsid w:val="008F1F54"/>
    <w:pPr>
      <w:tabs>
        <w:tab w:val="center" w:pos="4513"/>
        <w:tab w:val="right" w:pos="9026"/>
      </w:tabs>
    </w:pPr>
  </w:style>
  <w:style w:type="character" w:customStyle="1" w:styleId="FooterChar">
    <w:name w:val="Footer Char"/>
    <w:basedOn w:val="DefaultParagraphFont"/>
    <w:link w:val="Footer"/>
    <w:uiPriority w:val="99"/>
    <w:rsid w:val="008F1F54"/>
  </w:style>
  <w:style w:type="character" w:styleId="Hyperlink">
    <w:name w:val="Hyperlink"/>
    <w:basedOn w:val="DefaultParagraphFont"/>
    <w:uiPriority w:val="99"/>
    <w:unhideWhenUsed/>
    <w:rsid w:val="00486AF7"/>
    <w:rPr>
      <w:color w:val="0563C1" w:themeColor="hyperlink"/>
      <w:u w:val="single"/>
    </w:rPr>
  </w:style>
  <w:style w:type="character" w:styleId="UnresolvedMention">
    <w:name w:val="Unresolved Mention"/>
    <w:basedOn w:val="DefaultParagraphFont"/>
    <w:uiPriority w:val="99"/>
    <w:semiHidden/>
    <w:unhideWhenUsed/>
    <w:rsid w:val="00486AF7"/>
    <w:rPr>
      <w:color w:val="605E5C"/>
      <w:shd w:val="clear" w:color="auto" w:fill="E1DFDD"/>
    </w:rPr>
  </w:style>
  <w:style w:type="character" w:customStyle="1" w:styleId="apple-converted-space">
    <w:name w:val="apple-converted-space"/>
    <w:basedOn w:val="DefaultParagraphFont"/>
    <w:rsid w:val="00486AF7"/>
  </w:style>
  <w:style w:type="character" w:styleId="HTMLCite">
    <w:name w:val="HTML Cite"/>
    <w:basedOn w:val="DefaultParagraphFont"/>
    <w:uiPriority w:val="99"/>
    <w:semiHidden/>
    <w:unhideWhenUsed/>
    <w:rsid w:val="00486AF7"/>
    <w:rPr>
      <w:i/>
      <w:iCs/>
    </w:rPr>
  </w:style>
  <w:style w:type="character" w:styleId="FollowedHyperlink">
    <w:name w:val="FollowedHyperlink"/>
    <w:basedOn w:val="DefaultParagraphFont"/>
    <w:uiPriority w:val="99"/>
    <w:semiHidden/>
    <w:unhideWhenUsed/>
    <w:rsid w:val="00B21A0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23046">
      <w:bodyDiv w:val="1"/>
      <w:marLeft w:val="0"/>
      <w:marRight w:val="0"/>
      <w:marTop w:val="0"/>
      <w:marBottom w:val="0"/>
      <w:divBdr>
        <w:top w:val="none" w:sz="0" w:space="0" w:color="auto"/>
        <w:left w:val="none" w:sz="0" w:space="0" w:color="auto"/>
        <w:bottom w:val="none" w:sz="0" w:space="0" w:color="auto"/>
        <w:right w:val="none" w:sz="0" w:space="0" w:color="auto"/>
      </w:divBdr>
    </w:div>
    <w:div w:id="33968093">
      <w:bodyDiv w:val="1"/>
      <w:marLeft w:val="0"/>
      <w:marRight w:val="0"/>
      <w:marTop w:val="0"/>
      <w:marBottom w:val="0"/>
      <w:divBdr>
        <w:top w:val="none" w:sz="0" w:space="0" w:color="auto"/>
        <w:left w:val="none" w:sz="0" w:space="0" w:color="auto"/>
        <w:bottom w:val="none" w:sz="0" w:space="0" w:color="auto"/>
        <w:right w:val="none" w:sz="0" w:space="0" w:color="auto"/>
      </w:divBdr>
    </w:div>
    <w:div w:id="204417693">
      <w:bodyDiv w:val="1"/>
      <w:marLeft w:val="0"/>
      <w:marRight w:val="0"/>
      <w:marTop w:val="0"/>
      <w:marBottom w:val="0"/>
      <w:divBdr>
        <w:top w:val="none" w:sz="0" w:space="0" w:color="auto"/>
        <w:left w:val="none" w:sz="0" w:space="0" w:color="auto"/>
        <w:bottom w:val="none" w:sz="0" w:space="0" w:color="auto"/>
        <w:right w:val="none" w:sz="0" w:space="0" w:color="auto"/>
      </w:divBdr>
    </w:div>
    <w:div w:id="354698667">
      <w:bodyDiv w:val="1"/>
      <w:marLeft w:val="0"/>
      <w:marRight w:val="0"/>
      <w:marTop w:val="0"/>
      <w:marBottom w:val="0"/>
      <w:divBdr>
        <w:top w:val="none" w:sz="0" w:space="0" w:color="auto"/>
        <w:left w:val="none" w:sz="0" w:space="0" w:color="auto"/>
        <w:bottom w:val="none" w:sz="0" w:space="0" w:color="auto"/>
        <w:right w:val="none" w:sz="0" w:space="0" w:color="auto"/>
      </w:divBdr>
    </w:div>
    <w:div w:id="474103767">
      <w:bodyDiv w:val="1"/>
      <w:marLeft w:val="0"/>
      <w:marRight w:val="0"/>
      <w:marTop w:val="0"/>
      <w:marBottom w:val="0"/>
      <w:divBdr>
        <w:top w:val="none" w:sz="0" w:space="0" w:color="auto"/>
        <w:left w:val="none" w:sz="0" w:space="0" w:color="auto"/>
        <w:bottom w:val="none" w:sz="0" w:space="0" w:color="auto"/>
        <w:right w:val="none" w:sz="0" w:space="0" w:color="auto"/>
      </w:divBdr>
    </w:div>
    <w:div w:id="1499030657">
      <w:bodyDiv w:val="1"/>
      <w:marLeft w:val="0"/>
      <w:marRight w:val="0"/>
      <w:marTop w:val="0"/>
      <w:marBottom w:val="0"/>
      <w:divBdr>
        <w:top w:val="none" w:sz="0" w:space="0" w:color="auto"/>
        <w:left w:val="none" w:sz="0" w:space="0" w:color="auto"/>
        <w:bottom w:val="none" w:sz="0" w:space="0" w:color="auto"/>
        <w:right w:val="none" w:sz="0" w:space="0" w:color="auto"/>
      </w:divBdr>
    </w:div>
    <w:div w:id="2077582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ikiwand.com/en/Third_Sacred_War"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historyofwar.org/articles/peace_philocrat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85</TotalTime>
  <Pages>2</Pages>
  <Words>445</Words>
  <Characters>2540</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Feryn Walmsley (1901540)</dc:creator>
  <cp:keywords/>
  <dc:description/>
  <cp:lastModifiedBy>Feryn Walmsley (1901540)</cp:lastModifiedBy>
  <cp:revision>3</cp:revision>
  <dcterms:created xsi:type="dcterms:W3CDTF">2020-01-27T10:24:00Z</dcterms:created>
  <dcterms:modified xsi:type="dcterms:W3CDTF">2020-02-02T18:53:00Z</dcterms:modified>
</cp:coreProperties>
</file>