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058102" w14:textId="0AB84316" w:rsidR="00E750F6" w:rsidRDefault="00E750F6"/>
    <w:p w14:paraId="2A5630F7" w14:textId="0E1D76DD" w:rsidR="00E750F6" w:rsidRPr="00E750F6" w:rsidRDefault="00E750F6" w:rsidP="00E750F6">
      <w:pPr>
        <w:spacing w:before="200" w:line="288" w:lineRule="auto"/>
        <w:jc w:val="center"/>
        <w:rPr>
          <w:rFonts w:ascii="Times New Roman" w:eastAsia="Times New Roman" w:hAnsi="Times New Roman" w:cs="Times New Roman"/>
          <w:sz w:val="24"/>
          <w:szCs w:val="24"/>
          <w:lang w:val="en-GB" w:eastAsia="en-GB"/>
        </w:rPr>
      </w:pPr>
      <w:r w:rsidRPr="00E750F6">
        <w:rPr>
          <w:rFonts w:ascii="American Typewriter" w:hAnsi="American Typewriter"/>
          <w:b/>
          <w:bCs/>
          <w:color w:val="000000" w:themeColor="text1"/>
          <w:kern w:val="24"/>
          <w:sz w:val="48"/>
          <w:szCs w:val="48"/>
          <w:lang w:eastAsia="en-GB"/>
        </w:rPr>
        <w:t xml:space="preserve">ASSIGNMENT COMPONENT </w:t>
      </w:r>
      <w:r w:rsidR="003D2C83">
        <w:rPr>
          <w:rFonts w:ascii="American Typewriter" w:hAnsi="American Typewriter"/>
          <w:b/>
          <w:bCs/>
          <w:color w:val="000000" w:themeColor="text1"/>
          <w:kern w:val="24"/>
          <w:sz w:val="48"/>
          <w:szCs w:val="48"/>
          <w:lang w:eastAsia="en-GB"/>
        </w:rPr>
        <w:t>2</w:t>
      </w:r>
      <w:r w:rsidR="00867D36">
        <w:rPr>
          <w:rFonts w:ascii="American Typewriter" w:hAnsi="American Typewriter"/>
          <w:b/>
          <w:bCs/>
          <w:color w:val="000000" w:themeColor="text1"/>
          <w:kern w:val="24"/>
          <w:sz w:val="48"/>
          <w:szCs w:val="48"/>
          <w:lang w:eastAsia="en-GB"/>
        </w:rPr>
        <w:t xml:space="preserve">- </w:t>
      </w:r>
      <w:r w:rsidR="00867D36">
        <w:rPr>
          <w:rFonts w:ascii="American Typewriter" w:hAnsi="American Typewriter" w:hint="eastAsia"/>
          <w:b/>
          <w:bCs/>
          <w:color w:val="000000" w:themeColor="text1"/>
          <w:kern w:val="24"/>
          <w:sz w:val="48"/>
          <w:szCs w:val="48"/>
          <w:lang w:eastAsia="en-GB"/>
        </w:rPr>
        <w:t>WRITING</w:t>
      </w:r>
      <w:r w:rsidR="00867D36">
        <w:rPr>
          <w:rFonts w:ascii="American Typewriter" w:hAnsi="American Typewriter"/>
          <w:b/>
          <w:bCs/>
          <w:color w:val="000000" w:themeColor="text1"/>
          <w:kern w:val="24"/>
          <w:sz w:val="48"/>
          <w:szCs w:val="48"/>
          <w:lang w:eastAsia="en-GB"/>
        </w:rPr>
        <w:t xml:space="preserve"> REPORT</w:t>
      </w:r>
    </w:p>
    <w:p w14:paraId="47A147E0" w14:textId="77777777" w:rsidR="00E750F6" w:rsidRPr="00E750F6" w:rsidRDefault="00E750F6" w:rsidP="00E750F6">
      <w:pPr>
        <w:spacing w:before="200" w:line="288" w:lineRule="auto"/>
        <w:jc w:val="center"/>
        <w:rPr>
          <w:rFonts w:ascii="Times New Roman" w:eastAsia="Times New Roman" w:hAnsi="Times New Roman" w:cs="Times New Roman"/>
          <w:sz w:val="24"/>
          <w:szCs w:val="24"/>
          <w:lang w:val="en-GB" w:eastAsia="en-GB"/>
        </w:rPr>
      </w:pPr>
      <w:r w:rsidRPr="00E750F6">
        <w:rPr>
          <w:rFonts w:ascii="American Typewriter" w:hAnsi="American Typewriter"/>
          <w:b/>
          <w:bCs/>
          <w:color w:val="000000" w:themeColor="text1"/>
          <w:kern w:val="24"/>
          <w:sz w:val="48"/>
          <w:szCs w:val="48"/>
          <w:lang w:eastAsia="en-GB"/>
        </w:rPr>
        <w:t>MODULE CODE: BMHP6009_BIRM</w:t>
      </w:r>
    </w:p>
    <w:p w14:paraId="26C5CED1" w14:textId="4FB06C66" w:rsidR="00E750F6" w:rsidRPr="00E750F6" w:rsidRDefault="00E750F6" w:rsidP="00916FE0">
      <w:pPr>
        <w:spacing w:before="200" w:line="288" w:lineRule="auto"/>
        <w:jc w:val="center"/>
        <w:rPr>
          <w:rFonts w:ascii="Times New Roman" w:eastAsia="Times New Roman" w:hAnsi="Times New Roman" w:cs="Times New Roman"/>
          <w:sz w:val="24"/>
          <w:szCs w:val="24"/>
          <w:lang w:val="en-GB" w:eastAsia="en-GB"/>
        </w:rPr>
      </w:pPr>
      <w:r w:rsidRPr="00E750F6">
        <w:rPr>
          <w:rFonts w:ascii="American Typewriter" w:hAnsi="American Typewriter"/>
          <w:b/>
          <w:bCs/>
          <w:color w:val="000000" w:themeColor="text1"/>
          <w:kern w:val="24"/>
          <w:sz w:val="48"/>
          <w:szCs w:val="48"/>
          <w:lang w:eastAsia="en-GB"/>
        </w:rPr>
        <w:t>MODULE TITLE: LIVING WITH CARE; THE OLD PERSON</w:t>
      </w:r>
      <w:r w:rsidRPr="00E750F6">
        <w:rPr>
          <w:rFonts w:ascii="American Typewriter" w:hAnsi="American Typewriter"/>
          <w:b/>
          <w:bCs/>
          <w:color w:val="000000" w:themeColor="text1"/>
          <w:kern w:val="24"/>
          <w:sz w:val="48"/>
          <w:szCs w:val="48"/>
          <w:lang w:eastAsia="en-GB"/>
        </w:rPr>
        <w:br/>
        <w:t>LECTURERS:  JOANNE DAVIES &amp; LIZ TILLY</w:t>
      </w:r>
    </w:p>
    <w:p w14:paraId="0D9C000B" w14:textId="30D5B16A" w:rsidR="00E750F6" w:rsidRPr="00E750F6" w:rsidRDefault="00B41706" w:rsidP="00E750F6">
      <w:pPr>
        <w:spacing w:before="200" w:line="288" w:lineRule="auto"/>
        <w:jc w:val="center"/>
        <w:rPr>
          <w:rFonts w:ascii="Times New Roman" w:eastAsia="Times New Roman" w:hAnsi="Times New Roman" w:cs="Times New Roman"/>
          <w:sz w:val="24"/>
          <w:szCs w:val="24"/>
          <w:lang w:val="en-GB" w:eastAsia="en-GB"/>
        </w:rPr>
      </w:pPr>
      <w:r>
        <w:rPr>
          <w:rFonts w:ascii="American Typewriter" w:hAnsi="American Typewriter"/>
          <w:b/>
          <w:bCs/>
          <w:color w:val="000000" w:themeColor="text1"/>
          <w:kern w:val="24"/>
          <w:sz w:val="48"/>
          <w:szCs w:val="48"/>
          <w:lang w:eastAsia="en-GB"/>
        </w:rPr>
        <w:t>STUDENT:</w:t>
      </w:r>
      <w:r w:rsidRPr="00E750F6">
        <w:rPr>
          <w:rFonts w:ascii="American Typewriter" w:hAnsi="American Typewriter"/>
          <w:b/>
          <w:bCs/>
          <w:color w:val="000000" w:themeColor="text1"/>
          <w:kern w:val="24"/>
          <w:sz w:val="48"/>
          <w:szCs w:val="48"/>
          <w:lang w:eastAsia="en-GB"/>
        </w:rPr>
        <w:t xml:space="preserve"> OMODUNN</w:t>
      </w:r>
      <w:r w:rsidRPr="00E750F6">
        <w:rPr>
          <w:rFonts w:ascii="American Typewriter" w:hAnsi="American Typewriter" w:hint="eastAsia"/>
          <w:b/>
          <w:bCs/>
          <w:color w:val="000000" w:themeColor="text1"/>
          <w:kern w:val="24"/>
          <w:sz w:val="48"/>
          <w:szCs w:val="48"/>
          <w:lang w:eastAsia="en-GB"/>
        </w:rPr>
        <w:t>I</w:t>
      </w:r>
      <w:r w:rsidR="00E750F6" w:rsidRPr="00E750F6">
        <w:rPr>
          <w:rFonts w:ascii="American Typewriter" w:hAnsi="American Typewriter"/>
          <w:b/>
          <w:bCs/>
          <w:color w:val="000000" w:themeColor="text1"/>
          <w:kern w:val="24"/>
          <w:sz w:val="48"/>
          <w:szCs w:val="48"/>
          <w:lang w:eastAsia="en-GB"/>
        </w:rPr>
        <w:t xml:space="preserve"> ADEOBA </w:t>
      </w:r>
      <w:r w:rsidR="00F82B03">
        <w:rPr>
          <w:rFonts w:ascii="American Typewriter" w:hAnsi="American Typewriter"/>
          <w:b/>
          <w:bCs/>
          <w:color w:val="000000" w:themeColor="text1"/>
          <w:kern w:val="24"/>
          <w:sz w:val="48"/>
          <w:szCs w:val="48"/>
          <w:lang w:eastAsia="en-GB"/>
        </w:rPr>
        <w:t>STUDENT</w:t>
      </w:r>
      <w:r w:rsidR="004A0764">
        <w:rPr>
          <w:rFonts w:ascii="American Typewriter" w:hAnsi="American Typewriter"/>
          <w:b/>
          <w:bCs/>
          <w:color w:val="000000" w:themeColor="text1"/>
          <w:kern w:val="24"/>
          <w:sz w:val="48"/>
          <w:szCs w:val="48"/>
          <w:lang w:eastAsia="en-GB"/>
        </w:rPr>
        <w:t xml:space="preserve"> </w:t>
      </w:r>
      <w:r w:rsidR="00F82B03">
        <w:rPr>
          <w:rFonts w:ascii="American Typewriter" w:hAnsi="American Typewriter"/>
          <w:b/>
          <w:bCs/>
          <w:color w:val="000000" w:themeColor="text1"/>
          <w:kern w:val="24"/>
          <w:sz w:val="48"/>
          <w:szCs w:val="48"/>
          <w:lang w:eastAsia="en-GB"/>
        </w:rPr>
        <w:t xml:space="preserve">NUMBER: </w:t>
      </w:r>
      <w:r w:rsidR="00E750F6" w:rsidRPr="00E750F6">
        <w:rPr>
          <w:rFonts w:ascii="American Typewriter" w:hAnsi="American Typewriter"/>
          <w:b/>
          <w:bCs/>
          <w:color w:val="000000" w:themeColor="text1"/>
          <w:kern w:val="24"/>
          <w:sz w:val="48"/>
          <w:szCs w:val="48"/>
          <w:lang w:eastAsia="en-GB"/>
        </w:rPr>
        <w:t>1914727</w:t>
      </w:r>
    </w:p>
    <w:p w14:paraId="59F26454" w14:textId="77777777" w:rsidR="00E750F6" w:rsidRDefault="00E750F6">
      <w:r>
        <w:br w:type="page"/>
      </w:r>
    </w:p>
    <w:p w14:paraId="548EF0C9" w14:textId="77777777" w:rsidR="00EB6C5A" w:rsidRDefault="00EB6C5A"/>
    <w:p w14:paraId="5D32FEB2" w14:textId="77777777" w:rsidR="00EB6C5A" w:rsidRDefault="00EC195C">
      <w:pPr>
        <w:spacing w:line="360" w:lineRule="auto"/>
        <w:jc w:val="center"/>
        <w:rPr>
          <w:rFonts w:ascii="Arial" w:hAnsi="Arial" w:cs="Arial"/>
          <w:b/>
          <w:bCs/>
          <w:sz w:val="22"/>
          <w:szCs w:val="22"/>
        </w:rPr>
      </w:pPr>
      <w:r>
        <w:rPr>
          <w:rFonts w:ascii="Arial" w:hAnsi="Arial" w:cs="Arial"/>
          <w:b/>
          <w:bCs/>
          <w:sz w:val="22"/>
          <w:szCs w:val="22"/>
        </w:rPr>
        <w:t>Living With Care: A Case Study of Sadie's Health and Social Care Needs.</w:t>
      </w:r>
    </w:p>
    <w:p w14:paraId="0861CBC2" w14:textId="77777777" w:rsidR="00EB6C5A" w:rsidRDefault="00EB6C5A">
      <w:pPr>
        <w:spacing w:line="360" w:lineRule="auto"/>
        <w:jc w:val="center"/>
        <w:rPr>
          <w:rFonts w:ascii="Arial" w:hAnsi="Arial" w:cs="Arial"/>
          <w:b/>
          <w:bCs/>
          <w:sz w:val="22"/>
          <w:szCs w:val="22"/>
        </w:rPr>
      </w:pPr>
    </w:p>
    <w:sdt>
      <w:sdtPr>
        <w:rPr>
          <w:rFonts w:ascii="SimSun" w:eastAsia="SimSun" w:hAnsi="SimSun"/>
          <w:sz w:val="21"/>
        </w:rPr>
        <w:id w:val="147475084"/>
        <w15:color w:val="DBDBDB"/>
        <w:docPartObj>
          <w:docPartGallery w:val="Table of Contents"/>
          <w:docPartUnique/>
        </w:docPartObj>
      </w:sdtPr>
      <w:sdtContent>
        <w:p w14:paraId="2AD283D4" w14:textId="77777777" w:rsidR="00EB6C5A" w:rsidRDefault="00EC195C">
          <w:pPr>
            <w:spacing w:line="360" w:lineRule="auto"/>
            <w:jc w:val="center"/>
            <w:rPr>
              <w:rFonts w:ascii="Arial" w:hAnsi="Arial" w:cs="Arial"/>
              <w:sz w:val="22"/>
              <w:szCs w:val="22"/>
            </w:rPr>
          </w:pPr>
          <w:r>
            <w:rPr>
              <w:rFonts w:ascii="Arial" w:eastAsia="SimSun" w:hAnsi="Arial" w:cs="Arial"/>
              <w:sz w:val="22"/>
              <w:szCs w:val="22"/>
            </w:rPr>
            <w:t>Table of Contents</w:t>
          </w:r>
        </w:p>
        <w:p w14:paraId="69183840" w14:textId="77777777" w:rsidR="00EB6C5A" w:rsidRDefault="00EC195C">
          <w:pPr>
            <w:pStyle w:val="TOC1"/>
            <w:tabs>
              <w:tab w:val="right" w:leader="dot" w:pos="8306"/>
            </w:tabs>
            <w:spacing w:line="360" w:lineRule="auto"/>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TOC \o "1-1" \h \u </w:instrText>
          </w:r>
          <w:r>
            <w:rPr>
              <w:rFonts w:ascii="Arial" w:hAnsi="Arial" w:cs="Arial"/>
              <w:sz w:val="22"/>
              <w:szCs w:val="22"/>
            </w:rPr>
            <w:fldChar w:fldCharType="separate"/>
          </w:r>
          <w:hyperlink w:anchor="_Toc9961" w:history="1">
            <w:r>
              <w:rPr>
                <w:rFonts w:ascii="Arial" w:hAnsi="Arial" w:cs="Arial"/>
                <w:bCs/>
                <w:sz w:val="22"/>
                <w:szCs w:val="22"/>
              </w:rPr>
              <w:t>Introduction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_Toc9961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w:t>
            </w:r>
            <w:r>
              <w:rPr>
                <w:rFonts w:ascii="Arial" w:hAnsi="Arial" w:cs="Arial"/>
                <w:sz w:val="22"/>
                <w:szCs w:val="22"/>
              </w:rPr>
              <w:fldChar w:fldCharType="end"/>
            </w:r>
          </w:hyperlink>
        </w:p>
        <w:p w14:paraId="6132E017" w14:textId="77777777" w:rsidR="00EB6C5A" w:rsidRDefault="00000000">
          <w:pPr>
            <w:pStyle w:val="TOC1"/>
            <w:tabs>
              <w:tab w:val="right" w:leader="dot" w:pos="8306"/>
            </w:tabs>
            <w:spacing w:line="360" w:lineRule="auto"/>
            <w:rPr>
              <w:rFonts w:ascii="Arial" w:hAnsi="Arial" w:cs="Arial"/>
              <w:sz w:val="22"/>
              <w:szCs w:val="22"/>
            </w:rPr>
          </w:pPr>
          <w:hyperlink w:anchor="_Toc29157" w:history="1">
            <w:r w:rsidR="00EC195C">
              <w:rPr>
                <w:rFonts w:ascii="Arial" w:hAnsi="Arial" w:cs="Arial"/>
                <w:bCs/>
                <w:sz w:val="22"/>
                <w:szCs w:val="22"/>
              </w:rPr>
              <w:t>Context</w:t>
            </w:r>
            <w:r w:rsidR="00EC195C">
              <w:rPr>
                <w:rFonts w:ascii="Arial" w:hAnsi="Arial" w:cs="Arial"/>
                <w:sz w:val="22"/>
                <w:szCs w:val="22"/>
              </w:rPr>
              <w:tab/>
            </w:r>
            <w:r w:rsidR="00EC195C">
              <w:rPr>
                <w:rFonts w:ascii="Arial" w:hAnsi="Arial" w:cs="Arial"/>
                <w:sz w:val="22"/>
                <w:szCs w:val="22"/>
              </w:rPr>
              <w:fldChar w:fldCharType="begin"/>
            </w:r>
            <w:r w:rsidR="00EC195C">
              <w:rPr>
                <w:rFonts w:ascii="Arial" w:hAnsi="Arial" w:cs="Arial"/>
                <w:sz w:val="22"/>
                <w:szCs w:val="22"/>
              </w:rPr>
              <w:instrText xml:space="preserve"> PAGEREF _Toc29157 \h </w:instrText>
            </w:r>
            <w:r w:rsidR="00EC195C">
              <w:rPr>
                <w:rFonts w:ascii="Arial" w:hAnsi="Arial" w:cs="Arial"/>
                <w:sz w:val="22"/>
                <w:szCs w:val="22"/>
              </w:rPr>
            </w:r>
            <w:r w:rsidR="00EC195C">
              <w:rPr>
                <w:rFonts w:ascii="Arial" w:hAnsi="Arial" w:cs="Arial"/>
                <w:sz w:val="22"/>
                <w:szCs w:val="22"/>
              </w:rPr>
              <w:fldChar w:fldCharType="separate"/>
            </w:r>
            <w:r w:rsidR="00EC195C">
              <w:rPr>
                <w:rFonts w:ascii="Arial" w:hAnsi="Arial" w:cs="Arial"/>
                <w:sz w:val="22"/>
                <w:szCs w:val="22"/>
              </w:rPr>
              <w:t>1</w:t>
            </w:r>
            <w:r w:rsidR="00EC195C">
              <w:rPr>
                <w:rFonts w:ascii="Arial" w:hAnsi="Arial" w:cs="Arial"/>
                <w:sz w:val="22"/>
                <w:szCs w:val="22"/>
              </w:rPr>
              <w:fldChar w:fldCharType="end"/>
            </w:r>
          </w:hyperlink>
        </w:p>
        <w:p w14:paraId="77CBC152" w14:textId="77777777" w:rsidR="00EB6C5A" w:rsidRDefault="00000000">
          <w:pPr>
            <w:pStyle w:val="TOC1"/>
            <w:tabs>
              <w:tab w:val="right" w:leader="dot" w:pos="8306"/>
            </w:tabs>
            <w:spacing w:line="360" w:lineRule="auto"/>
            <w:rPr>
              <w:rFonts w:ascii="Arial" w:hAnsi="Arial" w:cs="Arial"/>
              <w:sz w:val="22"/>
              <w:szCs w:val="22"/>
            </w:rPr>
          </w:pPr>
          <w:hyperlink w:anchor="_Toc3412" w:history="1">
            <w:r w:rsidR="00EC195C">
              <w:rPr>
                <w:rFonts w:ascii="Arial" w:hAnsi="Arial" w:cs="Arial"/>
                <w:bCs/>
                <w:sz w:val="22"/>
                <w:szCs w:val="22"/>
              </w:rPr>
              <w:t>Social Theories of Aging</w:t>
            </w:r>
            <w:r w:rsidR="00EC195C">
              <w:rPr>
                <w:rFonts w:ascii="Arial" w:hAnsi="Arial" w:cs="Arial"/>
                <w:sz w:val="22"/>
                <w:szCs w:val="22"/>
              </w:rPr>
              <w:tab/>
            </w:r>
            <w:r w:rsidR="00EC195C">
              <w:rPr>
                <w:rFonts w:ascii="Arial" w:hAnsi="Arial" w:cs="Arial"/>
                <w:sz w:val="22"/>
                <w:szCs w:val="22"/>
              </w:rPr>
              <w:fldChar w:fldCharType="begin"/>
            </w:r>
            <w:r w:rsidR="00EC195C">
              <w:rPr>
                <w:rFonts w:ascii="Arial" w:hAnsi="Arial" w:cs="Arial"/>
                <w:sz w:val="22"/>
                <w:szCs w:val="22"/>
              </w:rPr>
              <w:instrText xml:space="preserve"> PAGEREF _Toc3412 \h </w:instrText>
            </w:r>
            <w:r w:rsidR="00EC195C">
              <w:rPr>
                <w:rFonts w:ascii="Arial" w:hAnsi="Arial" w:cs="Arial"/>
                <w:sz w:val="22"/>
                <w:szCs w:val="22"/>
              </w:rPr>
            </w:r>
            <w:r w:rsidR="00EC195C">
              <w:rPr>
                <w:rFonts w:ascii="Arial" w:hAnsi="Arial" w:cs="Arial"/>
                <w:sz w:val="22"/>
                <w:szCs w:val="22"/>
              </w:rPr>
              <w:fldChar w:fldCharType="separate"/>
            </w:r>
            <w:r w:rsidR="00EC195C">
              <w:rPr>
                <w:rFonts w:ascii="Arial" w:hAnsi="Arial" w:cs="Arial"/>
                <w:sz w:val="22"/>
                <w:szCs w:val="22"/>
              </w:rPr>
              <w:t>2</w:t>
            </w:r>
            <w:r w:rsidR="00EC195C">
              <w:rPr>
                <w:rFonts w:ascii="Arial" w:hAnsi="Arial" w:cs="Arial"/>
                <w:sz w:val="22"/>
                <w:szCs w:val="22"/>
              </w:rPr>
              <w:fldChar w:fldCharType="end"/>
            </w:r>
          </w:hyperlink>
        </w:p>
        <w:p w14:paraId="5EC4675D" w14:textId="77777777" w:rsidR="00EB6C5A" w:rsidRDefault="00000000">
          <w:pPr>
            <w:pStyle w:val="TOC1"/>
            <w:tabs>
              <w:tab w:val="right" w:leader="dot" w:pos="8306"/>
            </w:tabs>
            <w:spacing w:line="360" w:lineRule="auto"/>
            <w:rPr>
              <w:rFonts w:ascii="Arial" w:hAnsi="Arial" w:cs="Arial"/>
              <w:sz w:val="22"/>
              <w:szCs w:val="22"/>
            </w:rPr>
          </w:pPr>
          <w:hyperlink w:anchor="_Toc20623" w:history="1">
            <w:r w:rsidR="00EC195C">
              <w:rPr>
                <w:rFonts w:ascii="Arial" w:hAnsi="Arial" w:cs="Arial"/>
                <w:bCs/>
                <w:sz w:val="22"/>
                <w:szCs w:val="22"/>
              </w:rPr>
              <w:t>Challenges Faced by Older Adults in the UK</w:t>
            </w:r>
            <w:r w:rsidR="00EC195C">
              <w:rPr>
                <w:rFonts w:ascii="Arial" w:hAnsi="Arial" w:cs="Arial"/>
                <w:sz w:val="22"/>
                <w:szCs w:val="22"/>
              </w:rPr>
              <w:tab/>
            </w:r>
            <w:r w:rsidR="00EC195C">
              <w:rPr>
                <w:rFonts w:ascii="Arial" w:hAnsi="Arial" w:cs="Arial"/>
                <w:sz w:val="22"/>
                <w:szCs w:val="22"/>
              </w:rPr>
              <w:fldChar w:fldCharType="begin"/>
            </w:r>
            <w:r w:rsidR="00EC195C">
              <w:rPr>
                <w:rFonts w:ascii="Arial" w:hAnsi="Arial" w:cs="Arial"/>
                <w:sz w:val="22"/>
                <w:szCs w:val="22"/>
              </w:rPr>
              <w:instrText xml:space="preserve"> PAGEREF _Toc20623 \h </w:instrText>
            </w:r>
            <w:r w:rsidR="00EC195C">
              <w:rPr>
                <w:rFonts w:ascii="Arial" w:hAnsi="Arial" w:cs="Arial"/>
                <w:sz w:val="22"/>
                <w:szCs w:val="22"/>
              </w:rPr>
            </w:r>
            <w:r w:rsidR="00EC195C">
              <w:rPr>
                <w:rFonts w:ascii="Arial" w:hAnsi="Arial" w:cs="Arial"/>
                <w:sz w:val="22"/>
                <w:szCs w:val="22"/>
              </w:rPr>
              <w:fldChar w:fldCharType="separate"/>
            </w:r>
            <w:r w:rsidR="00EC195C">
              <w:rPr>
                <w:rFonts w:ascii="Arial" w:hAnsi="Arial" w:cs="Arial"/>
                <w:sz w:val="22"/>
                <w:szCs w:val="22"/>
              </w:rPr>
              <w:t>3</w:t>
            </w:r>
            <w:r w:rsidR="00EC195C">
              <w:rPr>
                <w:rFonts w:ascii="Arial" w:hAnsi="Arial" w:cs="Arial"/>
                <w:sz w:val="22"/>
                <w:szCs w:val="22"/>
              </w:rPr>
              <w:fldChar w:fldCharType="end"/>
            </w:r>
          </w:hyperlink>
        </w:p>
        <w:p w14:paraId="2FBE4F4D" w14:textId="77777777" w:rsidR="00EB6C5A" w:rsidRDefault="00000000">
          <w:pPr>
            <w:pStyle w:val="TOC1"/>
            <w:tabs>
              <w:tab w:val="right" w:leader="dot" w:pos="8306"/>
            </w:tabs>
            <w:spacing w:line="360" w:lineRule="auto"/>
            <w:rPr>
              <w:rFonts w:ascii="Arial" w:hAnsi="Arial" w:cs="Arial"/>
              <w:sz w:val="22"/>
              <w:szCs w:val="22"/>
            </w:rPr>
          </w:pPr>
          <w:hyperlink w:anchor="_Toc26169" w:history="1">
            <w:r w:rsidR="00EC195C">
              <w:rPr>
                <w:rFonts w:ascii="Arial" w:hAnsi="Arial" w:cs="Arial"/>
                <w:bCs/>
                <w:sz w:val="22"/>
                <w:szCs w:val="22"/>
              </w:rPr>
              <w:t>Strengths of the Present Framework and Programme for the Elderly</w:t>
            </w:r>
            <w:r w:rsidR="00EC195C">
              <w:rPr>
                <w:rFonts w:ascii="Arial" w:hAnsi="Arial" w:cs="Arial"/>
                <w:sz w:val="22"/>
                <w:szCs w:val="22"/>
              </w:rPr>
              <w:tab/>
            </w:r>
            <w:r w:rsidR="00EC195C">
              <w:rPr>
                <w:rFonts w:ascii="Arial" w:hAnsi="Arial" w:cs="Arial"/>
                <w:sz w:val="22"/>
                <w:szCs w:val="22"/>
              </w:rPr>
              <w:fldChar w:fldCharType="begin"/>
            </w:r>
            <w:r w:rsidR="00EC195C">
              <w:rPr>
                <w:rFonts w:ascii="Arial" w:hAnsi="Arial" w:cs="Arial"/>
                <w:sz w:val="22"/>
                <w:szCs w:val="22"/>
              </w:rPr>
              <w:instrText xml:space="preserve"> PAGEREF _Toc26169 \h </w:instrText>
            </w:r>
            <w:r w:rsidR="00EC195C">
              <w:rPr>
                <w:rFonts w:ascii="Arial" w:hAnsi="Arial" w:cs="Arial"/>
                <w:sz w:val="22"/>
                <w:szCs w:val="22"/>
              </w:rPr>
            </w:r>
            <w:r w:rsidR="00EC195C">
              <w:rPr>
                <w:rFonts w:ascii="Arial" w:hAnsi="Arial" w:cs="Arial"/>
                <w:sz w:val="22"/>
                <w:szCs w:val="22"/>
              </w:rPr>
              <w:fldChar w:fldCharType="separate"/>
            </w:r>
            <w:r w:rsidR="00EC195C">
              <w:rPr>
                <w:rFonts w:ascii="Arial" w:hAnsi="Arial" w:cs="Arial"/>
                <w:sz w:val="22"/>
                <w:szCs w:val="22"/>
              </w:rPr>
              <w:t>4</w:t>
            </w:r>
            <w:r w:rsidR="00EC195C">
              <w:rPr>
                <w:rFonts w:ascii="Arial" w:hAnsi="Arial" w:cs="Arial"/>
                <w:sz w:val="22"/>
                <w:szCs w:val="22"/>
              </w:rPr>
              <w:fldChar w:fldCharType="end"/>
            </w:r>
          </w:hyperlink>
        </w:p>
        <w:p w14:paraId="32F501C2" w14:textId="77777777" w:rsidR="00EB6C5A" w:rsidRDefault="00000000">
          <w:pPr>
            <w:pStyle w:val="TOC1"/>
            <w:tabs>
              <w:tab w:val="right" w:leader="dot" w:pos="8306"/>
            </w:tabs>
            <w:spacing w:line="360" w:lineRule="auto"/>
            <w:rPr>
              <w:rFonts w:ascii="Arial" w:hAnsi="Arial" w:cs="Arial"/>
              <w:sz w:val="22"/>
              <w:szCs w:val="22"/>
            </w:rPr>
          </w:pPr>
          <w:hyperlink w:anchor="_Toc26459" w:history="1">
            <w:r w:rsidR="00EC195C">
              <w:rPr>
                <w:rFonts w:ascii="Arial" w:hAnsi="Arial" w:cs="Arial"/>
                <w:bCs/>
                <w:sz w:val="22"/>
                <w:szCs w:val="22"/>
              </w:rPr>
              <w:t>Challenges With Present Frameworks</w:t>
            </w:r>
            <w:r w:rsidR="00EC195C">
              <w:rPr>
                <w:rFonts w:ascii="Arial" w:hAnsi="Arial" w:cs="Arial"/>
                <w:sz w:val="22"/>
                <w:szCs w:val="22"/>
              </w:rPr>
              <w:tab/>
            </w:r>
            <w:r w:rsidR="00EC195C">
              <w:rPr>
                <w:rFonts w:ascii="Arial" w:hAnsi="Arial" w:cs="Arial"/>
                <w:sz w:val="22"/>
                <w:szCs w:val="22"/>
              </w:rPr>
              <w:fldChar w:fldCharType="begin"/>
            </w:r>
            <w:r w:rsidR="00EC195C">
              <w:rPr>
                <w:rFonts w:ascii="Arial" w:hAnsi="Arial" w:cs="Arial"/>
                <w:sz w:val="22"/>
                <w:szCs w:val="22"/>
              </w:rPr>
              <w:instrText xml:space="preserve"> PAGEREF _Toc26459 \h </w:instrText>
            </w:r>
            <w:r w:rsidR="00EC195C">
              <w:rPr>
                <w:rFonts w:ascii="Arial" w:hAnsi="Arial" w:cs="Arial"/>
                <w:sz w:val="22"/>
                <w:szCs w:val="22"/>
              </w:rPr>
            </w:r>
            <w:r w:rsidR="00EC195C">
              <w:rPr>
                <w:rFonts w:ascii="Arial" w:hAnsi="Arial" w:cs="Arial"/>
                <w:sz w:val="22"/>
                <w:szCs w:val="22"/>
              </w:rPr>
              <w:fldChar w:fldCharType="separate"/>
            </w:r>
            <w:r w:rsidR="00EC195C">
              <w:rPr>
                <w:rFonts w:ascii="Arial" w:hAnsi="Arial" w:cs="Arial"/>
                <w:sz w:val="22"/>
                <w:szCs w:val="22"/>
              </w:rPr>
              <w:t>5</w:t>
            </w:r>
            <w:r w:rsidR="00EC195C">
              <w:rPr>
                <w:rFonts w:ascii="Arial" w:hAnsi="Arial" w:cs="Arial"/>
                <w:sz w:val="22"/>
                <w:szCs w:val="22"/>
              </w:rPr>
              <w:fldChar w:fldCharType="end"/>
            </w:r>
          </w:hyperlink>
        </w:p>
        <w:p w14:paraId="7C513F92" w14:textId="77777777" w:rsidR="00EB6C5A" w:rsidRDefault="00000000">
          <w:pPr>
            <w:pStyle w:val="TOC1"/>
            <w:tabs>
              <w:tab w:val="right" w:leader="dot" w:pos="8306"/>
            </w:tabs>
            <w:spacing w:line="360" w:lineRule="auto"/>
            <w:rPr>
              <w:rFonts w:ascii="Arial" w:hAnsi="Arial" w:cs="Arial"/>
              <w:sz w:val="22"/>
              <w:szCs w:val="22"/>
            </w:rPr>
          </w:pPr>
          <w:hyperlink w:anchor="_Toc15619" w:history="1">
            <w:r w:rsidR="00EC195C">
              <w:rPr>
                <w:rFonts w:ascii="Arial" w:hAnsi="Arial" w:cs="Arial"/>
                <w:bCs/>
                <w:sz w:val="22"/>
                <w:szCs w:val="22"/>
              </w:rPr>
              <w:t>Using Technology and Artificial Intelligence in Elder Care: The Future</w:t>
            </w:r>
            <w:r w:rsidR="00EC195C">
              <w:rPr>
                <w:rFonts w:ascii="Arial" w:hAnsi="Arial" w:cs="Arial"/>
                <w:sz w:val="22"/>
                <w:szCs w:val="22"/>
              </w:rPr>
              <w:tab/>
            </w:r>
            <w:r w:rsidR="00EC195C">
              <w:rPr>
                <w:rFonts w:ascii="Arial" w:hAnsi="Arial" w:cs="Arial"/>
                <w:sz w:val="22"/>
                <w:szCs w:val="22"/>
              </w:rPr>
              <w:fldChar w:fldCharType="begin"/>
            </w:r>
            <w:r w:rsidR="00EC195C">
              <w:rPr>
                <w:rFonts w:ascii="Arial" w:hAnsi="Arial" w:cs="Arial"/>
                <w:sz w:val="22"/>
                <w:szCs w:val="22"/>
              </w:rPr>
              <w:instrText xml:space="preserve"> PAGEREF _Toc15619 \h </w:instrText>
            </w:r>
            <w:r w:rsidR="00EC195C">
              <w:rPr>
                <w:rFonts w:ascii="Arial" w:hAnsi="Arial" w:cs="Arial"/>
                <w:sz w:val="22"/>
                <w:szCs w:val="22"/>
              </w:rPr>
            </w:r>
            <w:r w:rsidR="00EC195C">
              <w:rPr>
                <w:rFonts w:ascii="Arial" w:hAnsi="Arial" w:cs="Arial"/>
                <w:sz w:val="22"/>
                <w:szCs w:val="22"/>
              </w:rPr>
              <w:fldChar w:fldCharType="separate"/>
            </w:r>
            <w:r w:rsidR="00EC195C">
              <w:rPr>
                <w:rFonts w:ascii="Arial" w:hAnsi="Arial" w:cs="Arial"/>
                <w:sz w:val="22"/>
                <w:szCs w:val="22"/>
              </w:rPr>
              <w:t>6</w:t>
            </w:r>
            <w:r w:rsidR="00EC195C">
              <w:rPr>
                <w:rFonts w:ascii="Arial" w:hAnsi="Arial" w:cs="Arial"/>
                <w:sz w:val="22"/>
                <w:szCs w:val="22"/>
              </w:rPr>
              <w:fldChar w:fldCharType="end"/>
            </w:r>
          </w:hyperlink>
        </w:p>
        <w:p w14:paraId="5400CAE9" w14:textId="77777777" w:rsidR="00EB6C5A" w:rsidRDefault="00000000">
          <w:pPr>
            <w:pStyle w:val="TOC1"/>
            <w:tabs>
              <w:tab w:val="right" w:leader="dot" w:pos="8306"/>
            </w:tabs>
            <w:spacing w:line="360" w:lineRule="auto"/>
            <w:rPr>
              <w:rFonts w:ascii="Arial" w:hAnsi="Arial" w:cs="Arial"/>
              <w:sz w:val="22"/>
              <w:szCs w:val="22"/>
            </w:rPr>
          </w:pPr>
          <w:hyperlink w:anchor="_Toc4757" w:history="1">
            <w:r w:rsidR="00EC195C">
              <w:rPr>
                <w:rFonts w:ascii="Arial" w:eastAsia="SimSun" w:hAnsi="Arial" w:cs="Arial"/>
                <w:bCs/>
                <w:sz w:val="22"/>
                <w:szCs w:val="22"/>
              </w:rPr>
              <w:t>Recommendations</w:t>
            </w:r>
            <w:r w:rsidR="00EC195C">
              <w:rPr>
                <w:rFonts w:ascii="Arial" w:hAnsi="Arial" w:cs="Arial"/>
                <w:sz w:val="22"/>
                <w:szCs w:val="22"/>
              </w:rPr>
              <w:tab/>
            </w:r>
            <w:r w:rsidR="00EC195C">
              <w:rPr>
                <w:rFonts w:ascii="Arial" w:hAnsi="Arial" w:cs="Arial"/>
                <w:sz w:val="22"/>
                <w:szCs w:val="22"/>
              </w:rPr>
              <w:fldChar w:fldCharType="begin"/>
            </w:r>
            <w:r w:rsidR="00EC195C">
              <w:rPr>
                <w:rFonts w:ascii="Arial" w:hAnsi="Arial" w:cs="Arial"/>
                <w:sz w:val="22"/>
                <w:szCs w:val="22"/>
              </w:rPr>
              <w:instrText xml:space="preserve"> PAGEREF _Toc4757 \h </w:instrText>
            </w:r>
            <w:r w:rsidR="00EC195C">
              <w:rPr>
                <w:rFonts w:ascii="Arial" w:hAnsi="Arial" w:cs="Arial"/>
                <w:sz w:val="22"/>
                <w:szCs w:val="22"/>
              </w:rPr>
            </w:r>
            <w:r w:rsidR="00EC195C">
              <w:rPr>
                <w:rFonts w:ascii="Arial" w:hAnsi="Arial" w:cs="Arial"/>
                <w:sz w:val="22"/>
                <w:szCs w:val="22"/>
              </w:rPr>
              <w:fldChar w:fldCharType="separate"/>
            </w:r>
            <w:r w:rsidR="00EC195C">
              <w:rPr>
                <w:rFonts w:ascii="Arial" w:hAnsi="Arial" w:cs="Arial"/>
                <w:sz w:val="22"/>
                <w:szCs w:val="22"/>
              </w:rPr>
              <w:t>7</w:t>
            </w:r>
            <w:r w:rsidR="00EC195C">
              <w:rPr>
                <w:rFonts w:ascii="Arial" w:hAnsi="Arial" w:cs="Arial"/>
                <w:sz w:val="22"/>
                <w:szCs w:val="22"/>
              </w:rPr>
              <w:fldChar w:fldCharType="end"/>
            </w:r>
          </w:hyperlink>
        </w:p>
        <w:p w14:paraId="3D7524B0" w14:textId="77777777" w:rsidR="00EB6C5A" w:rsidRDefault="00000000">
          <w:pPr>
            <w:pStyle w:val="TOC1"/>
            <w:tabs>
              <w:tab w:val="right" w:leader="dot" w:pos="8306"/>
            </w:tabs>
            <w:spacing w:line="360" w:lineRule="auto"/>
            <w:rPr>
              <w:rFonts w:ascii="Arial" w:hAnsi="Arial" w:cs="Arial"/>
              <w:sz w:val="22"/>
              <w:szCs w:val="22"/>
            </w:rPr>
          </w:pPr>
          <w:hyperlink w:anchor="_Toc10543" w:history="1">
            <w:r w:rsidR="00EC195C">
              <w:rPr>
                <w:rFonts w:ascii="Arial" w:hAnsi="Arial" w:cs="Arial"/>
                <w:bCs/>
                <w:sz w:val="22"/>
                <w:szCs w:val="22"/>
              </w:rPr>
              <w:t>Conclusion</w:t>
            </w:r>
            <w:r w:rsidR="00EC195C">
              <w:rPr>
                <w:rFonts w:ascii="Arial" w:hAnsi="Arial" w:cs="Arial"/>
                <w:sz w:val="22"/>
                <w:szCs w:val="22"/>
              </w:rPr>
              <w:tab/>
            </w:r>
            <w:r w:rsidR="00EC195C">
              <w:rPr>
                <w:rFonts w:ascii="Arial" w:hAnsi="Arial" w:cs="Arial"/>
                <w:sz w:val="22"/>
                <w:szCs w:val="22"/>
              </w:rPr>
              <w:fldChar w:fldCharType="begin"/>
            </w:r>
            <w:r w:rsidR="00EC195C">
              <w:rPr>
                <w:rFonts w:ascii="Arial" w:hAnsi="Arial" w:cs="Arial"/>
                <w:sz w:val="22"/>
                <w:szCs w:val="22"/>
              </w:rPr>
              <w:instrText xml:space="preserve"> PAGEREF _Toc10543 \h </w:instrText>
            </w:r>
            <w:r w:rsidR="00EC195C">
              <w:rPr>
                <w:rFonts w:ascii="Arial" w:hAnsi="Arial" w:cs="Arial"/>
                <w:sz w:val="22"/>
                <w:szCs w:val="22"/>
              </w:rPr>
            </w:r>
            <w:r w:rsidR="00EC195C">
              <w:rPr>
                <w:rFonts w:ascii="Arial" w:hAnsi="Arial" w:cs="Arial"/>
                <w:sz w:val="22"/>
                <w:szCs w:val="22"/>
              </w:rPr>
              <w:fldChar w:fldCharType="separate"/>
            </w:r>
            <w:r w:rsidR="00EC195C">
              <w:rPr>
                <w:rFonts w:ascii="Arial" w:hAnsi="Arial" w:cs="Arial"/>
                <w:sz w:val="22"/>
                <w:szCs w:val="22"/>
              </w:rPr>
              <w:t>8</w:t>
            </w:r>
            <w:r w:rsidR="00EC195C">
              <w:rPr>
                <w:rFonts w:ascii="Arial" w:hAnsi="Arial" w:cs="Arial"/>
                <w:sz w:val="22"/>
                <w:szCs w:val="22"/>
              </w:rPr>
              <w:fldChar w:fldCharType="end"/>
            </w:r>
          </w:hyperlink>
        </w:p>
        <w:p w14:paraId="520D37D2" w14:textId="77777777" w:rsidR="00EB6C5A" w:rsidRDefault="00000000">
          <w:pPr>
            <w:pStyle w:val="TOC1"/>
            <w:tabs>
              <w:tab w:val="right" w:leader="dot" w:pos="8306"/>
            </w:tabs>
            <w:spacing w:line="360" w:lineRule="auto"/>
            <w:rPr>
              <w:rFonts w:ascii="Arial" w:hAnsi="Arial" w:cs="Arial"/>
              <w:sz w:val="22"/>
              <w:szCs w:val="22"/>
            </w:rPr>
          </w:pPr>
          <w:hyperlink w:anchor="_Toc3739" w:history="1">
            <w:r w:rsidR="00EC195C">
              <w:rPr>
                <w:rFonts w:ascii="Arial" w:hAnsi="Arial" w:cs="Arial"/>
                <w:bCs/>
                <w:sz w:val="22"/>
                <w:szCs w:val="22"/>
              </w:rPr>
              <w:t>References</w:t>
            </w:r>
            <w:r w:rsidR="00EC195C">
              <w:rPr>
                <w:rFonts w:ascii="Arial" w:hAnsi="Arial" w:cs="Arial"/>
                <w:sz w:val="22"/>
                <w:szCs w:val="22"/>
              </w:rPr>
              <w:tab/>
            </w:r>
            <w:r w:rsidR="00EC195C">
              <w:rPr>
                <w:rFonts w:ascii="Arial" w:hAnsi="Arial" w:cs="Arial"/>
                <w:sz w:val="22"/>
                <w:szCs w:val="22"/>
              </w:rPr>
              <w:fldChar w:fldCharType="begin"/>
            </w:r>
            <w:r w:rsidR="00EC195C">
              <w:rPr>
                <w:rFonts w:ascii="Arial" w:hAnsi="Arial" w:cs="Arial"/>
                <w:sz w:val="22"/>
                <w:szCs w:val="22"/>
              </w:rPr>
              <w:instrText xml:space="preserve"> PAGEREF _Toc3739 \h </w:instrText>
            </w:r>
            <w:r w:rsidR="00EC195C">
              <w:rPr>
                <w:rFonts w:ascii="Arial" w:hAnsi="Arial" w:cs="Arial"/>
                <w:sz w:val="22"/>
                <w:szCs w:val="22"/>
              </w:rPr>
            </w:r>
            <w:r w:rsidR="00EC195C">
              <w:rPr>
                <w:rFonts w:ascii="Arial" w:hAnsi="Arial" w:cs="Arial"/>
                <w:sz w:val="22"/>
                <w:szCs w:val="22"/>
              </w:rPr>
              <w:fldChar w:fldCharType="separate"/>
            </w:r>
            <w:r w:rsidR="00EC195C">
              <w:rPr>
                <w:rFonts w:ascii="Arial" w:hAnsi="Arial" w:cs="Arial"/>
                <w:sz w:val="22"/>
                <w:szCs w:val="22"/>
              </w:rPr>
              <w:t>9</w:t>
            </w:r>
            <w:r w:rsidR="00EC195C">
              <w:rPr>
                <w:rFonts w:ascii="Arial" w:hAnsi="Arial" w:cs="Arial"/>
                <w:sz w:val="22"/>
                <w:szCs w:val="22"/>
              </w:rPr>
              <w:fldChar w:fldCharType="end"/>
            </w:r>
          </w:hyperlink>
        </w:p>
        <w:p w14:paraId="602362DB" w14:textId="77777777" w:rsidR="00EB6C5A" w:rsidRDefault="00EC195C">
          <w:pPr>
            <w:spacing w:line="360" w:lineRule="auto"/>
            <w:jc w:val="both"/>
            <w:rPr>
              <w:rFonts w:ascii="SimSun" w:eastAsia="SimSun" w:hAnsi="SimSun"/>
              <w:sz w:val="21"/>
            </w:rPr>
          </w:pPr>
          <w:r>
            <w:rPr>
              <w:rFonts w:ascii="Arial" w:hAnsi="Arial" w:cs="Arial"/>
              <w:sz w:val="22"/>
              <w:szCs w:val="22"/>
            </w:rPr>
            <w:fldChar w:fldCharType="end"/>
          </w:r>
        </w:p>
      </w:sdtContent>
    </w:sdt>
    <w:p w14:paraId="48945728" w14:textId="77777777" w:rsidR="00EB6C5A" w:rsidRDefault="00EB6C5A">
      <w:pPr>
        <w:spacing w:line="360" w:lineRule="auto"/>
        <w:jc w:val="both"/>
        <w:rPr>
          <w:rFonts w:ascii="SimSun" w:eastAsia="SimSun" w:hAnsi="SimSun"/>
          <w:sz w:val="21"/>
        </w:rPr>
      </w:pPr>
    </w:p>
    <w:p w14:paraId="7DE06D13" w14:textId="77777777" w:rsidR="00EB6C5A" w:rsidRDefault="00EC195C">
      <w:pPr>
        <w:spacing w:line="360" w:lineRule="auto"/>
        <w:jc w:val="both"/>
        <w:outlineLvl w:val="0"/>
        <w:rPr>
          <w:rFonts w:ascii="Arial" w:hAnsi="Arial" w:cs="Arial"/>
          <w:b/>
          <w:bCs/>
          <w:sz w:val="22"/>
          <w:szCs w:val="22"/>
        </w:rPr>
      </w:pPr>
      <w:bookmarkStart w:id="0" w:name="_Toc9961"/>
      <w:r>
        <w:rPr>
          <w:rFonts w:ascii="Arial" w:hAnsi="Arial" w:cs="Arial"/>
          <w:b/>
          <w:bCs/>
          <w:sz w:val="22"/>
          <w:szCs w:val="22"/>
        </w:rPr>
        <w:t>Introduction</w:t>
      </w:r>
      <w:bookmarkEnd w:id="0"/>
    </w:p>
    <w:p w14:paraId="25C5600D" w14:textId="77777777" w:rsidR="00EB6C5A" w:rsidRDefault="00EC195C">
      <w:pPr>
        <w:spacing w:line="360" w:lineRule="auto"/>
        <w:jc w:val="both"/>
        <w:rPr>
          <w:rFonts w:ascii="Arial" w:hAnsi="Arial"/>
          <w:sz w:val="22"/>
          <w:szCs w:val="22"/>
        </w:rPr>
      </w:pPr>
      <w:r>
        <w:rPr>
          <w:rFonts w:ascii="Arial" w:hAnsi="Arial" w:cs="Arial"/>
          <w:b/>
          <w:bCs/>
          <w:sz w:val="22"/>
          <w:szCs w:val="22"/>
        </w:rPr>
        <w:tab/>
      </w:r>
      <w:r>
        <w:rPr>
          <w:rFonts w:ascii="Arial" w:hAnsi="Arial"/>
          <w:sz w:val="22"/>
          <w:szCs w:val="22"/>
        </w:rPr>
        <w:t>The term  "old age" is a changing objective. Traditionally, chronological age has been used as a standard, with the United Nations defining it as 60 years or older (UN, 2023). However, this definition fails to account for the wide range of experiences and functional capacities within this demographic group (Hurd et al., 2009). Sadie's case study demonstrates this complication. She is 82 years old, which meets the United Nations' definition of "old age." However, her circumstance demonstrates the limitations of a strictly chronological viewpoint. Biologically, her movement restrictions and weight concerns reflect the difficulties that are frequently connected with the latter phases of ageing (National Institute on Ageing, 2023). Her social isolation and dependency on family for everyday necessities reflects the vulnerabilities many older persons confront (Wikipedia, 2024). This study delves into Sadie's situation and examines the varied nature of "old age."  It investigates the interaction of biological, social, and psychological elements that influence an individual's later life experience, rather than solely chronological markers. Understanding these intricacies allows us to build more effective methods for Sadie's well-being and successful ageing.</w:t>
      </w:r>
    </w:p>
    <w:p w14:paraId="200286CD" w14:textId="77777777" w:rsidR="00EB6C5A" w:rsidRDefault="00EB6C5A">
      <w:pPr>
        <w:spacing w:line="360" w:lineRule="auto"/>
        <w:jc w:val="both"/>
        <w:rPr>
          <w:rFonts w:ascii="Arial" w:hAnsi="Arial"/>
          <w:b/>
          <w:bCs/>
          <w:sz w:val="22"/>
          <w:szCs w:val="22"/>
        </w:rPr>
      </w:pPr>
    </w:p>
    <w:p w14:paraId="1BFA232B" w14:textId="77777777" w:rsidR="00EB6C5A" w:rsidRDefault="00EC195C">
      <w:pPr>
        <w:spacing w:line="360" w:lineRule="auto"/>
        <w:jc w:val="both"/>
        <w:outlineLvl w:val="0"/>
        <w:rPr>
          <w:rFonts w:ascii="Arial" w:hAnsi="Arial"/>
          <w:b/>
          <w:bCs/>
          <w:sz w:val="22"/>
          <w:szCs w:val="22"/>
        </w:rPr>
      </w:pPr>
      <w:bookmarkStart w:id="1" w:name="_Toc29157"/>
      <w:r>
        <w:rPr>
          <w:rFonts w:ascii="Arial" w:hAnsi="Arial"/>
          <w:b/>
          <w:bCs/>
          <w:sz w:val="22"/>
          <w:szCs w:val="22"/>
        </w:rPr>
        <w:t>Context</w:t>
      </w:r>
      <w:bookmarkEnd w:id="1"/>
    </w:p>
    <w:p w14:paraId="6623E10A" w14:textId="77777777" w:rsidR="00EB6C5A" w:rsidRDefault="00EC195C">
      <w:pPr>
        <w:spacing w:line="360" w:lineRule="auto"/>
        <w:ind w:firstLine="720"/>
        <w:jc w:val="both"/>
        <w:rPr>
          <w:rFonts w:ascii="Arial" w:hAnsi="Arial"/>
          <w:sz w:val="22"/>
          <w:szCs w:val="22"/>
        </w:rPr>
      </w:pPr>
      <w:r>
        <w:rPr>
          <w:rFonts w:ascii="Arial" w:hAnsi="Arial"/>
          <w:sz w:val="22"/>
          <w:szCs w:val="22"/>
        </w:rPr>
        <w:t xml:space="preserve">The world is seeing an unprecedented demographic shift, significant expansion in the elderly population. The United Nations predicts that by 2050, one in </w:t>
      </w:r>
      <w:r>
        <w:rPr>
          <w:rFonts w:ascii="Arial" w:hAnsi="Arial"/>
          <w:sz w:val="22"/>
          <w:szCs w:val="22"/>
        </w:rPr>
        <w:lastRenderedPageBreak/>
        <w:t xml:space="preserve">every six persons worldwide would be beyond the age of 65, up from one in every eleven in 2019. This phenomena is caused by two major factors; Improvements in healthcare, sanitation, and nutrition have resulted in longer life expectancy. The worldwide average life expectancy has surpassed 70 years for the first time in history (World Health </w:t>
      </w:r>
      <w:proofErr w:type="spellStart"/>
      <w:r>
        <w:rPr>
          <w:rFonts w:ascii="Arial" w:hAnsi="Arial"/>
          <w:sz w:val="22"/>
          <w:szCs w:val="22"/>
        </w:rPr>
        <w:t>Organisation</w:t>
      </w:r>
      <w:proofErr w:type="spellEnd"/>
      <w:r>
        <w:rPr>
          <w:rFonts w:ascii="Arial" w:hAnsi="Arial"/>
          <w:sz w:val="22"/>
          <w:szCs w:val="22"/>
        </w:rPr>
        <w:t xml:space="preserve">, 2020). Also, birth rates have been dropping in many nations as a result of </w:t>
      </w:r>
      <w:proofErr w:type="spellStart"/>
      <w:r>
        <w:rPr>
          <w:rFonts w:ascii="Arial" w:hAnsi="Arial"/>
          <w:sz w:val="22"/>
          <w:szCs w:val="22"/>
        </w:rPr>
        <w:t>urbanisation</w:t>
      </w:r>
      <w:proofErr w:type="spellEnd"/>
      <w:r>
        <w:rPr>
          <w:rFonts w:ascii="Arial" w:hAnsi="Arial"/>
          <w:sz w:val="22"/>
          <w:szCs w:val="22"/>
        </w:rPr>
        <w:t xml:space="preserve">, education, and improved female work options (Lutz et al., 2014). This means that fewer young individuals will enter the population to replace the ageing group. </w:t>
      </w:r>
    </w:p>
    <w:p w14:paraId="097D3439" w14:textId="77777777" w:rsidR="00EB6C5A" w:rsidRDefault="00EC195C">
      <w:pPr>
        <w:spacing w:line="360" w:lineRule="auto"/>
        <w:ind w:firstLine="720"/>
        <w:jc w:val="both"/>
        <w:rPr>
          <w:rFonts w:ascii="Arial" w:hAnsi="Arial"/>
          <w:b/>
          <w:bCs/>
          <w:sz w:val="22"/>
          <w:szCs w:val="22"/>
        </w:rPr>
      </w:pPr>
      <w:r>
        <w:rPr>
          <w:rFonts w:ascii="Arial" w:hAnsi="Arial"/>
          <w:sz w:val="22"/>
          <w:szCs w:val="22"/>
        </w:rPr>
        <w:t>Sadie's case study represents the reality of this demographic transition. She is 82 years old and reflects the rising number of people dealing with the hardships of old age. Her circumstance underscores the importance of adapting social and healthcare systems to meet the unique requirements of an ageing population. The growing number of older persons, such as Sadie, puts a strain on current social and healthcare services. With limited access to public transport and declining social contacts, Sadie is heavily reliant on her daughter, Hannah, for daily necessities. This strain on younger family members, along with a diminishing workforce, raises worries regarding the viability of informal caregiving arrangements (</w:t>
      </w:r>
      <w:proofErr w:type="spellStart"/>
      <w:r>
        <w:rPr>
          <w:rFonts w:ascii="Arial" w:hAnsi="Arial"/>
          <w:sz w:val="22"/>
          <w:szCs w:val="22"/>
        </w:rPr>
        <w:t>Pinquart</w:t>
      </w:r>
      <w:proofErr w:type="spellEnd"/>
      <w:r>
        <w:rPr>
          <w:rFonts w:ascii="Arial" w:hAnsi="Arial"/>
          <w:sz w:val="22"/>
          <w:szCs w:val="22"/>
        </w:rPr>
        <w:t xml:space="preserve"> &amp; Sörensen, 2011). Furthermore, the cultural change towards fewer families and increasing geographical mobility might lead to social isolation in older persons (Victor et al., 2013). As witnessed in Sadie's case, the death of a spouse and limited contact with friends can cause loneliness and despair, affecting their well-being.</w:t>
      </w:r>
    </w:p>
    <w:p w14:paraId="23491E4A" w14:textId="77777777" w:rsidR="00EB6C5A" w:rsidRDefault="00EC195C">
      <w:pPr>
        <w:spacing w:line="360" w:lineRule="auto"/>
        <w:ind w:left="1440" w:firstLine="720"/>
        <w:jc w:val="both"/>
        <w:outlineLvl w:val="0"/>
        <w:rPr>
          <w:rFonts w:ascii="Arial" w:hAnsi="Arial"/>
          <w:b/>
          <w:bCs/>
          <w:sz w:val="22"/>
          <w:szCs w:val="22"/>
        </w:rPr>
      </w:pPr>
      <w:bookmarkStart w:id="2" w:name="_Toc3412"/>
      <w:r>
        <w:rPr>
          <w:rFonts w:ascii="Arial" w:hAnsi="Arial"/>
          <w:b/>
          <w:bCs/>
          <w:sz w:val="22"/>
          <w:szCs w:val="22"/>
        </w:rPr>
        <w:t>Social Theories of Aging</w:t>
      </w:r>
      <w:bookmarkEnd w:id="2"/>
    </w:p>
    <w:p w14:paraId="471BBD79" w14:textId="77777777" w:rsidR="00EB6C5A" w:rsidRDefault="00EC195C">
      <w:pPr>
        <w:spacing w:line="360" w:lineRule="auto"/>
        <w:ind w:firstLine="720"/>
        <w:jc w:val="both"/>
        <w:rPr>
          <w:rFonts w:ascii="Arial" w:hAnsi="Arial"/>
          <w:sz w:val="22"/>
          <w:szCs w:val="22"/>
        </w:rPr>
      </w:pPr>
      <w:r>
        <w:rPr>
          <w:rFonts w:ascii="Arial" w:hAnsi="Arial"/>
          <w:sz w:val="22"/>
          <w:szCs w:val="22"/>
        </w:rPr>
        <w:t>According to the Disengagement Theory (Cumming &amp; Henry, 1961), elderly persons and society naturally recede from one another. According to this notion, when elderly persons get closer to passing away, they gradually stop participating in social duties and activities. Using this perspective, Sadie's small social circle and reliance on her daughter for everyday chores may be understood. But there are restrictions. Sadie may not willfully withdraw, but she does have limits because of her rural location and health (arthritis), which limit her social chances. Disengagement Theory also fails to take into account the range of experiences that older persons have. Sadie's loneliness following her husband's passing shows that she still yearns for connection.</w:t>
      </w:r>
      <w:r>
        <w:rPr>
          <w:rFonts w:ascii="Arial" w:hAnsi="Arial"/>
          <w:sz w:val="22"/>
          <w:szCs w:val="22"/>
        </w:rPr>
        <w:tab/>
      </w:r>
    </w:p>
    <w:p w14:paraId="0E409477" w14:textId="77777777" w:rsidR="00EB6C5A" w:rsidRDefault="00EC195C">
      <w:pPr>
        <w:spacing w:line="360" w:lineRule="auto"/>
        <w:jc w:val="both"/>
        <w:rPr>
          <w:rFonts w:ascii="Arial" w:hAnsi="Arial"/>
          <w:sz w:val="22"/>
          <w:szCs w:val="22"/>
        </w:rPr>
      </w:pPr>
      <w:r>
        <w:rPr>
          <w:rFonts w:ascii="Arial" w:hAnsi="Arial"/>
          <w:b/>
          <w:bCs/>
          <w:sz w:val="22"/>
          <w:szCs w:val="22"/>
        </w:rPr>
        <w:tab/>
      </w:r>
      <w:r>
        <w:rPr>
          <w:rFonts w:ascii="Arial" w:hAnsi="Arial"/>
          <w:sz w:val="22"/>
          <w:szCs w:val="22"/>
        </w:rPr>
        <w:t xml:space="preserve">The Activity Theory (Havighurst, 1963) posits that maintaining social connections and participating in worthwhile pursuits are essential for fostering wellbeing in later life. According to this hypothesis, having a social network and a feeling of purpose in life helps people age well. Sadie's low social network and low activity level as a result of health issues might account for her sense of lost control </w:t>
      </w:r>
      <w:r>
        <w:rPr>
          <w:rFonts w:ascii="Arial" w:hAnsi="Arial"/>
          <w:sz w:val="22"/>
          <w:szCs w:val="22"/>
        </w:rPr>
        <w:lastRenderedPageBreak/>
        <w:t>over her life. Activity Theory provides insightful information. Sadie may engage with healthcare professionals and others through technological innovations like telehealth consultations and online social support groups, which would boost her activity level and give her a sense of purpose.</w:t>
      </w:r>
    </w:p>
    <w:p w14:paraId="5E8C53F9" w14:textId="77777777" w:rsidR="00EB6C5A" w:rsidRDefault="00EC195C">
      <w:pPr>
        <w:spacing w:line="360" w:lineRule="auto"/>
        <w:jc w:val="both"/>
        <w:rPr>
          <w:rFonts w:ascii="Arial" w:hAnsi="Arial"/>
          <w:sz w:val="22"/>
          <w:szCs w:val="22"/>
        </w:rPr>
      </w:pPr>
      <w:r>
        <w:rPr>
          <w:rFonts w:ascii="Arial" w:hAnsi="Arial"/>
          <w:sz w:val="22"/>
          <w:szCs w:val="22"/>
        </w:rPr>
        <w:tab/>
        <w:t>Maintaining continuity between one's previous life and current circumstances is crucial, according to Atchley's (1989) Continuity Theory. This hypothesis postulates that as they age, older folks make an effort to hold onto their established routines and responsibilities. This hypothesis is somewhat reflected in Sadie's instance.  Maybe she has always looked on her daughter for assistance, and this is why she is so dependent on her. She appears to have broken this continuity, though, given her physical limits and lack of social engagement. Even here, technology may be useful. In order to create a sense of continuity and familiarity, virtual assistants may provide companionship reminiscent of previous social encounters.</w:t>
      </w:r>
    </w:p>
    <w:p w14:paraId="487E60E2" w14:textId="77777777" w:rsidR="00EB6C5A" w:rsidRDefault="00EC195C">
      <w:pPr>
        <w:spacing w:line="360" w:lineRule="auto"/>
        <w:jc w:val="both"/>
        <w:rPr>
          <w:rFonts w:ascii="Arial" w:hAnsi="Arial"/>
          <w:b/>
          <w:bCs/>
          <w:sz w:val="22"/>
          <w:szCs w:val="22"/>
        </w:rPr>
      </w:pPr>
      <w:r>
        <w:rPr>
          <w:rFonts w:ascii="Arial" w:hAnsi="Arial"/>
          <w:sz w:val="22"/>
          <w:szCs w:val="22"/>
        </w:rPr>
        <w:tab/>
        <w:t>It's important to understand the limits of these well-known social theories even if they offer insightful information. They may present a crude image of ageing as a process that is universally applicable. The varied needs and goals of senior citizens are brought to light by Sadie's experience. Elder care requires an all-encompassing strategy. Technological innovations that can help with isolation and care access include telemedicine and AI-powered support. Furthermore, the ideas of Activity Theory may be reinforced by social interventions that foster digital literacy and community involvement.</w:t>
      </w:r>
    </w:p>
    <w:p w14:paraId="33578762" w14:textId="77777777" w:rsidR="00EB6C5A" w:rsidRDefault="00EC195C">
      <w:pPr>
        <w:spacing w:line="360" w:lineRule="auto"/>
        <w:ind w:firstLine="720"/>
        <w:jc w:val="center"/>
        <w:outlineLvl w:val="0"/>
        <w:rPr>
          <w:rFonts w:ascii="Arial" w:hAnsi="Arial"/>
          <w:sz w:val="22"/>
          <w:szCs w:val="22"/>
        </w:rPr>
      </w:pPr>
      <w:bookmarkStart w:id="3" w:name="_Toc20623"/>
      <w:r>
        <w:rPr>
          <w:rFonts w:ascii="Arial" w:hAnsi="Arial"/>
          <w:b/>
          <w:bCs/>
          <w:sz w:val="22"/>
          <w:szCs w:val="22"/>
        </w:rPr>
        <w:t>Challenges Faced by Older Adults in the UK</w:t>
      </w:r>
      <w:bookmarkEnd w:id="3"/>
    </w:p>
    <w:p w14:paraId="3FF186CE" w14:textId="77777777" w:rsidR="00EB6C5A" w:rsidRDefault="00EC195C">
      <w:pPr>
        <w:spacing w:line="360" w:lineRule="auto"/>
        <w:ind w:firstLine="720"/>
        <w:jc w:val="both"/>
        <w:rPr>
          <w:rFonts w:ascii="Arial" w:hAnsi="Arial"/>
          <w:sz w:val="22"/>
          <w:szCs w:val="22"/>
        </w:rPr>
      </w:pPr>
      <w:r>
        <w:rPr>
          <w:rFonts w:ascii="Arial" w:hAnsi="Arial"/>
          <w:sz w:val="22"/>
          <w:szCs w:val="22"/>
        </w:rPr>
        <w:t>The UK, like many other countries, is witnessing a demographic change, with a fast expanding older adult population. The "silver tsunami" presents both possibilities and problems. While older persons make enormous contributions to society via expertise and volunteerism, they also confront distinct risks. Understanding these problems is critical for designing policies and support systems that promote their well-being. Many older people are financially insecure. Pension levels may not keep up with growing living expenses, requiring people to make tough decisions concerning necessities such as heating or food (Age UK, 2023). The transition to private pensions may leave individuals exposed if their investments underperform. Furthermore, rural seclusion, such as Sadie's, might hinder access to cheap services and transport (National Institute for Social Care and Health Research, 2022).</w:t>
      </w:r>
    </w:p>
    <w:p w14:paraId="2FCD5C43" w14:textId="77777777" w:rsidR="00EB6C5A" w:rsidRDefault="00EC195C">
      <w:pPr>
        <w:spacing w:line="360" w:lineRule="auto"/>
        <w:ind w:firstLine="720"/>
        <w:jc w:val="both"/>
        <w:rPr>
          <w:rFonts w:ascii="Arial" w:hAnsi="Arial"/>
          <w:sz w:val="22"/>
          <w:szCs w:val="22"/>
        </w:rPr>
      </w:pPr>
      <w:r>
        <w:rPr>
          <w:rFonts w:ascii="Arial" w:hAnsi="Arial"/>
          <w:sz w:val="22"/>
          <w:szCs w:val="22"/>
        </w:rPr>
        <w:t xml:space="preserve">One of the biggest concerns for elderly persons is social isolation. Loneliness and despair can result from retirement, the death of a spouse or friend, and problems with mobility (Victor et al., 2013). Furthermore, ageism—a type of discrimination </w:t>
      </w:r>
      <w:r>
        <w:rPr>
          <w:rFonts w:ascii="Arial" w:hAnsi="Arial"/>
          <w:sz w:val="22"/>
          <w:szCs w:val="22"/>
        </w:rPr>
        <w:lastRenderedPageBreak/>
        <w:t xml:space="preserve">based on age—can result in social exclusion and </w:t>
      </w:r>
      <w:proofErr w:type="spellStart"/>
      <w:r>
        <w:rPr>
          <w:rFonts w:ascii="Arial" w:hAnsi="Arial"/>
          <w:sz w:val="22"/>
          <w:szCs w:val="22"/>
        </w:rPr>
        <w:t>marginalisation</w:t>
      </w:r>
      <w:proofErr w:type="spellEnd"/>
      <w:r>
        <w:rPr>
          <w:rFonts w:ascii="Arial" w:hAnsi="Arial"/>
          <w:sz w:val="22"/>
          <w:szCs w:val="22"/>
        </w:rPr>
        <w:t xml:space="preserve"> (Butler, 2016). For those living in rural areas, like Sadie, who might already have less social ties, this is especially troubling. Lockdowns and other social distancing tactics made social connection even more difficult, exacerbating isolation during the epidemic (Steffens et al., 2021).Declining physical health is a common with ageing and old age. The prevalence of chronic illnesses including dementia, heart disease, and arthritis is rising (World Health </w:t>
      </w:r>
      <w:proofErr w:type="spellStart"/>
      <w:r>
        <w:rPr>
          <w:rFonts w:ascii="Arial" w:hAnsi="Arial"/>
          <w:sz w:val="22"/>
          <w:szCs w:val="22"/>
        </w:rPr>
        <w:t>Organisation</w:t>
      </w:r>
      <w:proofErr w:type="spellEnd"/>
      <w:r>
        <w:rPr>
          <w:rFonts w:ascii="Arial" w:hAnsi="Arial"/>
          <w:sz w:val="22"/>
          <w:szCs w:val="22"/>
        </w:rPr>
        <w:t>, 2020). These ailments may impair independence and movement, which may have an impact on day-to-day activities. Additionally, mental health suffers, with a higher chance of anxiety and sadness (Prince et al., 2007). The pandemic had a disproportionately negative effect on older persons' physical and emotional well-being. Higher death rates and psychological discomfort were influenced by social isolation, fear of infection, and restricted access to healthcare services (Office for National Statistics, 2022).</w:t>
      </w:r>
    </w:p>
    <w:p w14:paraId="74593E7E" w14:textId="77777777" w:rsidR="00EB6C5A" w:rsidRDefault="00EC195C">
      <w:pPr>
        <w:spacing w:line="360" w:lineRule="auto"/>
        <w:ind w:firstLine="720"/>
        <w:jc w:val="both"/>
        <w:rPr>
          <w:rFonts w:ascii="Arial" w:hAnsi="Arial"/>
          <w:sz w:val="22"/>
          <w:szCs w:val="22"/>
        </w:rPr>
      </w:pPr>
      <w:r>
        <w:rPr>
          <w:rFonts w:ascii="Arial" w:hAnsi="Arial"/>
          <w:sz w:val="22"/>
          <w:szCs w:val="22"/>
        </w:rPr>
        <w:t xml:space="preserve"> Unfortunately, abuse and neglect of elderly people can occur in both residential and institutional settings. According to the Action on Elder Abuse (2023), this might include financial, emotional, physical, or sexual abuse. Vulnerability can be increased by social isolation and reliance on carers. Although the UK government has taken action to combat misuse, more needs to be done to improve safeguards. A comprehensive plan is required in the UK to address the issues that older individuals experience. This should include:</w:t>
      </w:r>
    </w:p>
    <w:p w14:paraId="1EBF64E8" w14:textId="77777777" w:rsidR="00EB6C5A" w:rsidRDefault="00EC195C">
      <w:pPr>
        <w:numPr>
          <w:ilvl w:val="0"/>
          <w:numId w:val="11"/>
        </w:numPr>
        <w:spacing w:line="360" w:lineRule="auto"/>
        <w:jc w:val="both"/>
        <w:rPr>
          <w:rFonts w:ascii="Arial" w:hAnsi="Arial"/>
          <w:sz w:val="22"/>
          <w:szCs w:val="22"/>
        </w:rPr>
      </w:pPr>
      <w:r>
        <w:rPr>
          <w:rFonts w:ascii="Arial" w:hAnsi="Arial"/>
          <w:sz w:val="22"/>
          <w:szCs w:val="22"/>
        </w:rPr>
        <w:t>Financial security which includes making sure pensions are sufficient and looking into measures to help people who don't have much money.</w:t>
      </w:r>
    </w:p>
    <w:p w14:paraId="2F8ED8F2" w14:textId="77777777" w:rsidR="00EB6C5A" w:rsidRDefault="00EC195C">
      <w:pPr>
        <w:numPr>
          <w:ilvl w:val="0"/>
          <w:numId w:val="11"/>
        </w:numPr>
        <w:spacing w:line="360" w:lineRule="auto"/>
        <w:jc w:val="both"/>
        <w:rPr>
          <w:rFonts w:ascii="Arial" w:hAnsi="Arial"/>
          <w:sz w:val="22"/>
          <w:szCs w:val="22"/>
        </w:rPr>
      </w:pPr>
      <w:r>
        <w:rPr>
          <w:rFonts w:ascii="Arial" w:hAnsi="Arial"/>
          <w:sz w:val="22"/>
          <w:szCs w:val="22"/>
        </w:rPr>
        <w:t xml:space="preserve">Encouraging community </w:t>
      </w:r>
      <w:proofErr w:type="spellStart"/>
      <w:r>
        <w:rPr>
          <w:rFonts w:ascii="Arial" w:hAnsi="Arial"/>
          <w:sz w:val="22"/>
          <w:szCs w:val="22"/>
        </w:rPr>
        <w:t>programmes</w:t>
      </w:r>
      <w:proofErr w:type="spellEnd"/>
      <w:r>
        <w:rPr>
          <w:rFonts w:ascii="Arial" w:hAnsi="Arial"/>
          <w:sz w:val="22"/>
          <w:szCs w:val="22"/>
        </w:rPr>
        <w:t xml:space="preserve"> and providing social connections for rural communities are two ways to combat social isolation.</w:t>
      </w:r>
    </w:p>
    <w:p w14:paraId="16258C64" w14:textId="77777777" w:rsidR="00EB6C5A" w:rsidRDefault="00EC195C">
      <w:pPr>
        <w:numPr>
          <w:ilvl w:val="0"/>
          <w:numId w:val="11"/>
        </w:numPr>
        <w:spacing w:line="360" w:lineRule="auto"/>
        <w:jc w:val="both"/>
        <w:rPr>
          <w:rFonts w:ascii="Arial" w:hAnsi="Arial"/>
          <w:sz w:val="22"/>
          <w:szCs w:val="22"/>
        </w:rPr>
      </w:pPr>
      <w:r>
        <w:rPr>
          <w:rFonts w:ascii="Arial" w:hAnsi="Arial"/>
          <w:sz w:val="22"/>
          <w:szCs w:val="22"/>
        </w:rPr>
        <w:t>Fighting ageism involves opposing ageist beliefs and promoting good images of older people in society.</w:t>
      </w:r>
    </w:p>
    <w:p w14:paraId="39878EF4" w14:textId="77777777" w:rsidR="00EB6C5A" w:rsidRDefault="00EC195C">
      <w:pPr>
        <w:numPr>
          <w:ilvl w:val="0"/>
          <w:numId w:val="11"/>
        </w:numPr>
        <w:spacing w:line="360" w:lineRule="auto"/>
        <w:jc w:val="both"/>
        <w:rPr>
          <w:rFonts w:ascii="Arial" w:hAnsi="Arial"/>
          <w:sz w:val="22"/>
          <w:szCs w:val="22"/>
        </w:rPr>
      </w:pPr>
      <w:r>
        <w:rPr>
          <w:rFonts w:ascii="Arial" w:hAnsi="Arial"/>
          <w:sz w:val="22"/>
          <w:szCs w:val="22"/>
        </w:rPr>
        <w:t>Improved healthcare: Making investments in geriatric services that are easily available, encouraging good ageing, and investing in preventative care.</w:t>
      </w:r>
    </w:p>
    <w:p w14:paraId="2083EA14" w14:textId="77777777" w:rsidR="00EB6C5A" w:rsidRDefault="00EC195C">
      <w:pPr>
        <w:numPr>
          <w:ilvl w:val="0"/>
          <w:numId w:val="11"/>
        </w:numPr>
        <w:spacing w:line="360" w:lineRule="auto"/>
        <w:jc w:val="both"/>
        <w:rPr>
          <w:rFonts w:ascii="Arial" w:hAnsi="Arial"/>
          <w:sz w:val="22"/>
          <w:szCs w:val="22"/>
        </w:rPr>
      </w:pPr>
      <w:r>
        <w:rPr>
          <w:rFonts w:ascii="Arial" w:hAnsi="Arial"/>
          <w:sz w:val="22"/>
          <w:szCs w:val="22"/>
        </w:rPr>
        <w:t xml:space="preserve">Taking care of mental health: providing older persons with </w:t>
      </w:r>
      <w:proofErr w:type="spellStart"/>
      <w:r>
        <w:rPr>
          <w:rFonts w:ascii="Arial" w:hAnsi="Arial"/>
          <w:sz w:val="22"/>
          <w:szCs w:val="22"/>
        </w:rPr>
        <w:t>specialised</w:t>
      </w:r>
      <w:proofErr w:type="spellEnd"/>
      <w:r>
        <w:rPr>
          <w:rFonts w:ascii="Arial" w:hAnsi="Arial"/>
          <w:sz w:val="22"/>
          <w:szCs w:val="22"/>
        </w:rPr>
        <w:t xml:space="preserve"> mental health help.</w:t>
      </w:r>
    </w:p>
    <w:p w14:paraId="7FB7C705" w14:textId="77777777" w:rsidR="00EB6C5A" w:rsidRDefault="00EC195C">
      <w:pPr>
        <w:numPr>
          <w:ilvl w:val="0"/>
          <w:numId w:val="11"/>
        </w:numPr>
        <w:spacing w:line="360" w:lineRule="auto"/>
        <w:jc w:val="both"/>
        <w:rPr>
          <w:rFonts w:ascii="Arial" w:hAnsi="Arial"/>
          <w:sz w:val="22"/>
          <w:szCs w:val="22"/>
        </w:rPr>
      </w:pPr>
      <w:r>
        <w:rPr>
          <w:rFonts w:ascii="Arial" w:hAnsi="Arial"/>
          <w:sz w:val="22"/>
          <w:szCs w:val="22"/>
        </w:rPr>
        <w:t>Strengthening mechanisms to stop abuse and neglect are known as safeguarding measures.</w:t>
      </w:r>
    </w:p>
    <w:p w14:paraId="485B0F24" w14:textId="77777777" w:rsidR="00EB6C5A" w:rsidRDefault="00EC195C">
      <w:pPr>
        <w:spacing w:line="360" w:lineRule="auto"/>
        <w:jc w:val="both"/>
        <w:rPr>
          <w:rFonts w:ascii="Arial" w:hAnsi="Arial"/>
          <w:sz w:val="22"/>
          <w:szCs w:val="22"/>
        </w:rPr>
      </w:pPr>
      <w:r>
        <w:rPr>
          <w:rFonts w:ascii="Arial" w:hAnsi="Arial"/>
          <w:b/>
          <w:bCs/>
          <w:sz w:val="22"/>
          <w:szCs w:val="22"/>
        </w:rPr>
        <w:tab/>
      </w:r>
      <w:r>
        <w:rPr>
          <w:rFonts w:ascii="Arial" w:hAnsi="Arial"/>
          <w:sz w:val="22"/>
          <w:szCs w:val="22"/>
        </w:rPr>
        <w:t>Sadie's story sheds attention on the various difficulties that elderly folks face We can build a society where all people, regardless of age, may live independently, with respect, and with dignity if we solve these problems.</w:t>
      </w:r>
    </w:p>
    <w:p w14:paraId="6860A986" w14:textId="77777777" w:rsidR="00EB6C5A" w:rsidRDefault="00EB6C5A">
      <w:pPr>
        <w:spacing w:line="360" w:lineRule="auto"/>
        <w:jc w:val="both"/>
        <w:rPr>
          <w:rFonts w:ascii="Arial" w:hAnsi="Arial"/>
          <w:sz w:val="22"/>
          <w:szCs w:val="22"/>
        </w:rPr>
      </w:pPr>
    </w:p>
    <w:p w14:paraId="5F546487" w14:textId="77777777" w:rsidR="00EB6C5A" w:rsidRDefault="00EC195C">
      <w:pPr>
        <w:spacing w:line="360" w:lineRule="auto"/>
        <w:jc w:val="center"/>
        <w:outlineLvl w:val="0"/>
        <w:rPr>
          <w:rFonts w:ascii="Arial" w:hAnsi="Arial"/>
          <w:b/>
          <w:bCs/>
          <w:sz w:val="22"/>
          <w:szCs w:val="22"/>
        </w:rPr>
      </w:pPr>
      <w:bookmarkStart w:id="4" w:name="_Toc26169"/>
      <w:r>
        <w:rPr>
          <w:rFonts w:ascii="Arial" w:hAnsi="Arial"/>
          <w:b/>
          <w:bCs/>
          <w:sz w:val="22"/>
          <w:szCs w:val="22"/>
        </w:rPr>
        <w:t xml:space="preserve">Strengths of the Present Framework and </w:t>
      </w:r>
      <w:proofErr w:type="spellStart"/>
      <w:r>
        <w:rPr>
          <w:rFonts w:ascii="Arial" w:hAnsi="Arial"/>
          <w:b/>
          <w:bCs/>
          <w:sz w:val="22"/>
          <w:szCs w:val="22"/>
        </w:rPr>
        <w:t>Programme</w:t>
      </w:r>
      <w:proofErr w:type="spellEnd"/>
      <w:r>
        <w:rPr>
          <w:rFonts w:ascii="Arial" w:hAnsi="Arial"/>
          <w:b/>
          <w:bCs/>
          <w:sz w:val="22"/>
          <w:szCs w:val="22"/>
        </w:rPr>
        <w:t xml:space="preserve"> for the Elderly</w:t>
      </w:r>
      <w:bookmarkEnd w:id="4"/>
    </w:p>
    <w:p w14:paraId="43A169A2" w14:textId="77777777" w:rsidR="00EB6C5A" w:rsidRDefault="00EC195C">
      <w:pPr>
        <w:spacing w:line="360" w:lineRule="auto"/>
        <w:ind w:firstLine="720"/>
        <w:jc w:val="both"/>
        <w:rPr>
          <w:rFonts w:ascii="Arial" w:hAnsi="Arial"/>
          <w:sz w:val="22"/>
          <w:szCs w:val="22"/>
        </w:rPr>
      </w:pPr>
      <w:r>
        <w:rPr>
          <w:rFonts w:ascii="Arial" w:hAnsi="Arial"/>
          <w:sz w:val="22"/>
          <w:szCs w:val="22"/>
        </w:rPr>
        <w:lastRenderedPageBreak/>
        <w:t xml:space="preserve">The National Health Service (NHS), the UK's universal healthcare </w:t>
      </w:r>
      <w:proofErr w:type="spellStart"/>
      <w:r>
        <w:rPr>
          <w:rFonts w:ascii="Arial" w:hAnsi="Arial"/>
          <w:sz w:val="22"/>
          <w:szCs w:val="22"/>
        </w:rPr>
        <w:t>programme</w:t>
      </w:r>
      <w:proofErr w:type="spellEnd"/>
      <w:r>
        <w:rPr>
          <w:rFonts w:ascii="Arial" w:hAnsi="Arial"/>
          <w:sz w:val="22"/>
          <w:szCs w:val="22"/>
        </w:rPr>
        <w:t xml:space="preserve">, offers all residents free access to vital medical treatment. For older persons, this system ensures access to diagnostics, treatment, and preventative care (NHS, 2023). Furthermore, the NHS Long Term Plan (2019) highlights the value of integrated care for those with complex needs, which may help senior citizens who have several chronic illnesses (NHS England, 2019). In addition, a legislative framework for determining and addressing older individuals' social care requirements was developed under the Care Act 2014 (GOV.UK, 2014). Home care, personal help, and residential care are among the services that local authorities are in charge of providing or </w:t>
      </w:r>
      <w:proofErr w:type="spellStart"/>
      <w:r>
        <w:rPr>
          <w:rFonts w:ascii="Arial" w:hAnsi="Arial"/>
          <w:sz w:val="22"/>
          <w:szCs w:val="22"/>
        </w:rPr>
        <w:t>organising</w:t>
      </w:r>
      <w:proofErr w:type="spellEnd"/>
      <w:r>
        <w:rPr>
          <w:rFonts w:ascii="Arial" w:hAnsi="Arial"/>
          <w:sz w:val="22"/>
          <w:szCs w:val="22"/>
        </w:rPr>
        <w:t>.</w:t>
      </w:r>
    </w:p>
    <w:p w14:paraId="225E367B" w14:textId="77777777" w:rsidR="00EB6C5A" w:rsidRDefault="00EC195C">
      <w:pPr>
        <w:spacing w:line="360" w:lineRule="auto"/>
        <w:ind w:left="720" w:firstLine="720"/>
        <w:jc w:val="both"/>
        <w:outlineLvl w:val="0"/>
        <w:rPr>
          <w:rFonts w:ascii="Arial" w:hAnsi="Arial"/>
          <w:b/>
          <w:bCs/>
          <w:sz w:val="22"/>
          <w:szCs w:val="22"/>
        </w:rPr>
      </w:pPr>
      <w:bookmarkStart w:id="5" w:name="_Toc26459"/>
      <w:r>
        <w:rPr>
          <w:rFonts w:ascii="Arial" w:hAnsi="Arial"/>
          <w:b/>
          <w:bCs/>
          <w:sz w:val="22"/>
          <w:szCs w:val="22"/>
        </w:rPr>
        <w:t>Challenges With Present Frameworks</w:t>
      </w:r>
      <w:bookmarkEnd w:id="5"/>
    </w:p>
    <w:p w14:paraId="135CE33B" w14:textId="77777777" w:rsidR="00EB6C5A" w:rsidRDefault="00EC195C">
      <w:pPr>
        <w:spacing w:line="360" w:lineRule="auto"/>
        <w:ind w:firstLine="720"/>
        <w:jc w:val="both"/>
        <w:rPr>
          <w:rFonts w:ascii="Arial" w:hAnsi="Arial"/>
          <w:sz w:val="22"/>
          <w:szCs w:val="22"/>
        </w:rPr>
      </w:pPr>
      <w:r>
        <w:rPr>
          <w:rFonts w:ascii="Arial" w:hAnsi="Arial"/>
          <w:sz w:val="22"/>
          <w:szCs w:val="22"/>
        </w:rPr>
        <w:t>In spite of these advantages, meeting the needs of older persons is a major issue for the existing system.</w:t>
      </w:r>
    </w:p>
    <w:p w14:paraId="6D85FA0A" w14:textId="77777777" w:rsidR="00EB6C5A" w:rsidRDefault="00EC195C">
      <w:pPr>
        <w:numPr>
          <w:ilvl w:val="0"/>
          <w:numId w:val="11"/>
        </w:numPr>
        <w:spacing w:line="360" w:lineRule="auto"/>
        <w:jc w:val="both"/>
        <w:rPr>
          <w:rFonts w:ascii="Arial" w:hAnsi="Arial"/>
          <w:sz w:val="22"/>
          <w:szCs w:val="22"/>
        </w:rPr>
      </w:pPr>
      <w:r>
        <w:rPr>
          <w:rFonts w:ascii="Arial" w:hAnsi="Arial"/>
          <w:sz w:val="22"/>
          <w:szCs w:val="22"/>
        </w:rPr>
        <w:t>Financial Strains: Long treatment waiting lists and a lack of staff across the board are consequences of the NHS's ongoing financial difficulties (King's Fund, 2023). This may disproportionately affect senior citizens who need medical interventions on a regular basis.</w:t>
      </w:r>
    </w:p>
    <w:p w14:paraId="47D646E5" w14:textId="77777777" w:rsidR="00EB6C5A" w:rsidRDefault="00EC195C">
      <w:pPr>
        <w:numPr>
          <w:ilvl w:val="0"/>
          <w:numId w:val="11"/>
        </w:numPr>
        <w:spacing w:line="360" w:lineRule="auto"/>
        <w:jc w:val="both"/>
        <w:rPr>
          <w:rFonts w:ascii="Arial" w:hAnsi="Arial"/>
          <w:sz w:val="22"/>
          <w:szCs w:val="22"/>
        </w:rPr>
      </w:pPr>
      <w:r>
        <w:rPr>
          <w:rFonts w:ascii="Arial" w:hAnsi="Arial"/>
          <w:sz w:val="22"/>
          <w:szCs w:val="22"/>
        </w:rPr>
        <w:t xml:space="preserve">Social Services Under Stress: Chronic underfunding and a </w:t>
      </w:r>
      <w:proofErr w:type="spellStart"/>
      <w:r>
        <w:rPr>
          <w:rFonts w:ascii="Arial" w:hAnsi="Arial"/>
          <w:sz w:val="22"/>
          <w:szCs w:val="22"/>
        </w:rPr>
        <w:t>labour</w:t>
      </w:r>
      <w:proofErr w:type="spellEnd"/>
      <w:r>
        <w:rPr>
          <w:rFonts w:ascii="Arial" w:hAnsi="Arial"/>
          <w:sz w:val="22"/>
          <w:szCs w:val="22"/>
        </w:rPr>
        <w:t xml:space="preserve"> shortage in the social care sector result in a shortage of services and an increased dependence on unofficial care (Age UK, 2023). Some elderly people may have unmet requirements as a result, especially those who need residential settings or home care.</w:t>
      </w:r>
    </w:p>
    <w:p w14:paraId="026AA360" w14:textId="77777777" w:rsidR="00EB6C5A" w:rsidRDefault="00EC195C">
      <w:pPr>
        <w:numPr>
          <w:ilvl w:val="0"/>
          <w:numId w:val="11"/>
        </w:numPr>
        <w:spacing w:line="360" w:lineRule="auto"/>
        <w:jc w:val="both"/>
        <w:rPr>
          <w:rFonts w:ascii="Arial" w:hAnsi="Arial"/>
          <w:sz w:val="22"/>
          <w:szCs w:val="22"/>
        </w:rPr>
      </w:pPr>
      <w:r>
        <w:rPr>
          <w:rFonts w:ascii="Arial" w:hAnsi="Arial"/>
          <w:sz w:val="22"/>
          <w:szCs w:val="22"/>
        </w:rPr>
        <w:t>Rural Disparities: Seniors living in rural regions typically struggle with access to social care alternatives, geriatric services, and specialists, which exacerbates the access challenges already present (National Institute for Social Care and Health Research, 2022).</w:t>
      </w:r>
    </w:p>
    <w:p w14:paraId="500A47BB" w14:textId="77777777" w:rsidR="00EB6C5A" w:rsidRDefault="00EC195C">
      <w:pPr>
        <w:numPr>
          <w:ilvl w:val="0"/>
          <w:numId w:val="11"/>
        </w:numPr>
        <w:spacing w:line="360" w:lineRule="auto"/>
        <w:jc w:val="both"/>
        <w:rPr>
          <w:rFonts w:ascii="Arial" w:hAnsi="Arial"/>
          <w:sz w:val="22"/>
          <w:szCs w:val="22"/>
        </w:rPr>
      </w:pPr>
      <w:r>
        <w:rPr>
          <w:rFonts w:ascii="Arial" w:hAnsi="Arial"/>
          <w:sz w:val="22"/>
          <w:szCs w:val="22"/>
        </w:rPr>
        <w:t>Mental Health Needs: Despite the high rates of anxiety and despair in this population, mental health treatments are frequently insufficient for older persons (MIND, 2023).</w:t>
      </w:r>
    </w:p>
    <w:p w14:paraId="356EB112" w14:textId="77777777" w:rsidR="00EB6C5A" w:rsidRDefault="00EC195C">
      <w:pPr>
        <w:spacing w:line="360" w:lineRule="auto"/>
        <w:jc w:val="both"/>
        <w:rPr>
          <w:rFonts w:ascii="Arial" w:hAnsi="Arial"/>
          <w:sz w:val="22"/>
          <w:szCs w:val="22"/>
        </w:rPr>
      </w:pPr>
      <w:r>
        <w:rPr>
          <w:rFonts w:ascii="Arial" w:hAnsi="Arial"/>
          <w:sz w:val="22"/>
          <w:szCs w:val="22"/>
        </w:rPr>
        <w:tab/>
        <w:t>These already-existing difficulties become more pressing as the population of elderly persons is expected to rise. According to UK Office for National Statistics forecasts, by 2041 there will be twice as many people over the age of 85 (Office for National Statistics, 2023). This increase will probably make:</w:t>
      </w:r>
    </w:p>
    <w:p w14:paraId="728BCBBD" w14:textId="77777777" w:rsidR="00EB6C5A" w:rsidRDefault="00EC195C">
      <w:pPr>
        <w:spacing w:line="360" w:lineRule="auto"/>
        <w:jc w:val="both"/>
        <w:rPr>
          <w:rFonts w:ascii="Arial" w:hAnsi="Arial"/>
          <w:sz w:val="22"/>
          <w:szCs w:val="22"/>
        </w:rPr>
      </w:pPr>
      <w:r>
        <w:rPr>
          <w:rFonts w:ascii="Arial" w:hAnsi="Arial"/>
          <w:sz w:val="22"/>
          <w:szCs w:val="22"/>
        </w:rPr>
        <w:t>Demand on Healthcare: As the number of elderly persons with complex needs rises, the NHS will be under increased pressure, which might result in longer wait times, interrupted services, and even care rationing.</w:t>
      </w:r>
    </w:p>
    <w:p w14:paraId="78140772" w14:textId="77777777" w:rsidR="00EB6C5A" w:rsidRDefault="00EC195C">
      <w:pPr>
        <w:spacing w:line="360" w:lineRule="auto"/>
        <w:jc w:val="both"/>
        <w:rPr>
          <w:rFonts w:ascii="Arial" w:hAnsi="Arial"/>
          <w:sz w:val="22"/>
          <w:szCs w:val="22"/>
        </w:rPr>
      </w:pPr>
      <w:r>
        <w:rPr>
          <w:rFonts w:ascii="Arial" w:hAnsi="Arial"/>
          <w:sz w:val="22"/>
          <w:szCs w:val="22"/>
        </w:rPr>
        <w:lastRenderedPageBreak/>
        <w:t>Social Care Crisis: Demand for home care, residential placements, and other services will rise significantly, placing a strain on the already underfunded social care system. This might lead to less availability, further cost constraints, and service reductions.</w:t>
      </w:r>
    </w:p>
    <w:p w14:paraId="336E8EEF" w14:textId="77777777" w:rsidR="00EB6C5A" w:rsidRDefault="00EC195C">
      <w:pPr>
        <w:spacing w:line="360" w:lineRule="auto"/>
        <w:jc w:val="both"/>
        <w:rPr>
          <w:rFonts w:ascii="Arial" w:hAnsi="Arial"/>
          <w:sz w:val="22"/>
          <w:szCs w:val="22"/>
        </w:rPr>
      </w:pPr>
      <w:r>
        <w:rPr>
          <w:rFonts w:ascii="Arial" w:hAnsi="Arial"/>
          <w:sz w:val="22"/>
          <w:szCs w:val="22"/>
        </w:rPr>
        <w:t>Lack of Staff: The current shortages in both social and health care will probably get worse, which will put more strain on the staff members who are already there and might result in problems with the quality of treatment.</w:t>
      </w:r>
    </w:p>
    <w:p w14:paraId="336E3DAB" w14:textId="77777777" w:rsidR="00EB6C5A" w:rsidRDefault="00EC195C">
      <w:pPr>
        <w:spacing w:line="360" w:lineRule="auto"/>
        <w:jc w:val="both"/>
        <w:rPr>
          <w:rFonts w:ascii="Arial" w:hAnsi="Arial"/>
          <w:sz w:val="22"/>
          <w:szCs w:val="22"/>
        </w:rPr>
      </w:pPr>
      <w:r>
        <w:rPr>
          <w:rFonts w:ascii="Arial" w:hAnsi="Arial"/>
          <w:sz w:val="22"/>
          <w:szCs w:val="22"/>
        </w:rPr>
        <w:t>Mental Health Concerns: As the number of senior citizens rises, there may be a surge in demand for mental health services, which are already finding it difficult to satisfy current demands.</w:t>
      </w:r>
    </w:p>
    <w:p w14:paraId="2740909B" w14:textId="77777777" w:rsidR="00EB6C5A" w:rsidRDefault="00EC195C">
      <w:pPr>
        <w:spacing w:line="360" w:lineRule="auto"/>
        <w:jc w:val="both"/>
        <w:rPr>
          <w:rFonts w:ascii="Arial" w:hAnsi="Arial"/>
          <w:sz w:val="22"/>
          <w:szCs w:val="22"/>
        </w:rPr>
      </w:pPr>
      <w:r>
        <w:rPr>
          <w:rFonts w:ascii="Arial" w:hAnsi="Arial"/>
          <w:sz w:val="22"/>
          <w:szCs w:val="22"/>
        </w:rPr>
        <w:tab/>
        <w:t xml:space="preserve">Developed countries such as Germany and Japan have national long-term care insurance </w:t>
      </w:r>
      <w:proofErr w:type="spellStart"/>
      <w:r>
        <w:rPr>
          <w:rFonts w:ascii="Arial" w:hAnsi="Arial"/>
          <w:sz w:val="22"/>
          <w:szCs w:val="22"/>
        </w:rPr>
        <w:t>programmes</w:t>
      </w:r>
      <w:proofErr w:type="spellEnd"/>
      <w:r>
        <w:rPr>
          <w:rFonts w:ascii="Arial" w:hAnsi="Arial"/>
          <w:sz w:val="22"/>
          <w:szCs w:val="22"/>
        </w:rPr>
        <w:t xml:space="preserve"> that help pay for residential placements and home care in part. While this addresses the financial gap, it could lead to unequal access for older persons with low incomes (OECD, 2023). In order to support older individuals' independent living, Scandinavia offers an alternative model that places a high emphasis on community-based care and social welfare systems (European Commission, 2023). Even while this approach works well, it could be difficult to replicate other nations with less robust social safety nets. The idea of "Active Ageing," which advocates for laws that allow senior citizens to fully engage in society, is promoted by the World Health </w:t>
      </w:r>
      <w:proofErr w:type="spellStart"/>
      <w:r>
        <w:rPr>
          <w:rFonts w:ascii="Arial" w:hAnsi="Arial"/>
          <w:sz w:val="22"/>
          <w:szCs w:val="22"/>
        </w:rPr>
        <w:t>Organisation</w:t>
      </w:r>
      <w:proofErr w:type="spellEnd"/>
      <w:r>
        <w:rPr>
          <w:rFonts w:ascii="Arial" w:hAnsi="Arial"/>
          <w:sz w:val="22"/>
          <w:szCs w:val="22"/>
        </w:rPr>
        <w:t xml:space="preserve"> (WHO, 2023). This is in line with ongoing UK measures to support community-based services and telemedicine. Global differences are striking, though. Older adults are especially vulnerable in low- and middle-income countries because they frequently lack the finances necessary for even the most basic healthcare treatments (HelpAge International, 2023).</w:t>
      </w:r>
    </w:p>
    <w:p w14:paraId="72F848B9" w14:textId="77777777" w:rsidR="00EB6C5A" w:rsidRDefault="00EC195C">
      <w:pPr>
        <w:spacing w:line="360" w:lineRule="auto"/>
        <w:jc w:val="both"/>
        <w:rPr>
          <w:rFonts w:ascii="Arial" w:hAnsi="Arial"/>
          <w:sz w:val="22"/>
          <w:szCs w:val="22"/>
        </w:rPr>
      </w:pPr>
      <w:r>
        <w:rPr>
          <w:rFonts w:ascii="Arial" w:hAnsi="Arial"/>
          <w:sz w:val="22"/>
          <w:szCs w:val="22"/>
        </w:rPr>
        <w:tab/>
        <w:t xml:space="preserve">The UK model suffers financial and resource limitations but ensures universal access to healthcare. Some </w:t>
      </w:r>
      <w:proofErr w:type="spellStart"/>
      <w:r>
        <w:rPr>
          <w:rFonts w:ascii="Arial" w:hAnsi="Arial"/>
          <w:sz w:val="22"/>
          <w:szCs w:val="22"/>
        </w:rPr>
        <w:t>industrialised</w:t>
      </w:r>
      <w:proofErr w:type="spellEnd"/>
      <w:r>
        <w:rPr>
          <w:rFonts w:ascii="Arial" w:hAnsi="Arial"/>
          <w:sz w:val="22"/>
          <w:szCs w:val="22"/>
        </w:rPr>
        <w:t xml:space="preserve"> countries provide financial assistance through national insurance plans, but problems with equality and access still exist. The WHO's "Active Ageing" approach is in line with ongoing UK </w:t>
      </w:r>
      <w:proofErr w:type="spellStart"/>
      <w:r>
        <w:rPr>
          <w:rFonts w:ascii="Arial" w:hAnsi="Arial"/>
          <w:sz w:val="22"/>
          <w:szCs w:val="22"/>
        </w:rPr>
        <w:t>programmes</w:t>
      </w:r>
      <w:proofErr w:type="spellEnd"/>
      <w:r>
        <w:rPr>
          <w:rFonts w:ascii="Arial" w:hAnsi="Arial"/>
          <w:sz w:val="22"/>
          <w:szCs w:val="22"/>
        </w:rPr>
        <w:t>, although attention needs to be paid to worldwide differences.</w:t>
      </w:r>
    </w:p>
    <w:p w14:paraId="3A0AC6CF" w14:textId="77777777" w:rsidR="00EB6C5A" w:rsidRDefault="00EC195C">
      <w:pPr>
        <w:spacing w:line="360" w:lineRule="auto"/>
        <w:jc w:val="center"/>
        <w:outlineLvl w:val="0"/>
        <w:rPr>
          <w:rFonts w:ascii="Arial" w:hAnsi="Arial"/>
          <w:b/>
          <w:bCs/>
          <w:sz w:val="22"/>
          <w:szCs w:val="22"/>
        </w:rPr>
      </w:pPr>
      <w:bookmarkStart w:id="6" w:name="_Toc15619"/>
      <w:r>
        <w:rPr>
          <w:rFonts w:ascii="Arial" w:hAnsi="Arial"/>
          <w:b/>
          <w:bCs/>
          <w:sz w:val="22"/>
          <w:szCs w:val="22"/>
        </w:rPr>
        <w:t>Using Technology and Artificial Intelligence in Elder Care: The Future</w:t>
      </w:r>
      <w:bookmarkEnd w:id="6"/>
    </w:p>
    <w:p w14:paraId="4A79D8BA" w14:textId="77777777" w:rsidR="00EB6C5A" w:rsidRDefault="00EC195C">
      <w:pPr>
        <w:spacing w:line="360" w:lineRule="auto"/>
        <w:ind w:firstLine="720"/>
        <w:jc w:val="both"/>
        <w:rPr>
          <w:rFonts w:ascii="Arial" w:eastAsia="SimSun" w:hAnsi="Arial" w:cs="Arial"/>
          <w:sz w:val="22"/>
          <w:szCs w:val="22"/>
          <w:lang w:bidi="ar"/>
        </w:rPr>
      </w:pPr>
      <w:r>
        <w:rPr>
          <w:rFonts w:ascii="Arial" w:hAnsi="Arial"/>
          <w:sz w:val="22"/>
          <w:szCs w:val="22"/>
        </w:rPr>
        <w:t xml:space="preserve">The need for efficient and long-lasting care for elderly is increasing dramatically as the world's population ages. This means moving away from traditional care models and towards cutting-edge ones that make use of technology and artificial intelligence (AI). This analysis explores the possible future of elder care by examining how artificial intelligence (AI) and technology can completely transform the way we provide care for our ageing population.  </w:t>
      </w:r>
      <w:r>
        <w:rPr>
          <w:rFonts w:ascii="Arial" w:eastAsia="SimSun" w:hAnsi="Arial" w:cs="Arial"/>
          <w:sz w:val="22"/>
          <w:szCs w:val="22"/>
          <w:lang w:bidi="ar"/>
        </w:rPr>
        <w:t xml:space="preserve">The potential for information technology to </w:t>
      </w:r>
      <w:proofErr w:type="spellStart"/>
      <w:r>
        <w:rPr>
          <w:rFonts w:ascii="Arial" w:eastAsia="SimSun" w:hAnsi="Arial" w:cs="Arial"/>
          <w:sz w:val="22"/>
          <w:szCs w:val="22"/>
          <w:lang w:bidi="ar"/>
        </w:rPr>
        <w:t>revolutionise</w:t>
      </w:r>
      <w:proofErr w:type="spellEnd"/>
      <w:r>
        <w:rPr>
          <w:rFonts w:ascii="Arial" w:eastAsia="SimSun" w:hAnsi="Arial" w:cs="Arial"/>
          <w:sz w:val="22"/>
          <w:szCs w:val="22"/>
          <w:lang w:bidi="ar"/>
        </w:rPr>
        <w:t xml:space="preserve"> elder care is enormous. For elderly persons who are </w:t>
      </w:r>
      <w:r>
        <w:rPr>
          <w:rFonts w:ascii="Arial" w:eastAsia="SimSun" w:hAnsi="Arial" w:cs="Arial"/>
          <w:sz w:val="22"/>
          <w:szCs w:val="22"/>
          <w:lang w:bidi="ar"/>
        </w:rPr>
        <w:lastRenderedPageBreak/>
        <w:t>immobile or in remote areas, telehealth consultations can improve access to healthcare services (NHS Digital, 2023). Wearable technology enables early diagnosis and preventative treatments by monitoring vital signs and identifying health issues in real-time (AAMI, 2023). Additionally, carers may monitor an elderly person's health state remotely with the use of remote patient monitoring systems, which can enhance their quality of life and offer them a sense of security (Giuliano et al., 2018).</w:t>
      </w:r>
    </w:p>
    <w:p w14:paraId="3F7C3621" w14:textId="77777777" w:rsidR="00EB6C5A" w:rsidRDefault="00EC195C">
      <w:pPr>
        <w:spacing w:line="360" w:lineRule="auto"/>
        <w:ind w:firstLine="720"/>
        <w:jc w:val="both"/>
        <w:rPr>
          <w:rFonts w:ascii="Arial" w:eastAsia="SimSun" w:hAnsi="Arial"/>
          <w:sz w:val="22"/>
          <w:szCs w:val="22"/>
        </w:rPr>
      </w:pPr>
      <w:r>
        <w:rPr>
          <w:rFonts w:ascii="Arial" w:eastAsia="SimSun" w:hAnsi="Arial"/>
          <w:sz w:val="22"/>
          <w:szCs w:val="22"/>
        </w:rPr>
        <w:t xml:space="preserve">AI might have a big influence on elder care in the future. For elderly persons living alone, AI-powered virtual assistants can offer company, medication schedule reminders, and help with everyday chores (National Institute of Ageing, 2023). For older persons with complicated demands, AI systems can </w:t>
      </w:r>
      <w:proofErr w:type="spellStart"/>
      <w:r>
        <w:rPr>
          <w:rFonts w:ascii="Arial" w:eastAsia="SimSun" w:hAnsi="Arial"/>
          <w:sz w:val="22"/>
          <w:szCs w:val="22"/>
        </w:rPr>
        <w:t>personalise</w:t>
      </w:r>
      <w:proofErr w:type="spellEnd"/>
      <w:r>
        <w:rPr>
          <w:rFonts w:ascii="Arial" w:eastAsia="SimSun" w:hAnsi="Arial"/>
          <w:sz w:val="22"/>
          <w:szCs w:val="22"/>
        </w:rPr>
        <w:t xml:space="preserve"> care plans and identify health hazards by </w:t>
      </w:r>
      <w:proofErr w:type="spellStart"/>
      <w:r>
        <w:rPr>
          <w:rFonts w:ascii="Arial" w:eastAsia="SimSun" w:hAnsi="Arial"/>
          <w:sz w:val="22"/>
          <w:szCs w:val="22"/>
        </w:rPr>
        <w:t>analysing</w:t>
      </w:r>
      <w:proofErr w:type="spellEnd"/>
      <w:r>
        <w:rPr>
          <w:rFonts w:ascii="Arial" w:eastAsia="SimSun" w:hAnsi="Arial"/>
          <w:sz w:val="22"/>
          <w:szCs w:val="22"/>
        </w:rPr>
        <w:t xml:space="preserve"> medical data (Miotto et al., 2018). Moreover, AI-powered robots can help with manual activities like washing or transferring, relieving carer stress and fostering independence among senior citizens (Robotics Business Review, 2023). There are ethical issues with using AI and technology in elder care. To guarantee the secure and responsible use of personal health information, data privacy and security issues must be addressed (European Commission, 2023). It is important to </w:t>
      </w:r>
      <w:proofErr w:type="spellStart"/>
      <w:r>
        <w:rPr>
          <w:rFonts w:ascii="Arial" w:eastAsia="SimSun" w:hAnsi="Arial"/>
          <w:sz w:val="22"/>
          <w:szCs w:val="22"/>
        </w:rPr>
        <w:t>recognise</w:t>
      </w:r>
      <w:proofErr w:type="spellEnd"/>
      <w:r>
        <w:rPr>
          <w:rFonts w:ascii="Arial" w:eastAsia="SimSun" w:hAnsi="Arial"/>
          <w:sz w:val="22"/>
          <w:szCs w:val="22"/>
        </w:rPr>
        <w:t xml:space="preserve"> the possibility of digital exclusion as well as the difficulties in adopting new technologies for older persons with low levels of digital literacy (Carter &amp; Shah, 2020). Furthermore, technology shouldn't take the place of the human aspect in care. Artificial intelligence (AI) should support human carers in their crucial function, not take their </w:t>
      </w:r>
      <w:proofErr w:type="spellStart"/>
      <w:r>
        <w:rPr>
          <w:rFonts w:ascii="Arial" w:eastAsia="SimSun" w:hAnsi="Arial"/>
          <w:sz w:val="22"/>
          <w:szCs w:val="22"/>
        </w:rPr>
        <w:t>place.There</w:t>
      </w:r>
      <w:proofErr w:type="spellEnd"/>
      <w:r>
        <w:rPr>
          <w:rFonts w:ascii="Arial" w:eastAsia="SimSun" w:hAnsi="Arial"/>
          <w:sz w:val="22"/>
          <w:szCs w:val="22"/>
        </w:rPr>
        <w:t xml:space="preserve"> are a few crucial actions that must be taken in order to fully </w:t>
      </w:r>
      <w:proofErr w:type="spellStart"/>
      <w:r>
        <w:rPr>
          <w:rFonts w:ascii="Arial" w:eastAsia="SimSun" w:hAnsi="Arial"/>
          <w:sz w:val="22"/>
          <w:szCs w:val="22"/>
        </w:rPr>
        <w:t>utilise</w:t>
      </w:r>
      <w:proofErr w:type="spellEnd"/>
      <w:r>
        <w:rPr>
          <w:rFonts w:ascii="Arial" w:eastAsia="SimSun" w:hAnsi="Arial"/>
          <w:sz w:val="22"/>
          <w:szCs w:val="22"/>
        </w:rPr>
        <w:t xml:space="preserve"> technology and AI in elder care, they are:</w:t>
      </w:r>
    </w:p>
    <w:p w14:paraId="1B3572AC" w14:textId="77777777" w:rsidR="00EB6C5A" w:rsidRDefault="00EC195C">
      <w:pPr>
        <w:numPr>
          <w:ilvl w:val="0"/>
          <w:numId w:val="11"/>
        </w:numPr>
        <w:spacing w:line="360" w:lineRule="auto"/>
        <w:jc w:val="both"/>
        <w:rPr>
          <w:rFonts w:ascii="Arial" w:eastAsia="SimSun" w:hAnsi="Arial"/>
          <w:sz w:val="22"/>
          <w:szCs w:val="22"/>
        </w:rPr>
      </w:pPr>
      <w:r>
        <w:rPr>
          <w:rFonts w:ascii="Arial" w:eastAsia="SimSun" w:hAnsi="Arial"/>
          <w:sz w:val="22"/>
          <w:szCs w:val="22"/>
        </w:rPr>
        <w:t xml:space="preserve">Infrastructure Investment: It's critical to create technological platforms that are easy for senior citizens to </w:t>
      </w:r>
      <w:proofErr w:type="spellStart"/>
      <w:r>
        <w:rPr>
          <w:rFonts w:ascii="Arial" w:eastAsia="SimSun" w:hAnsi="Arial"/>
          <w:sz w:val="22"/>
          <w:szCs w:val="22"/>
        </w:rPr>
        <w:t>utilise</w:t>
      </w:r>
      <w:proofErr w:type="spellEnd"/>
      <w:r>
        <w:rPr>
          <w:rFonts w:ascii="Arial" w:eastAsia="SimSun" w:hAnsi="Arial"/>
          <w:sz w:val="22"/>
          <w:szCs w:val="22"/>
        </w:rPr>
        <w:t xml:space="preserve"> and upgrade the digital infrastructure in healthcare settings (World Health </w:t>
      </w:r>
      <w:proofErr w:type="spellStart"/>
      <w:r>
        <w:rPr>
          <w:rFonts w:ascii="Arial" w:eastAsia="SimSun" w:hAnsi="Arial"/>
          <w:sz w:val="22"/>
          <w:szCs w:val="22"/>
        </w:rPr>
        <w:t>Organisation</w:t>
      </w:r>
      <w:proofErr w:type="spellEnd"/>
      <w:r>
        <w:rPr>
          <w:rFonts w:ascii="Arial" w:eastAsia="SimSun" w:hAnsi="Arial"/>
          <w:sz w:val="22"/>
          <w:szCs w:val="22"/>
        </w:rPr>
        <w:t>, 2023).</w:t>
      </w:r>
    </w:p>
    <w:p w14:paraId="6C7CEC6D" w14:textId="77777777" w:rsidR="00EB6C5A" w:rsidRDefault="00EC195C">
      <w:pPr>
        <w:numPr>
          <w:ilvl w:val="0"/>
          <w:numId w:val="11"/>
        </w:numPr>
        <w:spacing w:line="360" w:lineRule="auto"/>
        <w:jc w:val="both"/>
        <w:rPr>
          <w:rFonts w:ascii="Arial" w:eastAsia="SimSun" w:hAnsi="Arial"/>
          <w:sz w:val="22"/>
          <w:szCs w:val="22"/>
        </w:rPr>
      </w:pPr>
      <w:r>
        <w:rPr>
          <w:rFonts w:ascii="Arial" w:eastAsia="SimSun" w:hAnsi="Arial"/>
          <w:sz w:val="22"/>
          <w:szCs w:val="22"/>
        </w:rPr>
        <w:t xml:space="preserve">Digital Literacy Training: Encouraging older persons to use technology successfully may be achieved by offering age-appropriate digital literacy training </w:t>
      </w:r>
      <w:proofErr w:type="spellStart"/>
      <w:r>
        <w:rPr>
          <w:rFonts w:ascii="Arial" w:eastAsia="SimSun" w:hAnsi="Arial"/>
          <w:sz w:val="22"/>
          <w:szCs w:val="22"/>
        </w:rPr>
        <w:t>programmes</w:t>
      </w:r>
      <w:proofErr w:type="spellEnd"/>
      <w:r>
        <w:rPr>
          <w:rFonts w:ascii="Arial" w:eastAsia="SimSun" w:hAnsi="Arial"/>
          <w:sz w:val="22"/>
          <w:szCs w:val="22"/>
        </w:rPr>
        <w:t xml:space="preserve"> (Age UK, 2023).</w:t>
      </w:r>
    </w:p>
    <w:p w14:paraId="0F86F76E" w14:textId="77777777" w:rsidR="00EB6C5A" w:rsidRDefault="00EC195C">
      <w:pPr>
        <w:numPr>
          <w:ilvl w:val="0"/>
          <w:numId w:val="11"/>
        </w:numPr>
        <w:spacing w:line="360" w:lineRule="auto"/>
        <w:jc w:val="both"/>
        <w:rPr>
          <w:rFonts w:ascii="Arial" w:eastAsia="SimSun" w:hAnsi="Arial"/>
          <w:sz w:val="22"/>
          <w:szCs w:val="22"/>
        </w:rPr>
      </w:pPr>
      <w:r>
        <w:rPr>
          <w:rFonts w:ascii="Arial" w:eastAsia="SimSun" w:hAnsi="Arial"/>
          <w:sz w:val="22"/>
          <w:szCs w:val="22"/>
        </w:rPr>
        <w:t>Frameworks for Ethics: It is crucial to establish unambiguous ethical standards for data security, privacy, and appropriate use of AI in elder care (European Commission, 2023).</w:t>
      </w:r>
    </w:p>
    <w:p w14:paraId="47CEE4BE" w14:textId="77777777" w:rsidR="00EB6C5A" w:rsidRDefault="00EC195C">
      <w:pPr>
        <w:numPr>
          <w:ilvl w:val="0"/>
          <w:numId w:val="11"/>
        </w:numPr>
        <w:spacing w:line="360" w:lineRule="auto"/>
        <w:jc w:val="both"/>
        <w:rPr>
          <w:rFonts w:ascii="Arial" w:eastAsia="SimSun" w:hAnsi="Arial"/>
          <w:sz w:val="22"/>
          <w:szCs w:val="22"/>
        </w:rPr>
      </w:pPr>
      <w:r>
        <w:rPr>
          <w:rFonts w:ascii="Arial" w:eastAsia="SimSun" w:hAnsi="Arial"/>
          <w:sz w:val="22"/>
          <w:szCs w:val="22"/>
        </w:rPr>
        <w:t>Human-centered approach: AI and technology need to complement human interaction rather than take its place. Together, carers and medical professionals should be prepared to use these new resources to deliver compassionate, all-encompassing care.</w:t>
      </w:r>
    </w:p>
    <w:p w14:paraId="672A2630" w14:textId="77777777" w:rsidR="00EB6C5A" w:rsidRDefault="00EB6C5A">
      <w:pPr>
        <w:spacing w:line="360" w:lineRule="auto"/>
        <w:jc w:val="center"/>
        <w:outlineLvl w:val="0"/>
        <w:rPr>
          <w:rFonts w:ascii="Arial" w:eastAsia="SimSun" w:hAnsi="Arial"/>
          <w:b/>
          <w:bCs/>
          <w:sz w:val="22"/>
          <w:szCs w:val="22"/>
        </w:rPr>
      </w:pPr>
    </w:p>
    <w:p w14:paraId="5707DF1F" w14:textId="77777777" w:rsidR="00EB6C5A" w:rsidRDefault="00EB6C5A">
      <w:pPr>
        <w:spacing w:line="360" w:lineRule="auto"/>
        <w:jc w:val="center"/>
        <w:outlineLvl w:val="0"/>
        <w:rPr>
          <w:rFonts w:ascii="Arial" w:eastAsia="SimSun" w:hAnsi="Arial"/>
          <w:b/>
          <w:bCs/>
          <w:sz w:val="22"/>
          <w:szCs w:val="22"/>
        </w:rPr>
      </w:pPr>
    </w:p>
    <w:p w14:paraId="64078060" w14:textId="77777777" w:rsidR="00EB6C5A" w:rsidRDefault="00EC195C">
      <w:pPr>
        <w:spacing w:line="360" w:lineRule="auto"/>
        <w:jc w:val="center"/>
        <w:outlineLvl w:val="0"/>
        <w:rPr>
          <w:rFonts w:ascii="Arial" w:eastAsia="SimSun" w:hAnsi="Arial"/>
          <w:b/>
          <w:bCs/>
          <w:sz w:val="22"/>
          <w:szCs w:val="22"/>
        </w:rPr>
      </w:pPr>
      <w:bookmarkStart w:id="7" w:name="_Toc4757"/>
      <w:r>
        <w:rPr>
          <w:rFonts w:ascii="Arial" w:eastAsia="SimSun" w:hAnsi="Arial"/>
          <w:b/>
          <w:bCs/>
          <w:sz w:val="22"/>
          <w:szCs w:val="22"/>
        </w:rPr>
        <w:lastRenderedPageBreak/>
        <w:t>Recommendations</w:t>
      </w:r>
      <w:bookmarkEnd w:id="7"/>
    </w:p>
    <w:p w14:paraId="0ED4D418" w14:textId="77777777" w:rsidR="00EB6C5A" w:rsidRDefault="00EC195C">
      <w:pPr>
        <w:spacing w:line="360" w:lineRule="auto"/>
        <w:ind w:firstLine="720"/>
        <w:jc w:val="both"/>
        <w:rPr>
          <w:rFonts w:ascii="Arial" w:hAnsi="Arial"/>
          <w:sz w:val="22"/>
          <w:szCs w:val="22"/>
        </w:rPr>
      </w:pPr>
      <w:r>
        <w:rPr>
          <w:rFonts w:ascii="Arial" w:hAnsi="Arial"/>
          <w:sz w:val="22"/>
          <w:szCs w:val="22"/>
        </w:rPr>
        <w:t xml:space="preserve">Like numerous other stories, Sadie's narrative highlights the potential and difficulties brought forth by the "silver tsunami."  Through the application of social theories of ageing to her experiences, we are able to extract important information that will help shape elder care in the future. In this article, we examine several important suggestions for creating a stronger and more helpful system for senior citizens. Firstly, Sadie's wellbeing may be greatly enhanced by </w:t>
      </w:r>
      <w:proofErr w:type="spellStart"/>
      <w:r>
        <w:rPr>
          <w:rFonts w:ascii="Arial" w:hAnsi="Arial"/>
          <w:sz w:val="22"/>
          <w:szCs w:val="22"/>
        </w:rPr>
        <w:t>utilising</w:t>
      </w:r>
      <w:proofErr w:type="spellEnd"/>
      <w:r>
        <w:rPr>
          <w:rFonts w:ascii="Arial" w:hAnsi="Arial"/>
          <w:sz w:val="22"/>
          <w:szCs w:val="22"/>
        </w:rPr>
        <w:t xml:space="preserve"> technology. Her remote location and the availability of healthcare services can be connected through telehealth consultations. Imagine having a kind physician check in with her by video chat, answering her questions about health, and providing options for remote monitoring of her ongoing ailments. This supports her health management and fosters a sense of participation, which is consistent with Activity Theory (Havighurst, 1963).</w:t>
      </w:r>
    </w:p>
    <w:p w14:paraId="15D961CE" w14:textId="77777777" w:rsidR="00EB6C5A" w:rsidRDefault="00EC195C">
      <w:pPr>
        <w:spacing w:line="360" w:lineRule="auto"/>
        <w:ind w:firstLine="720"/>
        <w:jc w:val="both"/>
        <w:rPr>
          <w:rFonts w:ascii="Arial" w:hAnsi="Arial"/>
          <w:sz w:val="22"/>
          <w:szCs w:val="22"/>
        </w:rPr>
      </w:pPr>
      <w:r>
        <w:rPr>
          <w:rFonts w:ascii="Arial" w:hAnsi="Arial"/>
          <w:sz w:val="22"/>
          <w:szCs w:val="22"/>
        </w:rPr>
        <w:t>It is important to overcome social isolation. Virtual assistants with AI capabilities may be Sadie's friend, help her remember her appointments, and give simple amusement. According to Continuity Theory, these characteristics help lessen loneliness by perhaps bringing back memories of previous social encounters (Atchley, 1989). Furthermore, looking into video-conferencing-facilitated social support groups could help Sadie meet people going through comparable struggles. In line with Activity Theory, this promotes a sense of community and thwarts the disengagement that Disengagement Theory predicts (Cumming &amp; Henry, 1961).</w:t>
      </w:r>
    </w:p>
    <w:p w14:paraId="4F89E172" w14:textId="77777777" w:rsidR="00EB6C5A" w:rsidRDefault="00EC195C">
      <w:pPr>
        <w:spacing w:line="360" w:lineRule="auto"/>
        <w:ind w:firstLine="720"/>
        <w:jc w:val="both"/>
        <w:rPr>
          <w:rFonts w:ascii="Arial" w:hAnsi="Arial"/>
          <w:sz w:val="22"/>
          <w:szCs w:val="22"/>
        </w:rPr>
      </w:pPr>
      <w:r>
        <w:rPr>
          <w:rFonts w:ascii="Arial" w:hAnsi="Arial"/>
          <w:sz w:val="22"/>
          <w:szCs w:val="22"/>
        </w:rPr>
        <w:t xml:space="preserve">But technology is just one component of the whole.  It's crucial to fight digital </w:t>
      </w:r>
      <w:proofErr w:type="spellStart"/>
      <w:r>
        <w:rPr>
          <w:rFonts w:ascii="Arial" w:hAnsi="Arial"/>
          <w:sz w:val="22"/>
          <w:szCs w:val="22"/>
        </w:rPr>
        <w:t>marginalisation</w:t>
      </w:r>
      <w:proofErr w:type="spellEnd"/>
      <w:r>
        <w:rPr>
          <w:rFonts w:ascii="Arial" w:hAnsi="Arial"/>
          <w:sz w:val="22"/>
          <w:szCs w:val="22"/>
        </w:rPr>
        <w:t xml:space="preserve">. Training </w:t>
      </w:r>
      <w:proofErr w:type="spellStart"/>
      <w:r>
        <w:rPr>
          <w:rFonts w:ascii="Arial" w:hAnsi="Arial"/>
          <w:sz w:val="22"/>
          <w:szCs w:val="22"/>
        </w:rPr>
        <w:t>programmes</w:t>
      </w:r>
      <w:proofErr w:type="spellEnd"/>
      <w:r>
        <w:rPr>
          <w:rFonts w:ascii="Arial" w:hAnsi="Arial"/>
          <w:sz w:val="22"/>
          <w:szCs w:val="22"/>
        </w:rPr>
        <w:t xml:space="preserve"> tailored to Sadie's age can enable her to take advantage of these developments. Furthermore, she might become more involved in the community by looking at </w:t>
      </w:r>
      <w:proofErr w:type="spellStart"/>
      <w:r>
        <w:rPr>
          <w:rFonts w:ascii="Arial" w:hAnsi="Arial"/>
          <w:sz w:val="22"/>
          <w:szCs w:val="22"/>
        </w:rPr>
        <w:t>neighbourhood</w:t>
      </w:r>
      <w:proofErr w:type="spellEnd"/>
      <w:r>
        <w:rPr>
          <w:rFonts w:ascii="Arial" w:hAnsi="Arial"/>
          <w:sz w:val="22"/>
          <w:szCs w:val="22"/>
        </w:rPr>
        <w:t xml:space="preserve"> projects like senior </w:t>
      </w:r>
      <w:proofErr w:type="spellStart"/>
      <w:r>
        <w:rPr>
          <w:rFonts w:ascii="Arial" w:hAnsi="Arial"/>
          <w:sz w:val="22"/>
          <w:szCs w:val="22"/>
        </w:rPr>
        <w:t>centres</w:t>
      </w:r>
      <w:proofErr w:type="spellEnd"/>
      <w:r>
        <w:rPr>
          <w:rFonts w:ascii="Arial" w:hAnsi="Arial"/>
          <w:sz w:val="22"/>
          <w:szCs w:val="22"/>
        </w:rPr>
        <w:t xml:space="preserve"> or volunteer-based social assistance </w:t>
      </w:r>
      <w:proofErr w:type="spellStart"/>
      <w:r>
        <w:rPr>
          <w:rFonts w:ascii="Arial" w:hAnsi="Arial"/>
          <w:sz w:val="22"/>
          <w:szCs w:val="22"/>
        </w:rPr>
        <w:t>programmes</w:t>
      </w:r>
      <w:proofErr w:type="spellEnd"/>
      <w:r>
        <w:rPr>
          <w:rFonts w:ascii="Arial" w:hAnsi="Arial"/>
          <w:sz w:val="22"/>
          <w:szCs w:val="22"/>
        </w:rPr>
        <w:t>. Nothing can ever truly replace a human touch. It's probable that Sadie's daughter helps a lot with her care.  In order to keep carers from burning out, support networks like counselling services or respite care are essential. Furthermore, establishing a cooperative partnership among medical professionals, social workers, and families may provide a comprehensive and patient-focused approach to Sadie's treatment.</w:t>
      </w:r>
    </w:p>
    <w:p w14:paraId="779AA26F" w14:textId="77777777" w:rsidR="00EB6C5A" w:rsidRDefault="00EC195C">
      <w:pPr>
        <w:spacing w:line="360" w:lineRule="auto"/>
        <w:ind w:firstLine="720"/>
        <w:jc w:val="both"/>
        <w:rPr>
          <w:rFonts w:ascii="Arial" w:hAnsi="Arial"/>
          <w:sz w:val="22"/>
          <w:szCs w:val="22"/>
        </w:rPr>
      </w:pPr>
      <w:r>
        <w:rPr>
          <w:rFonts w:ascii="Arial" w:hAnsi="Arial"/>
          <w:sz w:val="22"/>
          <w:szCs w:val="22"/>
        </w:rPr>
        <w:t xml:space="preserve">To conclude, Sadie's tale serves as a reminder that senior care in the future will need to take a diversified strategy. We can create a more supporting system by embracing technology, encouraging social interaction, and placing a higher value on human interaction.  By making these strategic investments, we can guarantee that seniors, like Sadie, age with </w:t>
      </w:r>
      <w:proofErr w:type="spellStart"/>
      <w:r>
        <w:rPr>
          <w:rFonts w:ascii="Arial" w:hAnsi="Arial"/>
          <w:sz w:val="22"/>
          <w:szCs w:val="22"/>
        </w:rPr>
        <w:t>honour</w:t>
      </w:r>
      <w:proofErr w:type="spellEnd"/>
      <w:r>
        <w:rPr>
          <w:rFonts w:ascii="Arial" w:hAnsi="Arial"/>
          <w:sz w:val="22"/>
          <w:szCs w:val="22"/>
        </w:rPr>
        <w:t>, keep their freedom, and lead satisfying lives, transforming the "silver tsunami" into a surge of active and involved citizens.</w:t>
      </w:r>
    </w:p>
    <w:p w14:paraId="02567C3B" w14:textId="77777777" w:rsidR="00EB6C5A" w:rsidRDefault="00EC195C">
      <w:pPr>
        <w:spacing w:line="360" w:lineRule="auto"/>
        <w:ind w:firstLine="720"/>
        <w:jc w:val="center"/>
        <w:outlineLvl w:val="0"/>
        <w:rPr>
          <w:rFonts w:ascii="Arial" w:hAnsi="Arial"/>
          <w:b/>
          <w:bCs/>
          <w:sz w:val="22"/>
          <w:szCs w:val="22"/>
        </w:rPr>
      </w:pPr>
      <w:bookmarkStart w:id="8" w:name="_Toc10543"/>
      <w:r>
        <w:rPr>
          <w:rFonts w:ascii="Arial" w:hAnsi="Arial"/>
          <w:b/>
          <w:bCs/>
          <w:sz w:val="22"/>
          <w:szCs w:val="22"/>
        </w:rPr>
        <w:lastRenderedPageBreak/>
        <w:t>Conclusion</w:t>
      </w:r>
      <w:bookmarkEnd w:id="8"/>
    </w:p>
    <w:p w14:paraId="4AE8994F" w14:textId="77777777" w:rsidR="00EB6C5A" w:rsidRDefault="00EC195C">
      <w:pPr>
        <w:spacing w:line="360" w:lineRule="auto"/>
        <w:ind w:firstLine="720"/>
        <w:jc w:val="both"/>
        <w:rPr>
          <w:rFonts w:ascii="Arial" w:hAnsi="Arial"/>
          <w:sz w:val="22"/>
          <w:szCs w:val="22"/>
        </w:rPr>
      </w:pPr>
      <w:r>
        <w:rPr>
          <w:rFonts w:ascii="Arial" w:hAnsi="Arial"/>
          <w:sz w:val="22"/>
          <w:szCs w:val="22"/>
        </w:rPr>
        <w:t>An elder care paradigm change is necessary as people age. Sadie's story highlights the necessity for a diverse approach by illuminating the complexity of ageing. Technology addresses isolation and access to care by providing tools like virtual assistants and telemedicine. Connection and wellbeing are fostered by social activities that support digital literacy and community involvement.  Still, nothing can truly replace the human touch. It is essential to assist carers and promote cooperation between medical staff and families. We can make sure that elderly people age with dignity and purpose by adopting these tactics. Let's turn the "silver tsunami" into a wave of opportunity where social media and technology allow senior citizens to thrive and share their knowledge and expertise to make everyone's future better.</w:t>
      </w:r>
    </w:p>
    <w:p w14:paraId="584E362E" w14:textId="77777777" w:rsidR="00EB6C5A" w:rsidRDefault="00EB6C5A">
      <w:pPr>
        <w:spacing w:line="360" w:lineRule="auto"/>
        <w:jc w:val="both"/>
        <w:rPr>
          <w:rFonts w:ascii="Arial" w:hAnsi="Arial"/>
          <w:b/>
          <w:bCs/>
          <w:sz w:val="22"/>
          <w:szCs w:val="22"/>
        </w:rPr>
      </w:pPr>
    </w:p>
    <w:p w14:paraId="4B816252" w14:textId="77777777" w:rsidR="00EB6C5A" w:rsidRDefault="00EB6C5A"/>
    <w:p w14:paraId="3DA5B4F0" w14:textId="77777777" w:rsidR="00EB6C5A" w:rsidRDefault="00EC195C">
      <w:pPr>
        <w:pStyle w:val="NormalWeb"/>
        <w:spacing w:beforeAutospacing="0" w:after="210" w:afterAutospacing="0" w:line="360" w:lineRule="auto"/>
        <w:outlineLvl w:val="0"/>
        <w:rPr>
          <w:rFonts w:ascii="Arial" w:hAnsi="Arial" w:cs="Arial"/>
          <w:b/>
          <w:bCs/>
          <w:sz w:val="22"/>
          <w:szCs w:val="22"/>
        </w:rPr>
      </w:pPr>
      <w:bookmarkStart w:id="9" w:name="_Toc3739"/>
      <w:r>
        <w:rPr>
          <w:rFonts w:ascii="Arial" w:hAnsi="Arial" w:cs="Arial"/>
          <w:b/>
          <w:bCs/>
          <w:sz w:val="22"/>
          <w:szCs w:val="22"/>
        </w:rPr>
        <w:t>References</w:t>
      </w:r>
      <w:bookmarkEnd w:id="9"/>
    </w:p>
    <w:p w14:paraId="191B2A2A"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Age. UK (2023). </w:t>
      </w:r>
      <w:r>
        <w:rPr>
          <w:rFonts w:ascii="Arial" w:hAnsi="Arial" w:cs="Arial"/>
          <w:i/>
          <w:iCs/>
          <w:sz w:val="22"/>
          <w:szCs w:val="22"/>
        </w:rPr>
        <w:t>Using technology in social care</w:t>
      </w:r>
      <w:r>
        <w:rPr>
          <w:rFonts w:ascii="Arial" w:hAnsi="Arial" w:cs="Arial"/>
          <w:sz w:val="22"/>
          <w:szCs w:val="22"/>
        </w:rPr>
        <w:t xml:space="preserve">. [online] www.skillsforcare.org.uk. Available at: </w:t>
      </w:r>
      <w:hyperlink r:id="rId11" w:history="1">
        <w:r>
          <w:rPr>
            <w:rStyle w:val="Hyperlink"/>
            <w:rFonts w:ascii="Arial" w:hAnsi="Arial" w:cs="Arial"/>
            <w:sz w:val="22"/>
            <w:szCs w:val="22"/>
          </w:rPr>
          <w:t>https://www.skillsforcare.org.uk/Support-for-leaders-and-managers/Managing-a-service/Digital-technology-and-social-care/Using-technology-in-social-care.aspx</w:t>
        </w:r>
      </w:hyperlink>
      <w:r>
        <w:rPr>
          <w:rFonts w:ascii="Arial" w:hAnsi="Arial" w:cs="Arial"/>
          <w:sz w:val="22"/>
          <w:szCs w:val="22"/>
        </w:rPr>
        <w:t xml:space="preserve">  [Accessed 18 Jul. 2024].</w:t>
      </w:r>
    </w:p>
    <w:p w14:paraId="422D51F8"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Agresti, A.A., Corrigan, J.D. and Gribble, M. (1989). Effects of mode of presentation on head-injured patients’ recall of narrative information. </w:t>
      </w:r>
      <w:r>
        <w:rPr>
          <w:rFonts w:ascii="Arial" w:hAnsi="Arial" w:cs="Arial"/>
          <w:i/>
          <w:iCs/>
          <w:sz w:val="22"/>
          <w:szCs w:val="22"/>
        </w:rPr>
        <w:t>Journal of Clinical Psychology</w:t>
      </w:r>
      <w:r>
        <w:rPr>
          <w:rFonts w:ascii="Arial" w:hAnsi="Arial" w:cs="Arial"/>
          <w:sz w:val="22"/>
          <w:szCs w:val="22"/>
        </w:rPr>
        <w:t xml:space="preserve">, 45(2), pp.270–276. </w:t>
      </w:r>
      <w:proofErr w:type="spellStart"/>
      <w:r>
        <w:rPr>
          <w:rFonts w:ascii="Arial" w:hAnsi="Arial" w:cs="Arial"/>
          <w:sz w:val="22"/>
          <w:szCs w:val="22"/>
        </w:rPr>
        <w:t>doi</w:t>
      </w:r>
      <w:proofErr w:type="spellEnd"/>
      <w:r>
        <w:rPr>
          <w:rFonts w:ascii="Arial" w:hAnsi="Arial" w:cs="Arial"/>
          <w:sz w:val="22"/>
          <w:szCs w:val="22"/>
        </w:rPr>
        <w:t xml:space="preserve">: </w:t>
      </w:r>
      <w:hyperlink r:id="rId12" w:history="1">
        <w:r>
          <w:rPr>
            <w:rStyle w:val="Hyperlink"/>
            <w:rFonts w:ascii="Arial" w:hAnsi="Arial" w:cs="Arial"/>
            <w:sz w:val="22"/>
            <w:szCs w:val="22"/>
          </w:rPr>
          <w:t>https://doi.org/10.1002/1097-4679(198903)45:2%3C270::aid-jclp2270450215%3E3.0.co;2-9.</w:t>
        </w:r>
      </w:hyperlink>
      <w:r>
        <w:rPr>
          <w:rFonts w:ascii="Arial" w:hAnsi="Arial" w:cs="Arial"/>
          <w:sz w:val="22"/>
          <w:szCs w:val="22"/>
        </w:rPr>
        <w:t xml:space="preserve"> </w:t>
      </w:r>
    </w:p>
    <w:p w14:paraId="5FAE6039"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Carstensen, L.L., Fung, H.H. and Charles, S.T. (2003). Socioemotional Selectivity Theory and the Regulation of Emotion in the Second Half of Life. </w:t>
      </w:r>
      <w:r>
        <w:rPr>
          <w:rFonts w:ascii="Arial" w:hAnsi="Arial" w:cs="Arial"/>
          <w:i/>
          <w:iCs/>
          <w:sz w:val="22"/>
          <w:szCs w:val="22"/>
        </w:rPr>
        <w:t>Motivation and Emotion</w:t>
      </w:r>
      <w:r>
        <w:rPr>
          <w:rFonts w:ascii="Arial" w:hAnsi="Arial" w:cs="Arial"/>
          <w:sz w:val="22"/>
          <w:szCs w:val="22"/>
        </w:rPr>
        <w:t xml:space="preserve">, 27(2), pp.103–123. </w:t>
      </w:r>
      <w:proofErr w:type="spellStart"/>
      <w:r>
        <w:rPr>
          <w:rFonts w:ascii="Arial" w:hAnsi="Arial" w:cs="Arial"/>
          <w:sz w:val="22"/>
          <w:szCs w:val="22"/>
        </w:rPr>
        <w:t>doi</w:t>
      </w:r>
      <w:proofErr w:type="spellEnd"/>
      <w:r>
        <w:rPr>
          <w:rFonts w:ascii="Arial" w:hAnsi="Arial" w:cs="Arial"/>
          <w:sz w:val="22"/>
          <w:szCs w:val="22"/>
        </w:rPr>
        <w:t xml:space="preserve">: </w:t>
      </w:r>
      <w:hyperlink r:id="rId13" w:history="1">
        <w:r>
          <w:rPr>
            <w:rStyle w:val="Hyperlink"/>
            <w:rFonts w:ascii="Arial" w:hAnsi="Arial" w:cs="Arial"/>
            <w:sz w:val="22"/>
            <w:szCs w:val="22"/>
          </w:rPr>
          <w:t>https://doi.org/10.1023/a:1024569803230.</w:t>
        </w:r>
      </w:hyperlink>
      <w:r>
        <w:rPr>
          <w:rFonts w:ascii="Arial" w:hAnsi="Arial" w:cs="Arial"/>
          <w:sz w:val="22"/>
          <w:szCs w:val="22"/>
        </w:rPr>
        <w:t xml:space="preserve"> </w:t>
      </w:r>
    </w:p>
    <w:p w14:paraId="3FAE4F56"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Coleman, P. (1991). Cumming E. and Henry W., Growing Old: The Process of Disengagement. Basic Books, New York, 1961. (Reprint: Arno, New York, 1979, ISBN 0405 118147.). </w:t>
      </w:r>
      <w:r>
        <w:rPr>
          <w:rFonts w:ascii="Arial" w:hAnsi="Arial" w:cs="Arial"/>
          <w:i/>
          <w:iCs/>
          <w:sz w:val="22"/>
          <w:szCs w:val="22"/>
        </w:rPr>
        <w:t>Ageing and Society</w:t>
      </w:r>
      <w:r>
        <w:rPr>
          <w:rFonts w:ascii="Arial" w:hAnsi="Arial" w:cs="Arial"/>
          <w:sz w:val="22"/>
          <w:szCs w:val="22"/>
        </w:rPr>
        <w:t xml:space="preserve">, [online] 11(2), pp.217–220. </w:t>
      </w:r>
      <w:proofErr w:type="spellStart"/>
      <w:r>
        <w:rPr>
          <w:rFonts w:ascii="Arial" w:hAnsi="Arial" w:cs="Arial"/>
          <w:sz w:val="22"/>
          <w:szCs w:val="22"/>
        </w:rPr>
        <w:t>doi</w:t>
      </w:r>
      <w:proofErr w:type="spellEnd"/>
      <w:r>
        <w:rPr>
          <w:rFonts w:ascii="Arial" w:hAnsi="Arial" w:cs="Arial"/>
          <w:sz w:val="22"/>
          <w:szCs w:val="22"/>
        </w:rPr>
        <w:t xml:space="preserve">: </w:t>
      </w:r>
      <w:hyperlink r:id="rId14" w:history="1">
        <w:r>
          <w:rPr>
            <w:rStyle w:val="Hyperlink"/>
            <w:rFonts w:ascii="Arial" w:hAnsi="Arial" w:cs="Arial"/>
            <w:sz w:val="22"/>
            <w:szCs w:val="22"/>
          </w:rPr>
          <w:t>https://doi.org/10.1017/s0144686x00004025.</w:t>
        </w:r>
      </w:hyperlink>
      <w:r>
        <w:rPr>
          <w:rFonts w:ascii="Arial" w:hAnsi="Arial" w:cs="Arial"/>
          <w:sz w:val="22"/>
          <w:szCs w:val="22"/>
        </w:rPr>
        <w:t xml:space="preserve"> </w:t>
      </w:r>
    </w:p>
    <w:p w14:paraId="1D266DE9"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Default. (n.d.). </w:t>
      </w:r>
      <w:r>
        <w:rPr>
          <w:rFonts w:ascii="Arial" w:hAnsi="Arial" w:cs="Arial"/>
          <w:i/>
          <w:iCs/>
          <w:sz w:val="22"/>
          <w:szCs w:val="22"/>
        </w:rPr>
        <w:t>AAMI Main Page</w:t>
      </w:r>
      <w:r>
        <w:rPr>
          <w:rFonts w:ascii="Arial" w:hAnsi="Arial" w:cs="Arial"/>
          <w:sz w:val="22"/>
          <w:szCs w:val="22"/>
        </w:rPr>
        <w:t xml:space="preserve">. [online] Available at: </w:t>
      </w:r>
      <w:hyperlink r:id="rId15" w:history="1">
        <w:r>
          <w:rPr>
            <w:rStyle w:val="Hyperlink"/>
            <w:rFonts w:ascii="Arial" w:hAnsi="Arial" w:cs="Arial"/>
            <w:sz w:val="22"/>
            <w:szCs w:val="22"/>
          </w:rPr>
          <w:t>https://aami.org/</w:t>
        </w:r>
      </w:hyperlink>
      <w:r>
        <w:rPr>
          <w:rFonts w:ascii="Arial" w:hAnsi="Arial" w:cs="Arial"/>
          <w:sz w:val="22"/>
          <w:szCs w:val="22"/>
        </w:rPr>
        <w:t xml:space="preserve">  [Accessed 18 Jul. 2024].</w:t>
      </w:r>
    </w:p>
    <w:p w14:paraId="66534B0D"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European Commission (2023). </w:t>
      </w:r>
      <w:r>
        <w:rPr>
          <w:rFonts w:ascii="Arial" w:hAnsi="Arial" w:cs="Arial"/>
          <w:i/>
          <w:iCs/>
          <w:sz w:val="22"/>
          <w:szCs w:val="22"/>
        </w:rPr>
        <w:t>The European Innovation Partnership on Active and Healthy Ageing (EIP on AHA) | Shaping Europe’s digital future</w:t>
      </w:r>
      <w:r>
        <w:rPr>
          <w:rFonts w:ascii="Arial" w:hAnsi="Arial" w:cs="Arial"/>
          <w:sz w:val="22"/>
          <w:szCs w:val="22"/>
        </w:rPr>
        <w:t>. [online] digital-</w:t>
      </w:r>
      <w:r>
        <w:rPr>
          <w:rFonts w:ascii="Arial" w:hAnsi="Arial" w:cs="Arial"/>
          <w:sz w:val="22"/>
          <w:szCs w:val="22"/>
        </w:rPr>
        <w:lastRenderedPageBreak/>
        <w:t xml:space="preserve">strategy.ec.europa.eu. Available at: </w:t>
      </w:r>
      <w:hyperlink r:id="rId16" w:history="1">
        <w:r>
          <w:rPr>
            <w:rStyle w:val="Hyperlink"/>
            <w:rFonts w:ascii="Arial" w:hAnsi="Arial" w:cs="Arial"/>
            <w:sz w:val="22"/>
            <w:szCs w:val="22"/>
          </w:rPr>
          <w:t>https://digital-strategy.ec.europa.eu/en/policies/eip-aha</w:t>
        </w:r>
      </w:hyperlink>
      <w:r>
        <w:rPr>
          <w:rFonts w:ascii="Arial" w:hAnsi="Arial" w:cs="Arial"/>
          <w:sz w:val="22"/>
          <w:szCs w:val="22"/>
        </w:rPr>
        <w:t xml:space="preserve">  [Accessed 18 Jul. 2024].</w:t>
      </w:r>
    </w:p>
    <w:p w14:paraId="24730F89"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Harman, D. (1956). Aging: A Theory Based on Free Radical and Radiation Chemistry. </w:t>
      </w:r>
      <w:r>
        <w:rPr>
          <w:rFonts w:ascii="Arial" w:hAnsi="Arial" w:cs="Arial"/>
          <w:i/>
          <w:iCs/>
          <w:sz w:val="22"/>
          <w:szCs w:val="22"/>
        </w:rPr>
        <w:t>Journal of Gerontology</w:t>
      </w:r>
      <w:r>
        <w:rPr>
          <w:rFonts w:ascii="Arial" w:hAnsi="Arial" w:cs="Arial"/>
          <w:sz w:val="22"/>
          <w:szCs w:val="22"/>
        </w:rPr>
        <w:t xml:space="preserve">, [online] 11(3), pp.298–300. </w:t>
      </w:r>
      <w:proofErr w:type="spellStart"/>
      <w:r>
        <w:rPr>
          <w:rFonts w:ascii="Arial" w:hAnsi="Arial" w:cs="Arial"/>
          <w:sz w:val="22"/>
          <w:szCs w:val="22"/>
        </w:rPr>
        <w:t>doi</w:t>
      </w:r>
      <w:proofErr w:type="spellEnd"/>
      <w:r>
        <w:rPr>
          <w:rFonts w:ascii="Arial" w:hAnsi="Arial" w:cs="Arial"/>
          <w:sz w:val="22"/>
          <w:szCs w:val="22"/>
        </w:rPr>
        <w:t xml:space="preserve">: </w:t>
      </w:r>
      <w:hyperlink r:id="rId17" w:history="1">
        <w:r>
          <w:rPr>
            <w:rStyle w:val="Hyperlink"/>
            <w:rFonts w:ascii="Arial" w:hAnsi="Arial" w:cs="Arial"/>
            <w:sz w:val="22"/>
            <w:szCs w:val="22"/>
          </w:rPr>
          <w:t>https://doi.org/10.1093/geronj/11.3.298.</w:t>
        </w:r>
      </w:hyperlink>
      <w:r>
        <w:rPr>
          <w:rFonts w:ascii="Arial" w:hAnsi="Arial" w:cs="Arial"/>
          <w:sz w:val="22"/>
          <w:szCs w:val="22"/>
        </w:rPr>
        <w:t xml:space="preserve"> </w:t>
      </w:r>
    </w:p>
    <w:p w14:paraId="6D27BE21"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Khan, S.S., Singer, B.D. and Vaughan, D.E. (2017). Molecular and physiological manifestations and measurement of aging in humans. </w:t>
      </w:r>
      <w:r>
        <w:rPr>
          <w:rFonts w:ascii="Arial" w:hAnsi="Arial" w:cs="Arial"/>
          <w:i/>
          <w:iCs/>
          <w:sz w:val="22"/>
          <w:szCs w:val="22"/>
        </w:rPr>
        <w:t>Aging Cell</w:t>
      </w:r>
      <w:r>
        <w:rPr>
          <w:rFonts w:ascii="Arial" w:hAnsi="Arial" w:cs="Arial"/>
          <w:sz w:val="22"/>
          <w:szCs w:val="22"/>
        </w:rPr>
        <w:t xml:space="preserve">, [online] 16(4), pp.624–633. </w:t>
      </w:r>
      <w:proofErr w:type="spellStart"/>
      <w:r>
        <w:rPr>
          <w:rFonts w:ascii="Arial" w:hAnsi="Arial" w:cs="Arial"/>
          <w:sz w:val="22"/>
          <w:szCs w:val="22"/>
        </w:rPr>
        <w:t>doi</w:t>
      </w:r>
      <w:proofErr w:type="spellEnd"/>
      <w:r>
        <w:rPr>
          <w:rFonts w:ascii="Arial" w:hAnsi="Arial" w:cs="Arial"/>
          <w:sz w:val="22"/>
          <w:szCs w:val="22"/>
        </w:rPr>
        <w:t xml:space="preserve">: </w:t>
      </w:r>
      <w:hyperlink r:id="rId18" w:history="1">
        <w:r>
          <w:rPr>
            <w:rStyle w:val="Hyperlink"/>
            <w:rFonts w:ascii="Arial" w:hAnsi="Arial" w:cs="Arial"/>
            <w:sz w:val="22"/>
            <w:szCs w:val="22"/>
          </w:rPr>
          <w:t>https://doi.org/10.1111/acel.12601.</w:t>
        </w:r>
      </w:hyperlink>
      <w:r>
        <w:rPr>
          <w:rFonts w:ascii="Arial" w:hAnsi="Arial" w:cs="Arial"/>
          <w:sz w:val="22"/>
          <w:szCs w:val="22"/>
        </w:rPr>
        <w:t xml:space="preserve"> </w:t>
      </w:r>
    </w:p>
    <w:p w14:paraId="28B5DD25"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Ma, B., Yang, J., Wong, F.K.Y., Wong, A.K.C., Ma, T., Meng, J., Zhao, Y., Wang, Y. and Lu, Q. (2022). Artificial intelligence in elderly healthcare: A scoping review. </w:t>
      </w:r>
      <w:r>
        <w:rPr>
          <w:rFonts w:ascii="Arial" w:hAnsi="Arial" w:cs="Arial"/>
          <w:i/>
          <w:iCs/>
          <w:sz w:val="22"/>
          <w:szCs w:val="22"/>
        </w:rPr>
        <w:t>Ageing Research Reviews</w:t>
      </w:r>
      <w:r>
        <w:rPr>
          <w:rFonts w:ascii="Arial" w:hAnsi="Arial" w:cs="Arial"/>
          <w:sz w:val="22"/>
          <w:szCs w:val="22"/>
        </w:rPr>
        <w:t xml:space="preserve">, 83, p.101808. </w:t>
      </w:r>
      <w:proofErr w:type="spellStart"/>
      <w:r>
        <w:rPr>
          <w:rFonts w:ascii="Arial" w:hAnsi="Arial" w:cs="Arial"/>
          <w:sz w:val="22"/>
          <w:szCs w:val="22"/>
        </w:rPr>
        <w:t>doi</w:t>
      </w:r>
      <w:proofErr w:type="spellEnd"/>
      <w:r>
        <w:rPr>
          <w:rFonts w:ascii="Arial" w:hAnsi="Arial" w:cs="Arial"/>
          <w:sz w:val="22"/>
          <w:szCs w:val="22"/>
        </w:rPr>
        <w:t xml:space="preserve">: </w:t>
      </w:r>
      <w:hyperlink r:id="rId19" w:history="1">
        <w:r>
          <w:rPr>
            <w:rStyle w:val="Hyperlink"/>
            <w:rFonts w:ascii="Arial" w:hAnsi="Arial" w:cs="Arial"/>
            <w:sz w:val="22"/>
            <w:szCs w:val="22"/>
          </w:rPr>
          <w:t>https://doi.org/10.1016/j.arr.2022.101808.</w:t>
        </w:r>
      </w:hyperlink>
      <w:r>
        <w:rPr>
          <w:rFonts w:ascii="Arial" w:hAnsi="Arial" w:cs="Arial"/>
          <w:sz w:val="22"/>
          <w:szCs w:val="22"/>
        </w:rPr>
        <w:t xml:space="preserve"> </w:t>
      </w:r>
    </w:p>
    <w:p w14:paraId="63F1904F"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Miotto, R., Wang, F., Wang, S., Jiang, X. and Dudley, J.T. (2018). Deep Learning for healthcare: review, Opportunities and Challenges. </w:t>
      </w:r>
      <w:r>
        <w:rPr>
          <w:rFonts w:ascii="Arial" w:hAnsi="Arial" w:cs="Arial"/>
          <w:i/>
          <w:iCs/>
          <w:sz w:val="22"/>
          <w:szCs w:val="22"/>
        </w:rPr>
        <w:t>Briefings in Bioinformatics</w:t>
      </w:r>
      <w:r>
        <w:rPr>
          <w:rFonts w:ascii="Arial" w:hAnsi="Arial" w:cs="Arial"/>
          <w:sz w:val="22"/>
          <w:szCs w:val="22"/>
        </w:rPr>
        <w:t xml:space="preserve">, 19(6), pp.1236–1246. </w:t>
      </w:r>
      <w:proofErr w:type="spellStart"/>
      <w:r>
        <w:rPr>
          <w:rFonts w:ascii="Arial" w:hAnsi="Arial" w:cs="Arial"/>
          <w:sz w:val="22"/>
          <w:szCs w:val="22"/>
        </w:rPr>
        <w:t>doi</w:t>
      </w:r>
      <w:proofErr w:type="spellEnd"/>
      <w:r>
        <w:rPr>
          <w:rFonts w:ascii="Arial" w:hAnsi="Arial" w:cs="Arial"/>
          <w:sz w:val="22"/>
          <w:szCs w:val="22"/>
        </w:rPr>
        <w:t xml:space="preserve">: </w:t>
      </w:r>
      <w:hyperlink r:id="rId20" w:history="1">
        <w:r>
          <w:rPr>
            <w:rStyle w:val="Hyperlink"/>
            <w:rFonts w:ascii="Arial" w:hAnsi="Arial" w:cs="Arial"/>
            <w:sz w:val="22"/>
            <w:szCs w:val="22"/>
          </w:rPr>
          <w:t>https://doi.org/10.1093/bib/bbx044.</w:t>
        </w:r>
      </w:hyperlink>
      <w:r>
        <w:rPr>
          <w:rFonts w:ascii="Arial" w:hAnsi="Arial" w:cs="Arial"/>
          <w:sz w:val="22"/>
          <w:szCs w:val="22"/>
        </w:rPr>
        <w:t xml:space="preserve"> </w:t>
      </w:r>
    </w:p>
    <w:p w14:paraId="453A058F"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NHS England (2019). </w:t>
      </w:r>
      <w:r>
        <w:rPr>
          <w:rFonts w:ascii="Arial" w:hAnsi="Arial" w:cs="Arial"/>
          <w:i/>
          <w:iCs/>
          <w:sz w:val="22"/>
          <w:szCs w:val="22"/>
        </w:rPr>
        <w:t>NHS Long Term Plan</w:t>
      </w:r>
      <w:r>
        <w:rPr>
          <w:rFonts w:ascii="Arial" w:hAnsi="Arial" w:cs="Arial"/>
          <w:sz w:val="22"/>
          <w:szCs w:val="22"/>
        </w:rPr>
        <w:t xml:space="preserve">. [online] England.nhs.uk. Available at: </w:t>
      </w:r>
      <w:hyperlink r:id="rId21" w:history="1">
        <w:r>
          <w:rPr>
            <w:rStyle w:val="Hyperlink"/>
            <w:rFonts w:ascii="Arial" w:hAnsi="Arial" w:cs="Arial"/>
            <w:sz w:val="22"/>
            <w:szCs w:val="22"/>
          </w:rPr>
          <w:t>https://www.england.nhs.uk/long-term-plan/</w:t>
        </w:r>
      </w:hyperlink>
      <w:r>
        <w:rPr>
          <w:rFonts w:ascii="Arial" w:hAnsi="Arial" w:cs="Arial"/>
          <w:sz w:val="22"/>
          <w:szCs w:val="22"/>
        </w:rPr>
        <w:t xml:space="preserve"> [Accessed 18 Jul. 2024].</w:t>
      </w:r>
    </w:p>
    <w:p w14:paraId="5DF41723"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Padhan, S., Mohapatra, A., Ramasamy, S.K. and Agrawal, S. (2023). Artificial Intelligence (AI) and Robotics in Elderly Healthcare: Enabling Independence and Quality of Life. </w:t>
      </w:r>
      <w:proofErr w:type="spellStart"/>
      <w:r>
        <w:rPr>
          <w:rFonts w:ascii="Arial" w:hAnsi="Arial" w:cs="Arial"/>
          <w:i/>
          <w:iCs/>
          <w:sz w:val="22"/>
          <w:szCs w:val="22"/>
        </w:rPr>
        <w:t>Cureus</w:t>
      </w:r>
      <w:proofErr w:type="spellEnd"/>
      <w:r>
        <w:rPr>
          <w:rFonts w:ascii="Arial" w:hAnsi="Arial" w:cs="Arial"/>
          <w:sz w:val="22"/>
          <w:szCs w:val="22"/>
        </w:rPr>
        <w:t xml:space="preserve">, [online] 15(8). </w:t>
      </w:r>
      <w:proofErr w:type="spellStart"/>
      <w:r>
        <w:rPr>
          <w:rFonts w:ascii="Arial" w:hAnsi="Arial" w:cs="Arial"/>
          <w:sz w:val="22"/>
          <w:szCs w:val="22"/>
        </w:rPr>
        <w:t>doi</w:t>
      </w:r>
      <w:proofErr w:type="spellEnd"/>
      <w:r>
        <w:rPr>
          <w:rFonts w:ascii="Arial" w:hAnsi="Arial" w:cs="Arial"/>
          <w:sz w:val="22"/>
          <w:szCs w:val="22"/>
        </w:rPr>
        <w:t xml:space="preserve">: </w:t>
      </w:r>
      <w:hyperlink r:id="rId22" w:history="1">
        <w:r>
          <w:rPr>
            <w:rStyle w:val="Hyperlink"/>
            <w:rFonts w:ascii="Arial" w:hAnsi="Arial" w:cs="Arial"/>
            <w:sz w:val="22"/>
            <w:szCs w:val="22"/>
          </w:rPr>
          <w:t>https://doi.org/10.7759/cureus.42905</w:t>
        </w:r>
      </w:hyperlink>
      <w:r>
        <w:rPr>
          <w:rFonts w:ascii="Arial" w:hAnsi="Arial" w:cs="Arial"/>
          <w:sz w:val="22"/>
          <w:szCs w:val="22"/>
        </w:rPr>
        <w:t xml:space="preserve"> </w:t>
      </w:r>
    </w:p>
    <w:p w14:paraId="782891E6"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Rowe, J. and Kahn, R. (1987). Human aging: Usual and successful. </w:t>
      </w:r>
      <w:r>
        <w:rPr>
          <w:rFonts w:ascii="Arial" w:hAnsi="Arial" w:cs="Arial"/>
          <w:i/>
          <w:iCs/>
          <w:sz w:val="22"/>
          <w:szCs w:val="22"/>
        </w:rPr>
        <w:t>Science</w:t>
      </w:r>
      <w:r>
        <w:rPr>
          <w:rFonts w:ascii="Arial" w:hAnsi="Arial" w:cs="Arial"/>
          <w:sz w:val="22"/>
          <w:szCs w:val="22"/>
        </w:rPr>
        <w:t xml:space="preserve">, 237(4811), pp.143–149. </w:t>
      </w:r>
      <w:proofErr w:type="spellStart"/>
      <w:r>
        <w:rPr>
          <w:rFonts w:ascii="Arial" w:hAnsi="Arial" w:cs="Arial"/>
          <w:sz w:val="22"/>
          <w:szCs w:val="22"/>
        </w:rPr>
        <w:t>doi</w:t>
      </w:r>
      <w:proofErr w:type="spellEnd"/>
      <w:r>
        <w:rPr>
          <w:rFonts w:ascii="Arial" w:hAnsi="Arial" w:cs="Arial"/>
          <w:sz w:val="22"/>
          <w:szCs w:val="22"/>
        </w:rPr>
        <w:t xml:space="preserve">: </w:t>
      </w:r>
      <w:hyperlink r:id="rId23" w:history="1">
        <w:r>
          <w:rPr>
            <w:rStyle w:val="Hyperlink"/>
            <w:rFonts w:ascii="Arial" w:hAnsi="Arial" w:cs="Arial"/>
            <w:sz w:val="22"/>
            <w:szCs w:val="22"/>
          </w:rPr>
          <w:t>https://doi.org/10.1126/science.3299702.</w:t>
        </w:r>
      </w:hyperlink>
      <w:r>
        <w:rPr>
          <w:rFonts w:ascii="Arial" w:hAnsi="Arial" w:cs="Arial"/>
          <w:sz w:val="22"/>
          <w:szCs w:val="22"/>
        </w:rPr>
        <w:t xml:space="preserve"> </w:t>
      </w:r>
    </w:p>
    <w:p w14:paraId="47720BE1" w14:textId="77777777" w:rsidR="00EB6C5A" w:rsidRDefault="00EC195C">
      <w:pPr>
        <w:pStyle w:val="NormalWeb"/>
        <w:spacing w:beforeAutospacing="0" w:after="210" w:afterAutospacing="0" w:line="360" w:lineRule="auto"/>
        <w:rPr>
          <w:rFonts w:ascii="Arial" w:hAnsi="Arial" w:cs="Arial"/>
          <w:sz w:val="22"/>
          <w:szCs w:val="22"/>
        </w:rPr>
      </w:pPr>
      <w:proofErr w:type="spellStart"/>
      <w:r>
        <w:rPr>
          <w:rFonts w:ascii="Arial" w:hAnsi="Arial" w:cs="Arial"/>
          <w:sz w:val="22"/>
          <w:szCs w:val="22"/>
        </w:rPr>
        <w:t>Saczynski</w:t>
      </w:r>
      <w:proofErr w:type="spellEnd"/>
      <w:r>
        <w:rPr>
          <w:rFonts w:ascii="Arial" w:hAnsi="Arial" w:cs="Arial"/>
          <w:sz w:val="22"/>
          <w:szCs w:val="22"/>
        </w:rPr>
        <w:t xml:space="preserve">, J.S., Margrett, J.A. and Willis, S.L. (2004). OLDER ADULTS’ STRATEGIC BEHAVIOR: EFFECTS OF INDIVIDUAL VERSUS COLLABORATIVE COGNITIVE TRAINING. </w:t>
      </w:r>
      <w:r>
        <w:rPr>
          <w:rFonts w:ascii="Arial" w:hAnsi="Arial" w:cs="Arial"/>
          <w:i/>
          <w:iCs/>
          <w:sz w:val="22"/>
          <w:szCs w:val="22"/>
        </w:rPr>
        <w:t>Educational Gerontology</w:t>
      </w:r>
      <w:r>
        <w:rPr>
          <w:rFonts w:ascii="Arial" w:hAnsi="Arial" w:cs="Arial"/>
          <w:sz w:val="22"/>
          <w:szCs w:val="22"/>
        </w:rPr>
        <w:t xml:space="preserve">, 30(7), pp.587–610. </w:t>
      </w:r>
      <w:proofErr w:type="spellStart"/>
      <w:r>
        <w:rPr>
          <w:rFonts w:ascii="Arial" w:hAnsi="Arial" w:cs="Arial"/>
          <w:sz w:val="22"/>
          <w:szCs w:val="22"/>
        </w:rPr>
        <w:t>doi</w:t>
      </w:r>
      <w:proofErr w:type="spellEnd"/>
      <w:r>
        <w:rPr>
          <w:rFonts w:ascii="Arial" w:hAnsi="Arial" w:cs="Arial"/>
          <w:sz w:val="22"/>
          <w:szCs w:val="22"/>
        </w:rPr>
        <w:t xml:space="preserve">: </w:t>
      </w:r>
      <w:hyperlink r:id="rId24" w:history="1">
        <w:r>
          <w:rPr>
            <w:rStyle w:val="Hyperlink"/>
            <w:rFonts w:ascii="Arial" w:hAnsi="Arial" w:cs="Arial"/>
            <w:sz w:val="22"/>
            <w:szCs w:val="22"/>
          </w:rPr>
          <w:t>https://doi.org/10.1080/03601270490466985.</w:t>
        </w:r>
      </w:hyperlink>
      <w:r>
        <w:rPr>
          <w:rFonts w:ascii="Arial" w:hAnsi="Arial" w:cs="Arial"/>
          <w:sz w:val="22"/>
          <w:szCs w:val="22"/>
        </w:rPr>
        <w:t xml:space="preserve"> </w:t>
      </w:r>
    </w:p>
    <w:p w14:paraId="7D3EA328"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Saeed, S.A. and Masters, R.M. (2021). Disparities in Health Care and the Digital Divide. </w:t>
      </w:r>
      <w:r>
        <w:rPr>
          <w:rFonts w:ascii="Arial" w:hAnsi="Arial" w:cs="Arial"/>
          <w:i/>
          <w:iCs/>
          <w:sz w:val="22"/>
          <w:szCs w:val="22"/>
        </w:rPr>
        <w:t>Current Psychiatry Reports</w:t>
      </w:r>
      <w:r>
        <w:rPr>
          <w:rFonts w:ascii="Arial" w:hAnsi="Arial" w:cs="Arial"/>
          <w:sz w:val="22"/>
          <w:szCs w:val="22"/>
        </w:rPr>
        <w:t xml:space="preserve">, [online] 23(9). </w:t>
      </w:r>
      <w:proofErr w:type="spellStart"/>
      <w:r>
        <w:rPr>
          <w:rFonts w:ascii="Arial" w:hAnsi="Arial" w:cs="Arial"/>
          <w:sz w:val="22"/>
          <w:szCs w:val="22"/>
        </w:rPr>
        <w:t>doi</w:t>
      </w:r>
      <w:proofErr w:type="spellEnd"/>
      <w:r>
        <w:rPr>
          <w:rFonts w:ascii="Arial" w:hAnsi="Arial" w:cs="Arial"/>
          <w:sz w:val="22"/>
          <w:szCs w:val="22"/>
        </w:rPr>
        <w:t xml:space="preserve">: </w:t>
      </w:r>
      <w:hyperlink r:id="rId25" w:history="1">
        <w:r>
          <w:rPr>
            <w:rStyle w:val="Hyperlink"/>
            <w:rFonts w:ascii="Arial" w:hAnsi="Arial" w:cs="Arial"/>
            <w:sz w:val="22"/>
            <w:szCs w:val="22"/>
          </w:rPr>
          <w:t>https://doi.org/10.1007/s11920-021-01274-4.</w:t>
        </w:r>
      </w:hyperlink>
      <w:r>
        <w:rPr>
          <w:rFonts w:ascii="Arial" w:hAnsi="Arial" w:cs="Arial"/>
          <w:sz w:val="22"/>
          <w:szCs w:val="22"/>
        </w:rPr>
        <w:t xml:space="preserve"> </w:t>
      </w:r>
    </w:p>
    <w:p w14:paraId="67062F5D"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SCIE (2019). </w:t>
      </w:r>
      <w:r>
        <w:rPr>
          <w:rFonts w:ascii="Arial" w:hAnsi="Arial" w:cs="Arial"/>
          <w:i/>
          <w:iCs/>
          <w:sz w:val="22"/>
          <w:szCs w:val="22"/>
        </w:rPr>
        <w:t>SCIE</w:t>
      </w:r>
      <w:r>
        <w:rPr>
          <w:rFonts w:ascii="Arial" w:hAnsi="Arial" w:cs="Arial"/>
          <w:sz w:val="22"/>
          <w:szCs w:val="22"/>
        </w:rPr>
        <w:t xml:space="preserve">. [online] Social Care Institute for Excellence (SCIE). Available at: </w:t>
      </w:r>
      <w:hyperlink r:id="rId26" w:history="1">
        <w:r>
          <w:rPr>
            <w:rStyle w:val="Hyperlink"/>
            <w:rFonts w:ascii="Arial" w:hAnsi="Arial" w:cs="Arial"/>
            <w:sz w:val="22"/>
            <w:szCs w:val="22"/>
          </w:rPr>
          <w:t>https://www.scie.org.uk</w:t>
        </w:r>
      </w:hyperlink>
      <w:r>
        <w:rPr>
          <w:rFonts w:ascii="Arial" w:hAnsi="Arial" w:cs="Arial"/>
          <w:sz w:val="22"/>
          <w:szCs w:val="22"/>
        </w:rPr>
        <w:t>/ [Accessed 18 Jul. 2024].</w:t>
      </w:r>
    </w:p>
    <w:p w14:paraId="7353EA1C"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lastRenderedPageBreak/>
        <w:t xml:space="preserve">Scobie, S. (2021). </w:t>
      </w:r>
      <w:r>
        <w:rPr>
          <w:rFonts w:ascii="Arial" w:hAnsi="Arial" w:cs="Arial"/>
          <w:i/>
          <w:iCs/>
          <w:sz w:val="22"/>
          <w:szCs w:val="22"/>
        </w:rPr>
        <w:t>Integrated care explained</w:t>
      </w:r>
      <w:r>
        <w:rPr>
          <w:rFonts w:ascii="Arial" w:hAnsi="Arial" w:cs="Arial"/>
          <w:sz w:val="22"/>
          <w:szCs w:val="22"/>
        </w:rPr>
        <w:t xml:space="preserve">. [online] The Nuffield Trust. Available at: </w:t>
      </w:r>
      <w:hyperlink r:id="rId27" w:history="1">
        <w:r>
          <w:rPr>
            <w:rStyle w:val="Hyperlink"/>
            <w:rFonts w:ascii="Arial" w:hAnsi="Arial" w:cs="Arial"/>
            <w:sz w:val="22"/>
            <w:szCs w:val="22"/>
          </w:rPr>
          <w:t>https://www.nuffieldtrust.org.uk/resource/integrated-care-explained</w:t>
        </w:r>
      </w:hyperlink>
      <w:r>
        <w:rPr>
          <w:rFonts w:ascii="Arial" w:hAnsi="Arial" w:cs="Arial"/>
          <w:sz w:val="22"/>
          <w:szCs w:val="22"/>
        </w:rPr>
        <w:t xml:space="preserve">  [Accessed 18 Jul. 2024].</w:t>
      </w:r>
    </w:p>
    <w:p w14:paraId="75492084"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Teles, S. and Ribeiro, O. (2019). Activity Theory. </w:t>
      </w:r>
      <w:r>
        <w:rPr>
          <w:rFonts w:ascii="Arial" w:hAnsi="Arial" w:cs="Arial"/>
          <w:i/>
          <w:iCs/>
          <w:sz w:val="22"/>
          <w:szCs w:val="22"/>
        </w:rPr>
        <w:t>Encyclopedia of Gerontology and Population Aging</w:t>
      </w:r>
      <w:r>
        <w:rPr>
          <w:rFonts w:ascii="Arial" w:hAnsi="Arial" w:cs="Arial"/>
          <w:sz w:val="22"/>
          <w:szCs w:val="22"/>
        </w:rPr>
        <w:t xml:space="preserve">, [online] (978-3-319-69892-2), pp.1–8. </w:t>
      </w:r>
      <w:proofErr w:type="spellStart"/>
      <w:r>
        <w:rPr>
          <w:rFonts w:ascii="Arial" w:hAnsi="Arial" w:cs="Arial"/>
          <w:sz w:val="22"/>
          <w:szCs w:val="22"/>
        </w:rPr>
        <w:t>doi</w:t>
      </w:r>
      <w:proofErr w:type="spellEnd"/>
      <w:r>
        <w:rPr>
          <w:rFonts w:ascii="Arial" w:hAnsi="Arial" w:cs="Arial"/>
          <w:sz w:val="22"/>
          <w:szCs w:val="22"/>
        </w:rPr>
        <w:t xml:space="preserve">: </w:t>
      </w:r>
      <w:hyperlink r:id="rId28" w:history="1">
        <w:r>
          <w:rPr>
            <w:rStyle w:val="Hyperlink"/>
            <w:rFonts w:ascii="Arial" w:hAnsi="Arial" w:cs="Arial"/>
            <w:sz w:val="22"/>
            <w:szCs w:val="22"/>
          </w:rPr>
          <w:t>https://doi.org/10.1007/978-3-319-69892-2_748-1.</w:t>
        </w:r>
      </w:hyperlink>
      <w:r>
        <w:rPr>
          <w:rFonts w:ascii="Arial" w:hAnsi="Arial" w:cs="Arial"/>
          <w:sz w:val="22"/>
          <w:szCs w:val="22"/>
        </w:rPr>
        <w:t xml:space="preserve"> </w:t>
      </w:r>
    </w:p>
    <w:p w14:paraId="11715AF9"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United Nations (2023). </w:t>
      </w:r>
      <w:r>
        <w:rPr>
          <w:rFonts w:ascii="Arial" w:hAnsi="Arial" w:cs="Arial"/>
          <w:i/>
          <w:iCs/>
          <w:sz w:val="22"/>
          <w:szCs w:val="22"/>
        </w:rPr>
        <w:t>Global Issues: Population</w:t>
      </w:r>
      <w:r>
        <w:rPr>
          <w:rFonts w:ascii="Arial" w:hAnsi="Arial" w:cs="Arial"/>
          <w:sz w:val="22"/>
          <w:szCs w:val="22"/>
        </w:rPr>
        <w:t xml:space="preserve">. [online] United Nations. Available at: </w:t>
      </w:r>
      <w:hyperlink r:id="rId29" w:history="1">
        <w:r>
          <w:rPr>
            <w:rStyle w:val="Hyperlink"/>
            <w:rFonts w:ascii="Arial" w:hAnsi="Arial" w:cs="Arial"/>
            <w:sz w:val="22"/>
            <w:szCs w:val="22"/>
          </w:rPr>
          <w:t>https://www.un.org/en/global-issues/population</w:t>
        </w:r>
      </w:hyperlink>
      <w:r>
        <w:rPr>
          <w:rFonts w:ascii="Arial" w:hAnsi="Arial" w:cs="Arial"/>
          <w:sz w:val="22"/>
          <w:szCs w:val="22"/>
        </w:rPr>
        <w:t xml:space="preserve">  [Accessed 18 Jul. 2024].</w:t>
      </w:r>
    </w:p>
    <w:p w14:paraId="44BBAF0A" w14:textId="77777777" w:rsidR="00EB6C5A" w:rsidRDefault="00EC195C">
      <w:pPr>
        <w:pStyle w:val="NormalWeb"/>
        <w:spacing w:beforeAutospacing="0" w:after="210" w:afterAutospacing="0" w:line="360" w:lineRule="auto"/>
        <w:rPr>
          <w:rFonts w:ascii="Arial" w:hAnsi="Arial" w:cs="Arial"/>
          <w:sz w:val="22"/>
          <w:szCs w:val="22"/>
        </w:rPr>
      </w:pPr>
      <w:r>
        <w:rPr>
          <w:rFonts w:ascii="Arial" w:hAnsi="Arial" w:cs="Arial"/>
          <w:sz w:val="22"/>
          <w:szCs w:val="22"/>
        </w:rPr>
        <w:t xml:space="preserve">Wikipedia. (2024). </w:t>
      </w:r>
      <w:r>
        <w:rPr>
          <w:rFonts w:ascii="Arial" w:hAnsi="Arial" w:cs="Arial"/>
          <w:i/>
          <w:iCs/>
          <w:sz w:val="22"/>
          <w:szCs w:val="22"/>
        </w:rPr>
        <w:t>Aging and society</w:t>
      </w:r>
      <w:r>
        <w:rPr>
          <w:rFonts w:ascii="Arial" w:hAnsi="Arial" w:cs="Arial"/>
          <w:sz w:val="22"/>
          <w:szCs w:val="22"/>
        </w:rPr>
        <w:t xml:space="preserve">. [online] Available at: </w:t>
      </w:r>
      <w:hyperlink r:id="rId30" w:history="1">
        <w:r>
          <w:rPr>
            <w:rStyle w:val="Hyperlink"/>
            <w:rFonts w:ascii="Arial" w:hAnsi="Arial" w:cs="Arial"/>
            <w:sz w:val="22"/>
            <w:szCs w:val="22"/>
          </w:rPr>
          <w:t>https://en.wikipedia.org/wiki/Aging_and_society</w:t>
        </w:r>
      </w:hyperlink>
      <w:r>
        <w:rPr>
          <w:rFonts w:ascii="Arial" w:hAnsi="Arial" w:cs="Arial"/>
          <w:sz w:val="22"/>
          <w:szCs w:val="22"/>
        </w:rPr>
        <w:t xml:space="preserve">  [Accessed 18 Jul. 2024].</w:t>
      </w:r>
    </w:p>
    <w:p w14:paraId="6F36EF64" w14:textId="77777777" w:rsidR="00EB6C5A" w:rsidRDefault="00EB6C5A">
      <w:pPr>
        <w:spacing w:line="360" w:lineRule="auto"/>
        <w:jc w:val="both"/>
        <w:rPr>
          <w:rFonts w:ascii="Arial" w:hAnsi="Arial"/>
          <w:sz w:val="22"/>
          <w:szCs w:val="22"/>
        </w:rPr>
      </w:pPr>
    </w:p>
    <w:p w14:paraId="298ACA96" w14:textId="77777777" w:rsidR="00EB6C5A" w:rsidRDefault="00EB6C5A">
      <w:pPr>
        <w:spacing w:line="360" w:lineRule="auto"/>
        <w:ind w:firstLine="720"/>
        <w:jc w:val="both"/>
        <w:rPr>
          <w:rFonts w:ascii="Arial" w:hAnsi="Arial"/>
          <w:sz w:val="22"/>
          <w:szCs w:val="22"/>
        </w:rPr>
      </w:pPr>
    </w:p>
    <w:sectPr w:rsidR="00EB6C5A">
      <w:headerReference w:type="default" r:id="rId31"/>
      <w:footerReference w:type="default" r:id="rId32"/>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55D147" w14:textId="77777777" w:rsidR="000E101B" w:rsidRDefault="000E101B">
      <w:r>
        <w:separator/>
      </w:r>
    </w:p>
  </w:endnote>
  <w:endnote w:type="continuationSeparator" w:id="0">
    <w:p w14:paraId="1D153B1E" w14:textId="77777777" w:rsidR="000E101B" w:rsidRDefault="000E10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American Typewriter">
    <w:altName w:val="Courier New"/>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041BD8" w14:textId="77777777" w:rsidR="00EB6C5A" w:rsidRDefault="00EC195C">
    <w:pPr>
      <w:pStyle w:val="Footer"/>
    </w:pPr>
    <w:r>
      <w:rPr>
        <w:noProof/>
      </w:rPr>
      <mc:AlternateContent>
        <mc:Choice Requires="wps">
          <w:drawing>
            <wp:anchor distT="0" distB="0" distL="114300" distR="114300" simplePos="0" relativeHeight="251659264" behindDoc="0" locked="0" layoutInCell="1" allowOverlap="1" wp14:anchorId="627C9BC8" wp14:editId="61714190">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50ED1F75" w14:textId="77777777" w:rsidR="00EB6C5A" w:rsidRDefault="00EC195C">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627C9BC8"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50ED1F75" w14:textId="77777777" w:rsidR="00EB6C5A" w:rsidRDefault="00EC195C">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7F25BD" w14:textId="77777777" w:rsidR="000E101B" w:rsidRDefault="000E101B">
      <w:r>
        <w:separator/>
      </w:r>
    </w:p>
  </w:footnote>
  <w:footnote w:type="continuationSeparator" w:id="0">
    <w:p w14:paraId="7F58307C" w14:textId="77777777" w:rsidR="000E101B" w:rsidRDefault="000E10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CD6633" w14:textId="587990BD" w:rsidR="00C66E58" w:rsidRDefault="00C66E58">
    <w:pPr>
      <w:pStyle w:val="Header"/>
    </w:pPr>
  </w:p>
  <w:p w14:paraId="7DCF93EB" w14:textId="7EA9F06D" w:rsidR="0049007F" w:rsidRDefault="004900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EAD19E88"/>
    <w:multiLevelType w:val="singleLevel"/>
    <w:tmpl w:val="EAD19E88"/>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2"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3"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4"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5"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6"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7"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8"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9"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0"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num w:numId="1" w16cid:durableId="927007022">
    <w:abstractNumId w:val="10"/>
  </w:num>
  <w:num w:numId="2" w16cid:durableId="1533572124">
    <w:abstractNumId w:val="8"/>
  </w:num>
  <w:num w:numId="3" w16cid:durableId="1945530674">
    <w:abstractNumId w:val="7"/>
  </w:num>
  <w:num w:numId="4" w16cid:durableId="976380188">
    <w:abstractNumId w:val="6"/>
  </w:num>
  <w:num w:numId="5" w16cid:durableId="208536661">
    <w:abstractNumId w:val="5"/>
  </w:num>
  <w:num w:numId="6" w16cid:durableId="1948923241">
    <w:abstractNumId w:val="9"/>
  </w:num>
  <w:num w:numId="7" w16cid:durableId="787745690">
    <w:abstractNumId w:val="4"/>
  </w:num>
  <w:num w:numId="8" w16cid:durableId="1767918617">
    <w:abstractNumId w:val="3"/>
  </w:num>
  <w:num w:numId="9" w16cid:durableId="697007448">
    <w:abstractNumId w:val="2"/>
  </w:num>
  <w:num w:numId="10" w16cid:durableId="38015120">
    <w:abstractNumId w:val="1"/>
  </w:num>
  <w:num w:numId="11" w16cid:durableId="1547982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78F60F7C"/>
    <w:rsid w:val="00050A31"/>
    <w:rsid w:val="000716D2"/>
    <w:rsid w:val="00071AAB"/>
    <w:rsid w:val="000B76C4"/>
    <w:rsid w:val="000C5610"/>
    <w:rsid w:val="000E101B"/>
    <w:rsid w:val="000E6552"/>
    <w:rsid w:val="000F3A4F"/>
    <w:rsid w:val="000F59AC"/>
    <w:rsid w:val="001364FE"/>
    <w:rsid w:val="001368DD"/>
    <w:rsid w:val="00147DB3"/>
    <w:rsid w:val="001518A5"/>
    <w:rsid w:val="00170095"/>
    <w:rsid w:val="00170E4F"/>
    <w:rsid w:val="00173E4F"/>
    <w:rsid w:val="001743F4"/>
    <w:rsid w:val="00187C33"/>
    <w:rsid w:val="001936B7"/>
    <w:rsid w:val="00196AB1"/>
    <w:rsid w:val="00201333"/>
    <w:rsid w:val="00210FA7"/>
    <w:rsid w:val="00216417"/>
    <w:rsid w:val="002609C9"/>
    <w:rsid w:val="0026631D"/>
    <w:rsid w:val="002C2F53"/>
    <w:rsid w:val="0033518C"/>
    <w:rsid w:val="003437C2"/>
    <w:rsid w:val="00377186"/>
    <w:rsid w:val="003A1C03"/>
    <w:rsid w:val="003D2C83"/>
    <w:rsid w:val="00414627"/>
    <w:rsid w:val="00425D63"/>
    <w:rsid w:val="004643D8"/>
    <w:rsid w:val="0049007F"/>
    <w:rsid w:val="00497C24"/>
    <w:rsid w:val="004A0764"/>
    <w:rsid w:val="004A0CDC"/>
    <w:rsid w:val="004C7BA5"/>
    <w:rsid w:val="004E7628"/>
    <w:rsid w:val="004F48F2"/>
    <w:rsid w:val="00512A48"/>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0B9C"/>
    <w:rsid w:val="0067245D"/>
    <w:rsid w:val="0068470E"/>
    <w:rsid w:val="00695DCD"/>
    <w:rsid w:val="006960E6"/>
    <w:rsid w:val="0069686C"/>
    <w:rsid w:val="006A05CC"/>
    <w:rsid w:val="006A35A7"/>
    <w:rsid w:val="007152D7"/>
    <w:rsid w:val="00746C14"/>
    <w:rsid w:val="007C2C59"/>
    <w:rsid w:val="00801F23"/>
    <w:rsid w:val="00837632"/>
    <w:rsid w:val="0085640F"/>
    <w:rsid w:val="008567AA"/>
    <w:rsid w:val="00867D36"/>
    <w:rsid w:val="00892712"/>
    <w:rsid w:val="008A680A"/>
    <w:rsid w:val="008B0BB0"/>
    <w:rsid w:val="008E062C"/>
    <w:rsid w:val="008E6C4B"/>
    <w:rsid w:val="008F18C0"/>
    <w:rsid w:val="00907648"/>
    <w:rsid w:val="00916FE0"/>
    <w:rsid w:val="00930FDE"/>
    <w:rsid w:val="0093564F"/>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AE7B4F"/>
    <w:rsid w:val="00B13A52"/>
    <w:rsid w:val="00B24CF4"/>
    <w:rsid w:val="00B26993"/>
    <w:rsid w:val="00B41706"/>
    <w:rsid w:val="00B4570C"/>
    <w:rsid w:val="00B5208C"/>
    <w:rsid w:val="00B643A2"/>
    <w:rsid w:val="00B74876"/>
    <w:rsid w:val="00BB7C2B"/>
    <w:rsid w:val="00BC1664"/>
    <w:rsid w:val="00BC2546"/>
    <w:rsid w:val="00C05085"/>
    <w:rsid w:val="00C1593D"/>
    <w:rsid w:val="00C56C7E"/>
    <w:rsid w:val="00C66E58"/>
    <w:rsid w:val="00C720CC"/>
    <w:rsid w:val="00C776A4"/>
    <w:rsid w:val="00CA2C6C"/>
    <w:rsid w:val="00CA58D4"/>
    <w:rsid w:val="00CC0600"/>
    <w:rsid w:val="00CC78AC"/>
    <w:rsid w:val="00CF7953"/>
    <w:rsid w:val="00D07232"/>
    <w:rsid w:val="00D10245"/>
    <w:rsid w:val="00D21BDD"/>
    <w:rsid w:val="00D65F07"/>
    <w:rsid w:val="00D92BB7"/>
    <w:rsid w:val="00DC76D2"/>
    <w:rsid w:val="00DD30ED"/>
    <w:rsid w:val="00E64C21"/>
    <w:rsid w:val="00E750F6"/>
    <w:rsid w:val="00EB6C5A"/>
    <w:rsid w:val="00EC195C"/>
    <w:rsid w:val="00EC24C6"/>
    <w:rsid w:val="00EF2933"/>
    <w:rsid w:val="00F05146"/>
    <w:rsid w:val="00F1115D"/>
    <w:rsid w:val="00F3513C"/>
    <w:rsid w:val="00F465C5"/>
    <w:rsid w:val="00F5180D"/>
    <w:rsid w:val="00F51B21"/>
    <w:rsid w:val="00F51D87"/>
    <w:rsid w:val="00F82B03"/>
    <w:rsid w:val="00F8455C"/>
    <w:rsid w:val="57B41AA5"/>
    <w:rsid w:val="59C75FAA"/>
    <w:rsid w:val="5F815F79"/>
    <w:rsid w:val="5FAE53E4"/>
    <w:rsid w:val="78F60F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FB1789"/>
  <w15:docId w15:val="{CA3AD31A-D461-D440-950C-ADB013B91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1" w:count="376">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annotation text" w:qFormat="0"/>
    <w:lsdException w:name="header" w:uiPriority="99"/>
    <w:lsdException w:name="caption" w:semiHidden="1" w:unhideWhenUsed="1"/>
    <w:lsdException w:name="envelope return" w:qFormat="0"/>
    <w:lsdException w:name="Closing" w:qFormat="0"/>
    <w:lsdException w:name="Default Paragraph Font" w:semiHidden="1"/>
    <w:lsdException w:name="Date" w:qFormat="0"/>
    <w:lsdException w:name="Document Map" w:qFormat="0"/>
    <w:lsdException w:name="HTML Top of Form" w:semiHidden="1" w:uiPriority="99" w:unhideWhenUsed="1" w:qFormat="0"/>
    <w:lsdException w:name="HTML Bottom of Form" w:semiHidden="1" w:uiPriority="99" w:unhideWhenUsed="1" w:qFormat="0"/>
    <w:lsdException w:name="Normal (Web)" w:uiPriority="99"/>
    <w:lsdException w:name="Normal Table" w:semiHidden="1" w:unhideWhenUsed="1" w:qFormat="0"/>
    <w:lsdException w:name="annotation subject" w:qFormat="0"/>
    <w:lsdException w:name="No List" w:semiHidden="1" w:uiPriority="99" w:unhideWhenUsed="1" w:qFormat="0"/>
    <w:lsdException w:name="Outline List 1" w:semiHidden="1" w:uiPriority="99" w:unhideWhenUsed="1" w:qFormat="0"/>
    <w:lsdException w:name="Outline List 2" w:semiHidden="1" w:uiPriority="99" w:unhideWhenUsed="1" w:qFormat="0"/>
    <w:lsdException w:name="Outline List 3" w:semiHidden="1" w:uiPriority="99" w:unhideWhenUsed="1" w:qFormat="0"/>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qFormat="0"/>
    <w:lsdException w:name="No Spacing" w:semiHidden="1" w:uiPriority="99" w:unhideWhenUsed="1" w:qFormat="0"/>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qFormat="0"/>
    <w:lsdException w:name="List Paragraph" w:semiHidden="1" w:uiPriority="99" w:unhideWhenUsed="1" w:qFormat="0"/>
    <w:lsdException w:name="Quote" w:semiHidden="1" w:uiPriority="99" w:unhideWhenUsed="1" w:qFormat="0"/>
    <w:lsdException w:name="Intense Quote" w:semiHidden="1" w:uiPriority="99" w:unhideWhenUsed="1" w:qFormat="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qFormat="0"/>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sdException w:name="Mention" w:semiHidden="1" w:uiPriority="99" w:unhideWhenUsed="1" w:qFormat="0"/>
    <w:lsdException w:name="Smart Hyperlink" w:semiHidden="1" w:uiPriority="99" w:unhideWhenUsed="1" w:qFormat="0"/>
    <w:lsdException w:name="Hashtag" w:semiHidden="1" w:uiPriority="99" w:unhideWhenUsed="1" w:qFormat="0"/>
    <w:lsdException w:name="Unresolved Mention" w:semiHidden="1" w:uiPriority="99" w:unhideWhenUsed="1" w:qFormat="0"/>
    <w:lsdException w:name="Smart Link" w:semiHidden="1" w:uiPriority="99" w:unhideWhenUsed="1" w:qFormat="0"/>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paragraph" w:styleId="Heading2">
    <w:name w:val="heading 2"/>
    <w:basedOn w:val="Normal"/>
    <w:next w:val="Normal"/>
    <w:semiHidden/>
    <w:unhideWhenUsed/>
    <w:qFormat/>
    <w:pPr>
      <w:keepNext/>
      <w:keepLines/>
      <w:spacing w:before="260" w:after="260" w:line="416" w:lineRule="auto"/>
      <w:outlineLvl w:val="1"/>
    </w:pPr>
    <w:rPr>
      <w:b/>
      <w:bCs/>
      <w:sz w:val="32"/>
      <w:szCs w:val="32"/>
    </w:rPr>
  </w:style>
  <w:style w:type="paragraph" w:styleId="Heading3">
    <w:name w:val="heading 3"/>
    <w:basedOn w:val="Normal"/>
    <w:next w:val="Normal"/>
    <w:semiHidden/>
    <w:unhideWhenUsed/>
    <w:qFormat/>
    <w:pPr>
      <w:keepNext/>
      <w:keepLines/>
      <w:spacing w:before="260" w:after="260" w:line="416" w:lineRule="auto"/>
      <w:outlineLvl w:val="2"/>
    </w:pPr>
    <w:rPr>
      <w:b/>
      <w:bCs/>
      <w:sz w:val="32"/>
      <w:szCs w:val="32"/>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qFormat/>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qForma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rPr>
  </w:style>
  <w:style w:type="paragraph" w:styleId="Closing">
    <w:name w:val="Closing"/>
    <w:basedOn w:val="Normal"/>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style>
  <w:style w:type="paragraph" w:styleId="CommentSubject">
    <w:name w:val="annotation subject"/>
    <w:basedOn w:val="CommentText"/>
    <w:next w:val="CommentText"/>
    <w:rPr>
      <w:b/>
      <w:bCs/>
    </w:rPr>
  </w:style>
  <w:style w:type="paragraph" w:styleId="Date">
    <w:name w:val="Date"/>
    <w:basedOn w:val="Normal"/>
    <w:next w:val="Normal"/>
    <w:pPr>
      <w:ind w:leftChars="2500" w:left="100"/>
    </w:pPr>
  </w:style>
  <w:style w:type="paragraph" w:styleId="DocumentMap">
    <w:name w:val="Document Map"/>
    <w:basedOn w:val="Normal"/>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sz w:val="24"/>
      <w:szCs w:val="24"/>
    </w:rPr>
  </w:style>
  <w:style w:type="paragraph" w:styleId="EnvelopeReturn">
    <w:name w:val="envelope return"/>
    <w:basedOn w:val="Normal"/>
    <w:pPr>
      <w:snapToGrid w:val="0"/>
    </w:pPr>
    <w:rPr>
      <w:rFonts w:ascii="Arial" w:hAnsi="Arial" w:cs="Arial"/>
    </w:rPr>
  </w:style>
  <w:style w:type="character" w:styleId="FollowedHyperlink">
    <w:name w:val="FollowedHyperlink"/>
    <w:basedOn w:val="DefaultParagraphFont"/>
    <w:qFormat/>
    <w:rPr>
      <w:color w:val="800080"/>
      <w:u w:val="single"/>
    </w:rPr>
  </w:style>
  <w:style w:type="paragraph" w:styleId="Footer">
    <w:name w:val="footer"/>
    <w:basedOn w:val="Normal"/>
    <w:qFormat/>
    <w:pPr>
      <w:tabs>
        <w:tab w:val="center" w:pos="4153"/>
        <w:tab w:val="right" w:pos="8306"/>
      </w:tabs>
      <w:snapToGrid w:val="0"/>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pPr>
    <w:rPr>
      <w:sz w:val="18"/>
      <w:szCs w:val="18"/>
    </w:rPr>
  </w:style>
  <w:style w:type="paragraph" w:styleId="Header">
    <w:name w:val="header"/>
    <w:basedOn w:val="Normal"/>
    <w:link w:val="HeaderChar"/>
    <w:uiPriority w:val="99"/>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qFormat/>
    <w:rPr>
      <w:i/>
      <w:iCs/>
    </w:rPr>
  </w:style>
  <w:style w:type="character" w:styleId="HTMLCite">
    <w:name w:val="HTML Cite"/>
    <w:basedOn w:val="DefaultParagraphFont"/>
    <w:qFormat/>
    <w:rPr>
      <w:i/>
      <w:iCs/>
    </w:rPr>
  </w:style>
  <w:style w:type="character" w:styleId="HTMLCode">
    <w:name w:val="HTML Code"/>
    <w:basedOn w:val="DefaultParagraphFont"/>
    <w:qForma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ascii="Arial" w:hAnsi="Arial"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 w:val="24"/>
      <w:szCs w:val="24"/>
    </w:rPr>
  </w:style>
  <w:style w:type="paragraph" w:styleId="NormalWeb">
    <w:name w:val="Normal (Web)"/>
    <w:uiPriority w:val="99"/>
    <w:qFormat/>
    <w:pPr>
      <w:spacing w:beforeAutospacing="1" w:afterAutospacing="1"/>
    </w:pPr>
    <w:rPr>
      <w:sz w:val="24"/>
      <w:szCs w:val="24"/>
      <w:lang w:val="en-US" w:eastAsia="zh-CN"/>
    </w:rPr>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qFormat/>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sz w:val="24"/>
      <w:szCs w:val="24"/>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qFormat/>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qFormat/>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qFormat/>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qFormat/>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qFormat/>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qFormat/>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qFormat/>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qFormat/>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qFormat/>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qFormat/>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qFormat/>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qFormat/>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qFormat/>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qFormat/>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qFormat/>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qFormat/>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qFormat/>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qFormat/>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qFormat/>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qFormat/>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qFormat/>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qFormat/>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qFormat/>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qFormat/>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qFormat/>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qFormat/>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qFormat/>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WPSOffice1">
    <w:name w:val="WPSOffice手动目录 1"/>
  </w:style>
  <w:style w:type="character" w:customStyle="1" w:styleId="HeaderChar">
    <w:name w:val="Header Char"/>
    <w:basedOn w:val="DefaultParagraphFont"/>
    <w:link w:val="Header"/>
    <w:uiPriority w:val="99"/>
    <w:rsid w:val="00CA58D4"/>
    <w:rPr>
      <w:rFonts w:asciiTheme="minorHAnsi" w:eastAsiaTheme="minorEastAsia" w:hAnsiTheme="minorHAnsi" w:cstheme="minorBidi"/>
      <w:sz w:val="18"/>
      <w:szCs w:val="18"/>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0667672">
      <w:bodyDiv w:val="1"/>
      <w:marLeft w:val="0"/>
      <w:marRight w:val="0"/>
      <w:marTop w:val="0"/>
      <w:marBottom w:val="0"/>
      <w:divBdr>
        <w:top w:val="none" w:sz="0" w:space="0" w:color="auto"/>
        <w:left w:val="none" w:sz="0" w:space="0" w:color="auto"/>
        <w:bottom w:val="none" w:sz="0" w:space="0" w:color="auto"/>
        <w:right w:val="none" w:sz="0" w:space="0" w:color="auto"/>
      </w:divBdr>
    </w:div>
    <w:div w:id="918906615">
      <w:bodyDiv w:val="1"/>
      <w:marLeft w:val="0"/>
      <w:marRight w:val="0"/>
      <w:marTop w:val="0"/>
      <w:marBottom w:val="0"/>
      <w:divBdr>
        <w:top w:val="none" w:sz="0" w:space="0" w:color="auto"/>
        <w:left w:val="none" w:sz="0" w:space="0" w:color="auto"/>
        <w:bottom w:val="none" w:sz="0" w:space="0" w:color="auto"/>
        <w:right w:val="none" w:sz="0" w:space="0" w:color="auto"/>
      </w:divBdr>
    </w:div>
    <w:div w:id="20189253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1023/a:1024569803230." TargetMode="External"/><Relationship Id="rId18" Type="http://schemas.openxmlformats.org/officeDocument/2006/relationships/hyperlink" Target="https://doi.org/10.1111/acel.12601." TargetMode="External"/><Relationship Id="rId26" Type="http://schemas.openxmlformats.org/officeDocument/2006/relationships/hyperlink" Target="https://www.scie.org.uk" TargetMode="External"/><Relationship Id="rId3" Type="http://schemas.openxmlformats.org/officeDocument/2006/relationships/customXml" Target="../customXml/item3.xml"/><Relationship Id="rId21" Type="http://schemas.openxmlformats.org/officeDocument/2006/relationships/hyperlink" Target="https://www.england.nhs.uk/long-term-plan/"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doi.org/10.1002/1097-4679(198903)45:2%3C270::aid-jclp2270450215%3E3.0.co;2-9." TargetMode="External"/><Relationship Id="rId17" Type="http://schemas.openxmlformats.org/officeDocument/2006/relationships/hyperlink" Target="https://doi.org/10.1093/geronj/11.3.298." TargetMode="External"/><Relationship Id="rId25" Type="http://schemas.openxmlformats.org/officeDocument/2006/relationships/hyperlink" Target="https://doi.org/10.1007/s11920-021-01274-4."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igital-strategy.ec.europa.eu/en/policies/eip-aha" TargetMode="External"/><Relationship Id="rId20" Type="http://schemas.openxmlformats.org/officeDocument/2006/relationships/hyperlink" Target="https://doi.org/10.1093/bib/bbx044." TargetMode="External"/><Relationship Id="rId29" Type="http://schemas.openxmlformats.org/officeDocument/2006/relationships/hyperlink" Target="https://www.un.org/en/global-issues/popul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killsforcare.org.uk/Support-for-leaders-and-managers/Managing-a-service/Digital-technology-and-social-care/Using-technology-in-social-care.aspx" TargetMode="External"/><Relationship Id="rId24" Type="http://schemas.openxmlformats.org/officeDocument/2006/relationships/hyperlink" Target="https://doi.org/10.1080/03601270490466985."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aami.org/" TargetMode="External"/><Relationship Id="rId23" Type="http://schemas.openxmlformats.org/officeDocument/2006/relationships/hyperlink" Target="https://doi.org/10.1126/science.3299702." TargetMode="External"/><Relationship Id="rId28" Type="http://schemas.openxmlformats.org/officeDocument/2006/relationships/hyperlink" Target="https://doi.org/10.1007/978-3-319-69892-2_748-1." TargetMode="External"/><Relationship Id="rId10" Type="http://schemas.openxmlformats.org/officeDocument/2006/relationships/endnotes" Target="endnotes.xml"/><Relationship Id="rId19" Type="http://schemas.openxmlformats.org/officeDocument/2006/relationships/hyperlink" Target="https://doi.org/10.1016/j.arr.2022.101808."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7/s0144686x00004025." TargetMode="External"/><Relationship Id="rId22" Type="http://schemas.openxmlformats.org/officeDocument/2006/relationships/hyperlink" Target="https://doi.org/10.7759/cureus.42905" TargetMode="External"/><Relationship Id="rId27" Type="http://schemas.openxmlformats.org/officeDocument/2006/relationships/hyperlink" Target="https://www.nuffieldtrust.org.uk/resource/integrated-care-explained" TargetMode="External"/><Relationship Id="rId30" Type="http://schemas.openxmlformats.org/officeDocument/2006/relationships/hyperlink" Target="https://en.wikipedia.org/wiki/Aging_and_society" TargetMode="External"/><Relationship Id="rId8"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8618c0413acaec2e4b4e807cfe51260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f04987a7dc23a46361b78773a959f68e"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8034F6A-681E-49E4-9B08-A478F17B80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8826D5-C8B6-4FA2-A494-AEF3D509E8D3}">
  <ds:schemaRefs>
    <ds:schemaRef ds:uri="http://schemas.microsoft.com/sharepoint/v3/contenttype/forms"/>
  </ds:schemaRefs>
</ds:datastoreItem>
</file>

<file path=customXml/itemProps4.xml><?xml version="1.0" encoding="utf-8"?>
<ds:datastoreItem xmlns:ds="http://schemas.openxmlformats.org/officeDocument/2006/customXml" ds:itemID="{0C0F7D4A-0262-4203-9196-9D27C31CF74F}">
  <ds:schemaRefs>
    <ds:schemaRef ds:uri="http://schemas.microsoft.com/office/2006/metadata/properties"/>
    <ds:schemaRef ds:uri="http://schemas.microsoft.com/office/infopath/2007/PartnerControls"/>
    <ds:schemaRef ds:uri="f9cd839b-d2f7-4d79-867e-33235b171cd7"/>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12</Pages>
  <Words>4154</Words>
  <Characters>23680</Characters>
  <Application>Microsoft Office Word</Application>
  <DocSecurity>0</DocSecurity>
  <Lines>197</Lines>
  <Paragraphs>55</Paragraphs>
  <ScaleCrop>false</ScaleCrop>
  <Company/>
  <LinksUpToDate>false</LinksUpToDate>
  <CharactersWithSpaces>27779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Olatunde Oyindamola</dc:creator>
  <cp:lastModifiedBy>Omodunni Adeoba</cp:lastModifiedBy>
  <cp:revision>20</cp:revision>
  <dcterms:created xsi:type="dcterms:W3CDTF">2024-07-21T00:36:00Z</dcterms:created>
  <dcterms:modified xsi:type="dcterms:W3CDTF">2024-07-21T03:23:00Z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1033-12.2.0.17119</vt:lpwstr>
  </property>
  <property fmtid="{D5CDD505-2E9C-101B-9397-08002B2CF9AE}" pid="3" name="ICV">
    <vt:lpwstr>E8BFC02DF49A435988B96D3676A1A957_11</vt:lpwstr>
  </property>
  <property fmtid="{D5CDD505-2E9C-101B-9397-08002B2CF9AE}" pid="4" name="ContentTypeId">
    <vt:lpwstr>0x010100461C22621E0FA84ABA9F7D80395C5CDF</vt:lpwstr>
  </property>
</Properties>
</file>