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805C00" w14:textId="77777777" w:rsidR="00A73526" w:rsidRPr="008224AA" w:rsidRDefault="00000000">
      <w:pPr>
        <w:spacing w:after="60"/>
        <w:rPr>
          <w:rFonts w:ascii="Arial" w:hAnsi="Arial" w:cs="Arial"/>
          <w:sz w:val="22"/>
          <w:szCs w:val="22"/>
        </w:rPr>
      </w:pPr>
      <w:r w:rsidRPr="008224AA">
        <w:rPr>
          <w:rFonts w:ascii="Arial" w:hAnsi="Arial" w:cs="Arial"/>
          <w:sz w:val="22"/>
          <w:szCs w:val="22"/>
        </w:rPr>
        <w:t>Assignment title: Adult Development and Wellbeing in Health and Social Care</w:t>
      </w:r>
    </w:p>
    <w:p w14:paraId="5B563C2C" w14:textId="77777777" w:rsidR="00A73526" w:rsidRPr="008224AA" w:rsidRDefault="00000000">
      <w:pPr>
        <w:spacing w:after="60"/>
        <w:rPr>
          <w:rFonts w:ascii="Arial" w:hAnsi="Arial" w:cs="Arial"/>
          <w:sz w:val="22"/>
          <w:szCs w:val="22"/>
        </w:rPr>
      </w:pPr>
      <w:r w:rsidRPr="008224AA">
        <w:rPr>
          <w:rFonts w:ascii="Arial" w:hAnsi="Arial" w:cs="Arial"/>
          <w:sz w:val="22"/>
          <w:szCs w:val="22"/>
        </w:rPr>
        <w:t>Module code and title: LCHS4010</w:t>
      </w:r>
    </w:p>
    <w:p w14:paraId="164F4B77" w14:textId="77777777" w:rsidR="00A73526" w:rsidRPr="008224AA" w:rsidRDefault="00000000">
      <w:pPr>
        <w:spacing w:after="60"/>
        <w:rPr>
          <w:rFonts w:ascii="Arial" w:hAnsi="Arial" w:cs="Arial"/>
          <w:sz w:val="22"/>
          <w:szCs w:val="22"/>
        </w:rPr>
      </w:pPr>
      <w:r w:rsidRPr="008224AA">
        <w:rPr>
          <w:rFonts w:ascii="Arial" w:hAnsi="Arial" w:cs="Arial"/>
          <w:sz w:val="22"/>
          <w:szCs w:val="22"/>
        </w:rPr>
        <w:t>Student name: Sabah Tahir</w:t>
      </w:r>
    </w:p>
    <w:p w14:paraId="7B0EC1C9" w14:textId="77777777" w:rsidR="00A73526" w:rsidRPr="008224AA" w:rsidRDefault="00000000">
      <w:pPr>
        <w:spacing w:after="60"/>
        <w:rPr>
          <w:rFonts w:ascii="Arial" w:hAnsi="Arial" w:cs="Arial"/>
          <w:sz w:val="22"/>
          <w:szCs w:val="22"/>
        </w:rPr>
      </w:pPr>
      <w:r w:rsidRPr="008224AA">
        <w:rPr>
          <w:rFonts w:ascii="Arial" w:hAnsi="Arial" w:cs="Arial"/>
          <w:sz w:val="22"/>
          <w:szCs w:val="22"/>
        </w:rPr>
        <w:t>Student number: 2432276</w:t>
      </w:r>
    </w:p>
    <w:p w14:paraId="002D26A6" w14:textId="77777777" w:rsidR="00A73526" w:rsidRPr="008224AA" w:rsidRDefault="00000000">
      <w:pPr>
        <w:spacing w:after="400"/>
        <w:rPr>
          <w:rFonts w:ascii="Arial" w:hAnsi="Arial" w:cs="Arial"/>
          <w:sz w:val="22"/>
          <w:szCs w:val="22"/>
        </w:rPr>
      </w:pPr>
      <w:r w:rsidRPr="008224AA">
        <w:rPr>
          <w:rFonts w:ascii="Arial" w:hAnsi="Arial" w:cs="Arial"/>
          <w:sz w:val="22"/>
          <w:szCs w:val="22"/>
        </w:rPr>
        <w:t>Lecturer's name: Alice Clayton</w:t>
      </w:r>
    </w:p>
    <w:p w14:paraId="5F304DB3" w14:textId="77777777" w:rsidR="00A73526" w:rsidRPr="008224AA" w:rsidRDefault="00000000">
      <w:pPr>
        <w:pStyle w:val="Heading1"/>
        <w:rPr>
          <w:rFonts w:ascii="Arial" w:hAnsi="Arial" w:cs="Arial"/>
          <w:b w:val="0"/>
          <w:bCs w:val="0"/>
          <w:sz w:val="22"/>
          <w:szCs w:val="22"/>
        </w:rPr>
      </w:pPr>
      <w:r w:rsidRPr="008224AA">
        <w:rPr>
          <w:rFonts w:ascii="Arial" w:hAnsi="Arial" w:cs="Arial"/>
          <w:b w:val="0"/>
          <w:bCs w:val="0"/>
          <w:sz w:val="22"/>
          <w:szCs w:val="22"/>
        </w:rPr>
        <w:t>Part A – Annotated Bibliography</w:t>
      </w:r>
    </w:p>
    <w:p w14:paraId="5B21A9FD" w14:textId="77777777" w:rsidR="00A73526" w:rsidRPr="008224AA" w:rsidRDefault="00000000">
      <w:pPr>
        <w:pStyle w:val="Heading2"/>
        <w:rPr>
          <w:rFonts w:ascii="Arial" w:hAnsi="Arial" w:cs="Arial"/>
          <w:b w:val="0"/>
          <w:bCs w:val="0"/>
          <w:sz w:val="22"/>
          <w:szCs w:val="22"/>
        </w:rPr>
      </w:pPr>
      <w:r w:rsidRPr="008224AA">
        <w:rPr>
          <w:rFonts w:ascii="Arial" w:hAnsi="Arial" w:cs="Arial"/>
          <w:b w:val="0"/>
          <w:bCs w:val="0"/>
          <w:sz w:val="22"/>
          <w:szCs w:val="22"/>
        </w:rPr>
        <w:t>Erikson and later life</w:t>
      </w:r>
    </w:p>
    <w:p w14:paraId="35832E98" w14:textId="77777777" w:rsidR="00A73526" w:rsidRPr="008224AA" w:rsidRDefault="00000000">
      <w:pPr>
        <w:spacing w:after="160"/>
        <w:jc w:val="both"/>
        <w:rPr>
          <w:rFonts w:ascii="Arial" w:hAnsi="Arial" w:cs="Arial"/>
          <w:sz w:val="22"/>
          <w:szCs w:val="22"/>
        </w:rPr>
      </w:pPr>
      <w:r w:rsidRPr="008224AA">
        <w:rPr>
          <w:rFonts w:ascii="Arial" w:hAnsi="Arial" w:cs="Arial"/>
          <w:sz w:val="22"/>
          <w:szCs w:val="22"/>
        </w:rPr>
        <w:t>Erikson's (1982) theory looks at development across the whole of a person's life, not just childhood. In older age, the key stage is ego integrity versus despair. At this point, people tend to reflect on their lives and decide whether they feel good about what they have done or whether they have regrets. Those who feel mostly satisfied are more likely to have a sense of peace as they get older, while those with many regrets may struggle emotionally.</w:t>
      </w:r>
    </w:p>
    <w:p w14:paraId="049F5557" w14:textId="77777777" w:rsidR="00A73526" w:rsidRPr="008224AA" w:rsidRDefault="00000000">
      <w:pPr>
        <w:spacing w:after="160"/>
        <w:jc w:val="both"/>
        <w:rPr>
          <w:rFonts w:ascii="Arial" w:hAnsi="Arial" w:cs="Arial"/>
          <w:sz w:val="22"/>
          <w:szCs w:val="22"/>
        </w:rPr>
      </w:pPr>
      <w:r w:rsidRPr="008224AA">
        <w:rPr>
          <w:rFonts w:ascii="Arial" w:hAnsi="Arial" w:cs="Arial"/>
          <w:sz w:val="22"/>
          <w:szCs w:val="22"/>
        </w:rPr>
        <w:t>I found this theory useful when thinking about older adults in care settings. It made me realise that emotional wellbeing in later life is about more than just staying physically healthy. Care workers can support residents by listening to their life stories, using reminiscence activities, or simply taking time to ask about their past. These small things can make residents feel that their life has had meaning, which matters a great deal to their mental health and sense of self.</w:t>
      </w:r>
    </w:p>
    <w:p w14:paraId="6F998F18" w14:textId="77777777" w:rsidR="00A73526" w:rsidRPr="008224AA" w:rsidRDefault="00000000">
      <w:pPr>
        <w:spacing w:after="280"/>
        <w:rPr>
          <w:rFonts w:ascii="Arial" w:hAnsi="Arial" w:cs="Arial"/>
          <w:sz w:val="22"/>
          <w:szCs w:val="22"/>
        </w:rPr>
      </w:pPr>
      <w:r w:rsidRPr="008224AA">
        <w:rPr>
          <w:rFonts w:ascii="Arial" w:hAnsi="Arial" w:cs="Arial"/>
          <w:sz w:val="22"/>
          <w:szCs w:val="22"/>
        </w:rPr>
        <w:t xml:space="preserve">Reference: Erikson, E.H. (1982) </w:t>
      </w:r>
      <w:r w:rsidRPr="008224AA">
        <w:rPr>
          <w:rFonts w:ascii="Arial" w:hAnsi="Arial" w:cs="Arial"/>
          <w:i/>
          <w:iCs/>
          <w:sz w:val="22"/>
          <w:szCs w:val="22"/>
        </w:rPr>
        <w:t>The life cycle completed.</w:t>
      </w:r>
      <w:r w:rsidRPr="008224AA">
        <w:rPr>
          <w:rFonts w:ascii="Arial" w:hAnsi="Arial" w:cs="Arial"/>
          <w:sz w:val="22"/>
          <w:szCs w:val="22"/>
        </w:rPr>
        <w:t xml:space="preserve"> New York: Norton.</w:t>
      </w:r>
    </w:p>
    <w:p w14:paraId="7113772A" w14:textId="77777777" w:rsidR="00A73526" w:rsidRPr="008224AA" w:rsidRDefault="00000000">
      <w:pPr>
        <w:pStyle w:val="Heading2"/>
        <w:rPr>
          <w:rFonts w:ascii="Arial" w:hAnsi="Arial" w:cs="Arial"/>
          <w:b w:val="0"/>
          <w:bCs w:val="0"/>
          <w:sz w:val="22"/>
          <w:szCs w:val="22"/>
        </w:rPr>
      </w:pPr>
      <w:r w:rsidRPr="008224AA">
        <w:rPr>
          <w:rFonts w:ascii="Arial" w:hAnsi="Arial" w:cs="Arial"/>
          <w:b w:val="0"/>
          <w:bCs w:val="0"/>
          <w:sz w:val="22"/>
          <w:szCs w:val="22"/>
        </w:rPr>
        <w:t>Healthy ageing and engagement</w:t>
      </w:r>
    </w:p>
    <w:p w14:paraId="12CF7262" w14:textId="77777777" w:rsidR="00A73526" w:rsidRPr="008224AA" w:rsidRDefault="00000000">
      <w:pPr>
        <w:spacing w:after="160"/>
        <w:jc w:val="both"/>
        <w:rPr>
          <w:rFonts w:ascii="Arial" w:hAnsi="Arial" w:cs="Arial"/>
          <w:sz w:val="22"/>
          <w:szCs w:val="22"/>
        </w:rPr>
      </w:pPr>
      <w:r w:rsidRPr="008224AA">
        <w:rPr>
          <w:rFonts w:ascii="Arial" w:hAnsi="Arial" w:cs="Arial"/>
          <w:sz w:val="22"/>
          <w:szCs w:val="22"/>
        </w:rPr>
        <w:t>Peel, McClure and Bartlett (2005) carried out research into what helps people age well. Their findings suggest that staying socially connected, keeping the mind active, and holding onto some independence all play an important role in wellbeing during later life. Older adults who remain involved in everyday activities tend to have better outcomes than those who withdraw from daily life.</w:t>
      </w:r>
    </w:p>
    <w:p w14:paraId="3B63D146" w14:textId="77777777" w:rsidR="00A73526" w:rsidRPr="008224AA" w:rsidRDefault="00000000">
      <w:pPr>
        <w:spacing w:after="160"/>
        <w:jc w:val="both"/>
        <w:rPr>
          <w:rFonts w:ascii="Arial" w:hAnsi="Arial" w:cs="Arial"/>
          <w:sz w:val="22"/>
          <w:szCs w:val="22"/>
        </w:rPr>
      </w:pPr>
      <w:r w:rsidRPr="008224AA">
        <w:rPr>
          <w:rFonts w:ascii="Arial" w:hAnsi="Arial" w:cs="Arial"/>
          <w:sz w:val="22"/>
          <w:szCs w:val="22"/>
        </w:rPr>
        <w:t>This study is relevant to care work because it shows that wellbeing is not purely about physical health. It supports the view that care staff should think about what residents can still do and enjoy, not just what they cannot. For example, planning activities, encouraging social interaction, and helping residents stay part of daily routines can all make a difference to how someone feels. It challenged me to think about ageing more broadly.</w:t>
      </w:r>
    </w:p>
    <w:p w14:paraId="7F6042B1" w14:textId="77777777" w:rsidR="00A73526" w:rsidRPr="008224AA" w:rsidRDefault="00000000">
      <w:pPr>
        <w:spacing w:after="280"/>
        <w:rPr>
          <w:rFonts w:ascii="Arial" w:hAnsi="Arial" w:cs="Arial"/>
          <w:sz w:val="22"/>
          <w:szCs w:val="22"/>
        </w:rPr>
      </w:pPr>
      <w:r w:rsidRPr="008224AA">
        <w:rPr>
          <w:rFonts w:ascii="Arial" w:hAnsi="Arial" w:cs="Arial"/>
          <w:sz w:val="22"/>
          <w:szCs w:val="22"/>
        </w:rPr>
        <w:t xml:space="preserve">Reference: Peel, N.M., McClure, R.J. and Bartlett, H.P. (2005) 'Behavioural determinants of healthy aging', </w:t>
      </w:r>
      <w:r w:rsidRPr="008224AA">
        <w:rPr>
          <w:rFonts w:ascii="Arial" w:hAnsi="Arial" w:cs="Arial"/>
          <w:i/>
          <w:iCs/>
          <w:sz w:val="22"/>
          <w:szCs w:val="22"/>
        </w:rPr>
        <w:t>American Journal of Preventive Medicine,</w:t>
      </w:r>
      <w:r w:rsidRPr="008224AA">
        <w:rPr>
          <w:rFonts w:ascii="Arial" w:hAnsi="Arial" w:cs="Arial"/>
          <w:sz w:val="22"/>
          <w:szCs w:val="22"/>
        </w:rPr>
        <w:t xml:space="preserve"> 28(3), pp. 298–304.</w:t>
      </w:r>
    </w:p>
    <w:p w14:paraId="2AEB7F75" w14:textId="77777777" w:rsidR="00A73526" w:rsidRPr="008224AA" w:rsidRDefault="00000000">
      <w:pPr>
        <w:pStyle w:val="Heading2"/>
        <w:rPr>
          <w:rFonts w:ascii="Arial" w:hAnsi="Arial" w:cs="Arial"/>
          <w:b w:val="0"/>
          <w:bCs w:val="0"/>
          <w:sz w:val="22"/>
          <w:szCs w:val="22"/>
        </w:rPr>
      </w:pPr>
      <w:r w:rsidRPr="008224AA">
        <w:rPr>
          <w:rFonts w:ascii="Arial" w:hAnsi="Arial" w:cs="Arial"/>
          <w:b w:val="0"/>
          <w:bCs w:val="0"/>
          <w:sz w:val="22"/>
          <w:szCs w:val="22"/>
        </w:rPr>
        <w:t>Activity Theory (Havighurst, 1961)</w:t>
      </w:r>
    </w:p>
    <w:p w14:paraId="2785686C" w14:textId="77777777" w:rsidR="00A73526" w:rsidRPr="008224AA" w:rsidRDefault="00000000">
      <w:pPr>
        <w:spacing w:after="160"/>
        <w:jc w:val="both"/>
        <w:rPr>
          <w:rFonts w:ascii="Arial" w:hAnsi="Arial" w:cs="Arial"/>
          <w:sz w:val="22"/>
          <w:szCs w:val="22"/>
        </w:rPr>
      </w:pPr>
      <w:r w:rsidRPr="008224AA">
        <w:rPr>
          <w:rFonts w:ascii="Arial" w:hAnsi="Arial" w:cs="Arial"/>
          <w:sz w:val="22"/>
          <w:szCs w:val="22"/>
        </w:rPr>
        <w:t>Havighurst's (1961) Activity Theory argues that older adults tend to be happier and more content when they stay active. The theory suggests that when people lose important roles in life, such as finishing work or their children leaving home, they should try to replace those roles with other activities that give them a similar sense of purpose. Doing this helps them keep a positive sense of who they are.</w:t>
      </w:r>
    </w:p>
    <w:p w14:paraId="4403C48F" w14:textId="77777777" w:rsidR="00A73526" w:rsidRPr="008224AA" w:rsidRDefault="00000000">
      <w:pPr>
        <w:spacing w:after="160"/>
        <w:jc w:val="both"/>
        <w:rPr>
          <w:rFonts w:ascii="Arial" w:hAnsi="Arial" w:cs="Arial"/>
          <w:sz w:val="22"/>
          <w:szCs w:val="22"/>
        </w:rPr>
      </w:pPr>
      <w:r w:rsidRPr="008224AA">
        <w:rPr>
          <w:rFonts w:ascii="Arial" w:hAnsi="Arial" w:cs="Arial"/>
          <w:sz w:val="22"/>
          <w:szCs w:val="22"/>
        </w:rPr>
        <w:t>I think this theory is very helpful for anyone working in residential care. It gives staff a clear reason to keep residents involved in meaningful tasks and activities rather than letting them become bored or isolated. Even simple things, like joining a group activity or helping with something in the home, can give someone a sense of being useful. The theory also reminded</w:t>
      </w:r>
      <w:r>
        <w:t xml:space="preserve"> </w:t>
      </w:r>
      <w:r w:rsidRPr="008224AA">
        <w:rPr>
          <w:rFonts w:ascii="Arial" w:hAnsi="Arial" w:cs="Arial"/>
          <w:sz w:val="22"/>
          <w:szCs w:val="22"/>
        </w:rPr>
        <w:t>me that older people still have a lot to offer and should not be treated as though they have nothing left to contribute.</w:t>
      </w:r>
    </w:p>
    <w:p w14:paraId="5F988D2C" w14:textId="77777777" w:rsidR="00A73526" w:rsidRPr="008224AA" w:rsidRDefault="00000000">
      <w:pPr>
        <w:spacing w:after="280"/>
        <w:rPr>
          <w:rFonts w:ascii="Arial" w:hAnsi="Arial" w:cs="Arial"/>
          <w:sz w:val="22"/>
          <w:szCs w:val="22"/>
        </w:rPr>
      </w:pPr>
      <w:r w:rsidRPr="008224AA">
        <w:rPr>
          <w:rFonts w:ascii="Arial" w:hAnsi="Arial" w:cs="Arial"/>
          <w:sz w:val="22"/>
          <w:szCs w:val="22"/>
        </w:rPr>
        <w:t xml:space="preserve">Reference: Havighurst, R.J. (1961) 'Successful aging', </w:t>
      </w:r>
      <w:r w:rsidRPr="008224AA">
        <w:rPr>
          <w:rFonts w:ascii="Arial" w:hAnsi="Arial" w:cs="Arial"/>
          <w:i/>
          <w:iCs/>
          <w:sz w:val="22"/>
          <w:szCs w:val="22"/>
        </w:rPr>
        <w:t>The Gerontologist,</w:t>
      </w:r>
      <w:r w:rsidRPr="008224AA">
        <w:rPr>
          <w:rFonts w:ascii="Arial" w:hAnsi="Arial" w:cs="Arial"/>
          <w:sz w:val="22"/>
          <w:szCs w:val="22"/>
        </w:rPr>
        <w:t xml:space="preserve"> 1(1), pp. 8–13.</w:t>
      </w:r>
    </w:p>
    <w:p w14:paraId="7A6CA80C" w14:textId="77777777" w:rsidR="00A73526" w:rsidRPr="008224AA" w:rsidRDefault="00000000">
      <w:pPr>
        <w:pStyle w:val="Heading2"/>
        <w:rPr>
          <w:rFonts w:ascii="Arial" w:hAnsi="Arial" w:cs="Arial"/>
          <w:b w:val="0"/>
          <w:bCs w:val="0"/>
          <w:sz w:val="22"/>
          <w:szCs w:val="22"/>
        </w:rPr>
      </w:pPr>
      <w:r w:rsidRPr="008224AA">
        <w:rPr>
          <w:rFonts w:ascii="Arial" w:hAnsi="Arial" w:cs="Arial"/>
          <w:b w:val="0"/>
          <w:bCs w:val="0"/>
          <w:sz w:val="22"/>
          <w:szCs w:val="22"/>
        </w:rPr>
        <w:lastRenderedPageBreak/>
        <w:t>Social and leisure activity</w:t>
      </w:r>
    </w:p>
    <w:p w14:paraId="3577D71C" w14:textId="77777777" w:rsidR="00A73526" w:rsidRPr="008224AA" w:rsidRDefault="00000000">
      <w:pPr>
        <w:spacing w:after="160"/>
        <w:jc w:val="both"/>
        <w:rPr>
          <w:rFonts w:ascii="Arial" w:hAnsi="Arial" w:cs="Arial"/>
          <w:sz w:val="22"/>
          <w:szCs w:val="22"/>
        </w:rPr>
      </w:pPr>
      <w:r w:rsidRPr="008224AA">
        <w:rPr>
          <w:rFonts w:ascii="Arial" w:hAnsi="Arial" w:cs="Arial"/>
          <w:sz w:val="22"/>
          <w:szCs w:val="22"/>
        </w:rPr>
        <w:t>Adams, Leibbrandt and Moon (2011) reviewed a range of studies looking at how social and leisure activities affect wellbeing in older adults. They found strong evidence that people who regularly take part in enjoyable activities feel less lonely and report a better quality of life. Importantly, they also found that activities are most effective when they are matched to a person's own interests rather than being the same for everyone.</w:t>
      </w:r>
    </w:p>
    <w:p w14:paraId="518425A9" w14:textId="77777777" w:rsidR="00A73526" w:rsidRPr="008224AA" w:rsidRDefault="00000000">
      <w:pPr>
        <w:spacing w:after="160"/>
        <w:jc w:val="both"/>
        <w:rPr>
          <w:rFonts w:ascii="Arial" w:hAnsi="Arial" w:cs="Arial"/>
          <w:sz w:val="22"/>
          <w:szCs w:val="22"/>
        </w:rPr>
      </w:pPr>
      <w:r w:rsidRPr="008224AA">
        <w:rPr>
          <w:rFonts w:ascii="Arial" w:hAnsi="Arial" w:cs="Arial"/>
          <w:sz w:val="22"/>
          <w:szCs w:val="22"/>
        </w:rPr>
        <w:t>This connects well to Havighurst's Activity Theory because it supports the idea that staying active is genuinely good for people in later life. What I found particularly useful was the point about personalisation. It made me think about how care staff need to get to know residents as individuals rather than assuming everyone wants to do the same thing. Choosing the right activity for the right person is more likely to make a real difference to their wellbeing.</w:t>
      </w:r>
    </w:p>
    <w:p w14:paraId="55A5B217" w14:textId="77777777" w:rsidR="00A73526" w:rsidRPr="008224AA" w:rsidRDefault="00000000">
      <w:pPr>
        <w:spacing w:after="400"/>
        <w:rPr>
          <w:rFonts w:ascii="Arial" w:hAnsi="Arial" w:cs="Arial"/>
          <w:sz w:val="22"/>
          <w:szCs w:val="22"/>
        </w:rPr>
      </w:pPr>
      <w:r w:rsidRPr="008224AA">
        <w:rPr>
          <w:rFonts w:ascii="Arial" w:hAnsi="Arial" w:cs="Arial"/>
          <w:sz w:val="22"/>
          <w:szCs w:val="22"/>
        </w:rPr>
        <w:t xml:space="preserve">Reference: Adams, K.B., Leibbrandt, S. and Moon, H. (2011) 'A critical review of the literature on social and leisure activity and wellbeing in later life', </w:t>
      </w:r>
      <w:r w:rsidRPr="008224AA">
        <w:rPr>
          <w:rFonts w:ascii="Arial" w:hAnsi="Arial" w:cs="Arial"/>
          <w:i/>
          <w:iCs/>
          <w:sz w:val="22"/>
          <w:szCs w:val="22"/>
        </w:rPr>
        <w:t>Ageing &amp; Society,</w:t>
      </w:r>
      <w:r w:rsidRPr="008224AA">
        <w:rPr>
          <w:rFonts w:ascii="Arial" w:hAnsi="Arial" w:cs="Arial"/>
          <w:sz w:val="22"/>
          <w:szCs w:val="22"/>
        </w:rPr>
        <w:t xml:space="preserve"> 31(4), pp. 683–712.</w:t>
      </w:r>
    </w:p>
    <w:p w14:paraId="50ADF332" w14:textId="77777777" w:rsidR="00A73526" w:rsidRPr="008224AA" w:rsidRDefault="00000000">
      <w:pPr>
        <w:pStyle w:val="Heading1"/>
        <w:rPr>
          <w:rFonts w:ascii="Arial" w:hAnsi="Arial" w:cs="Arial"/>
          <w:b w:val="0"/>
          <w:bCs w:val="0"/>
          <w:sz w:val="22"/>
          <w:szCs w:val="22"/>
        </w:rPr>
      </w:pPr>
      <w:r w:rsidRPr="008224AA">
        <w:rPr>
          <w:rFonts w:ascii="Arial" w:hAnsi="Arial" w:cs="Arial"/>
          <w:b w:val="0"/>
          <w:bCs w:val="0"/>
          <w:sz w:val="22"/>
          <w:szCs w:val="22"/>
        </w:rPr>
        <w:t>Part B – Applying Activity Theory in a Care Home</w:t>
      </w:r>
    </w:p>
    <w:p w14:paraId="3C57B302" w14:textId="77777777" w:rsidR="00A73526" w:rsidRPr="008224AA" w:rsidRDefault="00000000">
      <w:pPr>
        <w:pStyle w:val="Heading2"/>
        <w:rPr>
          <w:rFonts w:ascii="Arial" w:hAnsi="Arial" w:cs="Arial"/>
          <w:b w:val="0"/>
          <w:bCs w:val="0"/>
          <w:sz w:val="22"/>
          <w:szCs w:val="22"/>
        </w:rPr>
      </w:pPr>
      <w:r w:rsidRPr="008224AA">
        <w:rPr>
          <w:rFonts w:ascii="Arial" w:hAnsi="Arial" w:cs="Arial"/>
          <w:b w:val="0"/>
          <w:bCs w:val="0"/>
          <w:sz w:val="22"/>
          <w:szCs w:val="22"/>
        </w:rPr>
        <w:t>Introduction</w:t>
      </w:r>
    </w:p>
    <w:p w14:paraId="0B7B3882" w14:textId="77777777" w:rsidR="00A73526" w:rsidRPr="008224AA" w:rsidRDefault="00000000">
      <w:pPr>
        <w:spacing w:after="160"/>
        <w:jc w:val="both"/>
        <w:rPr>
          <w:rFonts w:ascii="Arial" w:hAnsi="Arial" w:cs="Arial"/>
          <w:sz w:val="22"/>
          <w:szCs w:val="22"/>
        </w:rPr>
      </w:pPr>
      <w:r w:rsidRPr="008224AA">
        <w:rPr>
          <w:rFonts w:ascii="Arial" w:hAnsi="Arial" w:cs="Arial"/>
          <w:sz w:val="22"/>
          <w:szCs w:val="22"/>
        </w:rPr>
        <w:t>Havighurst's Activity Theory (1961) offers a useful way of thinking about how to support older adults in residential care. The central idea is that people tend to feel better about themselves and their lives when they remain active and involved in meaningful things. This essay will look at how Activity Theory can be applied in a care home to support the psychological wellbeing of residents, using a practical example and considering some of the challenges that can arise.</w:t>
      </w:r>
    </w:p>
    <w:p w14:paraId="11339278" w14:textId="77777777" w:rsidR="00A73526" w:rsidRPr="008224AA" w:rsidRDefault="00000000">
      <w:pPr>
        <w:pStyle w:val="Heading2"/>
        <w:rPr>
          <w:rFonts w:ascii="Arial" w:hAnsi="Arial" w:cs="Arial"/>
          <w:b w:val="0"/>
          <w:bCs w:val="0"/>
          <w:sz w:val="22"/>
          <w:szCs w:val="22"/>
        </w:rPr>
      </w:pPr>
      <w:r w:rsidRPr="008224AA">
        <w:rPr>
          <w:rFonts w:ascii="Arial" w:hAnsi="Arial" w:cs="Arial"/>
          <w:b w:val="0"/>
          <w:bCs w:val="0"/>
          <w:sz w:val="22"/>
          <w:szCs w:val="22"/>
        </w:rPr>
        <w:t>Applying the theory in practice</w:t>
      </w:r>
    </w:p>
    <w:p w14:paraId="0286C4C3" w14:textId="77777777" w:rsidR="00A73526" w:rsidRPr="008224AA" w:rsidRDefault="00000000">
      <w:pPr>
        <w:spacing w:after="160"/>
        <w:jc w:val="both"/>
        <w:rPr>
          <w:rFonts w:ascii="Arial" w:hAnsi="Arial" w:cs="Arial"/>
          <w:sz w:val="22"/>
          <w:szCs w:val="22"/>
        </w:rPr>
      </w:pPr>
      <w:r w:rsidRPr="008224AA">
        <w:rPr>
          <w:rFonts w:ascii="Arial" w:hAnsi="Arial" w:cs="Arial"/>
          <w:sz w:val="22"/>
          <w:szCs w:val="22"/>
        </w:rPr>
        <w:t>In a care home setting, Activity Theory suggests that staff should do more than just meet residents' physical needs. According to Havighurst (1961), when older adults lose key roles in life, such as working, parenting, or being independent at home, this can affect how they see themselves. To protect their sense of identity and self-worth, it helps to replace those roles with other activities that feel meaningful to them.</w:t>
      </w:r>
    </w:p>
    <w:p w14:paraId="0737250A" w14:textId="4A48C45E" w:rsidR="00A73526" w:rsidRPr="008224AA" w:rsidRDefault="00000000">
      <w:pPr>
        <w:spacing w:after="160"/>
        <w:jc w:val="both"/>
        <w:rPr>
          <w:rFonts w:ascii="Arial" w:hAnsi="Arial" w:cs="Arial"/>
          <w:sz w:val="22"/>
          <w:szCs w:val="22"/>
        </w:rPr>
      </w:pPr>
      <w:r w:rsidRPr="008224AA">
        <w:rPr>
          <w:rFonts w:ascii="Arial" w:hAnsi="Arial" w:cs="Arial"/>
          <w:sz w:val="22"/>
          <w:szCs w:val="22"/>
        </w:rPr>
        <w:t xml:space="preserve">In practice, this could mean encouraging residents to take part in hobbies they have always enjoyed, join group activities, or help with small tasks around the home. Some residents might enjoy baking, gardening, or crafts. Others might prefer quieter activities like reading, listening to music, or looking through old photographs. The important thing is that the activity feels purposeful to that </w:t>
      </w:r>
      <w:r w:rsidR="008224AA" w:rsidRPr="008224AA">
        <w:rPr>
          <w:rFonts w:ascii="Arial" w:hAnsi="Arial" w:cs="Arial"/>
          <w:sz w:val="22"/>
          <w:szCs w:val="22"/>
        </w:rPr>
        <w:t>person</w:t>
      </w:r>
      <w:r w:rsidRPr="008224AA">
        <w:rPr>
          <w:rFonts w:ascii="Arial" w:hAnsi="Arial" w:cs="Arial"/>
          <w:sz w:val="22"/>
          <w:szCs w:val="22"/>
        </w:rPr>
        <w:t>. Adams, Leibbrandt and Moon (2011) support this view, as their review found that activities are most beneficial when they are tailored to an individual's interests rather than being the same for everyone.</w:t>
      </w:r>
    </w:p>
    <w:p w14:paraId="6994ACF3" w14:textId="77777777" w:rsidR="00A73526" w:rsidRPr="008224AA" w:rsidRDefault="00000000">
      <w:pPr>
        <w:spacing w:after="160"/>
        <w:jc w:val="both"/>
        <w:rPr>
          <w:rFonts w:ascii="Arial" w:hAnsi="Arial" w:cs="Arial"/>
          <w:sz w:val="22"/>
          <w:szCs w:val="22"/>
        </w:rPr>
      </w:pPr>
      <w:r w:rsidRPr="008224AA">
        <w:rPr>
          <w:rFonts w:ascii="Arial" w:hAnsi="Arial" w:cs="Arial"/>
          <w:sz w:val="22"/>
          <w:szCs w:val="22"/>
        </w:rPr>
        <w:t>Activity Theory also draws attention to the fact that older adults still want to feel useful. Even small contributions, like helping to set the table, folding laundry, or welcoming a new resident, can give someone a sense of purpose. This kind of involvement can reduce boredom and loneliness, which are problems that many residents in care homes face (Peel, McClure and Bartlett, 2005).</w:t>
      </w:r>
    </w:p>
    <w:p w14:paraId="07BBDF95" w14:textId="77777777" w:rsidR="00A73526" w:rsidRPr="008224AA" w:rsidRDefault="00000000">
      <w:pPr>
        <w:pStyle w:val="Heading2"/>
        <w:rPr>
          <w:rFonts w:ascii="Arial" w:hAnsi="Arial" w:cs="Arial"/>
          <w:b w:val="0"/>
          <w:bCs w:val="0"/>
          <w:sz w:val="22"/>
          <w:szCs w:val="22"/>
        </w:rPr>
      </w:pPr>
      <w:r w:rsidRPr="008224AA">
        <w:rPr>
          <w:rFonts w:ascii="Arial" w:hAnsi="Arial" w:cs="Arial"/>
          <w:b w:val="0"/>
          <w:bCs w:val="0"/>
          <w:sz w:val="22"/>
          <w:szCs w:val="22"/>
        </w:rPr>
        <w:t>Example in practice</w:t>
      </w:r>
    </w:p>
    <w:p w14:paraId="4D7CFE3E" w14:textId="77777777" w:rsidR="00A73526" w:rsidRPr="008224AA" w:rsidRDefault="00000000">
      <w:pPr>
        <w:spacing w:after="160"/>
        <w:jc w:val="both"/>
        <w:rPr>
          <w:rFonts w:ascii="Arial" w:hAnsi="Arial" w:cs="Arial"/>
          <w:sz w:val="22"/>
          <w:szCs w:val="22"/>
        </w:rPr>
      </w:pPr>
      <w:r w:rsidRPr="008224AA">
        <w:rPr>
          <w:rFonts w:ascii="Arial" w:hAnsi="Arial" w:cs="Arial"/>
          <w:sz w:val="22"/>
          <w:szCs w:val="22"/>
        </w:rPr>
        <w:t>To illustrate this, consider a resident called Mrs Ahmed, who used to enjoy painting before moving into a care home. Since moving in, she has mostly stayed in her room and seems withdrawn. A care worker who notices this could invite her to join a small art group that meets weekly. The worker could also make sure she has access to paints and paper so she can create on her own when she feels like it.</w:t>
      </w:r>
    </w:p>
    <w:p w14:paraId="4F326352" w14:textId="77777777" w:rsidR="00A73526" w:rsidRPr="008224AA" w:rsidRDefault="00000000">
      <w:pPr>
        <w:spacing w:after="160"/>
        <w:jc w:val="both"/>
        <w:rPr>
          <w:rFonts w:ascii="Arial" w:hAnsi="Arial" w:cs="Arial"/>
          <w:sz w:val="22"/>
          <w:szCs w:val="22"/>
        </w:rPr>
      </w:pPr>
      <w:r w:rsidRPr="008224AA">
        <w:rPr>
          <w:rFonts w:ascii="Arial" w:hAnsi="Arial" w:cs="Arial"/>
          <w:sz w:val="22"/>
          <w:szCs w:val="22"/>
        </w:rPr>
        <w:lastRenderedPageBreak/>
        <w:t>Over time, this kind of support could help Mrs Ahmed reconnect with something she has always loved. She might begin to feel more like herself again, spend time with others, and have something to look forward to each week. It might take a while to see results, and she may not always feel like joining in, but having the option available matters. This example shows how staff can use a resident's past interests as a starting point for supporting their wellbeing, rather than expecting them to fit into a fixed programme of activities.</w:t>
      </w:r>
    </w:p>
    <w:p w14:paraId="5B190F9D" w14:textId="77777777" w:rsidR="00A73526" w:rsidRPr="008224AA" w:rsidRDefault="00000000">
      <w:pPr>
        <w:pStyle w:val="Heading2"/>
        <w:rPr>
          <w:rFonts w:ascii="Arial" w:hAnsi="Arial" w:cs="Arial"/>
          <w:b w:val="0"/>
          <w:bCs w:val="0"/>
          <w:sz w:val="22"/>
          <w:szCs w:val="22"/>
        </w:rPr>
      </w:pPr>
      <w:r w:rsidRPr="008224AA">
        <w:rPr>
          <w:rFonts w:ascii="Arial" w:hAnsi="Arial" w:cs="Arial"/>
          <w:b w:val="0"/>
          <w:bCs w:val="0"/>
          <w:sz w:val="22"/>
          <w:szCs w:val="22"/>
        </w:rPr>
        <w:t>Challenges</w:t>
      </w:r>
    </w:p>
    <w:p w14:paraId="6B78D72B" w14:textId="77777777" w:rsidR="00A73526" w:rsidRPr="008224AA" w:rsidRDefault="00000000">
      <w:pPr>
        <w:spacing w:after="160"/>
        <w:jc w:val="both"/>
        <w:rPr>
          <w:rFonts w:ascii="Arial" w:hAnsi="Arial" w:cs="Arial"/>
          <w:sz w:val="22"/>
          <w:szCs w:val="22"/>
        </w:rPr>
      </w:pPr>
      <w:r w:rsidRPr="008224AA">
        <w:rPr>
          <w:rFonts w:ascii="Arial" w:hAnsi="Arial" w:cs="Arial"/>
          <w:sz w:val="22"/>
          <w:szCs w:val="22"/>
        </w:rPr>
        <w:t>One difficulty with applying Activity Theory in a care home is that not every resident will be able or willing to take part in activities. Some people may be living with dementia, chronic pain, or low mood, all of which can make it harder to engage. If staff push people into activities they do not want to do, or assume that everyone benefits from the same approach, this can feel disrespectful and may even cause more distress.</w:t>
      </w:r>
    </w:p>
    <w:p w14:paraId="15E3845C" w14:textId="77777777" w:rsidR="00A73526" w:rsidRPr="008224AA" w:rsidRDefault="00000000">
      <w:pPr>
        <w:spacing w:after="160"/>
        <w:jc w:val="both"/>
        <w:rPr>
          <w:rFonts w:ascii="Arial" w:hAnsi="Arial" w:cs="Arial"/>
          <w:sz w:val="22"/>
          <w:szCs w:val="22"/>
        </w:rPr>
      </w:pPr>
      <w:r w:rsidRPr="008224AA">
        <w:rPr>
          <w:rFonts w:ascii="Arial" w:hAnsi="Arial" w:cs="Arial"/>
          <w:sz w:val="22"/>
          <w:szCs w:val="22"/>
        </w:rPr>
        <w:t>A more person-centred approach would be to start by talking to residents and, where possible, their families, to find out what they enjoy and what feels manageable. For some residents, one-to-one time with a care worker, a short walk, or simply listening to familiar music might be more suitable than a group session. Erikson's (1982) theory is also worth bearing in mind here, as it reminds us that what matters most to residents emotionally may be about feeling that their life has had value, not necessarily about doing lots of activities. These two theories can work alongside each other to give staff a fuller picture of how to support older adults.</w:t>
      </w:r>
    </w:p>
    <w:p w14:paraId="54597B16" w14:textId="77777777" w:rsidR="00A73526" w:rsidRPr="008224AA" w:rsidRDefault="00000000">
      <w:pPr>
        <w:pStyle w:val="Heading2"/>
        <w:rPr>
          <w:rFonts w:ascii="Arial" w:hAnsi="Arial" w:cs="Arial"/>
          <w:b w:val="0"/>
          <w:bCs w:val="0"/>
          <w:sz w:val="22"/>
          <w:szCs w:val="22"/>
        </w:rPr>
      </w:pPr>
      <w:r w:rsidRPr="008224AA">
        <w:rPr>
          <w:rFonts w:ascii="Arial" w:hAnsi="Arial" w:cs="Arial"/>
          <w:b w:val="0"/>
          <w:bCs w:val="0"/>
          <w:sz w:val="22"/>
          <w:szCs w:val="22"/>
        </w:rPr>
        <w:t>Conclusion</w:t>
      </w:r>
    </w:p>
    <w:p w14:paraId="07D3E7A4" w14:textId="3968884F" w:rsidR="00A73526" w:rsidRPr="008224AA" w:rsidRDefault="00000000">
      <w:pPr>
        <w:spacing w:after="400"/>
        <w:jc w:val="both"/>
        <w:rPr>
          <w:rFonts w:ascii="Arial" w:hAnsi="Arial" w:cs="Arial"/>
          <w:sz w:val="22"/>
          <w:szCs w:val="22"/>
        </w:rPr>
      </w:pPr>
      <w:r w:rsidRPr="008224AA">
        <w:rPr>
          <w:rFonts w:ascii="Arial" w:hAnsi="Arial" w:cs="Arial"/>
          <w:sz w:val="22"/>
          <w:szCs w:val="22"/>
        </w:rPr>
        <w:t xml:space="preserve">Activity Theory gives care workers a practical and straightforward way to think about older adults' wellbeing. By supporting residents to stay involved in activities that feel meaningful to them, staff can help reduce loneliness, support a sense of identity, and improve overall quality of life. However, it works best when it is applied in a flexible and person-centred way, with attention paid to what each resident </w:t>
      </w:r>
      <w:r w:rsidR="008224AA" w:rsidRPr="008224AA">
        <w:rPr>
          <w:rFonts w:ascii="Arial" w:hAnsi="Arial" w:cs="Arial"/>
          <w:sz w:val="22"/>
          <w:szCs w:val="22"/>
        </w:rPr>
        <w:t>wants</w:t>
      </w:r>
      <w:r w:rsidRPr="008224AA">
        <w:rPr>
          <w:rFonts w:ascii="Arial" w:hAnsi="Arial" w:cs="Arial"/>
          <w:sz w:val="22"/>
          <w:szCs w:val="22"/>
        </w:rPr>
        <w:t xml:space="preserve"> and needs rather than a fixed routine for everyone.</w:t>
      </w:r>
    </w:p>
    <w:p w14:paraId="676A4096" w14:textId="4B9F3A38" w:rsidR="00A73526" w:rsidRPr="008224AA" w:rsidRDefault="00000000">
      <w:pPr>
        <w:pStyle w:val="Heading1"/>
        <w:rPr>
          <w:rFonts w:ascii="Arial" w:hAnsi="Arial" w:cs="Arial"/>
          <w:b w:val="0"/>
          <w:bCs w:val="0"/>
          <w:sz w:val="22"/>
          <w:szCs w:val="22"/>
        </w:rPr>
      </w:pPr>
      <w:r w:rsidRPr="008224AA">
        <w:rPr>
          <w:rFonts w:ascii="Arial" w:hAnsi="Arial" w:cs="Arial"/>
          <w:b w:val="0"/>
          <w:bCs w:val="0"/>
          <w:sz w:val="22"/>
          <w:szCs w:val="22"/>
        </w:rPr>
        <w:t>Reference</w:t>
      </w:r>
      <w:r w:rsidR="008224AA">
        <w:rPr>
          <w:rFonts w:ascii="Arial" w:hAnsi="Arial" w:cs="Arial"/>
          <w:b w:val="0"/>
          <w:bCs w:val="0"/>
          <w:sz w:val="22"/>
          <w:szCs w:val="22"/>
        </w:rPr>
        <w:t xml:space="preserve">- </w:t>
      </w:r>
    </w:p>
    <w:p w14:paraId="723CBBAA" w14:textId="77777777" w:rsidR="00A73526" w:rsidRPr="008224AA" w:rsidRDefault="00000000">
      <w:pPr>
        <w:spacing w:after="160"/>
        <w:ind w:left="720" w:hanging="720"/>
        <w:rPr>
          <w:rFonts w:ascii="Arial" w:hAnsi="Arial" w:cs="Arial"/>
          <w:sz w:val="22"/>
          <w:szCs w:val="22"/>
        </w:rPr>
      </w:pPr>
      <w:r w:rsidRPr="008224AA">
        <w:rPr>
          <w:rFonts w:ascii="Arial" w:hAnsi="Arial" w:cs="Arial"/>
          <w:sz w:val="22"/>
          <w:szCs w:val="22"/>
        </w:rPr>
        <w:t xml:space="preserve">Adams, K.B., Leibbrandt, S. and Moon, H. (2011) 'A critical review of the literature on social and leisure activity and wellbeing in later life', </w:t>
      </w:r>
      <w:r w:rsidRPr="008224AA">
        <w:rPr>
          <w:rFonts w:ascii="Arial" w:hAnsi="Arial" w:cs="Arial"/>
          <w:i/>
          <w:iCs/>
          <w:sz w:val="22"/>
          <w:szCs w:val="22"/>
        </w:rPr>
        <w:t>Ageing &amp; Society,</w:t>
      </w:r>
      <w:r w:rsidRPr="008224AA">
        <w:rPr>
          <w:rFonts w:ascii="Arial" w:hAnsi="Arial" w:cs="Arial"/>
          <w:sz w:val="22"/>
          <w:szCs w:val="22"/>
        </w:rPr>
        <w:t xml:space="preserve"> 31(4), pp. 683–712.</w:t>
      </w:r>
    </w:p>
    <w:p w14:paraId="1EF86EA8" w14:textId="77777777" w:rsidR="00A73526" w:rsidRPr="008224AA" w:rsidRDefault="00000000">
      <w:pPr>
        <w:spacing w:after="160"/>
        <w:ind w:left="720" w:hanging="720"/>
        <w:rPr>
          <w:rFonts w:ascii="Arial" w:hAnsi="Arial" w:cs="Arial"/>
          <w:sz w:val="22"/>
          <w:szCs w:val="22"/>
        </w:rPr>
      </w:pPr>
      <w:r w:rsidRPr="008224AA">
        <w:rPr>
          <w:rFonts w:ascii="Arial" w:hAnsi="Arial" w:cs="Arial"/>
          <w:sz w:val="22"/>
          <w:szCs w:val="22"/>
        </w:rPr>
        <w:t xml:space="preserve">Erikson, E.H. (1982) </w:t>
      </w:r>
      <w:r w:rsidRPr="008224AA">
        <w:rPr>
          <w:rFonts w:ascii="Arial" w:hAnsi="Arial" w:cs="Arial"/>
          <w:i/>
          <w:iCs/>
          <w:sz w:val="22"/>
          <w:szCs w:val="22"/>
        </w:rPr>
        <w:t>The life cycle completed.</w:t>
      </w:r>
      <w:r w:rsidRPr="008224AA">
        <w:rPr>
          <w:rFonts w:ascii="Arial" w:hAnsi="Arial" w:cs="Arial"/>
          <w:sz w:val="22"/>
          <w:szCs w:val="22"/>
        </w:rPr>
        <w:t xml:space="preserve"> New York: Norton.</w:t>
      </w:r>
    </w:p>
    <w:p w14:paraId="3BB9ED49" w14:textId="77777777" w:rsidR="00A73526" w:rsidRPr="008224AA" w:rsidRDefault="00000000">
      <w:pPr>
        <w:spacing w:after="160"/>
        <w:ind w:left="720" w:hanging="720"/>
        <w:rPr>
          <w:rFonts w:ascii="Arial" w:hAnsi="Arial" w:cs="Arial"/>
          <w:sz w:val="22"/>
          <w:szCs w:val="22"/>
        </w:rPr>
      </w:pPr>
      <w:r w:rsidRPr="008224AA">
        <w:rPr>
          <w:rFonts w:ascii="Arial" w:hAnsi="Arial" w:cs="Arial"/>
          <w:sz w:val="22"/>
          <w:szCs w:val="22"/>
        </w:rPr>
        <w:t xml:space="preserve">Havighurst, R.J. (1961) 'Successful aging', </w:t>
      </w:r>
      <w:r w:rsidRPr="008224AA">
        <w:rPr>
          <w:rFonts w:ascii="Arial" w:hAnsi="Arial" w:cs="Arial"/>
          <w:i/>
          <w:iCs/>
          <w:sz w:val="22"/>
          <w:szCs w:val="22"/>
        </w:rPr>
        <w:t>The Gerontologist,</w:t>
      </w:r>
      <w:r w:rsidRPr="008224AA">
        <w:rPr>
          <w:rFonts w:ascii="Arial" w:hAnsi="Arial" w:cs="Arial"/>
          <w:sz w:val="22"/>
          <w:szCs w:val="22"/>
        </w:rPr>
        <w:t xml:space="preserve"> 1(1), pp. 8–13.</w:t>
      </w:r>
    </w:p>
    <w:p w14:paraId="66D0E395" w14:textId="77777777" w:rsidR="00A73526" w:rsidRPr="008224AA" w:rsidRDefault="00000000">
      <w:pPr>
        <w:spacing w:after="160"/>
        <w:ind w:left="720" w:hanging="720"/>
        <w:rPr>
          <w:rFonts w:ascii="Arial" w:hAnsi="Arial" w:cs="Arial"/>
          <w:sz w:val="22"/>
          <w:szCs w:val="22"/>
        </w:rPr>
      </w:pPr>
      <w:r w:rsidRPr="008224AA">
        <w:rPr>
          <w:rFonts w:ascii="Arial" w:hAnsi="Arial" w:cs="Arial"/>
          <w:sz w:val="22"/>
          <w:szCs w:val="22"/>
        </w:rPr>
        <w:t xml:space="preserve">Peel, N.M., McClure, R.J. and Bartlett, H.P. (2005) 'Behavioural determinants of healthy aging', </w:t>
      </w:r>
      <w:r w:rsidRPr="008224AA">
        <w:rPr>
          <w:rFonts w:ascii="Arial" w:hAnsi="Arial" w:cs="Arial"/>
          <w:i/>
          <w:iCs/>
          <w:sz w:val="22"/>
          <w:szCs w:val="22"/>
        </w:rPr>
        <w:t>American Journal of Preventive Medicine,</w:t>
      </w:r>
      <w:r w:rsidRPr="008224AA">
        <w:rPr>
          <w:rFonts w:ascii="Arial" w:hAnsi="Arial" w:cs="Arial"/>
          <w:sz w:val="22"/>
          <w:szCs w:val="22"/>
        </w:rPr>
        <w:t xml:space="preserve"> 28(3), pp. 298–304.</w:t>
      </w:r>
    </w:p>
    <w:sectPr w:rsidR="00A73526" w:rsidRPr="008224AA">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F81BDE"/>
    <w:multiLevelType w:val="hybridMultilevel"/>
    <w:tmpl w:val="367C7B92"/>
    <w:lvl w:ilvl="0" w:tplc="0F26608C">
      <w:start w:val="1"/>
      <w:numFmt w:val="bullet"/>
      <w:lvlText w:val="●"/>
      <w:lvlJc w:val="left"/>
      <w:pPr>
        <w:ind w:left="720" w:hanging="360"/>
      </w:pPr>
    </w:lvl>
    <w:lvl w:ilvl="1" w:tplc="457C29D6">
      <w:start w:val="1"/>
      <w:numFmt w:val="bullet"/>
      <w:lvlText w:val="○"/>
      <w:lvlJc w:val="left"/>
      <w:pPr>
        <w:ind w:left="1440" w:hanging="360"/>
      </w:pPr>
    </w:lvl>
    <w:lvl w:ilvl="2" w:tplc="49829020">
      <w:start w:val="1"/>
      <w:numFmt w:val="bullet"/>
      <w:lvlText w:val="■"/>
      <w:lvlJc w:val="left"/>
      <w:pPr>
        <w:ind w:left="2160" w:hanging="360"/>
      </w:pPr>
    </w:lvl>
    <w:lvl w:ilvl="3" w:tplc="A1945220">
      <w:start w:val="1"/>
      <w:numFmt w:val="bullet"/>
      <w:lvlText w:val="●"/>
      <w:lvlJc w:val="left"/>
      <w:pPr>
        <w:ind w:left="2880" w:hanging="360"/>
      </w:pPr>
    </w:lvl>
    <w:lvl w:ilvl="4" w:tplc="F54AE18E">
      <w:start w:val="1"/>
      <w:numFmt w:val="bullet"/>
      <w:lvlText w:val="○"/>
      <w:lvlJc w:val="left"/>
      <w:pPr>
        <w:ind w:left="3600" w:hanging="360"/>
      </w:pPr>
    </w:lvl>
    <w:lvl w:ilvl="5" w:tplc="B7328E22">
      <w:start w:val="1"/>
      <w:numFmt w:val="bullet"/>
      <w:lvlText w:val="■"/>
      <w:lvlJc w:val="left"/>
      <w:pPr>
        <w:ind w:left="4320" w:hanging="360"/>
      </w:pPr>
    </w:lvl>
    <w:lvl w:ilvl="6" w:tplc="5AB8C326">
      <w:start w:val="1"/>
      <w:numFmt w:val="bullet"/>
      <w:lvlText w:val="●"/>
      <w:lvlJc w:val="left"/>
      <w:pPr>
        <w:ind w:left="5040" w:hanging="360"/>
      </w:pPr>
    </w:lvl>
    <w:lvl w:ilvl="7" w:tplc="1E889584">
      <w:start w:val="1"/>
      <w:numFmt w:val="bullet"/>
      <w:lvlText w:val="●"/>
      <w:lvlJc w:val="left"/>
      <w:pPr>
        <w:ind w:left="5760" w:hanging="360"/>
      </w:pPr>
    </w:lvl>
    <w:lvl w:ilvl="8" w:tplc="6CEC2656">
      <w:start w:val="1"/>
      <w:numFmt w:val="bullet"/>
      <w:lvlText w:val="●"/>
      <w:lvlJc w:val="left"/>
      <w:pPr>
        <w:ind w:left="6480" w:hanging="360"/>
      </w:pPr>
    </w:lvl>
  </w:abstractNum>
  <w:num w:numId="1" w16cid:durableId="188895587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3526"/>
    <w:rsid w:val="008224AA"/>
    <w:rsid w:val="00A2456B"/>
    <w:rsid w:val="00A73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A76EA"/>
  <w15:docId w15:val="{97845F65-7F78-4806-983F-33BDB5E15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outlineLvl w:val="0"/>
    </w:pPr>
    <w:rPr>
      <w:b/>
      <w:bCs/>
      <w:color w:val="000000"/>
      <w:sz w:val="28"/>
      <w:szCs w:val="28"/>
    </w:rPr>
  </w:style>
  <w:style w:type="paragraph" w:styleId="Heading2">
    <w:name w:val="heading 2"/>
    <w:uiPriority w:val="9"/>
    <w:unhideWhenUsed/>
    <w:qFormat/>
    <w:pPr>
      <w:spacing w:before="200" w:after="100"/>
      <w:outlineLvl w:val="1"/>
    </w:pPr>
    <w:rPr>
      <w:b/>
      <w:bCs/>
      <w:color w:val="000000"/>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1413</Words>
  <Characters>8058</Characters>
  <Application>Microsoft Office Word</Application>
  <DocSecurity>0</DocSecurity>
  <Lines>67</Lines>
  <Paragraphs>18</Paragraphs>
  <ScaleCrop>false</ScaleCrop>
  <Company/>
  <LinksUpToDate>false</LinksUpToDate>
  <CharactersWithSpaces>9453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Sabah Tahir</cp:lastModifiedBy>
  <cp:revision>2</cp:revision>
  <dcterms:created xsi:type="dcterms:W3CDTF">2026-03-23T14:23:00Z</dcterms:created>
  <dcterms:modified xsi:type="dcterms:W3CDTF">2026-03-23T14:23:00Z</dcterms:modified>
</cp:coreProperties>
</file>