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AF7E9" w14:textId="06004D4F" w:rsidR="00DE2AA8" w:rsidRPr="007F4884" w:rsidRDefault="009E1136" w:rsidP="00DE2AA8">
      <w:pPr>
        <w:spacing w:after="0" w:line="360" w:lineRule="auto"/>
        <w:rPr>
          <w:rFonts w:ascii="Arial" w:eastAsia="Times New Roman" w:hAnsi="Arial" w:cs="Arial"/>
          <w:b/>
          <w:bCs/>
          <w:sz w:val="24"/>
          <w:szCs w:val="24"/>
          <w:u w:val="single"/>
          <w:lang w:eastAsia="en-GB"/>
        </w:rPr>
      </w:pPr>
      <w:r w:rsidRPr="007F4884">
        <w:rPr>
          <w:rFonts w:ascii="Arial" w:eastAsia="Times New Roman" w:hAnsi="Arial" w:cs="Arial"/>
          <w:b/>
          <w:bCs/>
          <w:sz w:val="24"/>
          <w:szCs w:val="24"/>
          <w:u w:val="single"/>
          <w:lang w:eastAsia="en-GB"/>
        </w:rPr>
        <w:t xml:space="preserve">Assignment 2: </w:t>
      </w:r>
      <w:r w:rsidR="00E50F98" w:rsidRPr="007F4884">
        <w:rPr>
          <w:rFonts w:ascii="Arial" w:eastAsia="Times New Roman" w:hAnsi="Arial" w:cs="Arial"/>
          <w:b/>
          <w:bCs/>
          <w:sz w:val="24"/>
          <w:szCs w:val="24"/>
          <w:u w:val="single"/>
          <w:lang w:eastAsia="en-GB"/>
        </w:rPr>
        <w:t xml:space="preserve">Construct a database or dataset of selected archaeological materials/records, provide metadata statements in line with current Archaeology Data Service guidance, and a commentary explaining </w:t>
      </w:r>
      <w:r w:rsidR="00F95A5A" w:rsidRPr="007F4884">
        <w:rPr>
          <w:rFonts w:ascii="Arial" w:eastAsia="Times New Roman" w:hAnsi="Arial" w:cs="Arial"/>
          <w:b/>
          <w:bCs/>
          <w:sz w:val="24"/>
          <w:szCs w:val="24"/>
          <w:u w:val="single"/>
          <w:lang w:eastAsia="en-GB"/>
        </w:rPr>
        <w:t xml:space="preserve">and justifying its structure and the categorisation/classification of the </w:t>
      </w:r>
      <w:proofErr w:type="gramStart"/>
      <w:r w:rsidR="00F95A5A" w:rsidRPr="007F4884">
        <w:rPr>
          <w:rFonts w:ascii="Arial" w:eastAsia="Times New Roman" w:hAnsi="Arial" w:cs="Arial"/>
          <w:b/>
          <w:bCs/>
          <w:sz w:val="24"/>
          <w:szCs w:val="24"/>
          <w:u w:val="single"/>
          <w:lang w:eastAsia="en-GB"/>
        </w:rPr>
        <w:t>data</w:t>
      </w:r>
      <w:proofErr w:type="gramEnd"/>
    </w:p>
    <w:p w14:paraId="181ED138" w14:textId="77777777" w:rsidR="00E50F98" w:rsidRPr="009E1136" w:rsidRDefault="00E50F98" w:rsidP="00DE2AA8">
      <w:pPr>
        <w:spacing w:after="0" w:line="360" w:lineRule="auto"/>
        <w:rPr>
          <w:rFonts w:ascii="Times New Roman" w:eastAsia="Times New Roman" w:hAnsi="Times New Roman" w:cs="Times New Roman"/>
          <w:sz w:val="24"/>
          <w:szCs w:val="24"/>
          <w:lang w:eastAsia="en-GB"/>
        </w:rPr>
      </w:pPr>
    </w:p>
    <w:p w14:paraId="346663FC" w14:textId="141963CA" w:rsidR="003F7A78" w:rsidRPr="007F4884" w:rsidRDefault="003F7A78" w:rsidP="007F4884">
      <w:pPr>
        <w:spacing w:after="0" w:line="360" w:lineRule="auto"/>
        <w:rPr>
          <w:rFonts w:ascii="Arial" w:eastAsia="Times New Roman" w:hAnsi="Arial" w:cs="Arial"/>
          <w:sz w:val="24"/>
          <w:szCs w:val="24"/>
          <w:lang w:eastAsia="en-GB"/>
        </w:rPr>
      </w:pPr>
      <w:r w:rsidRPr="007F4884">
        <w:rPr>
          <w:rFonts w:ascii="Arial" w:eastAsia="Times New Roman" w:hAnsi="Arial" w:cs="Arial"/>
          <w:sz w:val="24"/>
          <w:szCs w:val="24"/>
          <w:lang w:eastAsia="en-GB"/>
        </w:rPr>
        <w:t>Analysing, interpreting, and contextualising the results of stable isotope analysis is inherently reliant on access to reliable</w:t>
      </w:r>
      <w:r w:rsidR="00543D97" w:rsidRPr="007F4884">
        <w:rPr>
          <w:rFonts w:ascii="Arial" w:eastAsia="Times New Roman" w:hAnsi="Arial" w:cs="Arial"/>
          <w:sz w:val="24"/>
          <w:szCs w:val="24"/>
          <w:lang w:eastAsia="en-GB"/>
        </w:rPr>
        <w:t xml:space="preserve"> and </w:t>
      </w:r>
      <w:r w:rsidRPr="007F4884">
        <w:rPr>
          <w:rFonts w:ascii="Arial" w:eastAsia="Times New Roman" w:hAnsi="Arial" w:cs="Arial"/>
          <w:sz w:val="24"/>
          <w:szCs w:val="24"/>
          <w:lang w:eastAsia="en-GB"/>
        </w:rPr>
        <w:t>accurate</w:t>
      </w:r>
      <w:r w:rsidR="00543D97" w:rsidRPr="007F4884">
        <w:rPr>
          <w:rFonts w:ascii="Arial" w:eastAsia="Times New Roman" w:hAnsi="Arial" w:cs="Arial"/>
          <w:sz w:val="24"/>
          <w:szCs w:val="24"/>
          <w:lang w:eastAsia="en-GB"/>
        </w:rPr>
        <w:t xml:space="preserve"> </w:t>
      </w:r>
      <w:r w:rsidRPr="007F4884">
        <w:rPr>
          <w:rFonts w:ascii="Arial" w:eastAsia="Times New Roman" w:hAnsi="Arial" w:cs="Arial"/>
          <w:sz w:val="24"/>
          <w:szCs w:val="24"/>
          <w:lang w:eastAsia="en-GB"/>
        </w:rPr>
        <w:t xml:space="preserve">comparative data (Klein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2022). Open access resources such as the Biosphere Isotope Domains GB dataset (BGS 2023</w:t>
      </w:r>
      <w:r w:rsidR="000A3DE1" w:rsidRPr="007F4884">
        <w:rPr>
          <w:rFonts w:ascii="Arial" w:eastAsia="Times New Roman" w:hAnsi="Arial" w:cs="Arial"/>
          <w:sz w:val="24"/>
          <w:szCs w:val="24"/>
          <w:lang w:eastAsia="en-GB"/>
        </w:rPr>
        <w:t>a</w:t>
      </w:r>
      <w:r w:rsidRPr="007F4884">
        <w:rPr>
          <w:rFonts w:ascii="Arial" w:eastAsia="Times New Roman" w:hAnsi="Arial" w:cs="Arial"/>
          <w:sz w:val="24"/>
          <w:szCs w:val="24"/>
          <w:lang w:eastAsia="en-GB"/>
        </w:rPr>
        <w:t xml:space="preserve">), </w:t>
      </w:r>
      <w:proofErr w:type="spellStart"/>
      <w:r w:rsidRPr="007F4884">
        <w:rPr>
          <w:rFonts w:ascii="Arial" w:eastAsia="Times New Roman" w:hAnsi="Arial" w:cs="Arial"/>
          <w:sz w:val="24"/>
          <w:szCs w:val="24"/>
          <w:lang w:eastAsia="en-GB"/>
        </w:rPr>
        <w:t>Stos</w:t>
      </w:r>
      <w:proofErr w:type="spellEnd"/>
      <w:r w:rsidRPr="007F4884">
        <w:rPr>
          <w:rFonts w:ascii="Arial" w:eastAsia="Times New Roman" w:hAnsi="Arial" w:cs="Arial"/>
          <w:sz w:val="24"/>
          <w:szCs w:val="24"/>
          <w:lang w:eastAsia="en-GB"/>
        </w:rPr>
        <w:t>-Gale and Gale’s (2009) Oxford Archaeological Lead Isotope Database (OXALID), and the Global Lead Isotope Database (</w:t>
      </w:r>
      <w:proofErr w:type="spellStart"/>
      <w:r w:rsidRPr="007F4884">
        <w:rPr>
          <w:rFonts w:ascii="Arial" w:eastAsia="Times New Roman" w:hAnsi="Arial" w:cs="Arial"/>
          <w:sz w:val="24"/>
          <w:szCs w:val="24"/>
          <w:lang w:eastAsia="en-GB"/>
        </w:rPr>
        <w:t>Westner</w:t>
      </w:r>
      <w:proofErr w:type="spellEnd"/>
      <w:r w:rsidRPr="007F4884">
        <w:rPr>
          <w:rFonts w:ascii="Arial" w:eastAsia="Times New Roman" w:hAnsi="Arial" w:cs="Arial"/>
          <w:sz w:val="24"/>
          <w:szCs w:val="24"/>
          <w:lang w:eastAsia="en-GB"/>
        </w:rPr>
        <w:t xml:space="preserve">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2021; </w:t>
      </w:r>
      <w:proofErr w:type="spellStart"/>
      <w:r w:rsidRPr="007F4884">
        <w:rPr>
          <w:rFonts w:ascii="Arial" w:eastAsia="Times New Roman" w:hAnsi="Arial" w:cs="Arial"/>
          <w:sz w:val="24"/>
          <w:szCs w:val="24"/>
          <w:lang w:eastAsia="en-GB"/>
        </w:rPr>
        <w:t>GlobaLID</w:t>
      </w:r>
      <w:proofErr w:type="spellEnd"/>
      <w:r w:rsidRPr="007F4884">
        <w:rPr>
          <w:rFonts w:ascii="Arial" w:eastAsia="Times New Roman" w:hAnsi="Arial" w:cs="Arial"/>
          <w:sz w:val="24"/>
          <w:szCs w:val="24"/>
          <w:lang w:eastAsia="en-GB"/>
        </w:rPr>
        <w:t xml:space="preserve"> Core Team 2021) have revolutionised comparative data collection, archival, and visualisation. They are especially useful within isotope provenance studies, with their large datasets and interactive maps showing expected isotope values and variation for different areas at regional and global scales. However, these datasets primarily focus on collating isotope data from environmental sources (such as minerals, raw materials, plants, and water), and </w:t>
      </w:r>
      <w:proofErr w:type="gramStart"/>
      <w:r w:rsidRPr="007F4884">
        <w:rPr>
          <w:rFonts w:ascii="Arial" w:eastAsia="Times New Roman" w:hAnsi="Arial" w:cs="Arial"/>
          <w:sz w:val="24"/>
          <w:szCs w:val="24"/>
          <w:lang w:eastAsia="en-GB"/>
        </w:rPr>
        <w:t>as yet</w:t>
      </w:r>
      <w:proofErr w:type="gramEnd"/>
      <w:r w:rsidRPr="007F4884">
        <w:rPr>
          <w:rFonts w:ascii="Arial" w:eastAsia="Times New Roman" w:hAnsi="Arial" w:cs="Arial"/>
          <w:sz w:val="24"/>
          <w:szCs w:val="24"/>
          <w:lang w:eastAsia="en-GB"/>
        </w:rPr>
        <w:t xml:space="preserve">, only a few have included data from human samples (see Evans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2023). This omission represents a large data gap of useful and accessible reference material. Without comparative human isotope data from contemporaneous or geologically similar burials, skeletal remains are at risk of being analysed and interpreted in isolation or only alongside other remains found at the same site. This may lead to missed opportunities to situate the site and its skeletal population within the wider research context of the associated period and region. For lead (Pb) isotope analysis, a dataset including human data would be particularly invaluable for interpreting residential mobility and level of exposure to pollutant anthropogenic lead sources, by exhibiting how lead concentrations and isotope ratios measured in archaeological populations have varied over time and </w:t>
      </w:r>
      <w:proofErr w:type="gramStart"/>
      <w:r w:rsidRPr="007F4884">
        <w:rPr>
          <w:rFonts w:ascii="Arial" w:eastAsia="Times New Roman" w:hAnsi="Arial" w:cs="Arial"/>
          <w:sz w:val="24"/>
          <w:szCs w:val="24"/>
          <w:lang w:eastAsia="en-GB"/>
        </w:rPr>
        <w:t>space, and</w:t>
      </w:r>
      <w:proofErr w:type="gramEnd"/>
      <w:r w:rsidRPr="007F4884">
        <w:rPr>
          <w:rFonts w:ascii="Arial" w:eastAsia="Times New Roman" w:hAnsi="Arial" w:cs="Arial"/>
          <w:sz w:val="24"/>
          <w:szCs w:val="24"/>
          <w:lang w:eastAsia="en-GB"/>
        </w:rPr>
        <w:t xml:space="preserve"> allowing researchers to compare their own results to this (Montgomery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2010). The dataset presented here aims to begin to combat this gap, focussing on lead isotopes. Lead isotope ratios and concentrations measured in 307 archaeological human enamel samples from the UK and Ireland have been collated from relevant literature, along with essential contextual information associated with analysed </w:t>
      </w:r>
      <w:r w:rsidR="005319FB" w:rsidRPr="007F4884">
        <w:rPr>
          <w:rFonts w:ascii="Arial" w:eastAsia="Times New Roman" w:hAnsi="Arial" w:cs="Arial"/>
          <w:sz w:val="24"/>
          <w:szCs w:val="24"/>
          <w:lang w:eastAsia="en-GB"/>
        </w:rPr>
        <w:t>remains</w:t>
      </w:r>
      <w:r w:rsidRPr="007F4884">
        <w:rPr>
          <w:rFonts w:ascii="Arial" w:eastAsia="Times New Roman" w:hAnsi="Arial" w:cs="Arial"/>
          <w:sz w:val="24"/>
          <w:szCs w:val="24"/>
          <w:lang w:eastAsia="en-GB"/>
        </w:rPr>
        <w:t xml:space="preserve">. The dataset’s structure, contents, and metadata have been created in line with good practice standards outlined by the Archaeological Data Service (ADS and Digital Antiquity 2013), and </w:t>
      </w:r>
      <w:r w:rsidRPr="00F52B14">
        <w:rPr>
          <w:rFonts w:ascii="Arial" w:eastAsia="Times New Roman" w:hAnsi="Arial" w:cs="Arial"/>
          <w:sz w:val="24"/>
          <w:szCs w:val="24"/>
          <w:highlight w:val="yellow"/>
          <w:lang w:eastAsia="en-GB"/>
        </w:rPr>
        <w:t xml:space="preserve">adhere to the </w:t>
      </w:r>
      <w:r w:rsidRPr="00F52B14">
        <w:rPr>
          <w:rFonts w:ascii="Arial" w:eastAsia="Times New Roman" w:hAnsi="Arial" w:cs="Arial"/>
          <w:sz w:val="24"/>
          <w:szCs w:val="24"/>
          <w:highlight w:val="yellow"/>
          <w:lang w:eastAsia="en-GB"/>
        </w:rPr>
        <w:lastRenderedPageBreak/>
        <w:t xml:space="preserve">FAIR (Findability, Accessibility, Interoperability, and Reuse) guiding principles (Wilkinson </w:t>
      </w:r>
      <w:r w:rsidRPr="00F52B14">
        <w:rPr>
          <w:rFonts w:ascii="Arial" w:eastAsia="Times New Roman" w:hAnsi="Arial" w:cs="Arial"/>
          <w:i/>
          <w:iCs/>
          <w:sz w:val="24"/>
          <w:szCs w:val="24"/>
          <w:highlight w:val="yellow"/>
          <w:lang w:eastAsia="en-GB"/>
        </w:rPr>
        <w:t>et al</w:t>
      </w:r>
      <w:r w:rsidRPr="00F52B14">
        <w:rPr>
          <w:rFonts w:ascii="Arial" w:eastAsia="Times New Roman" w:hAnsi="Arial" w:cs="Arial"/>
          <w:sz w:val="24"/>
          <w:szCs w:val="24"/>
          <w:highlight w:val="yellow"/>
          <w:lang w:eastAsia="en-GB"/>
        </w:rPr>
        <w:t>. 2016).</w:t>
      </w:r>
    </w:p>
    <w:p w14:paraId="2C0D4A92" w14:textId="77777777" w:rsidR="009C0830" w:rsidRPr="007F4884" w:rsidRDefault="009C0830" w:rsidP="007F4884">
      <w:pPr>
        <w:spacing w:after="0" w:line="360" w:lineRule="auto"/>
        <w:rPr>
          <w:rFonts w:ascii="Arial" w:eastAsia="Times New Roman" w:hAnsi="Arial" w:cs="Arial"/>
          <w:sz w:val="24"/>
          <w:szCs w:val="24"/>
          <w:lang w:eastAsia="en-GB"/>
        </w:rPr>
      </w:pPr>
    </w:p>
    <w:p w14:paraId="1B353151" w14:textId="0637F70C" w:rsidR="003F7A78" w:rsidRPr="007F4884" w:rsidRDefault="005319FB" w:rsidP="007F4884">
      <w:pPr>
        <w:spacing w:after="0" w:line="360" w:lineRule="auto"/>
        <w:rPr>
          <w:rFonts w:ascii="Arial" w:eastAsia="Times New Roman" w:hAnsi="Arial" w:cs="Arial"/>
          <w:sz w:val="24"/>
          <w:szCs w:val="24"/>
          <w:u w:val="single"/>
          <w:lang w:eastAsia="en-GB"/>
        </w:rPr>
      </w:pPr>
      <w:r w:rsidRPr="007F4884">
        <w:rPr>
          <w:rFonts w:ascii="Arial" w:eastAsia="Times New Roman" w:hAnsi="Arial" w:cs="Arial"/>
          <w:sz w:val="24"/>
          <w:szCs w:val="24"/>
          <w:u w:val="single"/>
          <w:lang w:eastAsia="en-GB"/>
        </w:rPr>
        <w:t>Dataset Structure</w:t>
      </w:r>
    </w:p>
    <w:p w14:paraId="3A1499F0" w14:textId="77777777" w:rsidR="009C0830" w:rsidRPr="007F4884" w:rsidRDefault="009C0830" w:rsidP="007F4884">
      <w:pPr>
        <w:spacing w:after="0" w:line="360" w:lineRule="auto"/>
        <w:rPr>
          <w:rFonts w:ascii="Arial" w:eastAsia="Times New Roman" w:hAnsi="Arial" w:cs="Arial"/>
          <w:sz w:val="10"/>
          <w:szCs w:val="10"/>
          <w:u w:val="single"/>
          <w:lang w:eastAsia="en-GB"/>
        </w:rPr>
      </w:pPr>
    </w:p>
    <w:p w14:paraId="62B19EBB" w14:textId="3A2607EC" w:rsidR="003F7A78" w:rsidRPr="007F4884" w:rsidRDefault="003F7A78" w:rsidP="007F4884">
      <w:pPr>
        <w:spacing w:after="0" w:line="360" w:lineRule="auto"/>
        <w:rPr>
          <w:rFonts w:ascii="Arial" w:eastAsia="Times New Roman" w:hAnsi="Arial" w:cs="Arial"/>
          <w:sz w:val="24"/>
          <w:szCs w:val="24"/>
          <w:lang w:eastAsia="en-GB"/>
        </w:rPr>
      </w:pPr>
      <w:r w:rsidRPr="007F4884">
        <w:rPr>
          <w:rFonts w:ascii="Arial" w:eastAsia="Times New Roman" w:hAnsi="Arial" w:cs="Arial"/>
          <w:sz w:val="24"/>
          <w:szCs w:val="24"/>
          <w:lang w:eastAsia="en-GB"/>
        </w:rPr>
        <w:t>As outlined in the file-level metadata statement (</w:t>
      </w:r>
      <w:r w:rsidR="00053C30" w:rsidRPr="007F4884">
        <w:rPr>
          <w:rFonts w:ascii="Arial" w:eastAsia="Times New Roman" w:hAnsi="Arial" w:cs="Arial"/>
          <w:sz w:val="24"/>
          <w:szCs w:val="24"/>
          <w:lang w:eastAsia="en-GB"/>
        </w:rPr>
        <w:t>see</w:t>
      </w:r>
      <w:r w:rsidRPr="007F4884">
        <w:rPr>
          <w:rFonts w:ascii="Arial" w:eastAsia="Times New Roman" w:hAnsi="Arial" w:cs="Arial"/>
          <w:sz w:val="24"/>
          <w:szCs w:val="24"/>
          <w:lang w:eastAsia="en-GB"/>
        </w:rPr>
        <w:t xml:space="preserve"> </w:t>
      </w:r>
      <w:proofErr w:type="spellStart"/>
      <w:r w:rsidRPr="007F4884">
        <w:rPr>
          <w:rFonts w:ascii="Arial" w:eastAsia="Times New Roman" w:hAnsi="Arial" w:cs="Arial"/>
          <w:sz w:val="23"/>
          <w:szCs w:val="23"/>
          <w:lang w:eastAsia="en-GB"/>
        </w:rPr>
        <w:t>Comparative_Lead_Isotope_Dataset-ADS_Metadata_Statement</w:t>
      </w:r>
      <w:proofErr w:type="spellEnd"/>
      <w:r w:rsidRPr="007F4884">
        <w:rPr>
          <w:rFonts w:ascii="Arial" w:eastAsia="Times New Roman" w:hAnsi="Arial" w:cs="Arial"/>
          <w:lang w:eastAsia="en-GB"/>
        </w:rPr>
        <w:t xml:space="preserve"> </w:t>
      </w:r>
      <w:r w:rsidRPr="007F4884">
        <w:rPr>
          <w:rFonts w:ascii="Arial" w:eastAsia="Times New Roman" w:hAnsi="Arial" w:cs="Arial"/>
          <w:sz w:val="24"/>
          <w:szCs w:val="24"/>
          <w:lang w:eastAsia="en-GB"/>
        </w:rPr>
        <w:t>file in the supplementary data submission page), the samples gathered from the reviewed literature have been compiled into a Microsoft Excel spreadsheet. The dataset file is titled “</w:t>
      </w:r>
      <w:proofErr w:type="spellStart"/>
      <w:r w:rsidRPr="007F4884">
        <w:rPr>
          <w:rFonts w:ascii="Arial" w:eastAsia="Times New Roman" w:hAnsi="Arial" w:cs="Arial"/>
          <w:sz w:val="24"/>
          <w:szCs w:val="24"/>
          <w:lang w:eastAsia="en-GB"/>
        </w:rPr>
        <w:t>Comparative_Lead_Isotope_Dataset</w:t>
      </w:r>
      <w:proofErr w:type="spellEnd"/>
      <w:r w:rsidRPr="007F4884">
        <w:rPr>
          <w:rFonts w:ascii="Arial" w:eastAsia="Times New Roman" w:hAnsi="Arial" w:cs="Arial"/>
          <w:sz w:val="24"/>
          <w:szCs w:val="24"/>
          <w:lang w:eastAsia="en-GB"/>
        </w:rPr>
        <w:t>” and is available as an Excel file (.xlsx) and a comma-separated values (.csv) delimited text file in the supplementary data submission page. Whilst the .xlsx file is an appropriate international open standard (ISO/IEC 29500:2008-2016) format for archiving spreadsheets that adheres to ADS deposition guidance</w:t>
      </w:r>
      <w:r w:rsidR="00543D97" w:rsidRPr="007F4884">
        <w:rPr>
          <w:rFonts w:ascii="Arial" w:eastAsia="Times New Roman" w:hAnsi="Arial" w:cs="Arial"/>
          <w:sz w:val="24"/>
          <w:szCs w:val="24"/>
          <w:lang w:eastAsia="en-GB"/>
        </w:rPr>
        <w:t xml:space="preserve"> (ADS 2023)</w:t>
      </w:r>
      <w:r w:rsidRPr="007F4884">
        <w:rPr>
          <w:rFonts w:ascii="Arial" w:eastAsia="Times New Roman" w:hAnsi="Arial" w:cs="Arial"/>
          <w:sz w:val="24"/>
          <w:szCs w:val="24"/>
          <w:lang w:eastAsia="en-GB"/>
        </w:rPr>
        <w:t xml:space="preserve">, the inclusion of the dataset in plain text format as a .csv file demonstrates the ease of migrating the data to a more accessible uncompressed format. This file can be used in different software </w:t>
      </w:r>
      <w:proofErr w:type="gramStart"/>
      <w:r w:rsidRPr="007F4884">
        <w:rPr>
          <w:rFonts w:ascii="Arial" w:eastAsia="Times New Roman" w:hAnsi="Arial" w:cs="Arial"/>
          <w:sz w:val="24"/>
          <w:szCs w:val="24"/>
          <w:lang w:eastAsia="en-GB"/>
        </w:rPr>
        <w:t>programs, and</w:t>
      </w:r>
      <w:proofErr w:type="gramEnd"/>
      <w:r w:rsidRPr="007F4884">
        <w:rPr>
          <w:rFonts w:ascii="Arial" w:eastAsia="Times New Roman" w:hAnsi="Arial" w:cs="Arial"/>
          <w:sz w:val="24"/>
          <w:szCs w:val="24"/>
          <w:lang w:eastAsia="en-GB"/>
        </w:rPr>
        <w:t xml:space="preserve"> is more suitable for digital preservation as well as future accessibility and dissemination (ADS and Digital Antiquity 2013; Niven 2023).</w:t>
      </w:r>
    </w:p>
    <w:p w14:paraId="53234F83" w14:textId="77777777" w:rsidR="003F7A78" w:rsidRPr="007F4884" w:rsidRDefault="003F7A78" w:rsidP="007F4884">
      <w:pPr>
        <w:spacing w:after="0" w:line="360" w:lineRule="auto"/>
        <w:rPr>
          <w:rFonts w:ascii="Arial" w:eastAsia="Times New Roman" w:hAnsi="Arial" w:cs="Arial"/>
          <w:b/>
          <w:bCs/>
          <w:sz w:val="24"/>
          <w:szCs w:val="24"/>
          <w:lang w:eastAsia="en-GB"/>
        </w:rPr>
      </w:pPr>
    </w:p>
    <w:p w14:paraId="4A5D1858" w14:textId="6CB270B1" w:rsidR="00800014"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The decision to use an Excel spreadsheet to compile and present the dataset, rather than database software such as Microsoft Access, was made for several reasons. Currently, ADS guidelines do not provide a preferred file format for scientific data deposition due to its broad and varied nature (ADS 2023). As a method of scientific investigation, the results of stable isotope analysis are predominantly given and recorded as numerical values. Spreadsheets are particularly adept at storing this type of data, which can be analysed, processed, and organised rapidly using </w:t>
      </w:r>
      <w:r w:rsidR="0038450B" w:rsidRPr="007F4884">
        <w:rPr>
          <w:rFonts w:ascii="Arial" w:eastAsia="Times New Roman" w:hAnsi="Arial" w:cs="Arial"/>
          <w:sz w:val="24"/>
          <w:szCs w:val="24"/>
          <w:lang w:eastAsia="en-GB"/>
        </w:rPr>
        <w:t xml:space="preserve">tools such as “sort” and “filter”, and </w:t>
      </w:r>
      <w:r w:rsidRPr="007F4884">
        <w:rPr>
          <w:rFonts w:ascii="Arial" w:eastAsia="Times New Roman" w:hAnsi="Arial" w:cs="Arial"/>
          <w:sz w:val="24"/>
          <w:szCs w:val="24"/>
          <w:lang w:eastAsia="en-GB"/>
        </w:rPr>
        <w:t>the variety of functions and formulas Excel can run</w:t>
      </w:r>
      <w:r w:rsidR="0038450B" w:rsidRPr="007F4884">
        <w:rPr>
          <w:rFonts w:ascii="Arial" w:eastAsia="Times New Roman" w:hAnsi="Arial" w:cs="Arial"/>
          <w:sz w:val="24"/>
          <w:szCs w:val="24"/>
          <w:lang w:eastAsia="en-GB"/>
        </w:rPr>
        <w:t xml:space="preserve"> </w:t>
      </w:r>
      <w:r w:rsidRPr="007F4884">
        <w:rPr>
          <w:rFonts w:ascii="Arial" w:eastAsia="Times New Roman" w:hAnsi="Arial" w:cs="Arial"/>
          <w:sz w:val="24"/>
          <w:szCs w:val="24"/>
          <w:lang w:eastAsia="en-GB"/>
        </w:rPr>
        <w:t>(LOC 2022; Niven 2023). Additionally, this spreadsheet is designed to complement and be used alongside the internal multi-isotope (carbon, nitrogen, oxygen, and strontium) reference Excel dataset used by Durham University’s commercial Archaeological Isotopic and Peptide Laboratory (AIPRL), and the previously mentioned open access datasets, which also store their data using Excel (</w:t>
      </w:r>
      <w:proofErr w:type="spellStart"/>
      <w:r w:rsidRPr="007F4884">
        <w:rPr>
          <w:rFonts w:ascii="Arial" w:eastAsia="Times New Roman" w:hAnsi="Arial" w:cs="Arial"/>
          <w:sz w:val="24"/>
          <w:szCs w:val="24"/>
          <w:lang w:eastAsia="en-GB"/>
        </w:rPr>
        <w:t>Stos</w:t>
      </w:r>
      <w:proofErr w:type="spellEnd"/>
      <w:r w:rsidRPr="007F4884">
        <w:rPr>
          <w:rFonts w:ascii="Arial" w:eastAsia="Times New Roman" w:hAnsi="Arial" w:cs="Arial"/>
          <w:sz w:val="24"/>
          <w:szCs w:val="24"/>
          <w:lang w:eastAsia="en-GB"/>
        </w:rPr>
        <w:t>-Gale and Gale 2009; BGS 2023</w:t>
      </w:r>
      <w:r w:rsidR="000A3DE1" w:rsidRPr="007F4884">
        <w:rPr>
          <w:rFonts w:ascii="Arial" w:eastAsia="Times New Roman" w:hAnsi="Arial" w:cs="Arial"/>
          <w:sz w:val="24"/>
          <w:szCs w:val="24"/>
          <w:lang w:eastAsia="en-GB"/>
        </w:rPr>
        <w:t>b</w:t>
      </w:r>
      <w:r w:rsidRPr="007F4884">
        <w:rPr>
          <w:rFonts w:ascii="Arial" w:eastAsia="Times New Roman" w:hAnsi="Arial" w:cs="Arial"/>
          <w:sz w:val="24"/>
          <w:szCs w:val="24"/>
          <w:lang w:eastAsia="en-GB"/>
        </w:rPr>
        <w:t xml:space="preserve">). As such, using the same software </w:t>
      </w:r>
      <w:r w:rsidR="000D31EA" w:rsidRPr="007F4884">
        <w:rPr>
          <w:rFonts w:ascii="Arial" w:eastAsia="Times New Roman" w:hAnsi="Arial" w:cs="Arial"/>
          <w:sz w:val="24"/>
          <w:szCs w:val="24"/>
          <w:lang w:eastAsia="en-GB"/>
        </w:rPr>
        <w:t>is</w:t>
      </w:r>
      <w:r w:rsidRPr="007F4884">
        <w:rPr>
          <w:rFonts w:ascii="Arial" w:eastAsia="Times New Roman" w:hAnsi="Arial" w:cs="Arial"/>
          <w:sz w:val="24"/>
          <w:szCs w:val="24"/>
          <w:lang w:eastAsia="en-GB"/>
        </w:rPr>
        <w:t xml:space="preserve"> considered the most sensible option for data comparison and merging.</w:t>
      </w:r>
      <w:r w:rsidR="0055585D" w:rsidRPr="007F4884">
        <w:rPr>
          <w:rFonts w:ascii="Arial" w:eastAsia="Times New Roman" w:hAnsi="Arial" w:cs="Arial"/>
          <w:sz w:val="24"/>
          <w:szCs w:val="24"/>
          <w:lang w:eastAsia="en-GB"/>
        </w:rPr>
        <w:t xml:space="preserve"> </w:t>
      </w:r>
      <w:r w:rsidR="00EF6E6D" w:rsidRPr="007F4884">
        <w:rPr>
          <w:rFonts w:ascii="Arial" w:eastAsia="Times New Roman" w:hAnsi="Arial" w:cs="Arial"/>
          <w:sz w:val="24"/>
          <w:szCs w:val="24"/>
          <w:lang w:eastAsia="en-GB"/>
        </w:rPr>
        <w:t xml:space="preserve">Ultimately, the data gathered </w:t>
      </w:r>
      <w:r w:rsidR="00EF6E6D" w:rsidRPr="007F4884">
        <w:rPr>
          <w:rFonts w:ascii="Arial" w:eastAsia="Times New Roman" w:hAnsi="Arial" w:cs="Arial"/>
          <w:sz w:val="24"/>
          <w:szCs w:val="24"/>
          <w:lang w:eastAsia="en-GB"/>
        </w:rPr>
        <w:lastRenderedPageBreak/>
        <w:t>is not complex enough to warrant</w:t>
      </w:r>
      <w:r w:rsidR="00DE092A" w:rsidRPr="007F4884">
        <w:rPr>
          <w:rFonts w:ascii="Arial" w:eastAsia="Times New Roman" w:hAnsi="Arial" w:cs="Arial"/>
          <w:sz w:val="24"/>
          <w:szCs w:val="24"/>
          <w:lang w:eastAsia="en-GB"/>
        </w:rPr>
        <w:t xml:space="preserve"> use of a relational database.</w:t>
      </w:r>
      <w:r w:rsidR="00660178" w:rsidRPr="007F4884">
        <w:rPr>
          <w:rFonts w:ascii="Arial" w:eastAsia="Times New Roman" w:hAnsi="Arial" w:cs="Arial"/>
          <w:sz w:val="24"/>
          <w:szCs w:val="24"/>
          <w:lang w:eastAsia="en-GB"/>
        </w:rPr>
        <w:t xml:space="preserve"> </w:t>
      </w:r>
      <w:r w:rsidR="008F5F38" w:rsidRPr="007F4884">
        <w:rPr>
          <w:rFonts w:ascii="Arial" w:eastAsia="Times New Roman" w:hAnsi="Arial" w:cs="Arial"/>
          <w:sz w:val="24"/>
          <w:szCs w:val="24"/>
          <w:lang w:eastAsia="en-GB"/>
        </w:rPr>
        <w:t xml:space="preserve">With the simplicity of its interface and nature as a widely used program, </w:t>
      </w:r>
      <w:r w:rsidR="00EC4709" w:rsidRPr="007F4884">
        <w:rPr>
          <w:rFonts w:ascii="Arial" w:eastAsia="Times New Roman" w:hAnsi="Arial" w:cs="Arial"/>
          <w:sz w:val="24"/>
          <w:szCs w:val="24"/>
          <w:lang w:eastAsia="en-GB"/>
        </w:rPr>
        <w:t>using Excel will ensure the dataset is as accessible, operable, and reusable as possible for all users.</w:t>
      </w:r>
    </w:p>
    <w:p w14:paraId="13854920" w14:textId="77777777" w:rsidR="003F7A78" w:rsidRPr="007F4884" w:rsidRDefault="003F7A78" w:rsidP="007F4884">
      <w:pPr>
        <w:spacing w:after="0" w:line="360" w:lineRule="auto"/>
        <w:ind w:firstLine="720"/>
        <w:rPr>
          <w:rFonts w:ascii="Arial" w:eastAsia="Times New Roman" w:hAnsi="Arial" w:cs="Arial"/>
          <w:sz w:val="24"/>
          <w:szCs w:val="24"/>
          <w:lang w:eastAsia="en-GB"/>
        </w:rPr>
      </w:pPr>
    </w:p>
    <w:p w14:paraId="7B5302D3" w14:textId="1C2ED917" w:rsidR="003F7A78"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The spreadsheet is composed of a single worksheet titled “</w:t>
      </w:r>
      <w:proofErr w:type="spellStart"/>
      <w:r w:rsidRPr="007F4884">
        <w:rPr>
          <w:rFonts w:ascii="Arial" w:eastAsia="Times New Roman" w:hAnsi="Arial" w:cs="Arial"/>
          <w:sz w:val="24"/>
          <w:szCs w:val="24"/>
          <w:lang w:eastAsia="en-GB"/>
        </w:rPr>
        <w:t>Human_Lead_Isotope_Data</w:t>
      </w:r>
      <w:proofErr w:type="spellEnd"/>
      <w:r w:rsidRPr="007F4884">
        <w:rPr>
          <w:rFonts w:ascii="Arial" w:eastAsia="Times New Roman" w:hAnsi="Arial" w:cs="Arial"/>
          <w:sz w:val="24"/>
          <w:szCs w:val="24"/>
          <w:lang w:eastAsia="en-GB"/>
        </w:rPr>
        <w:t xml:space="preserve">” and contains a table with 307 rows of data categorised into 19 </w:t>
      </w:r>
      <w:r w:rsidR="00247EA8" w:rsidRPr="007F4884">
        <w:rPr>
          <w:rFonts w:ascii="Arial" w:eastAsia="Times New Roman" w:hAnsi="Arial" w:cs="Arial"/>
          <w:sz w:val="24"/>
          <w:szCs w:val="24"/>
          <w:lang w:eastAsia="en-GB"/>
        </w:rPr>
        <w:t xml:space="preserve">filterable </w:t>
      </w:r>
      <w:r w:rsidRPr="007F4884">
        <w:rPr>
          <w:rFonts w:ascii="Arial" w:eastAsia="Times New Roman" w:hAnsi="Arial" w:cs="Arial"/>
          <w:sz w:val="24"/>
          <w:szCs w:val="24"/>
          <w:lang w:eastAsia="en-GB"/>
        </w:rPr>
        <w:t>columns. The columns can be separated into three categories: contextual information, lead isotope data, and resource references</w:t>
      </w:r>
      <w:r w:rsidR="00CB77E7" w:rsidRPr="007F4884">
        <w:rPr>
          <w:rFonts w:ascii="Arial" w:eastAsia="Times New Roman" w:hAnsi="Arial" w:cs="Arial"/>
          <w:sz w:val="24"/>
          <w:szCs w:val="24"/>
          <w:lang w:eastAsia="en-GB"/>
        </w:rPr>
        <w:t xml:space="preserve"> (discussed below)</w:t>
      </w:r>
      <w:r w:rsidRPr="007F4884">
        <w:rPr>
          <w:rFonts w:ascii="Arial" w:eastAsia="Times New Roman" w:hAnsi="Arial" w:cs="Arial"/>
          <w:sz w:val="24"/>
          <w:szCs w:val="24"/>
          <w:lang w:eastAsia="en-GB"/>
        </w:rPr>
        <w:t>.</w:t>
      </w:r>
      <w:r w:rsidR="00114A83" w:rsidRPr="007F4884">
        <w:rPr>
          <w:rFonts w:ascii="Arial" w:eastAsia="Times New Roman" w:hAnsi="Arial" w:cs="Arial"/>
          <w:sz w:val="24"/>
          <w:szCs w:val="24"/>
          <w:lang w:eastAsia="en-GB"/>
        </w:rPr>
        <w:t xml:space="preserve"> </w:t>
      </w:r>
      <w:r w:rsidRPr="007F4884">
        <w:rPr>
          <w:rFonts w:ascii="Arial" w:eastAsia="Times New Roman" w:hAnsi="Arial" w:cs="Arial"/>
          <w:sz w:val="24"/>
          <w:szCs w:val="24"/>
          <w:lang w:eastAsia="en-GB"/>
        </w:rPr>
        <w:t xml:space="preserve">The structure and appearance of the spreadsheet </w:t>
      </w:r>
      <w:r w:rsidR="00E10CEE" w:rsidRPr="007F4884">
        <w:rPr>
          <w:rFonts w:ascii="Arial" w:eastAsia="Times New Roman" w:hAnsi="Arial" w:cs="Arial"/>
          <w:sz w:val="24"/>
          <w:szCs w:val="24"/>
          <w:lang w:eastAsia="en-GB"/>
        </w:rPr>
        <w:t>is</w:t>
      </w:r>
      <w:r w:rsidRPr="007F4884">
        <w:rPr>
          <w:rFonts w:ascii="Arial" w:eastAsia="Times New Roman" w:hAnsi="Arial" w:cs="Arial"/>
          <w:sz w:val="24"/>
          <w:szCs w:val="24"/>
          <w:lang w:eastAsia="en-GB"/>
        </w:rPr>
        <w:t xml:space="preserve"> purposefully simplistic with minimal text formatting, to facilitate data migration and importation into different software programs (ADS and Digital Antiquity 2013; Niven 2023). No colours or styles have been applied to the data cells. This minimal formatting is a conscious choice to avoid assigning meaning to cells (</w:t>
      </w:r>
      <w:proofErr w:type="gramStart"/>
      <w:r w:rsidRPr="007F4884">
        <w:rPr>
          <w:rFonts w:ascii="Arial" w:eastAsia="Times New Roman" w:hAnsi="Arial" w:cs="Arial"/>
          <w:sz w:val="24"/>
          <w:szCs w:val="24"/>
          <w:lang w:eastAsia="en-GB"/>
        </w:rPr>
        <w:t>e.g.</w:t>
      </w:r>
      <w:proofErr w:type="gramEnd"/>
      <w:r w:rsidRPr="007F4884">
        <w:rPr>
          <w:rFonts w:ascii="Arial" w:eastAsia="Times New Roman" w:hAnsi="Arial" w:cs="Arial"/>
          <w:sz w:val="24"/>
          <w:szCs w:val="24"/>
          <w:lang w:eastAsia="en-GB"/>
        </w:rPr>
        <w:t xml:space="preserve"> through colour-coding) that could be lost during deposition and future dissemination, as stylistic formatting does not carry over into plain text file formats (ADS and Digital Antiquity 2013). Instead, the data is </w:t>
      </w:r>
      <w:proofErr w:type="gramStart"/>
      <w:r w:rsidRPr="007F4884">
        <w:rPr>
          <w:rFonts w:ascii="Arial" w:eastAsia="Times New Roman" w:hAnsi="Arial" w:cs="Arial"/>
          <w:sz w:val="24"/>
          <w:szCs w:val="24"/>
          <w:lang w:eastAsia="en-GB"/>
        </w:rPr>
        <w:t>described to the fullest extent</w:t>
      </w:r>
      <w:proofErr w:type="gramEnd"/>
      <w:r w:rsidRPr="007F4884">
        <w:rPr>
          <w:rFonts w:ascii="Arial" w:eastAsia="Times New Roman" w:hAnsi="Arial" w:cs="Arial"/>
          <w:sz w:val="24"/>
          <w:szCs w:val="24"/>
          <w:lang w:eastAsia="en-GB"/>
        </w:rPr>
        <w:t xml:space="preserve"> possible within the dataset using multiple related column</w:t>
      </w:r>
      <w:r w:rsidR="00962D3C" w:rsidRPr="007F4884">
        <w:rPr>
          <w:rFonts w:ascii="Arial" w:eastAsia="Times New Roman" w:hAnsi="Arial" w:cs="Arial"/>
          <w:sz w:val="24"/>
          <w:szCs w:val="24"/>
          <w:lang w:eastAsia="en-GB"/>
        </w:rPr>
        <w:t xml:space="preserve">s </w:t>
      </w:r>
      <w:r w:rsidRPr="007F4884">
        <w:rPr>
          <w:rFonts w:ascii="Arial" w:eastAsia="Times New Roman" w:hAnsi="Arial" w:cs="Arial"/>
          <w:sz w:val="24"/>
          <w:szCs w:val="24"/>
          <w:lang w:eastAsia="en-GB"/>
        </w:rPr>
        <w:t>containing broad and specific information and terminology, which are also referenced and explained in the metadata statement (MIDAS 2012).</w:t>
      </w:r>
    </w:p>
    <w:p w14:paraId="3AA04D51" w14:textId="77777777" w:rsidR="003F7A78" w:rsidRPr="007F4884" w:rsidRDefault="003F7A78" w:rsidP="007F4884">
      <w:pPr>
        <w:spacing w:after="0" w:line="360" w:lineRule="auto"/>
        <w:rPr>
          <w:rFonts w:ascii="Arial" w:eastAsia="Times New Roman" w:hAnsi="Arial" w:cs="Arial"/>
          <w:sz w:val="24"/>
          <w:szCs w:val="24"/>
          <w:lang w:eastAsia="en-GB"/>
        </w:rPr>
      </w:pPr>
    </w:p>
    <w:p w14:paraId="19ABB1A2" w14:textId="4C752051" w:rsidR="0038450B" w:rsidRPr="007F4884" w:rsidRDefault="00CB77E7" w:rsidP="007F4884">
      <w:pPr>
        <w:spacing w:after="0" w:line="360" w:lineRule="auto"/>
        <w:rPr>
          <w:rFonts w:ascii="Arial" w:eastAsia="Times New Roman" w:hAnsi="Arial" w:cs="Arial"/>
          <w:sz w:val="24"/>
          <w:szCs w:val="24"/>
          <w:u w:val="single"/>
          <w:lang w:eastAsia="en-GB"/>
        </w:rPr>
      </w:pPr>
      <w:r w:rsidRPr="007F4884">
        <w:rPr>
          <w:rFonts w:ascii="Arial" w:eastAsia="Times New Roman" w:hAnsi="Arial" w:cs="Arial"/>
          <w:sz w:val="24"/>
          <w:szCs w:val="24"/>
          <w:u w:val="single"/>
          <w:lang w:eastAsia="en-GB"/>
        </w:rPr>
        <w:t>Dataset Content</w:t>
      </w:r>
      <w:r w:rsidR="003F7A78" w:rsidRPr="007F4884">
        <w:rPr>
          <w:rFonts w:ascii="Arial" w:eastAsia="Times New Roman" w:hAnsi="Arial" w:cs="Arial"/>
          <w:sz w:val="24"/>
          <w:szCs w:val="24"/>
          <w:u w:val="single"/>
          <w:lang w:eastAsia="en-GB"/>
        </w:rPr>
        <w:t xml:space="preserve"> – Categorisation and Classification</w:t>
      </w:r>
    </w:p>
    <w:p w14:paraId="2F7E1CE6" w14:textId="77777777" w:rsidR="009C0830" w:rsidRPr="007F4884" w:rsidRDefault="009C0830" w:rsidP="007F4884">
      <w:pPr>
        <w:spacing w:after="0" w:line="360" w:lineRule="auto"/>
        <w:rPr>
          <w:rFonts w:ascii="Arial" w:eastAsia="Times New Roman" w:hAnsi="Arial" w:cs="Arial"/>
          <w:sz w:val="10"/>
          <w:szCs w:val="10"/>
          <w:u w:val="single"/>
          <w:lang w:eastAsia="en-GB"/>
        </w:rPr>
      </w:pPr>
    </w:p>
    <w:p w14:paraId="5E088366" w14:textId="3608E219" w:rsidR="003F7A78" w:rsidRPr="007F4884" w:rsidRDefault="003F7A78" w:rsidP="007F4884">
      <w:pPr>
        <w:spacing w:after="0" w:line="360" w:lineRule="auto"/>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Like most data types, scientific data means very little without contextual information. This is especially true for stable isotope analysis, as the ratio calculated from the abundance of each isotope in a sample has no unit of measurement </w:t>
      </w:r>
      <w:proofErr w:type="gramStart"/>
      <w:r w:rsidRPr="007F4884">
        <w:rPr>
          <w:rFonts w:ascii="Arial" w:eastAsia="Times New Roman" w:hAnsi="Arial" w:cs="Arial"/>
          <w:sz w:val="24"/>
          <w:szCs w:val="24"/>
          <w:lang w:eastAsia="en-GB"/>
        </w:rPr>
        <w:t>itself, and</w:t>
      </w:r>
      <w:proofErr w:type="gramEnd"/>
      <w:r w:rsidRPr="007F4884">
        <w:rPr>
          <w:rFonts w:ascii="Arial" w:eastAsia="Times New Roman" w:hAnsi="Arial" w:cs="Arial"/>
          <w:sz w:val="24"/>
          <w:szCs w:val="24"/>
          <w:lang w:eastAsia="en-GB"/>
        </w:rPr>
        <w:t xml:space="preserve"> is an almost meaningless number when viewed independently. </w:t>
      </w:r>
      <w:r w:rsidR="00B61F73" w:rsidRPr="007F4884">
        <w:rPr>
          <w:rFonts w:ascii="Arial" w:eastAsia="Times New Roman" w:hAnsi="Arial" w:cs="Arial"/>
          <w:sz w:val="24"/>
          <w:szCs w:val="24"/>
          <w:lang w:eastAsia="en-GB"/>
        </w:rPr>
        <w:t>Therefore</w:t>
      </w:r>
      <w:r w:rsidRPr="007F4884">
        <w:rPr>
          <w:rFonts w:ascii="Arial" w:eastAsia="Times New Roman" w:hAnsi="Arial" w:cs="Arial"/>
          <w:sz w:val="24"/>
          <w:szCs w:val="24"/>
          <w:lang w:eastAsia="en-GB"/>
        </w:rPr>
        <w:t xml:space="preserve">, although collating lead isotope </w:t>
      </w:r>
      <w:r w:rsidR="0038450B" w:rsidRPr="007F4884">
        <w:rPr>
          <w:rFonts w:ascii="Arial" w:eastAsia="Times New Roman" w:hAnsi="Arial" w:cs="Arial"/>
          <w:sz w:val="24"/>
          <w:szCs w:val="24"/>
          <w:lang w:eastAsia="en-GB"/>
        </w:rPr>
        <w:t>data</w:t>
      </w:r>
      <w:r w:rsidRPr="007F4884">
        <w:rPr>
          <w:rFonts w:ascii="Arial" w:eastAsia="Times New Roman" w:hAnsi="Arial" w:cs="Arial"/>
          <w:sz w:val="24"/>
          <w:szCs w:val="24"/>
          <w:lang w:eastAsia="en-GB"/>
        </w:rPr>
        <w:t xml:space="preserve"> is the </w:t>
      </w:r>
      <w:proofErr w:type="gramStart"/>
      <w:r w:rsidRPr="007F4884">
        <w:rPr>
          <w:rFonts w:ascii="Arial" w:eastAsia="Times New Roman" w:hAnsi="Arial" w:cs="Arial"/>
          <w:sz w:val="24"/>
          <w:szCs w:val="24"/>
          <w:lang w:eastAsia="en-GB"/>
        </w:rPr>
        <w:t>main focus</w:t>
      </w:r>
      <w:proofErr w:type="gramEnd"/>
      <w:r w:rsidRPr="007F4884">
        <w:rPr>
          <w:rFonts w:ascii="Arial" w:eastAsia="Times New Roman" w:hAnsi="Arial" w:cs="Arial"/>
          <w:sz w:val="24"/>
          <w:szCs w:val="24"/>
          <w:lang w:eastAsia="en-GB"/>
        </w:rPr>
        <w:t xml:space="preserve"> of this dataset, recording as much contextual information as possible for each sample is a priority to enhance the dataset’s quality and contextual integrity (Kansa and Kansa 2022). The contextual information columns can be sub-divided into dating information (two columns: “Period” and “Chronological Date”); locational information (three columns: “Country”, “Region”, and “Site Name”); and sample-specific information (seven columns: “Sample Number”, “Sample Type”, “Tooth Type”, “</w:t>
      </w:r>
      <w:r w:rsidR="001D3DF1" w:rsidRPr="007F4884">
        <w:rPr>
          <w:rFonts w:ascii="Arial" w:eastAsia="Times New Roman" w:hAnsi="Arial" w:cs="Arial"/>
          <w:sz w:val="24"/>
          <w:szCs w:val="24"/>
          <w:lang w:eastAsia="en-GB"/>
        </w:rPr>
        <w:t xml:space="preserve">Fédération </w:t>
      </w:r>
      <w:r w:rsidRPr="007F4884">
        <w:rPr>
          <w:rFonts w:ascii="Arial" w:eastAsia="Times New Roman" w:hAnsi="Arial" w:cs="Arial"/>
          <w:sz w:val="24"/>
          <w:szCs w:val="24"/>
          <w:lang w:eastAsia="en-GB"/>
        </w:rPr>
        <w:t xml:space="preserve"> </w:t>
      </w:r>
      <w:proofErr w:type="spellStart"/>
      <w:r w:rsidRPr="007F4884">
        <w:rPr>
          <w:rFonts w:ascii="Arial" w:eastAsia="Times New Roman" w:hAnsi="Arial" w:cs="Arial"/>
          <w:sz w:val="24"/>
          <w:szCs w:val="24"/>
          <w:lang w:eastAsia="en-GB"/>
        </w:rPr>
        <w:t>Dentaire</w:t>
      </w:r>
      <w:proofErr w:type="spellEnd"/>
      <w:r w:rsidRPr="007F4884">
        <w:rPr>
          <w:rFonts w:ascii="Arial" w:eastAsia="Times New Roman" w:hAnsi="Arial" w:cs="Arial"/>
          <w:sz w:val="24"/>
          <w:szCs w:val="24"/>
          <w:lang w:eastAsia="en-GB"/>
        </w:rPr>
        <w:t xml:space="preserve"> Internationale (FDI) Tooth Notation”, “Biological Sex Estimation”, “Age Category”, and “Age-at-Death Estimation”). The columns are ordered as they are listed </w:t>
      </w:r>
      <w:proofErr w:type="gramStart"/>
      <w:r w:rsidRPr="007F4884">
        <w:rPr>
          <w:rFonts w:ascii="Arial" w:eastAsia="Times New Roman" w:hAnsi="Arial" w:cs="Arial"/>
          <w:sz w:val="24"/>
          <w:szCs w:val="24"/>
          <w:lang w:eastAsia="en-GB"/>
        </w:rPr>
        <w:t xml:space="preserve">above, </w:t>
      </w:r>
      <w:r w:rsidRPr="007F4884">
        <w:rPr>
          <w:rFonts w:ascii="Arial" w:eastAsia="Times New Roman" w:hAnsi="Arial" w:cs="Arial"/>
          <w:sz w:val="24"/>
          <w:szCs w:val="24"/>
          <w:lang w:eastAsia="en-GB"/>
        </w:rPr>
        <w:lastRenderedPageBreak/>
        <w:t>and</w:t>
      </w:r>
      <w:proofErr w:type="gramEnd"/>
      <w:r w:rsidRPr="007F4884">
        <w:rPr>
          <w:rFonts w:ascii="Arial" w:eastAsia="Times New Roman" w:hAnsi="Arial" w:cs="Arial"/>
          <w:sz w:val="24"/>
          <w:szCs w:val="24"/>
          <w:lang w:eastAsia="en-GB"/>
        </w:rPr>
        <w:t xml:space="preserve"> help break the </w:t>
      </w:r>
      <w:r w:rsidR="0094625C" w:rsidRPr="007F4884">
        <w:rPr>
          <w:rFonts w:ascii="Arial" w:eastAsia="Times New Roman" w:hAnsi="Arial" w:cs="Arial"/>
          <w:sz w:val="24"/>
          <w:szCs w:val="24"/>
          <w:lang w:eastAsia="en-GB"/>
        </w:rPr>
        <w:t>dataset down</w:t>
      </w:r>
      <w:r w:rsidRPr="007F4884">
        <w:rPr>
          <w:rFonts w:ascii="Arial" w:eastAsia="Times New Roman" w:hAnsi="Arial" w:cs="Arial"/>
          <w:sz w:val="24"/>
          <w:szCs w:val="24"/>
          <w:lang w:eastAsia="en-GB"/>
        </w:rPr>
        <w:t xml:space="preserve"> into thematic blocks of related information</w:t>
      </w:r>
      <w:r w:rsidR="0038450B" w:rsidRPr="007F4884">
        <w:rPr>
          <w:rFonts w:ascii="Arial" w:eastAsia="Times New Roman" w:hAnsi="Arial" w:cs="Arial"/>
          <w:sz w:val="24"/>
          <w:szCs w:val="24"/>
          <w:lang w:eastAsia="en-GB"/>
        </w:rPr>
        <w:t xml:space="preserve">. </w:t>
      </w:r>
      <w:r w:rsidRPr="007F4884">
        <w:rPr>
          <w:rFonts w:ascii="Arial" w:eastAsia="Times New Roman" w:hAnsi="Arial" w:cs="Arial"/>
          <w:sz w:val="24"/>
          <w:szCs w:val="24"/>
          <w:lang w:eastAsia="en-GB"/>
        </w:rPr>
        <w:t xml:space="preserve">Following ADS and MIDAS Heritage guidance (ADS and Digital Antiquity 2013; MIDAS 2012), established wordlists and controlled vocabularies </w:t>
      </w:r>
      <w:r w:rsidR="0094625C" w:rsidRPr="007F4884">
        <w:rPr>
          <w:rFonts w:ascii="Arial" w:eastAsia="Times New Roman" w:hAnsi="Arial" w:cs="Arial"/>
          <w:sz w:val="24"/>
          <w:szCs w:val="24"/>
          <w:lang w:eastAsia="en-GB"/>
        </w:rPr>
        <w:t>are</w:t>
      </w:r>
      <w:r w:rsidRPr="007F4884">
        <w:rPr>
          <w:rFonts w:ascii="Arial" w:eastAsia="Times New Roman" w:hAnsi="Arial" w:cs="Arial"/>
          <w:sz w:val="24"/>
          <w:szCs w:val="24"/>
          <w:lang w:eastAsia="en-GB"/>
        </w:rPr>
        <w:t xml:space="preserve"> used where necessary to control data entry. </w:t>
      </w:r>
      <w:r w:rsidR="0094625C" w:rsidRPr="007F4884">
        <w:rPr>
          <w:rFonts w:ascii="Arial" w:eastAsia="Times New Roman" w:hAnsi="Arial" w:cs="Arial"/>
          <w:sz w:val="24"/>
          <w:szCs w:val="24"/>
          <w:lang w:eastAsia="en-GB"/>
        </w:rPr>
        <w:t>These</w:t>
      </w:r>
      <w:r w:rsidRPr="007F4884">
        <w:rPr>
          <w:rFonts w:ascii="Arial" w:eastAsia="Times New Roman" w:hAnsi="Arial" w:cs="Arial"/>
          <w:sz w:val="24"/>
          <w:szCs w:val="24"/>
          <w:lang w:eastAsia="en-GB"/>
        </w:rPr>
        <w:t xml:space="preserve"> are described in the “Comparative_Lead_Isotope_Dataset-ADS_Metadata_Statement-Supporting_Documentation” file, so future users can understand how and why data has been entered in this </w:t>
      </w:r>
      <w:proofErr w:type="gramStart"/>
      <w:r w:rsidRPr="007F4884">
        <w:rPr>
          <w:rFonts w:ascii="Arial" w:eastAsia="Times New Roman" w:hAnsi="Arial" w:cs="Arial"/>
          <w:sz w:val="24"/>
          <w:szCs w:val="24"/>
          <w:lang w:eastAsia="en-GB"/>
        </w:rPr>
        <w:t>particular way</w:t>
      </w:r>
      <w:proofErr w:type="gramEnd"/>
      <w:r w:rsidRPr="007F4884">
        <w:rPr>
          <w:rFonts w:ascii="Arial" w:eastAsia="Times New Roman" w:hAnsi="Arial" w:cs="Arial"/>
          <w:sz w:val="24"/>
          <w:szCs w:val="24"/>
          <w:lang w:eastAsia="en-GB"/>
        </w:rPr>
        <w:t>, and to ensure any additions to the dataset conform to the chosen standard vocabularies (MIDAS 2012).</w:t>
      </w:r>
    </w:p>
    <w:p w14:paraId="07A5BAA6" w14:textId="77777777" w:rsidR="003F7A78" w:rsidRPr="007F4884" w:rsidRDefault="003F7A78" w:rsidP="007F4884">
      <w:pPr>
        <w:spacing w:after="0" w:line="360" w:lineRule="auto"/>
        <w:rPr>
          <w:rFonts w:ascii="Arial" w:eastAsia="Times New Roman" w:hAnsi="Arial" w:cs="Arial"/>
          <w:sz w:val="24"/>
          <w:szCs w:val="24"/>
          <w:lang w:eastAsia="en-GB"/>
        </w:rPr>
      </w:pPr>
    </w:p>
    <w:p w14:paraId="7BF61691" w14:textId="41B8D1DE" w:rsidR="003F7A78"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To provide broad chronological information, the period associated with each sample is recorded following standardised terminology and dates recognised by Historic England (2023) and FISH (2023). As this vocabulary only applies to England, locational qualifiers are placed before the period names where the chronologies differ significantly between countries (</w:t>
      </w:r>
      <w:proofErr w:type="gramStart"/>
      <w:r w:rsidRPr="007F4884">
        <w:rPr>
          <w:rFonts w:ascii="Arial" w:eastAsia="Times New Roman" w:hAnsi="Arial" w:cs="Arial"/>
          <w:sz w:val="24"/>
          <w:szCs w:val="24"/>
          <w:lang w:eastAsia="en-GB"/>
        </w:rPr>
        <w:t>i.e.</w:t>
      </w:r>
      <w:proofErr w:type="gramEnd"/>
      <w:r w:rsidRPr="007F4884">
        <w:rPr>
          <w:rFonts w:ascii="Arial" w:eastAsia="Times New Roman" w:hAnsi="Arial" w:cs="Arial"/>
          <w:sz w:val="24"/>
          <w:szCs w:val="24"/>
          <w:lang w:eastAsia="en-GB"/>
        </w:rPr>
        <w:t xml:space="preserve"> “Scottish Iron Age”; “Irish Iron Age”). Dates and date ranges are also given where available to provide specific chronological context (MIDAS 2012</w:t>
      </w:r>
      <w:proofErr w:type="gramStart"/>
      <w:r w:rsidRPr="007F4884">
        <w:rPr>
          <w:rFonts w:ascii="Arial" w:eastAsia="Times New Roman" w:hAnsi="Arial" w:cs="Arial"/>
          <w:sz w:val="24"/>
          <w:szCs w:val="24"/>
          <w:lang w:eastAsia="en-GB"/>
        </w:rPr>
        <w:t>), and</w:t>
      </w:r>
      <w:proofErr w:type="gramEnd"/>
      <w:r w:rsidRPr="007F4884">
        <w:rPr>
          <w:rFonts w:ascii="Arial" w:eastAsia="Times New Roman" w:hAnsi="Arial" w:cs="Arial"/>
          <w:sz w:val="24"/>
          <w:szCs w:val="24"/>
          <w:lang w:eastAsia="en-GB"/>
        </w:rPr>
        <w:t xml:space="preserve"> have been derived from radiocarbon dating (differentiated by “</w:t>
      </w:r>
      <w:proofErr w:type="spellStart"/>
      <w:r w:rsidRPr="007F4884">
        <w:rPr>
          <w:rFonts w:ascii="Arial" w:eastAsia="Times New Roman" w:hAnsi="Arial" w:cs="Arial"/>
          <w:sz w:val="24"/>
          <w:szCs w:val="24"/>
          <w:lang w:eastAsia="en-GB"/>
        </w:rPr>
        <w:t>cal</w:t>
      </w:r>
      <w:proofErr w:type="spellEnd"/>
      <w:r w:rsidRPr="007F4884">
        <w:rPr>
          <w:rFonts w:ascii="Arial" w:eastAsia="Times New Roman" w:hAnsi="Arial" w:cs="Arial"/>
          <w:sz w:val="24"/>
          <w:szCs w:val="24"/>
          <w:lang w:eastAsia="en-GB"/>
        </w:rPr>
        <w:t xml:space="preserve"> AD/BC”), grave goods assessments, and nameplates. To </w:t>
      </w:r>
      <w:r w:rsidR="008E7151" w:rsidRPr="007F4884">
        <w:rPr>
          <w:rFonts w:ascii="Arial" w:eastAsia="Times New Roman" w:hAnsi="Arial" w:cs="Arial"/>
          <w:sz w:val="24"/>
          <w:szCs w:val="24"/>
          <w:lang w:eastAsia="en-GB"/>
        </w:rPr>
        <w:t>standardise data presentation</w:t>
      </w:r>
      <w:r w:rsidRPr="007F4884">
        <w:rPr>
          <w:rFonts w:ascii="Arial" w:eastAsia="Times New Roman" w:hAnsi="Arial" w:cs="Arial"/>
          <w:sz w:val="24"/>
          <w:szCs w:val="24"/>
          <w:lang w:eastAsia="en-GB"/>
        </w:rPr>
        <w:t xml:space="preserve">, all dates follow the format of “date/date range” followed by “AD/BC”, rather than using the negative integers suggested by MIDAS </w:t>
      </w:r>
      <w:r w:rsidR="00AA3B10" w:rsidRPr="007F4884">
        <w:rPr>
          <w:rFonts w:ascii="Arial" w:eastAsia="Times New Roman" w:hAnsi="Arial" w:cs="Arial"/>
          <w:sz w:val="24"/>
          <w:szCs w:val="24"/>
          <w:lang w:eastAsia="en-GB"/>
        </w:rPr>
        <w:t>H</w:t>
      </w:r>
      <w:r w:rsidRPr="007F4884">
        <w:rPr>
          <w:rFonts w:ascii="Arial" w:eastAsia="Times New Roman" w:hAnsi="Arial" w:cs="Arial"/>
          <w:sz w:val="24"/>
          <w:szCs w:val="24"/>
          <w:lang w:eastAsia="en-GB"/>
        </w:rPr>
        <w:t>eritage standards (2012) for prehistoric samples. Unlike specific years (integer data), date ranges cannot be mathematically analysed in excel</w:t>
      </w:r>
      <w:r w:rsidR="00FF4A2D" w:rsidRPr="007F4884">
        <w:rPr>
          <w:rFonts w:ascii="Arial" w:eastAsia="Times New Roman" w:hAnsi="Arial" w:cs="Arial"/>
          <w:sz w:val="24"/>
          <w:szCs w:val="24"/>
          <w:lang w:eastAsia="en-GB"/>
        </w:rPr>
        <w:t xml:space="preserve"> without </w:t>
      </w:r>
      <w:r w:rsidR="00EE3AF9" w:rsidRPr="007F4884">
        <w:rPr>
          <w:rFonts w:ascii="Arial" w:eastAsia="Times New Roman" w:hAnsi="Arial" w:cs="Arial"/>
          <w:sz w:val="24"/>
          <w:szCs w:val="24"/>
          <w:lang w:eastAsia="en-GB"/>
        </w:rPr>
        <w:t xml:space="preserve">introducing </w:t>
      </w:r>
      <w:r w:rsidR="009D2542" w:rsidRPr="007F4884">
        <w:rPr>
          <w:rFonts w:ascii="Arial" w:eastAsia="Times New Roman" w:hAnsi="Arial" w:cs="Arial"/>
          <w:sz w:val="24"/>
          <w:szCs w:val="24"/>
          <w:lang w:eastAsia="en-GB"/>
        </w:rPr>
        <w:t>more complex</w:t>
      </w:r>
      <w:r w:rsidR="00FF4A2D" w:rsidRPr="007F4884">
        <w:rPr>
          <w:rFonts w:ascii="Arial" w:eastAsia="Times New Roman" w:hAnsi="Arial" w:cs="Arial"/>
          <w:sz w:val="24"/>
          <w:szCs w:val="24"/>
          <w:lang w:eastAsia="en-GB"/>
        </w:rPr>
        <w:t xml:space="preserve"> data entry</w:t>
      </w:r>
      <w:r w:rsidR="0044636A" w:rsidRPr="007F4884">
        <w:rPr>
          <w:rFonts w:ascii="Arial" w:eastAsia="Times New Roman" w:hAnsi="Arial" w:cs="Arial"/>
          <w:sz w:val="24"/>
          <w:szCs w:val="24"/>
          <w:lang w:eastAsia="en-GB"/>
        </w:rPr>
        <w:t xml:space="preserve"> fields</w:t>
      </w:r>
      <w:r w:rsidR="0008327D" w:rsidRPr="007F4884">
        <w:rPr>
          <w:rFonts w:ascii="Arial" w:eastAsia="Times New Roman" w:hAnsi="Arial" w:cs="Arial"/>
          <w:sz w:val="24"/>
          <w:szCs w:val="24"/>
          <w:lang w:eastAsia="en-GB"/>
        </w:rPr>
        <w:t>,</w:t>
      </w:r>
      <w:r w:rsidRPr="007F4884">
        <w:rPr>
          <w:rFonts w:ascii="Arial" w:eastAsia="Times New Roman" w:hAnsi="Arial" w:cs="Arial"/>
          <w:sz w:val="24"/>
          <w:szCs w:val="24"/>
          <w:lang w:eastAsia="en-GB"/>
        </w:rPr>
        <w:t xml:space="preserve"> so </w:t>
      </w:r>
      <w:r w:rsidR="00DB2EC5" w:rsidRPr="007F4884">
        <w:rPr>
          <w:rFonts w:ascii="Arial" w:eastAsia="Times New Roman" w:hAnsi="Arial" w:cs="Arial"/>
          <w:sz w:val="24"/>
          <w:szCs w:val="24"/>
          <w:lang w:eastAsia="en-GB"/>
        </w:rPr>
        <w:t>wouldn’t</w:t>
      </w:r>
      <w:r w:rsidRPr="007F4884">
        <w:rPr>
          <w:rFonts w:ascii="Arial" w:eastAsia="Times New Roman" w:hAnsi="Arial" w:cs="Arial"/>
          <w:sz w:val="24"/>
          <w:szCs w:val="24"/>
          <w:lang w:eastAsia="en-GB"/>
        </w:rPr>
        <w:t xml:space="preserve"> benefit from this format.</w:t>
      </w:r>
    </w:p>
    <w:p w14:paraId="2ACCB595" w14:textId="77777777" w:rsidR="003F7A78" w:rsidRPr="007F4884" w:rsidRDefault="003F7A78" w:rsidP="007F4884">
      <w:pPr>
        <w:spacing w:after="0" w:line="360" w:lineRule="auto"/>
        <w:rPr>
          <w:rFonts w:ascii="Arial" w:eastAsia="Times New Roman" w:hAnsi="Arial" w:cs="Arial"/>
          <w:sz w:val="24"/>
          <w:szCs w:val="24"/>
          <w:lang w:eastAsia="en-GB"/>
        </w:rPr>
      </w:pPr>
    </w:p>
    <w:p w14:paraId="6E16D92A" w14:textId="41F2F5B1" w:rsidR="00F87FC8" w:rsidRPr="006C2652" w:rsidRDefault="008471E6" w:rsidP="006C2652">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It is important to remain as true to the consulted </w:t>
      </w:r>
      <w:r w:rsidR="00F13EEC" w:rsidRPr="007F4884">
        <w:rPr>
          <w:rFonts w:ascii="Arial" w:eastAsia="Times New Roman" w:hAnsi="Arial" w:cs="Arial"/>
          <w:sz w:val="24"/>
          <w:szCs w:val="24"/>
          <w:lang w:eastAsia="en-GB"/>
        </w:rPr>
        <w:t>literature</w:t>
      </w:r>
      <w:r w:rsidRPr="007F4884">
        <w:rPr>
          <w:rFonts w:ascii="Arial" w:eastAsia="Times New Roman" w:hAnsi="Arial" w:cs="Arial"/>
          <w:sz w:val="24"/>
          <w:szCs w:val="24"/>
          <w:lang w:eastAsia="en-GB"/>
        </w:rPr>
        <w:t xml:space="preserve"> as possible whilst categorising and classifying the data, so as not to assign new meanings to it. As such, some samples may be </w:t>
      </w:r>
      <w:r w:rsidR="00034B49" w:rsidRPr="007F4884">
        <w:rPr>
          <w:rFonts w:ascii="Arial" w:eastAsia="Times New Roman" w:hAnsi="Arial" w:cs="Arial"/>
          <w:sz w:val="24"/>
          <w:szCs w:val="24"/>
          <w:lang w:eastAsia="en-GB"/>
        </w:rPr>
        <w:t>recorded</w:t>
      </w:r>
      <w:r w:rsidRPr="007F4884">
        <w:rPr>
          <w:rFonts w:ascii="Arial" w:eastAsia="Times New Roman" w:hAnsi="Arial" w:cs="Arial"/>
          <w:sz w:val="24"/>
          <w:szCs w:val="24"/>
          <w:lang w:eastAsia="en-GB"/>
        </w:rPr>
        <w:t xml:space="preserve"> as belonging to a specific period</w:t>
      </w:r>
      <w:r w:rsidR="007023C0" w:rsidRPr="007F4884">
        <w:rPr>
          <w:rFonts w:ascii="Arial" w:eastAsia="Times New Roman" w:hAnsi="Arial" w:cs="Arial"/>
          <w:sz w:val="24"/>
          <w:szCs w:val="24"/>
          <w:lang w:eastAsia="en-GB"/>
        </w:rPr>
        <w:t xml:space="preserve"> to comply with </w:t>
      </w:r>
      <w:r w:rsidR="00034B49" w:rsidRPr="007F4884">
        <w:rPr>
          <w:rFonts w:ascii="Arial" w:eastAsia="Times New Roman" w:hAnsi="Arial" w:cs="Arial"/>
          <w:sz w:val="24"/>
          <w:szCs w:val="24"/>
          <w:lang w:eastAsia="en-GB"/>
        </w:rPr>
        <w:t>classifications</w:t>
      </w:r>
      <w:r w:rsidR="002E26B3" w:rsidRPr="007F4884">
        <w:rPr>
          <w:rFonts w:ascii="Arial" w:eastAsia="Times New Roman" w:hAnsi="Arial" w:cs="Arial"/>
          <w:sz w:val="24"/>
          <w:szCs w:val="24"/>
          <w:lang w:eastAsia="en-GB"/>
        </w:rPr>
        <w:t xml:space="preserve"> within the</w:t>
      </w:r>
      <w:r w:rsidR="007023C0" w:rsidRPr="007F4884">
        <w:rPr>
          <w:rFonts w:ascii="Arial" w:eastAsia="Times New Roman" w:hAnsi="Arial" w:cs="Arial"/>
          <w:sz w:val="24"/>
          <w:szCs w:val="24"/>
          <w:lang w:eastAsia="en-GB"/>
        </w:rPr>
        <w:t xml:space="preserve"> </w:t>
      </w:r>
      <w:r w:rsidR="007C2D16" w:rsidRPr="007F4884">
        <w:rPr>
          <w:rFonts w:ascii="Arial" w:eastAsia="Times New Roman" w:hAnsi="Arial" w:cs="Arial"/>
          <w:sz w:val="24"/>
          <w:szCs w:val="24"/>
          <w:lang w:eastAsia="en-GB"/>
        </w:rPr>
        <w:t>literature</w:t>
      </w:r>
      <w:r w:rsidRPr="007F4884">
        <w:rPr>
          <w:rFonts w:ascii="Arial" w:eastAsia="Times New Roman" w:hAnsi="Arial" w:cs="Arial"/>
          <w:sz w:val="24"/>
          <w:szCs w:val="24"/>
          <w:lang w:eastAsia="en-GB"/>
        </w:rPr>
        <w:t>, despite th</w:t>
      </w:r>
      <w:r w:rsidR="001434B6" w:rsidRPr="007F4884">
        <w:rPr>
          <w:rFonts w:ascii="Arial" w:eastAsia="Times New Roman" w:hAnsi="Arial" w:cs="Arial"/>
          <w:sz w:val="24"/>
          <w:szCs w:val="24"/>
          <w:lang w:eastAsia="en-GB"/>
        </w:rPr>
        <w:t xml:space="preserve">e date(s) overlapping with </w:t>
      </w:r>
      <w:r w:rsidR="00A10A80" w:rsidRPr="007F4884">
        <w:rPr>
          <w:rFonts w:ascii="Arial" w:eastAsia="Times New Roman" w:hAnsi="Arial" w:cs="Arial"/>
          <w:sz w:val="24"/>
          <w:szCs w:val="24"/>
          <w:lang w:eastAsia="en-GB"/>
        </w:rPr>
        <w:t>other periods</w:t>
      </w:r>
      <w:r w:rsidR="007023C0" w:rsidRPr="007F4884">
        <w:rPr>
          <w:rFonts w:ascii="Arial" w:eastAsia="Times New Roman" w:hAnsi="Arial" w:cs="Arial"/>
          <w:sz w:val="24"/>
          <w:szCs w:val="24"/>
          <w:lang w:eastAsia="en-GB"/>
        </w:rPr>
        <w:t>.</w:t>
      </w:r>
      <w:r w:rsidR="006C2652">
        <w:rPr>
          <w:rFonts w:ascii="Arial" w:eastAsia="Times New Roman" w:hAnsi="Arial" w:cs="Arial"/>
          <w:sz w:val="24"/>
          <w:szCs w:val="24"/>
          <w:lang w:eastAsia="en-GB"/>
        </w:rPr>
        <w:t xml:space="preserve"> </w:t>
      </w:r>
      <w:r w:rsidR="003D3235" w:rsidRPr="007F4884">
        <w:rPr>
          <w:rFonts w:ascii="Arial" w:eastAsia="Times New Roman" w:hAnsi="Arial" w:cs="Arial"/>
          <w:sz w:val="24"/>
          <w:szCs w:val="24"/>
          <w:lang w:eastAsia="en-GB"/>
        </w:rPr>
        <w:t xml:space="preserve">For example, </w:t>
      </w:r>
      <w:r w:rsidR="00FB5E56" w:rsidRPr="007F4884">
        <w:rPr>
          <w:rFonts w:ascii="Arial" w:eastAsia="Times New Roman" w:hAnsi="Arial" w:cs="Arial"/>
          <w:sz w:val="24"/>
          <w:szCs w:val="24"/>
          <w:lang w:eastAsia="en-GB"/>
        </w:rPr>
        <w:t xml:space="preserve">as </w:t>
      </w:r>
      <w:r w:rsidR="003D3235" w:rsidRPr="007F4884">
        <w:rPr>
          <w:rFonts w:ascii="Arial" w:eastAsia="Times New Roman" w:hAnsi="Arial" w:cs="Arial"/>
          <w:sz w:val="24"/>
          <w:szCs w:val="24"/>
          <w:lang w:eastAsia="en-GB"/>
        </w:rPr>
        <w:t xml:space="preserve">decapitated individuals from Musselburgh, Scotland </w:t>
      </w:r>
      <w:r w:rsidR="00F32C40" w:rsidRPr="007F4884">
        <w:rPr>
          <w:rFonts w:ascii="Arial" w:eastAsia="Times New Roman" w:hAnsi="Arial" w:cs="Arial"/>
          <w:sz w:val="24"/>
          <w:szCs w:val="24"/>
          <w:lang w:eastAsia="en-GB"/>
        </w:rPr>
        <w:t>have been</w:t>
      </w:r>
      <w:r w:rsidR="003D3235" w:rsidRPr="007F4884">
        <w:rPr>
          <w:rFonts w:ascii="Arial" w:eastAsia="Times New Roman" w:hAnsi="Arial" w:cs="Arial"/>
          <w:sz w:val="24"/>
          <w:szCs w:val="24"/>
          <w:lang w:eastAsia="en-GB"/>
        </w:rPr>
        <w:t xml:space="preserve"> </w:t>
      </w:r>
      <w:r w:rsidR="00F32C40" w:rsidRPr="007F4884">
        <w:rPr>
          <w:rFonts w:ascii="Arial" w:eastAsia="Times New Roman" w:hAnsi="Arial" w:cs="Arial"/>
          <w:sz w:val="24"/>
          <w:szCs w:val="24"/>
          <w:lang w:eastAsia="en-GB"/>
        </w:rPr>
        <w:t>interpreted</w:t>
      </w:r>
      <w:r w:rsidR="003D3235" w:rsidRPr="007F4884">
        <w:rPr>
          <w:rFonts w:ascii="Arial" w:eastAsia="Times New Roman" w:hAnsi="Arial" w:cs="Arial"/>
          <w:sz w:val="24"/>
          <w:szCs w:val="24"/>
          <w:lang w:eastAsia="en-GB"/>
        </w:rPr>
        <w:t xml:space="preserve"> as belonging to the Roman period in the </w:t>
      </w:r>
      <w:r w:rsidR="00FB5E56" w:rsidRPr="007F4884">
        <w:rPr>
          <w:rFonts w:ascii="Arial" w:eastAsia="Times New Roman" w:hAnsi="Arial" w:cs="Arial"/>
          <w:sz w:val="24"/>
          <w:szCs w:val="24"/>
          <w:lang w:eastAsia="en-GB"/>
        </w:rPr>
        <w:t xml:space="preserve">literature, they </w:t>
      </w:r>
      <w:r w:rsidR="00F32C40" w:rsidRPr="007F4884">
        <w:rPr>
          <w:rFonts w:ascii="Arial" w:eastAsia="Times New Roman" w:hAnsi="Arial" w:cs="Arial"/>
          <w:sz w:val="24"/>
          <w:szCs w:val="24"/>
          <w:lang w:eastAsia="en-GB"/>
        </w:rPr>
        <w:t xml:space="preserve">are classified the same in the dataset </w:t>
      </w:r>
      <w:r w:rsidR="003D3235" w:rsidRPr="007F4884">
        <w:rPr>
          <w:rFonts w:ascii="Arial" w:eastAsia="Times New Roman" w:hAnsi="Arial" w:cs="Arial"/>
          <w:sz w:val="24"/>
          <w:szCs w:val="24"/>
          <w:lang w:eastAsia="en-GB"/>
        </w:rPr>
        <w:t xml:space="preserve">despite their </w:t>
      </w:r>
      <w:r w:rsidR="00FB5E56" w:rsidRPr="007F4884">
        <w:rPr>
          <w:rFonts w:ascii="Arial" w:eastAsia="Times New Roman" w:hAnsi="Arial" w:cs="Arial"/>
          <w:sz w:val="24"/>
          <w:szCs w:val="24"/>
          <w:lang w:eastAsia="en-GB"/>
        </w:rPr>
        <w:t xml:space="preserve">radiocarbon dates </w:t>
      </w:r>
      <w:r w:rsidR="00F32C40" w:rsidRPr="007F4884">
        <w:rPr>
          <w:rFonts w:ascii="Arial" w:eastAsia="Times New Roman" w:hAnsi="Arial" w:cs="Arial"/>
          <w:sz w:val="24"/>
          <w:szCs w:val="24"/>
          <w:lang w:eastAsia="en-GB"/>
        </w:rPr>
        <w:t xml:space="preserve">also </w:t>
      </w:r>
      <w:r w:rsidR="00FB5E56" w:rsidRPr="007F4884">
        <w:rPr>
          <w:rFonts w:ascii="Arial" w:eastAsia="Times New Roman" w:hAnsi="Arial" w:cs="Arial"/>
          <w:sz w:val="24"/>
          <w:szCs w:val="24"/>
          <w:lang w:eastAsia="en-GB"/>
        </w:rPr>
        <w:t>overlapping with the Scottish Iron Age</w:t>
      </w:r>
      <w:r w:rsidR="007F2D2E" w:rsidRPr="007F4884">
        <w:rPr>
          <w:rFonts w:ascii="Arial" w:eastAsia="Times New Roman" w:hAnsi="Arial" w:cs="Arial"/>
          <w:sz w:val="24"/>
          <w:szCs w:val="24"/>
          <w:lang w:eastAsia="en-GB"/>
        </w:rPr>
        <w:t xml:space="preserve"> (Moore </w:t>
      </w:r>
      <w:r w:rsidR="007F2D2E" w:rsidRPr="007F4884">
        <w:rPr>
          <w:rFonts w:ascii="Arial" w:eastAsia="Times New Roman" w:hAnsi="Arial" w:cs="Arial"/>
          <w:i/>
          <w:iCs/>
          <w:sz w:val="24"/>
          <w:szCs w:val="24"/>
          <w:lang w:eastAsia="en-GB"/>
        </w:rPr>
        <w:t>et al.</w:t>
      </w:r>
      <w:r w:rsidR="007F2D2E" w:rsidRPr="007F4884">
        <w:rPr>
          <w:rFonts w:ascii="Arial" w:eastAsia="Times New Roman" w:hAnsi="Arial" w:cs="Arial"/>
          <w:sz w:val="24"/>
          <w:szCs w:val="24"/>
          <w:lang w:eastAsia="en-GB"/>
        </w:rPr>
        <w:t xml:space="preserve"> 2020).</w:t>
      </w:r>
      <w:r w:rsidR="00303754" w:rsidRPr="007F4884">
        <w:rPr>
          <w:rFonts w:ascii="Arial" w:eastAsia="Times New Roman" w:hAnsi="Arial" w:cs="Arial"/>
          <w:sz w:val="24"/>
          <w:szCs w:val="24"/>
          <w:lang w:eastAsia="en-GB"/>
        </w:rPr>
        <w:t xml:space="preserve"> </w:t>
      </w:r>
      <w:r w:rsidR="009C75B6" w:rsidRPr="007F4884">
        <w:rPr>
          <w:rFonts w:ascii="Arial" w:eastAsia="Times New Roman" w:hAnsi="Arial" w:cs="Arial"/>
          <w:sz w:val="24"/>
          <w:szCs w:val="24"/>
          <w:lang w:eastAsia="en-GB"/>
        </w:rPr>
        <w:t xml:space="preserve">Consulting comparative data from contemporaneous populations is crucial to situate analysed skeletal remains and their isotope data within the wider chronological context. </w:t>
      </w:r>
      <w:r w:rsidR="00C02AFF" w:rsidRPr="007F4884">
        <w:rPr>
          <w:rFonts w:ascii="Arial" w:eastAsia="Times New Roman" w:hAnsi="Arial" w:cs="Arial"/>
          <w:sz w:val="24"/>
          <w:szCs w:val="24"/>
          <w:lang w:eastAsia="en-GB"/>
        </w:rPr>
        <w:t xml:space="preserve">As dating information is </w:t>
      </w:r>
      <w:r w:rsidR="00C02AFF" w:rsidRPr="007F4884">
        <w:rPr>
          <w:rFonts w:ascii="Arial" w:eastAsia="Times New Roman" w:hAnsi="Arial" w:cs="Arial"/>
          <w:sz w:val="24"/>
          <w:szCs w:val="24"/>
          <w:lang w:eastAsia="en-GB"/>
        </w:rPr>
        <w:lastRenderedPageBreak/>
        <w:t>arguably the most useful contextual information included here, the samples are catalogued in chronological order</w:t>
      </w:r>
      <w:r w:rsidR="003C2B2A" w:rsidRPr="007F4884">
        <w:rPr>
          <w:rFonts w:ascii="Arial" w:eastAsia="Times New Roman" w:hAnsi="Arial" w:cs="Arial"/>
          <w:sz w:val="24"/>
          <w:szCs w:val="24"/>
          <w:lang w:eastAsia="en-GB"/>
        </w:rPr>
        <w:t xml:space="preserve"> </w:t>
      </w:r>
      <w:r w:rsidR="00021D70" w:rsidRPr="007F4884">
        <w:rPr>
          <w:rFonts w:ascii="Arial" w:eastAsia="Times New Roman" w:hAnsi="Arial" w:cs="Arial"/>
          <w:sz w:val="24"/>
          <w:szCs w:val="24"/>
          <w:lang w:eastAsia="en-GB"/>
        </w:rPr>
        <w:t>by site name.</w:t>
      </w:r>
    </w:p>
    <w:p w14:paraId="71CD62EE" w14:textId="77777777" w:rsidR="00ED1A71" w:rsidRPr="007F4884" w:rsidRDefault="00ED1A71" w:rsidP="007F4884">
      <w:pPr>
        <w:spacing w:after="0" w:line="360" w:lineRule="auto"/>
        <w:ind w:firstLine="720"/>
        <w:rPr>
          <w:rFonts w:ascii="Arial" w:eastAsia="Times New Roman" w:hAnsi="Arial" w:cs="Arial"/>
          <w:sz w:val="24"/>
          <w:szCs w:val="24"/>
          <w:lang w:eastAsia="en-GB"/>
        </w:rPr>
      </w:pPr>
    </w:p>
    <w:p w14:paraId="518D125C" w14:textId="576C2EEA" w:rsidR="006C14DA" w:rsidRPr="007F4884" w:rsidRDefault="00F87FC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Country and region are recorded as it is necessary to be able to filter the dataset to identify relevant comparative </w:t>
      </w:r>
      <w:r w:rsidR="00966214" w:rsidRPr="007F4884">
        <w:rPr>
          <w:rFonts w:ascii="Arial" w:eastAsia="Times New Roman" w:hAnsi="Arial" w:cs="Arial"/>
          <w:sz w:val="24"/>
          <w:szCs w:val="24"/>
          <w:lang w:eastAsia="en-GB"/>
        </w:rPr>
        <w:t>data</w:t>
      </w:r>
      <w:r w:rsidRPr="007F4884">
        <w:rPr>
          <w:rFonts w:ascii="Arial" w:eastAsia="Times New Roman" w:hAnsi="Arial" w:cs="Arial"/>
          <w:sz w:val="24"/>
          <w:szCs w:val="24"/>
          <w:lang w:eastAsia="en-GB"/>
        </w:rPr>
        <w:t xml:space="preserve"> from similar geographical areas.</w:t>
      </w:r>
      <w:r w:rsidR="00ED1A71" w:rsidRPr="007F4884">
        <w:rPr>
          <w:rFonts w:ascii="Arial" w:eastAsia="Times New Roman" w:hAnsi="Arial" w:cs="Arial"/>
          <w:sz w:val="24"/>
          <w:szCs w:val="24"/>
          <w:lang w:eastAsia="en-GB"/>
        </w:rPr>
        <w:t xml:space="preserve"> </w:t>
      </w:r>
      <w:r w:rsidR="006C14DA" w:rsidRPr="007F4884">
        <w:rPr>
          <w:rFonts w:ascii="Arial" w:eastAsia="Times New Roman" w:hAnsi="Arial" w:cs="Arial"/>
          <w:sz w:val="24"/>
          <w:szCs w:val="24"/>
          <w:lang w:eastAsia="en-GB"/>
        </w:rPr>
        <w:t xml:space="preserve">Documenting site names is essential </w:t>
      </w:r>
      <w:r w:rsidR="005E4D4C" w:rsidRPr="007F4884">
        <w:rPr>
          <w:rFonts w:ascii="Arial" w:eastAsia="Times New Roman" w:hAnsi="Arial" w:cs="Arial"/>
          <w:sz w:val="24"/>
          <w:szCs w:val="24"/>
          <w:lang w:eastAsia="en-GB"/>
        </w:rPr>
        <w:t xml:space="preserve">for referring to </w:t>
      </w:r>
      <w:r w:rsidR="00966214" w:rsidRPr="007F4884">
        <w:rPr>
          <w:rFonts w:ascii="Arial" w:eastAsia="Times New Roman" w:hAnsi="Arial" w:cs="Arial"/>
          <w:sz w:val="24"/>
          <w:szCs w:val="24"/>
          <w:lang w:eastAsia="en-GB"/>
        </w:rPr>
        <w:t xml:space="preserve">this </w:t>
      </w:r>
      <w:r w:rsidR="005E4D4C" w:rsidRPr="007F4884">
        <w:rPr>
          <w:rFonts w:ascii="Arial" w:eastAsia="Times New Roman" w:hAnsi="Arial" w:cs="Arial"/>
          <w:sz w:val="24"/>
          <w:szCs w:val="24"/>
          <w:lang w:eastAsia="en-GB"/>
        </w:rPr>
        <w:t>comparative data in writing</w:t>
      </w:r>
      <w:r w:rsidR="00966214" w:rsidRPr="007F4884">
        <w:rPr>
          <w:rFonts w:ascii="Arial" w:eastAsia="Times New Roman" w:hAnsi="Arial" w:cs="Arial"/>
          <w:sz w:val="24"/>
          <w:szCs w:val="24"/>
          <w:lang w:eastAsia="en-GB"/>
        </w:rPr>
        <w:t xml:space="preserve"> and </w:t>
      </w:r>
      <w:r w:rsidR="00EA13B5" w:rsidRPr="007F4884">
        <w:rPr>
          <w:rFonts w:ascii="Arial" w:eastAsia="Times New Roman" w:hAnsi="Arial" w:cs="Arial"/>
          <w:sz w:val="24"/>
          <w:szCs w:val="24"/>
          <w:lang w:eastAsia="en-GB"/>
        </w:rPr>
        <w:t xml:space="preserve">data visualisation graphs. Unfortunately, </w:t>
      </w:r>
      <w:r w:rsidR="00ED1A71" w:rsidRPr="007F4884">
        <w:rPr>
          <w:rFonts w:ascii="Arial" w:eastAsia="Times New Roman" w:hAnsi="Arial" w:cs="Arial"/>
          <w:sz w:val="24"/>
          <w:szCs w:val="24"/>
          <w:lang w:eastAsia="en-GB"/>
        </w:rPr>
        <w:t>no coordinate data is available to plot sites onto a map (</w:t>
      </w:r>
      <w:proofErr w:type="gramStart"/>
      <w:r w:rsidR="00ED1A71" w:rsidRPr="007F4884">
        <w:rPr>
          <w:rFonts w:ascii="Arial" w:eastAsia="Times New Roman" w:hAnsi="Arial" w:cs="Arial"/>
          <w:sz w:val="24"/>
          <w:szCs w:val="24"/>
          <w:lang w:eastAsia="en-GB"/>
        </w:rPr>
        <w:t>e.g.</w:t>
      </w:r>
      <w:proofErr w:type="gramEnd"/>
      <w:r w:rsidR="00ED1A71" w:rsidRPr="007F4884">
        <w:rPr>
          <w:rFonts w:ascii="Arial" w:eastAsia="Times New Roman" w:hAnsi="Arial" w:cs="Arial"/>
          <w:sz w:val="24"/>
          <w:szCs w:val="24"/>
          <w:lang w:eastAsia="en-GB"/>
        </w:rPr>
        <w:t xml:space="preserve"> using ArcGIS), although this is an aim for the future.</w:t>
      </w:r>
    </w:p>
    <w:p w14:paraId="03F6994F" w14:textId="372977B6" w:rsidR="00ED1A71" w:rsidRPr="007F4884" w:rsidRDefault="00ED1A71" w:rsidP="007F4884">
      <w:pPr>
        <w:spacing w:after="0" w:line="360" w:lineRule="auto"/>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Each sample </w:t>
      </w:r>
      <w:r w:rsidR="00C954ED" w:rsidRPr="007F4884">
        <w:rPr>
          <w:rFonts w:ascii="Arial" w:eastAsia="Times New Roman" w:hAnsi="Arial" w:cs="Arial"/>
          <w:sz w:val="24"/>
          <w:szCs w:val="24"/>
          <w:lang w:eastAsia="en-GB"/>
        </w:rPr>
        <w:t xml:space="preserve">also </w:t>
      </w:r>
      <w:r w:rsidRPr="007F4884">
        <w:rPr>
          <w:rFonts w:ascii="Arial" w:eastAsia="Times New Roman" w:hAnsi="Arial" w:cs="Arial"/>
          <w:sz w:val="24"/>
          <w:szCs w:val="24"/>
          <w:lang w:eastAsia="en-GB"/>
        </w:rPr>
        <w:t>has its own unique identification number from the literature, and whilst only enamel samples have been collected so far, it will be possible to filter by sample type when more data is added.</w:t>
      </w:r>
    </w:p>
    <w:p w14:paraId="18088C39" w14:textId="77777777" w:rsidR="003F7A78" w:rsidRPr="007F4884" w:rsidRDefault="003F7A78" w:rsidP="007F4884">
      <w:pPr>
        <w:spacing w:after="0" w:line="360" w:lineRule="auto"/>
        <w:rPr>
          <w:rFonts w:ascii="Arial" w:eastAsia="Times New Roman" w:hAnsi="Arial" w:cs="Arial"/>
          <w:sz w:val="24"/>
          <w:szCs w:val="24"/>
          <w:lang w:eastAsia="en-GB"/>
        </w:rPr>
      </w:pPr>
    </w:p>
    <w:p w14:paraId="192B7AC2" w14:textId="41E163F9" w:rsidR="00745247"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White and </w:t>
      </w:r>
      <w:proofErr w:type="spellStart"/>
      <w:r w:rsidRPr="007F4884">
        <w:rPr>
          <w:rFonts w:ascii="Arial" w:eastAsia="Times New Roman" w:hAnsi="Arial" w:cs="Arial"/>
          <w:sz w:val="24"/>
          <w:szCs w:val="24"/>
          <w:lang w:eastAsia="en-GB"/>
        </w:rPr>
        <w:t>Folkens</w:t>
      </w:r>
      <w:proofErr w:type="spellEnd"/>
      <w:r w:rsidRPr="007F4884">
        <w:rPr>
          <w:rFonts w:ascii="Arial" w:eastAsia="Times New Roman" w:hAnsi="Arial" w:cs="Arial"/>
          <w:sz w:val="24"/>
          <w:szCs w:val="24"/>
          <w:lang w:eastAsia="en-GB"/>
        </w:rPr>
        <w:t xml:space="preserve">’ (1991) tooth notation standard is most prominent in the </w:t>
      </w:r>
      <w:proofErr w:type="gramStart"/>
      <w:r w:rsidRPr="007F4884">
        <w:rPr>
          <w:rFonts w:ascii="Arial" w:eastAsia="Times New Roman" w:hAnsi="Arial" w:cs="Arial"/>
          <w:sz w:val="24"/>
          <w:szCs w:val="24"/>
          <w:lang w:eastAsia="en-GB"/>
        </w:rPr>
        <w:t>literature, and</w:t>
      </w:r>
      <w:proofErr w:type="gramEnd"/>
      <w:r w:rsidRPr="007F4884">
        <w:rPr>
          <w:rFonts w:ascii="Arial" w:eastAsia="Times New Roman" w:hAnsi="Arial" w:cs="Arial"/>
          <w:sz w:val="24"/>
          <w:szCs w:val="24"/>
          <w:lang w:eastAsia="en-GB"/>
        </w:rPr>
        <w:t xml:space="preserve"> is used here as the straightforward format using initials, numbers and superscript/subscript makes visually identifying a sample’s tooth type simple and efficient. However, font formatting is often lost in data migration to plain text format, risking loss of information about exact positions of sampled teeth in the dental arcade. To combat this, tooth type is also recorded using the FDI notation (Leatherman 1972), which assigns each tooth a specific number, but may be more complex for non-specialists to decipher quickly. Although this is data duplication, both notation styles</w:t>
      </w:r>
      <w:r w:rsidR="0078727B" w:rsidRPr="007F4884">
        <w:rPr>
          <w:rFonts w:ascii="Arial" w:eastAsia="Times New Roman" w:hAnsi="Arial" w:cs="Arial"/>
          <w:sz w:val="24"/>
          <w:szCs w:val="24"/>
          <w:lang w:eastAsia="en-GB"/>
        </w:rPr>
        <w:t xml:space="preserve"> </w:t>
      </w:r>
      <w:r w:rsidRPr="007F4884">
        <w:rPr>
          <w:rFonts w:ascii="Arial" w:eastAsia="Times New Roman" w:hAnsi="Arial" w:cs="Arial"/>
          <w:sz w:val="24"/>
          <w:szCs w:val="24"/>
          <w:lang w:eastAsia="en-GB"/>
        </w:rPr>
        <w:t xml:space="preserve">serve the dataset in unique ways and facilitate preservation of sampled tooth type data. This is especially important as isotope analysis is destructive, and tooth type can impact how measured isotope ratios and concentrations are interpreted (Richards 2004; Mays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2013; 2023).</w:t>
      </w:r>
    </w:p>
    <w:p w14:paraId="3BBAE71E" w14:textId="77777777" w:rsidR="003F7A78" w:rsidRPr="007F4884" w:rsidRDefault="003F7A78" w:rsidP="007F4884">
      <w:pPr>
        <w:spacing w:after="0" w:line="360" w:lineRule="auto"/>
        <w:rPr>
          <w:rFonts w:ascii="Arial" w:eastAsia="Times New Roman" w:hAnsi="Arial" w:cs="Arial"/>
          <w:sz w:val="24"/>
          <w:szCs w:val="24"/>
          <w:lang w:eastAsia="en-GB"/>
        </w:rPr>
      </w:pPr>
    </w:p>
    <w:p w14:paraId="10F0C214" w14:textId="6F653166" w:rsidR="00745247"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Biological sex and age-at-death estimation information is essential to align isotope data with the </w:t>
      </w:r>
      <w:proofErr w:type="spellStart"/>
      <w:r w:rsidRPr="007F4884">
        <w:rPr>
          <w:rFonts w:ascii="Arial" w:eastAsia="Times New Roman" w:hAnsi="Arial" w:cs="Arial"/>
          <w:sz w:val="24"/>
          <w:szCs w:val="24"/>
          <w:lang w:eastAsia="en-GB"/>
        </w:rPr>
        <w:t>osteobiographical</w:t>
      </w:r>
      <w:proofErr w:type="spellEnd"/>
      <w:r w:rsidRPr="007F4884">
        <w:rPr>
          <w:rFonts w:ascii="Arial" w:eastAsia="Times New Roman" w:hAnsi="Arial" w:cs="Arial"/>
          <w:sz w:val="24"/>
          <w:szCs w:val="24"/>
          <w:lang w:eastAsia="en-GB"/>
        </w:rPr>
        <w:t xml:space="preserve"> context of analysed remains. Sex estimation is recorded following standard terminology (</w:t>
      </w:r>
      <w:proofErr w:type="spellStart"/>
      <w:r w:rsidRPr="007F4884">
        <w:rPr>
          <w:rFonts w:ascii="Arial" w:eastAsia="Times New Roman" w:hAnsi="Arial" w:cs="Arial"/>
          <w:sz w:val="24"/>
          <w:szCs w:val="24"/>
          <w:lang w:eastAsia="en-GB"/>
        </w:rPr>
        <w:t>Buikstra</w:t>
      </w:r>
      <w:proofErr w:type="spellEnd"/>
      <w:r w:rsidRPr="007F4884">
        <w:rPr>
          <w:rFonts w:ascii="Arial" w:eastAsia="Times New Roman" w:hAnsi="Arial" w:cs="Arial"/>
          <w:sz w:val="24"/>
          <w:szCs w:val="24"/>
          <w:lang w:eastAsia="en-GB"/>
        </w:rPr>
        <w:t xml:space="preserve"> and </w:t>
      </w:r>
      <w:proofErr w:type="spellStart"/>
      <w:r w:rsidRPr="007F4884">
        <w:rPr>
          <w:rFonts w:ascii="Arial" w:eastAsia="Times New Roman" w:hAnsi="Arial" w:cs="Arial"/>
          <w:sz w:val="24"/>
          <w:szCs w:val="24"/>
          <w:lang w:eastAsia="en-GB"/>
        </w:rPr>
        <w:t>Ubelaker</w:t>
      </w:r>
      <w:proofErr w:type="spellEnd"/>
      <w:r w:rsidRPr="007F4884">
        <w:rPr>
          <w:rFonts w:ascii="Arial" w:eastAsia="Times New Roman" w:hAnsi="Arial" w:cs="Arial"/>
          <w:sz w:val="24"/>
          <w:szCs w:val="24"/>
          <w:lang w:eastAsia="en-GB"/>
        </w:rPr>
        <w:t xml:space="preserve"> 1994), although</w:t>
      </w:r>
      <w:r w:rsidR="0078727B" w:rsidRPr="007F4884">
        <w:rPr>
          <w:rFonts w:ascii="Arial" w:eastAsia="Times New Roman" w:hAnsi="Arial" w:cs="Arial"/>
          <w:sz w:val="24"/>
          <w:szCs w:val="24"/>
          <w:lang w:eastAsia="en-GB"/>
        </w:rPr>
        <w:t xml:space="preserve"> as</w:t>
      </w:r>
      <w:r w:rsidRPr="007F4884">
        <w:rPr>
          <w:rFonts w:ascii="Arial" w:eastAsia="Times New Roman" w:hAnsi="Arial" w:cs="Arial"/>
          <w:sz w:val="24"/>
          <w:szCs w:val="24"/>
          <w:lang w:eastAsia="en-GB"/>
        </w:rPr>
        <w:t xml:space="preserve"> many publications </w:t>
      </w:r>
      <w:r w:rsidR="0078727B" w:rsidRPr="007F4884">
        <w:rPr>
          <w:rFonts w:ascii="Arial" w:eastAsia="Times New Roman" w:hAnsi="Arial" w:cs="Arial"/>
          <w:sz w:val="24"/>
          <w:szCs w:val="24"/>
          <w:lang w:eastAsia="en-GB"/>
        </w:rPr>
        <w:t>don’t</w:t>
      </w:r>
      <w:r w:rsidRPr="007F4884">
        <w:rPr>
          <w:rFonts w:ascii="Arial" w:eastAsia="Times New Roman" w:hAnsi="Arial" w:cs="Arial"/>
          <w:sz w:val="24"/>
          <w:szCs w:val="24"/>
          <w:lang w:eastAsia="en-GB"/>
        </w:rPr>
        <w:t xml:space="preserve"> distinguish between </w:t>
      </w:r>
      <w:r w:rsidR="0078727B" w:rsidRPr="007F4884">
        <w:rPr>
          <w:rFonts w:ascii="Arial" w:eastAsia="Times New Roman" w:hAnsi="Arial" w:cs="Arial"/>
          <w:sz w:val="24"/>
          <w:szCs w:val="24"/>
          <w:lang w:eastAsia="en-GB"/>
        </w:rPr>
        <w:t xml:space="preserve">individuals with </w:t>
      </w:r>
      <w:r w:rsidRPr="007F4884">
        <w:rPr>
          <w:rFonts w:ascii="Arial" w:eastAsia="Times New Roman" w:hAnsi="Arial" w:cs="Arial"/>
          <w:sz w:val="24"/>
          <w:szCs w:val="24"/>
          <w:lang w:eastAsia="en-GB"/>
        </w:rPr>
        <w:t>intermediate</w:t>
      </w:r>
      <w:r w:rsidR="0078727B" w:rsidRPr="007F4884">
        <w:rPr>
          <w:rFonts w:ascii="Arial" w:eastAsia="Times New Roman" w:hAnsi="Arial" w:cs="Arial"/>
          <w:sz w:val="24"/>
          <w:szCs w:val="24"/>
          <w:lang w:eastAsia="en-GB"/>
        </w:rPr>
        <w:t xml:space="preserve"> sex assessments</w:t>
      </w:r>
      <w:r w:rsidRPr="007F4884">
        <w:rPr>
          <w:rFonts w:ascii="Arial" w:eastAsia="Times New Roman" w:hAnsi="Arial" w:cs="Arial"/>
          <w:sz w:val="24"/>
          <w:szCs w:val="24"/>
          <w:lang w:eastAsia="en-GB"/>
        </w:rPr>
        <w:t xml:space="preserve"> and </w:t>
      </w:r>
      <w:r w:rsidR="0078727B" w:rsidRPr="007F4884">
        <w:rPr>
          <w:rFonts w:ascii="Arial" w:eastAsia="Times New Roman" w:hAnsi="Arial" w:cs="Arial"/>
          <w:sz w:val="24"/>
          <w:szCs w:val="24"/>
          <w:lang w:eastAsia="en-GB"/>
        </w:rPr>
        <w:t>those</w:t>
      </w:r>
      <w:r w:rsidRPr="007F4884">
        <w:rPr>
          <w:rFonts w:ascii="Arial" w:eastAsia="Times New Roman" w:hAnsi="Arial" w:cs="Arial"/>
          <w:sz w:val="24"/>
          <w:szCs w:val="24"/>
          <w:lang w:eastAsia="en-GB"/>
        </w:rPr>
        <w:t xml:space="preserve"> whose sex could not be estimated, unfortunately the term “undetermined” applies to both groups (</w:t>
      </w:r>
      <w:proofErr w:type="spellStart"/>
      <w:r w:rsidRPr="007F4884">
        <w:rPr>
          <w:rFonts w:ascii="Arial" w:eastAsia="Times New Roman" w:hAnsi="Arial" w:cs="Arial"/>
          <w:sz w:val="24"/>
          <w:szCs w:val="24"/>
          <w:lang w:eastAsia="en-GB"/>
        </w:rPr>
        <w:t>Brickley</w:t>
      </w:r>
      <w:proofErr w:type="spellEnd"/>
      <w:r w:rsidRPr="007F4884">
        <w:rPr>
          <w:rFonts w:ascii="Arial" w:eastAsia="Times New Roman" w:hAnsi="Arial" w:cs="Arial"/>
          <w:sz w:val="24"/>
          <w:szCs w:val="24"/>
          <w:lang w:eastAsia="en-GB"/>
        </w:rPr>
        <w:t xml:space="preserve"> 2004). As most publications </w:t>
      </w:r>
      <w:r w:rsidR="0078727B" w:rsidRPr="007F4884">
        <w:rPr>
          <w:rFonts w:ascii="Arial" w:eastAsia="Times New Roman" w:hAnsi="Arial" w:cs="Arial"/>
          <w:sz w:val="24"/>
          <w:szCs w:val="24"/>
          <w:lang w:eastAsia="en-GB"/>
        </w:rPr>
        <w:t>use</w:t>
      </w:r>
      <w:r w:rsidRPr="007F4884">
        <w:rPr>
          <w:rFonts w:ascii="Arial" w:eastAsia="Times New Roman" w:hAnsi="Arial" w:cs="Arial"/>
          <w:sz w:val="24"/>
          <w:szCs w:val="24"/>
          <w:lang w:eastAsia="en-GB"/>
        </w:rPr>
        <w:t xml:space="preserve"> </w:t>
      </w:r>
      <w:proofErr w:type="spellStart"/>
      <w:r w:rsidRPr="007F4884">
        <w:rPr>
          <w:rFonts w:ascii="Arial" w:eastAsia="Times New Roman" w:hAnsi="Arial" w:cs="Arial"/>
          <w:sz w:val="24"/>
          <w:szCs w:val="24"/>
          <w:lang w:eastAsia="en-GB"/>
        </w:rPr>
        <w:t>Buikstra</w:t>
      </w:r>
      <w:proofErr w:type="spellEnd"/>
      <w:r w:rsidRPr="007F4884">
        <w:rPr>
          <w:rFonts w:ascii="Arial" w:eastAsia="Times New Roman" w:hAnsi="Arial" w:cs="Arial"/>
          <w:sz w:val="24"/>
          <w:szCs w:val="24"/>
          <w:lang w:eastAsia="en-GB"/>
        </w:rPr>
        <w:t xml:space="preserve"> and </w:t>
      </w:r>
      <w:proofErr w:type="spellStart"/>
      <w:r w:rsidRPr="007F4884">
        <w:rPr>
          <w:rFonts w:ascii="Arial" w:eastAsia="Times New Roman" w:hAnsi="Arial" w:cs="Arial"/>
          <w:sz w:val="24"/>
          <w:szCs w:val="24"/>
          <w:lang w:eastAsia="en-GB"/>
        </w:rPr>
        <w:t>Ubelaker’s</w:t>
      </w:r>
      <w:proofErr w:type="spellEnd"/>
      <w:r w:rsidRPr="007F4884">
        <w:rPr>
          <w:rFonts w:ascii="Arial" w:eastAsia="Times New Roman" w:hAnsi="Arial" w:cs="Arial"/>
          <w:sz w:val="24"/>
          <w:szCs w:val="24"/>
          <w:lang w:eastAsia="en-GB"/>
        </w:rPr>
        <w:t xml:space="preserve"> (1994) age estimation categories for adults, this recognised recording standard (O’Connell 2004) has been adopted for the dataset. For non-adults, more variation is visible in the literature, so </w:t>
      </w:r>
      <w:proofErr w:type="spellStart"/>
      <w:r w:rsidRPr="007F4884">
        <w:rPr>
          <w:rFonts w:ascii="Arial" w:eastAsia="Times New Roman" w:hAnsi="Arial" w:cs="Arial"/>
          <w:sz w:val="24"/>
          <w:szCs w:val="24"/>
          <w:lang w:eastAsia="en-GB"/>
        </w:rPr>
        <w:t>Buikstra</w:t>
      </w:r>
      <w:proofErr w:type="spellEnd"/>
      <w:r w:rsidRPr="007F4884">
        <w:rPr>
          <w:rFonts w:ascii="Arial" w:eastAsia="Times New Roman" w:hAnsi="Arial" w:cs="Arial"/>
          <w:sz w:val="24"/>
          <w:szCs w:val="24"/>
          <w:lang w:eastAsia="en-GB"/>
        </w:rPr>
        <w:t xml:space="preserve"> and </w:t>
      </w:r>
      <w:proofErr w:type="spellStart"/>
      <w:r w:rsidRPr="007F4884">
        <w:rPr>
          <w:rFonts w:ascii="Arial" w:eastAsia="Times New Roman" w:hAnsi="Arial" w:cs="Arial"/>
          <w:sz w:val="24"/>
          <w:szCs w:val="24"/>
          <w:lang w:eastAsia="en-GB"/>
        </w:rPr>
        <w:t>Ubelaker’s</w:t>
      </w:r>
      <w:proofErr w:type="spellEnd"/>
      <w:r w:rsidRPr="007F4884">
        <w:rPr>
          <w:rFonts w:ascii="Arial" w:eastAsia="Times New Roman" w:hAnsi="Arial" w:cs="Arial"/>
          <w:sz w:val="24"/>
          <w:szCs w:val="24"/>
          <w:lang w:eastAsia="en-GB"/>
        </w:rPr>
        <w:t xml:space="preserve"> (1994) </w:t>
      </w:r>
      <w:r w:rsidRPr="007F4884">
        <w:rPr>
          <w:rFonts w:ascii="Arial" w:eastAsia="Times New Roman" w:hAnsi="Arial" w:cs="Arial"/>
          <w:sz w:val="24"/>
          <w:szCs w:val="24"/>
          <w:lang w:eastAsia="en-GB"/>
        </w:rPr>
        <w:lastRenderedPageBreak/>
        <w:t>categories have been adapted with input from more recent standards (Scheuer and Black 2000). Specific age ranges given in the literature are recorded under “Age at Death Estimation” to provide as much contextual information as is available.</w:t>
      </w:r>
    </w:p>
    <w:p w14:paraId="3CCDF27B" w14:textId="77777777" w:rsidR="003F7A78" w:rsidRPr="007F4884" w:rsidRDefault="003F7A78" w:rsidP="007F4884">
      <w:pPr>
        <w:spacing w:after="0" w:line="360" w:lineRule="auto"/>
        <w:rPr>
          <w:rFonts w:ascii="Arial" w:eastAsia="Times New Roman" w:hAnsi="Arial" w:cs="Arial"/>
          <w:sz w:val="24"/>
          <w:szCs w:val="24"/>
          <w:lang w:eastAsia="en-GB"/>
        </w:rPr>
      </w:pPr>
    </w:p>
    <w:p w14:paraId="43DC3AD7" w14:textId="53DA4A07" w:rsidR="003F7A78"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The next six columns contain the lead isotope data. Lead concentrations measured in the enamel samples are reported in parts per million (ppm). Although some earlier publications use equivalent units such as milligrams per kilogram (mg/kg or mg </w:t>
      </w:r>
      <w:proofErr w:type="gramStart"/>
      <w:r w:rsidRPr="007F4884">
        <w:rPr>
          <w:rFonts w:ascii="Arial" w:eastAsia="Times New Roman" w:hAnsi="Arial" w:cs="Arial"/>
          <w:sz w:val="24"/>
          <w:szCs w:val="24"/>
          <w:lang w:eastAsia="en-GB"/>
        </w:rPr>
        <w:t>kg</w:t>
      </w:r>
      <w:r w:rsidRPr="007F4884">
        <w:rPr>
          <w:rFonts w:ascii="Arial" w:eastAsia="Times New Roman" w:hAnsi="Arial" w:cs="Arial"/>
          <w:sz w:val="24"/>
          <w:szCs w:val="24"/>
          <w:vertAlign w:val="superscript"/>
          <w:lang w:eastAsia="en-GB"/>
        </w:rPr>
        <w:t>-1</w:t>
      </w:r>
      <w:proofErr w:type="gramEnd"/>
      <w:r w:rsidRPr="007F4884">
        <w:rPr>
          <w:rFonts w:ascii="Arial" w:eastAsia="Times New Roman" w:hAnsi="Arial" w:cs="Arial"/>
          <w:sz w:val="24"/>
          <w:szCs w:val="24"/>
          <w:lang w:eastAsia="en-GB"/>
        </w:rPr>
        <w:t xml:space="preserve">), as ppm </w:t>
      </w:r>
      <w:r w:rsidR="0078727B" w:rsidRPr="007F4884">
        <w:rPr>
          <w:rFonts w:ascii="Arial" w:eastAsia="Times New Roman" w:hAnsi="Arial" w:cs="Arial"/>
          <w:sz w:val="24"/>
          <w:szCs w:val="24"/>
          <w:lang w:eastAsia="en-GB"/>
        </w:rPr>
        <w:t>is now</w:t>
      </w:r>
      <w:r w:rsidRPr="007F4884">
        <w:rPr>
          <w:rFonts w:ascii="Arial" w:eastAsia="Times New Roman" w:hAnsi="Arial" w:cs="Arial"/>
          <w:sz w:val="24"/>
          <w:szCs w:val="24"/>
          <w:lang w:eastAsia="en-GB"/>
        </w:rPr>
        <w:t xml:space="preserve"> more commonly used in the literature for strontium and lead (see for example: Moore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2020; Millard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2014), this trend </w:t>
      </w:r>
      <w:r w:rsidR="0078727B" w:rsidRPr="007F4884">
        <w:rPr>
          <w:rFonts w:ascii="Arial" w:eastAsia="Times New Roman" w:hAnsi="Arial" w:cs="Arial"/>
          <w:sz w:val="24"/>
          <w:szCs w:val="24"/>
          <w:lang w:eastAsia="en-GB"/>
        </w:rPr>
        <w:t xml:space="preserve">is followed </w:t>
      </w:r>
      <w:r w:rsidRPr="007F4884">
        <w:rPr>
          <w:rFonts w:ascii="Arial" w:eastAsia="Times New Roman" w:hAnsi="Arial" w:cs="Arial"/>
          <w:sz w:val="24"/>
          <w:szCs w:val="24"/>
          <w:lang w:eastAsia="en-GB"/>
        </w:rPr>
        <w:t xml:space="preserve">in the dataset despite there being no standard reporting method. Five different lead isotope ratios are reported. </w:t>
      </w:r>
      <w:r w:rsidRPr="007F4884">
        <w:rPr>
          <w:rFonts w:ascii="Arial" w:eastAsia="Times New Roman" w:hAnsi="Arial" w:cs="Arial"/>
          <w:sz w:val="24"/>
          <w:szCs w:val="24"/>
          <w:vertAlign w:val="superscript"/>
          <w:lang w:eastAsia="en-GB"/>
        </w:rPr>
        <w:t>206</w:t>
      </w:r>
      <w:r w:rsidRPr="007F4884">
        <w:rPr>
          <w:rFonts w:ascii="Arial" w:eastAsia="Times New Roman" w:hAnsi="Arial" w:cs="Arial"/>
          <w:sz w:val="24"/>
          <w:szCs w:val="24"/>
          <w:lang w:eastAsia="en-GB"/>
        </w:rPr>
        <w:t xml:space="preserve">Pb, </w:t>
      </w:r>
      <w:r w:rsidRPr="007F4884">
        <w:rPr>
          <w:rFonts w:ascii="Arial" w:eastAsia="Times New Roman" w:hAnsi="Arial" w:cs="Arial"/>
          <w:sz w:val="24"/>
          <w:szCs w:val="24"/>
          <w:vertAlign w:val="superscript"/>
          <w:lang w:eastAsia="en-GB"/>
        </w:rPr>
        <w:t>207</w:t>
      </w:r>
      <w:r w:rsidRPr="007F4884">
        <w:rPr>
          <w:rFonts w:ascii="Arial" w:eastAsia="Times New Roman" w:hAnsi="Arial" w:cs="Arial"/>
          <w:sz w:val="24"/>
          <w:szCs w:val="24"/>
          <w:lang w:eastAsia="en-GB"/>
        </w:rPr>
        <w:t xml:space="preserve">Pb, and </w:t>
      </w:r>
      <w:r w:rsidRPr="007F4884">
        <w:rPr>
          <w:rFonts w:ascii="Arial" w:eastAsia="Times New Roman" w:hAnsi="Arial" w:cs="Arial"/>
          <w:sz w:val="24"/>
          <w:szCs w:val="24"/>
          <w:vertAlign w:val="superscript"/>
          <w:lang w:eastAsia="en-GB"/>
        </w:rPr>
        <w:t>208</w:t>
      </w:r>
      <w:r w:rsidRPr="007F4884">
        <w:rPr>
          <w:rFonts w:ascii="Arial" w:eastAsia="Times New Roman" w:hAnsi="Arial" w:cs="Arial"/>
          <w:sz w:val="24"/>
          <w:szCs w:val="24"/>
          <w:lang w:eastAsia="en-GB"/>
        </w:rPr>
        <w:t xml:space="preserve">Pb </w:t>
      </w:r>
      <w:r w:rsidR="00543D97" w:rsidRPr="007F4884">
        <w:rPr>
          <w:rFonts w:ascii="Arial" w:eastAsia="Times New Roman" w:hAnsi="Arial" w:cs="Arial"/>
          <w:sz w:val="24"/>
          <w:szCs w:val="24"/>
          <w:lang w:eastAsia="en-GB"/>
        </w:rPr>
        <w:t>are</w:t>
      </w:r>
      <w:r w:rsidRPr="007F4884">
        <w:rPr>
          <w:rFonts w:ascii="Arial" w:eastAsia="Times New Roman" w:hAnsi="Arial" w:cs="Arial"/>
          <w:sz w:val="24"/>
          <w:szCs w:val="24"/>
          <w:lang w:eastAsia="en-GB"/>
        </w:rPr>
        <w:t xml:space="preserve"> ratioed to the non-radiogenic </w:t>
      </w:r>
      <w:r w:rsidRPr="007F4884">
        <w:rPr>
          <w:rFonts w:ascii="Arial" w:eastAsia="Times New Roman" w:hAnsi="Arial" w:cs="Arial"/>
          <w:sz w:val="24"/>
          <w:szCs w:val="24"/>
          <w:vertAlign w:val="superscript"/>
          <w:lang w:eastAsia="en-GB"/>
        </w:rPr>
        <w:t>204</w:t>
      </w:r>
      <w:r w:rsidRPr="007F4884">
        <w:rPr>
          <w:rFonts w:ascii="Arial" w:eastAsia="Times New Roman" w:hAnsi="Arial" w:cs="Arial"/>
          <w:sz w:val="24"/>
          <w:szCs w:val="24"/>
          <w:lang w:eastAsia="en-GB"/>
        </w:rPr>
        <w:t xml:space="preserve">Pb isotope, as analysing these ratios together allows full visualisation of the data to identify patterns such as sample clustering, which may indicate cultural focussing (converging) of lead isotopes within lead-using populations (Montgomery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2010). This can help identify potential migrants, whose lead isotope ratios would sit outside these clusters. Isotope ratios </w:t>
      </w:r>
      <w:r w:rsidRPr="007F4884">
        <w:rPr>
          <w:rFonts w:ascii="Arial" w:eastAsia="Times New Roman" w:hAnsi="Arial" w:cs="Arial"/>
          <w:sz w:val="24"/>
          <w:szCs w:val="24"/>
          <w:vertAlign w:val="superscript"/>
          <w:lang w:eastAsia="en-GB"/>
        </w:rPr>
        <w:t>207</w:t>
      </w:r>
      <w:r w:rsidRPr="007F4884">
        <w:rPr>
          <w:rFonts w:ascii="Arial" w:eastAsia="Times New Roman" w:hAnsi="Arial" w:cs="Arial"/>
          <w:sz w:val="24"/>
          <w:szCs w:val="24"/>
          <w:lang w:eastAsia="en-GB"/>
        </w:rPr>
        <w:t>Pb/</w:t>
      </w:r>
      <w:r w:rsidRPr="007F4884">
        <w:rPr>
          <w:rFonts w:ascii="Arial" w:eastAsia="Times New Roman" w:hAnsi="Arial" w:cs="Arial"/>
          <w:sz w:val="24"/>
          <w:szCs w:val="24"/>
          <w:vertAlign w:val="superscript"/>
          <w:lang w:eastAsia="en-GB"/>
        </w:rPr>
        <w:t>206</w:t>
      </w:r>
      <w:r w:rsidRPr="007F4884">
        <w:rPr>
          <w:rFonts w:ascii="Arial" w:eastAsia="Times New Roman" w:hAnsi="Arial" w:cs="Arial"/>
          <w:sz w:val="24"/>
          <w:szCs w:val="24"/>
          <w:lang w:eastAsia="en-GB"/>
        </w:rPr>
        <w:t xml:space="preserve">Pb and </w:t>
      </w:r>
      <w:r w:rsidRPr="007F4884">
        <w:rPr>
          <w:rFonts w:ascii="Arial" w:eastAsia="Times New Roman" w:hAnsi="Arial" w:cs="Arial"/>
          <w:sz w:val="24"/>
          <w:szCs w:val="24"/>
          <w:vertAlign w:val="superscript"/>
          <w:lang w:eastAsia="en-GB"/>
        </w:rPr>
        <w:t>208</w:t>
      </w:r>
      <w:r w:rsidRPr="007F4884">
        <w:rPr>
          <w:rFonts w:ascii="Arial" w:eastAsia="Times New Roman" w:hAnsi="Arial" w:cs="Arial"/>
          <w:sz w:val="24"/>
          <w:szCs w:val="24"/>
          <w:lang w:eastAsia="en-GB"/>
        </w:rPr>
        <w:t>Pb/</w:t>
      </w:r>
      <w:r w:rsidRPr="007F4884">
        <w:rPr>
          <w:rFonts w:ascii="Arial" w:eastAsia="Times New Roman" w:hAnsi="Arial" w:cs="Arial"/>
          <w:sz w:val="24"/>
          <w:szCs w:val="24"/>
          <w:vertAlign w:val="superscript"/>
          <w:lang w:eastAsia="en-GB"/>
        </w:rPr>
        <w:t>206</w:t>
      </w:r>
      <w:r w:rsidRPr="007F4884">
        <w:rPr>
          <w:rFonts w:ascii="Arial" w:eastAsia="Times New Roman" w:hAnsi="Arial" w:cs="Arial"/>
          <w:sz w:val="24"/>
          <w:szCs w:val="24"/>
          <w:lang w:eastAsia="en-GB"/>
        </w:rPr>
        <w:t xml:space="preserve">Pb are also included here, as sometimes </w:t>
      </w:r>
      <w:r w:rsidRPr="007F4884">
        <w:rPr>
          <w:rFonts w:ascii="Arial" w:eastAsia="Times New Roman" w:hAnsi="Arial" w:cs="Arial"/>
          <w:sz w:val="24"/>
          <w:szCs w:val="24"/>
          <w:vertAlign w:val="superscript"/>
          <w:lang w:eastAsia="en-GB"/>
        </w:rPr>
        <w:t>204</w:t>
      </w:r>
      <w:r w:rsidRPr="007F4884">
        <w:rPr>
          <w:rFonts w:ascii="Arial" w:eastAsia="Times New Roman" w:hAnsi="Arial" w:cs="Arial"/>
          <w:sz w:val="24"/>
          <w:szCs w:val="24"/>
          <w:lang w:eastAsia="en-GB"/>
        </w:rPr>
        <w:t xml:space="preserve">Pb abundance is too low to be measured during analysis (Budd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2000; Montgomery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2010). More data is available for lead concentrations than for isotope ratios, although this is not necessarily negative</w:t>
      </w:r>
      <w:r w:rsidR="00543D97" w:rsidRPr="007F4884">
        <w:rPr>
          <w:rFonts w:ascii="Arial" w:eastAsia="Times New Roman" w:hAnsi="Arial" w:cs="Arial"/>
          <w:sz w:val="24"/>
          <w:szCs w:val="24"/>
          <w:lang w:eastAsia="en-GB"/>
        </w:rPr>
        <w:t xml:space="preserve">. Concentration </w:t>
      </w:r>
      <w:r w:rsidRPr="007F4884">
        <w:rPr>
          <w:rFonts w:ascii="Arial" w:eastAsia="Times New Roman" w:hAnsi="Arial" w:cs="Arial"/>
          <w:sz w:val="24"/>
          <w:szCs w:val="24"/>
          <w:lang w:eastAsia="en-GB"/>
        </w:rPr>
        <w:t xml:space="preserve">data is useful by itself and in combination with isotope ratios </w:t>
      </w:r>
      <w:r w:rsidR="00543D97" w:rsidRPr="007F4884">
        <w:rPr>
          <w:rFonts w:ascii="Arial" w:eastAsia="Times New Roman" w:hAnsi="Arial" w:cs="Arial"/>
          <w:sz w:val="24"/>
          <w:szCs w:val="24"/>
          <w:lang w:eastAsia="en-GB"/>
        </w:rPr>
        <w:t>to</w:t>
      </w:r>
      <w:r w:rsidRPr="007F4884">
        <w:rPr>
          <w:rFonts w:ascii="Arial" w:eastAsia="Times New Roman" w:hAnsi="Arial" w:cs="Arial"/>
          <w:sz w:val="24"/>
          <w:szCs w:val="24"/>
          <w:lang w:eastAsia="en-GB"/>
        </w:rPr>
        <w:t xml:space="preserve"> </w:t>
      </w:r>
      <w:r w:rsidR="00543D97" w:rsidRPr="007F4884">
        <w:rPr>
          <w:rFonts w:ascii="Arial" w:eastAsia="Times New Roman" w:hAnsi="Arial" w:cs="Arial"/>
          <w:sz w:val="24"/>
          <w:szCs w:val="24"/>
          <w:lang w:eastAsia="en-GB"/>
        </w:rPr>
        <w:t>investigate</w:t>
      </w:r>
      <w:r w:rsidRPr="007F4884">
        <w:rPr>
          <w:rFonts w:ascii="Arial" w:eastAsia="Times New Roman" w:hAnsi="Arial" w:cs="Arial"/>
          <w:sz w:val="24"/>
          <w:szCs w:val="24"/>
          <w:lang w:eastAsia="en-GB"/>
        </w:rPr>
        <w:t xml:space="preserve"> and </w:t>
      </w:r>
      <w:r w:rsidR="00543D97" w:rsidRPr="007F4884">
        <w:rPr>
          <w:rFonts w:ascii="Arial" w:eastAsia="Times New Roman" w:hAnsi="Arial" w:cs="Arial"/>
          <w:sz w:val="24"/>
          <w:szCs w:val="24"/>
          <w:lang w:eastAsia="en-GB"/>
        </w:rPr>
        <w:t>identify</w:t>
      </w:r>
      <w:r w:rsidRPr="007F4884">
        <w:rPr>
          <w:rFonts w:ascii="Arial" w:eastAsia="Times New Roman" w:hAnsi="Arial" w:cs="Arial"/>
          <w:sz w:val="24"/>
          <w:szCs w:val="24"/>
          <w:lang w:eastAsia="en-GB"/>
        </w:rPr>
        <w:t xml:space="preserve"> individuals with low enamel lead burdens (</w:t>
      </w:r>
      <w:proofErr w:type="gramStart"/>
      <w:r w:rsidRPr="007F4884">
        <w:rPr>
          <w:rFonts w:ascii="Arial" w:eastAsia="Times New Roman" w:hAnsi="Arial" w:cs="Arial"/>
          <w:sz w:val="24"/>
          <w:szCs w:val="24"/>
          <w:lang w:eastAsia="en-GB"/>
        </w:rPr>
        <w:t>e.g.</w:t>
      </w:r>
      <w:proofErr w:type="gramEnd"/>
      <w:r w:rsidRPr="007F4884">
        <w:rPr>
          <w:rFonts w:ascii="Arial" w:eastAsia="Times New Roman" w:hAnsi="Arial" w:cs="Arial"/>
          <w:sz w:val="24"/>
          <w:szCs w:val="24"/>
          <w:lang w:eastAsia="en-GB"/>
        </w:rPr>
        <w:t xml:space="preserve"> prehistoric or rural), and those exposed to higher levels of anthropogenic lead (Montgomery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2010; Budd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xml:space="preserve">. 2004; Moore </w:t>
      </w:r>
      <w:r w:rsidRPr="007F4884">
        <w:rPr>
          <w:rFonts w:ascii="Arial" w:eastAsia="Times New Roman" w:hAnsi="Arial" w:cs="Arial"/>
          <w:i/>
          <w:iCs/>
          <w:sz w:val="24"/>
          <w:szCs w:val="24"/>
          <w:lang w:eastAsia="en-GB"/>
        </w:rPr>
        <w:t>et al</w:t>
      </w:r>
      <w:r w:rsidRPr="007F4884">
        <w:rPr>
          <w:rFonts w:ascii="Arial" w:eastAsia="Times New Roman" w:hAnsi="Arial" w:cs="Arial"/>
          <w:sz w:val="24"/>
          <w:szCs w:val="24"/>
          <w:lang w:eastAsia="en-GB"/>
        </w:rPr>
        <w:t>. 2020).</w:t>
      </w:r>
    </w:p>
    <w:p w14:paraId="72CA21FE" w14:textId="77777777" w:rsidR="003F7A78" w:rsidRPr="007F4884" w:rsidRDefault="003F7A78" w:rsidP="007F4884">
      <w:pPr>
        <w:spacing w:after="0" w:line="360" w:lineRule="auto"/>
        <w:rPr>
          <w:rFonts w:ascii="Arial" w:eastAsia="Times New Roman" w:hAnsi="Arial" w:cs="Arial"/>
          <w:sz w:val="24"/>
          <w:szCs w:val="24"/>
          <w:lang w:eastAsia="en-GB"/>
        </w:rPr>
      </w:pPr>
    </w:p>
    <w:p w14:paraId="4F870FF3" w14:textId="77777777" w:rsidR="003F7A78" w:rsidRPr="007F4884" w:rsidRDefault="003F7A78" w:rsidP="007F4884">
      <w:pPr>
        <w:spacing w:after="0" w:line="360" w:lineRule="auto"/>
        <w:ind w:firstLine="720"/>
        <w:rPr>
          <w:rFonts w:ascii="Arial" w:eastAsia="Times New Roman" w:hAnsi="Arial" w:cs="Arial"/>
          <w:sz w:val="24"/>
          <w:szCs w:val="24"/>
          <w:lang w:eastAsia="en-GB"/>
        </w:rPr>
      </w:pPr>
      <w:r w:rsidRPr="007F4884">
        <w:rPr>
          <w:rFonts w:ascii="Arial" w:eastAsia="Times New Roman" w:hAnsi="Arial" w:cs="Arial"/>
          <w:sz w:val="24"/>
          <w:szCs w:val="24"/>
          <w:lang w:eastAsia="en-GB"/>
        </w:rPr>
        <w:t xml:space="preserve">The final column contains references to the publications in Harvard’s in-text citation format, avoiding the use of commas to enable migration to a .csv file. The full bibliographical references are documented in the “Comparative_Lead_Isotope_Dataset-ADS_Metadata_Statement-Supporting_Documentation” file. The 307 samples have been collated from well-cited seminal lead isotope publications and influential PhD </w:t>
      </w:r>
      <w:proofErr w:type="gramStart"/>
      <w:r w:rsidRPr="007F4884">
        <w:rPr>
          <w:rFonts w:ascii="Arial" w:eastAsia="Times New Roman" w:hAnsi="Arial" w:cs="Arial"/>
          <w:sz w:val="24"/>
          <w:szCs w:val="24"/>
          <w:lang w:eastAsia="en-GB"/>
        </w:rPr>
        <w:t>theses, and</w:t>
      </w:r>
      <w:proofErr w:type="gramEnd"/>
      <w:r w:rsidRPr="007F4884">
        <w:rPr>
          <w:rFonts w:ascii="Arial" w:eastAsia="Times New Roman" w:hAnsi="Arial" w:cs="Arial"/>
          <w:sz w:val="24"/>
          <w:szCs w:val="24"/>
          <w:lang w:eastAsia="en-GB"/>
        </w:rPr>
        <w:t xml:space="preserve"> represent 50 sites spanning from the Neolithic to the 19</w:t>
      </w:r>
      <w:r w:rsidRPr="007F4884">
        <w:rPr>
          <w:rFonts w:ascii="Arial" w:eastAsia="Times New Roman" w:hAnsi="Arial" w:cs="Arial"/>
          <w:sz w:val="24"/>
          <w:szCs w:val="24"/>
          <w:vertAlign w:val="superscript"/>
          <w:lang w:eastAsia="en-GB"/>
        </w:rPr>
        <w:t>th</w:t>
      </w:r>
      <w:r w:rsidRPr="007F4884">
        <w:rPr>
          <w:rFonts w:ascii="Arial" w:eastAsia="Times New Roman" w:hAnsi="Arial" w:cs="Arial"/>
          <w:sz w:val="24"/>
          <w:szCs w:val="24"/>
          <w:lang w:eastAsia="en-GB"/>
        </w:rPr>
        <w:t xml:space="preserve"> century, thus testifying to the reliability, credibility, and diversity of the chosen data.</w:t>
      </w:r>
    </w:p>
    <w:p w14:paraId="0B7BAEBA" w14:textId="77777777" w:rsidR="003F7A78" w:rsidRPr="007F4884" w:rsidRDefault="003F7A78" w:rsidP="007F4884">
      <w:pPr>
        <w:spacing w:after="0" w:line="360" w:lineRule="auto"/>
        <w:rPr>
          <w:rFonts w:ascii="Arial" w:eastAsia="Times New Roman" w:hAnsi="Arial" w:cs="Arial"/>
          <w:sz w:val="24"/>
          <w:szCs w:val="24"/>
          <w:lang w:eastAsia="en-GB"/>
        </w:rPr>
      </w:pPr>
    </w:p>
    <w:p w14:paraId="22EADA0F" w14:textId="18F2F954" w:rsidR="003F7A78" w:rsidRPr="007F4884" w:rsidRDefault="003F7A78" w:rsidP="007F4884">
      <w:pPr>
        <w:spacing w:after="0" w:line="360" w:lineRule="auto"/>
        <w:ind w:firstLine="720"/>
        <w:rPr>
          <w:rFonts w:ascii="Arial" w:eastAsia="Times New Roman" w:hAnsi="Arial" w:cs="Arial"/>
          <w:b/>
          <w:bCs/>
          <w:sz w:val="24"/>
          <w:szCs w:val="24"/>
          <w:lang w:eastAsia="en-GB"/>
        </w:rPr>
      </w:pPr>
      <w:r w:rsidRPr="007F4884">
        <w:rPr>
          <w:rFonts w:ascii="Arial" w:eastAsia="Times New Roman" w:hAnsi="Arial" w:cs="Arial"/>
          <w:sz w:val="24"/>
          <w:szCs w:val="24"/>
          <w:lang w:eastAsia="en-GB"/>
        </w:rPr>
        <w:lastRenderedPageBreak/>
        <w:t xml:space="preserve">Whilst the scope of this dataset is restricted to human enamel samples from the UK and Ireland, its structure and composition demonstrate a concise and uncomplex way of compiling a relatively large amount of lead isotope data and essential contextual information in an accessible format. There is significant potential for future expansion using global human data, animal data, </w:t>
      </w:r>
      <w:r w:rsidR="00543D97" w:rsidRPr="007F4884">
        <w:rPr>
          <w:rFonts w:ascii="Arial" w:eastAsia="Times New Roman" w:hAnsi="Arial" w:cs="Arial"/>
          <w:sz w:val="24"/>
          <w:szCs w:val="24"/>
          <w:lang w:eastAsia="en-GB"/>
        </w:rPr>
        <w:t>bone samples</w:t>
      </w:r>
      <w:r w:rsidRPr="007F4884">
        <w:rPr>
          <w:rFonts w:ascii="Arial" w:eastAsia="Times New Roman" w:hAnsi="Arial" w:cs="Arial"/>
          <w:sz w:val="24"/>
          <w:szCs w:val="24"/>
          <w:lang w:eastAsia="en-GB"/>
        </w:rPr>
        <w:t xml:space="preserve">, and additional contextual information such as pathological evidence. Nevertheless, if deposited within ADS in its current form, this dataset and its metadata will serve to not only complement existing </w:t>
      </w:r>
      <w:proofErr w:type="gramStart"/>
      <w:r w:rsidRPr="007F4884">
        <w:rPr>
          <w:rFonts w:ascii="Arial" w:eastAsia="Times New Roman" w:hAnsi="Arial" w:cs="Arial"/>
          <w:sz w:val="24"/>
          <w:szCs w:val="24"/>
          <w:lang w:eastAsia="en-GB"/>
        </w:rPr>
        <w:t>datasets, but</w:t>
      </w:r>
      <w:proofErr w:type="gramEnd"/>
      <w:r w:rsidRPr="007F4884">
        <w:rPr>
          <w:rFonts w:ascii="Arial" w:eastAsia="Times New Roman" w:hAnsi="Arial" w:cs="Arial"/>
          <w:sz w:val="24"/>
          <w:szCs w:val="24"/>
          <w:lang w:eastAsia="en-GB"/>
        </w:rPr>
        <w:t xml:space="preserve"> enhance comparative lead isotope data availability overall.</w:t>
      </w:r>
    </w:p>
    <w:p w14:paraId="4661602C" w14:textId="77777777" w:rsidR="00542057" w:rsidRDefault="00542057" w:rsidP="00DE2AA8">
      <w:pPr>
        <w:spacing w:line="360" w:lineRule="auto"/>
        <w:rPr>
          <w:rFonts w:ascii="Times New Roman" w:hAnsi="Times New Roman" w:cs="Times New Roman"/>
        </w:rPr>
      </w:pPr>
    </w:p>
    <w:p w14:paraId="5D4A67F8" w14:textId="77777777" w:rsidR="002E54CC" w:rsidRDefault="002E54CC" w:rsidP="00DE2AA8">
      <w:pPr>
        <w:spacing w:line="360" w:lineRule="auto"/>
        <w:rPr>
          <w:rFonts w:ascii="Times New Roman" w:hAnsi="Times New Roman" w:cs="Times New Roman"/>
          <w:u w:val="single"/>
        </w:rPr>
      </w:pPr>
    </w:p>
    <w:p w14:paraId="728812DC" w14:textId="77777777" w:rsidR="002E54CC" w:rsidRDefault="002E54CC" w:rsidP="00DE2AA8">
      <w:pPr>
        <w:spacing w:line="360" w:lineRule="auto"/>
        <w:rPr>
          <w:rFonts w:ascii="Times New Roman" w:hAnsi="Times New Roman" w:cs="Times New Roman"/>
          <w:u w:val="single"/>
        </w:rPr>
      </w:pPr>
    </w:p>
    <w:p w14:paraId="1C254947" w14:textId="77777777" w:rsidR="002E54CC" w:rsidRDefault="002E54CC" w:rsidP="00DE2AA8">
      <w:pPr>
        <w:spacing w:line="360" w:lineRule="auto"/>
        <w:rPr>
          <w:rFonts w:ascii="Times New Roman" w:hAnsi="Times New Roman" w:cs="Times New Roman"/>
          <w:u w:val="single"/>
        </w:rPr>
      </w:pPr>
    </w:p>
    <w:p w14:paraId="5A43C2B4" w14:textId="77777777" w:rsidR="007F4884" w:rsidRDefault="007F4884" w:rsidP="007F4884">
      <w:pPr>
        <w:spacing w:line="360" w:lineRule="auto"/>
        <w:rPr>
          <w:rFonts w:ascii="Arial" w:hAnsi="Arial" w:cs="Arial"/>
          <w:u w:val="single"/>
        </w:rPr>
      </w:pPr>
    </w:p>
    <w:p w14:paraId="07EA63FA" w14:textId="77777777" w:rsidR="007F4884" w:rsidRDefault="007F4884" w:rsidP="007F4884">
      <w:pPr>
        <w:spacing w:line="360" w:lineRule="auto"/>
        <w:rPr>
          <w:rFonts w:ascii="Arial" w:hAnsi="Arial" w:cs="Arial"/>
          <w:u w:val="single"/>
        </w:rPr>
      </w:pPr>
    </w:p>
    <w:p w14:paraId="0D72B4DF" w14:textId="77777777" w:rsidR="007F4884" w:rsidRDefault="007F4884" w:rsidP="007F4884">
      <w:pPr>
        <w:spacing w:line="360" w:lineRule="auto"/>
        <w:rPr>
          <w:rFonts w:ascii="Arial" w:hAnsi="Arial" w:cs="Arial"/>
          <w:u w:val="single"/>
        </w:rPr>
      </w:pPr>
    </w:p>
    <w:p w14:paraId="5E10FE07" w14:textId="77777777" w:rsidR="007F4884" w:rsidRDefault="007F4884" w:rsidP="007F4884">
      <w:pPr>
        <w:spacing w:line="360" w:lineRule="auto"/>
        <w:rPr>
          <w:rFonts w:ascii="Arial" w:hAnsi="Arial" w:cs="Arial"/>
          <w:u w:val="single"/>
        </w:rPr>
      </w:pPr>
    </w:p>
    <w:p w14:paraId="6ADB5E3C" w14:textId="77777777" w:rsidR="007F4884" w:rsidRDefault="007F4884" w:rsidP="007F4884">
      <w:pPr>
        <w:spacing w:line="360" w:lineRule="auto"/>
        <w:rPr>
          <w:rFonts w:ascii="Arial" w:hAnsi="Arial" w:cs="Arial"/>
          <w:u w:val="single"/>
        </w:rPr>
      </w:pPr>
    </w:p>
    <w:p w14:paraId="2DD1DA41" w14:textId="77777777" w:rsidR="007F4884" w:rsidRDefault="007F4884" w:rsidP="007F4884">
      <w:pPr>
        <w:spacing w:line="360" w:lineRule="auto"/>
        <w:rPr>
          <w:rFonts w:ascii="Arial" w:hAnsi="Arial" w:cs="Arial"/>
          <w:u w:val="single"/>
        </w:rPr>
      </w:pPr>
    </w:p>
    <w:p w14:paraId="59370709" w14:textId="77777777" w:rsidR="007F4884" w:rsidRDefault="007F4884" w:rsidP="007F4884">
      <w:pPr>
        <w:spacing w:line="360" w:lineRule="auto"/>
        <w:rPr>
          <w:rFonts w:ascii="Arial" w:hAnsi="Arial" w:cs="Arial"/>
          <w:u w:val="single"/>
        </w:rPr>
      </w:pPr>
    </w:p>
    <w:p w14:paraId="74CB548F" w14:textId="77777777" w:rsidR="007F4884" w:rsidRDefault="007F4884" w:rsidP="007F4884">
      <w:pPr>
        <w:spacing w:line="360" w:lineRule="auto"/>
        <w:rPr>
          <w:rFonts w:ascii="Arial" w:hAnsi="Arial" w:cs="Arial"/>
          <w:u w:val="single"/>
        </w:rPr>
      </w:pPr>
    </w:p>
    <w:p w14:paraId="0E04E5C4" w14:textId="77777777" w:rsidR="007F4884" w:rsidRDefault="007F4884" w:rsidP="007F4884">
      <w:pPr>
        <w:spacing w:line="360" w:lineRule="auto"/>
        <w:rPr>
          <w:rFonts w:ascii="Arial" w:hAnsi="Arial" w:cs="Arial"/>
          <w:u w:val="single"/>
        </w:rPr>
      </w:pPr>
    </w:p>
    <w:p w14:paraId="31FB9C46" w14:textId="77777777" w:rsidR="007F4884" w:rsidRDefault="007F4884" w:rsidP="007F4884">
      <w:pPr>
        <w:spacing w:line="360" w:lineRule="auto"/>
        <w:rPr>
          <w:rFonts w:ascii="Arial" w:hAnsi="Arial" w:cs="Arial"/>
          <w:u w:val="single"/>
        </w:rPr>
      </w:pPr>
    </w:p>
    <w:p w14:paraId="4A416D43" w14:textId="77777777" w:rsidR="007F4884" w:rsidRDefault="007F4884" w:rsidP="007F4884">
      <w:pPr>
        <w:spacing w:line="360" w:lineRule="auto"/>
        <w:rPr>
          <w:rFonts w:ascii="Arial" w:hAnsi="Arial" w:cs="Arial"/>
          <w:u w:val="single"/>
        </w:rPr>
      </w:pPr>
    </w:p>
    <w:p w14:paraId="44EEEC93" w14:textId="77777777" w:rsidR="007F4884" w:rsidRDefault="007F4884" w:rsidP="007F4884">
      <w:pPr>
        <w:spacing w:line="360" w:lineRule="auto"/>
        <w:rPr>
          <w:rFonts w:ascii="Arial" w:hAnsi="Arial" w:cs="Arial"/>
          <w:u w:val="single"/>
        </w:rPr>
      </w:pPr>
    </w:p>
    <w:p w14:paraId="3BAAA8D1" w14:textId="77777777" w:rsidR="007F4884" w:rsidRDefault="007F4884" w:rsidP="007F4884">
      <w:pPr>
        <w:spacing w:line="360" w:lineRule="auto"/>
        <w:rPr>
          <w:rFonts w:ascii="Arial" w:hAnsi="Arial" w:cs="Arial"/>
          <w:u w:val="single"/>
        </w:rPr>
      </w:pPr>
    </w:p>
    <w:p w14:paraId="3797F822" w14:textId="77777777" w:rsidR="007F4884" w:rsidRDefault="007F4884" w:rsidP="007F4884">
      <w:pPr>
        <w:spacing w:line="360" w:lineRule="auto"/>
        <w:rPr>
          <w:rFonts w:ascii="Arial" w:hAnsi="Arial" w:cs="Arial"/>
          <w:u w:val="single"/>
        </w:rPr>
      </w:pPr>
    </w:p>
    <w:p w14:paraId="7C19BE05" w14:textId="77777777" w:rsidR="007F4884" w:rsidRDefault="007F4884" w:rsidP="007F4884">
      <w:pPr>
        <w:spacing w:line="360" w:lineRule="auto"/>
        <w:rPr>
          <w:rFonts w:ascii="Arial" w:hAnsi="Arial" w:cs="Arial"/>
          <w:u w:val="single"/>
        </w:rPr>
      </w:pPr>
    </w:p>
    <w:p w14:paraId="5BFE1444" w14:textId="5C1711FB" w:rsidR="008A1775" w:rsidRPr="007F4884" w:rsidRDefault="008A1775" w:rsidP="007F4884">
      <w:pPr>
        <w:spacing w:line="360" w:lineRule="auto"/>
        <w:rPr>
          <w:rFonts w:ascii="Arial" w:hAnsi="Arial" w:cs="Arial"/>
          <w:u w:val="single"/>
        </w:rPr>
      </w:pPr>
      <w:r w:rsidRPr="007F4884">
        <w:rPr>
          <w:rFonts w:ascii="Arial" w:hAnsi="Arial" w:cs="Arial"/>
          <w:u w:val="single"/>
        </w:rPr>
        <w:lastRenderedPageBreak/>
        <w:t>Bibliography</w:t>
      </w:r>
    </w:p>
    <w:p w14:paraId="794652C7" w14:textId="4CD7E82C" w:rsidR="00127572" w:rsidRPr="007F4884" w:rsidRDefault="00113EE7" w:rsidP="007F4884">
      <w:pPr>
        <w:spacing w:line="360" w:lineRule="auto"/>
        <w:rPr>
          <w:rFonts w:ascii="Arial" w:hAnsi="Arial" w:cs="Arial"/>
        </w:rPr>
      </w:pPr>
      <w:r w:rsidRPr="007F4884">
        <w:rPr>
          <w:rFonts w:ascii="Arial" w:hAnsi="Arial" w:cs="Arial"/>
        </w:rPr>
        <w:t>Archaeological Data Service, Digital Antiquity</w:t>
      </w:r>
      <w:r w:rsidR="007C45EB" w:rsidRPr="007F4884">
        <w:rPr>
          <w:rFonts w:ascii="Arial" w:hAnsi="Arial" w:cs="Arial"/>
        </w:rPr>
        <w:t>, 2013.</w:t>
      </w:r>
      <w:r w:rsidR="0023174D" w:rsidRPr="007F4884">
        <w:rPr>
          <w:rFonts w:ascii="Arial" w:hAnsi="Arial" w:cs="Arial"/>
        </w:rPr>
        <w:t xml:space="preserve"> Caring for Digital Data in Archaeology: A Guide to Good Practice.</w:t>
      </w:r>
      <w:r w:rsidR="00E266E6" w:rsidRPr="007F4884">
        <w:rPr>
          <w:rFonts w:ascii="Arial" w:hAnsi="Arial" w:cs="Arial"/>
        </w:rPr>
        <w:t xml:space="preserve"> Oxford</w:t>
      </w:r>
      <w:r w:rsidR="0001604C" w:rsidRPr="007F4884">
        <w:rPr>
          <w:rFonts w:ascii="Arial" w:hAnsi="Arial" w:cs="Arial"/>
        </w:rPr>
        <w:t>: Oxbow Books</w:t>
      </w:r>
    </w:p>
    <w:p w14:paraId="2FDE5EFA" w14:textId="7FEAF54B" w:rsidR="00511D5A" w:rsidRPr="007F4884" w:rsidRDefault="00511D5A" w:rsidP="007F4884">
      <w:pPr>
        <w:spacing w:line="360" w:lineRule="auto"/>
        <w:rPr>
          <w:rFonts w:ascii="Arial" w:hAnsi="Arial" w:cs="Arial"/>
        </w:rPr>
      </w:pPr>
      <w:r w:rsidRPr="007F4884">
        <w:rPr>
          <w:rFonts w:ascii="Arial" w:hAnsi="Arial" w:cs="Arial"/>
        </w:rPr>
        <w:t>Archaeology Data Service, 2023. Help and Guidance: Instructions for Depositors – Data Requirements Table</w:t>
      </w:r>
      <w:r w:rsidR="00C44CB5" w:rsidRPr="007F4884">
        <w:rPr>
          <w:rFonts w:ascii="Arial" w:hAnsi="Arial" w:cs="Arial"/>
        </w:rPr>
        <w:t xml:space="preserve">. [Online] Available at: </w:t>
      </w:r>
      <w:hyperlink r:id="rId7" w:history="1">
        <w:r w:rsidR="00C44CB5" w:rsidRPr="007F4884">
          <w:rPr>
            <w:rStyle w:val="Hyperlink"/>
            <w:rFonts w:ascii="Arial" w:hAnsi="Arial" w:cs="Arial"/>
          </w:rPr>
          <w:t>https://archaeologydataservice.ac.uk/help-guidance/instructions-for-depositors/files-and-metadata/</w:t>
        </w:r>
      </w:hyperlink>
      <w:r w:rsidR="00C44CB5" w:rsidRPr="007F4884">
        <w:rPr>
          <w:rFonts w:ascii="Arial" w:hAnsi="Arial" w:cs="Arial"/>
        </w:rPr>
        <w:t xml:space="preserve"> [Access Dated: </w:t>
      </w:r>
      <w:r w:rsidR="002F5D84" w:rsidRPr="007F4884">
        <w:rPr>
          <w:rFonts w:ascii="Arial" w:hAnsi="Arial" w:cs="Arial"/>
        </w:rPr>
        <w:t>18</w:t>
      </w:r>
      <w:r w:rsidR="002F5D84" w:rsidRPr="007F4884">
        <w:rPr>
          <w:rFonts w:ascii="Arial" w:hAnsi="Arial" w:cs="Arial"/>
          <w:vertAlign w:val="superscript"/>
        </w:rPr>
        <w:t>th</w:t>
      </w:r>
      <w:r w:rsidR="002F5D84" w:rsidRPr="007F4884">
        <w:rPr>
          <w:rFonts w:ascii="Arial" w:hAnsi="Arial" w:cs="Arial"/>
        </w:rPr>
        <w:t xml:space="preserve"> December 2023]</w:t>
      </w:r>
    </w:p>
    <w:p w14:paraId="02939D27" w14:textId="1F56FD4D" w:rsidR="00BD68D2" w:rsidRPr="007F4884" w:rsidRDefault="00BD68D2" w:rsidP="007F4884">
      <w:pPr>
        <w:spacing w:line="360" w:lineRule="auto"/>
        <w:rPr>
          <w:rFonts w:ascii="Arial" w:hAnsi="Arial" w:cs="Arial"/>
        </w:rPr>
      </w:pPr>
      <w:proofErr w:type="spellStart"/>
      <w:r w:rsidRPr="007F4884">
        <w:rPr>
          <w:rFonts w:ascii="Arial" w:hAnsi="Arial" w:cs="Arial"/>
        </w:rPr>
        <w:t>Brickley</w:t>
      </w:r>
      <w:proofErr w:type="spellEnd"/>
      <w:r w:rsidRPr="007F4884">
        <w:rPr>
          <w:rFonts w:ascii="Arial" w:hAnsi="Arial" w:cs="Arial"/>
        </w:rPr>
        <w:t xml:space="preserve">, M., 2004. </w:t>
      </w:r>
      <w:r w:rsidR="00BC1976" w:rsidRPr="007F4884">
        <w:rPr>
          <w:rFonts w:ascii="Arial" w:hAnsi="Arial" w:cs="Arial"/>
        </w:rPr>
        <w:t xml:space="preserve">“Determination of Sex from Archaeological Skeletal Material and Assessment of </w:t>
      </w:r>
      <w:proofErr w:type="spellStart"/>
      <w:r w:rsidR="00BC1976" w:rsidRPr="007F4884">
        <w:rPr>
          <w:rFonts w:ascii="Arial" w:hAnsi="Arial" w:cs="Arial"/>
        </w:rPr>
        <w:t>Parnutrition</w:t>
      </w:r>
      <w:proofErr w:type="spellEnd"/>
      <w:r w:rsidR="00BC1976" w:rsidRPr="007F4884">
        <w:rPr>
          <w:rFonts w:ascii="Arial" w:hAnsi="Arial" w:cs="Arial"/>
        </w:rPr>
        <w:t xml:space="preserve">” In: </w:t>
      </w:r>
      <w:proofErr w:type="spellStart"/>
      <w:r w:rsidR="00BC1976" w:rsidRPr="007F4884">
        <w:rPr>
          <w:rFonts w:ascii="Arial" w:hAnsi="Arial" w:cs="Arial"/>
        </w:rPr>
        <w:t>Brickley</w:t>
      </w:r>
      <w:proofErr w:type="spellEnd"/>
      <w:r w:rsidR="00BC1976" w:rsidRPr="007F4884">
        <w:rPr>
          <w:rFonts w:ascii="Arial" w:hAnsi="Arial" w:cs="Arial"/>
        </w:rPr>
        <w:t xml:space="preserve">, M., McKinley, J.I. (Eds.) </w:t>
      </w:r>
      <w:r w:rsidR="00BC1976" w:rsidRPr="007F4884">
        <w:rPr>
          <w:rFonts w:ascii="Arial" w:hAnsi="Arial" w:cs="Arial"/>
          <w:i/>
          <w:iCs/>
        </w:rPr>
        <w:t>Guidelines to the Standards for Recording Human Remains</w:t>
      </w:r>
      <w:r w:rsidR="00BC1976" w:rsidRPr="007F4884">
        <w:rPr>
          <w:rFonts w:ascii="Arial" w:hAnsi="Arial" w:cs="Arial"/>
        </w:rPr>
        <w:t>. Southampton: BABAO; Reading: IFA, pp. 23</w:t>
      </w:r>
      <w:r w:rsidR="001C2106" w:rsidRPr="007F4884">
        <w:rPr>
          <w:rFonts w:ascii="Arial" w:hAnsi="Arial" w:cs="Arial"/>
        </w:rPr>
        <w:t>-35</w:t>
      </w:r>
    </w:p>
    <w:p w14:paraId="660F9ABE" w14:textId="67FB4CED" w:rsidR="004E513C" w:rsidRPr="007F4884" w:rsidRDefault="004E513C" w:rsidP="007F4884">
      <w:pPr>
        <w:spacing w:line="360" w:lineRule="auto"/>
        <w:rPr>
          <w:rFonts w:ascii="Arial" w:hAnsi="Arial" w:cs="Arial"/>
        </w:rPr>
      </w:pPr>
      <w:r w:rsidRPr="007F4884">
        <w:rPr>
          <w:rFonts w:ascii="Arial" w:hAnsi="Arial" w:cs="Arial"/>
        </w:rPr>
        <w:t>British Geological Survey, 2023</w:t>
      </w:r>
      <w:r w:rsidR="00853F5F" w:rsidRPr="007F4884">
        <w:rPr>
          <w:rFonts w:ascii="Arial" w:hAnsi="Arial" w:cs="Arial"/>
        </w:rPr>
        <w:t>a</w:t>
      </w:r>
      <w:r w:rsidRPr="007F4884">
        <w:rPr>
          <w:rFonts w:ascii="Arial" w:hAnsi="Arial" w:cs="Arial"/>
        </w:rPr>
        <w:t xml:space="preserve">. </w:t>
      </w:r>
      <w:r w:rsidR="000168AD" w:rsidRPr="007F4884">
        <w:rPr>
          <w:rFonts w:ascii="Arial" w:hAnsi="Arial" w:cs="Arial"/>
        </w:rPr>
        <w:t>Biosphere</w:t>
      </w:r>
      <w:r w:rsidRPr="007F4884">
        <w:rPr>
          <w:rFonts w:ascii="Arial" w:hAnsi="Arial" w:cs="Arial"/>
        </w:rPr>
        <w:t xml:space="preserve"> Isotope Domains</w:t>
      </w:r>
      <w:r w:rsidR="0013788C" w:rsidRPr="007F4884">
        <w:rPr>
          <w:rFonts w:ascii="Arial" w:hAnsi="Arial" w:cs="Arial"/>
        </w:rPr>
        <w:t xml:space="preserve"> (Great Britain). [Online] Available at: </w:t>
      </w:r>
      <w:hyperlink r:id="rId8" w:history="1">
        <w:r w:rsidR="000B682B" w:rsidRPr="007F4884">
          <w:rPr>
            <w:rStyle w:val="Hyperlink"/>
            <w:rFonts w:ascii="Arial" w:hAnsi="Arial" w:cs="Arial"/>
          </w:rPr>
          <w:t>https://www.bgs.ac.uk/datasets/biosphere-isotope-domains-gb/</w:t>
        </w:r>
      </w:hyperlink>
      <w:r w:rsidR="000B682B" w:rsidRPr="007F4884">
        <w:rPr>
          <w:rFonts w:ascii="Arial" w:hAnsi="Arial" w:cs="Arial"/>
        </w:rPr>
        <w:t xml:space="preserve"> [Access</w:t>
      </w:r>
      <w:r w:rsidR="00C36FE6" w:rsidRPr="007F4884">
        <w:rPr>
          <w:rFonts w:ascii="Arial" w:hAnsi="Arial" w:cs="Arial"/>
        </w:rPr>
        <w:t xml:space="preserve"> Dated: </w:t>
      </w:r>
      <w:r w:rsidR="00853F5F" w:rsidRPr="007F4884">
        <w:rPr>
          <w:rFonts w:ascii="Arial" w:hAnsi="Arial" w:cs="Arial"/>
        </w:rPr>
        <w:t>16</w:t>
      </w:r>
      <w:r w:rsidR="00853F5F" w:rsidRPr="007F4884">
        <w:rPr>
          <w:rFonts w:ascii="Arial" w:hAnsi="Arial" w:cs="Arial"/>
          <w:vertAlign w:val="superscript"/>
        </w:rPr>
        <w:t>th</w:t>
      </w:r>
      <w:r w:rsidR="00853F5F" w:rsidRPr="007F4884">
        <w:rPr>
          <w:rFonts w:ascii="Arial" w:hAnsi="Arial" w:cs="Arial"/>
        </w:rPr>
        <w:t xml:space="preserve"> November 2023]</w:t>
      </w:r>
    </w:p>
    <w:p w14:paraId="038FC55A" w14:textId="2AA57B6E" w:rsidR="00853F5F" w:rsidRPr="007F4884" w:rsidRDefault="00853F5F" w:rsidP="007F4884">
      <w:pPr>
        <w:spacing w:line="360" w:lineRule="auto"/>
        <w:rPr>
          <w:rFonts w:ascii="Arial" w:hAnsi="Arial" w:cs="Arial"/>
        </w:rPr>
      </w:pPr>
      <w:r w:rsidRPr="007F4884">
        <w:rPr>
          <w:rFonts w:ascii="Arial" w:hAnsi="Arial" w:cs="Arial"/>
        </w:rPr>
        <w:t xml:space="preserve">British Geological Survey, 2023b. </w:t>
      </w:r>
      <w:r w:rsidR="000168AD" w:rsidRPr="007F4884">
        <w:rPr>
          <w:rFonts w:ascii="Arial" w:hAnsi="Arial" w:cs="Arial"/>
        </w:rPr>
        <w:t>Biosphere Isotope Domains (Excel Data)</w:t>
      </w:r>
      <w:r w:rsidR="009D6F08" w:rsidRPr="007F4884">
        <w:rPr>
          <w:rFonts w:ascii="Arial" w:hAnsi="Arial" w:cs="Arial"/>
        </w:rPr>
        <w:t xml:space="preserve">. [Online] Available at: </w:t>
      </w:r>
      <w:hyperlink r:id="rId9" w:history="1">
        <w:r w:rsidR="009D6F08" w:rsidRPr="007F4884">
          <w:rPr>
            <w:rStyle w:val="Hyperlink"/>
            <w:rFonts w:ascii="Arial" w:hAnsi="Arial" w:cs="Arial"/>
          </w:rPr>
          <w:t>https://www.bgs.ac.uk/download/biosphere-isotope-domains-msexcel-data/</w:t>
        </w:r>
      </w:hyperlink>
      <w:r w:rsidR="009D6F08" w:rsidRPr="007F4884">
        <w:rPr>
          <w:rFonts w:ascii="Arial" w:hAnsi="Arial" w:cs="Arial"/>
        </w:rPr>
        <w:t xml:space="preserve"> [Access Dated: 16</w:t>
      </w:r>
      <w:r w:rsidR="009D6F08" w:rsidRPr="007F4884">
        <w:rPr>
          <w:rFonts w:ascii="Arial" w:hAnsi="Arial" w:cs="Arial"/>
          <w:vertAlign w:val="superscript"/>
        </w:rPr>
        <w:t>th</w:t>
      </w:r>
      <w:r w:rsidR="009D6F08" w:rsidRPr="007F4884">
        <w:rPr>
          <w:rFonts w:ascii="Arial" w:hAnsi="Arial" w:cs="Arial"/>
        </w:rPr>
        <w:t xml:space="preserve"> November 2023]</w:t>
      </w:r>
    </w:p>
    <w:p w14:paraId="58D4331D" w14:textId="2D886ECE" w:rsidR="008A1775" w:rsidRPr="007F4884" w:rsidRDefault="006314FA" w:rsidP="007F4884">
      <w:pPr>
        <w:spacing w:line="360" w:lineRule="auto"/>
        <w:rPr>
          <w:rFonts w:ascii="Arial" w:hAnsi="Arial" w:cs="Arial"/>
        </w:rPr>
      </w:pPr>
      <w:r w:rsidRPr="007F4884">
        <w:rPr>
          <w:rFonts w:ascii="Arial" w:hAnsi="Arial" w:cs="Arial"/>
        </w:rPr>
        <w:t xml:space="preserve">Budd, P., Montgomery, J., Evans, J., Barreiro, B., 2000. Human Tooth Enamel as a Record of the Comparative Lead Exposure of Prehistoric and Modern People. </w:t>
      </w:r>
      <w:r w:rsidR="009E306B" w:rsidRPr="007F4884">
        <w:rPr>
          <w:rFonts w:ascii="Arial" w:hAnsi="Arial" w:cs="Arial"/>
          <w:i/>
          <w:iCs/>
        </w:rPr>
        <w:t>The Science of the Total Environment</w:t>
      </w:r>
      <w:r w:rsidR="009E306B" w:rsidRPr="007F4884">
        <w:rPr>
          <w:rFonts w:ascii="Arial" w:hAnsi="Arial" w:cs="Arial"/>
        </w:rPr>
        <w:t>,</w:t>
      </w:r>
      <w:r w:rsidR="00B473B8" w:rsidRPr="007F4884">
        <w:rPr>
          <w:rFonts w:ascii="Arial" w:hAnsi="Arial" w:cs="Arial"/>
        </w:rPr>
        <w:t xml:space="preserve"> 263</w:t>
      </w:r>
      <w:r w:rsidR="00EF71CE" w:rsidRPr="007F4884">
        <w:rPr>
          <w:rFonts w:ascii="Arial" w:hAnsi="Arial" w:cs="Arial"/>
        </w:rPr>
        <w:t>(1-3), pp. 1-10</w:t>
      </w:r>
    </w:p>
    <w:p w14:paraId="2523E084" w14:textId="6E8B9A63" w:rsidR="00EF71CE" w:rsidRPr="007F4884" w:rsidRDefault="001D777F" w:rsidP="007F4884">
      <w:pPr>
        <w:spacing w:line="360" w:lineRule="auto"/>
        <w:rPr>
          <w:rFonts w:ascii="Arial" w:hAnsi="Arial" w:cs="Arial"/>
        </w:rPr>
      </w:pPr>
      <w:r w:rsidRPr="007F4884">
        <w:rPr>
          <w:rFonts w:ascii="Arial" w:hAnsi="Arial" w:cs="Arial"/>
        </w:rPr>
        <w:t>Budd, P., Montgomery, J., Evans, J., Trickett, M., 2004. Human Lead Exposure in England from Approximately 5500 BP to the 16</w:t>
      </w:r>
      <w:r w:rsidRPr="007F4884">
        <w:rPr>
          <w:rFonts w:ascii="Arial" w:hAnsi="Arial" w:cs="Arial"/>
          <w:vertAlign w:val="superscript"/>
        </w:rPr>
        <w:t>th</w:t>
      </w:r>
      <w:r w:rsidRPr="007F4884">
        <w:rPr>
          <w:rFonts w:ascii="Arial" w:hAnsi="Arial" w:cs="Arial"/>
        </w:rPr>
        <w:t xml:space="preserve"> Century AD</w:t>
      </w:r>
      <w:r w:rsidR="001F2641" w:rsidRPr="007F4884">
        <w:rPr>
          <w:rFonts w:ascii="Arial" w:hAnsi="Arial" w:cs="Arial"/>
        </w:rPr>
        <w:t xml:space="preserve">. </w:t>
      </w:r>
      <w:r w:rsidR="001F2641" w:rsidRPr="007F4884">
        <w:rPr>
          <w:rFonts w:ascii="Arial" w:hAnsi="Arial" w:cs="Arial"/>
          <w:i/>
          <w:iCs/>
        </w:rPr>
        <w:t>The Science of the Total Environment</w:t>
      </w:r>
      <w:r w:rsidR="001F2641" w:rsidRPr="007F4884">
        <w:rPr>
          <w:rFonts w:ascii="Arial" w:hAnsi="Arial" w:cs="Arial"/>
        </w:rPr>
        <w:t xml:space="preserve">, </w:t>
      </w:r>
      <w:r w:rsidR="00610C63" w:rsidRPr="007F4884">
        <w:rPr>
          <w:rFonts w:ascii="Arial" w:hAnsi="Arial" w:cs="Arial"/>
        </w:rPr>
        <w:t>318(1-3), pp. 45-58</w:t>
      </w:r>
    </w:p>
    <w:p w14:paraId="0508F3A0" w14:textId="6424AE45" w:rsidR="002176B7" w:rsidRPr="007F4884" w:rsidRDefault="002176B7" w:rsidP="007F4884">
      <w:pPr>
        <w:spacing w:line="360" w:lineRule="auto"/>
        <w:rPr>
          <w:rFonts w:ascii="Arial" w:hAnsi="Arial" w:cs="Arial"/>
        </w:rPr>
      </w:pPr>
      <w:proofErr w:type="spellStart"/>
      <w:r w:rsidRPr="007F4884">
        <w:rPr>
          <w:rFonts w:ascii="Arial" w:hAnsi="Arial" w:cs="Arial"/>
        </w:rPr>
        <w:t>Buikstra</w:t>
      </w:r>
      <w:proofErr w:type="spellEnd"/>
      <w:r w:rsidRPr="007F4884">
        <w:rPr>
          <w:rFonts w:ascii="Arial" w:hAnsi="Arial" w:cs="Arial"/>
        </w:rPr>
        <w:t xml:space="preserve">, J.E., </w:t>
      </w:r>
      <w:proofErr w:type="spellStart"/>
      <w:r w:rsidRPr="007F4884">
        <w:rPr>
          <w:rFonts w:ascii="Arial" w:hAnsi="Arial" w:cs="Arial"/>
        </w:rPr>
        <w:t>Ubelaker</w:t>
      </w:r>
      <w:proofErr w:type="spellEnd"/>
      <w:r w:rsidRPr="007F4884">
        <w:rPr>
          <w:rFonts w:ascii="Arial" w:hAnsi="Arial" w:cs="Arial"/>
        </w:rPr>
        <w:t xml:space="preserve">, D.H., </w:t>
      </w:r>
      <w:r w:rsidR="00733841" w:rsidRPr="007F4884">
        <w:rPr>
          <w:rFonts w:ascii="Arial" w:hAnsi="Arial" w:cs="Arial"/>
        </w:rPr>
        <w:t>1994. Standards for Data Collection from Human Remains.</w:t>
      </w:r>
      <w:r w:rsidR="000F0A55" w:rsidRPr="007F4884">
        <w:rPr>
          <w:rFonts w:ascii="Arial" w:hAnsi="Arial" w:cs="Arial"/>
        </w:rPr>
        <w:t xml:space="preserve"> Fayetteville: Arkansas Archaeological Survey</w:t>
      </w:r>
    </w:p>
    <w:p w14:paraId="25B0E396" w14:textId="50419D43" w:rsidR="009526E6" w:rsidRPr="007F4884" w:rsidRDefault="009526E6" w:rsidP="007F4884">
      <w:pPr>
        <w:spacing w:line="360" w:lineRule="auto"/>
        <w:rPr>
          <w:rFonts w:ascii="Arial" w:hAnsi="Arial" w:cs="Arial"/>
        </w:rPr>
      </w:pPr>
      <w:r w:rsidRPr="007F4884">
        <w:rPr>
          <w:rFonts w:ascii="Arial" w:hAnsi="Arial" w:cs="Arial"/>
        </w:rPr>
        <w:t>Evans, J.,</w:t>
      </w:r>
      <w:r w:rsidR="005A2561" w:rsidRPr="007F4884">
        <w:rPr>
          <w:rFonts w:ascii="Arial" w:hAnsi="Arial" w:cs="Arial"/>
        </w:rPr>
        <w:t xml:space="preserve"> Mee, K., Chenery, C., Marchant, A., 2023. User Guide for the Biosphere Isotope Domains GB</w:t>
      </w:r>
      <w:r w:rsidR="00194F87" w:rsidRPr="007F4884">
        <w:rPr>
          <w:rFonts w:ascii="Arial" w:hAnsi="Arial" w:cs="Arial"/>
        </w:rPr>
        <w:t xml:space="preserve"> (Version 2)</w:t>
      </w:r>
      <w:r w:rsidR="005A2561" w:rsidRPr="007F4884">
        <w:rPr>
          <w:rFonts w:ascii="Arial" w:hAnsi="Arial" w:cs="Arial"/>
        </w:rPr>
        <w:t xml:space="preserve"> Datas</w:t>
      </w:r>
      <w:r w:rsidR="006F43F8" w:rsidRPr="007F4884">
        <w:rPr>
          <w:rFonts w:ascii="Arial" w:hAnsi="Arial" w:cs="Arial"/>
        </w:rPr>
        <w:t xml:space="preserve">et and Web Portal. </w:t>
      </w:r>
      <w:r w:rsidR="00FF0DEC" w:rsidRPr="007F4884">
        <w:rPr>
          <w:rFonts w:ascii="Arial" w:hAnsi="Arial" w:cs="Arial"/>
          <w:i/>
          <w:iCs/>
        </w:rPr>
        <w:t>British Geological Survey Open Report</w:t>
      </w:r>
      <w:r w:rsidR="00FF0DEC" w:rsidRPr="007F4884">
        <w:rPr>
          <w:rFonts w:ascii="Arial" w:hAnsi="Arial" w:cs="Arial"/>
        </w:rPr>
        <w:t>, OR/22</w:t>
      </w:r>
      <w:r w:rsidR="000D451A" w:rsidRPr="007F4884">
        <w:rPr>
          <w:rFonts w:ascii="Arial" w:hAnsi="Arial" w:cs="Arial"/>
        </w:rPr>
        <w:t>/036, pp. 1-35</w:t>
      </w:r>
    </w:p>
    <w:p w14:paraId="631174C8" w14:textId="6B913AF7" w:rsidR="002C39C5" w:rsidRPr="007F4884" w:rsidRDefault="000305C5" w:rsidP="007F4884">
      <w:pPr>
        <w:spacing w:line="360" w:lineRule="auto"/>
        <w:rPr>
          <w:rFonts w:ascii="Arial" w:hAnsi="Arial" w:cs="Arial"/>
        </w:rPr>
      </w:pPr>
      <w:r w:rsidRPr="007F4884">
        <w:rPr>
          <w:rFonts w:ascii="Arial" w:hAnsi="Arial" w:cs="Arial"/>
        </w:rPr>
        <w:t xml:space="preserve">Forum on Information Standards in Heritage, 2023. </w:t>
      </w:r>
      <w:r w:rsidR="00447B82" w:rsidRPr="007F4884">
        <w:rPr>
          <w:rFonts w:ascii="Arial" w:hAnsi="Arial" w:cs="Arial"/>
        </w:rPr>
        <w:t>Chronology</w:t>
      </w:r>
      <w:r w:rsidR="00BE32FD" w:rsidRPr="007F4884">
        <w:rPr>
          <w:rFonts w:ascii="Arial" w:hAnsi="Arial" w:cs="Arial"/>
        </w:rPr>
        <w:t xml:space="preserve">. [Online] Available at: </w:t>
      </w:r>
      <w:hyperlink r:id="rId10" w:history="1">
        <w:r w:rsidR="00BE32FD" w:rsidRPr="007F4884">
          <w:rPr>
            <w:rStyle w:val="Hyperlink"/>
            <w:rFonts w:ascii="Arial" w:hAnsi="Arial" w:cs="Arial"/>
          </w:rPr>
          <w:t>https://www.heritage-standards.org.uk/chronology/</w:t>
        </w:r>
      </w:hyperlink>
      <w:r w:rsidR="00BE32FD" w:rsidRPr="007F4884">
        <w:rPr>
          <w:rFonts w:ascii="Arial" w:hAnsi="Arial" w:cs="Arial"/>
        </w:rPr>
        <w:t xml:space="preserve"> [Access Dated: 19</w:t>
      </w:r>
      <w:r w:rsidR="00BE32FD" w:rsidRPr="007F4884">
        <w:rPr>
          <w:rFonts w:ascii="Arial" w:hAnsi="Arial" w:cs="Arial"/>
          <w:vertAlign w:val="superscript"/>
        </w:rPr>
        <w:t>th</w:t>
      </w:r>
      <w:r w:rsidR="00BE32FD" w:rsidRPr="007F4884">
        <w:rPr>
          <w:rFonts w:ascii="Arial" w:hAnsi="Arial" w:cs="Arial"/>
        </w:rPr>
        <w:t xml:space="preserve"> December 2023]</w:t>
      </w:r>
    </w:p>
    <w:p w14:paraId="4AD1AEC8" w14:textId="25C9A9C4" w:rsidR="00637E13" w:rsidRPr="007F4884" w:rsidRDefault="00532735" w:rsidP="007F4884">
      <w:pPr>
        <w:spacing w:line="360" w:lineRule="auto"/>
        <w:rPr>
          <w:rFonts w:ascii="Arial" w:hAnsi="Arial" w:cs="Arial"/>
        </w:rPr>
      </w:pPr>
      <w:proofErr w:type="spellStart"/>
      <w:r w:rsidRPr="007F4884">
        <w:rPr>
          <w:rFonts w:ascii="Arial" w:hAnsi="Arial" w:cs="Arial"/>
        </w:rPr>
        <w:t>GlobaLID</w:t>
      </w:r>
      <w:proofErr w:type="spellEnd"/>
      <w:r w:rsidRPr="007F4884">
        <w:rPr>
          <w:rFonts w:ascii="Arial" w:hAnsi="Arial" w:cs="Arial"/>
        </w:rPr>
        <w:t xml:space="preserve"> Core Team, 2021. </w:t>
      </w:r>
      <w:proofErr w:type="spellStart"/>
      <w:r w:rsidRPr="007F4884">
        <w:rPr>
          <w:rFonts w:ascii="Arial" w:hAnsi="Arial" w:cs="Arial"/>
        </w:rPr>
        <w:t>GlobaLID</w:t>
      </w:r>
      <w:proofErr w:type="spellEnd"/>
      <w:r w:rsidRPr="007F4884">
        <w:rPr>
          <w:rFonts w:ascii="Arial" w:hAnsi="Arial" w:cs="Arial"/>
        </w:rPr>
        <w:t xml:space="preserve"> Web Application V. 1.0, </w:t>
      </w:r>
      <w:r w:rsidR="00753126" w:rsidRPr="007F4884">
        <w:rPr>
          <w:rFonts w:ascii="Arial" w:hAnsi="Arial" w:cs="Arial"/>
        </w:rPr>
        <w:t xml:space="preserve">database status: 2023-06-18 [Online] Available at: </w:t>
      </w:r>
      <w:hyperlink r:id="rId11" w:history="1">
        <w:r w:rsidR="00753126" w:rsidRPr="007F4884">
          <w:rPr>
            <w:rStyle w:val="Hyperlink"/>
            <w:rFonts w:ascii="Arial" w:hAnsi="Arial" w:cs="Arial"/>
          </w:rPr>
          <w:t>https://globalid.dmt-lb.de/#</w:t>
        </w:r>
      </w:hyperlink>
      <w:r w:rsidR="00753126" w:rsidRPr="007F4884">
        <w:rPr>
          <w:rFonts w:ascii="Arial" w:hAnsi="Arial" w:cs="Arial"/>
        </w:rPr>
        <w:t xml:space="preserve"> [Access Dated: 16</w:t>
      </w:r>
      <w:r w:rsidR="00753126" w:rsidRPr="007F4884">
        <w:rPr>
          <w:rFonts w:ascii="Arial" w:hAnsi="Arial" w:cs="Arial"/>
          <w:vertAlign w:val="superscript"/>
        </w:rPr>
        <w:t>th</w:t>
      </w:r>
      <w:r w:rsidR="00753126" w:rsidRPr="007F4884">
        <w:rPr>
          <w:rFonts w:ascii="Arial" w:hAnsi="Arial" w:cs="Arial"/>
        </w:rPr>
        <w:t xml:space="preserve"> November 2023]</w:t>
      </w:r>
    </w:p>
    <w:p w14:paraId="7B5DCBFD" w14:textId="5D3E76D0" w:rsidR="001E4A19" w:rsidRPr="007F4884" w:rsidRDefault="00BA27B3" w:rsidP="007F4884">
      <w:pPr>
        <w:spacing w:line="360" w:lineRule="auto"/>
        <w:rPr>
          <w:rFonts w:ascii="Arial" w:hAnsi="Arial" w:cs="Arial"/>
        </w:rPr>
      </w:pPr>
      <w:r w:rsidRPr="007F4884">
        <w:rPr>
          <w:rFonts w:ascii="Arial" w:hAnsi="Arial" w:cs="Arial"/>
        </w:rPr>
        <w:lastRenderedPageBreak/>
        <w:t xml:space="preserve">Historic England, 2023. England’s Historic Periods. [Online] Available at: </w:t>
      </w:r>
      <w:hyperlink r:id="rId12" w:history="1">
        <w:r w:rsidR="002C39C5" w:rsidRPr="007F4884">
          <w:rPr>
            <w:rStyle w:val="Hyperlink"/>
            <w:rFonts w:ascii="Arial" w:hAnsi="Arial" w:cs="Arial"/>
          </w:rPr>
          <w:t>https://historicengland.org.uk/listing/the-list/historic-periods/</w:t>
        </w:r>
      </w:hyperlink>
      <w:r w:rsidR="002C39C5" w:rsidRPr="007F4884">
        <w:rPr>
          <w:rFonts w:ascii="Arial" w:hAnsi="Arial" w:cs="Arial"/>
        </w:rPr>
        <w:t xml:space="preserve"> [Access Dated: 19</w:t>
      </w:r>
      <w:r w:rsidR="002C39C5" w:rsidRPr="007F4884">
        <w:rPr>
          <w:rFonts w:ascii="Arial" w:hAnsi="Arial" w:cs="Arial"/>
          <w:vertAlign w:val="superscript"/>
        </w:rPr>
        <w:t>th</w:t>
      </w:r>
      <w:r w:rsidR="002C39C5" w:rsidRPr="007F4884">
        <w:rPr>
          <w:rFonts w:ascii="Arial" w:hAnsi="Arial" w:cs="Arial"/>
        </w:rPr>
        <w:t xml:space="preserve"> December 2023]</w:t>
      </w:r>
    </w:p>
    <w:p w14:paraId="5A58B6D9" w14:textId="7F1CCB33" w:rsidR="009C0C7F" w:rsidRPr="007F4884" w:rsidRDefault="009C0C7F" w:rsidP="007F4884">
      <w:pPr>
        <w:spacing w:line="360" w:lineRule="auto"/>
        <w:rPr>
          <w:rFonts w:ascii="Arial" w:hAnsi="Arial" w:cs="Arial"/>
        </w:rPr>
      </w:pPr>
      <w:r w:rsidRPr="007F4884">
        <w:rPr>
          <w:rFonts w:ascii="Arial" w:hAnsi="Arial" w:cs="Arial"/>
        </w:rPr>
        <w:t>Kansa, E.C., Kansa, S</w:t>
      </w:r>
      <w:r w:rsidR="00D01E1C" w:rsidRPr="007F4884">
        <w:rPr>
          <w:rFonts w:ascii="Arial" w:hAnsi="Arial" w:cs="Arial"/>
        </w:rPr>
        <w:t>.W., 2022</w:t>
      </w:r>
      <w:r w:rsidR="00EF46BC" w:rsidRPr="007F4884">
        <w:rPr>
          <w:rFonts w:ascii="Arial" w:hAnsi="Arial" w:cs="Arial"/>
        </w:rPr>
        <w:t xml:space="preserve">. Promoting Data Quality and Reuse in Archaeology Through Collaborative Identifier Practices. </w:t>
      </w:r>
      <w:r w:rsidR="00FA0D9B" w:rsidRPr="007F4884">
        <w:rPr>
          <w:rFonts w:ascii="Arial" w:hAnsi="Arial" w:cs="Arial"/>
          <w:i/>
          <w:iCs/>
        </w:rPr>
        <w:t>PNAS</w:t>
      </w:r>
      <w:r w:rsidR="00FA0D9B" w:rsidRPr="007F4884">
        <w:rPr>
          <w:rFonts w:ascii="Arial" w:hAnsi="Arial" w:cs="Arial"/>
        </w:rPr>
        <w:t xml:space="preserve">, 119(43), </w:t>
      </w:r>
      <w:r w:rsidR="00F71BBB" w:rsidRPr="007F4884">
        <w:rPr>
          <w:rFonts w:ascii="Arial" w:hAnsi="Arial" w:cs="Arial"/>
        </w:rPr>
        <w:t>e2109313118</w:t>
      </w:r>
    </w:p>
    <w:p w14:paraId="56987E82" w14:textId="28518499" w:rsidR="00610C63" w:rsidRPr="007F4884" w:rsidRDefault="00F03DE7" w:rsidP="007F4884">
      <w:pPr>
        <w:spacing w:line="360" w:lineRule="auto"/>
        <w:rPr>
          <w:rFonts w:ascii="Arial" w:hAnsi="Arial" w:cs="Arial"/>
        </w:rPr>
      </w:pPr>
      <w:r w:rsidRPr="007F4884">
        <w:rPr>
          <w:rFonts w:ascii="Arial" w:hAnsi="Arial" w:cs="Arial"/>
        </w:rPr>
        <w:t>Klein</w:t>
      </w:r>
      <w:r w:rsidR="004F3553" w:rsidRPr="007F4884">
        <w:rPr>
          <w:rFonts w:ascii="Arial" w:hAnsi="Arial" w:cs="Arial"/>
        </w:rPr>
        <w:t xml:space="preserve">, S., Rose, T., </w:t>
      </w:r>
      <w:proofErr w:type="spellStart"/>
      <w:r w:rsidR="004F3553" w:rsidRPr="007F4884">
        <w:rPr>
          <w:rFonts w:ascii="Arial" w:hAnsi="Arial" w:cs="Arial"/>
        </w:rPr>
        <w:t>Westner</w:t>
      </w:r>
      <w:proofErr w:type="spellEnd"/>
      <w:r w:rsidR="004F3553" w:rsidRPr="007F4884">
        <w:rPr>
          <w:rFonts w:ascii="Arial" w:hAnsi="Arial" w:cs="Arial"/>
        </w:rPr>
        <w:t xml:space="preserve">, K.J., </w:t>
      </w:r>
      <w:proofErr w:type="spellStart"/>
      <w:r w:rsidR="004F3553" w:rsidRPr="007F4884">
        <w:rPr>
          <w:rFonts w:ascii="Arial" w:hAnsi="Arial" w:cs="Arial"/>
        </w:rPr>
        <w:t>Yiu</w:t>
      </w:r>
      <w:proofErr w:type="spellEnd"/>
      <w:r w:rsidR="004F3553" w:rsidRPr="007F4884">
        <w:rPr>
          <w:rFonts w:ascii="Arial" w:hAnsi="Arial" w:cs="Arial"/>
        </w:rPr>
        <w:t xml:space="preserve">-Kang, H., </w:t>
      </w:r>
      <w:r w:rsidR="00107615" w:rsidRPr="007F4884">
        <w:rPr>
          <w:rFonts w:ascii="Arial" w:hAnsi="Arial" w:cs="Arial"/>
        </w:rPr>
        <w:t xml:space="preserve">2022. From OXALID to </w:t>
      </w:r>
      <w:proofErr w:type="spellStart"/>
      <w:r w:rsidR="00107615" w:rsidRPr="007F4884">
        <w:rPr>
          <w:rFonts w:ascii="Arial" w:hAnsi="Arial" w:cs="Arial"/>
        </w:rPr>
        <w:t>GlobaLID</w:t>
      </w:r>
      <w:proofErr w:type="spellEnd"/>
      <w:r w:rsidR="00107615" w:rsidRPr="007F4884">
        <w:rPr>
          <w:rFonts w:ascii="Arial" w:hAnsi="Arial" w:cs="Arial"/>
        </w:rPr>
        <w:t xml:space="preserve">: Introducing a Modern and FAIR Lead Isotope Database with an Interactive Application. </w:t>
      </w:r>
      <w:r w:rsidR="00DF3E20" w:rsidRPr="007F4884">
        <w:rPr>
          <w:rFonts w:ascii="Arial" w:hAnsi="Arial" w:cs="Arial"/>
          <w:i/>
          <w:iCs/>
        </w:rPr>
        <w:t>Archaeometry</w:t>
      </w:r>
      <w:r w:rsidR="00DF3E20" w:rsidRPr="007F4884">
        <w:rPr>
          <w:rFonts w:ascii="Arial" w:hAnsi="Arial" w:cs="Arial"/>
        </w:rPr>
        <w:t>, 64(</w:t>
      </w:r>
      <w:r w:rsidR="006E1A6B" w:rsidRPr="007F4884">
        <w:rPr>
          <w:rFonts w:ascii="Arial" w:hAnsi="Arial" w:cs="Arial"/>
        </w:rPr>
        <w:t>4</w:t>
      </w:r>
      <w:r w:rsidR="00DF3E20" w:rsidRPr="007F4884">
        <w:rPr>
          <w:rFonts w:ascii="Arial" w:hAnsi="Arial" w:cs="Arial"/>
        </w:rPr>
        <w:t>), pp. 935-950</w:t>
      </w:r>
    </w:p>
    <w:p w14:paraId="41F6DEF9" w14:textId="42C5EBA1" w:rsidR="002D0B55" w:rsidRPr="007F4884" w:rsidRDefault="002D0B55" w:rsidP="007F4884">
      <w:pPr>
        <w:spacing w:line="360" w:lineRule="auto"/>
        <w:rPr>
          <w:rFonts w:ascii="Arial" w:hAnsi="Arial" w:cs="Arial"/>
        </w:rPr>
      </w:pPr>
      <w:r w:rsidRPr="007F4884">
        <w:rPr>
          <w:rFonts w:ascii="Arial" w:hAnsi="Arial" w:cs="Arial"/>
        </w:rPr>
        <w:t xml:space="preserve">Leatherman, G., 1972. Fédération </w:t>
      </w:r>
      <w:proofErr w:type="spellStart"/>
      <w:r w:rsidRPr="007F4884">
        <w:rPr>
          <w:rFonts w:ascii="Arial" w:hAnsi="Arial" w:cs="Arial"/>
        </w:rPr>
        <w:t>Dentaire</w:t>
      </w:r>
      <w:proofErr w:type="spellEnd"/>
      <w:r w:rsidRPr="007F4884">
        <w:rPr>
          <w:rFonts w:ascii="Arial" w:hAnsi="Arial" w:cs="Arial"/>
        </w:rPr>
        <w:t xml:space="preserve"> Internationale</w:t>
      </w:r>
      <w:r w:rsidR="005C6B69" w:rsidRPr="007F4884">
        <w:rPr>
          <w:rFonts w:ascii="Arial" w:hAnsi="Arial" w:cs="Arial"/>
        </w:rPr>
        <w:t xml:space="preserve">. </w:t>
      </w:r>
      <w:r w:rsidR="003D5DE6" w:rsidRPr="007F4884">
        <w:rPr>
          <w:rFonts w:ascii="Arial" w:hAnsi="Arial" w:cs="Arial"/>
        </w:rPr>
        <w:t xml:space="preserve">New Tooth Designation System. </w:t>
      </w:r>
      <w:r w:rsidR="00221596" w:rsidRPr="007F4884">
        <w:rPr>
          <w:rFonts w:ascii="Arial" w:hAnsi="Arial" w:cs="Arial"/>
          <w:i/>
          <w:iCs/>
        </w:rPr>
        <w:t xml:space="preserve">Bulletins and Memoirs of the </w:t>
      </w:r>
      <w:r w:rsidR="00E7247D" w:rsidRPr="007F4884">
        <w:rPr>
          <w:rFonts w:ascii="Arial" w:hAnsi="Arial" w:cs="Arial"/>
          <w:i/>
          <w:iCs/>
        </w:rPr>
        <w:t>Society of Anthropology of Paris</w:t>
      </w:r>
      <w:r w:rsidR="00E7247D" w:rsidRPr="007F4884">
        <w:rPr>
          <w:rFonts w:ascii="Arial" w:hAnsi="Arial" w:cs="Arial"/>
        </w:rPr>
        <w:t xml:space="preserve">, </w:t>
      </w:r>
      <w:r w:rsidR="009C08CD" w:rsidRPr="007F4884">
        <w:rPr>
          <w:rFonts w:ascii="Arial" w:hAnsi="Arial" w:cs="Arial"/>
        </w:rPr>
        <w:t>9(1), pp. 83-85</w:t>
      </w:r>
    </w:p>
    <w:p w14:paraId="28A23724" w14:textId="4A81E5D1" w:rsidR="006519E1" w:rsidRPr="007F4884" w:rsidRDefault="00277546" w:rsidP="007F4884">
      <w:pPr>
        <w:spacing w:line="360" w:lineRule="auto"/>
        <w:rPr>
          <w:rFonts w:ascii="Arial" w:hAnsi="Arial" w:cs="Arial"/>
        </w:rPr>
      </w:pPr>
      <w:r w:rsidRPr="007F4884">
        <w:rPr>
          <w:rFonts w:ascii="Arial" w:hAnsi="Arial" w:cs="Arial"/>
        </w:rPr>
        <w:t xml:space="preserve">Library of Congress, </w:t>
      </w:r>
      <w:r w:rsidR="00B420E8" w:rsidRPr="007F4884">
        <w:rPr>
          <w:rFonts w:ascii="Arial" w:hAnsi="Arial" w:cs="Arial"/>
        </w:rPr>
        <w:t xml:space="preserve">2022. </w:t>
      </w:r>
      <w:r w:rsidR="00CA0806" w:rsidRPr="007F4884">
        <w:rPr>
          <w:rFonts w:ascii="Arial" w:hAnsi="Arial" w:cs="Arial"/>
        </w:rPr>
        <w:t>Sustainability of Digital Formats: Planning for Library of Congress Collections – XLSX Transitional (Office Open XML</w:t>
      </w:r>
      <w:r w:rsidR="004A2985" w:rsidRPr="007F4884">
        <w:rPr>
          <w:rFonts w:ascii="Arial" w:hAnsi="Arial" w:cs="Arial"/>
        </w:rPr>
        <w:t xml:space="preserve">), ISO 29500: 2008-2016, ECMA-376, Editions 1-5. [Online] Available at: </w:t>
      </w:r>
      <w:hyperlink r:id="rId13" w:anchor=":~:text=The%20XLSX%20format%20uses%20the,more%20worksheets%20in%20a%20workbook" w:history="1">
        <w:r w:rsidR="0013243A" w:rsidRPr="007F4884">
          <w:rPr>
            <w:rStyle w:val="Hyperlink"/>
            <w:rFonts w:ascii="Arial" w:hAnsi="Arial" w:cs="Arial"/>
          </w:rPr>
          <w:t>https://www.loc.gov/preservation/digital/formats/fdd/fdd000398.shtml#:~:text=The%20XLSX%20format%20uses%20the,more%20worksheets%20in%20a%20workbook</w:t>
        </w:r>
      </w:hyperlink>
      <w:r w:rsidR="0013243A" w:rsidRPr="007F4884">
        <w:rPr>
          <w:rFonts w:ascii="Arial" w:hAnsi="Arial" w:cs="Arial"/>
        </w:rPr>
        <w:t>. [Access Dated: 20</w:t>
      </w:r>
      <w:r w:rsidR="0013243A" w:rsidRPr="007F4884">
        <w:rPr>
          <w:rFonts w:ascii="Arial" w:hAnsi="Arial" w:cs="Arial"/>
          <w:vertAlign w:val="superscript"/>
        </w:rPr>
        <w:t>th</w:t>
      </w:r>
      <w:r w:rsidR="0013243A" w:rsidRPr="007F4884">
        <w:rPr>
          <w:rFonts w:ascii="Arial" w:hAnsi="Arial" w:cs="Arial"/>
        </w:rPr>
        <w:t xml:space="preserve"> December 2023</w:t>
      </w:r>
      <w:r w:rsidR="00E52F82" w:rsidRPr="007F4884">
        <w:rPr>
          <w:rFonts w:ascii="Arial" w:hAnsi="Arial" w:cs="Arial"/>
        </w:rPr>
        <w:t>]</w:t>
      </w:r>
    </w:p>
    <w:p w14:paraId="6087897F" w14:textId="395F8CD8" w:rsidR="00B701BE" w:rsidRPr="007F4884" w:rsidRDefault="00B701BE" w:rsidP="007F4884">
      <w:pPr>
        <w:spacing w:line="360" w:lineRule="auto"/>
        <w:rPr>
          <w:rFonts w:ascii="Arial" w:hAnsi="Arial" w:cs="Arial"/>
        </w:rPr>
      </w:pPr>
      <w:r w:rsidRPr="007F4884">
        <w:rPr>
          <w:rFonts w:ascii="Arial" w:hAnsi="Arial" w:cs="Arial"/>
        </w:rPr>
        <w:t>Mays, S., Elders, J., Humphrey, L., White, W., Marshall, P., 2013.</w:t>
      </w:r>
      <w:r w:rsidR="000D1332" w:rsidRPr="007F4884">
        <w:rPr>
          <w:rFonts w:ascii="Arial" w:hAnsi="Arial" w:cs="Arial"/>
        </w:rPr>
        <w:t xml:space="preserve"> Science and the Dead: A Guideline for the Destructive Sampling of Archaeological Human Remains for Scientific Analysis. </w:t>
      </w:r>
      <w:r w:rsidR="00031163" w:rsidRPr="007F4884">
        <w:rPr>
          <w:rFonts w:ascii="Arial" w:hAnsi="Arial" w:cs="Arial"/>
        </w:rPr>
        <w:t>London: APABE</w:t>
      </w:r>
      <w:r w:rsidR="005E3510" w:rsidRPr="007F4884">
        <w:rPr>
          <w:rFonts w:ascii="Arial" w:hAnsi="Arial" w:cs="Arial"/>
        </w:rPr>
        <w:t>; Swindon: English Heritage</w:t>
      </w:r>
    </w:p>
    <w:p w14:paraId="39961F20" w14:textId="20EB5E16" w:rsidR="005E3510" w:rsidRPr="007F4884" w:rsidRDefault="005E3510" w:rsidP="007F4884">
      <w:pPr>
        <w:spacing w:line="360" w:lineRule="auto"/>
        <w:rPr>
          <w:rFonts w:ascii="Arial" w:hAnsi="Arial" w:cs="Arial"/>
        </w:rPr>
      </w:pPr>
      <w:r w:rsidRPr="007F4884">
        <w:rPr>
          <w:rFonts w:ascii="Arial" w:hAnsi="Arial" w:cs="Arial"/>
        </w:rPr>
        <w:t xml:space="preserve">Mays, S., </w:t>
      </w:r>
      <w:r w:rsidR="0054013D" w:rsidRPr="007F4884">
        <w:rPr>
          <w:rFonts w:ascii="Arial" w:hAnsi="Arial" w:cs="Arial"/>
        </w:rPr>
        <w:t xml:space="preserve">Elders, J., Humphrey., Marshall, P., 2023. Science and the Dead: Destructive Sampling of Archaeological Human Remains for Scientific Analysis (Second Edition). </w:t>
      </w:r>
      <w:r w:rsidR="00C9544C" w:rsidRPr="007F4884">
        <w:rPr>
          <w:rFonts w:ascii="Arial" w:hAnsi="Arial" w:cs="Arial"/>
        </w:rPr>
        <w:t xml:space="preserve">London: APABE; </w:t>
      </w:r>
      <w:r w:rsidR="003709C8" w:rsidRPr="007F4884">
        <w:rPr>
          <w:rFonts w:ascii="Arial" w:hAnsi="Arial" w:cs="Arial"/>
        </w:rPr>
        <w:t>Liverpool: Historic England</w:t>
      </w:r>
    </w:p>
    <w:p w14:paraId="26669ACF" w14:textId="37A09202" w:rsidR="00141D6D" w:rsidRPr="007F4884" w:rsidRDefault="00141D6D" w:rsidP="007F4884">
      <w:pPr>
        <w:spacing w:line="360" w:lineRule="auto"/>
        <w:rPr>
          <w:rFonts w:ascii="Arial" w:hAnsi="Arial" w:cs="Arial"/>
        </w:rPr>
      </w:pPr>
      <w:r w:rsidRPr="007F4884">
        <w:rPr>
          <w:rFonts w:ascii="Arial" w:hAnsi="Arial" w:cs="Arial"/>
        </w:rPr>
        <w:t xml:space="preserve">MIDAS Heritage, 2012. </w:t>
      </w:r>
      <w:r w:rsidR="0070280D" w:rsidRPr="007F4884">
        <w:rPr>
          <w:rFonts w:ascii="Arial" w:hAnsi="Arial" w:cs="Arial"/>
        </w:rPr>
        <w:t>MIDAS Heritage: The UK Historic Environment Data Standard, v 1.1.</w:t>
      </w:r>
      <w:r w:rsidR="004919AA" w:rsidRPr="007F4884">
        <w:rPr>
          <w:rFonts w:ascii="Arial" w:hAnsi="Arial" w:cs="Arial"/>
        </w:rPr>
        <w:t xml:space="preserve"> </w:t>
      </w:r>
      <w:r w:rsidR="004E7F2A" w:rsidRPr="007F4884">
        <w:rPr>
          <w:rFonts w:ascii="Arial" w:hAnsi="Arial" w:cs="Arial"/>
        </w:rPr>
        <w:t xml:space="preserve">London: </w:t>
      </w:r>
      <w:r w:rsidR="00432941" w:rsidRPr="007F4884">
        <w:rPr>
          <w:rFonts w:ascii="Arial" w:hAnsi="Arial" w:cs="Arial"/>
        </w:rPr>
        <w:t>Historic England</w:t>
      </w:r>
    </w:p>
    <w:p w14:paraId="387F68AB" w14:textId="2760BA4D" w:rsidR="00156A28" w:rsidRPr="007F4884" w:rsidRDefault="00DA45C8" w:rsidP="007F4884">
      <w:pPr>
        <w:spacing w:line="360" w:lineRule="auto"/>
        <w:rPr>
          <w:rFonts w:ascii="Arial" w:hAnsi="Arial" w:cs="Arial"/>
        </w:rPr>
      </w:pPr>
      <w:r w:rsidRPr="007F4884">
        <w:rPr>
          <w:rFonts w:ascii="Arial" w:hAnsi="Arial" w:cs="Arial"/>
        </w:rPr>
        <w:t>Millard</w:t>
      </w:r>
      <w:r w:rsidR="00F5482B" w:rsidRPr="007F4884">
        <w:rPr>
          <w:rFonts w:ascii="Arial" w:hAnsi="Arial" w:cs="Arial"/>
        </w:rPr>
        <w:t xml:space="preserve">, A., Montgomery, J., Trickett, M., Beaumont, J., Evans, J., </w:t>
      </w:r>
      <w:r w:rsidR="00BA7D83" w:rsidRPr="007F4884">
        <w:rPr>
          <w:rFonts w:ascii="Arial" w:hAnsi="Arial" w:cs="Arial"/>
        </w:rPr>
        <w:t xml:space="preserve">Chenery, S., 2014. </w:t>
      </w:r>
      <w:r w:rsidR="007F31E0" w:rsidRPr="007F4884">
        <w:rPr>
          <w:rFonts w:ascii="Arial" w:hAnsi="Arial" w:cs="Arial"/>
        </w:rPr>
        <w:t>“</w:t>
      </w:r>
      <w:r w:rsidR="00BA7D83" w:rsidRPr="007F4884">
        <w:rPr>
          <w:rFonts w:ascii="Arial" w:hAnsi="Arial" w:cs="Arial"/>
        </w:rPr>
        <w:t>Childhood Lead Exposure in the British Isles During the Industrial Revolution</w:t>
      </w:r>
      <w:r w:rsidR="00D054E1" w:rsidRPr="007F4884">
        <w:rPr>
          <w:rFonts w:ascii="Arial" w:hAnsi="Arial" w:cs="Arial"/>
        </w:rPr>
        <w:t xml:space="preserve">” In Zuckerman, M.K. (Eds.) </w:t>
      </w:r>
      <w:r w:rsidR="00D054E1" w:rsidRPr="007F4884">
        <w:rPr>
          <w:rFonts w:ascii="Arial" w:hAnsi="Arial" w:cs="Arial"/>
          <w:i/>
          <w:iCs/>
        </w:rPr>
        <w:t>Modern Environments and Human Health: Revisiting the Second Epidemiologic</w:t>
      </w:r>
      <w:r w:rsidR="00FD1FBA" w:rsidRPr="007F4884">
        <w:rPr>
          <w:rFonts w:ascii="Arial" w:hAnsi="Arial" w:cs="Arial"/>
          <w:i/>
          <w:iCs/>
        </w:rPr>
        <w:t xml:space="preserve"> Transition</w:t>
      </w:r>
      <w:r w:rsidR="00FD1FBA" w:rsidRPr="007F4884">
        <w:rPr>
          <w:rFonts w:ascii="Arial" w:hAnsi="Arial" w:cs="Arial"/>
        </w:rPr>
        <w:t xml:space="preserve"> (First Edition).</w:t>
      </w:r>
      <w:r w:rsidR="0044585D" w:rsidRPr="007F4884">
        <w:rPr>
          <w:rFonts w:ascii="Arial" w:hAnsi="Arial" w:cs="Arial"/>
        </w:rPr>
        <w:t xml:space="preserve"> Hoboken</w:t>
      </w:r>
      <w:r w:rsidR="00FD1FBA" w:rsidRPr="007F4884">
        <w:rPr>
          <w:rFonts w:ascii="Arial" w:hAnsi="Arial" w:cs="Arial"/>
        </w:rPr>
        <w:t>: John Wiley and Sons, pp. 279-</w:t>
      </w:r>
      <w:r w:rsidR="00610803" w:rsidRPr="007F4884">
        <w:rPr>
          <w:rFonts w:ascii="Arial" w:hAnsi="Arial" w:cs="Arial"/>
        </w:rPr>
        <w:t>299</w:t>
      </w:r>
    </w:p>
    <w:p w14:paraId="1EBAA5E3" w14:textId="3FEBAA57" w:rsidR="002939F4" w:rsidRPr="007F4884" w:rsidRDefault="002939F4" w:rsidP="007F4884">
      <w:pPr>
        <w:spacing w:line="360" w:lineRule="auto"/>
        <w:rPr>
          <w:rFonts w:ascii="Arial" w:hAnsi="Arial" w:cs="Arial"/>
        </w:rPr>
      </w:pPr>
      <w:r w:rsidRPr="007F4884">
        <w:rPr>
          <w:rFonts w:ascii="Arial" w:hAnsi="Arial" w:cs="Arial"/>
        </w:rPr>
        <w:t xml:space="preserve">Montgomery, J., Evans, K., Chenery, </w:t>
      </w:r>
      <w:r w:rsidR="0093572C" w:rsidRPr="007F4884">
        <w:rPr>
          <w:rFonts w:ascii="Arial" w:hAnsi="Arial" w:cs="Arial"/>
        </w:rPr>
        <w:t>S</w:t>
      </w:r>
      <w:r w:rsidRPr="007F4884">
        <w:rPr>
          <w:rFonts w:ascii="Arial" w:hAnsi="Arial" w:cs="Arial"/>
        </w:rPr>
        <w:t xml:space="preserve">., </w:t>
      </w:r>
      <w:r w:rsidR="005F4AB4" w:rsidRPr="007F4884">
        <w:rPr>
          <w:rFonts w:ascii="Arial" w:hAnsi="Arial" w:cs="Arial"/>
        </w:rPr>
        <w:t>Pashley</w:t>
      </w:r>
      <w:r w:rsidR="00DF0A77" w:rsidRPr="007F4884">
        <w:rPr>
          <w:rFonts w:ascii="Arial" w:hAnsi="Arial" w:cs="Arial"/>
        </w:rPr>
        <w:t xml:space="preserve">, V., </w:t>
      </w:r>
      <w:proofErr w:type="spellStart"/>
      <w:r w:rsidR="00DF0A77" w:rsidRPr="007F4884">
        <w:rPr>
          <w:rFonts w:ascii="Arial" w:hAnsi="Arial" w:cs="Arial"/>
        </w:rPr>
        <w:t>Kil</w:t>
      </w:r>
      <w:r w:rsidR="00E4107A" w:rsidRPr="007F4884">
        <w:rPr>
          <w:rFonts w:ascii="Arial" w:hAnsi="Arial" w:cs="Arial"/>
        </w:rPr>
        <w:t>l</w:t>
      </w:r>
      <w:r w:rsidR="00DF0A77" w:rsidRPr="007F4884">
        <w:rPr>
          <w:rFonts w:ascii="Arial" w:hAnsi="Arial" w:cs="Arial"/>
        </w:rPr>
        <w:t>grove</w:t>
      </w:r>
      <w:proofErr w:type="spellEnd"/>
      <w:r w:rsidR="00DF0A77" w:rsidRPr="007F4884">
        <w:rPr>
          <w:rFonts w:ascii="Arial" w:hAnsi="Arial" w:cs="Arial"/>
        </w:rPr>
        <w:t xml:space="preserve">, K., 2010. “Gleaming White and Deadly”: Using Lead to Track Human Exposure and Geographic Origins in the Roman Period in Britain. </w:t>
      </w:r>
      <w:r w:rsidR="00DF0A77" w:rsidRPr="007F4884">
        <w:rPr>
          <w:rFonts w:ascii="Arial" w:hAnsi="Arial" w:cs="Arial"/>
          <w:i/>
          <w:iCs/>
        </w:rPr>
        <w:t>Journal of Roman Archaeology: Supplementary Series</w:t>
      </w:r>
      <w:r w:rsidR="00DF0A77" w:rsidRPr="007F4884">
        <w:rPr>
          <w:rFonts w:ascii="Arial" w:hAnsi="Arial" w:cs="Arial"/>
        </w:rPr>
        <w:t>, Suppl.</w:t>
      </w:r>
      <w:r w:rsidR="00D72BF0" w:rsidRPr="007F4884">
        <w:rPr>
          <w:rFonts w:ascii="Arial" w:hAnsi="Arial" w:cs="Arial"/>
        </w:rPr>
        <w:t xml:space="preserve"> 78(1), pp. 199-226</w:t>
      </w:r>
    </w:p>
    <w:p w14:paraId="3D4C004A" w14:textId="16784A85" w:rsidR="00AA6B11" w:rsidRPr="007F4884" w:rsidRDefault="00AA6B11" w:rsidP="007F4884">
      <w:pPr>
        <w:spacing w:line="360" w:lineRule="auto"/>
        <w:rPr>
          <w:rFonts w:ascii="Arial" w:hAnsi="Arial" w:cs="Arial"/>
        </w:rPr>
      </w:pPr>
      <w:r w:rsidRPr="007F4884">
        <w:rPr>
          <w:rFonts w:ascii="Arial" w:hAnsi="Arial" w:cs="Arial"/>
        </w:rPr>
        <w:lastRenderedPageBreak/>
        <w:t xml:space="preserve">Moore, J., Rose, A., </w:t>
      </w:r>
      <w:r w:rsidR="00587DC3" w:rsidRPr="007F4884">
        <w:rPr>
          <w:rFonts w:ascii="Arial" w:hAnsi="Arial" w:cs="Arial"/>
        </w:rPr>
        <w:t xml:space="preserve">Anderson, S., Evans, J., Nowell, G., </w:t>
      </w:r>
      <w:proofErr w:type="spellStart"/>
      <w:r w:rsidR="00587DC3" w:rsidRPr="007F4884">
        <w:rPr>
          <w:rFonts w:ascii="Arial" w:hAnsi="Arial" w:cs="Arial"/>
        </w:rPr>
        <w:t>Grocke</w:t>
      </w:r>
      <w:proofErr w:type="spellEnd"/>
      <w:r w:rsidR="00587DC3" w:rsidRPr="007F4884">
        <w:rPr>
          <w:rFonts w:ascii="Arial" w:hAnsi="Arial" w:cs="Arial"/>
        </w:rPr>
        <w:t xml:space="preserve">, D.R., Pashley, V., Kirby, M., Montgomery, J., </w:t>
      </w:r>
      <w:r w:rsidR="002F75C6" w:rsidRPr="007F4884">
        <w:rPr>
          <w:rFonts w:ascii="Arial" w:hAnsi="Arial" w:cs="Arial"/>
        </w:rPr>
        <w:t>2020. A Multi-Isotope (C, N, O, Sr, Pb) Study of Iron Age and Roman Period Skeletons from East Edinburgh, Scotland Exploring the Relationship Between Decapitation Burials and Geographical Origins.</w:t>
      </w:r>
      <w:r w:rsidR="004C4ECA" w:rsidRPr="007F4884">
        <w:rPr>
          <w:rFonts w:ascii="Arial" w:hAnsi="Arial" w:cs="Arial"/>
        </w:rPr>
        <w:t xml:space="preserve"> </w:t>
      </w:r>
      <w:r w:rsidR="004C4ECA" w:rsidRPr="007F4884">
        <w:rPr>
          <w:rFonts w:ascii="Arial" w:hAnsi="Arial" w:cs="Arial"/>
          <w:i/>
          <w:iCs/>
        </w:rPr>
        <w:t>Journal of Archaeological Science: Reports</w:t>
      </w:r>
      <w:r w:rsidR="004C4ECA" w:rsidRPr="007F4884">
        <w:rPr>
          <w:rFonts w:ascii="Arial" w:hAnsi="Arial" w:cs="Arial"/>
        </w:rPr>
        <w:t xml:space="preserve">, </w:t>
      </w:r>
      <w:r w:rsidR="006A7B7A" w:rsidRPr="007F4884">
        <w:rPr>
          <w:rFonts w:ascii="Arial" w:hAnsi="Arial" w:cs="Arial"/>
        </w:rPr>
        <w:t>29(1), 102075</w:t>
      </w:r>
    </w:p>
    <w:p w14:paraId="4F73EB63" w14:textId="33774A1C" w:rsidR="008A1B33" w:rsidRPr="007F4884" w:rsidRDefault="008A1B33" w:rsidP="007F4884">
      <w:pPr>
        <w:spacing w:line="360" w:lineRule="auto"/>
        <w:rPr>
          <w:rFonts w:ascii="Arial" w:hAnsi="Arial" w:cs="Arial"/>
        </w:rPr>
      </w:pPr>
      <w:r w:rsidRPr="007F4884">
        <w:rPr>
          <w:rFonts w:ascii="Arial" w:hAnsi="Arial" w:cs="Arial"/>
        </w:rPr>
        <w:t>Niven, K., 2023.</w:t>
      </w:r>
      <w:r w:rsidR="00F472F2" w:rsidRPr="007F4884">
        <w:rPr>
          <w:rFonts w:ascii="Arial" w:hAnsi="Arial" w:cs="Arial"/>
        </w:rPr>
        <w:t xml:space="preserve"> Help and Guidance: Guides to Good Practice</w:t>
      </w:r>
      <w:r w:rsidR="004B64AA" w:rsidRPr="007F4884">
        <w:rPr>
          <w:rFonts w:ascii="Arial" w:hAnsi="Arial" w:cs="Arial"/>
        </w:rPr>
        <w:t xml:space="preserve"> – Databases and Spreadsheets</w:t>
      </w:r>
      <w:r w:rsidR="0022743F" w:rsidRPr="007F4884">
        <w:rPr>
          <w:rFonts w:ascii="Arial" w:hAnsi="Arial" w:cs="Arial"/>
        </w:rPr>
        <w:t xml:space="preserve">. [Online] Available at: </w:t>
      </w:r>
      <w:hyperlink r:id="rId14" w:history="1">
        <w:r w:rsidR="0022743F" w:rsidRPr="007F4884">
          <w:rPr>
            <w:rStyle w:val="Hyperlink"/>
            <w:rFonts w:ascii="Arial" w:hAnsi="Arial" w:cs="Arial"/>
          </w:rPr>
          <w:t>https://archaeologydataservice.ac.uk/help-guidance/guides-to-good-practice/basic-components/databases-and-spreadsheets/introduction-to-databases-and-spreadsheets/what-are-databases-and-spreadsheets/</w:t>
        </w:r>
      </w:hyperlink>
      <w:r w:rsidR="0022743F" w:rsidRPr="007F4884">
        <w:rPr>
          <w:rFonts w:ascii="Arial" w:hAnsi="Arial" w:cs="Arial"/>
        </w:rPr>
        <w:t xml:space="preserve"> [Access Dated </w:t>
      </w:r>
      <w:r w:rsidR="006519E1" w:rsidRPr="007F4884">
        <w:rPr>
          <w:rFonts w:ascii="Arial" w:hAnsi="Arial" w:cs="Arial"/>
        </w:rPr>
        <w:t>18</w:t>
      </w:r>
      <w:r w:rsidR="006519E1" w:rsidRPr="007F4884">
        <w:rPr>
          <w:rFonts w:ascii="Arial" w:hAnsi="Arial" w:cs="Arial"/>
          <w:vertAlign w:val="superscript"/>
        </w:rPr>
        <w:t>th</w:t>
      </w:r>
      <w:r w:rsidR="006519E1" w:rsidRPr="007F4884">
        <w:rPr>
          <w:rFonts w:ascii="Arial" w:hAnsi="Arial" w:cs="Arial"/>
        </w:rPr>
        <w:t xml:space="preserve"> December 2023]</w:t>
      </w:r>
    </w:p>
    <w:p w14:paraId="0118C35F" w14:textId="73D4E245" w:rsidR="006771E1" w:rsidRPr="007F4884" w:rsidRDefault="006771E1" w:rsidP="007F4884">
      <w:pPr>
        <w:spacing w:line="360" w:lineRule="auto"/>
        <w:rPr>
          <w:rFonts w:ascii="Arial" w:hAnsi="Arial" w:cs="Arial"/>
        </w:rPr>
      </w:pPr>
      <w:r w:rsidRPr="007F4884">
        <w:rPr>
          <w:rFonts w:ascii="Arial" w:hAnsi="Arial" w:cs="Arial"/>
        </w:rPr>
        <w:t>O’Connell, L.,</w:t>
      </w:r>
      <w:r w:rsidR="003567A5" w:rsidRPr="007F4884">
        <w:rPr>
          <w:rFonts w:ascii="Arial" w:hAnsi="Arial" w:cs="Arial"/>
        </w:rPr>
        <w:t xml:space="preserve"> 2004.</w:t>
      </w:r>
      <w:r w:rsidRPr="007F4884">
        <w:rPr>
          <w:rFonts w:ascii="Arial" w:hAnsi="Arial" w:cs="Arial"/>
        </w:rPr>
        <w:t xml:space="preserve"> </w:t>
      </w:r>
      <w:r w:rsidR="003567A5" w:rsidRPr="007F4884">
        <w:rPr>
          <w:rFonts w:ascii="Arial" w:hAnsi="Arial" w:cs="Arial"/>
        </w:rPr>
        <w:t xml:space="preserve">“Guidance on Recording Age at Death in Adults” In: </w:t>
      </w:r>
      <w:proofErr w:type="spellStart"/>
      <w:r w:rsidR="003567A5" w:rsidRPr="007F4884">
        <w:rPr>
          <w:rFonts w:ascii="Arial" w:hAnsi="Arial" w:cs="Arial"/>
        </w:rPr>
        <w:t>Brickley</w:t>
      </w:r>
      <w:proofErr w:type="spellEnd"/>
      <w:r w:rsidR="003567A5" w:rsidRPr="007F4884">
        <w:rPr>
          <w:rFonts w:ascii="Arial" w:hAnsi="Arial" w:cs="Arial"/>
        </w:rPr>
        <w:t xml:space="preserve">, M., McKinley, J.I. (Eds.) </w:t>
      </w:r>
      <w:r w:rsidR="003567A5" w:rsidRPr="007F4884">
        <w:rPr>
          <w:rFonts w:ascii="Arial" w:hAnsi="Arial" w:cs="Arial"/>
          <w:i/>
          <w:iCs/>
        </w:rPr>
        <w:t>Guidelines to the Standards for Recording Human Remains</w:t>
      </w:r>
      <w:r w:rsidR="003567A5" w:rsidRPr="007F4884">
        <w:rPr>
          <w:rFonts w:ascii="Arial" w:hAnsi="Arial" w:cs="Arial"/>
        </w:rPr>
        <w:t xml:space="preserve">. Southampton: BABAO; Reading: IFA, pp. </w:t>
      </w:r>
      <w:r w:rsidR="00BD68D2" w:rsidRPr="007F4884">
        <w:rPr>
          <w:rFonts w:ascii="Arial" w:hAnsi="Arial" w:cs="Arial"/>
        </w:rPr>
        <w:t>18-20</w:t>
      </w:r>
    </w:p>
    <w:p w14:paraId="4D78CC14" w14:textId="386BE432" w:rsidR="00F6714A" w:rsidRPr="007F4884" w:rsidRDefault="00F6714A" w:rsidP="007F4884">
      <w:pPr>
        <w:spacing w:line="360" w:lineRule="auto"/>
        <w:rPr>
          <w:rFonts w:ascii="Arial" w:hAnsi="Arial" w:cs="Arial"/>
        </w:rPr>
      </w:pPr>
      <w:r w:rsidRPr="007F4884">
        <w:rPr>
          <w:rFonts w:ascii="Arial" w:hAnsi="Arial" w:cs="Arial"/>
        </w:rPr>
        <w:t>Richards, M., 2004. “</w:t>
      </w:r>
      <w:r w:rsidR="0040495B" w:rsidRPr="007F4884">
        <w:rPr>
          <w:rFonts w:ascii="Arial" w:hAnsi="Arial" w:cs="Arial"/>
        </w:rPr>
        <w:t xml:space="preserve">Sampling Procedures for Bone Chemistry”. In: </w:t>
      </w:r>
      <w:proofErr w:type="spellStart"/>
      <w:r w:rsidR="0040495B" w:rsidRPr="007F4884">
        <w:rPr>
          <w:rFonts w:ascii="Arial" w:hAnsi="Arial" w:cs="Arial"/>
        </w:rPr>
        <w:t>Brickley</w:t>
      </w:r>
      <w:proofErr w:type="spellEnd"/>
      <w:r w:rsidR="00A36946" w:rsidRPr="007F4884">
        <w:rPr>
          <w:rFonts w:ascii="Arial" w:hAnsi="Arial" w:cs="Arial"/>
        </w:rPr>
        <w:t>, M., McKinley, J.I. (</w:t>
      </w:r>
      <w:r w:rsidR="00DB6016" w:rsidRPr="007F4884">
        <w:rPr>
          <w:rFonts w:ascii="Arial" w:hAnsi="Arial" w:cs="Arial"/>
        </w:rPr>
        <w:t xml:space="preserve">Eds.) </w:t>
      </w:r>
      <w:r w:rsidR="00DB6016" w:rsidRPr="007F4884">
        <w:rPr>
          <w:rFonts w:ascii="Arial" w:hAnsi="Arial" w:cs="Arial"/>
          <w:i/>
          <w:iCs/>
        </w:rPr>
        <w:t>Guidelines to the Standards for Recording Human Remains</w:t>
      </w:r>
      <w:r w:rsidR="00DB6016" w:rsidRPr="007F4884">
        <w:rPr>
          <w:rFonts w:ascii="Arial" w:hAnsi="Arial" w:cs="Arial"/>
        </w:rPr>
        <w:t xml:space="preserve">. </w:t>
      </w:r>
      <w:r w:rsidR="00A00E26" w:rsidRPr="007F4884">
        <w:rPr>
          <w:rFonts w:ascii="Arial" w:hAnsi="Arial" w:cs="Arial"/>
        </w:rPr>
        <w:t>Southampton: BAB</w:t>
      </w:r>
      <w:r w:rsidR="00715C27" w:rsidRPr="007F4884">
        <w:rPr>
          <w:rFonts w:ascii="Arial" w:hAnsi="Arial" w:cs="Arial"/>
        </w:rPr>
        <w:t>AO</w:t>
      </w:r>
      <w:r w:rsidR="00B52C3C" w:rsidRPr="007F4884">
        <w:rPr>
          <w:rFonts w:ascii="Arial" w:hAnsi="Arial" w:cs="Arial"/>
        </w:rPr>
        <w:t xml:space="preserve">; </w:t>
      </w:r>
      <w:r w:rsidR="00715C27" w:rsidRPr="007F4884">
        <w:rPr>
          <w:rFonts w:ascii="Arial" w:hAnsi="Arial" w:cs="Arial"/>
        </w:rPr>
        <w:t xml:space="preserve">Reading: </w:t>
      </w:r>
      <w:r w:rsidR="00334895" w:rsidRPr="007F4884">
        <w:rPr>
          <w:rFonts w:ascii="Arial" w:hAnsi="Arial" w:cs="Arial"/>
        </w:rPr>
        <w:t>IFA, pp. 43-45</w:t>
      </w:r>
    </w:p>
    <w:p w14:paraId="21285C19" w14:textId="410EEA52" w:rsidR="00EA78E7" w:rsidRPr="007F4884" w:rsidRDefault="00EA78E7" w:rsidP="007F4884">
      <w:pPr>
        <w:spacing w:line="360" w:lineRule="auto"/>
        <w:rPr>
          <w:rFonts w:ascii="Arial" w:hAnsi="Arial" w:cs="Arial"/>
        </w:rPr>
      </w:pPr>
      <w:r w:rsidRPr="007F4884">
        <w:rPr>
          <w:rFonts w:ascii="Arial" w:hAnsi="Arial" w:cs="Arial"/>
        </w:rPr>
        <w:t xml:space="preserve">Scheuer, L., Black, S., </w:t>
      </w:r>
      <w:r w:rsidR="001F73C4" w:rsidRPr="007F4884">
        <w:rPr>
          <w:rFonts w:ascii="Arial" w:hAnsi="Arial" w:cs="Arial"/>
        </w:rPr>
        <w:t xml:space="preserve">2000. Developmental Juvenile Osteology. </w:t>
      </w:r>
      <w:r w:rsidR="0011747D" w:rsidRPr="007F4884">
        <w:rPr>
          <w:rFonts w:ascii="Arial" w:hAnsi="Arial" w:cs="Arial"/>
        </w:rPr>
        <w:t>London: Academic Press</w:t>
      </w:r>
    </w:p>
    <w:p w14:paraId="6755A5A3" w14:textId="6C2343B5" w:rsidR="004A21FF" w:rsidRPr="007F4884" w:rsidRDefault="004A21FF" w:rsidP="007F4884">
      <w:pPr>
        <w:spacing w:line="360" w:lineRule="auto"/>
        <w:rPr>
          <w:rFonts w:ascii="Arial" w:hAnsi="Arial" w:cs="Arial"/>
        </w:rPr>
      </w:pPr>
      <w:proofErr w:type="spellStart"/>
      <w:r w:rsidRPr="007F4884">
        <w:rPr>
          <w:rFonts w:ascii="Arial" w:hAnsi="Arial" w:cs="Arial"/>
        </w:rPr>
        <w:t>Stos</w:t>
      </w:r>
      <w:proofErr w:type="spellEnd"/>
      <w:r w:rsidR="00067CDD" w:rsidRPr="007F4884">
        <w:rPr>
          <w:rFonts w:ascii="Arial" w:hAnsi="Arial" w:cs="Arial"/>
        </w:rPr>
        <w:t xml:space="preserve">-Gale, Z.A., Gale, N.H., 2009. Metal </w:t>
      </w:r>
      <w:proofErr w:type="spellStart"/>
      <w:r w:rsidR="00067CDD" w:rsidRPr="007F4884">
        <w:rPr>
          <w:rFonts w:ascii="Arial" w:hAnsi="Arial" w:cs="Arial"/>
        </w:rPr>
        <w:t>Provenancing</w:t>
      </w:r>
      <w:proofErr w:type="spellEnd"/>
      <w:r w:rsidR="00102744" w:rsidRPr="007F4884">
        <w:rPr>
          <w:rFonts w:ascii="Arial" w:hAnsi="Arial" w:cs="Arial"/>
        </w:rPr>
        <w:t xml:space="preserve"> Using Isotopes and the Oxford Archaeological Lead Isotope Database (OXALID). </w:t>
      </w:r>
      <w:r w:rsidR="00102744" w:rsidRPr="007F4884">
        <w:rPr>
          <w:rFonts w:ascii="Arial" w:hAnsi="Arial" w:cs="Arial"/>
          <w:i/>
          <w:iCs/>
        </w:rPr>
        <w:t>Archaeologic</w:t>
      </w:r>
      <w:r w:rsidR="00A1219F" w:rsidRPr="007F4884">
        <w:rPr>
          <w:rFonts w:ascii="Arial" w:hAnsi="Arial" w:cs="Arial"/>
          <w:i/>
          <w:iCs/>
        </w:rPr>
        <w:t>al and Anthropological Sciences</w:t>
      </w:r>
      <w:r w:rsidR="00A1219F" w:rsidRPr="007F4884">
        <w:rPr>
          <w:rFonts w:ascii="Arial" w:hAnsi="Arial" w:cs="Arial"/>
        </w:rPr>
        <w:t>, 1(3), pp. 195-213</w:t>
      </w:r>
    </w:p>
    <w:p w14:paraId="1337FA64" w14:textId="47829E9A" w:rsidR="00C5581E" w:rsidRPr="007F4884" w:rsidRDefault="00D35E15" w:rsidP="007F4884">
      <w:pPr>
        <w:spacing w:line="360" w:lineRule="auto"/>
        <w:rPr>
          <w:rFonts w:ascii="Arial" w:hAnsi="Arial" w:cs="Arial"/>
          <w:i/>
          <w:iCs/>
        </w:rPr>
      </w:pPr>
      <w:proofErr w:type="spellStart"/>
      <w:r w:rsidRPr="007F4884">
        <w:rPr>
          <w:rFonts w:ascii="Arial" w:hAnsi="Arial" w:cs="Arial"/>
        </w:rPr>
        <w:t>Westner</w:t>
      </w:r>
      <w:proofErr w:type="spellEnd"/>
      <w:r w:rsidRPr="007F4884">
        <w:rPr>
          <w:rFonts w:ascii="Arial" w:hAnsi="Arial" w:cs="Arial"/>
        </w:rPr>
        <w:t xml:space="preserve">, </w:t>
      </w:r>
      <w:r w:rsidR="006B59B1" w:rsidRPr="007F4884">
        <w:rPr>
          <w:rFonts w:ascii="Arial" w:hAnsi="Arial" w:cs="Arial"/>
        </w:rPr>
        <w:t xml:space="preserve">K.J., Thomas, R., Klein, S., </w:t>
      </w:r>
      <w:proofErr w:type="spellStart"/>
      <w:r w:rsidR="006B59B1" w:rsidRPr="007F4884">
        <w:rPr>
          <w:rFonts w:ascii="Arial" w:hAnsi="Arial" w:cs="Arial"/>
        </w:rPr>
        <w:t>Yiu</w:t>
      </w:r>
      <w:proofErr w:type="spellEnd"/>
      <w:r w:rsidR="006B59B1" w:rsidRPr="007F4884">
        <w:rPr>
          <w:rFonts w:ascii="Arial" w:hAnsi="Arial" w:cs="Arial"/>
        </w:rPr>
        <w:t xml:space="preserve">-Kang, H., </w:t>
      </w:r>
      <w:r w:rsidR="0082301E" w:rsidRPr="007F4884">
        <w:rPr>
          <w:rFonts w:ascii="Arial" w:hAnsi="Arial" w:cs="Arial"/>
        </w:rPr>
        <w:t xml:space="preserve">2021. </w:t>
      </w:r>
      <w:proofErr w:type="spellStart"/>
      <w:r w:rsidR="0082301E" w:rsidRPr="007F4884">
        <w:rPr>
          <w:rFonts w:ascii="Arial" w:hAnsi="Arial" w:cs="Arial"/>
        </w:rPr>
        <w:t>GlobaLID</w:t>
      </w:r>
      <w:proofErr w:type="spellEnd"/>
      <w:r w:rsidR="0082301E" w:rsidRPr="007F4884">
        <w:rPr>
          <w:rFonts w:ascii="Arial" w:hAnsi="Arial" w:cs="Arial"/>
        </w:rPr>
        <w:t xml:space="preserve"> – Global Lead Isotope Database. V. 1.0</w:t>
      </w:r>
      <w:r w:rsidR="00FC4A61" w:rsidRPr="007F4884">
        <w:rPr>
          <w:rFonts w:ascii="Arial" w:hAnsi="Arial" w:cs="Arial"/>
        </w:rPr>
        <w:t>.</w:t>
      </w:r>
      <w:r w:rsidR="00276578" w:rsidRPr="007F4884">
        <w:rPr>
          <w:rFonts w:ascii="Arial" w:hAnsi="Arial" w:cs="Arial"/>
        </w:rPr>
        <w:t xml:space="preserve"> </w:t>
      </w:r>
      <w:r w:rsidR="004550F7" w:rsidRPr="007F4884">
        <w:rPr>
          <w:rFonts w:ascii="Arial" w:hAnsi="Arial" w:cs="Arial"/>
          <w:i/>
          <w:iCs/>
        </w:rPr>
        <w:t>GFZ Data Services</w:t>
      </w:r>
    </w:p>
    <w:p w14:paraId="0E07BB65" w14:textId="58DCD3C3" w:rsidR="007900FB" w:rsidRPr="007F4884" w:rsidRDefault="007900FB" w:rsidP="007F4884">
      <w:pPr>
        <w:spacing w:line="360" w:lineRule="auto"/>
        <w:rPr>
          <w:rFonts w:ascii="Arial" w:hAnsi="Arial" w:cs="Arial"/>
        </w:rPr>
      </w:pPr>
      <w:r w:rsidRPr="007F4884">
        <w:rPr>
          <w:rFonts w:ascii="Arial" w:hAnsi="Arial" w:cs="Arial"/>
        </w:rPr>
        <w:t xml:space="preserve">White, </w:t>
      </w:r>
      <w:r w:rsidR="00B1493E" w:rsidRPr="007F4884">
        <w:rPr>
          <w:rFonts w:ascii="Arial" w:hAnsi="Arial" w:cs="Arial"/>
        </w:rPr>
        <w:t xml:space="preserve">T.D., </w:t>
      </w:r>
      <w:proofErr w:type="spellStart"/>
      <w:r w:rsidR="00B1493E" w:rsidRPr="007F4884">
        <w:rPr>
          <w:rFonts w:ascii="Arial" w:hAnsi="Arial" w:cs="Arial"/>
        </w:rPr>
        <w:t>Folkens</w:t>
      </w:r>
      <w:proofErr w:type="spellEnd"/>
      <w:r w:rsidR="00B1493E" w:rsidRPr="007F4884">
        <w:rPr>
          <w:rFonts w:ascii="Arial" w:hAnsi="Arial" w:cs="Arial"/>
        </w:rPr>
        <w:t xml:space="preserve">, P., 1991. Human Osteology. </w:t>
      </w:r>
      <w:r w:rsidR="00DB0825" w:rsidRPr="007F4884">
        <w:rPr>
          <w:rFonts w:ascii="Arial" w:hAnsi="Arial" w:cs="Arial"/>
        </w:rPr>
        <w:t>London: Academic Press</w:t>
      </w:r>
    </w:p>
    <w:p w14:paraId="59FD9C9D" w14:textId="51008D45" w:rsidR="00997C9C" w:rsidRPr="007F4884" w:rsidRDefault="00437058" w:rsidP="007F4884">
      <w:pPr>
        <w:spacing w:line="360" w:lineRule="auto"/>
        <w:rPr>
          <w:rFonts w:ascii="Arial" w:hAnsi="Arial" w:cs="Arial"/>
        </w:rPr>
      </w:pPr>
      <w:r w:rsidRPr="007F4884">
        <w:rPr>
          <w:rFonts w:ascii="Arial" w:hAnsi="Arial" w:cs="Arial"/>
        </w:rPr>
        <w:t xml:space="preserve">Wilkinson, M.D., </w:t>
      </w:r>
      <w:r w:rsidR="00C407A2" w:rsidRPr="007F4884">
        <w:rPr>
          <w:rFonts w:ascii="Arial" w:hAnsi="Arial" w:cs="Arial"/>
        </w:rPr>
        <w:t xml:space="preserve">Dumontier, M., </w:t>
      </w:r>
      <w:proofErr w:type="spellStart"/>
      <w:r w:rsidR="00C407A2" w:rsidRPr="007F4884">
        <w:rPr>
          <w:rFonts w:ascii="Arial" w:hAnsi="Arial" w:cs="Arial"/>
        </w:rPr>
        <w:t>Aalbersberg</w:t>
      </w:r>
      <w:proofErr w:type="spellEnd"/>
      <w:r w:rsidR="00C407A2" w:rsidRPr="007F4884">
        <w:rPr>
          <w:rFonts w:ascii="Arial" w:hAnsi="Arial" w:cs="Arial"/>
        </w:rPr>
        <w:t xml:space="preserve">, I.J., Appleton, G., Axton, M., </w:t>
      </w:r>
      <w:proofErr w:type="spellStart"/>
      <w:r w:rsidR="00C407A2" w:rsidRPr="007F4884">
        <w:rPr>
          <w:rFonts w:ascii="Arial" w:hAnsi="Arial" w:cs="Arial"/>
        </w:rPr>
        <w:t>Baak</w:t>
      </w:r>
      <w:proofErr w:type="spellEnd"/>
      <w:r w:rsidR="00C407A2" w:rsidRPr="007F4884">
        <w:rPr>
          <w:rFonts w:ascii="Arial" w:hAnsi="Arial" w:cs="Arial"/>
        </w:rPr>
        <w:t xml:space="preserve">, A., Blomberg, N., </w:t>
      </w:r>
      <w:proofErr w:type="spellStart"/>
      <w:r w:rsidR="00C407A2" w:rsidRPr="007F4884">
        <w:rPr>
          <w:rFonts w:ascii="Arial" w:hAnsi="Arial" w:cs="Arial"/>
        </w:rPr>
        <w:t>Boiten</w:t>
      </w:r>
      <w:proofErr w:type="spellEnd"/>
      <w:r w:rsidR="00C407A2" w:rsidRPr="007F4884">
        <w:rPr>
          <w:rFonts w:ascii="Arial" w:hAnsi="Arial" w:cs="Arial"/>
        </w:rPr>
        <w:t xml:space="preserve">, J.W., </w:t>
      </w:r>
      <w:r w:rsidR="003B1245" w:rsidRPr="007F4884">
        <w:rPr>
          <w:rFonts w:ascii="Arial" w:hAnsi="Arial" w:cs="Arial"/>
        </w:rPr>
        <w:t xml:space="preserve">da Silva Santos, L.B., </w:t>
      </w:r>
      <w:proofErr w:type="spellStart"/>
      <w:r w:rsidR="003B1245" w:rsidRPr="007F4884">
        <w:rPr>
          <w:rFonts w:ascii="Arial" w:hAnsi="Arial" w:cs="Arial"/>
        </w:rPr>
        <w:t>Bourne</w:t>
      </w:r>
      <w:proofErr w:type="spellEnd"/>
      <w:r w:rsidR="003B1245" w:rsidRPr="007F4884">
        <w:rPr>
          <w:rFonts w:ascii="Arial" w:hAnsi="Arial" w:cs="Arial"/>
        </w:rPr>
        <w:t xml:space="preserve">, P.E., </w:t>
      </w:r>
      <w:proofErr w:type="spellStart"/>
      <w:r w:rsidR="003B1245" w:rsidRPr="007F4884">
        <w:rPr>
          <w:rFonts w:ascii="Arial" w:hAnsi="Arial" w:cs="Arial"/>
        </w:rPr>
        <w:t>Bouwman</w:t>
      </w:r>
      <w:proofErr w:type="spellEnd"/>
      <w:r w:rsidR="003B1245" w:rsidRPr="007F4884">
        <w:rPr>
          <w:rFonts w:ascii="Arial" w:hAnsi="Arial" w:cs="Arial"/>
        </w:rPr>
        <w:t xml:space="preserve">, J., Brookes, A.J., Clark, T., </w:t>
      </w:r>
      <w:proofErr w:type="spellStart"/>
      <w:r w:rsidR="003B1245" w:rsidRPr="007F4884">
        <w:rPr>
          <w:rFonts w:ascii="Arial" w:hAnsi="Arial" w:cs="Arial"/>
        </w:rPr>
        <w:t>Crosas</w:t>
      </w:r>
      <w:proofErr w:type="spellEnd"/>
      <w:r w:rsidR="003B1245" w:rsidRPr="007F4884">
        <w:rPr>
          <w:rFonts w:ascii="Arial" w:hAnsi="Arial" w:cs="Arial"/>
        </w:rPr>
        <w:t xml:space="preserve">, M., </w:t>
      </w:r>
      <w:proofErr w:type="spellStart"/>
      <w:r w:rsidR="003B1245" w:rsidRPr="007F4884">
        <w:rPr>
          <w:rFonts w:ascii="Arial" w:hAnsi="Arial" w:cs="Arial"/>
        </w:rPr>
        <w:t>Dillo</w:t>
      </w:r>
      <w:proofErr w:type="spellEnd"/>
      <w:r w:rsidR="003B1245" w:rsidRPr="007F4884">
        <w:rPr>
          <w:rFonts w:ascii="Arial" w:hAnsi="Arial" w:cs="Arial"/>
        </w:rPr>
        <w:t xml:space="preserve">, I., </w:t>
      </w:r>
      <w:proofErr w:type="spellStart"/>
      <w:r w:rsidR="003B1245" w:rsidRPr="007F4884">
        <w:rPr>
          <w:rFonts w:ascii="Arial" w:hAnsi="Arial" w:cs="Arial"/>
        </w:rPr>
        <w:t>Dumon</w:t>
      </w:r>
      <w:proofErr w:type="spellEnd"/>
      <w:r w:rsidR="003B1245" w:rsidRPr="007F4884">
        <w:rPr>
          <w:rFonts w:ascii="Arial" w:hAnsi="Arial" w:cs="Arial"/>
        </w:rPr>
        <w:t xml:space="preserve">, O., </w:t>
      </w:r>
      <w:r w:rsidR="00B55162" w:rsidRPr="007F4884">
        <w:rPr>
          <w:rFonts w:ascii="Arial" w:hAnsi="Arial" w:cs="Arial"/>
        </w:rPr>
        <w:t xml:space="preserve">Edmunds, S., </w:t>
      </w:r>
      <w:proofErr w:type="spellStart"/>
      <w:r w:rsidR="00B55162" w:rsidRPr="007F4884">
        <w:rPr>
          <w:rFonts w:ascii="Arial" w:hAnsi="Arial" w:cs="Arial"/>
        </w:rPr>
        <w:t>Evelo</w:t>
      </w:r>
      <w:proofErr w:type="spellEnd"/>
      <w:r w:rsidR="00B55162" w:rsidRPr="007F4884">
        <w:rPr>
          <w:rFonts w:ascii="Arial" w:hAnsi="Arial" w:cs="Arial"/>
        </w:rPr>
        <w:t xml:space="preserve">, C.T., </w:t>
      </w:r>
      <w:proofErr w:type="spellStart"/>
      <w:r w:rsidR="00B55162" w:rsidRPr="007F4884">
        <w:rPr>
          <w:rFonts w:ascii="Arial" w:hAnsi="Arial" w:cs="Arial"/>
        </w:rPr>
        <w:t>Finkers</w:t>
      </w:r>
      <w:proofErr w:type="spellEnd"/>
      <w:r w:rsidR="00B55162" w:rsidRPr="007F4884">
        <w:rPr>
          <w:rFonts w:ascii="Arial" w:hAnsi="Arial" w:cs="Arial"/>
        </w:rPr>
        <w:t xml:space="preserve">, R., </w:t>
      </w:r>
      <w:r w:rsidR="0043421B" w:rsidRPr="007F4884">
        <w:rPr>
          <w:rFonts w:ascii="Arial" w:hAnsi="Arial" w:cs="Arial"/>
        </w:rPr>
        <w:t>Gonzalez-</w:t>
      </w:r>
      <w:proofErr w:type="spellStart"/>
      <w:r w:rsidR="0043421B" w:rsidRPr="007F4884">
        <w:rPr>
          <w:rFonts w:ascii="Arial" w:hAnsi="Arial" w:cs="Arial"/>
        </w:rPr>
        <w:t>Beltra</w:t>
      </w:r>
      <w:proofErr w:type="spellEnd"/>
      <w:r w:rsidR="0043421B" w:rsidRPr="007F4884">
        <w:rPr>
          <w:rFonts w:ascii="Arial" w:hAnsi="Arial" w:cs="Arial"/>
        </w:rPr>
        <w:t xml:space="preserve">, A., Gray, A.J.G., </w:t>
      </w:r>
      <w:proofErr w:type="spellStart"/>
      <w:r w:rsidR="0043421B" w:rsidRPr="007F4884">
        <w:rPr>
          <w:rFonts w:ascii="Arial" w:hAnsi="Arial" w:cs="Arial"/>
        </w:rPr>
        <w:t>Groth</w:t>
      </w:r>
      <w:proofErr w:type="spellEnd"/>
      <w:r w:rsidR="0043421B" w:rsidRPr="007F4884">
        <w:rPr>
          <w:rFonts w:ascii="Arial" w:hAnsi="Arial" w:cs="Arial"/>
        </w:rPr>
        <w:t>, P</w:t>
      </w:r>
      <w:r w:rsidR="009547A8" w:rsidRPr="007F4884">
        <w:rPr>
          <w:rFonts w:ascii="Arial" w:hAnsi="Arial" w:cs="Arial"/>
        </w:rPr>
        <w:t xml:space="preserve">., Goble, C., </w:t>
      </w:r>
      <w:proofErr w:type="spellStart"/>
      <w:r w:rsidR="009547A8" w:rsidRPr="007F4884">
        <w:rPr>
          <w:rFonts w:ascii="Arial" w:hAnsi="Arial" w:cs="Arial"/>
        </w:rPr>
        <w:t>Grethe</w:t>
      </w:r>
      <w:proofErr w:type="spellEnd"/>
      <w:r w:rsidR="009547A8" w:rsidRPr="007F4884">
        <w:rPr>
          <w:rFonts w:ascii="Arial" w:hAnsi="Arial" w:cs="Arial"/>
        </w:rPr>
        <w:t xml:space="preserve">, J.S., </w:t>
      </w:r>
      <w:proofErr w:type="spellStart"/>
      <w:r w:rsidR="002C5AE2" w:rsidRPr="007F4884">
        <w:rPr>
          <w:rFonts w:ascii="Arial" w:hAnsi="Arial" w:cs="Arial"/>
        </w:rPr>
        <w:t>Heringa</w:t>
      </w:r>
      <w:proofErr w:type="spellEnd"/>
      <w:r w:rsidR="002C5AE2" w:rsidRPr="007F4884">
        <w:rPr>
          <w:rFonts w:ascii="Arial" w:hAnsi="Arial" w:cs="Arial"/>
        </w:rPr>
        <w:t xml:space="preserve">, J., ‘t </w:t>
      </w:r>
      <w:proofErr w:type="spellStart"/>
      <w:r w:rsidR="002C5AE2" w:rsidRPr="007F4884">
        <w:rPr>
          <w:rFonts w:ascii="Arial" w:hAnsi="Arial" w:cs="Arial"/>
        </w:rPr>
        <w:t>Hoen</w:t>
      </w:r>
      <w:proofErr w:type="spellEnd"/>
      <w:r w:rsidR="002C5AE2" w:rsidRPr="007F4884">
        <w:rPr>
          <w:rFonts w:ascii="Arial" w:hAnsi="Arial" w:cs="Arial"/>
        </w:rPr>
        <w:t xml:space="preserve">, P.A.C., </w:t>
      </w:r>
      <w:r w:rsidR="001411BB" w:rsidRPr="007F4884">
        <w:rPr>
          <w:rFonts w:ascii="Arial" w:hAnsi="Arial" w:cs="Arial"/>
        </w:rPr>
        <w:t xml:space="preserve">Hooft, R., Kuhn, T., Kok, R., Kok, J., </w:t>
      </w:r>
      <w:r w:rsidR="00AC2F93" w:rsidRPr="007F4884">
        <w:rPr>
          <w:rFonts w:ascii="Arial" w:hAnsi="Arial" w:cs="Arial"/>
        </w:rPr>
        <w:t xml:space="preserve">Lusher, S.J., Martone, M.E., Mons, A., Packer, A.L., Persson, B., Rocca-Serra, P., </w:t>
      </w:r>
      <w:proofErr w:type="spellStart"/>
      <w:r w:rsidR="005F774E" w:rsidRPr="007F4884">
        <w:rPr>
          <w:rFonts w:ascii="Arial" w:hAnsi="Arial" w:cs="Arial"/>
        </w:rPr>
        <w:t>Roos</w:t>
      </w:r>
      <w:proofErr w:type="spellEnd"/>
      <w:r w:rsidR="005F774E" w:rsidRPr="007F4884">
        <w:rPr>
          <w:rFonts w:ascii="Arial" w:hAnsi="Arial" w:cs="Arial"/>
        </w:rPr>
        <w:t xml:space="preserve">, M., van Schaik, R., Sansone, S.A., </w:t>
      </w:r>
      <w:proofErr w:type="spellStart"/>
      <w:r w:rsidR="005F774E" w:rsidRPr="007F4884">
        <w:rPr>
          <w:rFonts w:ascii="Arial" w:hAnsi="Arial" w:cs="Arial"/>
        </w:rPr>
        <w:t>Schultes</w:t>
      </w:r>
      <w:proofErr w:type="spellEnd"/>
      <w:r w:rsidR="005F774E" w:rsidRPr="007F4884">
        <w:rPr>
          <w:rFonts w:ascii="Arial" w:hAnsi="Arial" w:cs="Arial"/>
        </w:rPr>
        <w:t xml:space="preserve">, E., </w:t>
      </w:r>
      <w:proofErr w:type="spellStart"/>
      <w:r w:rsidR="005F774E" w:rsidRPr="007F4884">
        <w:rPr>
          <w:rFonts w:ascii="Arial" w:hAnsi="Arial" w:cs="Arial"/>
        </w:rPr>
        <w:t>Sengstag</w:t>
      </w:r>
      <w:proofErr w:type="spellEnd"/>
      <w:r w:rsidR="005F774E" w:rsidRPr="007F4884">
        <w:rPr>
          <w:rFonts w:ascii="Arial" w:hAnsi="Arial" w:cs="Arial"/>
        </w:rPr>
        <w:t xml:space="preserve">, T., Slater, T., Strawn, G., </w:t>
      </w:r>
      <w:proofErr w:type="spellStart"/>
      <w:r w:rsidR="005F774E" w:rsidRPr="007F4884">
        <w:rPr>
          <w:rFonts w:ascii="Arial" w:hAnsi="Arial" w:cs="Arial"/>
        </w:rPr>
        <w:t>Swertz</w:t>
      </w:r>
      <w:proofErr w:type="spellEnd"/>
      <w:r w:rsidR="002A04B2" w:rsidRPr="007F4884">
        <w:rPr>
          <w:rFonts w:ascii="Arial" w:hAnsi="Arial" w:cs="Arial"/>
        </w:rPr>
        <w:t xml:space="preserve">, M.A., Thompson, M., van der Lei, J., van </w:t>
      </w:r>
      <w:proofErr w:type="spellStart"/>
      <w:r w:rsidR="002A04B2" w:rsidRPr="007F4884">
        <w:rPr>
          <w:rFonts w:ascii="Arial" w:hAnsi="Arial" w:cs="Arial"/>
        </w:rPr>
        <w:t>Mulligen</w:t>
      </w:r>
      <w:proofErr w:type="spellEnd"/>
      <w:r w:rsidR="002A04B2" w:rsidRPr="007F4884">
        <w:rPr>
          <w:rFonts w:ascii="Arial" w:hAnsi="Arial" w:cs="Arial"/>
        </w:rPr>
        <w:t xml:space="preserve">, E., </w:t>
      </w:r>
      <w:proofErr w:type="spellStart"/>
      <w:r w:rsidR="002A04B2" w:rsidRPr="007F4884">
        <w:rPr>
          <w:rFonts w:ascii="Arial" w:hAnsi="Arial" w:cs="Arial"/>
        </w:rPr>
        <w:t>Velterop</w:t>
      </w:r>
      <w:proofErr w:type="spellEnd"/>
      <w:r w:rsidR="002A04B2" w:rsidRPr="007F4884">
        <w:rPr>
          <w:rFonts w:ascii="Arial" w:hAnsi="Arial" w:cs="Arial"/>
        </w:rPr>
        <w:t xml:space="preserve">, J., </w:t>
      </w:r>
      <w:proofErr w:type="spellStart"/>
      <w:r w:rsidR="002A04B2" w:rsidRPr="007F4884">
        <w:rPr>
          <w:rFonts w:ascii="Arial" w:hAnsi="Arial" w:cs="Arial"/>
        </w:rPr>
        <w:t>Waagmeester</w:t>
      </w:r>
      <w:proofErr w:type="spellEnd"/>
      <w:r w:rsidR="00621E36" w:rsidRPr="007F4884">
        <w:rPr>
          <w:rFonts w:ascii="Arial" w:hAnsi="Arial" w:cs="Arial"/>
        </w:rPr>
        <w:t xml:space="preserve">, A., </w:t>
      </w:r>
      <w:proofErr w:type="spellStart"/>
      <w:r w:rsidR="00621E36" w:rsidRPr="007F4884">
        <w:rPr>
          <w:rFonts w:ascii="Arial" w:hAnsi="Arial" w:cs="Arial"/>
        </w:rPr>
        <w:t>Wittenburg</w:t>
      </w:r>
      <w:proofErr w:type="spellEnd"/>
      <w:r w:rsidR="00621E36" w:rsidRPr="007F4884">
        <w:rPr>
          <w:rFonts w:ascii="Arial" w:hAnsi="Arial" w:cs="Arial"/>
        </w:rPr>
        <w:t xml:space="preserve">, P., </w:t>
      </w:r>
      <w:proofErr w:type="spellStart"/>
      <w:r w:rsidR="00621E36" w:rsidRPr="007F4884">
        <w:rPr>
          <w:rFonts w:ascii="Arial" w:hAnsi="Arial" w:cs="Arial"/>
        </w:rPr>
        <w:t>Wolstencroft</w:t>
      </w:r>
      <w:proofErr w:type="spellEnd"/>
      <w:r w:rsidR="00621E36" w:rsidRPr="007F4884">
        <w:rPr>
          <w:rFonts w:ascii="Arial" w:hAnsi="Arial" w:cs="Arial"/>
        </w:rPr>
        <w:t>, K., Zhao, J., Mons, B.</w:t>
      </w:r>
      <w:r w:rsidR="00A24B84" w:rsidRPr="007F4884">
        <w:rPr>
          <w:rFonts w:ascii="Arial" w:hAnsi="Arial" w:cs="Arial"/>
        </w:rPr>
        <w:t>, 2016. The FAIR Guiding Principles for Scientific Data Management and Stewardship.</w:t>
      </w:r>
      <w:r w:rsidR="00EF537F" w:rsidRPr="007F4884">
        <w:rPr>
          <w:rFonts w:ascii="Arial" w:hAnsi="Arial" w:cs="Arial"/>
        </w:rPr>
        <w:t xml:space="preserve"> </w:t>
      </w:r>
      <w:r w:rsidR="00EF537F" w:rsidRPr="007F4884">
        <w:rPr>
          <w:rFonts w:ascii="Arial" w:hAnsi="Arial" w:cs="Arial"/>
          <w:i/>
          <w:iCs/>
        </w:rPr>
        <w:t>Scientific Data</w:t>
      </w:r>
      <w:r w:rsidR="00FA2B7C" w:rsidRPr="007F4884">
        <w:rPr>
          <w:rFonts w:ascii="Arial" w:hAnsi="Arial" w:cs="Arial"/>
          <w:i/>
          <w:iCs/>
        </w:rPr>
        <w:t xml:space="preserve">, </w:t>
      </w:r>
      <w:r w:rsidR="00FA2B7C" w:rsidRPr="007F4884">
        <w:rPr>
          <w:rFonts w:ascii="Arial" w:hAnsi="Arial" w:cs="Arial"/>
        </w:rPr>
        <w:t xml:space="preserve">3(1), </w:t>
      </w:r>
      <w:r w:rsidR="004A7826" w:rsidRPr="007F4884">
        <w:rPr>
          <w:rFonts w:ascii="Arial" w:hAnsi="Arial" w:cs="Arial"/>
        </w:rPr>
        <w:t>160018</w:t>
      </w:r>
    </w:p>
    <w:sectPr w:rsidR="00997C9C" w:rsidRPr="007F48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BECC0" w14:textId="77777777" w:rsidR="000E6875" w:rsidRDefault="000E6875" w:rsidP="00DE2AA8">
      <w:pPr>
        <w:spacing w:after="0" w:line="240" w:lineRule="auto"/>
      </w:pPr>
      <w:r>
        <w:separator/>
      </w:r>
    </w:p>
  </w:endnote>
  <w:endnote w:type="continuationSeparator" w:id="0">
    <w:p w14:paraId="4E8E0F7E" w14:textId="77777777" w:rsidR="000E6875" w:rsidRDefault="000E6875" w:rsidP="00DE2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3EDB2" w14:textId="77777777" w:rsidR="000E6875" w:rsidRDefault="000E6875" w:rsidP="00DE2AA8">
      <w:pPr>
        <w:spacing w:after="0" w:line="240" w:lineRule="auto"/>
      </w:pPr>
      <w:r>
        <w:separator/>
      </w:r>
    </w:p>
  </w:footnote>
  <w:footnote w:type="continuationSeparator" w:id="0">
    <w:p w14:paraId="6999DAFE" w14:textId="77777777" w:rsidR="000E6875" w:rsidRDefault="000E6875" w:rsidP="00DE2A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A78"/>
    <w:rsid w:val="0001604C"/>
    <w:rsid w:val="000168AD"/>
    <w:rsid w:val="00021D70"/>
    <w:rsid w:val="000305C5"/>
    <w:rsid w:val="00031163"/>
    <w:rsid w:val="00034B49"/>
    <w:rsid w:val="000451FD"/>
    <w:rsid w:val="00053C30"/>
    <w:rsid w:val="00067CDD"/>
    <w:rsid w:val="0008327D"/>
    <w:rsid w:val="000A17FC"/>
    <w:rsid w:val="000A3DE1"/>
    <w:rsid w:val="000B1D44"/>
    <w:rsid w:val="000B682B"/>
    <w:rsid w:val="000C2EFA"/>
    <w:rsid w:val="000C6080"/>
    <w:rsid w:val="000D1332"/>
    <w:rsid w:val="000D31EA"/>
    <w:rsid w:val="000D451A"/>
    <w:rsid w:val="000E6875"/>
    <w:rsid w:val="000F0A55"/>
    <w:rsid w:val="00102744"/>
    <w:rsid w:val="00107615"/>
    <w:rsid w:val="00110DF7"/>
    <w:rsid w:val="00113D47"/>
    <w:rsid w:val="00113EE7"/>
    <w:rsid w:val="00114A83"/>
    <w:rsid w:val="0011747D"/>
    <w:rsid w:val="00127572"/>
    <w:rsid w:val="0013243A"/>
    <w:rsid w:val="0013788C"/>
    <w:rsid w:val="001411BB"/>
    <w:rsid w:val="00141D6D"/>
    <w:rsid w:val="001434B6"/>
    <w:rsid w:val="00156A28"/>
    <w:rsid w:val="00194F87"/>
    <w:rsid w:val="001A1EFA"/>
    <w:rsid w:val="001C2106"/>
    <w:rsid w:val="001D3DF1"/>
    <w:rsid w:val="001D777F"/>
    <w:rsid w:val="001E4A19"/>
    <w:rsid w:val="001F2641"/>
    <w:rsid w:val="001F4177"/>
    <w:rsid w:val="001F73C4"/>
    <w:rsid w:val="0021438D"/>
    <w:rsid w:val="0021471C"/>
    <w:rsid w:val="002176B7"/>
    <w:rsid w:val="00221596"/>
    <w:rsid w:val="0022743F"/>
    <w:rsid w:val="0023174D"/>
    <w:rsid w:val="00246CA7"/>
    <w:rsid w:val="00247EA8"/>
    <w:rsid w:val="00276578"/>
    <w:rsid w:val="00277546"/>
    <w:rsid w:val="002834C1"/>
    <w:rsid w:val="00292E67"/>
    <w:rsid w:val="002939F4"/>
    <w:rsid w:val="002A04B2"/>
    <w:rsid w:val="002C39C5"/>
    <w:rsid w:val="002C5AE2"/>
    <w:rsid w:val="002D0B55"/>
    <w:rsid w:val="002D6339"/>
    <w:rsid w:val="002E0907"/>
    <w:rsid w:val="002E147F"/>
    <w:rsid w:val="002E26B3"/>
    <w:rsid w:val="002E54CC"/>
    <w:rsid w:val="002F5D84"/>
    <w:rsid w:val="002F75C6"/>
    <w:rsid w:val="00303754"/>
    <w:rsid w:val="00334895"/>
    <w:rsid w:val="00351CC7"/>
    <w:rsid w:val="0035269E"/>
    <w:rsid w:val="003567A5"/>
    <w:rsid w:val="00365CDA"/>
    <w:rsid w:val="003709C8"/>
    <w:rsid w:val="0038450B"/>
    <w:rsid w:val="0039239E"/>
    <w:rsid w:val="003B00CC"/>
    <w:rsid w:val="003B1245"/>
    <w:rsid w:val="003C2B2A"/>
    <w:rsid w:val="003D0F57"/>
    <w:rsid w:val="003D3235"/>
    <w:rsid w:val="003D5DE6"/>
    <w:rsid w:val="003F7A78"/>
    <w:rsid w:val="0040495B"/>
    <w:rsid w:val="00432941"/>
    <w:rsid w:val="0043421B"/>
    <w:rsid w:val="00437058"/>
    <w:rsid w:val="0044585D"/>
    <w:rsid w:val="0044636A"/>
    <w:rsid w:val="00447B82"/>
    <w:rsid w:val="004550F7"/>
    <w:rsid w:val="00470187"/>
    <w:rsid w:val="0048138A"/>
    <w:rsid w:val="004919AA"/>
    <w:rsid w:val="004A21FF"/>
    <w:rsid w:val="004A2985"/>
    <w:rsid w:val="004A7826"/>
    <w:rsid w:val="004B64AA"/>
    <w:rsid w:val="004C4ECA"/>
    <w:rsid w:val="004C648A"/>
    <w:rsid w:val="004E513C"/>
    <w:rsid w:val="004E7F2A"/>
    <w:rsid w:val="004F26DF"/>
    <w:rsid w:val="004F3553"/>
    <w:rsid w:val="00511D5A"/>
    <w:rsid w:val="005319FB"/>
    <w:rsid w:val="00532735"/>
    <w:rsid w:val="0054013D"/>
    <w:rsid w:val="00542057"/>
    <w:rsid w:val="005430DC"/>
    <w:rsid w:val="00543D97"/>
    <w:rsid w:val="0055585D"/>
    <w:rsid w:val="00587DC3"/>
    <w:rsid w:val="00590228"/>
    <w:rsid w:val="005A0FBE"/>
    <w:rsid w:val="005A2561"/>
    <w:rsid w:val="005C4E61"/>
    <w:rsid w:val="005C6B69"/>
    <w:rsid w:val="005D4604"/>
    <w:rsid w:val="005E3510"/>
    <w:rsid w:val="005E4D4C"/>
    <w:rsid w:val="005E7377"/>
    <w:rsid w:val="005F1AEF"/>
    <w:rsid w:val="005F4AB4"/>
    <w:rsid w:val="005F774E"/>
    <w:rsid w:val="005F7D52"/>
    <w:rsid w:val="00610803"/>
    <w:rsid w:val="00610C63"/>
    <w:rsid w:val="0061277D"/>
    <w:rsid w:val="00621E36"/>
    <w:rsid w:val="006314FA"/>
    <w:rsid w:val="00637E13"/>
    <w:rsid w:val="006519E1"/>
    <w:rsid w:val="0065408B"/>
    <w:rsid w:val="00660178"/>
    <w:rsid w:val="006771E1"/>
    <w:rsid w:val="0068012F"/>
    <w:rsid w:val="006A7B7A"/>
    <w:rsid w:val="006B59B1"/>
    <w:rsid w:val="006C14DA"/>
    <w:rsid w:val="006C2652"/>
    <w:rsid w:val="006E1A6B"/>
    <w:rsid w:val="006F38B4"/>
    <w:rsid w:val="006F43F8"/>
    <w:rsid w:val="007023C0"/>
    <w:rsid w:val="0070280D"/>
    <w:rsid w:val="00715C27"/>
    <w:rsid w:val="00726A9D"/>
    <w:rsid w:val="00733841"/>
    <w:rsid w:val="00745247"/>
    <w:rsid w:val="00753126"/>
    <w:rsid w:val="0078727B"/>
    <w:rsid w:val="007900FB"/>
    <w:rsid w:val="007918B7"/>
    <w:rsid w:val="007B4120"/>
    <w:rsid w:val="007C2D16"/>
    <w:rsid w:val="007C45EB"/>
    <w:rsid w:val="007E32F5"/>
    <w:rsid w:val="007F2D2E"/>
    <w:rsid w:val="007F31E0"/>
    <w:rsid w:val="007F4884"/>
    <w:rsid w:val="00800014"/>
    <w:rsid w:val="0082301E"/>
    <w:rsid w:val="008471E6"/>
    <w:rsid w:val="00853F5F"/>
    <w:rsid w:val="00860D5A"/>
    <w:rsid w:val="0086236F"/>
    <w:rsid w:val="008A1775"/>
    <w:rsid w:val="008A1B33"/>
    <w:rsid w:val="008A5789"/>
    <w:rsid w:val="008E7151"/>
    <w:rsid w:val="008F5F38"/>
    <w:rsid w:val="009304B0"/>
    <w:rsid w:val="0093572C"/>
    <w:rsid w:val="0094625C"/>
    <w:rsid w:val="009526E6"/>
    <w:rsid w:val="009547A8"/>
    <w:rsid w:val="00955D97"/>
    <w:rsid w:val="00962D3C"/>
    <w:rsid w:val="00966214"/>
    <w:rsid w:val="00981F57"/>
    <w:rsid w:val="00984136"/>
    <w:rsid w:val="00990171"/>
    <w:rsid w:val="00994E34"/>
    <w:rsid w:val="00997C9C"/>
    <w:rsid w:val="009B2618"/>
    <w:rsid w:val="009C0830"/>
    <w:rsid w:val="009C08CD"/>
    <w:rsid w:val="009C0C7F"/>
    <w:rsid w:val="009C75B6"/>
    <w:rsid w:val="009D2542"/>
    <w:rsid w:val="009D6F08"/>
    <w:rsid w:val="009D7605"/>
    <w:rsid w:val="009E1136"/>
    <w:rsid w:val="009E306B"/>
    <w:rsid w:val="009E443B"/>
    <w:rsid w:val="00A00E26"/>
    <w:rsid w:val="00A10A80"/>
    <w:rsid w:val="00A1219F"/>
    <w:rsid w:val="00A24B84"/>
    <w:rsid w:val="00A36946"/>
    <w:rsid w:val="00A45766"/>
    <w:rsid w:val="00A9195D"/>
    <w:rsid w:val="00AA3B10"/>
    <w:rsid w:val="00AA6B11"/>
    <w:rsid w:val="00AC2F93"/>
    <w:rsid w:val="00AD71F6"/>
    <w:rsid w:val="00AF7D3B"/>
    <w:rsid w:val="00B1493E"/>
    <w:rsid w:val="00B420E8"/>
    <w:rsid w:val="00B473B8"/>
    <w:rsid w:val="00B52C3C"/>
    <w:rsid w:val="00B55162"/>
    <w:rsid w:val="00B61F73"/>
    <w:rsid w:val="00B62352"/>
    <w:rsid w:val="00B701BE"/>
    <w:rsid w:val="00B740FF"/>
    <w:rsid w:val="00BA27B3"/>
    <w:rsid w:val="00BA7D83"/>
    <w:rsid w:val="00BB0EE7"/>
    <w:rsid w:val="00BC1976"/>
    <w:rsid w:val="00BD68D2"/>
    <w:rsid w:val="00BE32FD"/>
    <w:rsid w:val="00C02AFF"/>
    <w:rsid w:val="00C2759B"/>
    <w:rsid w:val="00C359AA"/>
    <w:rsid w:val="00C36FE6"/>
    <w:rsid w:val="00C407A2"/>
    <w:rsid w:val="00C44CB5"/>
    <w:rsid w:val="00C45676"/>
    <w:rsid w:val="00C46B37"/>
    <w:rsid w:val="00C5581E"/>
    <w:rsid w:val="00C5681D"/>
    <w:rsid w:val="00C761BD"/>
    <w:rsid w:val="00C9544C"/>
    <w:rsid w:val="00C954ED"/>
    <w:rsid w:val="00C96CEA"/>
    <w:rsid w:val="00CA0806"/>
    <w:rsid w:val="00CB77E7"/>
    <w:rsid w:val="00CF1431"/>
    <w:rsid w:val="00D01E1C"/>
    <w:rsid w:val="00D054E1"/>
    <w:rsid w:val="00D16DBB"/>
    <w:rsid w:val="00D23655"/>
    <w:rsid w:val="00D35E15"/>
    <w:rsid w:val="00D51653"/>
    <w:rsid w:val="00D72BF0"/>
    <w:rsid w:val="00DA45C8"/>
    <w:rsid w:val="00DB0825"/>
    <w:rsid w:val="00DB2EC5"/>
    <w:rsid w:val="00DB6016"/>
    <w:rsid w:val="00DE092A"/>
    <w:rsid w:val="00DE2AA8"/>
    <w:rsid w:val="00DE6537"/>
    <w:rsid w:val="00DF0A77"/>
    <w:rsid w:val="00DF3E20"/>
    <w:rsid w:val="00E10CEE"/>
    <w:rsid w:val="00E266E6"/>
    <w:rsid w:val="00E4107A"/>
    <w:rsid w:val="00E4779D"/>
    <w:rsid w:val="00E50F98"/>
    <w:rsid w:val="00E52F82"/>
    <w:rsid w:val="00E7247D"/>
    <w:rsid w:val="00E90A68"/>
    <w:rsid w:val="00EA13B5"/>
    <w:rsid w:val="00EA78E7"/>
    <w:rsid w:val="00EC4709"/>
    <w:rsid w:val="00ED1A71"/>
    <w:rsid w:val="00ED2E3F"/>
    <w:rsid w:val="00EE3AF9"/>
    <w:rsid w:val="00EF46BC"/>
    <w:rsid w:val="00EF4B4F"/>
    <w:rsid w:val="00EF537F"/>
    <w:rsid w:val="00EF6CCF"/>
    <w:rsid w:val="00EF6E6D"/>
    <w:rsid w:val="00EF71CE"/>
    <w:rsid w:val="00F03DE7"/>
    <w:rsid w:val="00F13EEC"/>
    <w:rsid w:val="00F26AE1"/>
    <w:rsid w:val="00F32C40"/>
    <w:rsid w:val="00F336D1"/>
    <w:rsid w:val="00F472F2"/>
    <w:rsid w:val="00F52B14"/>
    <w:rsid w:val="00F5482B"/>
    <w:rsid w:val="00F6714A"/>
    <w:rsid w:val="00F71BBB"/>
    <w:rsid w:val="00F87FC8"/>
    <w:rsid w:val="00F95A5A"/>
    <w:rsid w:val="00FA0D9B"/>
    <w:rsid w:val="00FA2B7C"/>
    <w:rsid w:val="00FB5E56"/>
    <w:rsid w:val="00FB7A42"/>
    <w:rsid w:val="00FC4A61"/>
    <w:rsid w:val="00FD1FBA"/>
    <w:rsid w:val="00FD4DB2"/>
    <w:rsid w:val="00FD7565"/>
    <w:rsid w:val="00FF0DEC"/>
    <w:rsid w:val="00FF4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7D616"/>
  <w15:chartTrackingRefBased/>
  <w15:docId w15:val="{E6F4FF7B-972F-4436-A907-EB6DDEF7C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A78"/>
  </w:style>
  <w:style w:type="paragraph" w:styleId="Heading1">
    <w:name w:val="heading 1"/>
    <w:basedOn w:val="Normal"/>
    <w:next w:val="Normal"/>
    <w:link w:val="Heading1Char"/>
    <w:uiPriority w:val="9"/>
    <w:qFormat/>
    <w:rsid w:val="005E737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F7A78"/>
    <w:rPr>
      <w:sz w:val="16"/>
      <w:szCs w:val="16"/>
    </w:rPr>
  </w:style>
  <w:style w:type="paragraph" w:styleId="CommentText">
    <w:name w:val="annotation text"/>
    <w:basedOn w:val="Normal"/>
    <w:link w:val="CommentTextChar"/>
    <w:uiPriority w:val="99"/>
    <w:unhideWhenUsed/>
    <w:rsid w:val="003F7A78"/>
    <w:pPr>
      <w:spacing w:line="240" w:lineRule="auto"/>
    </w:pPr>
    <w:rPr>
      <w:sz w:val="20"/>
      <w:szCs w:val="20"/>
    </w:rPr>
  </w:style>
  <w:style w:type="character" w:customStyle="1" w:styleId="CommentTextChar">
    <w:name w:val="Comment Text Char"/>
    <w:basedOn w:val="DefaultParagraphFont"/>
    <w:link w:val="CommentText"/>
    <w:uiPriority w:val="99"/>
    <w:rsid w:val="003F7A78"/>
    <w:rPr>
      <w:sz w:val="20"/>
      <w:szCs w:val="20"/>
    </w:rPr>
  </w:style>
  <w:style w:type="paragraph" w:styleId="Header">
    <w:name w:val="header"/>
    <w:basedOn w:val="Normal"/>
    <w:link w:val="HeaderChar"/>
    <w:uiPriority w:val="99"/>
    <w:unhideWhenUsed/>
    <w:rsid w:val="00DE2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AA8"/>
  </w:style>
  <w:style w:type="paragraph" w:styleId="Footer">
    <w:name w:val="footer"/>
    <w:basedOn w:val="Normal"/>
    <w:link w:val="FooterChar"/>
    <w:uiPriority w:val="99"/>
    <w:unhideWhenUsed/>
    <w:rsid w:val="00DE2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AA8"/>
  </w:style>
  <w:style w:type="character" w:customStyle="1" w:styleId="Heading1Char">
    <w:name w:val="Heading 1 Char"/>
    <w:basedOn w:val="DefaultParagraphFont"/>
    <w:link w:val="Heading1"/>
    <w:uiPriority w:val="9"/>
    <w:rsid w:val="005E7377"/>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0B682B"/>
    <w:rPr>
      <w:color w:val="0563C1" w:themeColor="hyperlink"/>
      <w:u w:val="single"/>
    </w:rPr>
  </w:style>
  <w:style w:type="character" w:styleId="UnresolvedMention">
    <w:name w:val="Unresolved Mention"/>
    <w:basedOn w:val="DefaultParagraphFont"/>
    <w:uiPriority w:val="99"/>
    <w:semiHidden/>
    <w:unhideWhenUsed/>
    <w:rsid w:val="000B6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gs.ac.uk/datasets/biosphere-isotope-domains-gb/" TargetMode="External"/><Relationship Id="rId13" Type="http://schemas.openxmlformats.org/officeDocument/2006/relationships/hyperlink" Target="https://www.loc.gov/preservation/digital/formats/fdd/fdd000398.shtml" TargetMode="External"/><Relationship Id="rId3" Type="http://schemas.openxmlformats.org/officeDocument/2006/relationships/settings" Target="settings.xml"/><Relationship Id="rId7" Type="http://schemas.openxmlformats.org/officeDocument/2006/relationships/hyperlink" Target="https://archaeologydataservice.ac.uk/help-guidance/instructions-for-depositors/files-and-metadata/" TargetMode="External"/><Relationship Id="rId12" Type="http://schemas.openxmlformats.org/officeDocument/2006/relationships/hyperlink" Target="https://historicengland.org.uk/listing/the-list/historic-perio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lobalid.dmt-lb.d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ritage-standards.org.uk/chronology/" TargetMode="External"/><Relationship Id="rId4" Type="http://schemas.openxmlformats.org/officeDocument/2006/relationships/webSettings" Target="webSettings.xml"/><Relationship Id="rId9" Type="http://schemas.openxmlformats.org/officeDocument/2006/relationships/hyperlink" Target="https://www.bgs.ac.uk/download/biosphere-isotope-domains-msexcel-data/" TargetMode="External"/><Relationship Id="rId14" Type="http://schemas.openxmlformats.org/officeDocument/2006/relationships/hyperlink" Target="https://archaeologydataservice.ac.uk/help-guidance/guides-to-good-practice/basic-components/databases-and-spreadsheets/introduction-to-databases-and-spreadsheets/what-are-databases-and-spreadshe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12995-2E86-4D9B-BF96-E1E1E380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10</Pages>
  <Words>3436</Words>
  <Characters>19591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AIMEE B.</dc:creator>
  <cp:keywords/>
  <dc:description/>
  <cp:lastModifiedBy>PARKER, AIMEE B.</cp:lastModifiedBy>
  <cp:revision>213</cp:revision>
  <dcterms:created xsi:type="dcterms:W3CDTF">2024-01-07T16:59:00Z</dcterms:created>
  <dcterms:modified xsi:type="dcterms:W3CDTF">2024-01-16T14:11:00Z</dcterms:modified>
</cp:coreProperties>
</file>