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27188" w14:textId="5A8E34B4" w:rsidR="00B5575A" w:rsidRPr="002B6F1B" w:rsidRDefault="4EFD1F62" w:rsidP="556C60E6">
      <w:pPr>
        <w:spacing w:line="257" w:lineRule="auto"/>
        <w:rPr>
          <w:rFonts w:cstheme="minorHAnsi"/>
        </w:rPr>
      </w:pPr>
      <w:r w:rsidRPr="002B6F1B">
        <w:rPr>
          <w:rFonts w:eastAsia="Calibri" w:cstheme="minorHAnsi"/>
          <w:sz w:val="36"/>
          <w:szCs w:val="36"/>
          <w:lang w:val="en-US"/>
        </w:rPr>
        <w:t>Qualification: CIPD Diploma in Applied Human Resources</w:t>
      </w:r>
    </w:p>
    <w:p w14:paraId="04D7E289" w14:textId="35D6EBD5" w:rsidR="00B5575A" w:rsidRPr="002B6F1B" w:rsidRDefault="4EFD1F62" w:rsidP="556C60E6">
      <w:pPr>
        <w:spacing w:line="257" w:lineRule="auto"/>
        <w:rPr>
          <w:rFonts w:cstheme="minorHAnsi"/>
        </w:rPr>
      </w:pPr>
      <w:r w:rsidRPr="002B6F1B">
        <w:rPr>
          <w:rFonts w:eastAsia="Calibri" w:cstheme="minorHAnsi"/>
          <w:sz w:val="36"/>
          <w:szCs w:val="36"/>
          <w:lang w:val="en-US"/>
        </w:rPr>
        <w:t xml:space="preserve"> </w:t>
      </w:r>
    </w:p>
    <w:p w14:paraId="5D4C3B01" w14:textId="166F8A69" w:rsidR="00B5575A" w:rsidRPr="002B6F1B" w:rsidRDefault="4EFD1F62" w:rsidP="556C60E6">
      <w:pPr>
        <w:spacing w:line="257" w:lineRule="auto"/>
        <w:rPr>
          <w:rFonts w:cstheme="minorHAnsi"/>
        </w:rPr>
      </w:pPr>
      <w:r w:rsidRPr="002B6F1B">
        <w:rPr>
          <w:rFonts w:eastAsia="Calibri" w:cstheme="minorHAnsi"/>
          <w:sz w:val="36"/>
          <w:szCs w:val="36"/>
          <w:lang w:val="en-US"/>
        </w:rPr>
        <w:t>Module Name: Understanding Employment Law</w:t>
      </w:r>
    </w:p>
    <w:p w14:paraId="00924AF5" w14:textId="670030FA" w:rsidR="00B5575A" w:rsidRPr="002B6F1B" w:rsidRDefault="4EFD1F62" w:rsidP="556C60E6">
      <w:pPr>
        <w:spacing w:line="257" w:lineRule="auto"/>
        <w:rPr>
          <w:rFonts w:cstheme="minorHAnsi"/>
        </w:rPr>
      </w:pPr>
      <w:r w:rsidRPr="002B6F1B">
        <w:rPr>
          <w:rFonts w:eastAsia="Calibri" w:cstheme="minorHAnsi"/>
          <w:sz w:val="36"/>
          <w:szCs w:val="36"/>
          <w:lang w:val="en-US"/>
        </w:rPr>
        <w:t xml:space="preserve"> </w:t>
      </w:r>
    </w:p>
    <w:p w14:paraId="44D24B27" w14:textId="11A55E1B" w:rsidR="00B5575A" w:rsidRPr="002B6F1B" w:rsidRDefault="4EFD1F62" w:rsidP="556C60E6">
      <w:pPr>
        <w:spacing w:line="257" w:lineRule="auto"/>
        <w:rPr>
          <w:rFonts w:cstheme="minorHAnsi"/>
        </w:rPr>
      </w:pPr>
      <w:r w:rsidRPr="002B6F1B">
        <w:rPr>
          <w:rFonts w:eastAsia="Calibri" w:cstheme="minorHAnsi"/>
          <w:sz w:val="36"/>
          <w:szCs w:val="36"/>
          <w:lang w:val="en-US"/>
        </w:rPr>
        <w:t xml:space="preserve"> </w:t>
      </w:r>
    </w:p>
    <w:p w14:paraId="1F430606" w14:textId="410809F6" w:rsidR="00B5575A" w:rsidRPr="002B6F1B" w:rsidRDefault="1F711D8A" w:rsidP="556C60E6">
      <w:pPr>
        <w:spacing w:line="257" w:lineRule="auto"/>
        <w:rPr>
          <w:rFonts w:eastAsia="Calibri" w:cstheme="minorHAnsi"/>
          <w:sz w:val="36"/>
          <w:szCs w:val="36"/>
          <w:lang w:val="en-US"/>
        </w:rPr>
      </w:pPr>
      <w:r w:rsidRPr="002B6F1B">
        <w:rPr>
          <w:rFonts w:eastAsia="Calibri" w:cstheme="minorHAnsi"/>
          <w:sz w:val="36"/>
          <w:szCs w:val="36"/>
          <w:lang w:val="en-US"/>
        </w:rPr>
        <w:t>Question 1</w:t>
      </w:r>
      <w:r w:rsidR="4EFD1F62" w:rsidRPr="002B6F1B">
        <w:rPr>
          <w:rFonts w:eastAsia="Calibri" w:cstheme="minorHAnsi"/>
          <w:sz w:val="36"/>
          <w:szCs w:val="36"/>
          <w:lang w:val="en-US"/>
        </w:rPr>
        <w:t xml:space="preserve"> Word Count: </w:t>
      </w:r>
      <w:r w:rsidR="78ED24EF" w:rsidRPr="002B6F1B">
        <w:rPr>
          <w:rFonts w:eastAsia="Calibri" w:cstheme="minorHAnsi"/>
          <w:sz w:val="36"/>
          <w:szCs w:val="36"/>
          <w:lang w:val="en-US"/>
        </w:rPr>
        <w:t>823</w:t>
      </w:r>
    </w:p>
    <w:p w14:paraId="41FBE78A" w14:textId="34DA035B" w:rsidR="00B5575A" w:rsidRPr="002B6F1B" w:rsidRDefault="2D169CD5" w:rsidP="556C60E6">
      <w:pPr>
        <w:spacing w:line="257" w:lineRule="auto"/>
        <w:rPr>
          <w:rFonts w:cstheme="minorHAnsi"/>
        </w:rPr>
      </w:pPr>
      <w:r w:rsidRPr="002B6F1B">
        <w:rPr>
          <w:rFonts w:eastAsia="Calibri" w:cstheme="minorHAnsi"/>
          <w:sz w:val="36"/>
          <w:szCs w:val="36"/>
          <w:lang w:val="en-US"/>
        </w:rPr>
        <w:t xml:space="preserve">Question 2 </w:t>
      </w:r>
      <w:r w:rsidR="4EFD1F62" w:rsidRPr="002B6F1B">
        <w:rPr>
          <w:rFonts w:eastAsia="Calibri" w:cstheme="minorHAnsi"/>
          <w:sz w:val="36"/>
          <w:szCs w:val="36"/>
          <w:lang w:val="en-US"/>
        </w:rPr>
        <w:t xml:space="preserve">Word Count: </w:t>
      </w:r>
      <w:r w:rsidR="7D61B571" w:rsidRPr="002B6F1B">
        <w:rPr>
          <w:rFonts w:eastAsia="Calibri" w:cstheme="minorHAnsi"/>
          <w:sz w:val="36"/>
          <w:szCs w:val="36"/>
          <w:lang w:val="en-US"/>
        </w:rPr>
        <w:t>741</w:t>
      </w:r>
    </w:p>
    <w:p w14:paraId="602A382B" w14:textId="0133DFD4" w:rsidR="00B5575A" w:rsidRPr="002B6F1B" w:rsidRDefault="22191A0D" w:rsidP="556C60E6">
      <w:pPr>
        <w:spacing w:line="257" w:lineRule="auto"/>
        <w:rPr>
          <w:rFonts w:cstheme="minorHAnsi"/>
        </w:rPr>
      </w:pPr>
      <w:r w:rsidRPr="002B6F1B">
        <w:rPr>
          <w:rFonts w:eastAsia="Calibri" w:cstheme="minorHAnsi"/>
          <w:sz w:val="36"/>
          <w:szCs w:val="36"/>
          <w:lang w:val="en-US"/>
        </w:rPr>
        <w:t xml:space="preserve">Question 3 Word Count: </w:t>
      </w:r>
      <w:r w:rsidR="5D82CD43" w:rsidRPr="002B6F1B">
        <w:rPr>
          <w:rFonts w:eastAsia="Calibri" w:cstheme="minorHAnsi"/>
          <w:sz w:val="36"/>
          <w:szCs w:val="36"/>
          <w:lang w:val="en-US"/>
        </w:rPr>
        <w:t>814</w:t>
      </w:r>
    </w:p>
    <w:p w14:paraId="3942B52A" w14:textId="5823F3DC" w:rsidR="00B5575A" w:rsidRPr="002B6F1B" w:rsidRDefault="22191A0D" w:rsidP="556C60E6">
      <w:pPr>
        <w:spacing w:line="257" w:lineRule="auto"/>
        <w:rPr>
          <w:rFonts w:cstheme="minorHAnsi"/>
        </w:rPr>
      </w:pPr>
      <w:r w:rsidRPr="002B6F1B">
        <w:rPr>
          <w:rFonts w:eastAsia="Calibri" w:cstheme="minorHAnsi"/>
          <w:sz w:val="36"/>
          <w:szCs w:val="36"/>
          <w:lang w:val="en-US"/>
        </w:rPr>
        <w:t xml:space="preserve">Question 4 Word Count: </w:t>
      </w:r>
      <w:r w:rsidR="39431DC2" w:rsidRPr="002B6F1B">
        <w:rPr>
          <w:rFonts w:eastAsia="Calibri" w:cstheme="minorHAnsi"/>
          <w:sz w:val="36"/>
          <w:szCs w:val="36"/>
          <w:lang w:val="en-US"/>
        </w:rPr>
        <w:t>825</w:t>
      </w:r>
    </w:p>
    <w:p w14:paraId="41B913D2" w14:textId="7A32A988" w:rsidR="00B5575A" w:rsidRPr="002B6F1B" w:rsidRDefault="22191A0D" w:rsidP="556C60E6">
      <w:pPr>
        <w:spacing w:line="257" w:lineRule="auto"/>
        <w:rPr>
          <w:rFonts w:cstheme="minorHAnsi"/>
        </w:rPr>
      </w:pPr>
      <w:r w:rsidRPr="002B6F1B">
        <w:rPr>
          <w:rFonts w:eastAsia="Calibri" w:cstheme="minorHAnsi"/>
          <w:sz w:val="36"/>
          <w:szCs w:val="36"/>
          <w:lang w:val="en-US"/>
        </w:rPr>
        <w:t xml:space="preserve">Question 5 Word Count: </w:t>
      </w:r>
      <w:r w:rsidR="5A74DD4B" w:rsidRPr="002B6F1B">
        <w:rPr>
          <w:rFonts w:eastAsia="Calibri" w:cstheme="minorHAnsi"/>
          <w:sz w:val="36"/>
          <w:szCs w:val="36"/>
          <w:lang w:val="en-US"/>
        </w:rPr>
        <w:t>617</w:t>
      </w:r>
    </w:p>
    <w:p w14:paraId="185FC404" w14:textId="00E0422D" w:rsidR="00B5575A" w:rsidRPr="002B6F1B" w:rsidRDefault="22191A0D" w:rsidP="556C60E6">
      <w:pPr>
        <w:spacing w:line="257" w:lineRule="auto"/>
        <w:rPr>
          <w:rFonts w:cstheme="minorHAnsi"/>
        </w:rPr>
      </w:pPr>
      <w:r w:rsidRPr="002B6F1B">
        <w:rPr>
          <w:rFonts w:eastAsia="Calibri" w:cstheme="minorHAnsi"/>
          <w:sz w:val="36"/>
          <w:szCs w:val="36"/>
          <w:lang w:val="en-US"/>
        </w:rPr>
        <w:t xml:space="preserve">Question 6 Word Count: </w:t>
      </w:r>
      <w:r w:rsidR="77E802F3" w:rsidRPr="002B6F1B">
        <w:rPr>
          <w:rFonts w:eastAsia="Calibri" w:cstheme="minorHAnsi"/>
          <w:sz w:val="36"/>
          <w:szCs w:val="36"/>
          <w:lang w:val="en-US"/>
        </w:rPr>
        <w:t>634</w:t>
      </w:r>
    </w:p>
    <w:p w14:paraId="4C2CB565" w14:textId="77614863" w:rsidR="00B5575A" w:rsidRPr="002B6F1B" w:rsidRDefault="4EFD1F62" w:rsidP="556C60E6">
      <w:pPr>
        <w:spacing w:line="257" w:lineRule="auto"/>
        <w:rPr>
          <w:rFonts w:cstheme="minorHAnsi"/>
        </w:rPr>
      </w:pPr>
      <w:r w:rsidRPr="002B6F1B">
        <w:rPr>
          <w:rFonts w:eastAsia="Calibri" w:cstheme="minorHAnsi"/>
          <w:sz w:val="36"/>
          <w:szCs w:val="36"/>
          <w:lang w:val="en-US"/>
        </w:rPr>
        <w:t xml:space="preserve"> </w:t>
      </w:r>
    </w:p>
    <w:p w14:paraId="45446503" w14:textId="67387B39" w:rsidR="00B5575A" w:rsidRPr="002B6F1B" w:rsidRDefault="4EFD1F62" w:rsidP="556C60E6">
      <w:pPr>
        <w:spacing w:line="257" w:lineRule="auto"/>
        <w:rPr>
          <w:rFonts w:cstheme="minorHAnsi"/>
        </w:rPr>
      </w:pPr>
      <w:r w:rsidRPr="002B6F1B">
        <w:rPr>
          <w:rFonts w:eastAsia="Calibri" w:cstheme="minorHAnsi"/>
          <w:sz w:val="36"/>
          <w:szCs w:val="36"/>
          <w:lang w:val="en-US"/>
        </w:rPr>
        <w:t>Student Name: Elinor Beynon</w:t>
      </w:r>
    </w:p>
    <w:p w14:paraId="1A66EC65" w14:textId="6CE9178E" w:rsidR="00B5575A" w:rsidRPr="002B6F1B" w:rsidRDefault="4EFD1F62" w:rsidP="556C60E6">
      <w:pPr>
        <w:spacing w:line="257" w:lineRule="auto"/>
        <w:rPr>
          <w:rFonts w:cstheme="minorHAnsi"/>
        </w:rPr>
      </w:pPr>
      <w:r w:rsidRPr="002B6F1B">
        <w:rPr>
          <w:rFonts w:eastAsia="Calibri" w:cstheme="minorHAnsi"/>
          <w:sz w:val="36"/>
          <w:szCs w:val="36"/>
          <w:lang w:val="en-US"/>
        </w:rPr>
        <w:t>Student Number: 2016038</w:t>
      </w:r>
    </w:p>
    <w:p w14:paraId="04D0A5C9" w14:textId="2F0FB804" w:rsidR="00B5575A" w:rsidRPr="002B6F1B" w:rsidRDefault="4EFD1F62" w:rsidP="556C60E6">
      <w:pPr>
        <w:spacing w:line="257" w:lineRule="auto"/>
        <w:rPr>
          <w:rFonts w:cstheme="minorHAnsi"/>
        </w:rPr>
      </w:pPr>
      <w:r w:rsidRPr="002B6F1B">
        <w:rPr>
          <w:rFonts w:eastAsia="Calibri" w:cstheme="minorHAnsi"/>
          <w:sz w:val="36"/>
          <w:szCs w:val="36"/>
          <w:lang w:val="en-US"/>
        </w:rPr>
        <w:t>CIPD Membership Number: 57493068</w:t>
      </w:r>
    </w:p>
    <w:p w14:paraId="2FEB0D12" w14:textId="5A3F3814" w:rsidR="00B5575A" w:rsidRPr="002B6F1B" w:rsidRDefault="4EFD1F62" w:rsidP="556C60E6">
      <w:pPr>
        <w:spacing w:line="257" w:lineRule="auto"/>
        <w:rPr>
          <w:rFonts w:eastAsia="Calibri" w:cstheme="minorHAnsi"/>
          <w:sz w:val="36"/>
          <w:szCs w:val="36"/>
          <w:lang w:val="en-US"/>
        </w:rPr>
      </w:pPr>
      <w:r w:rsidRPr="002B6F1B">
        <w:rPr>
          <w:rFonts w:eastAsia="Calibri" w:cstheme="minorHAnsi"/>
          <w:sz w:val="36"/>
          <w:szCs w:val="36"/>
          <w:lang w:val="en-US"/>
        </w:rPr>
        <w:t>By signing below, I confirm that the work/evidence presented is my own, unaided work. I understand the regulations pertaining to candidate malpractice and the action that may be taken as a result.</w:t>
      </w:r>
    </w:p>
    <w:p w14:paraId="2C9FFB03" w14:textId="000D0087" w:rsidR="00B5575A" w:rsidRPr="002B6F1B" w:rsidRDefault="4EFD1F62" w:rsidP="556C60E6">
      <w:pPr>
        <w:spacing w:line="257" w:lineRule="auto"/>
        <w:rPr>
          <w:rFonts w:cstheme="minorHAnsi"/>
        </w:rPr>
      </w:pPr>
      <w:r w:rsidRPr="002B6F1B">
        <w:rPr>
          <w:rFonts w:eastAsia="Calibri" w:cstheme="minorHAnsi"/>
        </w:rPr>
        <w:t xml:space="preserve"> </w:t>
      </w:r>
    </w:p>
    <w:p w14:paraId="668A4B2B" w14:textId="23DE548E" w:rsidR="00B5575A" w:rsidRPr="002B6F1B" w:rsidRDefault="4EFD1F62" w:rsidP="556C60E6">
      <w:pPr>
        <w:spacing w:line="257" w:lineRule="auto"/>
        <w:rPr>
          <w:rFonts w:cstheme="minorHAnsi"/>
        </w:rPr>
      </w:pPr>
      <w:r w:rsidRPr="002B6F1B">
        <w:rPr>
          <w:rFonts w:eastAsia="Calibri" w:cstheme="minorHAnsi"/>
          <w:sz w:val="36"/>
          <w:szCs w:val="36"/>
          <w:lang w:val="en-US"/>
        </w:rPr>
        <w:t xml:space="preserve">Signed: </w:t>
      </w:r>
      <w:r w:rsidR="002B6F1B">
        <w:rPr>
          <w:noProof/>
        </w:rPr>
        <w:drawing>
          <wp:inline distT="0" distB="0" distL="0" distR="0" wp14:anchorId="235E7E64" wp14:editId="7B237BA5">
            <wp:extent cx="676275" cy="342900"/>
            <wp:effectExtent l="0" t="0" r="0" b="0"/>
            <wp:docPr id="1277269611" name="Picture 1277269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76275" cy="342900"/>
                    </a:xfrm>
                    <a:prstGeom prst="rect">
                      <a:avLst/>
                    </a:prstGeom>
                  </pic:spPr>
                </pic:pic>
              </a:graphicData>
            </a:graphic>
          </wp:inline>
        </w:drawing>
      </w:r>
    </w:p>
    <w:p w14:paraId="3B28077F" w14:textId="3DAB4FE3" w:rsidR="00B5575A" w:rsidRPr="002B6F1B" w:rsidRDefault="4EFD1F62" w:rsidP="556C60E6">
      <w:pPr>
        <w:spacing w:line="257" w:lineRule="auto"/>
        <w:rPr>
          <w:rFonts w:eastAsia="Calibri" w:cstheme="minorHAnsi"/>
          <w:sz w:val="36"/>
          <w:szCs w:val="36"/>
          <w:lang w:val="en-US"/>
        </w:rPr>
      </w:pPr>
      <w:r w:rsidRPr="002B6F1B">
        <w:rPr>
          <w:rFonts w:eastAsia="Calibri" w:cstheme="minorHAnsi"/>
          <w:sz w:val="36"/>
          <w:szCs w:val="36"/>
          <w:lang w:val="en-US"/>
        </w:rPr>
        <w:t xml:space="preserve">Date: </w:t>
      </w:r>
      <w:r w:rsidR="3701DEF0" w:rsidRPr="002B6F1B">
        <w:rPr>
          <w:rFonts w:eastAsia="Calibri" w:cstheme="minorHAnsi"/>
          <w:sz w:val="36"/>
          <w:szCs w:val="36"/>
          <w:lang w:val="en-US"/>
        </w:rPr>
        <w:t>18</w:t>
      </w:r>
      <w:r w:rsidR="3701DEF0" w:rsidRPr="002B6F1B">
        <w:rPr>
          <w:rFonts w:eastAsia="Calibri" w:cstheme="minorHAnsi"/>
          <w:sz w:val="36"/>
          <w:szCs w:val="36"/>
          <w:vertAlign w:val="superscript"/>
          <w:lang w:val="en-US"/>
        </w:rPr>
        <w:t>th</w:t>
      </w:r>
      <w:r w:rsidR="3701DEF0" w:rsidRPr="002B6F1B">
        <w:rPr>
          <w:rFonts w:eastAsia="Calibri" w:cstheme="minorHAnsi"/>
          <w:sz w:val="36"/>
          <w:szCs w:val="36"/>
          <w:lang w:val="en-US"/>
        </w:rPr>
        <w:t xml:space="preserve"> April 2021</w:t>
      </w:r>
    </w:p>
    <w:p w14:paraId="2C0BEFD0" w14:textId="1EBDD3A2" w:rsidR="00B5575A" w:rsidRPr="002B6F1B" w:rsidRDefault="00B5575A" w:rsidP="556C60E6">
      <w:pPr>
        <w:rPr>
          <w:rFonts w:eastAsia="Calibri" w:cstheme="minorHAnsi"/>
          <w:b/>
          <w:bCs/>
          <w:color w:val="000000" w:themeColor="text1"/>
          <w:u w:val="single"/>
        </w:rPr>
      </w:pPr>
    </w:p>
    <w:p w14:paraId="1AB5C62D" w14:textId="162C452F" w:rsidR="00B5575A" w:rsidRPr="002B6F1B" w:rsidRDefault="00B5575A" w:rsidP="556C60E6">
      <w:pPr>
        <w:rPr>
          <w:rFonts w:eastAsia="Calibri" w:cstheme="minorHAnsi"/>
          <w:b/>
          <w:bCs/>
          <w:color w:val="000000" w:themeColor="text1"/>
          <w:u w:val="single"/>
        </w:rPr>
      </w:pPr>
    </w:p>
    <w:p w14:paraId="1C13E09A" w14:textId="2BEA208F" w:rsidR="00B5575A" w:rsidRPr="002B6F1B" w:rsidRDefault="00B5575A" w:rsidP="556C60E6">
      <w:pPr>
        <w:rPr>
          <w:rFonts w:eastAsia="Calibri" w:cstheme="minorHAnsi"/>
          <w:b/>
          <w:bCs/>
          <w:color w:val="000000" w:themeColor="text1"/>
          <w:u w:val="single"/>
        </w:rPr>
      </w:pPr>
    </w:p>
    <w:p w14:paraId="0EDE3386" w14:textId="2514DBA6" w:rsidR="6225F5D5" w:rsidRPr="002B6F1B" w:rsidRDefault="6225F5D5" w:rsidP="6225F5D5">
      <w:pPr>
        <w:rPr>
          <w:rFonts w:eastAsia="Calibri" w:cstheme="minorHAnsi"/>
          <w:b/>
          <w:bCs/>
          <w:color w:val="000000" w:themeColor="text1"/>
          <w:u w:val="single"/>
        </w:rPr>
      </w:pPr>
    </w:p>
    <w:p w14:paraId="2C3B26D4" w14:textId="02751108" w:rsidR="002B6F1B" w:rsidRPr="002B6F1B" w:rsidRDefault="002B6F1B" w:rsidP="6225F5D5">
      <w:pPr>
        <w:rPr>
          <w:rFonts w:eastAsia="Calibri" w:cstheme="minorHAnsi"/>
          <w:b/>
          <w:bCs/>
          <w:color w:val="000000" w:themeColor="text1"/>
          <w:u w:val="single"/>
        </w:rPr>
      </w:pPr>
    </w:p>
    <w:p w14:paraId="601B2045" w14:textId="0BB1D209" w:rsidR="002B6F1B" w:rsidRPr="002B6F1B" w:rsidRDefault="002B6F1B" w:rsidP="6225F5D5">
      <w:pPr>
        <w:rPr>
          <w:rFonts w:eastAsia="Calibri" w:cstheme="minorHAnsi"/>
          <w:b/>
          <w:bCs/>
          <w:color w:val="000000" w:themeColor="text1"/>
          <w:u w:val="single"/>
        </w:rPr>
      </w:pPr>
    </w:p>
    <w:p w14:paraId="3FD35B04" w14:textId="77777777" w:rsidR="002B6F1B" w:rsidRPr="002B6F1B" w:rsidRDefault="002B6F1B" w:rsidP="6225F5D5">
      <w:pPr>
        <w:rPr>
          <w:rFonts w:eastAsia="Calibri" w:cstheme="minorHAnsi"/>
          <w:b/>
          <w:bCs/>
          <w:color w:val="000000" w:themeColor="text1"/>
          <w:u w:val="single"/>
        </w:rPr>
      </w:pPr>
    </w:p>
    <w:p w14:paraId="265D319E" w14:textId="5C2E54AE" w:rsidR="6A4EB76C" w:rsidRPr="002B6F1B" w:rsidRDefault="6A4EB76C" w:rsidP="6225F5D5">
      <w:pPr>
        <w:rPr>
          <w:rFonts w:eastAsia="Calibri" w:cstheme="minorHAnsi"/>
          <w:color w:val="000000" w:themeColor="text1"/>
        </w:rPr>
      </w:pPr>
      <w:r w:rsidRPr="002B6F1B">
        <w:rPr>
          <w:rFonts w:eastAsia="Calibri" w:cstheme="minorHAnsi"/>
          <w:b/>
          <w:bCs/>
          <w:color w:val="000000" w:themeColor="text1"/>
          <w:u w:val="single"/>
        </w:rPr>
        <w:lastRenderedPageBreak/>
        <w:t>1. Explain the purpose of employment law and outline the role played by the tribunal and courts system in enforcing employment law.</w:t>
      </w:r>
    </w:p>
    <w:p w14:paraId="6D8B6128" w14:textId="1040788C"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 xml:space="preserve">It is important for HR managers to know employment law </w:t>
      </w:r>
      <w:proofErr w:type="gramStart"/>
      <w:r w:rsidRPr="002B6F1B">
        <w:rPr>
          <w:rFonts w:eastAsia="Calibri" w:cstheme="minorHAnsi"/>
          <w:color w:val="000000" w:themeColor="text1"/>
        </w:rPr>
        <w:t>in order to</w:t>
      </w:r>
      <w:proofErr w:type="gramEnd"/>
      <w:r w:rsidRPr="002B6F1B">
        <w:rPr>
          <w:rFonts w:eastAsia="Calibri" w:cstheme="minorHAnsi"/>
          <w:color w:val="000000" w:themeColor="text1"/>
        </w:rPr>
        <w:t xml:space="preserve"> make decisions and manage oversights leading to employees, ex-employees and failed job applicants taking the organisation to an employment tribunal which could have financial and reputational damage (Taylor and Wilkinson, 2016, p. 25). </w:t>
      </w:r>
    </w:p>
    <w:p w14:paraId="1257B670" w14:textId="7D473A72"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Employment law is important for social justice and balancing the power between employers and employees. Employment law lessens the temptation for employers to exploit employees such as disregarding the health and safety of an employee, paying unfair low wages, working staff too hard, terminating employees for no good reason, denying maternity/paternity leave and not paying men and women equally for the same work. Without employment law there would be less opportunities for minority groups, managers could bully employees, trade unions would have fewer rights and decisions could be made without consulting employees first. Employment law is attractive to employees which stops people from wanting to retire or work overseas. Employment regulation can attract skilled workers, increase employee commitment to an organisation and therefore increase productivity.</w:t>
      </w:r>
    </w:p>
    <w:p w14:paraId="5F7243C0" w14:textId="7D0FCCC2"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However, employment law can increase unemployment rates and decrease economic growth with employers choosing to employ people overseas where conditions are more employer friendly. Employment law can also harm the people it is supposed to protect, as employers can avoid hiring certain groups of people because the employment rights they can claim (Taylor and Wilkinson, 2016, pp. 26-27).</w:t>
      </w:r>
    </w:p>
    <w:p w14:paraId="0B5FA24E" w14:textId="17FDC7A0"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Industrial tribunals were created in 1964 to deal with appeals made against employees against industrial training levies. It was renamed in 1998 to Employment Tribunals and has grown greatly since then (Law Commission, 2018).</w:t>
      </w:r>
    </w:p>
    <w:p w14:paraId="27B076A4" w14:textId="5D1A3882"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Claimants (employees/workers, ex-employees/ex-</w:t>
      </w:r>
      <w:proofErr w:type="gramStart"/>
      <w:r w:rsidRPr="002B6F1B">
        <w:rPr>
          <w:rFonts w:eastAsia="Calibri" w:cstheme="minorHAnsi"/>
          <w:color w:val="000000" w:themeColor="text1"/>
        </w:rPr>
        <w:t>workers</w:t>
      </w:r>
      <w:proofErr w:type="gramEnd"/>
      <w:r w:rsidRPr="002B6F1B">
        <w:rPr>
          <w:rFonts w:eastAsia="Calibri" w:cstheme="minorHAnsi"/>
          <w:color w:val="000000" w:themeColor="text1"/>
        </w:rPr>
        <w:t xml:space="preserve"> or failed job applicants) use the court and employment tribunal system to bring claims against their current/former employer if they have wronged them by law (CIPD, 2021</w:t>
      </w:r>
      <w:r w:rsidR="5532A9C0" w:rsidRPr="002B6F1B">
        <w:rPr>
          <w:rFonts w:eastAsia="Calibri" w:cstheme="minorHAnsi"/>
          <w:color w:val="000000" w:themeColor="text1"/>
        </w:rPr>
        <w:t>a</w:t>
      </w:r>
      <w:r w:rsidRPr="002B6F1B">
        <w:rPr>
          <w:rFonts w:eastAsia="Calibri" w:cstheme="minorHAnsi"/>
          <w:color w:val="000000" w:themeColor="text1"/>
        </w:rPr>
        <w:t xml:space="preserve">). </w:t>
      </w:r>
    </w:p>
    <w:p w14:paraId="310F7B1B" w14:textId="2A5787B0" w:rsidR="34A4786C" w:rsidRPr="002B6F1B" w:rsidRDefault="6A4EB76C" w:rsidP="34A4786C">
      <w:pPr>
        <w:rPr>
          <w:rFonts w:eastAsia="Calibri" w:cstheme="minorHAnsi"/>
          <w:color w:val="000000" w:themeColor="text1"/>
        </w:rPr>
      </w:pPr>
      <w:r w:rsidRPr="002B6F1B">
        <w:rPr>
          <w:rFonts w:eastAsia="Calibri" w:cstheme="minorHAnsi"/>
          <w:color w:val="000000" w:themeColor="text1"/>
        </w:rPr>
        <w:t xml:space="preserve">The court system is hierarchal starting with Employment Tribunal, then Employment Appeal Tribunal (EAT), then Court of Appeal, then the Supreme Court (Daniels, 2019, p. 7). Sources of law include statutes, codes of practice and common law (case law). Statutes are acts of Parliament and are created in response to politics, the EU and to address growing legislation. Codes of practice are not </w:t>
      </w:r>
      <w:proofErr w:type="gramStart"/>
      <w:r w:rsidRPr="002B6F1B">
        <w:rPr>
          <w:rFonts w:eastAsia="Calibri" w:cstheme="minorHAnsi"/>
          <w:color w:val="000000" w:themeColor="text1"/>
        </w:rPr>
        <w:t>law</w:t>
      </w:r>
      <w:proofErr w:type="gramEnd"/>
      <w:r w:rsidRPr="002B6F1B">
        <w:rPr>
          <w:rFonts w:eastAsia="Calibri" w:cstheme="minorHAnsi"/>
          <w:color w:val="000000" w:themeColor="text1"/>
        </w:rPr>
        <w:t xml:space="preserve"> but a good reason is needed to breach them. Case law is created from judges' decisions and is based off previous cases. These can be ‘binding’ where cases based on similar principles to previous cases and must be judged the same way. These can only be changed if an appeal is made against the decision which leads to a change in the decision or if a statute changes in the future which changes the principle. Case law can also be ‘persuasive’ if a judgement comes from a ruling from a lower level of court. The principle of ruling does not have to be followed if there is a good reason (Daniels, 2019, pp. 8-9).</w:t>
      </w:r>
    </w:p>
    <w:p w14:paraId="475AB818" w14:textId="3D397F5F"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 xml:space="preserve">Appeals can be made only on points of law. Appeals are made to the EAT and if there are further </w:t>
      </w:r>
      <w:proofErr w:type="gramStart"/>
      <w:r w:rsidRPr="002B6F1B">
        <w:rPr>
          <w:rFonts w:eastAsia="Calibri" w:cstheme="minorHAnsi"/>
          <w:color w:val="000000" w:themeColor="text1"/>
        </w:rPr>
        <w:t>appeals</w:t>
      </w:r>
      <w:proofErr w:type="gramEnd"/>
      <w:r w:rsidRPr="002B6F1B">
        <w:rPr>
          <w:rFonts w:eastAsia="Calibri" w:cstheme="minorHAnsi"/>
          <w:color w:val="000000" w:themeColor="text1"/>
        </w:rPr>
        <w:t xml:space="preserve"> they go to the Court of Appeal and then the Supreme Court. Civil law claims go to the County Court instead of an Employment Tribunal. Appeals then go to the Court of Appeal and then the Supreme Court (Daniels, 2019, p. 7).</w:t>
      </w:r>
    </w:p>
    <w:p w14:paraId="46CEA3E7" w14:textId="126DB23E"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 xml:space="preserve">When a claimant wants to make a </w:t>
      </w:r>
      <w:proofErr w:type="gramStart"/>
      <w:r w:rsidRPr="002B6F1B">
        <w:rPr>
          <w:rFonts w:eastAsia="Calibri" w:cstheme="minorHAnsi"/>
          <w:color w:val="000000" w:themeColor="text1"/>
        </w:rPr>
        <w:t>claim</w:t>
      </w:r>
      <w:proofErr w:type="gramEnd"/>
      <w:r w:rsidRPr="002B6F1B">
        <w:rPr>
          <w:rFonts w:eastAsia="Calibri" w:cstheme="minorHAnsi"/>
          <w:color w:val="000000" w:themeColor="text1"/>
        </w:rPr>
        <w:t xml:space="preserve"> they first inform ACAS. ACAS contact the respondent (employer) and claimant to try to settle the dispute. </w:t>
      </w:r>
    </w:p>
    <w:p w14:paraId="31D7E54B" w14:textId="4476501C"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 xml:space="preserve">If this fails the claimant can make a claim at the employment tribunal office (Taylor and Wilkinson, 2016, p. 28) by completing an ET1 FORM (Daniels, 2019, p. 24). The claimant has 3 months to lodge the claim from the date the alleged incident occurred. </w:t>
      </w:r>
    </w:p>
    <w:p w14:paraId="6D4890FC" w14:textId="7CCD4915"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 xml:space="preserve">The ET1 is sent to the respondent and they </w:t>
      </w:r>
      <w:proofErr w:type="gramStart"/>
      <w:r w:rsidRPr="002B6F1B">
        <w:rPr>
          <w:rFonts w:eastAsia="Calibri" w:cstheme="minorHAnsi"/>
          <w:color w:val="000000" w:themeColor="text1"/>
        </w:rPr>
        <w:t>have to</w:t>
      </w:r>
      <w:proofErr w:type="gramEnd"/>
      <w:r w:rsidRPr="002B6F1B">
        <w:rPr>
          <w:rFonts w:eastAsia="Calibri" w:cstheme="minorHAnsi"/>
          <w:color w:val="000000" w:themeColor="text1"/>
        </w:rPr>
        <w:t xml:space="preserve"> then complete an ET3 within 28 days from the date the form was sent. They must outline factual details and their defence in this form. The case is then listed for an Employment Tribunal. If the responded fails to send the form in time they will not be included in further proceedings.</w:t>
      </w:r>
    </w:p>
    <w:p w14:paraId="618EC033" w14:textId="3F38020A"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A preliminary hearing can happen before the full hearing to resolve issues needed for the full hearing or to rule out a claim.</w:t>
      </w:r>
    </w:p>
    <w:p w14:paraId="324B18A9" w14:textId="3206D047" w:rsidR="6A4EB76C" w:rsidRPr="002B6F1B" w:rsidRDefault="6A4EB76C" w:rsidP="6225F5D5">
      <w:pPr>
        <w:rPr>
          <w:rFonts w:eastAsia="Calibri" w:cstheme="minorHAnsi"/>
          <w:color w:val="000000" w:themeColor="text1"/>
        </w:rPr>
      </w:pPr>
      <w:r w:rsidRPr="002B6F1B">
        <w:rPr>
          <w:rFonts w:eastAsia="Calibri" w:cstheme="minorHAnsi"/>
          <w:color w:val="000000" w:themeColor="text1"/>
        </w:rPr>
        <w:lastRenderedPageBreak/>
        <w:t xml:space="preserve">Judicial mediation can also settle a claim before the Employment Tribunal. The judge reads the ET1 and ET3 and decides if the claim can be resolved through mediation instead. The judge facilitates a settlement between the claimant and respondent. If </w:t>
      </w:r>
      <w:proofErr w:type="gramStart"/>
      <w:r w:rsidRPr="002B6F1B">
        <w:rPr>
          <w:rFonts w:eastAsia="Calibri" w:cstheme="minorHAnsi"/>
          <w:color w:val="000000" w:themeColor="text1"/>
        </w:rPr>
        <w:t>successful</w:t>
      </w:r>
      <w:proofErr w:type="gramEnd"/>
      <w:r w:rsidRPr="002B6F1B">
        <w:rPr>
          <w:rFonts w:eastAsia="Calibri" w:cstheme="minorHAnsi"/>
          <w:color w:val="000000" w:themeColor="text1"/>
        </w:rPr>
        <w:t xml:space="preserve"> the case ends here otherwise it goes to Employment Tribunal.</w:t>
      </w:r>
    </w:p>
    <w:p w14:paraId="1623015E" w14:textId="7A6D2B30"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All witness statements need to be exchanged and sent to the Employment Tribunal usually 14 days prior to the hearing. Documents also need to be collated for the case. The claimant also needs to come up with a schedule of loss which can be looked at in the remedy hearing.</w:t>
      </w:r>
    </w:p>
    <w:p w14:paraId="5CD8E70F" w14:textId="68D99AC8"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Evidence is presented at the hearing and the witnesses are listened to.</w:t>
      </w:r>
    </w:p>
    <w:p w14:paraId="16A973DB" w14:textId="20A59006" w:rsidR="6A4EB76C" w:rsidRPr="002B6F1B" w:rsidRDefault="6A4EB76C" w:rsidP="6225F5D5">
      <w:pPr>
        <w:rPr>
          <w:rFonts w:eastAsia="Calibri" w:cstheme="minorHAnsi"/>
          <w:color w:val="000000" w:themeColor="text1"/>
        </w:rPr>
      </w:pPr>
      <w:r w:rsidRPr="002B6F1B">
        <w:rPr>
          <w:rFonts w:eastAsia="Calibri" w:cstheme="minorHAnsi"/>
          <w:color w:val="000000" w:themeColor="text1"/>
        </w:rPr>
        <w:t xml:space="preserve">The verdict </w:t>
      </w:r>
      <w:proofErr w:type="gramStart"/>
      <w:r w:rsidRPr="002B6F1B">
        <w:rPr>
          <w:rFonts w:eastAsia="Calibri" w:cstheme="minorHAnsi"/>
          <w:color w:val="000000" w:themeColor="text1"/>
        </w:rPr>
        <w:t>has to</w:t>
      </w:r>
      <w:proofErr w:type="gramEnd"/>
      <w:r w:rsidRPr="002B6F1B">
        <w:rPr>
          <w:rFonts w:eastAsia="Calibri" w:cstheme="minorHAnsi"/>
          <w:color w:val="000000" w:themeColor="text1"/>
        </w:rPr>
        <w:t xml:space="preserve"> be a majority view. Decisions of remedies must also be made (Daniels, 2019, pp. 25 – 31).</w:t>
      </w:r>
    </w:p>
    <w:p w14:paraId="61D4EEBA" w14:textId="1635AF9B" w:rsidR="00B5575A" w:rsidRPr="002B6F1B" w:rsidRDefault="00B5575A" w:rsidP="556C60E6">
      <w:pPr>
        <w:rPr>
          <w:rFonts w:eastAsia="Calibri" w:cstheme="minorHAnsi"/>
          <w:b/>
          <w:bCs/>
          <w:color w:val="000000" w:themeColor="text1"/>
          <w:u w:val="single"/>
        </w:rPr>
      </w:pPr>
    </w:p>
    <w:p w14:paraId="156858CF" w14:textId="07553B46" w:rsidR="00B5575A" w:rsidRPr="002B6F1B" w:rsidRDefault="00B5575A" w:rsidP="556C60E6">
      <w:pPr>
        <w:rPr>
          <w:rFonts w:eastAsia="Calibri" w:cstheme="minorHAnsi"/>
          <w:b/>
          <w:bCs/>
          <w:color w:val="000000" w:themeColor="text1"/>
          <w:u w:val="single"/>
        </w:rPr>
      </w:pPr>
    </w:p>
    <w:p w14:paraId="4160AB81" w14:textId="54BC66EC" w:rsidR="00B5575A" w:rsidRPr="002B6F1B" w:rsidRDefault="00B5575A" w:rsidP="556C60E6">
      <w:pPr>
        <w:rPr>
          <w:rFonts w:eastAsia="Calibri" w:cstheme="minorHAnsi"/>
          <w:b/>
          <w:bCs/>
          <w:color w:val="000000" w:themeColor="text1"/>
          <w:u w:val="single"/>
        </w:rPr>
      </w:pPr>
    </w:p>
    <w:p w14:paraId="2267209F" w14:textId="61EA7410" w:rsidR="00B5575A" w:rsidRPr="002B6F1B" w:rsidRDefault="00B5575A" w:rsidP="556C60E6">
      <w:pPr>
        <w:rPr>
          <w:rFonts w:eastAsia="Calibri" w:cstheme="minorHAnsi"/>
          <w:b/>
          <w:bCs/>
          <w:color w:val="000000" w:themeColor="text1"/>
          <w:u w:val="single"/>
        </w:rPr>
      </w:pPr>
    </w:p>
    <w:p w14:paraId="001B30C5" w14:textId="478D7FC3" w:rsidR="00B5575A" w:rsidRPr="002B6F1B" w:rsidRDefault="00B5575A" w:rsidP="556C60E6">
      <w:pPr>
        <w:rPr>
          <w:rFonts w:eastAsia="Calibri" w:cstheme="minorHAnsi"/>
          <w:b/>
          <w:bCs/>
          <w:color w:val="000000" w:themeColor="text1"/>
          <w:u w:val="single"/>
        </w:rPr>
      </w:pPr>
    </w:p>
    <w:p w14:paraId="1925F53C" w14:textId="10C08B3E" w:rsidR="00B5575A" w:rsidRPr="002B6F1B" w:rsidRDefault="00B5575A" w:rsidP="556C60E6">
      <w:pPr>
        <w:rPr>
          <w:rFonts w:eastAsia="Calibri" w:cstheme="minorHAnsi"/>
          <w:b/>
          <w:bCs/>
          <w:color w:val="000000" w:themeColor="text1"/>
          <w:u w:val="single"/>
        </w:rPr>
      </w:pPr>
    </w:p>
    <w:p w14:paraId="15350AE1" w14:textId="3393E3CE" w:rsidR="00B5575A" w:rsidRPr="002B6F1B" w:rsidRDefault="00B5575A" w:rsidP="556C60E6">
      <w:pPr>
        <w:rPr>
          <w:rFonts w:eastAsia="Calibri" w:cstheme="minorHAnsi"/>
          <w:b/>
          <w:bCs/>
          <w:color w:val="000000" w:themeColor="text1"/>
          <w:u w:val="single"/>
        </w:rPr>
      </w:pPr>
    </w:p>
    <w:p w14:paraId="1FD46E10" w14:textId="5268EFCF" w:rsidR="00B5575A" w:rsidRPr="002B6F1B" w:rsidRDefault="00B5575A" w:rsidP="556C60E6">
      <w:pPr>
        <w:rPr>
          <w:rFonts w:eastAsia="Calibri" w:cstheme="minorHAnsi"/>
          <w:b/>
          <w:bCs/>
          <w:color w:val="000000" w:themeColor="text1"/>
          <w:u w:val="single"/>
        </w:rPr>
      </w:pPr>
    </w:p>
    <w:p w14:paraId="646C5E65" w14:textId="79348728" w:rsidR="00B5575A" w:rsidRPr="002B6F1B" w:rsidRDefault="00B5575A" w:rsidP="556C60E6">
      <w:pPr>
        <w:rPr>
          <w:rFonts w:eastAsia="Calibri" w:cstheme="minorHAnsi"/>
          <w:b/>
          <w:bCs/>
          <w:color w:val="000000" w:themeColor="text1"/>
          <w:u w:val="single"/>
        </w:rPr>
      </w:pPr>
    </w:p>
    <w:p w14:paraId="016F6EB8" w14:textId="73506CBF" w:rsidR="00B5575A" w:rsidRPr="002B6F1B" w:rsidRDefault="00B5575A" w:rsidP="556C60E6">
      <w:pPr>
        <w:rPr>
          <w:rFonts w:eastAsia="Calibri" w:cstheme="minorHAnsi"/>
          <w:b/>
          <w:bCs/>
          <w:color w:val="000000" w:themeColor="text1"/>
          <w:u w:val="single"/>
        </w:rPr>
      </w:pPr>
    </w:p>
    <w:p w14:paraId="53AD9FBB" w14:textId="7F6B6FB6" w:rsidR="00B5575A" w:rsidRPr="002B6F1B" w:rsidRDefault="00B5575A" w:rsidP="556C60E6">
      <w:pPr>
        <w:rPr>
          <w:rFonts w:eastAsia="Calibri" w:cstheme="minorHAnsi"/>
          <w:b/>
          <w:bCs/>
          <w:color w:val="000000" w:themeColor="text1"/>
          <w:u w:val="single"/>
        </w:rPr>
      </w:pPr>
    </w:p>
    <w:p w14:paraId="6DE30AC8" w14:textId="5CF4EDBD" w:rsidR="00B5575A" w:rsidRPr="002B6F1B" w:rsidRDefault="00B5575A" w:rsidP="556C60E6">
      <w:pPr>
        <w:rPr>
          <w:rFonts w:eastAsia="Calibri" w:cstheme="minorHAnsi"/>
          <w:b/>
          <w:bCs/>
          <w:color w:val="000000" w:themeColor="text1"/>
          <w:u w:val="single"/>
        </w:rPr>
      </w:pPr>
    </w:p>
    <w:p w14:paraId="3B514D5E" w14:textId="3911E398" w:rsidR="002B6F1B" w:rsidRPr="002B6F1B" w:rsidRDefault="002B6F1B" w:rsidP="556C60E6">
      <w:pPr>
        <w:rPr>
          <w:rFonts w:eastAsia="Calibri" w:cstheme="minorHAnsi"/>
          <w:b/>
          <w:bCs/>
          <w:color w:val="000000" w:themeColor="text1"/>
          <w:u w:val="single"/>
        </w:rPr>
      </w:pPr>
    </w:p>
    <w:p w14:paraId="7E550CE4" w14:textId="1FDC7C65" w:rsidR="002B6F1B" w:rsidRPr="002B6F1B" w:rsidRDefault="002B6F1B" w:rsidP="556C60E6">
      <w:pPr>
        <w:rPr>
          <w:rFonts w:eastAsia="Calibri" w:cstheme="minorHAnsi"/>
          <w:b/>
          <w:bCs/>
          <w:color w:val="000000" w:themeColor="text1"/>
          <w:u w:val="single"/>
        </w:rPr>
      </w:pPr>
    </w:p>
    <w:p w14:paraId="689CE204" w14:textId="65979D8D" w:rsidR="002B6F1B" w:rsidRPr="002B6F1B" w:rsidRDefault="002B6F1B" w:rsidP="556C60E6">
      <w:pPr>
        <w:rPr>
          <w:rFonts w:eastAsia="Calibri" w:cstheme="minorHAnsi"/>
          <w:b/>
          <w:bCs/>
          <w:color w:val="000000" w:themeColor="text1"/>
          <w:u w:val="single"/>
        </w:rPr>
      </w:pPr>
    </w:p>
    <w:p w14:paraId="04840BDC" w14:textId="58C79E09" w:rsidR="002B6F1B" w:rsidRPr="002B6F1B" w:rsidRDefault="002B6F1B" w:rsidP="556C60E6">
      <w:pPr>
        <w:rPr>
          <w:rFonts w:eastAsia="Calibri" w:cstheme="minorHAnsi"/>
          <w:b/>
          <w:bCs/>
          <w:color w:val="000000" w:themeColor="text1"/>
          <w:u w:val="single"/>
        </w:rPr>
      </w:pPr>
    </w:p>
    <w:p w14:paraId="7D069210" w14:textId="001E6501" w:rsidR="002B6F1B" w:rsidRPr="002B6F1B" w:rsidRDefault="002B6F1B" w:rsidP="556C60E6">
      <w:pPr>
        <w:rPr>
          <w:rFonts w:eastAsia="Calibri" w:cstheme="minorHAnsi"/>
          <w:b/>
          <w:bCs/>
          <w:color w:val="000000" w:themeColor="text1"/>
          <w:u w:val="single"/>
        </w:rPr>
      </w:pPr>
    </w:p>
    <w:p w14:paraId="29158E23" w14:textId="3AFAA617" w:rsidR="002B6F1B" w:rsidRPr="002B6F1B" w:rsidRDefault="002B6F1B" w:rsidP="556C60E6">
      <w:pPr>
        <w:rPr>
          <w:rFonts w:eastAsia="Calibri" w:cstheme="minorHAnsi"/>
          <w:b/>
          <w:bCs/>
          <w:color w:val="000000" w:themeColor="text1"/>
          <w:u w:val="single"/>
        </w:rPr>
      </w:pPr>
    </w:p>
    <w:p w14:paraId="3CC28C42" w14:textId="0E8B99E5" w:rsidR="002B6F1B" w:rsidRPr="002B6F1B" w:rsidRDefault="002B6F1B" w:rsidP="556C60E6">
      <w:pPr>
        <w:rPr>
          <w:rFonts w:eastAsia="Calibri" w:cstheme="minorHAnsi"/>
          <w:b/>
          <w:bCs/>
          <w:color w:val="000000" w:themeColor="text1"/>
          <w:u w:val="single"/>
        </w:rPr>
      </w:pPr>
    </w:p>
    <w:p w14:paraId="1C9B9879" w14:textId="183508DD" w:rsidR="002B6F1B" w:rsidRPr="002B6F1B" w:rsidRDefault="002B6F1B" w:rsidP="556C60E6">
      <w:pPr>
        <w:rPr>
          <w:rFonts w:eastAsia="Calibri" w:cstheme="minorHAnsi"/>
          <w:b/>
          <w:bCs/>
          <w:color w:val="000000" w:themeColor="text1"/>
          <w:u w:val="single"/>
        </w:rPr>
      </w:pPr>
    </w:p>
    <w:p w14:paraId="45A1D4E3" w14:textId="6C70D0B1" w:rsidR="002B6F1B" w:rsidRPr="002B6F1B" w:rsidRDefault="002B6F1B" w:rsidP="556C60E6">
      <w:pPr>
        <w:rPr>
          <w:rFonts w:eastAsia="Calibri" w:cstheme="minorHAnsi"/>
          <w:b/>
          <w:bCs/>
          <w:color w:val="000000" w:themeColor="text1"/>
          <w:u w:val="single"/>
        </w:rPr>
      </w:pPr>
    </w:p>
    <w:p w14:paraId="3F031A66" w14:textId="75189DE2" w:rsidR="002B6F1B" w:rsidRPr="002B6F1B" w:rsidRDefault="002B6F1B" w:rsidP="556C60E6">
      <w:pPr>
        <w:rPr>
          <w:rFonts w:eastAsia="Calibri" w:cstheme="minorHAnsi"/>
          <w:b/>
          <w:bCs/>
          <w:color w:val="000000" w:themeColor="text1"/>
          <w:u w:val="single"/>
        </w:rPr>
      </w:pPr>
    </w:p>
    <w:p w14:paraId="4C6DD758" w14:textId="2CEB28B5" w:rsidR="002B6F1B" w:rsidRPr="002B6F1B" w:rsidRDefault="002B6F1B" w:rsidP="556C60E6">
      <w:pPr>
        <w:rPr>
          <w:rFonts w:eastAsia="Calibri" w:cstheme="minorHAnsi"/>
          <w:b/>
          <w:bCs/>
          <w:color w:val="000000" w:themeColor="text1"/>
          <w:u w:val="single"/>
        </w:rPr>
      </w:pPr>
    </w:p>
    <w:p w14:paraId="54856425" w14:textId="1C5FC8B8" w:rsidR="002B6F1B" w:rsidRPr="002B6F1B" w:rsidRDefault="002B6F1B" w:rsidP="556C60E6">
      <w:pPr>
        <w:rPr>
          <w:rFonts w:eastAsia="Calibri" w:cstheme="minorHAnsi"/>
          <w:b/>
          <w:bCs/>
          <w:color w:val="000000" w:themeColor="text1"/>
          <w:u w:val="single"/>
        </w:rPr>
      </w:pPr>
    </w:p>
    <w:p w14:paraId="21A3F630" w14:textId="2A2863E2" w:rsidR="002B6F1B" w:rsidRPr="002B6F1B" w:rsidRDefault="002B6F1B" w:rsidP="556C60E6">
      <w:pPr>
        <w:rPr>
          <w:rFonts w:eastAsia="Calibri" w:cstheme="minorHAnsi"/>
          <w:b/>
          <w:bCs/>
          <w:color w:val="000000" w:themeColor="text1"/>
          <w:u w:val="single"/>
        </w:rPr>
      </w:pPr>
    </w:p>
    <w:p w14:paraId="6A8CA3C6" w14:textId="3073D87E" w:rsidR="002B6F1B" w:rsidRPr="002B6F1B" w:rsidRDefault="002B6F1B" w:rsidP="556C60E6">
      <w:pPr>
        <w:rPr>
          <w:rFonts w:eastAsia="Calibri" w:cstheme="minorHAnsi"/>
          <w:b/>
          <w:bCs/>
          <w:color w:val="000000" w:themeColor="text1"/>
          <w:u w:val="single"/>
        </w:rPr>
      </w:pPr>
    </w:p>
    <w:p w14:paraId="67453363" w14:textId="77777777" w:rsidR="002B6F1B" w:rsidRPr="002B6F1B" w:rsidRDefault="002B6F1B" w:rsidP="556C60E6">
      <w:pPr>
        <w:rPr>
          <w:rFonts w:eastAsia="Calibri" w:cstheme="minorHAnsi"/>
          <w:b/>
          <w:bCs/>
          <w:color w:val="000000" w:themeColor="text1"/>
          <w:u w:val="single"/>
        </w:rPr>
      </w:pPr>
    </w:p>
    <w:p w14:paraId="0D1E2B6C" w14:textId="20184EB8" w:rsidR="00B5575A" w:rsidRPr="002B6F1B" w:rsidRDefault="07874C00" w:rsidP="34A4786C">
      <w:pPr>
        <w:rPr>
          <w:rFonts w:eastAsia="Calibri" w:cstheme="minorHAnsi"/>
          <w:b/>
          <w:bCs/>
          <w:color w:val="000000" w:themeColor="text1"/>
          <w:u w:val="single"/>
        </w:rPr>
      </w:pPr>
      <w:r w:rsidRPr="002B6F1B">
        <w:rPr>
          <w:rFonts w:eastAsia="Calibri" w:cstheme="minorHAnsi"/>
          <w:b/>
          <w:bCs/>
          <w:color w:val="000000" w:themeColor="text1"/>
          <w:u w:val="single"/>
        </w:rPr>
        <w:lastRenderedPageBreak/>
        <w:t xml:space="preserve">2. Summarise the main </w:t>
      </w:r>
      <w:r w:rsidR="002B6F1B" w:rsidRPr="002B6F1B">
        <w:rPr>
          <w:rFonts w:eastAsia="Calibri" w:cstheme="minorHAnsi"/>
          <w:b/>
          <w:bCs/>
          <w:color w:val="000000" w:themeColor="text1"/>
          <w:u w:val="single"/>
        </w:rPr>
        <w:t>principles</w:t>
      </w:r>
      <w:r w:rsidRPr="002B6F1B">
        <w:rPr>
          <w:rFonts w:eastAsia="Calibri" w:cstheme="minorHAnsi"/>
          <w:b/>
          <w:bCs/>
          <w:color w:val="000000" w:themeColor="text1"/>
          <w:u w:val="single"/>
        </w:rPr>
        <w:t xml:space="preserve"> of discrimination law in relation to recruitment and selection and explain how contracts of employment are established.</w:t>
      </w:r>
    </w:p>
    <w:p w14:paraId="01AB3726" w14:textId="532B1B5D" w:rsidR="00B5575A" w:rsidRPr="002B6F1B" w:rsidRDefault="07874C00" w:rsidP="6225F5D5">
      <w:pPr>
        <w:rPr>
          <w:rFonts w:eastAsia="Calibri" w:cstheme="minorHAnsi"/>
          <w:color w:val="000000" w:themeColor="text1"/>
        </w:rPr>
      </w:pPr>
      <w:r w:rsidRPr="002B6F1B">
        <w:rPr>
          <w:rFonts w:eastAsia="Calibri" w:cstheme="minorHAnsi"/>
          <w:color w:val="000000" w:themeColor="text1"/>
        </w:rPr>
        <w:t>HR managers must be aware of employment law in all aspects of their duties including recruitment and selection. People who have ‘protected characteristics’ are able to claim compensation lawfully if they face unfair discrimination. Therefore, managers must make sure they are seen to be treating people fairly</w:t>
      </w:r>
      <w:r w:rsidR="3033A6AB" w:rsidRPr="002B6F1B">
        <w:rPr>
          <w:rFonts w:eastAsia="Calibri" w:cstheme="minorHAnsi"/>
          <w:color w:val="000000" w:themeColor="text1"/>
        </w:rPr>
        <w:t xml:space="preserve"> (Taylo</w:t>
      </w:r>
      <w:r w:rsidR="0E80859E" w:rsidRPr="002B6F1B">
        <w:rPr>
          <w:rFonts w:eastAsia="Calibri" w:cstheme="minorHAnsi"/>
          <w:color w:val="000000" w:themeColor="text1"/>
        </w:rPr>
        <w:t>r and Wilkinson, 2016, pp. 28-29).</w:t>
      </w:r>
    </w:p>
    <w:p w14:paraId="354DF1F5" w14:textId="215EB9BD" w:rsidR="00B5575A" w:rsidRPr="002B6F1B" w:rsidRDefault="07874C00">
      <w:pPr>
        <w:rPr>
          <w:rFonts w:cstheme="minorHAnsi"/>
        </w:rPr>
      </w:pPr>
      <w:r w:rsidRPr="002B6F1B">
        <w:rPr>
          <w:rFonts w:eastAsia="Calibri" w:cstheme="minorHAnsi"/>
          <w:color w:val="000000" w:themeColor="text1"/>
        </w:rPr>
        <w:t xml:space="preserve">The Equality Act 2010 protects people who have the following characteristics against unfair discrimination: age, disability, gender reassignment, marriage and civil partnership, pregnancy and maternity, race, ethnicity and national origin, religion or belief, </w:t>
      </w:r>
      <w:proofErr w:type="gramStart"/>
      <w:r w:rsidRPr="002B6F1B">
        <w:rPr>
          <w:rFonts w:eastAsia="Calibri" w:cstheme="minorHAnsi"/>
          <w:color w:val="000000" w:themeColor="text1"/>
        </w:rPr>
        <w:t>sex</w:t>
      </w:r>
      <w:proofErr w:type="gramEnd"/>
      <w:r w:rsidRPr="002B6F1B">
        <w:rPr>
          <w:rFonts w:eastAsia="Calibri" w:cstheme="minorHAnsi"/>
          <w:color w:val="000000" w:themeColor="text1"/>
        </w:rPr>
        <w:t xml:space="preserve"> and sexual orientation. </w:t>
      </w:r>
      <w:r w:rsidR="00F1626E" w:rsidRPr="002B6F1B">
        <w:rPr>
          <w:rFonts w:cstheme="minorHAnsi"/>
        </w:rPr>
        <w:br/>
      </w:r>
    </w:p>
    <w:tbl>
      <w:tblPr>
        <w:tblStyle w:val="TableGrid"/>
        <w:tblW w:w="10583" w:type="dxa"/>
        <w:tblLayout w:type="fixed"/>
        <w:tblLook w:val="06A0" w:firstRow="1" w:lastRow="0" w:firstColumn="1" w:lastColumn="0" w:noHBand="1" w:noVBand="1"/>
      </w:tblPr>
      <w:tblGrid>
        <w:gridCol w:w="4508"/>
        <w:gridCol w:w="6075"/>
      </w:tblGrid>
      <w:tr w:rsidR="556C60E6" w:rsidRPr="002B6F1B" w14:paraId="247B8A72"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9DAF8"/>
          </w:tcPr>
          <w:p w14:paraId="292AE02E" w14:textId="3F49F6D3" w:rsidR="556C60E6" w:rsidRPr="002B6F1B" w:rsidRDefault="556C60E6">
            <w:pPr>
              <w:rPr>
                <w:rFonts w:cstheme="minorHAnsi"/>
              </w:rPr>
            </w:pPr>
            <w:r w:rsidRPr="002B6F1B">
              <w:rPr>
                <w:rFonts w:eastAsia="Arial" w:cstheme="minorHAnsi"/>
                <w:b/>
                <w:bCs/>
                <w:color w:val="000000" w:themeColor="text1"/>
              </w:rPr>
              <w:t>Term</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9DAF8"/>
          </w:tcPr>
          <w:p w14:paraId="3C7E7CD9" w14:textId="776F44B4" w:rsidR="556C60E6" w:rsidRPr="002B6F1B" w:rsidRDefault="556C60E6">
            <w:pPr>
              <w:rPr>
                <w:rFonts w:cstheme="minorHAnsi"/>
              </w:rPr>
            </w:pPr>
            <w:r w:rsidRPr="002B6F1B">
              <w:rPr>
                <w:rFonts w:eastAsia="Arial" w:cstheme="minorHAnsi"/>
                <w:b/>
                <w:bCs/>
                <w:color w:val="000000" w:themeColor="text1"/>
              </w:rPr>
              <w:t>Definition</w:t>
            </w:r>
          </w:p>
        </w:tc>
      </w:tr>
      <w:tr w:rsidR="556C60E6" w:rsidRPr="002B6F1B" w14:paraId="0DB3C842" w14:textId="77777777" w:rsidTr="34A4786C">
        <w:trPr>
          <w:trHeight w:val="840"/>
        </w:trPr>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1B29B0" w14:textId="305451D5" w:rsidR="556C60E6" w:rsidRPr="002B6F1B" w:rsidRDefault="556C60E6">
            <w:pPr>
              <w:rPr>
                <w:rFonts w:cstheme="minorHAnsi"/>
              </w:rPr>
            </w:pPr>
            <w:r w:rsidRPr="002B6F1B">
              <w:rPr>
                <w:rFonts w:eastAsia="Arial" w:cstheme="minorHAnsi"/>
                <w:color w:val="000000" w:themeColor="text1"/>
              </w:rPr>
              <w:t>Direct Discrimination</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AA8952" w14:textId="171B9EFE" w:rsidR="556C60E6" w:rsidRPr="002B6F1B" w:rsidRDefault="60C63574">
            <w:pPr>
              <w:rPr>
                <w:rFonts w:cstheme="minorHAnsi"/>
              </w:rPr>
            </w:pPr>
            <w:r w:rsidRPr="002B6F1B">
              <w:rPr>
                <w:rFonts w:eastAsia="Arial" w:cstheme="minorHAnsi"/>
                <w:color w:val="000000" w:themeColor="text1"/>
              </w:rPr>
              <w:t>Can occur at the recruitment stage when someone who is qualified for the job fails to be shortlisted or appointed on the groups that they have a protected characteristic. If an employer engages in direct discrimination involving the protected characteristics this is unlawful. No defence can be heard, no matter the reasons. One exception to this rule is if jobs have certain characteristics, they can be reserved for certain groups. An example where this rule would apply is in modelling and acting jobs. Another exception is when people are discriminated against because of their disability or age an employer can have a lawful reason for their direct discrimination. If a disabled person does not get the job because of their disability the employer must convince the tribunal that no reasonable adjustments can be made to accommodate their needs</w:t>
            </w:r>
            <w:r w:rsidR="4A13B234" w:rsidRPr="002B6F1B">
              <w:rPr>
                <w:rFonts w:eastAsia="Arial" w:cstheme="minorHAnsi"/>
                <w:color w:val="000000" w:themeColor="text1"/>
              </w:rPr>
              <w:t xml:space="preserve"> (Taylor and Wilkinson, 2016, p. 29).</w:t>
            </w:r>
          </w:p>
        </w:tc>
      </w:tr>
      <w:tr w:rsidR="556C60E6" w:rsidRPr="002B6F1B" w14:paraId="10BA6573"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4AE9681" w14:textId="61D87D3C" w:rsidR="556C60E6" w:rsidRPr="002B6F1B" w:rsidRDefault="556C60E6">
            <w:pPr>
              <w:rPr>
                <w:rFonts w:cstheme="minorHAnsi"/>
              </w:rPr>
            </w:pPr>
            <w:r w:rsidRPr="002B6F1B">
              <w:rPr>
                <w:rFonts w:eastAsia="Arial" w:cstheme="minorHAnsi"/>
                <w:color w:val="000000" w:themeColor="text1"/>
              </w:rPr>
              <w:t>Indirect Discrimination</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6B08F53" w14:textId="604FBDFE" w:rsidR="556C60E6" w:rsidRPr="002B6F1B" w:rsidRDefault="60C63574">
            <w:pPr>
              <w:rPr>
                <w:rFonts w:cstheme="minorHAnsi"/>
              </w:rPr>
            </w:pPr>
            <w:r w:rsidRPr="002B6F1B">
              <w:rPr>
                <w:rFonts w:eastAsia="Arial" w:cstheme="minorHAnsi"/>
                <w:color w:val="000000" w:themeColor="text1"/>
              </w:rPr>
              <w:t>When ‘a provision, criterion or practice’ (</w:t>
            </w:r>
            <w:r w:rsidR="5414D0ED" w:rsidRPr="002B6F1B">
              <w:rPr>
                <w:rFonts w:eastAsia="Arial" w:cstheme="minorHAnsi"/>
                <w:i/>
                <w:iCs/>
                <w:color w:val="000000" w:themeColor="text1"/>
              </w:rPr>
              <w:t xml:space="preserve">Equality Act </w:t>
            </w:r>
            <w:r w:rsidRPr="002B6F1B">
              <w:rPr>
                <w:rFonts w:eastAsia="Arial" w:cstheme="minorHAnsi"/>
                <w:i/>
                <w:iCs/>
                <w:color w:val="000000" w:themeColor="text1"/>
              </w:rPr>
              <w:t>2010</w:t>
            </w:r>
            <w:r w:rsidRPr="002B6F1B">
              <w:rPr>
                <w:rFonts w:eastAsia="Arial" w:cstheme="minorHAnsi"/>
                <w:color w:val="000000" w:themeColor="text1"/>
              </w:rPr>
              <w:t>), set by an employer, affects a person/group who has a protected characteristic. Therefore</w:t>
            </w:r>
            <w:r w:rsidR="049FF181" w:rsidRPr="002B6F1B">
              <w:rPr>
                <w:rFonts w:eastAsia="Arial" w:cstheme="minorHAnsi"/>
                <w:color w:val="000000" w:themeColor="text1"/>
              </w:rPr>
              <w:t>,</w:t>
            </w:r>
            <w:r w:rsidRPr="002B6F1B">
              <w:rPr>
                <w:rFonts w:eastAsia="Arial" w:cstheme="minorHAnsi"/>
                <w:color w:val="000000" w:themeColor="text1"/>
              </w:rPr>
              <w:t xml:space="preserve"> this is not direct discrimination but the PCP in place creates a disadvantage for those who have the protected characteristic. An example is when an employer is looking for someone who is over 6 feet tall. This is more likely to include men than </w:t>
            </w:r>
            <w:proofErr w:type="gramStart"/>
            <w:r w:rsidRPr="002B6F1B">
              <w:rPr>
                <w:rFonts w:eastAsia="Arial" w:cstheme="minorHAnsi"/>
                <w:color w:val="000000" w:themeColor="text1"/>
              </w:rPr>
              <w:t>women</w:t>
            </w:r>
            <w:proofErr w:type="gramEnd"/>
            <w:r w:rsidRPr="002B6F1B">
              <w:rPr>
                <w:rFonts w:eastAsia="Arial" w:cstheme="minorHAnsi"/>
                <w:color w:val="000000" w:themeColor="text1"/>
              </w:rPr>
              <w:t xml:space="preserve"> so this is indirect discrimination. Indirect discrimination is also unlawful unless the employer has a genuine business justification it (Taylor and Wilkinson, 2016, p. 30).</w:t>
            </w:r>
          </w:p>
        </w:tc>
      </w:tr>
      <w:tr w:rsidR="556C60E6" w:rsidRPr="002B6F1B" w14:paraId="27203A75"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E3F029" w14:textId="0E54EB91" w:rsidR="556C60E6" w:rsidRPr="002B6F1B" w:rsidRDefault="556C60E6">
            <w:pPr>
              <w:rPr>
                <w:rFonts w:cstheme="minorHAnsi"/>
              </w:rPr>
            </w:pPr>
            <w:r w:rsidRPr="002B6F1B">
              <w:rPr>
                <w:rFonts w:eastAsia="Arial" w:cstheme="minorHAnsi"/>
                <w:color w:val="000000" w:themeColor="text1"/>
              </w:rPr>
              <w:t>Positive Action</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EF39D6" w14:textId="44787A36" w:rsidR="556C60E6" w:rsidRPr="002B6F1B" w:rsidRDefault="60C63574">
            <w:pPr>
              <w:rPr>
                <w:rFonts w:cstheme="minorHAnsi"/>
              </w:rPr>
            </w:pPr>
            <w:r w:rsidRPr="002B6F1B">
              <w:rPr>
                <w:rFonts w:eastAsia="Arial" w:cstheme="minorHAnsi"/>
                <w:color w:val="000000" w:themeColor="text1"/>
              </w:rPr>
              <w:t xml:space="preserve">Where an employer thinks that people who share a protected characteristic are disadvantaged because of this characteristic </w:t>
            </w:r>
            <w:proofErr w:type="gramStart"/>
            <w:r w:rsidRPr="002B6F1B">
              <w:rPr>
                <w:rFonts w:eastAsia="Arial" w:cstheme="minorHAnsi"/>
                <w:color w:val="000000" w:themeColor="text1"/>
              </w:rPr>
              <w:t>and also</w:t>
            </w:r>
            <w:proofErr w:type="gramEnd"/>
            <w:r w:rsidRPr="002B6F1B">
              <w:rPr>
                <w:rFonts w:eastAsia="Arial" w:cstheme="minorHAnsi"/>
                <w:color w:val="000000" w:themeColor="text1"/>
              </w:rPr>
              <w:t xml:space="preserve"> have different needs from those who do not have this protected characteristic. Also, if the people who have a protected characteristic participate in an activity less than those who do not have this protected characteristic (</w:t>
            </w:r>
            <w:r w:rsidR="61B93040" w:rsidRPr="002B6F1B">
              <w:rPr>
                <w:rFonts w:eastAsia="Arial" w:cstheme="minorHAnsi"/>
                <w:i/>
                <w:iCs/>
                <w:color w:val="000000" w:themeColor="text1"/>
              </w:rPr>
              <w:t xml:space="preserve">Equality Act </w:t>
            </w:r>
            <w:r w:rsidRPr="002B6F1B">
              <w:rPr>
                <w:rFonts w:eastAsia="Arial" w:cstheme="minorHAnsi"/>
                <w:i/>
                <w:iCs/>
                <w:color w:val="000000" w:themeColor="text1"/>
              </w:rPr>
              <w:t>2010</w:t>
            </w:r>
            <w:r w:rsidRPr="002B6F1B">
              <w:rPr>
                <w:rFonts w:eastAsia="Arial" w:cstheme="minorHAnsi"/>
                <w:color w:val="000000" w:themeColor="text1"/>
              </w:rPr>
              <w:t>).</w:t>
            </w:r>
          </w:p>
          <w:p w14:paraId="502B419A" w14:textId="713E8CE8" w:rsidR="556C60E6" w:rsidRPr="002B6F1B" w:rsidRDefault="60C63574">
            <w:pPr>
              <w:rPr>
                <w:rFonts w:cstheme="minorHAnsi"/>
              </w:rPr>
            </w:pPr>
            <w:r w:rsidRPr="002B6F1B">
              <w:rPr>
                <w:rFonts w:eastAsia="Arial" w:cstheme="minorHAnsi"/>
                <w:color w:val="000000" w:themeColor="text1"/>
              </w:rPr>
              <w:t>Positive action applies to recruitment and selection when an employer takes positive action to encourage those who share a protected characteristic to overcome or decrease the disadvantage related to the characteristic (CIPD, 2021</w:t>
            </w:r>
            <w:r w:rsidR="479C173A" w:rsidRPr="002B6F1B">
              <w:rPr>
                <w:rFonts w:eastAsia="Arial" w:cstheme="minorHAnsi"/>
                <w:color w:val="000000" w:themeColor="text1"/>
              </w:rPr>
              <w:t>b</w:t>
            </w:r>
            <w:r w:rsidRPr="002B6F1B">
              <w:rPr>
                <w:rFonts w:eastAsia="Arial" w:cstheme="minorHAnsi"/>
                <w:color w:val="000000" w:themeColor="text1"/>
              </w:rPr>
              <w:t xml:space="preserve">). Employers can also recruit someone with a protected characteristic over someone who is equally qualified without the protected characteristic </w:t>
            </w:r>
            <w:proofErr w:type="gramStart"/>
            <w:r w:rsidRPr="002B6F1B">
              <w:rPr>
                <w:rFonts w:eastAsia="Arial" w:cstheme="minorHAnsi"/>
                <w:color w:val="000000" w:themeColor="text1"/>
              </w:rPr>
              <w:t>as a way to</w:t>
            </w:r>
            <w:proofErr w:type="gramEnd"/>
            <w:r w:rsidRPr="002B6F1B">
              <w:rPr>
                <w:rFonts w:eastAsia="Arial" w:cstheme="minorHAnsi"/>
                <w:color w:val="000000" w:themeColor="text1"/>
              </w:rPr>
              <w:t xml:space="preserve"> boost participation of under-represented disadvantaged groups (CIPD, 2021</w:t>
            </w:r>
            <w:r w:rsidR="55A61F38" w:rsidRPr="002B6F1B">
              <w:rPr>
                <w:rFonts w:eastAsia="Arial" w:cstheme="minorHAnsi"/>
                <w:color w:val="000000" w:themeColor="text1"/>
              </w:rPr>
              <w:t>b</w:t>
            </w:r>
            <w:r w:rsidRPr="002B6F1B">
              <w:rPr>
                <w:rFonts w:eastAsia="Arial" w:cstheme="minorHAnsi"/>
                <w:color w:val="000000" w:themeColor="text1"/>
              </w:rPr>
              <w:t>).</w:t>
            </w:r>
          </w:p>
          <w:p w14:paraId="30D6BFF0" w14:textId="39648D71" w:rsidR="556C60E6" w:rsidRPr="002B6F1B" w:rsidRDefault="556C60E6">
            <w:pPr>
              <w:rPr>
                <w:rFonts w:cstheme="minorHAnsi"/>
              </w:rPr>
            </w:pPr>
            <w:r w:rsidRPr="002B6F1B">
              <w:rPr>
                <w:rFonts w:cstheme="minorHAnsi"/>
              </w:rPr>
              <w:br/>
            </w:r>
          </w:p>
        </w:tc>
      </w:tr>
    </w:tbl>
    <w:p w14:paraId="4AD65DFA" w14:textId="728D4CAF" w:rsidR="00B5575A" w:rsidRPr="002B6F1B" w:rsidRDefault="07874C00" w:rsidP="6225F5D5">
      <w:pPr>
        <w:rPr>
          <w:rFonts w:cstheme="minorHAnsi"/>
        </w:rPr>
      </w:pPr>
      <w:r w:rsidRPr="002B6F1B">
        <w:rPr>
          <w:rFonts w:eastAsia="Calibri" w:cstheme="minorHAnsi"/>
          <w:color w:val="000000" w:themeColor="text1"/>
        </w:rPr>
        <w:lastRenderedPageBreak/>
        <w:t>Liability falls on both the employer if they discriminate (</w:t>
      </w:r>
      <w:r w:rsidR="41AB0675" w:rsidRPr="002B6F1B">
        <w:rPr>
          <w:rFonts w:eastAsia="Calibri" w:cstheme="minorHAnsi"/>
          <w:i/>
          <w:iCs/>
          <w:color w:val="000000" w:themeColor="text1"/>
        </w:rPr>
        <w:t>Equality Act</w:t>
      </w:r>
      <w:r w:rsidRPr="002B6F1B">
        <w:rPr>
          <w:rFonts w:eastAsia="Calibri" w:cstheme="minorHAnsi"/>
          <w:i/>
          <w:iCs/>
          <w:color w:val="000000" w:themeColor="text1"/>
        </w:rPr>
        <w:t xml:space="preserve"> 2010</w:t>
      </w:r>
      <w:r w:rsidRPr="002B6F1B">
        <w:rPr>
          <w:rFonts w:eastAsia="Calibri" w:cstheme="minorHAnsi"/>
          <w:color w:val="000000" w:themeColor="text1"/>
        </w:rPr>
        <w:t>) and the employee they discriminate (</w:t>
      </w:r>
      <w:r w:rsidR="610FB173" w:rsidRPr="002B6F1B">
        <w:rPr>
          <w:rFonts w:eastAsia="Calibri" w:cstheme="minorHAnsi"/>
          <w:i/>
          <w:iCs/>
          <w:color w:val="000000" w:themeColor="text1"/>
        </w:rPr>
        <w:t>Equality Act 2010</w:t>
      </w:r>
      <w:r w:rsidRPr="002B6F1B">
        <w:rPr>
          <w:rFonts w:eastAsia="Calibri" w:cstheme="minorHAnsi"/>
          <w:color w:val="000000" w:themeColor="text1"/>
        </w:rPr>
        <w:t>). There is also vicarious liability where the employer takes responsibility for wrong actions committed by their employees during their employment (Daniels, 2019, p. 125).</w:t>
      </w:r>
    </w:p>
    <w:p w14:paraId="2F55921D" w14:textId="274ED6E6" w:rsidR="00B5575A" w:rsidRPr="002B6F1B" w:rsidRDefault="07874C00">
      <w:pPr>
        <w:rPr>
          <w:rFonts w:cstheme="minorHAnsi"/>
        </w:rPr>
      </w:pPr>
      <w:r w:rsidRPr="002B6F1B">
        <w:rPr>
          <w:rFonts w:eastAsia="Calibri" w:cstheme="minorHAnsi"/>
          <w:color w:val="000000" w:themeColor="text1"/>
        </w:rPr>
        <w:t xml:space="preserve">Remedies include a declaration or the rights of those involved, recommendations for the employer to take and compensation for loss or damage including injured feelings. For claims presented on or after 6 April 2020, the lowest Vento band is £900 to £9,000, the middle is £9,000 to £27,000 and the upper is £27,000 to £45,000. The ‘most exceptional </w:t>
      </w:r>
      <w:proofErr w:type="gramStart"/>
      <w:r w:rsidRPr="002B6F1B">
        <w:rPr>
          <w:rFonts w:eastAsia="Calibri" w:cstheme="minorHAnsi"/>
          <w:color w:val="000000" w:themeColor="text1"/>
        </w:rPr>
        <w:t>cases’</w:t>
      </w:r>
      <w:proofErr w:type="gramEnd"/>
      <w:r w:rsidRPr="002B6F1B">
        <w:rPr>
          <w:rFonts w:eastAsia="Calibri" w:cstheme="minorHAnsi"/>
          <w:color w:val="000000" w:themeColor="text1"/>
        </w:rPr>
        <w:t xml:space="preserve"> can exceed £45,000 (CIPD, 2021</w:t>
      </w:r>
      <w:r w:rsidR="7FDA6607" w:rsidRPr="002B6F1B">
        <w:rPr>
          <w:rFonts w:eastAsia="Calibri" w:cstheme="minorHAnsi"/>
          <w:color w:val="000000" w:themeColor="text1"/>
        </w:rPr>
        <w:t>c</w:t>
      </w:r>
      <w:r w:rsidRPr="002B6F1B">
        <w:rPr>
          <w:rFonts w:eastAsia="Calibri" w:cstheme="minorHAnsi"/>
          <w:color w:val="000000" w:themeColor="text1"/>
        </w:rPr>
        <w:t>, p. 8).</w:t>
      </w:r>
    </w:p>
    <w:p w14:paraId="6E4E67A3" w14:textId="4F0F908A" w:rsidR="00B5575A" w:rsidRPr="002B6F1B" w:rsidRDefault="07874C00" w:rsidP="6225F5D5">
      <w:pPr>
        <w:rPr>
          <w:rFonts w:cstheme="minorHAnsi"/>
        </w:rPr>
      </w:pPr>
      <w:r w:rsidRPr="002B6F1B">
        <w:rPr>
          <w:rFonts w:eastAsia="Calibri" w:cstheme="minorHAnsi"/>
          <w:color w:val="000000" w:themeColor="text1"/>
        </w:rPr>
        <w:t>There are three types of staff who work in an organisation. These are employees, workers and the self-employed. An employee is an ‘individual who has entered into or works under (or, where the employment has ceased, worked under) a contract of employment’ (</w:t>
      </w:r>
      <w:r w:rsidR="75F243E3" w:rsidRPr="002B6F1B">
        <w:rPr>
          <w:rFonts w:eastAsia="Calibri" w:cstheme="minorHAnsi"/>
          <w:i/>
          <w:iCs/>
          <w:color w:val="000000" w:themeColor="text1"/>
        </w:rPr>
        <w:t>Employment Rights Act</w:t>
      </w:r>
      <w:r w:rsidRPr="002B6F1B">
        <w:rPr>
          <w:rFonts w:eastAsia="Calibri" w:cstheme="minorHAnsi"/>
          <w:i/>
          <w:iCs/>
          <w:color w:val="000000" w:themeColor="text1"/>
        </w:rPr>
        <w:t xml:space="preserve"> 1996</w:t>
      </w:r>
      <w:r w:rsidRPr="002B6F1B">
        <w:rPr>
          <w:rFonts w:eastAsia="Calibri" w:cstheme="minorHAnsi"/>
          <w:color w:val="000000" w:themeColor="text1"/>
        </w:rPr>
        <w:t>). A worker is an “individual who works under a contract of employment or works under any other contract where that individual agrees to personally perform work or services for another party” (</w:t>
      </w:r>
      <w:r w:rsidR="33902792" w:rsidRPr="002B6F1B">
        <w:rPr>
          <w:rFonts w:eastAsia="Calibri" w:cstheme="minorHAnsi"/>
          <w:i/>
          <w:iCs/>
          <w:color w:val="000000" w:themeColor="text1"/>
        </w:rPr>
        <w:t>Employment Rights Act 1996</w:t>
      </w:r>
      <w:r w:rsidRPr="002B6F1B">
        <w:rPr>
          <w:rFonts w:eastAsia="Calibri" w:cstheme="minorHAnsi"/>
          <w:color w:val="000000" w:themeColor="text1"/>
        </w:rPr>
        <w:t xml:space="preserve">). </w:t>
      </w:r>
      <w:r w:rsidRPr="002B6F1B">
        <w:rPr>
          <w:rFonts w:eastAsia="Calibri" w:cstheme="minorHAnsi"/>
          <w:color w:val="FF0000"/>
        </w:rPr>
        <w:t xml:space="preserve"> </w:t>
      </w:r>
      <w:r w:rsidRPr="002B6F1B">
        <w:rPr>
          <w:rFonts w:eastAsia="Calibri" w:cstheme="minorHAnsi"/>
          <w:color w:val="000000" w:themeColor="text1"/>
        </w:rPr>
        <w:t>Workers have more protection in law than the self-employed but less than employees (Daniels, 2019, p. 43).</w:t>
      </w:r>
    </w:p>
    <w:p w14:paraId="6B40BD40" w14:textId="7A724349" w:rsidR="00B5575A" w:rsidRPr="002B6F1B" w:rsidRDefault="07874C00" w:rsidP="556C60E6">
      <w:pPr>
        <w:rPr>
          <w:rFonts w:eastAsia="Calibri" w:cstheme="minorHAnsi"/>
          <w:color w:val="000000" w:themeColor="text1"/>
        </w:rPr>
      </w:pPr>
      <w:r w:rsidRPr="002B6F1B">
        <w:rPr>
          <w:rFonts w:eastAsia="Calibri" w:cstheme="minorHAnsi"/>
          <w:color w:val="000000" w:themeColor="text1"/>
        </w:rPr>
        <w:t>If it</w:t>
      </w:r>
      <w:r w:rsidR="6E7AD0E9" w:rsidRPr="002B6F1B">
        <w:rPr>
          <w:rFonts w:eastAsia="Calibri" w:cstheme="minorHAnsi"/>
          <w:color w:val="000000" w:themeColor="text1"/>
        </w:rPr>
        <w:t xml:space="preserve"> is</w:t>
      </w:r>
      <w:r w:rsidRPr="002B6F1B">
        <w:rPr>
          <w:rFonts w:eastAsia="Calibri" w:cstheme="minorHAnsi"/>
          <w:color w:val="000000" w:themeColor="text1"/>
        </w:rPr>
        <w:t xml:space="preserve"> unclear where an individual sits within these definitions, the courts have various tests they can use to judge individual cases (Daniels, 2019, p. 40). The most popular is ‘multiple test’ where the courts look at all aspects of the employment relationship instead of just focusing on one aspect as other tests do. Alongside this, the mutual obligations test is also used. This looks to see if a sufficient mutuality is present for an employment relationship between the employer and the person. This includes if there is an obligation for the person to provide work and if there is a promise for the employer to provide future work and a promise for the person to carry out the work in the future (Daniels, 2019, p. 42). It</w:t>
      </w:r>
      <w:r w:rsidR="0BEDF692" w:rsidRPr="002B6F1B">
        <w:rPr>
          <w:rFonts w:eastAsia="Calibri" w:cstheme="minorHAnsi"/>
          <w:color w:val="000000" w:themeColor="text1"/>
        </w:rPr>
        <w:t xml:space="preserve"> is</w:t>
      </w:r>
      <w:r w:rsidRPr="002B6F1B">
        <w:rPr>
          <w:rFonts w:eastAsia="Calibri" w:cstheme="minorHAnsi"/>
          <w:color w:val="000000" w:themeColor="text1"/>
        </w:rPr>
        <w:t xml:space="preserve"> important to know the employee status as this determines their rights (Daniels, 2019, p. 44).</w:t>
      </w:r>
    </w:p>
    <w:p w14:paraId="40FBEC09" w14:textId="42AE95C7" w:rsidR="00B5575A" w:rsidRPr="002B6F1B" w:rsidRDefault="07874C00" w:rsidP="6225F5D5">
      <w:pPr>
        <w:rPr>
          <w:rFonts w:cstheme="minorHAnsi"/>
        </w:rPr>
      </w:pPr>
      <w:r w:rsidRPr="002B6F1B">
        <w:rPr>
          <w:rFonts w:eastAsia="Calibri" w:cstheme="minorHAnsi"/>
          <w:color w:val="000000" w:themeColor="text1"/>
        </w:rPr>
        <w:t>A “contract of employment” means a contract of service or apprenticeship, whether express or implied, and (if it is express) whether oral or in writing (</w:t>
      </w:r>
      <w:r w:rsidR="2AF70972" w:rsidRPr="002B6F1B">
        <w:rPr>
          <w:rFonts w:eastAsia="Calibri" w:cstheme="minorHAnsi"/>
          <w:i/>
          <w:iCs/>
          <w:color w:val="000000" w:themeColor="text1"/>
        </w:rPr>
        <w:t>Employment Rights Act 1996</w:t>
      </w:r>
      <w:r w:rsidRPr="002B6F1B">
        <w:rPr>
          <w:rFonts w:eastAsia="Calibri" w:cstheme="minorHAnsi"/>
          <w:color w:val="000000" w:themeColor="text1"/>
        </w:rPr>
        <w:t>). It is a legal document that explains the employment relationship. Express terms and implied terms are within the contract of employment. Terms that the employer and employee discuss and agree upon are express terms. However, they cannot diminish statutory rights</w:t>
      </w:r>
      <w:r w:rsidR="37DF79DD" w:rsidRPr="002B6F1B">
        <w:rPr>
          <w:rFonts w:eastAsia="Calibri" w:cstheme="minorHAnsi"/>
          <w:color w:val="000000" w:themeColor="text1"/>
        </w:rPr>
        <w:t>,</w:t>
      </w:r>
      <w:r w:rsidRPr="002B6F1B">
        <w:rPr>
          <w:rFonts w:eastAsia="Calibri" w:cstheme="minorHAnsi"/>
          <w:color w:val="000000" w:themeColor="text1"/>
        </w:rPr>
        <w:t xml:space="preserve"> so they do not hold up court against these. Implied terms can come from collective agreements, statute, custom and practice, the courts and work rules but have not been agreed between the employer and employee (Daniels, 2019, p. 46).</w:t>
      </w:r>
    </w:p>
    <w:p w14:paraId="61125396" w14:textId="13808868" w:rsidR="00B5575A" w:rsidRPr="002B6F1B" w:rsidRDefault="07874C00">
      <w:pPr>
        <w:rPr>
          <w:rFonts w:cstheme="minorHAnsi"/>
        </w:rPr>
      </w:pPr>
      <w:r w:rsidRPr="002B6F1B">
        <w:rPr>
          <w:rFonts w:eastAsia="Calibri" w:cstheme="minorHAnsi"/>
          <w:color w:val="000000" w:themeColor="text1"/>
        </w:rPr>
        <w:t>Employees who work for an employer for one month have a right to receive their initial employment particulars in writing within two months of their employment (Daniels, 2019, p. 46).</w:t>
      </w:r>
      <w:r w:rsidRPr="002B6F1B">
        <w:rPr>
          <w:rFonts w:eastAsia="Calibri" w:cstheme="minorHAnsi"/>
          <w:color w:val="00FF00"/>
        </w:rPr>
        <w:t xml:space="preserve"> </w:t>
      </w:r>
      <w:r w:rsidRPr="002B6F1B">
        <w:rPr>
          <w:rFonts w:eastAsia="Calibri" w:cstheme="minorHAnsi"/>
          <w:color w:val="000000" w:themeColor="text1"/>
        </w:rPr>
        <w:t xml:space="preserve">These </w:t>
      </w:r>
      <w:proofErr w:type="gramStart"/>
      <w:r w:rsidRPr="002B6F1B">
        <w:rPr>
          <w:rFonts w:eastAsia="Calibri" w:cstheme="minorHAnsi"/>
          <w:color w:val="000000" w:themeColor="text1"/>
        </w:rPr>
        <w:t>include  job</w:t>
      </w:r>
      <w:proofErr w:type="gramEnd"/>
      <w:r w:rsidRPr="002B6F1B">
        <w:rPr>
          <w:rFonts w:eastAsia="Calibri" w:cstheme="minorHAnsi"/>
          <w:color w:val="000000" w:themeColor="text1"/>
        </w:rPr>
        <w:t xml:space="preserve"> information, payment, holidays, pension scheme, disciplinary rules </w:t>
      </w:r>
      <w:r w:rsidRPr="002B6F1B">
        <w:rPr>
          <w:rFonts w:eastAsia="Calibri" w:cstheme="minorHAnsi"/>
        </w:rPr>
        <w:t>to name a few and are requirements of the Employment Rights</w:t>
      </w:r>
      <w:r w:rsidRPr="002B6F1B">
        <w:rPr>
          <w:rFonts w:eastAsia="Calibri" w:cstheme="minorHAnsi"/>
          <w:color w:val="FF0000"/>
        </w:rPr>
        <w:t xml:space="preserve"> </w:t>
      </w:r>
      <w:r w:rsidRPr="002B6F1B">
        <w:rPr>
          <w:rFonts w:eastAsia="Calibri" w:cstheme="minorHAnsi"/>
          <w:color w:val="000000" w:themeColor="text1"/>
        </w:rPr>
        <w:t xml:space="preserve">Act 1996 (Daniels, 2019, pp. 46-47). This is not the full contract of employment and the employee does not have to sign the statement by law. This is only what the employer expects so there is no official agreement but if the employee follows these </w:t>
      </w:r>
      <w:proofErr w:type="gramStart"/>
      <w:r w:rsidRPr="002B6F1B">
        <w:rPr>
          <w:rFonts w:eastAsia="Calibri" w:cstheme="minorHAnsi"/>
          <w:color w:val="000000" w:themeColor="text1"/>
        </w:rPr>
        <w:t>statements</w:t>
      </w:r>
      <w:proofErr w:type="gramEnd"/>
      <w:r w:rsidRPr="002B6F1B">
        <w:rPr>
          <w:rFonts w:eastAsia="Calibri" w:cstheme="minorHAnsi"/>
          <w:color w:val="000000" w:themeColor="text1"/>
        </w:rPr>
        <w:t xml:space="preserve"> then it can be argued that they have contractual effect because they have not been challenged (Daniels, 2019, p. 48).</w:t>
      </w:r>
    </w:p>
    <w:p w14:paraId="6F6C9A7B" w14:textId="4F3367DA" w:rsidR="34A4786C" w:rsidRPr="002B6F1B" w:rsidRDefault="34A4786C" w:rsidP="34A4786C">
      <w:pPr>
        <w:rPr>
          <w:rFonts w:eastAsia="Calibri" w:cstheme="minorHAnsi"/>
          <w:color w:val="000000" w:themeColor="text1"/>
        </w:rPr>
      </w:pPr>
    </w:p>
    <w:p w14:paraId="678FF012" w14:textId="1784C8F1" w:rsidR="34A4786C" w:rsidRPr="002B6F1B" w:rsidRDefault="34A4786C" w:rsidP="34A4786C">
      <w:pPr>
        <w:rPr>
          <w:rFonts w:eastAsia="Calibri" w:cstheme="minorHAnsi"/>
          <w:color w:val="000000" w:themeColor="text1"/>
        </w:rPr>
      </w:pPr>
    </w:p>
    <w:p w14:paraId="6F74F371" w14:textId="06B05423" w:rsidR="34A4786C" w:rsidRPr="002B6F1B" w:rsidRDefault="34A4786C" w:rsidP="34A4786C">
      <w:pPr>
        <w:rPr>
          <w:rFonts w:eastAsia="Calibri" w:cstheme="minorHAnsi"/>
          <w:color w:val="000000" w:themeColor="text1"/>
        </w:rPr>
      </w:pPr>
    </w:p>
    <w:p w14:paraId="2EC64196" w14:textId="4971A55A" w:rsidR="34A4786C" w:rsidRPr="002B6F1B" w:rsidRDefault="34A4786C" w:rsidP="34A4786C">
      <w:pPr>
        <w:rPr>
          <w:rFonts w:eastAsia="Calibri" w:cstheme="minorHAnsi"/>
          <w:color w:val="000000" w:themeColor="text1"/>
        </w:rPr>
      </w:pPr>
    </w:p>
    <w:p w14:paraId="040C691A" w14:textId="4F6C0B0C" w:rsidR="34A4786C" w:rsidRPr="002B6F1B" w:rsidRDefault="34A4786C" w:rsidP="34A4786C">
      <w:pPr>
        <w:rPr>
          <w:rFonts w:eastAsia="Calibri" w:cstheme="minorHAnsi"/>
          <w:color w:val="000000" w:themeColor="text1"/>
        </w:rPr>
      </w:pPr>
    </w:p>
    <w:p w14:paraId="3FCA922F" w14:textId="73915C0B" w:rsidR="34A4786C" w:rsidRPr="002B6F1B" w:rsidRDefault="34A4786C" w:rsidP="34A4786C">
      <w:pPr>
        <w:rPr>
          <w:rFonts w:eastAsia="Calibri" w:cstheme="minorHAnsi"/>
          <w:color w:val="000000" w:themeColor="text1"/>
        </w:rPr>
      </w:pPr>
    </w:p>
    <w:p w14:paraId="249FE54C" w14:textId="64D14018" w:rsidR="34A4786C" w:rsidRPr="002B6F1B" w:rsidRDefault="34A4786C" w:rsidP="34A4786C">
      <w:pPr>
        <w:rPr>
          <w:rFonts w:eastAsia="Calibri" w:cstheme="minorHAnsi"/>
          <w:color w:val="000000" w:themeColor="text1"/>
        </w:rPr>
      </w:pPr>
    </w:p>
    <w:p w14:paraId="4A94BE79" w14:textId="77777777" w:rsidR="002B6F1B" w:rsidRPr="002B6F1B" w:rsidRDefault="002B6F1B" w:rsidP="34A4786C">
      <w:pPr>
        <w:rPr>
          <w:rFonts w:eastAsia="Calibri" w:cstheme="minorHAnsi"/>
          <w:color w:val="000000" w:themeColor="text1"/>
        </w:rPr>
      </w:pPr>
    </w:p>
    <w:p w14:paraId="16A66D72" w14:textId="1482E09D" w:rsidR="00B5575A" w:rsidRPr="002B6F1B" w:rsidRDefault="07874C00" w:rsidP="17B2E3D6">
      <w:pPr>
        <w:pStyle w:val="Heading2"/>
        <w:rPr>
          <w:rFonts w:asciiTheme="minorHAnsi" w:eastAsiaTheme="minorEastAsia" w:hAnsiTheme="minorHAnsi" w:cstheme="minorHAnsi"/>
          <w:color w:val="000000" w:themeColor="text1"/>
          <w:sz w:val="32"/>
          <w:szCs w:val="32"/>
        </w:rPr>
      </w:pPr>
      <w:r w:rsidRPr="002B6F1B">
        <w:rPr>
          <w:rFonts w:asciiTheme="minorHAnsi" w:eastAsiaTheme="minorEastAsia" w:hAnsiTheme="minorHAnsi" w:cstheme="minorHAnsi"/>
          <w:color w:val="000000" w:themeColor="text1"/>
          <w:sz w:val="32"/>
          <w:szCs w:val="32"/>
        </w:rPr>
        <w:lastRenderedPageBreak/>
        <w:t>Source of Implied Terms</w:t>
      </w:r>
    </w:p>
    <w:tbl>
      <w:tblPr>
        <w:tblStyle w:val="TableGrid"/>
        <w:tblW w:w="10583" w:type="dxa"/>
        <w:tblLayout w:type="fixed"/>
        <w:tblLook w:val="06A0" w:firstRow="1" w:lastRow="0" w:firstColumn="1" w:lastColumn="0" w:noHBand="1" w:noVBand="1"/>
      </w:tblPr>
      <w:tblGrid>
        <w:gridCol w:w="4508"/>
        <w:gridCol w:w="6075"/>
      </w:tblGrid>
      <w:tr w:rsidR="556C60E6" w:rsidRPr="002B6F1B" w14:paraId="5A6E1808"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9DAF8"/>
          </w:tcPr>
          <w:p w14:paraId="7B8E4A3D" w14:textId="2FE05ACC" w:rsidR="556C60E6" w:rsidRPr="002B6F1B" w:rsidRDefault="556C60E6">
            <w:pPr>
              <w:rPr>
                <w:rFonts w:cstheme="minorHAnsi"/>
              </w:rPr>
            </w:pPr>
            <w:r w:rsidRPr="002B6F1B">
              <w:rPr>
                <w:rFonts w:eastAsia="Arial" w:cstheme="minorHAnsi"/>
                <w:b/>
                <w:bCs/>
                <w:color w:val="000000" w:themeColor="text1"/>
              </w:rPr>
              <w:t>Term</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9DAF8"/>
          </w:tcPr>
          <w:p w14:paraId="2E661C43" w14:textId="3EB27B88" w:rsidR="556C60E6" w:rsidRPr="002B6F1B" w:rsidRDefault="556C60E6">
            <w:pPr>
              <w:rPr>
                <w:rFonts w:cstheme="minorHAnsi"/>
              </w:rPr>
            </w:pPr>
            <w:r w:rsidRPr="002B6F1B">
              <w:rPr>
                <w:rFonts w:eastAsia="Arial" w:cstheme="minorHAnsi"/>
                <w:b/>
                <w:bCs/>
                <w:color w:val="000000" w:themeColor="text1"/>
              </w:rPr>
              <w:t>Definition</w:t>
            </w:r>
          </w:p>
        </w:tc>
      </w:tr>
      <w:tr w:rsidR="556C60E6" w:rsidRPr="002B6F1B" w14:paraId="5091BC3D"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F94EC9" w14:textId="3EC30B1E" w:rsidR="556C60E6" w:rsidRPr="002B6F1B" w:rsidRDefault="556C60E6">
            <w:pPr>
              <w:rPr>
                <w:rFonts w:cstheme="minorHAnsi"/>
              </w:rPr>
            </w:pPr>
            <w:r w:rsidRPr="002B6F1B">
              <w:rPr>
                <w:rFonts w:eastAsia="Arial" w:cstheme="minorHAnsi"/>
                <w:color w:val="000000" w:themeColor="text1"/>
              </w:rPr>
              <w:t>Collective Agreements</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5ED2AD" w14:textId="1BE18198" w:rsidR="556C60E6" w:rsidRPr="002B6F1B" w:rsidRDefault="556C60E6">
            <w:pPr>
              <w:rPr>
                <w:rFonts w:cstheme="minorHAnsi"/>
              </w:rPr>
            </w:pPr>
            <w:r w:rsidRPr="002B6F1B">
              <w:rPr>
                <w:rFonts w:eastAsia="Arial" w:cstheme="minorHAnsi"/>
                <w:color w:val="000000" w:themeColor="text1"/>
              </w:rPr>
              <w:t>A collective bargaining process between the employer and the employee’s trade union. Part of the contract of employment by either express incorporation where there is a clear statement of the agreement between the employer and employee to follow the collective agreement or implied corporation where the employer and employee have always followed the collective agreement so it can be assumed that they agree to be bound to it. More likely to be challenged than an expressed incorporation (Daniels, 2019, p. 49).</w:t>
            </w:r>
          </w:p>
        </w:tc>
      </w:tr>
      <w:tr w:rsidR="556C60E6" w:rsidRPr="002B6F1B" w14:paraId="7C3F54ED"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93BE3CD" w14:textId="414417AB" w:rsidR="556C60E6" w:rsidRPr="002B6F1B" w:rsidRDefault="556C60E6">
            <w:pPr>
              <w:rPr>
                <w:rFonts w:cstheme="minorHAnsi"/>
              </w:rPr>
            </w:pPr>
            <w:r w:rsidRPr="002B6F1B">
              <w:rPr>
                <w:rFonts w:eastAsia="Arial" w:cstheme="minorHAnsi"/>
                <w:color w:val="000000" w:themeColor="text1"/>
              </w:rPr>
              <w:t xml:space="preserve">Statute </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C7DC4F" w14:textId="02E77BE9" w:rsidR="556C60E6" w:rsidRPr="002B6F1B" w:rsidRDefault="556C60E6">
            <w:pPr>
              <w:rPr>
                <w:rFonts w:cstheme="minorHAnsi"/>
              </w:rPr>
            </w:pPr>
            <w:r w:rsidRPr="002B6F1B">
              <w:rPr>
                <w:rFonts w:eastAsia="Arial" w:cstheme="minorHAnsi"/>
                <w:color w:val="000000" w:themeColor="text1"/>
              </w:rPr>
              <w:t xml:space="preserve">Parts of the contract of employment and overrule statements that go against them. For example, the National Minimum Wage Act 1998. Another source is custom and practice. Issues such has the length of time the practice has been going on for, whether management has brought the policy regarding the practice to the </w:t>
            </w:r>
            <w:proofErr w:type="gramStart"/>
            <w:r w:rsidRPr="002B6F1B">
              <w:rPr>
                <w:rFonts w:eastAsia="Arial" w:cstheme="minorHAnsi"/>
                <w:color w:val="000000" w:themeColor="text1"/>
              </w:rPr>
              <w:t>employees</w:t>
            </w:r>
            <w:proofErr w:type="gramEnd"/>
            <w:r w:rsidRPr="002B6F1B">
              <w:rPr>
                <w:rFonts w:eastAsia="Arial" w:cstheme="minorHAnsi"/>
                <w:color w:val="000000" w:themeColor="text1"/>
              </w:rPr>
              <w:t xml:space="preserve"> attention and if there is evidence the both the employer and employee made the intention for the practice to be a part of the contract of employment, need to be looked at (Daniels, 2019, p. 50).</w:t>
            </w:r>
          </w:p>
        </w:tc>
      </w:tr>
      <w:tr w:rsidR="556C60E6" w:rsidRPr="002B6F1B" w14:paraId="329B643D"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60B7D3" w14:textId="4B7E79F7" w:rsidR="556C60E6" w:rsidRPr="002B6F1B" w:rsidRDefault="556C60E6">
            <w:pPr>
              <w:rPr>
                <w:rFonts w:cstheme="minorHAnsi"/>
              </w:rPr>
            </w:pPr>
            <w:r w:rsidRPr="002B6F1B">
              <w:rPr>
                <w:rFonts w:eastAsia="Arial" w:cstheme="minorHAnsi"/>
                <w:color w:val="000000" w:themeColor="text1"/>
              </w:rPr>
              <w:t>The Courts</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1B43C7" w14:textId="73997CBF" w:rsidR="556C60E6" w:rsidRPr="002B6F1B" w:rsidRDefault="556C60E6">
            <w:pPr>
              <w:rPr>
                <w:rFonts w:cstheme="minorHAnsi"/>
              </w:rPr>
            </w:pPr>
            <w:r w:rsidRPr="002B6F1B">
              <w:rPr>
                <w:rFonts w:eastAsia="Arial" w:cstheme="minorHAnsi"/>
                <w:color w:val="000000" w:themeColor="text1"/>
              </w:rPr>
              <w:t xml:space="preserve">The employment relationship is looked at to see if there is evidence that both parties agreed to the term under question. They will also look to see if the implied term is reasonable, </w:t>
            </w:r>
            <w:r w:rsidR="002B6F1B" w:rsidRPr="002B6F1B">
              <w:rPr>
                <w:rFonts w:eastAsia="Arial" w:cstheme="minorHAnsi"/>
                <w:color w:val="000000" w:themeColor="text1"/>
              </w:rPr>
              <w:t>necessary,</w:t>
            </w:r>
            <w:r w:rsidRPr="002B6F1B">
              <w:rPr>
                <w:rFonts w:eastAsia="Arial" w:cstheme="minorHAnsi"/>
                <w:color w:val="000000" w:themeColor="text1"/>
              </w:rPr>
              <w:t xml:space="preserve"> or beneficial to the contract of employment. Another source is work rules. Organisations have rules for their employees such as, no smoking on site. If the rule is expressly incorporated in a contract of </w:t>
            </w:r>
            <w:r w:rsidR="002B6F1B" w:rsidRPr="002B6F1B">
              <w:rPr>
                <w:rFonts w:eastAsia="Arial" w:cstheme="minorHAnsi"/>
                <w:color w:val="000000" w:themeColor="text1"/>
              </w:rPr>
              <w:t>employment,</w:t>
            </w:r>
            <w:r w:rsidRPr="002B6F1B">
              <w:rPr>
                <w:rFonts w:eastAsia="Arial" w:cstheme="minorHAnsi"/>
                <w:color w:val="000000" w:themeColor="text1"/>
              </w:rPr>
              <w:t xml:space="preserve"> then </w:t>
            </w:r>
            <w:proofErr w:type="gramStart"/>
            <w:r w:rsidRPr="002B6F1B">
              <w:rPr>
                <w:rFonts w:eastAsia="Arial" w:cstheme="minorHAnsi"/>
                <w:color w:val="000000" w:themeColor="text1"/>
              </w:rPr>
              <w:t>it’s</w:t>
            </w:r>
            <w:proofErr w:type="gramEnd"/>
            <w:r w:rsidRPr="002B6F1B">
              <w:rPr>
                <w:rFonts w:eastAsia="Arial" w:cstheme="minorHAnsi"/>
                <w:color w:val="000000" w:themeColor="text1"/>
              </w:rPr>
              <w:t xml:space="preserve"> contractual. If </w:t>
            </w:r>
            <w:proofErr w:type="gramStart"/>
            <w:r w:rsidRPr="002B6F1B">
              <w:rPr>
                <w:rFonts w:eastAsia="Arial" w:cstheme="minorHAnsi"/>
                <w:color w:val="000000" w:themeColor="text1"/>
              </w:rPr>
              <w:t>it’s</w:t>
            </w:r>
            <w:proofErr w:type="gramEnd"/>
            <w:r w:rsidRPr="002B6F1B">
              <w:rPr>
                <w:rFonts w:eastAsia="Arial" w:cstheme="minorHAnsi"/>
                <w:color w:val="000000" w:themeColor="text1"/>
              </w:rPr>
              <w:t xml:space="preserve"> just included in the rules and not in contractual documents then it’s not contractual (Daniels, 2019, p. 52).</w:t>
            </w:r>
          </w:p>
        </w:tc>
      </w:tr>
      <w:tr w:rsidR="556C60E6" w:rsidRPr="002B6F1B" w14:paraId="29EDB7CF" w14:textId="77777777" w:rsidTr="34A4786C">
        <w:tc>
          <w:tcPr>
            <w:tcW w:w="4508"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8AE147" w14:textId="2A0761D2" w:rsidR="556C60E6" w:rsidRPr="002B6F1B" w:rsidRDefault="556C60E6">
            <w:pPr>
              <w:rPr>
                <w:rFonts w:cstheme="minorHAnsi"/>
              </w:rPr>
            </w:pPr>
            <w:r w:rsidRPr="002B6F1B">
              <w:rPr>
                <w:rFonts w:eastAsia="Arial" w:cstheme="minorHAnsi"/>
                <w:color w:val="000000" w:themeColor="text1"/>
              </w:rPr>
              <w:t xml:space="preserve">Lawful </w:t>
            </w:r>
            <w:r w:rsidR="362E4902" w:rsidRPr="002B6F1B">
              <w:rPr>
                <w:rFonts w:eastAsia="Arial" w:cstheme="minorHAnsi"/>
                <w:color w:val="000000" w:themeColor="text1"/>
              </w:rPr>
              <w:t>O</w:t>
            </w:r>
            <w:r w:rsidRPr="002B6F1B">
              <w:rPr>
                <w:rFonts w:eastAsia="Arial" w:cstheme="minorHAnsi"/>
                <w:color w:val="000000" w:themeColor="text1"/>
              </w:rPr>
              <w:t>bligations</w:t>
            </w:r>
          </w:p>
        </w:tc>
        <w:tc>
          <w:tcPr>
            <w:tcW w:w="607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090869D" w14:textId="157B6B6C" w:rsidR="556C60E6" w:rsidRPr="002B6F1B" w:rsidRDefault="556C60E6">
            <w:pPr>
              <w:rPr>
                <w:rFonts w:cstheme="minorHAnsi"/>
              </w:rPr>
            </w:pPr>
            <w:r w:rsidRPr="002B6F1B">
              <w:rPr>
                <w:rFonts w:eastAsia="Arial" w:cstheme="minorHAnsi"/>
                <w:color w:val="000000" w:themeColor="text1"/>
              </w:rPr>
              <w:t xml:space="preserve">implied in the contract of employment. Duties of the employer include wages, provide work, non-misleading references, health and safety, indemnify employees against liabilities, bring matters to the </w:t>
            </w:r>
            <w:proofErr w:type="gramStart"/>
            <w:r w:rsidRPr="002B6F1B">
              <w:rPr>
                <w:rFonts w:eastAsia="Arial" w:cstheme="minorHAnsi"/>
                <w:color w:val="000000" w:themeColor="text1"/>
              </w:rPr>
              <w:t>employees</w:t>
            </w:r>
            <w:proofErr w:type="gramEnd"/>
            <w:r w:rsidRPr="002B6F1B">
              <w:rPr>
                <w:rFonts w:eastAsia="Arial" w:cstheme="minorHAnsi"/>
                <w:color w:val="000000" w:themeColor="text1"/>
              </w:rPr>
              <w:t xml:space="preserve"> attention, give effective support against bullying, respect privacy, deal with grievances and not damage the relationship of trust and confidence. Duties of the employee include obeying all reasonable instructions, cooperating with employer, duty of fidelity and take reasonable care in their duties (Daniels, 2019, pp. 52-57).</w:t>
            </w:r>
          </w:p>
        </w:tc>
      </w:tr>
    </w:tbl>
    <w:p w14:paraId="5BE32062" w14:textId="54684D57" w:rsidR="00B5575A" w:rsidRPr="002B6F1B" w:rsidRDefault="00F1626E">
      <w:pPr>
        <w:rPr>
          <w:rFonts w:cstheme="minorHAnsi"/>
        </w:rPr>
      </w:pPr>
      <w:r w:rsidRPr="002B6F1B">
        <w:rPr>
          <w:rFonts w:cstheme="minorHAnsi"/>
        </w:rPr>
        <w:br/>
      </w:r>
    </w:p>
    <w:p w14:paraId="570F7A18" w14:textId="2FD0FC88" w:rsidR="00B5575A" w:rsidRPr="002B6F1B" w:rsidRDefault="07874C00">
      <w:pPr>
        <w:rPr>
          <w:rFonts w:cstheme="minorHAnsi"/>
        </w:rPr>
      </w:pPr>
      <w:r w:rsidRPr="002B6F1B">
        <w:rPr>
          <w:rFonts w:eastAsia="Calibri" w:cstheme="minorHAnsi"/>
          <w:color w:val="000000" w:themeColor="text1"/>
        </w:rPr>
        <w:t xml:space="preserve">For a contract of employment to exist the following conditions must be in place: an unconditional offer, an unconditional acceptance of the offer, an intention to form a legal relationship, </w:t>
      </w:r>
      <w:r w:rsidR="002B6F1B" w:rsidRPr="002B6F1B">
        <w:rPr>
          <w:rFonts w:eastAsia="Calibri" w:cstheme="minorHAnsi"/>
          <w:color w:val="000000" w:themeColor="text1"/>
        </w:rPr>
        <w:t>consideration,</w:t>
      </w:r>
      <w:r w:rsidRPr="002B6F1B">
        <w:rPr>
          <w:rFonts w:eastAsia="Calibri" w:cstheme="minorHAnsi"/>
          <w:color w:val="000000" w:themeColor="text1"/>
        </w:rPr>
        <w:t xml:space="preserve"> and certainty. Other regulatory restrictions include protecting minors, ensuring that the contract is not ‘tainted by illegality’, and that the contract of employment is formed with both parties being ‘of sound mind’ (Taylor and </w:t>
      </w:r>
      <w:proofErr w:type="spellStart"/>
      <w:r w:rsidRPr="002B6F1B">
        <w:rPr>
          <w:rFonts w:eastAsia="Calibri" w:cstheme="minorHAnsi"/>
          <w:color w:val="000000" w:themeColor="text1"/>
        </w:rPr>
        <w:t>Wilkison</w:t>
      </w:r>
      <w:proofErr w:type="spellEnd"/>
      <w:r w:rsidRPr="002B6F1B">
        <w:rPr>
          <w:rFonts w:eastAsia="Calibri" w:cstheme="minorHAnsi"/>
          <w:color w:val="000000" w:themeColor="text1"/>
        </w:rPr>
        <w:t>, 2016, p. 31).</w:t>
      </w:r>
    </w:p>
    <w:p w14:paraId="688938BA" w14:textId="265CC49E" w:rsidR="17B2E3D6" w:rsidRPr="002B6F1B" w:rsidRDefault="17B2E3D6" w:rsidP="34A4786C">
      <w:pPr>
        <w:rPr>
          <w:rFonts w:eastAsia="Calibri" w:cstheme="minorHAnsi"/>
          <w:color w:val="000000" w:themeColor="text1"/>
        </w:rPr>
      </w:pPr>
    </w:p>
    <w:p w14:paraId="612DE9F3" w14:textId="475BF50F" w:rsidR="34A4786C" w:rsidRPr="002B6F1B" w:rsidRDefault="34A4786C" w:rsidP="34A4786C">
      <w:pPr>
        <w:rPr>
          <w:rFonts w:eastAsia="Calibri" w:cstheme="minorHAnsi"/>
          <w:color w:val="000000" w:themeColor="text1"/>
        </w:rPr>
      </w:pPr>
    </w:p>
    <w:p w14:paraId="2DD516C5" w14:textId="62D740A2" w:rsidR="002B6F1B" w:rsidRPr="002B6F1B" w:rsidRDefault="002B6F1B" w:rsidP="34A4786C">
      <w:pPr>
        <w:rPr>
          <w:rFonts w:eastAsia="Calibri" w:cstheme="minorHAnsi"/>
          <w:color w:val="000000" w:themeColor="text1"/>
        </w:rPr>
      </w:pPr>
    </w:p>
    <w:p w14:paraId="76D7621C" w14:textId="3FDBD584" w:rsidR="002B6F1B" w:rsidRPr="002B6F1B" w:rsidRDefault="002B6F1B" w:rsidP="34A4786C">
      <w:pPr>
        <w:rPr>
          <w:rFonts w:eastAsia="Calibri" w:cstheme="minorHAnsi"/>
          <w:color w:val="000000" w:themeColor="text1"/>
        </w:rPr>
      </w:pPr>
    </w:p>
    <w:p w14:paraId="6F9B00D7" w14:textId="6253B088" w:rsidR="002B6F1B" w:rsidRDefault="002B6F1B" w:rsidP="34A4786C">
      <w:pPr>
        <w:rPr>
          <w:rFonts w:eastAsia="Calibri" w:cstheme="minorHAnsi"/>
          <w:color w:val="000000" w:themeColor="text1"/>
        </w:rPr>
      </w:pPr>
    </w:p>
    <w:p w14:paraId="3FA84911" w14:textId="77777777" w:rsidR="002B6F1B" w:rsidRPr="002B6F1B" w:rsidRDefault="002B6F1B" w:rsidP="34A4786C">
      <w:pPr>
        <w:rPr>
          <w:rFonts w:eastAsia="Calibri" w:cstheme="minorHAnsi"/>
          <w:color w:val="000000" w:themeColor="text1"/>
        </w:rPr>
      </w:pPr>
    </w:p>
    <w:p w14:paraId="3A0593D2" w14:textId="16635947" w:rsidR="17B2E3D6" w:rsidRPr="002B6F1B" w:rsidRDefault="10BCCF23" w:rsidP="6225F5D5">
      <w:pPr>
        <w:spacing w:line="257" w:lineRule="auto"/>
        <w:rPr>
          <w:rFonts w:cstheme="minorHAnsi"/>
        </w:rPr>
      </w:pPr>
      <w:r w:rsidRPr="002B6F1B">
        <w:rPr>
          <w:rFonts w:eastAsia="Calibri" w:cstheme="minorHAnsi"/>
          <w:b/>
          <w:bCs/>
          <w:color w:val="000000" w:themeColor="text1"/>
          <w:u w:val="single"/>
        </w:rPr>
        <w:lastRenderedPageBreak/>
        <w:t xml:space="preserve">3. An organisation is planning a major reorganisation which will involve moving some staff to other sites and outsourcing a major function to a sub-contractor. (a) Outline when and how contracts can be changed lawfully (b) </w:t>
      </w:r>
      <w:proofErr w:type="gramStart"/>
      <w:r w:rsidRPr="002B6F1B">
        <w:rPr>
          <w:rFonts w:eastAsia="Calibri" w:cstheme="minorHAnsi"/>
          <w:b/>
          <w:bCs/>
          <w:color w:val="000000" w:themeColor="text1"/>
          <w:u w:val="single"/>
        </w:rPr>
        <w:t>Explain briefly</w:t>
      </w:r>
      <w:proofErr w:type="gramEnd"/>
      <w:r w:rsidRPr="002B6F1B">
        <w:rPr>
          <w:rFonts w:eastAsia="Calibri" w:cstheme="minorHAnsi"/>
          <w:b/>
          <w:bCs/>
          <w:color w:val="000000" w:themeColor="text1"/>
          <w:u w:val="single"/>
        </w:rPr>
        <w:t xml:space="preserve"> the main requirements of redundancy law (c) Summarise the main requirements of the law on business transfers.</w:t>
      </w:r>
    </w:p>
    <w:p w14:paraId="55DF4A38" w14:textId="61929A28" w:rsidR="17B2E3D6" w:rsidRPr="002B6F1B" w:rsidRDefault="10BCCF23" w:rsidP="6225F5D5">
      <w:pPr>
        <w:spacing w:line="257" w:lineRule="auto"/>
        <w:rPr>
          <w:rFonts w:cstheme="minorHAnsi"/>
        </w:rPr>
      </w:pPr>
      <w:r w:rsidRPr="002B6F1B">
        <w:rPr>
          <w:rFonts w:eastAsia="Calibri" w:cstheme="minorHAnsi"/>
          <w:color w:val="000000" w:themeColor="text1"/>
        </w:rPr>
        <w:t>A contract of employment is legally binding so an employer cannot change any terms unilaterally. Flexibility clauses can be included to meet business needs. The employer can suggest a contractual change and if they receive no challenges from the employee the law can assume the change has been accepted through practice. The employer and trade union can debate contractual changes if it goes against a collective agreement within the contract of employment. They can dismiss staff and rehire them instantly with new terms. A breach for contract claim can only be made if there has been a genuine detriment has been suffered (Taylor and Wilkinson, 2016, p. 32).</w:t>
      </w:r>
    </w:p>
    <w:p w14:paraId="67F2752E" w14:textId="287C3AC8" w:rsidR="34A4786C" w:rsidRPr="002B6F1B" w:rsidRDefault="10BCCF23" w:rsidP="34A4786C">
      <w:pPr>
        <w:spacing w:line="257" w:lineRule="auto"/>
        <w:rPr>
          <w:rFonts w:cstheme="minorHAnsi"/>
        </w:rPr>
      </w:pPr>
      <w:r w:rsidRPr="002B6F1B">
        <w:rPr>
          <w:rFonts w:eastAsia="Calibri" w:cstheme="minorHAnsi"/>
          <w:color w:val="000000" w:themeColor="text1"/>
        </w:rPr>
        <w:t>Breach of contract resignations can be considered a constructive dismissal if the employer is in breach of contract through their action and if the employer breaches a core term of the contract. Resignations must be from response of breach and not delayed (Taylor and Wilkinson, 2016, p. 33). The last straw doctrine can be followed where the claimant can bring up previous acts of the employer that lead to the final act being the last straw (Moss, 2020).</w:t>
      </w:r>
    </w:p>
    <w:p w14:paraId="6D24C0A0" w14:textId="3E9C4718" w:rsidR="17B2E3D6" w:rsidRPr="002B6F1B" w:rsidRDefault="10BCCF23" w:rsidP="6225F5D5">
      <w:pPr>
        <w:spacing w:line="257" w:lineRule="auto"/>
        <w:rPr>
          <w:rFonts w:cstheme="minorHAnsi"/>
        </w:rPr>
      </w:pPr>
      <w:r w:rsidRPr="002B6F1B">
        <w:rPr>
          <w:rFonts w:eastAsia="Calibri" w:cstheme="minorHAnsi"/>
          <w:color w:val="000000" w:themeColor="text1"/>
        </w:rPr>
        <w:t xml:space="preserve">Employees with two years’ service can receive severance payment if they are made redundant. Redundancy is a result of reducing the </w:t>
      </w:r>
      <w:r w:rsidR="002B6F1B" w:rsidRPr="002B6F1B">
        <w:rPr>
          <w:rFonts w:eastAsia="Calibri" w:cstheme="minorHAnsi"/>
          <w:color w:val="000000" w:themeColor="text1"/>
        </w:rPr>
        <w:t>number</w:t>
      </w:r>
      <w:r w:rsidRPr="002B6F1B">
        <w:rPr>
          <w:rFonts w:eastAsia="Calibri" w:cstheme="minorHAnsi"/>
          <w:color w:val="000000" w:themeColor="text1"/>
        </w:rPr>
        <w:t xml:space="preserve"> of staff in an organisation for economic reasons (Taylor and Wilkinson, 2016, p. 33).</w:t>
      </w:r>
    </w:p>
    <w:p w14:paraId="5A3192DD" w14:textId="6B6D853D" w:rsidR="17B2E3D6" w:rsidRPr="002B6F1B" w:rsidRDefault="10BCCF23" w:rsidP="6225F5D5">
      <w:pPr>
        <w:spacing w:line="257" w:lineRule="auto"/>
        <w:rPr>
          <w:rFonts w:cstheme="minorHAnsi"/>
        </w:rPr>
      </w:pPr>
      <w:r w:rsidRPr="002B6F1B">
        <w:rPr>
          <w:rFonts w:eastAsia="Calibri" w:cstheme="minorHAnsi"/>
          <w:color w:val="000000" w:themeColor="text1"/>
        </w:rPr>
        <w:t>According to the Employment Rights Act 1996, an employee who has been dismissed is considered redundant if the employer ceased/intends to cease the business for the purposes that the employee was employed or to carry out the business in the place where the employees are employed. Also, if the employee is no longer</w:t>
      </w:r>
      <w:r w:rsidRPr="002B6F1B">
        <w:rPr>
          <w:rFonts w:eastAsia="Calibri" w:cstheme="minorHAnsi"/>
        </w:rPr>
        <w:t xml:space="preserve"> </w:t>
      </w:r>
      <w:r w:rsidRPr="002B6F1B">
        <w:rPr>
          <w:rFonts w:eastAsia="Calibri" w:cstheme="minorHAnsi"/>
          <w:color w:val="000000" w:themeColor="text1"/>
        </w:rPr>
        <w:t xml:space="preserve">expected </w:t>
      </w:r>
      <w:r w:rsidRPr="002B6F1B">
        <w:rPr>
          <w:rFonts w:eastAsia="Calibri" w:cstheme="minorHAnsi"/>
        </w:rPr>
        <w:t>to</w:t>
      </w:r>
      <w:r w:rsidRPr="002B6F1B">
        <w:rPr>
          <w:rFonts w:eastAsia="Calibri" w:cstheme="minorHAnsi"/>
          <w:color w:val="000000" w:themeColor="text1"/>
        </w:rPr>
        <w:t xml:space="preserve"> carry out their work to the requirements of the business or carry out their work in the place of employment. </w:t>
      </w:r>
    </w:p>
    <w:p w14:paraId="34A92E4D" w14:textId="3B451226" w:rsidR="17B2E3D6" w:rsidRPr="002B6F1B" w:rsidRDefault="10BCCF23" w:rsidP="6225F5D5">
      <w:pPr>
        <w:spacing w:line="257" w:lineRule="auto"/>
        <w:rPr>
          <w:rFonts w:cstheme="minorHAnsi"/>
        </w:rPr>
      </w:pPr>
      <w:r w:rsidRPr="002B6F1B">
        <w:rPr>
          <w:rFonts w:eastAsia="Calibri" w:cstheme="minorHAnsi"/>
          <w:color w:val="000000" w:themeColor="text1"/>
        </w:rPr>
        <w:t xml:space="preserve">According to the Trade Union and Labour Relations (Consolidation) Act 1992, redundancies involving more </w:t>
      </w:r>
      <w:r w:rsidRPr="002B6F1B">
        <w:rPr>
          <w:rFonts w:eastAsia="Calibri" w:cstheme="minorHAnsi"/>
        </w:rPr>
        <w:t>than</w:t>
      </w:r>
      <w:r w:rsidRPr="002B6F1B">
        <w:rPr>
          <w:rFonts w:eastAsia="Calibri" w:cstheme="minorHAnsi"/>
          <w:color w:val="000000" w:themeColor="text1"/>
        </w:rPr>
        <w:t xml:space="preserve"> 100 employees must have a consultation that takes place at least over 45 days. For redundancies involving more than 20 but less than 100 the consultation must take place over at least 30 days. Legislation does not cover redundancies of fewer than 20 employees, however, case law requires the employer to consult the </w:t>
      </w:r>
      <w:r w:rsidRPr="002B6F1B">
        <w:rPr>
          <w:rFonts w:eastAsia="Calibri" w:cstheme="minorHAnsi"/>
        </w:rPr>
        <w:t>affected</w:t>
      </w:r>
      <w:r w:rsidRPr="002B6F1B">
        <w:rPr>
          <w:rFonts w:eastAsia="Calibri" w:cstheme="minorHAnsi"/>
          <w:color w:val="000000" w:themeColor="text1"/>
        </w:rPr>
        <w:t xml:space="preserve"> individual/s and for this to take place </w:t>
      </w:r>
      <w:r w:rsidRPr="002B6F1B">
        <w:rPr>
          <w:rFonts w:eastAsia="Calibri" w:cstheme="minorHAnsi"/>
        </w:rPr>
        <w:t>over a reasonable</w:t>
      </w:r>
      <w:r w:rsidRPr="002B6F1B">
        <w:rPr>
          <w:rFonts w:eastAsia="Calibri" w:cstheme="minorHAnsi"/>
          <w:color w:val="000000" w:themeColor="text1"/>
        </w:rPr>
        <w:t xml:space="preserve"> </w:t>
      </w:r>
      <w:proofErr w:type="gramStart"/>
      <w:r w:rsidRPr="002B6F1B">
        <w:rPr>
          <w:rFonts w:eastAsia="Calibri" w:cstheme="minorHAnsi"/>
          <w:color w:val="000000" w:themeColor="text1"/>
        </w:rPr>
        <w:t>time period</w:t>
      </w:r>
      <w:proofErr w:type="gramEnd"/>
      <w:r w:rsidRPr="002B6F1B">
        <w:rPr>
          <w:rFonts w:eastAsia="Calibri" w:cstheme="minorHAnsi"/>
          <w:color w:val="000000" w:themeColor="text1"/>
        </w:rPr>
        <w:t xml:space="preserve"> (Daniels, 2019, p. 190). </w:t>
      </w:r>
    </w:p>
    <w:p w14:paraId="6E9E7305" w14:textId="0240D06E" w:rsidR="17B2E3D6" w:rsidRPr="002B6F1B" w:rsidRDefault="10BCCF23" w:rsidP="6225F5D5">
      <w:pPr>
        <w:spacing w:line="257" w:lineRule="auto"/>
        <w:rPr>
          <w:rFonts w:cstheme="minorHAnsi"/>
        </w:rPr>
      </w:pPr>
      <w:r w:rsidRPr="002B6F1B">
        <w:rPr>
          <w:rFonts w:eastAsia="Calibri" w:cstheme="minorHAnsi"/>
          <w:color w:val="000000" w:themeColor="text1"/>
        </w:rPr>
        <w:t xml:space="preserve">Individual consultations are essential and collective consultations are required for more than 20 proposed redundancies. </w:t>
      </w:r>
      <w:r w:rsidRPr="002B6F1B">
        <w:rPr>
          <w:rFonts w:eastAsia="Calibri" w:cstheme="minorHAnsi"/>
        </w:rPr>
        <w:t>Their</w:t>
      </w:r>
      <w:r w:rsidRPr="002B6F1B">
        <w:rPr>
          <w:rFonts w:eastAsia="Calibri" w:cstheme="minorHAnsi"/>
          <w:color w:val="000000" w:themeColor="text1"/>
        </w:rPr>
        <w:t xml:space="preserve"> consultations must involve trade union representatives or elected employee representatives. The employer must use form HR1 to inform the Secretary of State for Trade and Industry if they have announced more than 20 intended redundancies (Daniels, 2019, p. 190) and no dismissals can be issued until the collective consultations have been completed (CIPD, 2020a).</w:t>
      </w:r>
    </w:p>
    <w:p w14:paraId="44C38048" w14:textId="74CAC5C9" w:rsidR="17B2E3D6" w:rsidRPr="002B6F1B" w:rsidRDefault="10BCCF23" w:rsidP="6225F5D5">
      <w:pPr>
        <w:spacing w:line="257" w:lineRule="auto"/>
        <w:rPr>
          <w:rFonts w:cstheme="minorHAnsi"/>
        </w:rPr>
      </w:pPr>
      <w:r w:rsidRPr="002B6F1B">
        <w:rPr>
          <w:rFonts w:eastAsia="Calibri" w:cstheme="minorHAnsi"/>
          <w:color w:val="000000" w:themeColor="text1"/>
        </w:rPr>
        <w:t>Employers are obliged to give the following information to representatives when beginning the consultation process. Reasons for the redundancy dismissals, how many proposed redundancies and job types, total number of affected employees, proposed selection methods, procedure for dealing with the redundancies and how the redundancy payments will be calculated (CIPD, 2020a).</w:t>
      </w:r>
    </w:p>
    <w:p w14:paraId="2693CADC" w14:textId="65A04592" w:rsidR="17B2E3D6" w:rsidRPr="002B6F1B" w:rsidRDefault="10BCCF23" w:rsidP="6225F5D5">
      <w:pPr>
        <w:spacing w:line="257" w:lineRule="auto"/>
        <w:rPr>
          <w:rFonts w:cstheme="minorHAnsi"/>
        </w:rPr>
      </w:pPr>
      <w:r w:rsidRPr="002B6F1B">
        <w:rPr>
          <w:rFonts w:eastAsia="Calibri" w:cstheme="minorHAnsi"/>
          <w:color w:val="000000" w:themeColor="text1"/>
        </w:rPr>
        <w:t xml:space="preserve">Age, length of service and salary determines the redundancy payment for each employee (Taylor and Wilkinson, 2016, p. 34). The calculation results in the number of week's pay due and is limited </w:t>
      </w:r>
      <w:r w:rsidRPr="002B6F1B">
        <w:rPr>
          <w:rFonts w:eastAsia="Calibri" w:cstheme="minorHAnsi"/>
        </w:rPr>
        <w:t>on weekly</w:t>
      </w:r>
      <w:r w:rsidRPr="002B6F1B">
        <w:rPr>
          <w:rFonts w:eastAsia="Calibri" w:cstheme="minorHAnsi"/>
          <w:color w:val="000000" w:themeColor="text1"/>
        </w:rPr>
        <w:t xml:space="preserve"> pay. The entitlements by age are:</w:t>
      </w:r>
    </w:p>
    <w:tbl>
      <w:tblPr>
        <w:tblW w:w="0" w:type="auto"/>
        <w:tblLayout w:type="fixed"/>
        <w:tblLook w:val="04A0" w:firstRow="1" w:lastRow="0" w:firstColumn="1" w:lastColumn="0" w:noHBand="0" w:noVBand="1"/>
      </w:tblPr>
      <w:tblGrid>
        <w:gridCol w:w="2985"/>
        <w:gridCol w:w="4380"/>
      </w:tblGrid>
      <w:tr w:rsidR="6225F5D5" w:rsidRPr="002B6F1B" w14:paraId="629CF6F9" w14:textId="77777777" w:rsidTr="6225F5D5">
        <w:tc>
          <w:tcPr>
            <w:tcW w:w="29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4DB790" w14:textId="542271F2" w:rsidR="6225F5D5" w:rsidRPr="002B6F1B" w:rsidRDefault="6225F5D5">
            <w:pPr>
              <w:rPr>
                <w:rFonts w:cstheme="minorHAnsi"/>
              </w:rPr>
            </w:pPr>
            <w:r w:rsidRPr="002B6F1B">
              <w:rPr>
                <w:rFonts w:eastAsia="Calibri" w:cstheme="minorHAnsi"/>
                <w:color w:val="000000" w:themeColor="text1"/>
              </w:rPr>
              <w:t xml:space="preserve">Age </w:t>
            </w:r>
          </w:p>
        </w:tc>
        <w:tc>
          <w:tcPr>
            <w:tcW w:w="43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3A41B1" w14:textId="39437498" w:rsidR="6225F5D5" w:rsidRPr="002B6F1B" w:rsidRDefault="6225F5D5">
            <w:pPr>
              <w:rPr>
                <w:rFonts w:cstheme="minorHAnsi"/>
              </w:rPr>
            </w:pPr>
            <w:r w:rsidRPr="002B6F1B">
              <w:rPr>
                <w:rFonts w:eastAsia="Calibri" w:cstheme="minorHAnsi"/>
                <w:color w:val="000000" w:themeColor="text1"/>
              </w:rPr>
              <w:t>Entitlement</w:t>
            </w:r>
          </w:p>
        </w:tc>
      </w:tr>
      <w:tr w:rsidR="6225F5D5" w:rsidRPr="002B6F1B" w14:paraId="548004A7" w14:textId="77777777" w:rsidTr="6225F5D5">
        <w:tc>
          <w:tcPr>
            <w:tcW w:w="29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4DDEA70" w14:textId="75F327BB" w:rsidR="6225F5D5" w:rsidRPr="002B6F1B" w:rsidRDefault="6225F5D5">
            <w:pPr>
              <w:rPr>
                <w:rFonts w:cstheme="minorHAnsi"/>
              </w:rPr>
            </w:pPr>
            <w:r w:rsidRPr="002B6F1B">
              <w:rPr>
                <w:rFonts w:eastAsia="Calibri" w:cstheme="minorHAnsi"/>
                <w:color w:val="000000" w:themeColor="text1"/>
              </w:rPr>
              <w:t>&lt;22</w:t>
            </w:r>
          </w:p>
        </w:tc>
        <w:tc>
          <w:tcPr>
            <w:tcW w:w="43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5AB3CE" w14:textId="1ABBAB28" w:rsidR="6225F5D5" w:rsidRPr="002B6F1B" w:rsidRDefault="6225F5D5">
            <w:pPr>
              <w:rPr>
                <w:rFonts w:cstheme="minorHAnsi"/>
              </w:rPr>
            </w:pPr>
            <w:r w:rsidRPr="002B6F1B">
              <w:rPr>
                <w:rFonts w:eastAsia="Calibri" w:cstheme="minorHAnsi"/>
                <w:color w:val="000000" w:themeColor="text1"/>
              </w:rPr>
              <w:t>0.5 week’s pay for each full year of service</w:t>
            </w:r>
          </w:p>
        </w:tc>
      </w:tr>
      <w:tr w:rsidR="6225F5D5" w:rsidRPr="002B6F1B" w14:paraId="67C493A3" w14:textId="77777777" w:rsidTr="6225F5D5">
        <w:tc>
          <w:tcPr>
            <w:tcW w:w="29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18BF3B8" w14:textId="5BB4B94E" w:rsidR="6225F5D5" w:rsidRPr="002B6F1B" w:rsidRDefault="6225F5D5">
            <w:pPr>
              <w:rPr>
                <w:rFonts w:cstheme="minorHAnsi"/>
              </w:rPr>
            </w:pPr>
            <w:r w:rsidRPr="002B6F1B">
              <w:rPr>
                <w:rFonts w:eastAsia="Calibri" w:cstheme="minorHAnsi"/>
                <w:color w:val="000000" w:themeColor="text1"/>
              </w:rPr>
              <w:t xml:space="preserve">22-41 </w:t>
            </w:r>
          </w:p>
        </w:tc>
        <w:tc>
          <w:tcPr>
            <w:tcW w:w="43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8E95ED" w14:textId="54B989D3" w:rsidR="6225F5D5" w:rsidRPr="002B6F1B" w:rsidRDefault="6225F5D5">
            <w:pPr>
              <w:rPr>
                <w:rFonts w:cstheme="minorHAnsi"/>
              </w:rPr>
            </w:pPr>
            <w:r w:rsidRPr="002B6F1B">
              <w:rPr>
                <w:rFonts w:eastAsia="Calibri" w:cstheme="minorHAnsi"/>
                <w:color w:val="000000" w:themeColor="text1"/>
              </w:rPr>
              <w:t>1.0 week’s pay for each full year of service</w:t>
            </w:r>
          </w:p>
        </w:tc>
      </w:tr>
      <w:tr w:rsidR="6225F5D5" w:rsidRPr="002B6F1B" w14:paraId="6F01DDB8" w14:textId="77777777" w:rsidTr="6225F5D5">
        <w:tc>
          <w:tcPr>
            <w:tcW w:w="298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9BF6BE" w14:textId="1A77F5A8" w:rsidR="6225F5D5" w:rsidRPr="002B6F1B" w:rsidRDefault="6225F5D5">
            <w:pPr>
              <w:rPr>
                <w:rFonts w:cstheme="minorHAnsi"/>
              </w:rPr>
            </w:pPr>
            <w:r w:rsidRPr="002B6F1B">
              <w:rPr>
                <w:rFonts w:eastAsia="Calibri" w:cstheme="minorHAnsi"/>
                <w:color w:val="000000" w:themeColor="text1"/>
              </w:rPr>
              <w:t xml:space="preserve">41+ </w:t>
            </w:r>
          </w:p>
        </w:tc>
        <w:tc>
          <w:tcPr>
            <w:tcW w:w="43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C1759E2" w14:textId="1DE26854" w:rsidR="6225F5D5" w:rsidRPr="002B6F1B" w:rsidRDefault="6225F5D5">
            <w:pPr>
              <w:rPr>
                <w:rFonts w:cstheme="minorHAnsi"/>
              </w:rPr>
            </w:pPr>
            <w:r w:rsidRPr="002B6F1B">
              <w:rPr>
                <w:rFonts w:eastAsia="Calibri" w:cstheme="minorHAnsi"/>
                <w:color w:val="000000" w:themeColor="text1"/>
              </w:rPr>
              <w:t>1.5 week’s pay for each full year of service</w:t>
            </w:r>
          </w:p>
        </w:tc>
      </w:tr>
    </w:tbl>
    <w:p w14:paraId="309DE800" w14:textId="40E7DC1B" w:rsidR="17B2E3D6" w:rsidRPr="002B6F1B" w:rsidRDefault="10BCCF23" w:rsidP="6225F5D5">
      <w:pPr>
        <w:spacing w:line="257" w:lineRule="auto"/>
        <w:rPr>
          <w:rFonts w:eastAsia="Calibri" w:cstheme="minorHAnsi"/>
          <w:color w:val="000000" w:themeColor="text1"/>
        </w:rPr>
      </w:pPr>
      <w:r w:rsidRPr="002B6F1B">
        <w:rPr>
          <w:rFonts w:eastAsia="Calibri" w:cstheme="minorHAnsi"/>
          <w:color w:val="000000" w:themeColor="text1"/>
        </w:rPr>
        <w:t>(Documents etc, 2009).</w:t>
      </w:r>
    </w:p>
    <w:p w14:paraId="19F3BC4C" w14:textId="77777777" w:rsidR="002B6F1B" w:rsidRPr="002B6F1B" w:rsidRDefault="002B6F1B" w:rsidP="6225F5D5">
      <w:pPr>
        <w:spacing w:line="257" w:lineRule="auto"/>
        <w:rPr>
          <w:rFonts w:cstheme="minorHAnsi"/>
        </w:rPr>
      </w:pPr>
    </w:p>
    <w:p w14:paraId="7C3A80C9" w14:textId="44BC3654" w:rsidR="17B2E3D6" w:rsidRPr="002B6F1B" w:rsidRDefault="10BCCF23" w:rsidP="6225F5D5">
      <w:pPr>
        <w:spacing w:line="257" w:lineRule="auto"/>
        <w:rPr>
          <w:rFonts w:cstheme="minorHAnsi"/>
        </w:rPr>
      </w:pPr>
      <w:r w:rsidRPr="002B6F1B">
        <w:rPr>
          <w:rFonts w:eastAsia="Calibri" w:cstheme="minorHAnsi"/>
          <w:color w:val="000000" w:themeColor="text1"/>
        </w:rPr>
        <w:lastRenderedPageBreak/>
        <w:t xml:space="preserve">Employees can volunteer for redundancy but if there are not enough volunteers from the selection pool </w:t>
      </w:r>
      <w:r w:rsidRPr="002B6F1B">
        <w:rPr>
          <w:rFonts w:eastAsia="Calibri" w:cstheme="minorHAnsi"/>
        </w:rPr>
        <w:t>then</w:t>
      </w:r>
      <w:r w:rsidRPr="002B6F1B">
        <w:rPr>
          <w:rFonts w:eastAsia="Calibri" w:cstheme="minorHAnsi"/>
          <w:color w:val="000000" w:themeColor="text1"/>
        </w:rPr>
        <w:t xml:space="preserve"> choices are based on length of service, attendance records, disciplinary records, competencies, </w:t>
      </w:r>
      <w:proofErr w:type="gramStart"/>
      <w:r w:rsidRPr="002B6F1B">
        <w:rPr>
          <w:rFonts w:eastAsia="Calibri" w:cstheme="minorHAnsi"/>
          <w:color w:val="000000" w:themeColor="text1"/>
        </w:rPr>
        <w:t>experience</w:t>
      </w:r>
      <w:proofErr w:type="gramEnd"/>
      <w:r w:rsidRPr="002B6F1B">
        <w:rPr>
          <w:rFonts w:eastAsia="Calibri" w:cstheme="minorHAnsi"/>
          <w:color w:val="000000" w:themeColor="text1"/>
        </w:rPr>
        <w:t xml:space="preserve"> and performance records (CIPD, 2020a). At risk staff can also competitively apply for jobs in the structure (Taylor and Wilkinson, 2016, p. 34).</w:t>
      </w:r>
    </w:p>
    <w:p w14:paraId="25E4C04C" w14:textId="260CF369" w:rsidR="17B2E3D6" w:rsidRPr="002B6F1B" w:rsidRDefault="10BCCF23" w:rsidP="6225F5D5">
      <w:pPr>
        <w:spacing w:line="257" w:lineRule="auto"/>
        <w:rPr>
          <w:rFonts w:cstheme="minorHAnsi"/>
        </w:rPr>
      </w:pPr>
      <w:r w:rsidRPr="002B6F1B">
        <w:rPr>
          <w:rFonts w:eastAsia="Calibri" w:cstheme="minorHAnsi"/>
        </w:rPr>
        <w:t xml:space="preserve">Transfer of Undertakings (Protection of Employment) regulations (TUPE) protect the rights of employees who work for an organisation when it is transferred to a new owner. The transfer cannot result in dismissals or variations to contractual terms, unless there are economic, </w:t>
      </w:r>
      <w:proofErr w:type="gramStart"/>
      <w:r w:rsidRPr="002B6F1B">
        <w:rPr>
          <w:rFonts w:eastAsia="Calibri" w:cstheme="minorHAnsi"/>
        </w:rPr>
        <w:t>technical</w:t>
      </w:r>
      <w:proofErr w:type="gramEnd"/>
      <w:r w:rsidRPr="002B6F1B">
        <w:rPr>
          <w:rFonts w:eastAsia="Calibri" w:cstheme="minorHAnsi"/>
        </w:rPr>
        <w:t xml:space="preserve"> or organisational (ETO) reasons for these changes (Daniels, 2019, p. 198).</w:t>
      </w:r>
    </w:p>
    <w:p w14:paraId="47D655B8" w14:textId="3035E443" w:rsidR="17B2E3D6" w:rsidRPr="002B6F1B" w:rsidRDefault="10BCCF23" w:rsidP="6225F5D5">
      <w:pPr>
        <w:spacing w:line="257" w:lineRule="auto"/>
        <w:rPr>
          <w:rFonts w:cstheme="minorHAnsi"/>
        </w:rPr>
      </w:pPr>
      <w:r w:rsidRPr="002B6F1B">
        <w:rPr>
          <w:rFonts w:eastAsia="Calibri" w:cstheme="minorHAnsi"/>
        </w:rPr>
        <w:t>TUPE applies when an 'economic entity that retains its identity' and if there is a change of service provision. This occurs if activities are performed by someone on their own behalf and this is transferred to another person or if activities are transferred from one contractor to another. Or if activities currently carried out by a contractor are transferred to be carried out by the organisation itself (Daniels, 2019, pp. 199-200).</w:t>
      </w:r>
    </w:p>
    <w:p w14:paraId="50398C5B" w14:textId="003B17EF" w:rsidR="17B2E3D6" w:rsidRPr="002B6F1B" w:rsidRDefault="10BCCF23" w:rsidP="6225F5D5">
      <w:pPr>
        <w:spacing w:line="257" w:lineRule="auto"/>
        <w:rPr>
          <w:rFonts w:cstheme="minorHAnsi"/>
        </w:rPr>
      </w:pPr>
      <w:r w:rsidRPr="002B6F1B">
        <w:rPr>
          <w:rFonts w:eastAsia="Calibri" w:cstheme="minorHAnsi"/>
        </w:rPr>
        <w:t>TUPE does not apply to share or assets transfers, a one-off basis, where there is a change to the business identity, where the supply of goods for the client's use and transfers outside of the UK (CIPD, 2020b).</w:t>
      </w:r>
    </w:p>
    <w:p w14:paraId="4644B692" w14:textId="051D92A9" w:rsidR="17B2E3D6" w:rsidRPr="002B6F1B" w:rsidRDefault="10BCCF23" w:rsidP="6225F5D5">
      <w:pPr>
        <w:spacing w:line="257" w:lineRule="auto"/>
        <w:rPr>
          <w:rFonts w:cstheme="minorHAnsi"/>
        </w:rPr>
      </w:pPr>
      <w:r w:rsidRPr="002B6F1B">
        <w:rPr>
          <w:rFonts w:eastAsia="Calibri" w:cstheme="minorHAnsi"/>
        </w:rPr>
        <w:t xml:space="preserve">Consultations with relevant employee representatives must take place. Information that a transfer is taking place, the reason for the transfer, when it is expected to happen, employee implications, what measure the employer expects for the employees and the measures the transferee expects for the employees are to be supplied (Daniels, 2019, p. 202). </w:t>
      </w:r>
    </w:p>
    <w:p w14:paraId="15A2B586" w14:textId="60913DD6" w:rsidR="17B2E3D6" w:rsidRPr="002B6F1B" w:rsidRDefault="17B2E3D6" w:rsidP="6225F5D5">
      <w:pPr>
        <w:spacing w:line="257" w:lineRule="auto"/>
        <w:rPr>
          <w:rFonts w:eastAsia="Calibri" w:cstheme="minorHAnsi"/>
          <w:color w:val="000000" w:themeColor="text1"/>
        </w:rPr>
      </w:pPr>
    </w:p>
    <w:p w14:paraId="69D7805E" w14:textId="6410219F" w:rsidR="17B2E3D6" w:rsidRPr="002B6F1B" w:rsidRDefault="17B2E3D6" w:rsidP="6225F5D5">
      <w:pPr>
        <w:rPr>
          <w:rFonts w:eastAsia="Calibri" w:cstheme="minorHAnsi"/>
          <w:color w:val="000000" w:themeColor="text1"/>
        </w:rPr>
      </w:pPr>
    </w:p>
    <w:p w14:paraId="34024D84" w14:textId="2770416A" w:rsidR="17B2E3D6" w:rsidRPr="002B6F1B" w:rsidRDefault="17B2E3D6" w:rsidP="17B2E3D6">
      <w:pPr>
        <w:rPr>
          <w:rFonts w:eastAsia="Calibri" w:cstheme="minorHAnsi"/>
          <w:color w:val="000000" w:themeColor="text1"/>
        </w:rPr>
      </w:pPr>
    </w:p>
    <w:p w14:paraId="188A54DB" w14:textId="0DE604C4" w:rsidR="002B6F1B" w:rsidRPr="002B6F1B" w:rsidRDefault="002B6F1B" w:rsidP="17B2E3D6">
      <w:pPr>
        <w:rPr>
          <w:rFonts w:eastAsia="Calibri" w:cstheme="minorHAnsi"/>
          <w:color w:val="000000" w:themeColor="text1"/>
        </w:rPr>
      </w:pPr>
    </w:p>
    <w:p w14:paraId="4C519750" w14:textId="7126B62B" w:rsidR="002B6F1B" w:rsidRPr="002B6F1B" w:rsidRDefault="002B6F1B" w:rsidP="17B2E3D6">
      <w:pPr>
        <w:rPr>
          <w:rFonts w:eastAsia="Calibri" w:cstheme="minorHAnsi"/>
          <w:color w:val="000000" w:themeColor="text1"/>
        </w:rPr>
      </w:pPr>
    </w:p>
    <w:p w14:paraId="75279537" w14:textId="0A945A17" w:rsidR="002B6F1B" w:rsidRPr="002B6F1B" w:rsidRDefault="002B6F1B" w:rsidP="17B2E3D6">
      <w:pPr>
        <w:rPr>
          <w:rFonts w:eastAsia="Calibri" w:cstheme="minorHAnsi"/>
          <w:color w:val="000000" w:themeColor="text1"/>
        </w:rPr>
      </w:pPr>
    </w:p>
    <w:p w14:paraId="7850E89D" w14:textId="52F8BB15" w:rsidR="002B6F1B" w:rsidRPr="002B6F1B" w:rsidRDefault="002B6F1B" w:rsidP="17B2E3D6">
      <w:pPr>
        <w:rPr>
          <w:rFonts w:eastAsia="Calibri" w:cstheme="minorHAnsi"/>
          <w:color w:val="000000" w:themeColor="text1"/>
        </w:rPr>
      </w:pPr>
    </w:p>
    <w:p w14:paraId="2B2DEBC6" w14:textId="1BBAC7ED" w:rsidR="002B6F1B" w:rsidRPr="002B6F1B" w:rsidRDefault="002B6F1B" w:rsidP="17B2E3D6">
      <w:pPr>
        <w:rPr>
          <w:rFonts w:eastAsia="Calibri" w:cstheme="minorHAnsi"/>
          <w:color w:val="000000" w:themeColor="text1"/>
        </w:rPr>
      </w:pPr>
    </w:p>
    <w:p w14:paraId="67947D07" w14:textId="468D5CA5" w:rsidR="002B6F1B" w:rsidRPr="002B6F1B" w:rsidRDefault="002B6F1B" w:rsidP="17B2E3D6">
      <w:pPr>
        <w:rPr>
          <w:rFonts w:eastAsia="Calibri" w:cstheme="minorHAnsi"/>
          <w:color w:val="000000" w:themeColor="text1"/>
        </w:rPr>
      </w:pPr>
    </w:p>
    <w:p w14:paraId="3827FD62" w14:textId="71307177" w:rsidR="002B6F1B" w:rsidRPr="002B6F1B" w:rsidRDefault="002B6F1B" w:rsidP="17B2E3D6">
      <w:pPr>
        <w:rPr>
          <w:rFonts w:eastAsia="Calibri" w:cstheme="minorHAnsi"/>
          <w:color w:val="000000" w:themeColor="text1"/>
        </w:rPr>
      </w:pPr>
    </w:p>
    <w:p w14:paraId="6A7DCC67" w14:textId="77177417" w:rsidR="002B6F1B" w:rsidRPr="002B6F1B" w:rsidRDefault="002B6F1B" w:rsidP="17B2E3D6">
      <w:pPr>
        <w:rPr>
          <w:rFonts w:eastAsia="Calibri" w:cstheme="minorHAnsi"/>
          <w:color w:val="000000" w:themeColor="text1"/>
        </w:rPr>
      </w:pPr>
    </w:p>
    <w:p w14:paraId="59CD8D0A" w14:textId="3DA8AE0C" w:rsidR="002B6F1B" w:rsidRPr="002B6F1B" w:rsidRDefault="002B6F1B" w:rsidP="17B2E3D6">
      <w:pPr>
        <w:rPr>
          <w:rFonts w:eastAsia="Calibri" w:cstheme="minorHAnsi"/>
          <w:color w:val="000000" w:themeColor="text1"/>
        </w:rPr>
      </w:pPr>
    </w:p>
    <w:p w14:paraId="0B29CE0A" w14:textId="5DD21AA4" w:rsidR="002B6F1B" w:rsidRPr="002B6F1B" w:rsidRDefault="002B6F1B" w:rsidP="17B2E3D6">
      <w:pPr>
        <w:rPr>
          <w:rFonts w:eastAsia="Calibri" w:cstheme="minorHAnsi"/>
          <w:color w:val="000000" w:themeColor="text1"/>
        </w:rPr>
      </w:pPr>
    </w:p>
    <w:p w14:paraId="6054EA94" w14:textId="34B82A46" w:rsidR="002B6F1B" w:rsidRPr="002B6F1B" w:rsidRDefault="002B6F1B" w:rsidP="17B2E3D6">
      <w:pPr>
        <w:rPr>
          <w:rFonts w:eastAsia="Calibri" w:cstheme="minorHAnsi"/>
          <w:color w:val="000000" w:themeColor="text1"/>
        </w:rPr>
      </w:pPr>
    </w:p>
    <w:p w14:paraId="183A9899" w14:textId="1AFCDEE8" w:rsidR="002B6F1B" w:rsidRPr="002B6F1B" w:rsidRDefault="002B6F1B" w:rsidP="17B2E3D6">
      <w:pPr>
        <w:rPr>
          <w:rFonts w:eastAsia="Calibri" w:cstheme="minorHAnsi"/>
          <w:color w:val="000000" w:themeColor="text1"/>
        </w:rPr>
      </w:pPr>
    </w:p>
    <w:p w14:paraId="72001C08" w14:textId="09405020" w:rsidR="002B6F1B" w:rsidRPr="002B6F1B" w:rsidRDefault="002B6F1B" w:rsidP="17B2E3D6">
      <w:pPr>
        <w:rPr>
          <w:rFonts w:eastAsia="Calibri" w:cstheme="minorHAnsi"/>
          <w:color w:val="000000" w:themeColor="text1"/>
        </w:rPr>
      </w:pPr>
    </w:p>
    <w:p w14:paraId="034EA0CA" w14:textId="7A7B0B98" w:rsidR="002B6F1B" w:rsidRPr="002B6F1B" w:rsidRDefault="002B6F1B" w:rsidP="17B2E3D6">
      <w:pPr>
        <w:rPr>
          <w:rFonts w:eastAsia="Calibri" w:cstheme="minorHAnsi"/>
          <w:color w:val="000000" w:themeColor="text1"/>
        </w:rPr>
      </w:pPr>
    </w:p>
    <w:p w14:paraId="5D78B87C" w14:textId="7B4A5DF6" w:rsidR="002B6F1B" w:rsidRPr="002B6F1B" w:rsidRDefault="002B6F1B" w:rsidP="17B2E3D6">
      <w:pPr>
        <w:rPr>
          <w:rFonts w:eastAsia="Calibri" w:cstheme="minorHAnsi"/>
          <w:color w:val="000000" w:themeColor="text1"/>
        </w:rPr>
      </w:pPr>
    </w:p>
    <w:p w14:paraId="6F039C4D" w14:textId="78903293" w:rsidR="002B6F1B" w:rsidRPr="002B6F1B" w:rsidRDefault="002B6F1B" w:rsidP="17B2E3D6">
      <w:pPr>
        <w:rPr>
          <w:rFonts w:eastAsia="Calibri" w:cstheme="minorHAnsi"/>
          <w:color w:val="000000" w:themeColor="text1"/>
        </w:rPr>
      </w:pPr>
    </w:p>
    <w:p w14:paraId="4EF1344D" w14:textId="77777777" w:rsidR="002B6F1B" w:rsidRPr="002B6F1B" w:rsidRDefault="002B6F1B" w:rsidP="17B2E3D6">
      <w:pPr>
        <w:rPr>
          <w:rFonts w:eastAsia="Calibri" w:cstheme="minorHAnsi"/>
          <w:color w:val="000000" w:themeColor="text1"/>
        </w:rPr>
      </w:pPr>
    </w:p>
    <w:p w14:paraId="53954899" w14:textId="04F8CAD3" w:rsidR="17B2E3D6" w:rsidRPr="002B6F1B" w:rsidRDefault="24CA811D" w:rsidP="6225F5D5">
      <w:pPr>
        <w:rPr>
          <w:rFonts w:eastAsia="Calibri" w:cstheme="minorHAnsi"/>
          <w:color w:val="000000" w:themeColor="text1"/>
        </w:rPr>
      </w:pPr>
      <w:r w:rsidRPr="002B6F1B">
        <w:rPr>
          <w:rFonts w:eastAsia="Calibri" w:cstheme="minorHAnsi"/>
          <w:b/>
          <w:bCs/>
          <w:color w:val="000000" w:themeColor="text1"/>
          <w:u w:val="single"/>
        </w:rPr>
        <w:lastRenderedPageBreak/>
        <w:t xml:space="preserve">4. Summarise: (a) the major statutory rights employees have in relation to pay, holidays and working time and, (b) the major maternity, </w:t>
      </w:r>
      <w:proofErr w:type="gramStart"/>
      <w:r w:rsidRPr="002B6F1B">
        <w:rPr>
          <w:rFonts w:eastAsia="Calibri" w:cstheme="minorHAnsi"/>
          <w:b/>
          <w:bCs/>
          <w:color w:val="000000" w:themeColor="text1"/>
          <w:u w:val="single"/>
        </w:rPr>
        <w:t>paternity</w:t>
      </w:r>
      <w:proofErr w:type="gramEnd"/>
      <w:r w:rsidRPr="002B6F1B">
        <w:rPr>
          <w:rFonts w:eastAsia="Calibri" w:cstheme="minorHAnsi"/>
          <w:b/>
          <w:bCs/>
          <w:color w:val="000000" w:themeColor="text1"/>
          <w:u w:val="single"/>
        </w:rPr>
        <w:t xml:space="preserve"> and other family-friendly employment rights.</w:t>
      </w:r>
    </w:p>
    <w:p w14:paraId="6D0A6313" w14:textId="0B90EC84"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 xml:space="preserve">Working time regulations refer to the health and safety of employees by having a minimum level of holidays, </w:t>
      </w:r>
      <w:proofErr w:type="gramStart"/>
      <w:r w:rsidRPr="002B6F1B">
        <w:rPr>
          <w:rFonts w:eastAsia="Calibri" w:cstheme="minorHAnsi"/>
          <w:color w:val="000000" w:themeColor="text1"/>
        </w:rPr>
        <w:t>rest</w:t>
      </w:r>
      <w:proofErr w:type="gramEnd"/>
      <w:r w:rsidRPr="002B6F1B">
        <w:rPr>
          <w:rFonts w:eastAsia="Calibri" w:cstheme="minorHAnsi"/>
          <w:color w:val="000000" w:themeColor="text1"/>
        </w:rPr>
        <w:t xml:space="preserve"> and adequate working hours (Daniels, 2019, p. 85).</w:t>
      </w:r>
    </w:p>
    <w:p w14:paraId="3FD3D18C" w14:textId="324EE592"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Employers are obligated to pay wages. The employee has a right to an itemised pay statement (</w:t>
      </w:r>
      <w:r w:rsidR="3A798D57" w:rsidRPr="002B6F1B">
        <w:rPr>
          <w:rFonts w:eastAsia="Calibri" w:cstheme="minorHAnsi"/>
          <w:i/>
          <w:iCs/>
          <w:color w:val="000000" w:themeColor="text1"/>
        </w:rPr>
        <w:t>Employment Rights Act 1996</w:t>
      </w:r>
      <w:r w:rsidRPr="002B6F1B">
        <w:rPr>
          <w:rFonts w:eastAsia="Calibri" w:cstheme="minorHAnsi"/>
          <w:color w:val="000000" w:themeColor="text1"/>
        </w:rPr>
        <w:t>). If work is not provided during usual working hours because of reasons such as lack of demand or events affecting normal business hours, employees are entitled to guarantee pay (Daniels, 2019, pp. 94-95).</w:t>
      </w:r>
    </w:p>
    <w:p w14:paraId="4C12E49E" w14:textId="181E03E7"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The National Minimum Wage (NMW) Act 1998 allows workers to receive a minimum pay at an hourly rate.</w:t>
      </w:r>
    </w:p>
    <w:tbl>
      <w:tblPr>
        <w:tblStyle w:val="TableGrid"/>
        <w:tblW w:w="0" w:type="auto"/>
        <w:tblLayout w:type="fixed"/>
        <w:tblLook w:val="06A0" w:firstRow="1" w:lastRow="0" w:firstColumn="1" w:lastColumn="0" w:noHBand="1" w:noVBand="1"/>
      </w:tblPr>
      <w:tblGrid>
        <w:gridCol w:w="3000"/>
        <w:gridCol w:w="3000"/>
        <w:gridCol w:w="3000"/>
      </w:tblGrid>
      <w:tr w:rsidR="6225F5D5" w:rsidRPr="002B6F1B" w14:paraId="30F1CDDA" w14:textId="77777777" w:rsidTr="6225F5D5">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6665BF7" w14:textId="2693517F"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Type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140D6CA" w14:textId="36792E4D"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Age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06A05C8" w14:textId="018BC932"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Minimum wage</w:t>
            </w:r>
          </w:p>
        </w:tc>
      </w:tr>
      <w:tr w:rsidR="6225F5D5" w:rsidRPr="002B6F1B" w14:paraId="2296CC15" w14:textId="77777777" w:rsidTr="6225F5D5">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7DF17D7" w14:textId="7BB26F4A"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National Living Wage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3E1FCDA" w14:textId="3355F72B"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23+</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B9E88E6" w14:textId="5AEEB5F0"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 xml:space="preserve">£8.91 </w:t>
            </w:r>
          </w:p>
        </w:tc>
      </w:tr>
      <w:tr w:rsidR="6225F5D5" w:rsidRPr="002B6F1B" w14:paraId="01D3BC28" w14:textId="77777777" w:rsidTr="6225F5D5">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39B2891" w14:textId="49841F35"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National Minimum Wage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C1E3A87" w14:textId="1BEF91F2"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21-22</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83E370B" w14:textId="01EEC0F4"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 xml:space="preserve">£8.36 </w:t>
            </w:r>
          </w:p>
        </w:tc>
      </w:tr>
      <w:tr w:rsidR="6225F5D5" w:rsidRPr="002B6F1B" w14:paraId="429810C4" w14:textId="77777777" w:rsidTr="6225F5D5">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7F80768" w14:textId="65493CAB"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Development Rate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57DEC34" w14:textId="5F8845CE"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18-20</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9A2F70A" w14:textId="106E13B7"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 xml:space="preserve">£6.56 </w:t>
            </w:r>
          </w:p>
        </w:tc>
      </w:tr>
      <w:tr w:rsidR="6225F5D5" w:rsidRPr="002B6F1B" w14:paraId="102C5EA7" w14:textId="77777777" w:rsidTr="6225F5D5">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849CD98" w14:textId="45651A10"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Young Workers Rate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DE1CF99" w14:textId="042198E3"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16-17</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1117208" w14:textId="270DE5D6"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£4.62</w:t>
            </w:r>
          </w:p>
        </w:tc>
      </w:tr>
      <w:tr w:rsidR="6225F5D5" w:rsidRPr="002B6F1B" w14:paraId="1E0B009A" w14:textId="77777777" w:rsidTr="6225F5D5">
        <w:trPr>
          <w:trHeight w:val="300"/>
        </w:trPr>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6906FC2" w14:textId="3D4009D0"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Apprentice Rate</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58CABEE" w14:textId="4B1B7AA9" w:rsidR="6225F5D5" w:rsidRPr="002B6F1B" w:rsidRDefault="6225F5D5" w:rsidP="6225F5D5">
            <w:pPr>
              <w:spacing w:line="259" w:lineRule="auto"/>
              <w:rPr>
                <w:rFonts w:eastAsia="Calibri" w:cstheme="minorHAnsi"/>
              </w:rPr>
            </w:pPr>
            <w:r w:rsidRPr="002B6F1B">
              <w:rPr>
                <w:rFonts w:eastAsia="Calibri" w:cstheme="minorHAnsi"/>
              </w:rPr>
              <w:t>n/a</w:t>
            </w:r>
          </w:p>
        </w:tc>
        <w:tc>
          <w:tcPr>
            <w:tcW w:w="30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96D546B" w14:textId="206E8847" w:rsidR="6225F5D5" w:rsidRPr="002B6F1B" w:rsidRDefault="6225F5D5" w:rsidP="6225F5D5">
            <w:pPr>
              <w:spacing w:line="259" w:lineRule="auto"/>
              <w:rPr>
                <w:rFonts w:eastAsia="Calibri" w:cstheme="minorHAnsi"/>
                <w:color w:val="000000" w:themeColor="text1"/>
              </w:rPr>
            </w:pPr>
            <w:r w:rsidRPr="002B6F1B">
              <w:rPr>
                <w:rFonts w:eastAsia="Calibri" w:cstheme="minorHAnsi"/>
                <w:color w:val="000000" w:themeColor="text1"/>
              </w:rPr>
              <w:t>£4.30</w:t>
            </w:r>
          </w:p>
        </w:tc>
      </w:tr>
    </w:tbl>
    <w:p w14:paraId="5C7597F2" w14:textId="39A80F6B"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(Government, 2021a</w:t>
      </w:r>
      <w:r w:rsidR="20156D7E" w:rsidRPr="002B6F1B">
        <w:rPr>
          <w:rFonts w:eastAsia="Calibri" w:cstheme="minorHAnsi"/>
          <w:color w:val="000000" w:themeColor="text1"/>
        </w:rPr>
        <w:t>/</w:t>
      </w:r>
      <w:r w:rsidRPr="002B6F1B">
        <w:rPr>
          <w:rFonts w:eastAsia="Calibri" w:cstheme="minorHAnsi"/>
          <w:color w:val="000000" w:themeColor="text1"/>
        </w:rPr>
        <w:t>2021b).</w:t>
      </w:r>
    </w:p>
    <w:p w14:paraId="1D4E5B97" w14:textId="5FBEEF79"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Workers on training</w:t>
      </w:r>
      <w:r w:rsidR="488667AB" w:rsidRPr="002B6F1B">
        <w:rPr>
          <w:rFonts w:eastAsia="Calibri" w:cstheme="minorHAnsi"/>
          <w:color w:val="000000" w:themeColor="text1"/>
        </w:rPr>
        <w:t xml:space="preserve"> schemes</w:t>
      </w:r>
      <w:r w:rsidRPr="002B6F1B">
        <w:rPr>
          <w:rFonts w:eastAsia="Calibri" w:cstheme="minorHAnsi"/>
          <w:color w:val="000000" w:themeColor="text1"/>
        </w:rPr>
        <w:t>, work experience for first degree/teacher training and homeless individuals working for shelter/other benefits are not entitled to NMW (</w:t>
      </w:r>
      <w:r w:rsidR="5AA34BDB" w:rsidRPr="002B6F1B">
        <w:rPr>
          <w:rFonts w:eastAsia="Calibri" w:cstheme="minorHAnsi"/>
          <w:i/>
          <w:iCs/>
          <w:color w:val="000000" w:themeColor="text1"/>
        </w:rPr>
        <w:t>National Minimum Wage Act 1998</w:t>
      </w:r>
      <w:r w:rsidRPr="002B6F1B">
        <w:rPr>
          <w:rFonts w:eastAsia="Calibri" w:cstheme="minorHAnsi"/>
          <w:color w:val="000000" w:themeColor="text1"/>
        </w:rPr>
        <w:t>).</w:t>
      </w:r>
      <w:r w:rsidR="63F14AB8" w:rsidRPr="002B6F1B">
        <w:rPr>
          <w:rFonts w:eastAsia="Calibri" w:cstheme="minorHAnsi"/>
          <w:color w:val="000000" w:themeColor="text1"/>
        </w:rPr>
        <w:t xml:space="preserve"> </w:t>
      </w:r>
    </w:p>
    <w:p w14:paraId="2BB9D3CE" w14:textId="4B677674"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Employers must pay Statutory Sick Pay (SSP) when required. The employee must be sick for 4</w:t>
      </w:r>
      <w:r w:rsidR="760121DA" w:rsidRPr="002B6F1B">
        <w:rPr>
          <w:rFonts w:eastAsia="Calibri" w:cstheme="minorHAnsi"/>
          <w:color w:val="000000" w:themeColor="text1"/>
        </w:rPr>
        <w:t xml:space="preserve"> consecutive </w:t>
      </w:r>
      <w:r w:rsidRPr="002B6F1B">
        <w:rPr>
          <w:rFonts w:eastAsia="Calibri" w:cstheme="minorHAnsi"/>
          <w:color w:val="000000" w:themeColor="text1"/>
        </w:rPr>
        <w:t xml:space="preserve">days and ‘’have average earnings at least equal to the lower earnings limit’’ (Daniels, 2019, p. 99). They are paid their normal working days but limited to 28-weeks </w:t>
      </w:r>
      <w:r w:rsidR="2C063CCF" w:rsidRPr="002B6F1B">
        <w:rPr>
          <w:rFonts w:eastAsia="Calibri" w:cstheme="minorHAnsi"/>
          <w:color w:val="000000" w:themeColor="text1"/>
        </w:rPr>
        <w:t>over</w:t>
      </w:r>
      <w:r w:rsidRPr="002B6F1B">
        <w:rPr>
          <w:rFonts w:eastAsia="Calibri" w:cstheme="minorHAnsi"/>
          <w:color w:val="000000" w:themeColor="text1"/>
        </w:rPr>
        <w:t xml:space="preserve"> 12-month</w:t>
      </w:r>
      <w:r w:rsidR="172E4059" w:rsidRPr="002B6F1B">
        <w:rPr>
          <w:rFonts w:eastAsia="Calibri" w:cstheme="minorHAnsi"/>
          <w:color w:val="000000" w:themeColor="text1"/>
        </w:rPr>
        <w:t>s</w:t>
      </w:r>
      <w:r w:rsidRPr="002B6F1B">
        <w:rPr>
          <w:rFonts w:eastAsia="Calibri" w:cstheme="minorHAnsi"/>
          <w:color w:val="000000" w:themeColor="text1"/>
        </w:rPr>
        <w:t xml:space="preserve"> (Daniels, 2019, p. 99). </w:t>
      </w:r>
    </w:p>
    <w:p w14:paraId="1E1E3539" w14:textId="00B33C38" w:rsidR="17B2E3D6" w:rsidRPr="002B6F1B" w:rsidRDefault="41F12119" w:rsidP="6225F5D5">
      <w:pPr>
        <w:rPr>
          <w:rFonts w:eastAsia="Calibri" w:cstheme="minorHAnsi"/>
          <w:color w:val="000000" w:themeColor="text1"/>
        </w:rPr>
      </w:pPr>
      <w:r w:rsidRPr="002B6F1B">
        <w:rPr>
          <w:rFonts w:eastAsia="Calibri" w:cstheme="minorHAnsi"/>
          <w:color w:val="000000" w:themeColor="text1"/>
        </w:rPr>
        <w:t>Workers are entitled to</w:t>
      </w:r>
      <w:r w:rsidR="24CA811D" w:rsidRPr="002B6F1B">
        <w:rPr>
          <w:rFonts w:eastAsia="Calibri" w:cstheme="minorHAnsi"/>
          <w:color w:val="000000" w:themeColor="text1"/>
        </w:rPr>
        <w:t xml:space="preserve"> 28 days paid leave including bank holidays. Leave years run from the date of commencement if there is no defined start date to calculate the holidays. Employees are entitled to their accrued holiday entitlement which </w:t>
      </w:r>
      <w:r w:rsidR="0F02CB52" w:rsidRPr="002B6F1B">
        <w:rPr>
          <w:rFonts w:eastAsia="Calibri" w:cstheme="minorHAnsi"/>
          <w:color w:val="000000" w:themeColor="text1"/>
        </w:rPr>
        <w:t>is</w:t>
      </w:r>
      <w:r w:rsidR="24CA811D" w:rsidRPr="002B6F1B">
        <w:rPr>
          <w:rFonts w:eastAsia="Calibri" w:cstheme="minorHAnsi"/>
          <w:color w:val="000000" w:themeColor="text1"/>
        </w:rPr>
        <w:t xml:space="preserve"> one twelfth of 5.6 weeks per year. One week’s leave equals one week’s pay but if a worker's pay is not fixed then their holidays are paid as the average </w:t>
      </w:r>
      <w:proofErr w:type="gramStart"/>
      <w:r w:rsidR="24CA811D" w:rsidRPr="002B6F1B">
        <w:rPr>
          <w:rFonts w:eastAsia="Calibri" w:cstheme="minorHAnsi"/>
          <w:color w:val="000000" w:themeColor="text1"/>
        </w:rPr>
        <w:t>pay</w:t>
      </w:r>
      <w:proofErr w:type="gramEnd"/>
      <w:r w:rsidR="24CA811D" w:rsidRPr="002B6F1B">
        <w:rPr>
          <w:rFonts w:eastAsia="Calibri" w:cstheme="minorHAnsi"/>
          <w:color w:val="000000" w:themeColor="text1"/>
        </w:rPr>
        <w:t xml:space="preserve"> they have received in the past 12 weeks</w:t>
      </w:r>
      <w:r w:rsidR="3A8A0CED" w:rsidRPr="002B6F1B">
        <w:rPr>
          <w:rFonts w:eastAsia="Calibri" w:cstheme="minorHAnsi"/>
          <w:color w:val="000000" w:themeColor="text1"/>
        </w:rPr>
        <w:t xml:space="preserve"> (Daniels, 2019, p. 88).</w:t>
      </w:r>
    </w:p>
    <w:p w14:paraId="220BEEF1" w14:textId="7A9A023C"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Workers cannot work more than 48 hours</w:t>
      </w:r>
      <w:r w:rsidR="5748AEA6" w:rsidRPr="002B6F1B">
        <w:rPr>
          <w:rFonts w:eastAsia="Calibri" w:cstheme="minorHAnsi"/>
          <w:color w:val="000000" w:themeColor="text1"/>
        </w:rPr>
        <w:t xml:space="preserve"> on average</w:t>
      </w:r>
      <w:r w:rsidRPr="002B6F1B">
        <w:rPr>
          <w:rFonts w:eastAsia="Calibri" w:cstheme="minorHAnsi"/>
          <w:color w:val="000000" w:themeColor="text1"/>
        </w:rPr>
        <w:t xml:space="preserve"> per week over a 17-week.</w:t>
      </w:r>
      <w:r w:rsidR="161BF9D0" w:rsidRPr="002B6F1B">
        <w:rPr>
          <w:rFonts w:eastAsia="Calibri" w:cstheme="minorHAnsi"/>
          <w:color w:val="000000" w:themeColor="text1"/>
        </w:rPr>
        <w:t xml:space="preserve"> </w:t>
      </w:r>
      <w:r w:rsidRPr="002B6F1B">
        <w:rPr>
          <w:rFonts w:eastAsia="Calibri" w:cstheme="minorHAnsi"/>
          <w:color w:val="000000" w:themeColor="text1"/>
        </w:rPr>
        <w:t>Protection for night workers includes only allowing 8 hours of work within a 24-hour period if the work has special hazards or is physically/mentally straining, a free health assessment before and regularly after starting night work, and entitlement to rest periods if health problems from the work is likely.</w:t>
      </w:r>
    </w:p>
    <w:p w14:paraId="0CB263DB" w14:textId="561BF733" w:rsidR="17B2E3D6" w:rsidRPr="002B6F1B" w:rsidRDefault="24CA811D" w:rsidP="6225F5D5">
      <w:pPr>
        <w:rPr>
          <w:rFonts w:eastAsia="Calibri" w:cstheme="minorHAnsi"/>
          <w:color w:val="000000" w:themeColor="text1"/>
        </w:rPr>
      </w:pPr>
      <w:r w:rsidRPr="002B6F1B">
        <w:rPr>
          <w:rFonts w:eastAsia="Calibri" w:cstheme="minorHAnsi"/>
          <w:color w:val="000000" w:themeColor="text1"/>
        </w:rPr>
        <w:t>Every 24 hours adult workers are entitled to 11 consecutive hours of rest. Workers under the age of 18 are entitled to no less than 12 hours within 24 hours. A worker can have at least 24 hours of uninterrupted rest within a 7-day period, but this can be averaged over a 14-day period. Workers are allowed a rest period of at least 20 minutes, away from the workstation for a 6-hour working day. Young workers who work more than 4.5 hours get a 30-minute break instead. (Daniels, 2019, pp. 89-91).</w:t>
      </w:r>
    </w:p>
    <w:p w14:paraId="1F6CD209" w14:textId="3615B467" w:rsidR="17B2E3D6" w:rsidRPr="002B6F1B" w:rsidRDefault="2A787A48" w:rsidP="6225F5D5">
      <w:pPr>
        <w:spacing w:line="257" w:lineRule="auto"/>
        <w:rPr>
          <w:rFonts w:cstheme="minorHAnsi"/>
        </w:rPr>
      </w:pPr>
      <w:r w:rsidRPr="002B6F1B">
        <w:rPr>
          <w:rFonts w:eastAsia="Calibri" w:cstheme="minorHAnsi"/>
          <w:color w:val="000000" w:themeColor="text1"/>
        </w:rPr>
        <w:t xml:space="preserve">Pregnant employees have the right to attend antenatal care during working hours and </w:t>
      </w:r>
      <w:r w:rsidRPr="002B6F1B">
        <w:rPr>
          <w:rFonts w:eastAsia="Calibri" w:cstheme="minorHAnsi"/>
        </w:rPr>
        <w:t>be paid their normal working rate (</w:t>
      </w:r>
      <w:r w:rsidR="2A97E1DE" w:rsidRPr="002B6F1B">
        <w:rPr>
          <w:rFonts w:eastAsia="Calibri" w:cstheme="minorHAnsi"/>
          <w:i/>
          <w:iCs/>
          <w:color w:val="000000" w:themeColor="text1"/>
        </w:rPr>
        <w:t>Employment Rights Act 1996</w:t>
      </w:r>
      <w:r w:rsidRPr="002B6F1B">
        <w:rPr>
          <w:rFonts w:eastAsia="Calibri" w:cstheme="minorHAnsi"/>
          <w:color w:val="000000" w:themeColor="text1"/>
        </w:rPr>
        <w:t>).</w:t>
      </w:r>
      <w:r w:rsidR="207F553F" w:rsidRPr="002B6F1B">
        <w:rPr>
          <w:rFonts w:eastAsia="Calibri" w:cstheme="minorHAnsi"/>
          <w:color w:val="000000" w:themeColor="text1"/>
        </w:rPr>
        <w:t xml:space="preserve"> </w:t>
      </w:r>
      <w:r w:rsidRPr="002B6F1B">
        <w:rPr>
          <w:rFonts w:eastAsia="Calibri" w:cstheme="minorHAnsi"/>
          <w:color w:val="000000" w:themeColor="text1"/>
        </w:rPr>
        <w:t>The employee is entitled to all benefits of their terms and conditions of employment as they would if they were still in work. This includes holidays and continuous service (Daniels, 2019, p. 102).</w:t>
      </w:r>
    </w:p>
    <w:p w14:paraId="496A889E" w14:textId="659F6294" w:rsidR="17B2E3D6" w:rsidRPr="002B6F1B" w:rsidRDefault="2A787A48" w:rsidP="6225F5D5">
      <w:pPr>
        <w:spacing w:line="257" w:lineRule="auto"/>
        <w:rPr>
          <w:rFonts w:cstheme="minorHAnsi"/>
        </w:rPr>
      </w:pPr>
      <w:r w:rsidRPr="002B6F1B">
        <w:rPr>
          <w:rFonts w:eastAsia="Calibri" w:cstheme="minorHAnsi"/>
        </w:rPr>
        <w:t>A</w:t>
      </w:r>
      <w:r w:rsidRPr="002B6F1B">
        <w:rPr>
          <w:rFonts w:eastAsia="Calibri" w:cstheme="minorHAnsi"/>
          <w:color w:val="000000" w:themeColor="text1"/>
        </w:rPr>
        <w:t xml:space="preserve">fter Ordinary Maternity </w:t>
      </w:r>
      <w:r w:rsidR="002B6F1B" w:rsidRPr="002B6F1B">
        <w:rPr>
          <w:rFonts w:eastAsia="Calibri" w:cstheme="minorHAnsi"/>
          <w:color w:val="000000" w:themeColor="text1"/>
        </w:rPr>
        <w:t>Leave,</w:t>
      </w:r>
      <w:r w:rsidRPr="002B6F1B">
        <w:rPr>
          <w:rFonts w:eastAsia="Calibri" w:cstheme="minorHAnsi"/>
          <w:color w:val="000000" w:themeColor="text1"/>
        </w:rPr>
        <w:t xml:space="preserve"> </w:t>
      </w:r>
      <w:r w:rsidRPr="002B6F1B">
        <w:rPr>
          <w:rFonts w:eastAsia="Calibri" w:cstheme="minorHAnsi"/>
        </w:rPr>
        <w:t xml:space="preserve">an employee is entitled to return to the same job, </w:t>
      </w:r>
      <w:r w:rsidRPr="002B6F1B">
        <w:rPr>
          <w:rFonts w:eastAsia="Calibri" w:cstheme="minorHAnsi"/>
          <w:color w:val="000000" w:themeColor="text1"/>
        </w:rPr>
        <w:t>the same</w:t>
      </w:r>
      <w:r w:rsidRPr="002B6F1B">
        <w:rPr>
          <w:rFonts w:eastAsia="Calibri" w:cstheme="minorHAnsi"/>
        </w:rPr>
        <w:t xml:space="preserve"> applies</w:t>
      </w:r>
      <w:r w:rsidRPr="002B6F1B">
        <w:rPr>
          <w:rFonts w:eastAsia="Calibri" w:cstheme="minorHAnsi"/>
          <w:color w:val="000000" w:themeColor="text1"/>
        </w:rPr>
        <w:t xml:space="preserve"> for Additional Maternity Leave unless it is not </w:t>
      </w:r>
      <w:r w:rsidRPr="002B6F1B">
        <w:rPr>
          <w:rFonts w:eastAsia="Calibri" w:cstheme="minorHAnsi"/>
        </w:rPr>
        <w:t>reasonably</w:t>
      </w:r>
      <w:r w:rsidRPr="002B6F1B">
        <w:rPr>
          <w:rFonts w:eastAsia="Calibri" w:cstheme="minorHAnsi"/>
          <w:color w:val="000000" w:themeColor="text1"/>
        </w:rPr>
        <w:t xml:space="preserve"> practicable. The employer would have to offer a suitable job if this is the case. The employee’s terms of employment must be the same or equal to what they would have been if she had not gone on maternity leave (</w:t>
      </w:r>
      <w:r w:rsidR="201175DB" w:rsidRPr="002B6F1B">
        <w:rPr>
          <w:rFonts w:eastAsia="Calibri" w:cstheme="minorHAnsi"/>
          <w:i/>
          <w:iCs/>
          <w:color w:val="000000" w:themeColor="text1"/>
        </w:rPr>
        <w:t>The Maternity and Parental Leave etc. Regulations 1999</w:t>
      </w:r>
      <w:r w:rsidR="201175DB" w:rsidRPr="002B6F1B">
        <w:rPr>
          <w:rFonts w:eastAsia="Calibri" w:cstheme="minorHAnsi"/>
          <w:color w:val="000000" w:themeColor="text1"/>
        </w:rPr>
        <w:t>).</w:t>
      </w:r>
    </w:p>
    <w:p w14:paraId="6E62B281" w14:textId="77777777" w:rsidR="002B6F1B" w:rsidRPr="002B6F1B" w:rsidRDefault="002B6F1B" w:rsidP="6225F5D5">
      <w:pPr>
        <w:spacing w:line="257" w:lineRule="auto"/>
        <w:rPr>
          <w:rFonts w:eastAsia="Calibri" w:cstheme="minorHAnsi"/>
          <w:color w:val="000000" w:themeColor="text1"/>
        </w:rPr>
      </w:pPr>
    </w:p>
    <w:p w14:paraId="18FDC4CE" w14:textId="77777777" w:rsidR="002B6F1B" w:rsidRPr="002B6F1B" w:rsidRDefault="002B6F1B" w:rsidP="6225F5D5">
      <w:pPr>
        <w:spacing w:line="257" w:lineRule="auto"/>
        <w:rPr>
          <w:rFonts w:eastAsia="Calibri" w:cstheme="minorHAnsi"/>
          <w:color w:val="000000" w:themeColor="text1"/>
        </w:rPr>
      </w:pPr>
    </w:p>
    <w:p w14:paraId="5D489ED5" w14:textId="5B66FCD1" w:rsidR="17B2E3D6" w:rsidRPr="002B6F1B" w:rsidRDefault="2A787A48" w:rsidP="6225F5D5">
      <w:pPr>
        <w:spacing w:line="257" w:lineRule="auto"/>
        <w:rPr>
          <w:rFonts w:cstheme="minorHAnsi"/>
        </w:rPr>
      </w:pPr>
      <w:r w:rsidRPr="002B6F1B">
        <w:rPr>
          <w:rFonts w:eastAsia="Calibri" w:cstheme="minorHAnsi"/>
          <w:color w:val="000000" w:themeColor="text1"/>
        </w:rPr>
        <w:lastRenderedPageBreak/>
        <w:t>Statutory Maternity Pay can be paid for 39 weeks at 90% of their average earnings for the first 6 weeks (Daniels, 2019, p. 104) and then ‘£151.97or 90% of your average weekly earnings (whichever is lower) for the next 33 weeks’ (Gov.uk, 2021</w:t>
      </w:r>
      <w:r w:rsidR="671ADFEB" w:rsidRPr="002B6F1B">
        <w:rPr>
          <w:rFonts w:eastAsia="Calibri" w:cstheme="minorHAnsi"/>
          <w:color w:val="000000" w:themeColor="text1"/>
        </w:rPr>
        <w:t>c</w:t>
      </w:r>
      <w:r w:rsidRPr="002B6F1B">
        <w:rPr>
          <w:rFonts w:eastAsia="Calibri" w:cstheme="minorHAnsi"/>
          <w:color w:val="000000" w:themeColor="text1"/>
        </w:rPr>
        <w:t>) if the following is met:</w:t>
      </w:r>
    </w:p>
    <w:p w14:paraId="6CC7FA0B" w14:textId="1BAE2BA0" w:rsidR="17B2E3D6" w:rsidRPr="002B6F1B" w:rsidRDefault="2A787A48" w:rsidP="6225F5D5">
      <w:pPr>
        <w:pStyle w:val="ListParagraph"/>
        <w:numPr>
          <w:ilvl w:val="0"/>
          <w:numId w:val="8"/>
        </w:numPr>
        <w:rPr>
          <w:rFonts w:eastAsiaTheme="minorEastAsia" w:cstheme="minorHAnsi"/>
          <w:color w:val="000000" w:themeColor="text1"/>
        </w:rPr>
      </w:pPr>
      <w:r w:rsidRPr="002B6F1B">
        <w:rPr>
          <w:rFonts w:eastAsia="Calibri" w:cstheme="minorHAnsi"/>
          <w:color w:val="000000" w:themeColor="text1"/>
        </w:rPr>
        <w:t xml:space="preserve">26 weeks of continuous employment (including </w:t>
      </w:r>
      <w:r w:rsidRPr="002B6F1B">
        <w:rPr>
          <w:rFonts w:eastAsia="Calibri" w:cstheme="minorHAnsi"/>
        </w:rPr>
        <w:t>15</w:t>
      </w:r>
      <w:r w:rsidRPr="002B6F1B">
        <w:rPr>
          <w:rFonts w:eastAsia="Calibri" w:cstheme="minorHAnsi"/>
          <w:vertAlign w:val="superscript"/>
        </w:rPr>
        <w:t>th</w:t>
      </w:r>
      <w:r w:rsidRPr="002B6F1B">
        <w:rPr>
          <w:rFonts w:eastAsia="Calibri" w:cstheme="minorHAnsi"/>
        </w:rPr>
        <w:t xml:space="preserve"> week before EWC)</w:t>
      </w:r>
    </w:p>
    <w:p w14:paraId="48EC78E1" w14:textId="1809BE68" w:rsidR="17B2E3D6" w:rsidRPr="002B6F1B" w:rsidRDefault="2A787A48" w:rsidP="6225F5D5">
      <w:pPr>
        <w:pStyle w:val="ListParagraph"/>
        <w:numPr>
          <w:ilvl w:val="0"/>
          <w:numId w:val="8"/>
        </w:numPr>
        <w:rPr>
          <w:rFonts w:eastAsiaTheme="minorEastAsia" w:cstheme="minorHAnsi"/>
          <w:color w:val="000000" w:themeColor="text1"/>
        </w:rPr>
      </w:pPr>
      <w:r w:rsidRPr="002B6F1B">
        <w:rPr>
          <w:rFonts w:eastAsia="Calibri" w:cstheme="minorHAnsi"/>
          <w:color w:val="000000" w:themeColor="text1"/>
        </w:rPr>
        <w:t xml:space="preserve">Within 8 weeks (ending </w:t>
      </w:r>
      <w:r w:rsidRPr="002B6F1B">
        <w:rPr>
          <w:rFonts w:eastAsia="Calibri" w:cstheme="minorHAnsi"/>
        </w:rPr>
        <w:t>15</w:t>
      </w:r>
      <w:r w:rsidRPr="002B6F1B">
        <w:rPr>
          <w:rFonts w:eastAsia="Calibri" w:cstheme="minorHAnsi"/>
          <w:vertAlign w:val="superscript"/>
        </w:rPr>
        <w:t>th</w:t>
      </w:r>
      <w:r w:rsidRPr="002B6F1B">
        <w:rPr>
          <w:rFonts w:eastAsia="Calibri" w:cstheme="minorHAnsi"/>
        </w:rPr>
        <w:t xml:space="preserve"> week before EWC)</w:t>
      </w:r>
      <w:r w:rsidRPr="002B6F1B">
        <w:rPr>
          <w:rFonts w:eastAsia="Calibri" w:cstheme="minorHAnsi"/>
          <w:color w:val="000000" w:themeColor="text1"/>
        </w:rPr>
        <w:t xml:space="preserve"> average earnings are at minimum the lower earnings limit for National Insurance </w:t>
      </w:r>
      <w:r w:rsidR="6916876C" w:rsidRPr="002B6F1B">
        <w:rPr>
          <w:rFonts w:eastAsia="Calibri" w:cstheme="minorHAnsi"/>
          <w:color w:val="000000" w:themeColor="text1"/>
        </w:rPr>
        <w:t>(Daniels, 2019, p. 104)</w:t>
      </w:r>
    </w:p>
    <w:p w14:paraId="57A876B2" w14:textId="76034D65" w:rsidR="17B2E3D6" w:rsidRPr="002B6F1B" w:rsidRDefault="2A787A48" w:rsidP="6225F5D5">
      <w:pPr>
        <w:spacing w:line="257" w:lineRule="auto"/>
        <w:rPr>
          <w:rFonts w:cstheme="minorHAnsi"/>
        </w:rPr>
      </w:pPr>
      <w:r w:rsidRPr="002B6F1B">
        <w:rPr>
          <w:rFonts w:eastAsia="Calibri" w:cstheme="minorHAnsi"/>
          <w:color w:val="000000" w:themeColor="text1"/>
        </w:rPr>
        <w:t xml:space="preserve"> Employees are eligible for Statutory Paternity Pay and Paternity Leave if they meet the following requirements:</w:t>
      </w:r>
    </w:p>
    <w:p w14:paraId="55669A30" w14:textId="7A53515A" w:rsidR="17B2E3D6" w:rsidRPr="002B6F1B" w:rsidRDefault="2A787A48" w:rsidP="6225F5D5">
      <w:pPr>
        <w:pStyle w:val="ListParagraph"/>
        <w:numPr>
          <w:ilvl w:val="0"/>
          <w:numId w:val="7"/>
        </w:numPr>
        <w:rPr>
          <w:rFonts w:eastAsiaTheme="minorEastAsia" w:cstheme="minorHAnsi"/>
          <w:color w:val="000000" w:themeColor="text1"/>
        </w:rPr>
      </w:pPr>
      <w:r w:rsidRPr="002B6F1B">
        <w:rPr>
          <w:rFonts w:eastAsia="Calibri" w:cstheme="minorHAnsi"/>
          <w:color w:val="000000" w:themeColor="text1"/>
        </w:rPr>
        <w:t>Continuously worked for the employer for minimum of 26 weeks, ending week preceding 14</w:t>
      </w:r>
      <w:r w:rsidRPr="002B6F1B">
        <w:rPr>
          <w:rFonts w:eastAsia="Calibri" w:cstheme="minorHAnsi"/>
          <w:color w:val="000000" w:themeColor="text1"/>
          <w:vertAlign w:val="superscript"/>
        </w:rPr>
        <w:t>th</w:t>
      </w:r>
      <w:r w:rsidRPr="002B6F1B">
        <w:rPr>
          <w:rFonts w:eastAsia="Calibri" w:cstheme="minorHAnsi"/>
          <w:color w:val="000000" w:themeColor="text1"/>
        </w:rPr>
        <w:t xml:space="preserve"> week before EWC</w:t>
      </w:r>
      <w:r w:rsidR="29F01A52" w:rsidRPr="002B6F1B">
        <w:rPr>
          <w:rFonts w:eastAsia="Calibri" w:cstheme="minorHAnsi"/>
          <w:color w:val="000000" w:themeColor="text1"/>
        </w:rPr>
        <w:t>.</w:t>
      </w:r>
    </w:p>
    <w:p w14:paraId="3612B696" w14:textId="2D3D7A1C" w:rsidR="17B2E3D6" w:rsidRPr="002B6F1B" w:rsidRDefault="2A787A48" w:rsidP="6225F5D5">
      <w:pPr>
        <w:pStyle w:val="ListParagraph"/>
        <w:numPr>
          <w:ilvl w:val="0"/>
          <w:numId w:val="7"/>
        </w:numPr>
        <w:rPr>
          <w:rFonts w:eastAsiaTheme="minorEastAsia" w:cstheme="minorHAnsi"/>
          <w:color w:val="000000" w:themeColor="text1"/>
        </w:rPr>
      </w:pPr>
      <w:r w:rsidRPr="002B6F1B">
        <w:rPr>
          <w:rFonts w:eastAsia="Calibri" w:cstheme="minorHAnsi"/>
          <w:color w:val="000000" w:themeColor="text1"/>
        </w:rPr>
        <w:t>Must be the child’s father or be married/partner to the child’s mother.</w:t>
      </w:r>
    </w:p>
    <w:p w14:paraId="56568C6E" w14:textId="116E4789" w:rsidR="17B2E3D6" w:rsidRPr="002B6F1B" w:rsidRDefault="2A787A48" w:rsidP="6225F5D5">
      <w:pPr>
        <w:pStyle w:val="ListParagraph"/>
        <w:numPr>
          <w:ilvl w:val="0"/>
          <w:numId w:val="7"/>
        </w:numPr>
        <w:rPr>
          <w:rFonts w:eastAsiaTheme="minorEastAsia" w:cstheme="minorHAnsi"/>
          <w:color w:val="000000" w:themeColor="text1"/>
        </w:rPr>
      </w:pPr>
      <w:r w:rsidRPr="002B6F1B">
        <w:rPr>
          <w:rFonts w:eastAsia="Calibri" w:cstheme="minorHAnsi"/>
          <w:color w:val="000000" w:themeColor="text1"/>
        </w:rPr>
        <w:t>Expected to be involved with raising the child.</w:t>
      </w:r>
    </w:p>
    <w:p w14:paraId="0E2BC9D4" w14:textId="265B2225" w:rsidR="17B2E3D6" w:rsidRPr="002B6F1B" w:rsidRDefault="2A787A48" w:rsidP="6225F5D5">
      <w:pPr>
        <w:spacing w:line="257" w:lineRule="auto"/>
        <w:rPr>
          <w:rFonts w:cstheme="minorHAnsi"/>
        </w:rPr>
      </w:pPr>
      <w:r w:rsidRPr="002B6F1B">
        <w:rPr>
          <w:rFonts w:eastAsia="Calibri" w:cstheme="minorHAnsi"/>
          <w:color w:val="000000" w:themeColor="text1"/>
        </w:rPr>
        <w:t>Employees can ‘’choose to take either one week’s leave or two consecutive weeks' leave’’</w:t>
      </w:r>
      <w:r w:rsidR="198BF613" w:rsidRPr="002B6F1B">
        <w:rPr>
          <w:rFonts w:eastAsia="Calibri" w:cstheme="minorHAnsi"/>
          <w:color w:val="000000" w:themeColor="text1"/>
        </w:rPr>
        <w:t xml:space="preserve"> (</w:t>
      </w:r>
      <w:r w:rsidR="198BF613" w:rsidRPr="002B6F1B">
        <w:rPr>
          <w:rFonts w:eastAsia="Calibri" w:cstheme="minorHAnsi"/>
          <w:i/>
          <w:iCs/>
          <w:color w:val="000000" w:themeColor="text1"/>
        </w:rPr>
        <w:t>The Paternity and Adoption Leave Regulations 2002</w:t>
      </w:r>
      <w:r w:rsidR="198BF613" w:rsidRPr="002B6F1B">
        <w:rPr>
          <w:rFonts w:eastAsia="Calibri" w:cstheme="minorHAnsi"/>
          <w:color w:val="000000" w:themeColor="text1"/>
        </w:rPr>
        <w:t>)</w:t>
      </w:r>
      <w:r w:rsidRPr="002B6F1B">
        <w:rPr>
          <w:rFonts w:eastAsia="Calibri" w:cstheme="minorHAnsi"/>
          <w:color w:val="000000" w:themeColor="text1"/>
        </w:rPr>
        <w:t>. This leave can be taken within 56 days of the child being born (</w:t>
      </w:r>
      <w:r w:rsidR="03677544" w:rsidRPr="002B6F1B">
        <w:rPr>
          <w:rFonts w:eastAsia="Calibri" w:cstheme="minorHAnsi"/>
          <w:i/>
          <w:iCs/>
          <w:color w:val="000000" w:themeColor="text1"/>
        </w:rPr>
        <w:t>The Paternity and Adoption Leave Regulations 2002</w:t>
      </w:r>
      <w:r w:rsidRPr="002B6F1B">
        <w:rPr>
          <w:rFonts w:eastAsia="Calibri" w:cstheme="minorHAnsi"/>
          <w:color w:val="000000" w:themeColor="text1"/>
        </w:rPr>
        <w:t>). Contracts of employment continue during paternity leave and the employee is entitled to return to the job at the end of their leave (Daniels, 2019, p. 104).</w:t>
      </w:r>
    </w:p>
    <w:p w14:paraId="69273CA6" w14:textId="6FEC2B15" w:rsidR="17B2E3D6" w:rsidRPr="002B6F1B" w:rsidRDefault="2A787A48" w:rsidP="6225F5D5">
      <w:pPr>
        <w:spacing w:line="257" w:lineRule="auto"/>
        <w:rPr>
          <w:rFonts w:cstheme="minorHAnsi"/>
        </w:rPr>
      </w:pPr>
      <w:r w:rsidRPr="002B6F1B">
        <w:rPr>
          <w:rFonts w:eastAsia="Calibri" w:cstheme="minorHAnsi"/>
          <w:color w:val="000000" w:themeColor="text1"/>
        </w:rPr>
        <w:t xml:space="preserve">Statutory Adoption Leave is </w:t>
      </w:r>
      <w:proofErr w:type="gramStart"/>
      <w:r w:rsidRPr="002B6F1B">
        <w:rPr>
          <w:rFonts w:eastAsia="Calibri" w:cstheme="minorHAnsi"/>
          <w:color w:val="000000" w:themeColor="text1"/>
        </w:rPr>
        <w:t>similar to</w:t>
      </w:r>
      <w:proofErr w:type="gramEnd"/>
      <w:r w:rsidRPr="002B6F1B">
        <w:rPr>
          <w:rFonts w:eastAsia="Calibri" w:cstheme="minorHAnsi"/>
          <w:color w:val="000000" w:themeColor="text1"/>
        </w:rPr>
        <w:t xml:space="preserve"> maternity/paternity leave. The match date is used instead of the date the child was born. Other statutory rights available include the right for unpaid time off work for family emergencies, the right for 4 months unpaid parental leave and the right to request flexible working. Employees can request flexible working only once a year and must explain their reasons for wanting this in writing (Taylor and Wilkinson, 2016, p. 39).</w:t>
      </w:r>
    </w:p>
    <w:p w14:paraId="51F80C94" w14:textId="445EB778" w:rsidR="17B2E3D6" w:rsidRPr="002B6F1B" w:rsidRDefault="17B2E3D6" w:rsidP="6225F5D5">
      <w:pPr>
        <w:rPr>
          <w:rFonts w:eastAsia="Calibri" w:cstheme="minorHAnsi"/>
          <w:color w:val="000000" w:themeColor="text1"/>
        </w:rPr>
      </w:pPr>
    </w:p>
    <w:p w14:paraId="141B523D" w14:textId="55D4BE31" w:rsidR="17B2E3D6" w:rsidRPr="002B6F1B" w:rsidRDefault="17B2E3D6" w:rsidP="17B2E3D6">
      <w:pPr>
        <w:rPr>
          <w:rFonts w:eastAsia="Calibri" w:cstheme="minorHAnsi"/>
          <w:color w:val="000000" w:themeColor="text1"/>
        </w:rPr>
      </w:pPr>
    </w:p>
    <w:p w14:paraId="660893D4" w14:textId="7D113FF2" w:rsidR="17B2E3D6" w:rsidRPr="002B6F1B" w:rsidRDefault="17B2E3D6" w:rsidP="17B2E3D6">
      <w:pPr>
        <w:rPr>
          <w:rFonts w:eastAsia="Calibri" w:cstheme="minorHAnsi"/>
          <w:color w:val="000000" w:themeColor="text1"/>
        </w:rPr>
      </w:pPr>
    </w:p>
    <w:p w14:paraId="50B42534" w14:textId="4D9C6B23" w:rsidR="17B2E3D6" w:rsidRPr="002B6F1B" w:rsidRDefault="17B2E3D6" w:rsidP="17B2E3D6">
      <w:pPr>
        <w:rPr>
          <w:rFonts w:eastAsia="Calibri" w:cstheme="minorHAnsi"/>
          <w:color w:val="000000" w:themeColor="text1"/>
        </w:rPr>
      </w:pPr>
    </w:p>
    <w:p w14:paraId="3A879347" w14:textId="63A56432" w:rsidR="17B2E3D6" w:rsidRPr="002B6F1B" w:rsidRDefault="17B2E3D6" w:rsidP="17B2E3D6">
      <w:pPr>
        <w:rPr>
          <w:rFonts w:eastAsia="Calibri" w:cstheme="minorHAnsi"/>
          <w:color w:val="000000" w:themeColor="text1"/>
        </w:rPr>
      </w:pPr>
    </w:p>
    <w:p w14:paraId="6A77F21F" w14:textId="59CB59E7" w:rsidR="17B2E3D6" w:rsidRPr="002B6F1B" w:rsidRDefault="17B2E3D6" w:rsidP="17B2E3D6">
      <w:pPr>
        <w:rPr>
          <w:rFonts w:eastAsia="Calibri" w:cstheme="minorHAnsi"/>
          <w:color w:val="000000" w:themeColor="text1"/>
        </w:rPr>
      </w:pPr>
    </w:p>
    <w:p w14:paraId="6BCEF2C4" w14:textId="5890504F" w:rsidR="17B2E3D6" w:rsidRPr="002B6F1B" w:rsidRDefault="17B2E3D6" w:rsidP="17B2E3D6">
      <w:pPr>
        <w:rPr>
          <w:rFonts w:eastAsia="Calibri" w:cstheme="minorHAnsi"/>
          <w:color w:val="000000" w:themeColor="text1"/>
        </w:rPr>
      </w:pPr>
    </w:p>
    <w:p w14:paraId="30BB779F" w14:textId="7F7F493C" w:rsidR="17B2E3D6" w:rsidRPr="002B6F1B" w:rsidRDefault="17B2E3D6" w:rsidP="17B2E3D6">
      <w:pPr>
        <w:rPr>
          <w:rFonts w:eastAsia="Calibri" w:cstheme="minorHAnsi"/>
          <w:color w:val="000000" w:themeColor="text1"/>
        </w:rPr>
      </w:pPr>
    </w:p>
    <w:p w14:paraId="35286907" w14:textId="5D45A3DE" w:rsidR="17B2E3D6" w:rsidRPr="002B6F1B" w:rsidRDefault="17B2E3D6" w:rsidP="17B2E3D6">
      <w:pPr>
        <w:rPr>
          <w:rFonts w:eastAsia="Calibri" w:cstheme="minorHAnsi"/>
          <w:color w:val="000000" w:themeColor="text1"/>
        </w:rPr>
      </w:pPr>
    </w:p>
    <w:p w14:paraId="25747B4B" w14:textId="0D23936C" w:rsidR="17B2E3D6" w:rsidRPr="002B6F1B" w:rsidRDefault="17B2E3D6" w:rsidP="17B2E3D6">
      <w:pPr>
        <w:rPr>
          <w:rFonts w:eastAsia="Calibri" w:cstheme="minorHAnsi"/>
          <w:color w:val="000000" w:themeColor="text1"/>
        </w:rPr>
      </w:pPr>
    </w:p>
    <w:p w14:paraId="3F6C2605" w14:textId="5A73D55F" w:rsidR="17B2E3D6" w:rsidRPr="002B6F1B" w:rsidRDefault="17B2E3D6" w:rsidP="17B2E3D6">
      <w:pPr>
        <w:rPr>
          <w:rFonts w:eastAsia="Calibri" w:cstheme="minorHAnsi"/>
          <w:color w:val="000000" w:themeColor="text1"/>
        </w:rPr>
      </w:pPr>
    </w:p>
    <w:p w14:paraId="28CD82BE" w14:textId="6F1D75B5" w:rsidR="002B6F1B" w:rsidRPr="002B6F1B" w:rsidRDefault="002B6F1B" w:rsidP="17B2E3D6">
      <w:pPr>
        <w:rPr>
          <w:rFonts w:eastAsia="Calibri" w:cstheme="minorHAnsi"/>
          <w:color w:val="000000" w:themeColor="text1"/>
        </w:rPr>
      </w:pPr>
    </w:p>
    <w:p w14:paraId="583993EB" w14:textId="33EC7F41" w:rsidR="002B6F1B" w:rsidRPr="002B6F1B" w:rsidRDefault="002B6F1B" w:rsidP="17B2E3D6">
      <w:pPr>
        <w:rPr>
          <w:rFonts w:eastAsia="Calibri" w:cstheme="minorHAnsi"/>
          <w:color w:val="000000" w:themeColor="text1"/>
        </w:rPr>
      </w:pPr>
    </w:p>
    <w:p w14:paraId="12DAB523" w14:textId="6B63AEFE" w:rsidR="002B6F1B" w:rsidRPr="002B6F1B" w:rsidRDefault="002B6F1B" w:rsidP="17B2E3D6">
      <w:pPr>
        <w:rPr>
          <w:rFonts w:eastAsia="Calibri" w:cstheme="minorHAnsi"/>
          <w:color w:val="000000" w:themeColor="text1"/>
        </w:rPr>
      </w:pPr>
    </w:p>
    <w:p w14:paraId="6A3D37B6" w14:textId="498F419E" w:rsidR="002B6F1B" w:rsidRPr="002B6F1B" w:rsidRDefault="002B6F1B" w:rsidP="17B2E3D6">
      <w:pPr>
        <w:rPr>
          <w:rFonts w:eastAsia="Calibri" w:cstheme="minorHAnsi"/>
          <w:color w:val="000000" w:themeColor="text1"/>
        </w:rPr>
      </w:pPr>
    </w:p>
    <w:p w14:paraId="17D537F2" w14:textId="69D007D1" w:rsidR="002B6F1B" w:rsidRPr="002B6F1B" w:rsidRDefault="002B6F1B" w:rsidP="17B2E3D6">
      <w:pPr>
        <w:rPr>
          <w:rFonts w:eastAsia="Calibri" w:cstheme="minorHAnsi"/>
          <w:color w:val="000000" w:themeColor="text1"/>
        </w:rPr>
      </w:pPr>
    </w:p>
    <w:p w14:paraId="6CC8D303" w14:textId="6F53FE1E" w:rsidR="002B6F1B" w:rsidRPr="002B6F1B" w:rsidRDefault="002B6F1B" w:rsidP="17B2E3D6">
      <w:pPr>
        <w:rPr>
          <w:rFonts w:eastAsia="Calibri" w:cstheme="minorHAnsi"/>
          <w:color w:val="000000" w:themeColor="text1"/>
        </w:rPr>
      </w:pPr>
    </w:p>
    <w:p w14:paraId="0448B1A0" w14:textId="73D2E9D0" w:rsidR="002B6F1B" w:rsidRPr="002B6F1B" w:rsidRDefault="002B6F1B" w:rsidP="17B2E3D6">
      <w:pPr>
        <w:rPr>
          <w:rFonts w:eastAsia="Calibri" w:cstheme="minorHAnsi"/>
          <w:color w:val="000000" w:themeColor="text1"/>
        </w:rPr>
      </w:pPr>
    </w:p>
    <w:p w14:paraId="7D60D495" w14:textId="77777777" w:rsidR="002B6F1B" w:rsidRPr="002B6F1B" w:rsidRDefault="002B6F1B" w:rsidP="17B2E3D6">
      <w:pPr>
        <w:rPr>
          <w:rFonts w:eastAsia="Calibri" w:cstheme="minorHAnsi"/>
          <w:color w:val="000000" w:themeColor="text1"/>
        </w:rPr>
      </w:pPr>
    </w:p>
    <w:p w14:paraId="60F82DEF" w14:textId="5F110C19" w:rsidR="766AF9D0" w:rsidRPr="002B6F1B" w:rsidRDefault="766AF9D0" w:rsidP="17B2E3D6">
      <w:pPr>
        <w:rPr>
          <w:rFonts w:eastAsia="Calibri" w:cstheme="minorHAnsi"/>
          <w:color w:val="000000" w:themeColor="text1"/>
        </w:rPr>
      </w:pPr>
      <w:r w:rsidRPr="002B6F1B">
        <w:rPr>
          <w:rFonts w:eastAsia="Calibri" w:cstheme="minorHAnsi"/>
          <w:b/>
          <w:bCs/>
          <w:color w:val="000000" w:themeColor="text1"/>
          <w:u w:val="single"/>
        </w:rPr>
        <w:lastRenderedPageBreak/>
        <w:t>5. Summarise: (a) the major requirements of health and safety law (b) key legislation supporting equality and diversity in the workplace (c) the concept of implied duties in relation to employee management at work.</w:t>
      </w:r>
    </w:p>
    <w:p w14:paraId="2E01EA32" w14:textId="4C99D934" w:rsidR="766AF9D0" w:rsidRPr="002B6F1B" w:rsidRDefault="766AF9D0" w:rsidP="6225F5D5">
      <w:pPr>
        <w:rPr>
          <w:rFonts w:eastAsia="Calibri" w:cstheme="minorHAnsi"/>
          <w:color w:val="000000" w:themeColor="text1"/>
        </w:rPr>
      </w:pPr>
      <w:r w:rsidRPr="002B6F1B">
        <w:rPr>
          <w:rFonts w:eastAsia="Calibri" w:cstheme="minorHAnsi"/>
          <w:color w:val="000000" w:themeColor="text1"/>
        </w:rPr>
        <w:t xml:space="preserve">According to the Health and Safety at Work Act 1974, every employer has a duty to ensure the health, </w:t>
      </w:r>
      <w:proofErr w:type="gramStart"/>
      <w:r w:rsidRPr="002B6F1B">
        <w:rPr>
          <w:rFonts w:eastAsia="Calibri" w:cstheme="minorHAnsi"/>
          <w:color w:val="000000" w:themeColor="text1"/>
        </w:rPr>
        <w:t>safety</w:t>
      </w:r>
      <w:proofErr w:type="gramEnd"/>
      <w:r w:rsidRPr="002B6F1B">
        <w:rPr>
          <w:rFonts w:eastAsia="Calibri" w:cstheme="minorHAnsi"/>
          <w:color w:val="000000" w:themeColor="text1"/>
        </w:rPr>
        <w:t xml:space="preserve"> and welfare of their employees, as far as reasonably practicable (</w:t>
      </w:r>
      <w:r w:rsidR="102B3697" w:rsidRPr="002B6F1B">
        <w:rPr>
          <w:rFonts w:eastAsia="Calibri" w:cstheme="minorHAnsi"/>
          <w:i/>
          <w:iCs/>
          <w:color w:val="000000" w:themeColor="text1"/>
        </w:rPr>
        <w:t>Health and Safety at Work etc. Act 1974</w:t>
      </w:r>
      <w:r w:rsidRPr="002B6F1B">
        <w:rPr>
          <w:rFonts w:eastAsia="Calibri" w:cstheme="minorHAnsi"/>
          <w:color w:val="000000" w:themeColor="text1"/>
        </w:rPr>
        <w:t xml:space="preserve">). </w:t>
      </w:r>
      <w:r w:rsidR="38CC36B6" w:rsidRPr="002B6F1B">
        <w:rPr>
          <w:rFonts w:eastAsia="Calibri" w:cstheme="minorHAnsi"/>
          <w:color w:val="000000" w:themeColor="text1"/>
        </w:rPr>
        <w:t xml:space="preserve"> </w:t>
      </w:r>
    </w:p>
    <w:p w14:paraId="5C2145CB" w14:textId="62468685" w:rsidR="766AF9D0" w:rsidRPr="002B6F1B" w:rsidRDefault="766AF9D0" w:rsidP="17B2E3D6">
      <w:pPr>
        <w:rPr>
          <w:rFonts w:eastAsia="Calibri" w:cstheme="minorHAnsi"/>
          <w:color w:val="000000" w:themeColor="text1"/>
        </w:rPr>
      </w:pPr>
      <w:r w:rsidRPr="002B6F1B">
        <w:rPr>
          <w:rFonts w:eastAsia="Calibri" w:cstheme="minorHAnsi"/>
          <w:color w:val="000000" w:themeColor="text1"/>
        </w:rPr>
        <w:t xml:space="preserve">Duties of the employer include providing safe and adequate plant and equipment, safe premises and/or place of work, competent and safe fellow </w:t>
      </w:r>
      <w:proofErr w:type="gramStart"/>
      <w:r w:rsidRPr="002B6F1B">
        <w:rPr>
          <w:rFonts w:eastAsia="Calibri" w:cstheme="minorHAnsi"/>
          <w:color w:val="000000" w:themeColor="text1"/>
        </w:rPr>
        <w:t>employees</w:t>
      </w:r>
      <w:proofErr w:type="gramEnd"/>
      <w:r w:rsidRPr="002B6F1B">
        <w:rPr>
          <w:rFonts w:eastAsia="Calibri" w:cstheme="minorHAnsi"/>
          <w:color w:val="000000" w:themeColor="text1"/>
        </w:rPr>
        <w:t xml:space="preserve"> and a safe system of work. Employees have a duty to care for their own and others health and safety and to meet health and safety requirements by cooperating with their employer, when necessary. Employees must also use personal protective equipment as provided, store it correctly and report if it is damaged or lost. They must follow what the employer says about appropriate systems of work, and they must report to their employer of any serious and imminent dangers to health and safety and of any shortcomings in the protections for health and safety as laid out by the employer (Daniels, 2019, pp. 249-251).</w:t>
      </w:r>
    </w:p>
    <w:p w14:paraId="29C28F91" w14:textId="63AFF457" w:rsidR="766AF9D0" w:rsidRPr="002B6F1B" w:rsidRDefault="766AF9D0" w:rsidP="17B2E3D6">
      <w:pPr>
        <w:rPr>
          <w:rFonts w:eastAsia="Calibri" w:cstheme="minorHAnsi"/>
          <w:color w:val="000000" w:themeColor="text1"/>
        </w:rPr>
      </w:pPr>
      <w:r w:rsidRPr="002B6F1B">
        <w:rPr>
          <w:rFonts w:eastAsia="Calibri" w:cstheme="minorHAnsi"/>
          <w:color w:val="000000" w:themeColor="text1"/>
        </w:rPr>
        <w:t>One form of legislation that supports equality and diversity in the workplace is the Equality Act 2010. This has replaced 9 major pieces of discrimination and over 100 smaller pieces of discrimination so has harmonised discrimination law and has made it more straightforward. This act protects employees, workers, job applicants and ex-employees (Daniels, 2019, p. 114).</w:t>
      </w:r>
    </w:p>
    <w:p w14:paraId="65D328B9" w14:textId="41E6351F" w:rsidR="766AF9D0" w:rsidRPr="002B6F1B" w:rsidRDefault="766AF9D0" w:rsidP="17B2E3D6">
      <w:pPr>
        <w:rPr>
          <w:rFonts w:eastAsia="Calibri" w:cstheme="minorHAnsi"/>
          <w:color w:val="000000" w:themeColor="text1"/>
        </w:rPr>
      </w:pPr>
      <w:r w:rsidRPr="002B6F1B">
        <w:rPr>
          <w:rFonts w:eastAsia="Calibri" w:cstheme="minorHAnsi"/>
          <w:color w:val="000000" w:themeColor="text1"/>
        </w:rPr>
        <w:t xml:space="preserve">The protected characteristics include age, disability, gender re-assignment, marriage and civil partnership, pregnancy and maternity, race, religion, </w:t>
      </w:r>
      <w:proofErr w:type="gramStart"/>
      <w:r w:rsidRPr="002B6F1B">
        <w:rPr>
          <w:rFonts w:eastAsia="Calibri" w:cstheme="minorHAnsi"/>
          <w:color w:val="000000" w:themeColor="text1"/>
        </w:rPr>
        <w:t>sex</w:t>
      </w:r>
      <w:proofErr w:type="gramEnd"/>
      <w:r w:rsidRPr="002B6F1B">
        <w:rPr>
          <w:rFonts w:eastAsia="Calibri" w:cstheme="minorHAnsi"/>
          <w:color w:val="000000" w:themeColor="text1"/>
        </w:rPr>
        <w:t xml:space="preserve"> and sexual orientation. Discrimination against these characteristics is prohibited (Equality Act, 2010). </w:t>
      </w:r>
      <w:r w:rsidR="002B6F1B" w:rsidRPr="002B6F1B">
        <w:rPr>
          <w:rFonts w:eastAsia="Calibri" w:cstheme="minorHAnsi"/>
          <w:color w:val="000000" w:themeColor="text1"/>
        </w:rPr>
        <w:t>Forms</w:t>
      </w:r>
      <w:r w:rsidRPr="002B6F1B">
        <w:rPr>
          <w:rFonts w:eastAsia="Calibri" w:cstheme="minorHAnsi"/>
          <w:color w:val="000000" w:themeColor="text1"/>
        </w:rPr>
        <w:t xml:space="preserve"> of discrimination include the following:</w:t>
      </w:r>
    </w:p>
    <w:tbl>
      <w:tblPr>
        <w:tblStyle w:val="TableGrid"/>
        <w:tblW w:w="10624" w:type="dxa"/>
        <w:tblLayout w:type="fixed"/>
        <w:tblLook w:val="06A0" w:firstRow="1" w:lastRow="0" w:firstColumn="1" w:lastColumn="0" w:noHBand="1" w:noVBand="1"/>
      </w:tblPr>
      <w:tblGrid>
        <w:gridCol w:w="4500"/>
        <w:gridCol w:w="6124"/>
      </w:tblGrid>
      <w:tr w:rsidR="17B2E3D6" w:rsidRPr="002B6F1B" w14:paraId="0DC95E1A" w14:textId="77777777" w:rsidTr="002B6F1B">
        <w:tc>
          <w:tcPr>
            <w:tcW w:w="4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A02D958" w14:textId="7BAC858A"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Direct Discrimination</w:t>
            </w:r>
          </w:p>
        </w:tc>
        <w:tc>
          <w:tcPr>
            <w:tcW w:w="6124"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44FA3BA" w14:textId="478904B5"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Where someone has a protected characteristic and is treated less favourably than someone who does not have a protected characteristic</w:t>
            </w:r>
          </w:p>
        </w:tc>
      </w:tr>
      <w:tr w:rsidR="17B2E3D6" w:rsidRPr="002B6F1B" w14:paraId="7EA7B43C" w14:textId="77777777" w:rsidTr="002B6F1B">
        <w:trPr>
          <w:trHeight w:val="1515"/>
        </w:trPr>
        <w:tc>
          <w:tcPr>
            <w:tcW w:w="4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61FE03D" w14:textId="05A87445"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Associative Discrimination</w:t>
            </w:r>
          </w:p>
        </w:tc>
        <w:tc>
          <w:tcPr>
            <w:tcW w:w="6124"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1ACF5A3" w14:textId="42DD284A"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Direct discrimination to someone who associates themselves with someone who has a protective characteristic (not including marriage/civil partnership and pregnancy/maternity).</w:t>
            </w:r>
          </w:p>
        </w:tc>
      </w:tr>
      <w:tr w:rsidR="17B2E3D6" w:rsidRPr="002B6F1B" w14:paraId="72212002" w14:textId="77777777" w:rsidTr="002B6F1B">
        <w:tc>
          <w:tcPr>
            <w:tcW w:w="4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FB31F99" w14:textId="33FABC88"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Perceptive Discrimination</w:t>
            </w:r>
          </w:p>
        </w:tc>
        <w:tc>
          <w:tcPr>
            <w:tcW w:w="6124"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1A6F448" w14:textId="3C9FCB4E"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Direct discrimination to someone who is perceived to have a protected characteristic (not including marriage/civil partnership and pregnancy/maternity). However, they may not be part of this group.</w:t>
            </w:r>
          </w:p>
        </w:tc>
      </w:tr>
      <w:tr w:rsidR="17B2E3D6" w:rsidRPr="002B6F1B" w14:paraId="65E23ED2" w14:textId="77777777" w:rsidTr="002B6F1B">
        <w:tc>
          <w:tcPr>
            <w:tcW w:w="4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9EED3E8" w14:textId="1E6B2759"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Indirect Discrimination</w:t>
            </w:r>
          </w:p>
        </w:tc>
        <w:tc>
          <w:tcPr>
            <w:tcW w:w="6124"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8C3B88D" w14:textId="3790BCBB"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When an employer comes up with a rule/practice that indirectly puts people with a protective characteristic at a disadvantage.</w:t>
            </w:r>
          </w:p>
        </w:tc>
      </w:tr>
      <w:tr w:rsidR="17B2E3D6" w:rsidRPr="002B6F1B" w14:paraId="640D27E7" w14:textId="77777777" w:rsidTr="002B6F1B">
        <w:tc>
          <w:tcPr>
            <w:tcW w:w="4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104C3C4" w14:textId="522A93D4"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Victimisation</w:t>
            </w:r>
          </w:p>
        </w:tc>
        <w:tc>
          <w:tcPr>
            <w:tcW w:w="6124"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49B8439" w14:textId="1AEBFFFF"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When employees are penalised for exercising their rights until the Equality Act 2010.</w:t>
            </w:r>
          </w:p>
        </w:tc>
      </w:tr>
      <w:tr w:rsidR="17B2E3D6" w:rsidRPr="002B6F1B" w14:paraId="573495AE" w14:textId="77777777" w:rsidTr="002B6F1B">
        <w:tc>
          <w:tcPr>
            <w:tcW w:w="450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072B3FF" w14:textId="32314421"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Harassment</w:t>
            </w:r>
          </w:p>
        </w:tc>
        <w:tc>
          <w:tcPr>
            <w:tcW w:w="6124"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6E7CDC2" w14:textId="5D9D7974" w:rsidR="17B2E3D6" w:rsidRPr="002B6F1B" w:rsidRDefault="17B2E3D6" w:rsidP="17B2E3D6">
            <w:pPr>
              <w:spacing w:line="259" w:lineRule="auto"/>
              <w:rPr>
                <w:rFonts w:eastAsia="Calibri" w:cstheme="minorHAnsi"/>
                <w:color w:val="000000" w:themeColor="text1"/>
              </w:rPr>
            </w:pPr>
            <w:r w:rsidRPr="002B6F1B">
              <w:rPr>
                <w:rFonts w:eastAsia="Calibri" w:cstheme="minorHAnsi"/>
                <w:color w:val="000000" w:themeColor="text1"/>
              </w:rPr>
              <w:t>When someone creates an offensive environment related or relevant to a protective characteristic.</w:t>
            </w:r>
          </w:p>
        </w:tc>
      </w:tr>
    </w:tbl>
    <w:p w14:paraId="4B104D26" w14:textId="2C14A270" w:rsidR="766AF9D0" w:rsidRPr="002B6F1B" w:rsidRDefault="766AF9D0" w:rsidP="17B2E3D6">
      <w:pPr>
        <w:rPr>
          <w:rFonts w:eastAsia="Calibri" w:cstheme="minorHAnsi"/>
          <w:color w:val="000000" w:themeColor="text1"/>
        </w:rPr>
      </w:pPr>
      <w:r w:rsidRPr="002B6F1B">
        <w:rPr>
          <w:rFonts w:eastAsia="Calibri" w:cstheme="minorHAnsi"/>
          <w:color w:val="000000" w:themeColor="text1"/>
        </w:rPr>
        <w:t>(Daniels, 2019, pp. 115-122).</w:t>
      </w:r>
    </w:p>
    <w:p w14:paraId="6380FF5B" w14:textId="535E8ED2" w:rsidR="766AF9D0" w:rsidRPr="002B6F1B" w:rsidRDefault="766AF9D0" w:rsidP="6225F5D5">
      <w:pPr>
        <w:rPr>
          <w:rFonts w:eastAsia="Calibri" w:cstheme="minorHAnsi"/>
          <w:color w:val="000000" w:themeColor="text1"/>
        </w:rPr>
      </w:pPr>
      <w:r w:rsidRPr="002B6F1B">
        <w:rPr>
          <w:rFonts w:eastAsia="Calibri" w:cstheme="minorHAnsi"/>
          <w:color w:val="000000" w:themeColor="text1"/>
        </w:rPr>
        <w:t>Disability discrimination happens when someone is treated less favourably because of their disability and the person discriminating against them cannot give a reasonable justification for this treatment (</w:t>
      </w:r>
      <w:r w:rsidR="05F7F0F4" w:rsidRPr="002B6F1B">
        <w:rPr>
          <w:rFonts w:eastAsia="Calibri" w:cstheme="minorHAnsi"/>
          <w:i/>
          <w:iCs/>
          <w:color w:val="000000" w:themeColor="text1"/>
        </w:rPr>
        <w:t>Equality Act 2010</w:t>
      </w:r>
      <w:r w:rsidRPr="002B6F1B">
        <w:rPr>
          <w:rFonts w:eastAsia="Calibri" w:cstheme="minorHAnsi"/>
          <w:color w:val="000000" w:themeColor="text1"/>
        </w:rPr>
        <w:t>). Reasonable adjustments include when a provision, criterion or practice made by the employer put a disabled person at a disadvantage compared to those who are not disabled. When a physical feature of the place of work puts a disabled person at a disadvantage compared to those who are not disabled. Also, when an auxiliary aid is not put in place by the employer which results in a disabled person at a disadvantage compared to those who are not disabled (</w:t>
      </w:r>
      <w:r w:rsidR="3072C9BB" w:rsidRPr="002B6F1B">
        <w:rPr>
          <w:rFonts w:eastAsia="Calibri" w:cstheme="minorHAnsi"/>
          <w:i/>
          <w:iCs/>
          <w:color w:val="000000" w:themeColor="text1"/>
        </w:rPr>
        <w:t>Equality Act 2010</w:t>
      </w:r>
      <w:r w:rsidRPr="002B6F1B">
        <w:rPr>
          <w:rFonts w:eastAsia="Calibri" w:cstheme="minorHAnsi"/>
          <w:color w:val="000000" w:themeColor="text1"/>
        </w:rPr>
        <w:t>).</w:t>
      </w:r>
    </w:p>
    <w:p w14:paraId="434A57C7" w14:textId="23379732" w:rsidR="766AF9D0" w:rsidRPr="002B6F1B" w:rsidRDefault="766AF9D0" w:rsidP="17B2E3D6">
      <w:pPr>
        <w:rPr>
          <w:rFonts w:eastAsia="Calibri" w:cstheme="minorHAnsi"/>
          <w:color w:val="000000" w:themeColor="text1"/>
        </w:rPr>
      </w:pPr>
      <w:r w:rsidRPr="002B6F1B">
        <w:rPr>
          <w:rFonts w:eastAsia="Calibri" w:cstheme="minorHAnsi"/>
          <w:color w:val="000000" w:themeColor="text1"/>
        </w:rPr>
        <w:t>Other forms of legislation include the EU law who provides protection for part-time workers and fixed-term workers and the UK law provides protection for ex-offenders and union membership or non-membership (Taylor and Wilkinson, 2016, p. 29).</w:t>
      </w:r>
    </w:p>
    <w:p w14:paraId="16F41226" w14:textId="5A4D84A4" w:rsidR="766AF9D0" w:rsidRPr="002B6F1B" w:rsidRDefault="766AF9D0" w:rsidP="17B2E3D6">
      <w:pPr>
        <w:rPr>
          <w:rFonts w:eastAsia="Calibri" w:cstheme="minorHAnsi"/>
          <w:color w:val="000000" w:themeColor="text1"/>
        </w:rPr>
      </w:pPr>
      <w:r w:rsidRPr="002B6F1B">
        <w:rPr>
          <w:rFonts w:eastAsia="Calibri" w:cstheme="minorHAnsi"/>
          <w:color w:val="000000" w:themeColor="text1"/>
        </w:rPr>
        <w:lastRenderedPageBreak/>
        <w:t xml:space="preserve">Employers must pay wages to the employee for their period of employment. The obligation to provide work is unclear but it can mean that failure to provide work to the employee may lead to the employee not being able to be paid if they rely on something like commission or it can relate to the employee needing work to practice their skills. Employers are obligated to provide accurate and fair references. Employers must look after the health and safety of employees and reimburse employees for any legitimate business expense. Employers are obligated to bring attention to rights that the employee would not be aware of otherwise. An employer must make sure employees are informed of their rights if there is a new development and they need to community this clearly. Employers are obligated to give effective support against bullying during work, </w:t>
      </w:r>
      <w:proofErr w:type="gramStart"/>
      <w:r w:rsidRPr="002B6F1B">
        <w:rPr>
          <w:rFonts w:eastAsia="Calibri" w:cstheme="minorHAnsi"/>
          <w:color w:val="000000" w:themeColor="text1"/>
        </w:rPr>
        <w:t>respect</w:t>
      </w:r>
      <w:proofErr w:type="gramEnd"/>
      <w:r w:rsidRPr="002B6F1B">
        <w:rPr>
          <w:rFonts w:eastAsia="Calibri" w:cstheme="minorHAnsi"/>
          <w:color w:val="000000" w:themeColor="text1"/>
        </w:rPr>
        <w:t xml:space="preserve"> and employees privacy and to deal with grievances effectively. Both employer and employee must keep their trust and confidence relationship undamaged as without this there can be no successful relationship.</w:t>
      </w:r>
    </w:p>
    <w:p w14:paraId="17BF7CEE" w14:textId="64732A45" w:rsidR="766AF9D0" w:rsidRPr="002B6F1B" w:rsidRDefault="766AF9D0" w:rsidP="6225F5D5">
      <w:pPr>
        <w:rPr>
          <w:rFonts w:eastAsia="Calibri" w:cstheme="minorHAnsi"/>
          <w:color w:val="000000" w:themeColor="text1"/>
        </w:rPr>
      </w:pPr>
      <w:r w:rsidRPr="002B6F1B">
        <w:rPr>
          <w:rFonts w:eastAsia="Calibri" w:cstheme="minorHAnsi"/>
          <w:color w:val="000000" w:themeColor="text1"/>
        </w:rPr>
        <w:t>Employees must follow all reasonable/legal instructions from the employer and co-operate with the employer. They have a duty of fidelity and must also carry out the duties of their contract with care (Daniels, 2019, pp. 52-57).</w:t>
      </w:r>
    </w:p>
    <w:p w14:paraId="12E41E77" w14:textId="15C5FB4E" w:rsidR="6225F5D5" w:rsidRPr="002B6F1B" w:rsidRDefault="6225F5D5" w:rsidP="6225F5D5">
      <w:pPr>
        <w:rPr>
          <w:rFonts w:eastAsia="Calibri" w:cstheme="minorHAnsi"/>
          <w:color w:val="000000" w:themeColor="text1"/>
        </w:rPr>
      </w:pPr>
    </w:p>
    <w:p w14:paraId="5BC27012" w14:textId="0A91A166" w:rsidR="6225F5D5" w:rsidRPr="002B6F1B" w:rsidRDefault="6225F5D5" w:rsidP="6225F5D5">
      <w:pPr>
        <w:rPr>
          <w:rFonts w:eastAsia="Calibri" w:cstheme="minorHAnsi"/>
          <w:color w:val="000000" w:themeColor="text1"/>
        </w:rPr>
      </w:pPr>
    </w:p>
    <w:p w14:paraId="2DFDF6CB" w14:textId="1EA61748" w:rsidR="6225F5D5" w:rsidRPr="002B6F1B" w:rsidRDefault="6225F5D5" w:rsidP="6225F5D5">
      <w:pPr>
        <w:rPr>
          <w:rFonts w:eastAsia="Calibri" w:cstheme="minorHAnsi"/>
          <w:color w:val="000000" w:themeColor="text1"/>
        </w:rPr>
      </w:pPr>
    </w:p>
    <w:p w14:paraId="146645E0" w14:textId="111C4286" w:rsidR="6225F5D5" w:rsidRPr="002B6F1B" w:rsidRDefault="6225F5D5" w:rsidP="6225F5D5">
      <w:pPr>
        <w:rPr>
          <w:rFonts w:eastAsia="Calibri" w:cstheme="minorHAnsi"/>
          <w:color w:val="000000" w:themeColor="text1"/>
        </w:rPr>
      </w:pPr>
    </w:p>
    <w:p w14:paraId="6BEC3D0C" w14:textId="191923BF" w:rsidR="6225F5D5" w:rsidRPr="002B6F1B" w:rsidRDefault="6225F5D5" w:rsidP="6225F5D5">
      <w:pPr>
        <w:rPr>
          <w:rFonts w:eastAsia="Calibri" w:cstheme="minorHAnsi"/>
          <w:color w:val="000000" w:themeColor="text1"/>
        </w:rPr>
      </w:pPr>
    </w:p>
    <w:p w14:paraId="27A9C0D2" w14:textId="2CB49133" w:rsidR="6225F5D5" w:rsidRPr="002B6F1B" w:rsidRDefault="6225F5D5" w:rsidP="6225F5D5">
      <w:pPr>
        <w:rPr>
          <w:rFonts w:eastAsia="Calibri" w:cstheme="minorHAnsi"/>
          <w:color w:val="000000" w:themeColor="text1"/>
        </w:rPr>
      </w:pPr>
    </w:p>
    <w:p w14:paraId="67B9782E" w14:textId="2AF53026" w:rsidR="6225F5D5" w:rsidRPr="002B6F1B" w:rsidRDefault="6225F5D5" w:rsidP="6225F5D5">
      <w:pPr>
        <w:rPr>
          <w:rFonts w:eastAsia="Calibri" w:cstheme="minorHAnsi"/>
          <w:color w:val="000000" w:themeColor="text1"/>
        </w:rPr>
      </w:pPr>
    </w:p>
    <w:p w14:paraId="7A53FFA2" w14:textId="0DD6383E" w:rsidR="6225F5D5" w:rsidRPr="002B6F1B" w:rsidRDefault="6225F5D5" w:rsidP="6225F5D5">
      <w:pPr>
        <w:rPr>
          <w:rFonts w:eastAsia="Calibri" w:cstheme="minorHAnsi"/>
          <w:color w:val="000000" w:themeColor="text1"/>
        </w:rPr>
      </w:pPr>
    </w:p>
    <w:p w14:paraId="6E385865" w14:textId="02A40B8A" w:rsidR="002B6F1B" w:rsidRPr="002B6F1B" w:rsidRDefault="002B6F1B" w:rsidP="6225F5D5">
      <w:pPr>
        <w:rPr>
          <w:rFonts w:eastAsia="Calibri" w:cstheme="minorHAnsi"/>
          <w:color w:val="000000" w:themeColor="text1"/>
        </w:rPr>
      </w:pPr>
    </w:p>
    <w:p w14:paraId="6A5B4F86" w14:textId="4C06AFD5" w:rsidR="002B6F1B" w:rsidRPr="002B6F1B" w:rsidRDefault="002B6F1B" w:rsidP="6225F5D5">
      <w:pPr>
        <w:rPr>
          <w:rFonts w:eastAsia="Calibri" w:cstheme="minorHAnsi"/>
          <w:color w:val="000000" w:themeColor="text1"/>
        </w:rPr>
      </w:pPr>
    </w:p>
    <w:p w14:paraId="37945B4A" w14:textId="517F08B6" w:rsidR="002B6F1B" w:rsidRPr="002B6F1B" w:rsidRDefault="002B6F1B" w:rsidP="6225F5D5">
      <w:pPr>
        <w:rPr>
          <w:rFonts w:eastAsia="Calibri" w:cstheme="minorHAnsi"/>
          <w:color w:val="000000" w:themeColor="text1"/>
        </w:rPr>
      </w:pPr>
    </w:p>
    <w:p w14:paraId="117E1E5D" w14:textId="2E5F8D02" w:rsidR="002B6F1B" w:rsidRPr="002B6F1B" w:rsidRDefault="002B6F1B" w:rsidP="6225F5D5">
      <w:pPr>
        <w:rPr>
          <w:rFonts w:eastAsia="Calibri" w:cstheme="minorHAnsi"/>
          <w:color w:val="000000" w:themeColor="text1"/>
        </w:rPr>
      </w:pPr>
    </w:p>
    <w:p w14:paraId="22B15A8C" w14:textId="08EB7804" w:rsidR="002B6F1B" w:rsidRPr="002B6F1B" w:rsidRDefault="002B6F1B" w:rsidP="6225F5D5">
      <w:pPr>
        <w:rPr>
          <w:rFonts w:eastAsia="Calibri" w:cstheme="minorHAnsi"/>
          <w:color w:val="000000" w:themeColor="text1"/>
        </w:rPr>
      </w:pPr>
    </w:p>
    <w:p w14:paraId="4C67EC0C" w14:textId="49D763D9" w:rsidR="002B6F1B" w:rsidRPr="002B6F1B" w:rsidRDefault="002B6F1B" w:rsidP="6225F5D5">
      <w:pPr>
        <w:rPr>
          <w:rFonts w:eastAsia="Calibri" w:cstheme="minorHAnsi"/>
          <w:color w:val="000000" w:themeColor="text1"/>
        </w:rPr>
      </w:pPr>
    </w:p>
    <w:p w14:paraId="671E4D5A" w14:textId="108A6784" w:rsidR="002B6F1B" w:rsidRPr="002B6F1B" w:rsidRDefault="002B6F1B" w:rsidP="6225F5D5">
      <w:pPr>
        <w:rPr>
          <w:rFonts w:eastAsia="Calibri" w:cstheme="minorHAnsi"/>
          <w:color w:val="000000" w:themeColor="text1"/>
        </w:rPr>
      </w:pPr>
    </w:p>
    <w:p w14:paraId="28B1E30F" w14:textId="4B608174" w:rsidR="002B6F1B" w:rsidRPr="002B6F1B" w:rsidRDefault="002B6F1B" w:rsidP="6225F5D5">
      <w:pPr>
        <w:rPr>
          <w:rFonts w:eastAsia="Calibri" w:cstheme="minorHAnsi"/>
          <w:color w:val="000000" w:themeColor="text1"/>
        </w:rPr>
      </w:pPr>
    </w:p>
    <w:p w14:paraId="50531229" w14:textId="1DEC92A0" w:rsidR="002B6F1B" w:rsidRPr="002B6F1B" w:rsidRDefault="002B6F1B" w:rsidP="6225F5D5">
      <w:pPr>
        <w:rPr>
          <w:rFonts w:eastAsia="Calibri" w:cstheme="minorHAnsi"/>
          <w:color w:val="000000" w:themeColor="text1"/>
        </w:rPr>
      </w:pPr>
    </w:p>
    <w:p w14:paraId="17C1D4E7" w14:textId="02114E0E" w:rsidR="002B6F1B" w:rsidRPr="002B6F1B" w:rsidRDefault="002B6F1B" w:rsidP="6225F5D5">
      <w:pPr>
        <w:rPr>
          <w:rFonts w:eastAsia="Calibri" w:cstheme="minorHAnsi"/>
          <w:color w:val="000000" w:themeColor="text1"/>
        </w:rPr>
      </w:pPr>
    </w:p>
    <w:p w14:paraId="6CEC2209" w14:textId="39E2A0E5" w:rsidR="002B6F1B" w:rsidRPr="002B6F1B" w:rsidRDefault="002B6F1B" w:rsidP="6225F5D5">
      <w:pPr>
        <w:rPr>
          <w:rFonts w:eastAsia="Calibri" w:cstheme="minorHAnsi"/>
          <w:color w:val="000000" w:themeColor="text1"/>
        </w:rPr>
      </w:pPr>
    </w:p>
    <w:p w14:paraId="464331B4" w14:textId="1AD6AF4B" w:rsidR="002B6F1B" w:rsidRPr="002B6F1B" w:rsidRDefault="002B6F1B" w:rsidP="6225F5D5">
      <w:pPr>
        <w:rPr>
          <w:rFonts w:eastAsia="Calibri" w:cstheme="minorHAnsi"/>
          <w:color w:val="000000" w:themeColor="text1"/>
        </w:rPr>
      </w:pPr>
    </w:p>
    <w:p w14:paraId="390F8F1D" w14:textId="24F20E39" w:rsidR="002B6F1B" w:rsidRPr="002B6F1B" w:rsidRDefault="002B6F1B" w:rsidP="6225F5D5">
      <w:pPr>
        <w:rPr>
          <w:rFonts w:eastAsia="Calibri" w:cstheme="minorHAnsi"/>
          <w:color w:val="000000" w:themeColor="text1"/>
        </w:rPr>
      </w:pPr>
    </w:p>
    <w:p w14:paraId="75186D81" w14:textId="452DF509" w:rsidR="002B6F1B" w:rsidRPr="002B6F1B" w:rsidRDefault="002B6F1B" w:rsidP="6225F5D5">
      <w:pPr>
        <w:rPr>
          <w:rFonts w:eastAsia="Calibri" w:cstheme="minorHAnsi"/>
          <w:color w:val="000000" w:themeColor="text1"/>
        </w:rPr>
      </w:pPr>
    </w:p>
    <w:p w14:paraId="0F1E27D3" w14:textId="12EA7D0E" w:rsidR="002B6F1B" w:rsidRPr="002B6F1B" w:rsidRDefault="002B6F1B" w:rsidP="6225F5D5">
      <w:pPr>
        <w:rPr>
          <w:rFonts w:eastAsia="Calibri" w:cstheme="minorHAnsi"/>
          <w:color w:val="000000" w:themeColor="text1"/>
        </w:rPr>
      </w:pPr>
    </w:p>
    <w:p w14:paraId="48CC4CCA" w14:textId="60AABEE4" w:rsidR="002B6F1B" w:rsidRPr="002B6F1B" w:rsidRDefault="002B6F1B" w:rsidP="6225F5D5">
      <w:pPr>
        <w:rPr>
          <w:rFonts w:eastAsia="Calibri" w:cstheme="minorHAnsi"/>
          <w:color w:val="000000" w:themeColor="text1"/>
        </w:rPr>
      </w:pPr>
    </w:p>
    <w:p w14:paraId="116A250C" w14:textId="77777777" w:rsidR="002B6F1B" w:rsidRPr="002B6F1B" w:rsidRDefault="002B6F1B" w:rsidP="6225F5D5">
      <w:pPr>
        <w:rPr>
          <w:rFonts w:eastAsia="Calibri" w:cstheme="minorHAnsi"/>
          <w:color w:val="000000" w:themeColor="text1"/>
        </w:rPr>
      </w:pPr>
    </w:p>
    <w:p w14:paraId="286C9831" w14:textId="190E9F6C" w:rsidR="084D601C" w:rsidRPr="002B6F1B" w:rsidRDefault="084D601C" w:rsidP="6225F5D5">
      <w:pPr>
        <w:rPr>
          <w:rFonts w:eastAsia="Calibri" w:cstheme="minorHAnsi"/>
          <w:color w:val="000000" w:themeColor="text1"/>
        </w:rPr>
      </w:pPr>
      <w:r w:rsidRPr="002B6F1B">
        <w:rPr>
          <w:rFonts w:eastAsia="Calibri" w:cstheme="minorHAnsi"/>
          <w:b/>
          <w:bCs/>
          <w:color w:val="000000" w:themeColor="text1"/>
          <w:u w:val="single"/>
        </w:rPr>
        <w:lastRenderedPageBreak/>
        <w:t xml:space="preserve">6. </w:t>
      </w:r>
      <w:proofErr w:type="gramStart"/>
      <w:r w:rsidRPr="002B6F1B">
        <w:rPr>
          <w:rFonts w:eastAsia="Calibri" w:cstheme="minorHAnsi"/>
          <w:b/>
          <w:bCs/>
          <w:color w:val="000000" w:themeColor="text1"/>
          <w:u w:val="single"/>
        </w:rPr>
        <w:t>Explain briefly</w:t>
      </w:r>
      <w:proofErr w:type="gramEnd"/>
      <w:r w:rsidRPr="002B6F1B">
        <w:rPr>
          <w:rFonts w:eastAsia="Calibri" w:cstheme="minorHAnsi"/>
          <w:b/>
          <w:bCs/>
          <w:color w:val="000000" w:themeColor="text1"/>
          <w:u w:val="single"/>
        </w:rPr>
        <w:t xml:space="preserve"> the main requirements of unfair dismissal law in respect of: (a) capability (b) misconduct (c) grievance.</w:t>
      </w:r>
    </w:p>
    <w:p w14:paraId="21A10622" w14:textId="2480DECE"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 xml:space="preserve">People who are eligible to claim for unfair dismissals are employees who have continuous service for at least two years, unless started work before the </w:t>
      </w:r>
      <w:proofErr w:type="gramStart"/>
      <w:r w:rsidRPr="002B6F1B">
        <w:rPr>
          <w:rFonts w:eastAsia="Calibri" w:cstheme="minorHAnsi"/>
          <w:color w:val="000000" w:themeColor="text1"/>
        </w:rPr>
        <w:t>6</w:t>
      </w:r>
      <w:r w:rsidRPr="002B6F1B">
        <w:rPr>
          <w:rFonts w:eastAsia="Calibri" w:cstheme="minorHAnsi"/>
          <w:color w:val="000000" w:themeColor="text1"/>
          <w:vertAlign w:val="superscript"/>
        </w:rPr>
        <w:t>th</w:t>
      </w:r>
      <w:proofErr w:type="gramEnd"/>
      <w:r w:rsidRPr="002B6F1B">
        <w:rPr>
          <w:rFonts w:eastAsia="Calibri" w:cstheme="minorHAnsi"/>
          <w:color w:val="000000" w:themeColor="text1"/>
        </w:rPr>
        <w:t xml:space="preserve"> April 2012 where only one year of continuous service is needed. Continuous service is not needed if the dismissal was automatically unfair such as discrimination laws. People with illegal contract and people employed in the police service are not eligible.</w:t>
      </w:r>
    </w:p>
    <w:p w14:paraId="74201FFE" w14:textId="39D28945"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Capability can be described as skill, relevant qualifications for the position or health. An employer should ensure the employee understands the requirements of the job at recruitment stage/induction, act upon any training the employee needs, clearly explain the penalty for not meeting required standards and assist the employee with further training if the employee still cannot meet the required standards before taking disciplinary action.</w:t>
      </w:r>
    </w:p>
    <w:p w14:paraId="2D3F0558" w14:textId="4753F635" w:rsidR="084D601C" w:rsidRPr="002B6F1B" w:rsidRDefault="002B6F1B" w:rsidP="6225F5D5">
      <w:pPr>
        <w:rPr>
          <w:rFonts w:eastAsia="Calibri" w:cstheme="minorHAnsi"/>
          <w:color w:val="000000" w:themeColor="text1"/>
        </w:rPr>
      </w:pPr>
      <w:proofErr w:type="gramStart"/>
      <w:r w:rsidRPr="002B6F1B">
        <w:rPr>
          <w:rFonts w:eastAsia="Calibri" w:cstheme="minorHAnsi"/>
          <w:color w:val="000000" w:themeColor="text1"/>
        </w:rPr>
        <w:t>In regard to</w:t>
      </w:r>
      <w:proofErr w:type="gramEnd"/>
      <w:r w:rsidR="084D601C" w:rsidRPr="002B6F1B">
        <w:rPr>
          <w:rFonts w:eastAsia="Calibri" w:cstheme="minorHAnsi"/>
          <w:color w:val="000000" w:themeColor="text1"/>
        </w:rPr>
        <w:t xml:space="preserve"> ill health, the employer should be aware of the Equality Act 2010, the nature of the illness and consider if the business can cope with the length of absence the employee needs to take for their health (Daniels, 2019, p. 163).</w:t>
      </w:r>
    </w:p>
    <w:p w14:paraId="0FA2F6AE" w14:textId="10C5BE53"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 xml:space="preserve">The two types of misconduct are ordinary misconduct and gross misconduct (Taylor and Wilkinson, 2016, pp. 41-42). Gross misconduct can result in a </w:t>
      </w:r>
      <w:r w:rsidR="0A48D255" w:rsidRPr="002B6F1B">
        <w:rPr>
          <w:rFonts w:eastAsia="Calibri" w:cstheme="minorHAnsi"/>
          <w:color w:val="000000" w:themeColor="text1"/>
        </w:rPr>
        <w:t>summary</w:t>
      </w:r>
      <w:r w:rsidRPr="002B6F1B">
        <w:rPr>
          <w:rFonts w:eastAsia="Calibri" w:cstheme="minorHAnsi"/>
          <w:color w:val="000000" w:themeColor="text1"/>
        </w:rPr>
        <w:t xml:space="preserve"> dismissal and examples include theft and assault. Ordinary misconduct is usually dealt with through disciplinary warnings and is a less serious offence. However, if the behaviour continuous and can end in dismissal. Examples include bad language and poor </w:t>
      </w:r>
      <w:r w:rsidR="002B6F1B" w:rsidRPr="002B6F1B">
        <w:rPr>
          <w:rFonts w:eastAsia="Calibri" w:cstheme="minorHAnsi"/>
          <w:color w:val="000000" w:themeColor="text1"/>
        </w:rPr>
        <w:t>timekeeping</w:t>
      </w:r>
      <w:r w:rsidRPr="002B6F1B">
        <w:rPr>
          <w:rFonts w:eastAsia="Calibri" w:cstheme="minorHAnsi"/>
          <w:color w:val="000000" w:themeColor="text1"/>
        </w:rPr>
        <w:t xml:space="preserve"> (Daniels, 2019, p. 165).</w:t>
      </w:r>
    </w:p>
    <w:p w14:paraId="24F6F4A6" w14:textId="4EEA1464"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Dismissal for misconduct can be fair but the employer must show that they dealt with the situation in a reasonable way. The Burchell Test can be used to determine this. This looks in to whether the employer believed the was guilty or the misconduct, if the employer can base this belief on reasonable grounds and if this decision was come to after a reasonable investigation (</w:t>
      </w:r>
      <w:proofErr w:type="spellStart"/>
      <w:r w:rsidRPr="002B6F1B">
        <w:rPr>
          <w:rFonts w:eastAsia="Calibri" w:cstheme="minorHAnsi"/>
          <w:color w:val="000000" w:themeColor="text1"/>
        </w:rPr>
        <w:t>Swinn</w:t>
      </w:r>
      <w:proofErr w:type="spellEnd"/>
      <w:r w:rsidRPr="002B6F1B">
        <w:rPr>
          <w:rFonts w:eastAsia="Calibri" w:cstheme="minorHAnsi"/>
          <w:color w:val="000000" w:themeColor="text1"/>
        </w:rPr>
        <w:t>, 2018).</w:t>
      </w:r>
    </w:p>
    <w:p w14:paraId="6BC43C50" w14:textId="5D269F67"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Organisations should follow the ACAS Code of Practice: Disciplinary and Grievance Procedures. If they do not follow this it is not automatically an unfair dismissal but need good reasons not to follow it.</w:t>
      </w:r>
    </w:p>
    <w:tbl>
      <w:tblPr>
        <w:tblStyle w:val="TableGrid"/>
        <w:tblW w:w="0" w:type="auto"/>
        <w:tblLayout w:type="fixed"/>
        <w:tblLook w:val="06A0" w:firstRow="1" w:lastRow="0" w:firstColumn="1" w:lastColumn="0" w:noHBand="1" w:noVBand="1"/>
      </w:tblPr>
      <w:tblGrid>
        <w:gridCol w:w="1413"/>
        <w:gridCol w:w="8930"/>
      </w:tblGrid>
      <w:tr w:rsidR="6225F5D5" w:rsidRPr="002B6F1B" w14:paraId="124E6E35" w14:textId="77777777" w:rsidTr="002B6F1B">
        <w:tc>
          <w:tcPr>
            <w:tcW w:w="1413" w:type="dxa"/>
          </w:tcPr>
          <w:p w14:paraId="5361E229" w14:textId="62879892" w:rsidR="6225F5D5" w:rsidRPr="002B6F1B" w:rsidRDefault="6225F5D5" w:rsidP="6225F5D5">
            <w:pPr>
              <w:spacing w:line="259" w:lineRule="auto"/>
              <w:rPr>
                <w:rFonts w:eastAsia="Calibri" w:cstheme="minorHAnsi"/>
              </w:rPr>
            </w:pPr>
            <w:r w:rsidRPr="002B6F1B">
              <w:rPr>
                <w:rFonts w:eastAsia="Calibri" w:cstheme="minorHAnsi"/>
                <w:lang w:val="en-US"/>
              </w:rPr>
              <w:t>Stage 1</w:t>
            </w:r>
          </w:p>
        </w:tc>
        <w:tc>
          <w:tcPr>
            <w:tcW w:w="8930" w:type="dxa"/>
          </w:tcPr>
          <w:p w14:paraId="52E257BF" w14:textId="3540FA08" w:rsidR="6225F5D5" w:rsidRPr="002B6F1B" w:rsidRDefault="6225F5D5" w:rsidP="6225F5D5">
            <w:pPr>
              <w:pStyle w:val="ListParagraph"/>
              <w:numPr>
                <w:ilvl w:val="0"/>
                <w:numId w:val="6"/>
              </w:numPr>
              <w:spacing w:after="160" w:line="259" w:lineRule="auto"/>
              <w:rPr>
                <w:rFonts w:eastAsiaTheme="minorEastAsia" w:cstheme="minorHAnsi"/>
              </w:rPr>
            </w:pPr>
            <w:r w:rsidRPr="002B6F1B">
              <w:rPr>
                <w:rFonts w:eastAsia="Calibri" w:cstheme="minorHAnsi"/>
                <w:lang w:val="en-US"/>
              </w:rPr>
              <w:t xml:space="preserve">Written notification from employer to employee explaining grounds for looking </w:t>
            </w:r>
            <w:proofErr w:type="gramStart"/>
            <w:r w:rsidRPr="002B6F1B">
              <w:rPr>
                <w:rFonts w:eastAsia="Calibri" w:cstheme="minorHAnsi"/>
                <w:lang w:val="en-US"/>
              </w:rPr>
              <w:t>in to</w:t>
            </w:r>
            <w:proofErr w:type="gramEnd"/>
            <w:r w:rsidRPr="002B6F1B">
              <w:rPr>
                <w:rFonts w:eastAsia="Calibri" w:cstheme="minorHAnsi"/>
                <w:lang w:val="en-US"/>
              </w:rPr>
              <w:t xml:space="preserve"> disciplinary action.</w:t>
            </w:r>
          </w:p>
          <w:p w14:paraId="40AD11B7" w14:textId="35A4930C" w:rsidR="6225F5D5" w:rsidRPr="002B6F1B" w:rsidRDefault="6225F5D5" w:rsidP="6225F5D5">
            <w:pPr>
              <w:pStyle w:val="ListParagraph"/>
              <w:numPr>
                <w:ilvl w:val="0"/>
                <w:numId w:val="6"/>
              </w:numPr>
              <w:spacing w:after="160" w:line="259" w:lineRule="auto"/>
              <w:rPr>
                <w:rFonts w:eastAsiaTheme="minorEastAsia" w:cstheme="minorHAnsi"/>
              </w:rPr>
            </w:pPr>
            <w:r w:rsidRPr="002B6F1B">
              <w:rPr>
                <w:rFonts w:eastAsia="Calibri" w:cstheme="minorHAnsi"/>
                <w:lang w:val="en-US"/>
              </w:rPr>
              <w:t>Invite to employee to discuss allegations.</w:t>
            </w:r>
          </w:p>
          <w:p w14:paraId="3F0BF089" w14:textId="357F00CF" w:rsidR="6225F5D5" w:rsidRPr="002B6F1B" w:rsidRDefault="6225F5D5" w:rsidP="6225F5D5">
            <w:pPr>
              <w:pStyle w:val="ListParagraph"/>
              <w:numPr>
                <w:ilvl w:val="0"/>
                <w:numId w:val="6"/>
              </w:numPr>
              <w:spacing w:after="160" w:line="259" w:lineRule="auto"/>
              <w:rPr>
                <w:rFonts w:eastAsiaTheme="minorEastAsia" w:cstheme="minorHAnsi"/>
              </w:rPr>
            </w:pPr>
            <w:r w:rsidRPr="002B6F1B">
              <w:rPr>
                <w:rFonts w:eastAsia="Calibri" w:cstheme="minorHAnsi"/>
                <w:lang w:val="en-US"/>
              </w:rPr>
              <w:t>Documents/evidence relied on by employer need to be attached.</w:t>
            </w:r>
          </w:p>
        </w:tc>
      </w:tr>
      <w:tr w:rsidR="6225F5D5" w:rsidRPr="002B6F1B" w14:paraId="28787074" w14:textId="77777777" w:rsidTr="002B6F1B">
        <w:tc>
          <w:tcPr>
            <w:tcW w:w="1413" w:type="dxa"/>
          </w:tcPr>
          <w:p w14:paraId="11481C6C" w14:textId="10B67A82" w:rsidR="6225F5D5" w:rsidRPr="002B6F1B" w:rsidRDefault="6225F5D5" w:rsidP="6225F5D5">
            <w:pPr>
              <w:spacing w:line="259" w:lineRule="auto"/>
              <w:rPr>
                <w:rFonts w:eastAsia="Calibri" w:cstheme="minorHAnsi"/>
              </w:rPr>
            </w:pPr>
            <w:r w:rsidRPr="002B6F1B">
              <w:rPr>
                <w:rFonts w:eastAsia="Calibri" w:cstheme="minorHAnsi"/>
                <w:lang w:val="en-US"/>
              </w:rPr>
              <w:t>Stage 2</w:t>
            </w:r>
          </w:p>
          <w:p w14:paraId="26BCB6E1" w14:textId="5549166E" w:rsidR="6225F5D5" w:rsidRPr="002B6F1B" w:rsidRDefault="6225F5D5" w:rsidP="6225F5D5">
            <w:pPr>
              <w:spacing w:line="259" w:lineRule="auto"/>
              <w:rPr>
                <w:rFonts w:eastAsia="Calibri" w:cstheme="minorHAnsi"/>
              </w:rPr>
            </w:pPr>
          </w:p>
        </w:tc>
        <w:tc>
          <w:tcPr>
            <w:tcW w:w="8930" w:type="dxa"/>
          </w:tcPr>
          <w:p w14:paraId="66501151" w14:textId="103A493A" w:rsidR="6225F5D5" w:rsidRPr="002B6F1B" w:rsidRDefault="6225F5D5" w:rsidP="6225F5D5">
            <w:pPr>
              <w:pStyle w:val="ListParagraph"/>
              <w:numPr>
                <w:ilvl w:val="0"/>
                <w:numId w:val="5"/>
              </w:numPr>
              <w:spacing w:after="160" w:line="259" w:lineRule="auto"/>
              <w:rPr>
                <w:rFonts w:eastAsiaTheme="minorEastAsia" w:cstheme="minorHAnsi"/>
              </w:rPr>
            </w:pPr>
            <w:r w:rsidRPr="002B6F1B">
              <w:rPr>
                <w:rFonts w:eastAsia="Calibri" w:cstheme="minorHAnsi"/>
                <w:lang w:val="en-US"/>
              </w:rPr>
              <w:t>Meeting held at reasonable time and location for employee.</w:t>
            </w:r>
          </w:p>
          <w:p w14:paraId="2C3E6334" w14:textId="43DD7815" w:rsidR="6225F5D5" w:rsidRPr="002B6F1B" w:rsidRDefault="6225F5D5" w:rsidP="6225F5D5">
            <w:pPr>
              <w:pStyle w:val="ListParagraph"/>
              <w:numPr>
                <w:ilvl w:val="0"/>
                <w:numId w:val="5"/>
              </w:numPr>
              <w:spacing w:after="160" w:line="259" w:lineRule="auto"/>
              <w:rPr>
                <w:rFonts w:eastAsiaTheme="minorEastAsia" w:cstheme="minorHAnsi"/>
              </w:rPr>
            </w:pPr>
            <w:r w:rsidRPr="002B6F1B">
              <w:rPr>
                <w:rFonts w:eastAsia="Calibri" w:cstheme="minorHAnsi"/>
                <w:lang w:val="en-US"/>
              </w:rPr>
              <w:t>Give opportunity for employee to explain.</w:t>
            </w:r>
          </w:p>
          <w:p w14:paraId="7D5F86B1" w14:textId="222BC1B3" w:rsidR="6225F5D5" w:rsidRPr="002B6F1B" w:rsidRDefault="6225F5D5" w:rsidP="6225F5D5">
            <w:pPr>
              <w:pStyle w:val="ListParagraph"/>
              <w:numPr>
                <w:ilvl w:val="0"/>
                <w:numId w:val="5"/>
              </w:numPr>
              <w:spacing w:after="160" w:line="259" w:lineRule="auto"/>
              <w:rPr>
                <w:rFonts w:eastAsiaTheme="minorEastAsia" w:cstheme="minorHAnsi"/>
              </w:rPr>
            </w:pPr>
            <w:r w:rsidRPr="002B6F1B">
              <w:rPr>
                <w:rFonts w:eastAsia="Calibri" w:cstheme="minorHAnsi"/>
                <w:lang w:val="en-US"/>
              </w:rPr>
              <w:t>Inform employee of any disciplinary action after the meeting</w:t>
            </w:r>
          </w:p>
        </w:tc>
      </w:tr>
      <w:tr w:rsidR="6225F5D5" w:rsidRPr="002B6F1B" w14:paraId="73FC83CD" w14:textId="77777777" w:rsidTr="002B6F1B">
        <w:tc>
          <w:tcPr>
            <w:tcW w:w="1413" w:type="dxa"/>
          </w:tcPr>
          <w:p w14:paraId="608206BD" w14:textId="004446AE" w:rsidR="6225F5D5" w:rsidRPr="002B6F1B" w:rsidRDefault="6225F5D5" w:rsidP="6225F5D5">
            <w:pPr>
              <w:spacing w:line="259" w:lineRule="auto"/>
              <w:rPr>
                <w:rFonts w:eastAsia="Calibri" w:cstheme="minorHAnsi"/>
              </w:rPr>
            </w:pPr>
            <w:r w:rsidRPr="002B6F1B">
              <w:rPr>
                <w:rFonts w:eastAsia="Calibri" w:cstheme="minorHAnsi"/>
                <w:lang w:val="en-US"/>
              </w:rPr>
              <w:t>Stage 3</w:t>
            </w:r>
          </w:p>
          <w:p w14:paraId="6C0100AB" w14:textId="51A4FF8C" w:rsidR="6225F5D5" w:rsidRPr="002B6F1B" w:rsidRDefault="6225F5D5" w:rsidP="6225F5D5">
            <w:pPr>
              <w:spacing w:line="259" w:lineRule="auto"/>
              <w:rPr>
                <w:rFonts w:eastAsia="Calibri" w:cstheme="minorHAnsi"/>
              </w:rPr>
            </w:pPr>
          </w:p>
        </w:tc>
        <w:tc>
          <w:tcPr>
            <w:tcW w:w="8930" w:type="dxa"/>
          </w:tcPr>
          <w:p w14:paraId="297BBAD5" w14:textId="38C7A8BB" w:rsidR="6225F5D5" w:rsidRPr="002B6F1B" w:rsidRDefault="6225F5D5" w:rsidP="6225F5D5">
            <w:pPr>
              <w:pStyle w:val="ListParagraph"/>
              <w:numPr>
                <w:ilvl w:val="0"/>
                <w:numId w:val="4"/>
              </w:numPr>
              <w:spacing w:after="160" w:line="259" w:lineRule="auto"/>
              <w:rPr>
                <w:rFonts w:eastAsiaTheme="minorEastAsia" w:cstheme="minorHAnsi"/>
              </w:rPr>
            </w:pPr>
            <w:r w:rsidRPr="002B6F1B">
              <w:rPr>
                <w:rFonts w:eastAsia="Calibri" w:cstheme="minorHAnsi"/>
                <w:lang w:val="en-US"/>
              </w:rPr>
              <w:t>Employee can appeal against disciplinary action.</w:t>
            </w:r>
          </w:p>
          <w:p w14:paraId="77A979A9" w14:textId="5FE925FD" w:rsidR="6225F5D5" w:rsidRPr="002B6F1B" w:rsidRDefault="6225F5D5" w:rsidP="6225F5D5">
            <w:pPr>
              <w:pStyle w:val="ListParagraph"/>
              <w:numPr>
                <w:ilvl w:val="0"/>
                <w:numId w:val="4"/>
              </w:numPr>
              <w:spacing w:after="160" w:line="259" w:lineRule="auto"/>
              <w:rPr>
                <w:rFonts w:eastAsiaTheme="minorEastAsia" w:cstheme="minorHAnsi"/>
              </w:rPr>
            </w:pPr>
            <w:r w:rsidRPr="002B6F1B">
              <w:rPr>
                <w:rFonts w:eastAsia="Calibri" w:cstheme="minorHAnsi"/>
                <w:lang w:val="en-US"/>
              </w:rPr>
              <w:t>Meeting held at reasonable time and location for employee.</w:t>
            </w:r>
          </w:p>
          <w:p w14:paraId="3A20A3F9" w14:textId="6996D842" w:rsidR="6225F5D5" w:rsidRPr="002B6F1B" w:rsidRDefault="6225F5D5" w:rsidP="6225F5D5">
            <w:pPr>
              <w:pStyle w:val="ListParagraph"/>
              <w:numPr>
                <w:ilvl w:val="0"/>
                <w:numId w:val="4"/>
              </w:numPr>
              <w:spacing w:after="160" w:line="259" w:lineRule="auto"/>
              <w:rPr>
                <w:rFonts w:eastAsiaTheme="minorEastAsia" w:cstheme="minorHAnsi"/>
              </w:rPr>
            </w:pPr>
            <w:r w:rsidRPr="002B6F1B">
              <w:rPr>
                <w:rFonts w:eastAsia="Calibri" w:cstheme="minorHAnsi"/>
                <w:lang w:val="en-US"/>
              </w:rPr>
              <w:t>Give opportunity to employee to explain.</w:t>
            </w:r>
          </w:p>
          <w:p w14:paraId="1D2A84BB" w14:textId="1CAA8296" w:rsidR="6225F5D5" w:rsidRPr="002B6F1B" w:rsidRDefault="6225F5D5" w:rsidP="6225F5D5">
            <w:pPr>
              <w:pStyle w:val="ListParagraph"/>
              <w:numPr>
                <w:ilvl w:val="0"/>
                <w:numId w:val="4"/>
              </w:numPr>
              <w:spacing w:after="160" w:line="259" w:lineRule="auto"/>
              <w:rPr>
                <w:rFonts w:eastAsiaTheme="minorEastAsia" w:cstheme="minorHAnsi"/>
              </w:rPr>
            </w:pPr>
            <w:r w:rsidRPr="002B6F1B">
              <w:rPr>
                <w:rFonts w:eastAsia="Calibri" w:cstheme="minorHAnsi"/>
                <w:lang w:val="en-US"/>
              </w:rPr>
              <w:t>Meeting needs to be heard by a more senior manager than the one wanting to dismiss the employee and they should not have been originally involved in the decision to dismiss the employee originally.</w:t>
            </w:r>
          </w:p>
        </w:tc>
      </w:tr>
    </w:tbl>
    <w:p w14:paraId="6739AEC9" w14:textId="3E380152"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(Daniels, 2019, p. 171).</w:t>
      </w:r>
    </w:p>
    <w:p w14:paraId="31E1F8EA" w14:textId="06BEB76A"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Fundamental principles include acting promptly/no delays and consistency in addressing disciplinaries. Employers should investigate appropriately and should allow employee to respond to their facts that they investigated before making any decisions. Employees can be accompanied at disciplinary meeting employers should allow the employee to appeal (Daniels, 2019, pp. 171-172).</w:t>
      </w:r>
    </w:p>
    <w:p w14:paraId="1E150CA8" w14:textId="41D8C20F"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Warnings can include a verbal warning (but this is not covered by ACAS) (CIPD, 2020</w:t>
      </w:r>
      <w:r w:rsidR="7E22E88C" w:rsidRPr="002B6F1B">
        <w:rPr>
          <w:rFonts w:eastAsia="Calibri" w:cstheme="minorHAnsi"/>
          <w:color w:val="000000" w:themeColor="text1"/>
        </w:rPr>
        <w:t>c</w:t>
      </w:r>
      <w:r w:rsidRPr="002B6F1B">
        <w:rPr>
          <w:rFonts w:eastAsia="Calibri" w:cstheme="minorHAnsi"/>
          <w:color w:val="000000" w:themeColor="text1"/>
        </w:rPr>
        <w:t>), a formal written warning which lasts 6 months on employee’s record, and a final written warning that lasts 12 months on employee’s record (Daniels, 2019, p. 173).</w:t>
      </w:r>
    </w:p>
    <w:p w14:paraId="3ECF3ABE" w14:textId="09E1BFF5" w:rsidR="1321F4C3" w:rsidRPr="002B6F1B" w:rsidRDefault="1321F4C3" w:rsidP="6225F5D5">
      <w:pPr>
        <w:rPr>
          <w:rFonts w:eastAsia="Calibri" w:cstheme="minorHAnsi"/>
          <w:color w:val="000000" w:themeColor="text1"/>
        </w:rPr>
      </w:pPr>
      <w:r w:rsidRPr="002B6F1B">
        <w:rPr>
          <w:rFonts w:eastAsia="Calibri" w:cstheme="minorHAnsi"/>
          <w:color w:val="000000" w:themeColor="text1"/>
        </w:rPr>
        <w:lastRenderedPageBreak/>
        <w:t>Whistle-blowers</w:t>
      </w:r>
      <w:r w:rsidR="084D601C" w:rsidRPr="002B6F1B">
        <w:rPr>
          <w:rFonts w:eastAsia="Calibri" w:cstheme="minorHAnsi"/>
          <w:color w:val="000000" w:themeColor="text1"/>
        </w:rPr>
        <w:t xml:space="preserve"> are given protection from the Public Interest Disclosure Act 1998. A ‘qualifying disclosure’ is central to the act and these can be a criminal offence, not complying with legal obligations, miscarriage of justice, health and safety dangers and causing environmental damage (Taylor and Wilkinson, 2016, p. 45).</w:t>
      </w:r>
    </w:p>
    <w:tbl>
      <w:tblPr>
        <w:tblStyle w:val="TableGrid"/>
        <w:tblW w:w="0" w:type="auto"/>
        <w:tblLayout w:type="fixed"/>
        <w:tblLook w:val="06A0" w:firstRow="1" w:lastRow="0" w:firstColumn="1" w:lastColumn="0" w:noHBand="1" w:noVBand="1"/>
      </w:tblPr>
      <w:tblGrid>
        <w:gridCol w:w="1413"/>
        <w:gridCol w:w="8788"/>
      </w:tblGrid>
      <w:tr w:rsidR="6225F5D5" w:rsidRPr="002B6F1B" w14:paraId="1D897B0D" w14:textId="77777777" w:rsidTr="002B6F1B">
        <w:tc>
          <w:tcPr>
            <w:tcW w:w="1413" w:type="dxa"/>
          </w:tcPr>
          <w:p w14:paraId="6304EBAC" w14:textId="0D4A1E11" w:rsidR="6225F5D5" w:rsidRPr="002B6F1B" w:rsidRDefault="6225F5D5" w:rsidP="6225F5D5">
            <w:pPr>
              <w:spacing w:line="259" w:lineRule="auto"/>
              <w:rPr>
                <w:rFonts w:eastAsia="Calibri" w:cstheme="minorHAnsi"/>
              </w:rPr>
            </w:pPr>
            <w:r w:rsidRPr="002B6F1B">
              <w:rPr>
                <w:rFonts w:eastAsia="Calibri" w:cstheme="minorHAnsi"/>
                <w:lang w:val="en-US"/>
              </w:rPr>
              <w:t>Stage 1</w:t>
            </w:r>
          </w:p>
        </w:tc>
        <w:tc>
          <w:tcPr>
            <w:tcW w:w="8788" w:type="dxa"/>
          </w:tcPr>
          <w:p w14:paraId="23B720E0" w14:textId="44FDC237" w:rsidR="6225F5D5" w:rsidRPr="002B6F1B" w:rsidRDefault="6225F5D5" w:rsidP="6225F5D5">
            <w:pPr>
              <w:pStyle w:val="ListParagraph"/>
              <w:numPr>
                <w:ilvl w:val="0"/>
                <w:numId w:val="3"/>
              </w:numPr>
              <w:spacing w:after="160" w:line="259" w:lineRule="auto"/>
              <w:rPr>
                <w:rFonts w:eastAsiaTheme="minorEastAsia" w:cstheme="minorHAnsi"/>
              </w:rPr>
            </w:pPr>
            <w:r w:rsidRPr="002B6F1B">
              <w:rPr>
                <w:rFonts w:eastAsia="Calibri" w:cstheme="minorHAnsi"/>
                <w:lang w:val="en-US"/>
              </w:rPr>
              <w:t>Employee writes to employer to explain grievance</w:t>
            </w:r>
          </w:p>
        </w:tc>
      </w:tr>
      <w:tr w:rsidR="6225F5D5" w:rsidRPr="002B6F1B" w14:paraId="73B6ECF4" w14:textId="77777777" w:rsidTr="002B6F1B">
        <w:tc>
          <w:tcPr>
            <w:tcW w:w="1413" w:type="dxa"/>
          </w:tcPr>
          <w:p w14:paraId="09481543" w14:textId="0DC56B4D" w:rsidR="6225F5D5" w:rsidRPr="002B6F1B" w:rsidRDefault="6225F5D5" w:rsidP="6225F5D5">
            <w:pPr>
              <w:spacing w:line="259" w:lineRule="auto"/>
              <w:rPr>
                <w:rFonts w:eastAsia="Calibri" w:cstheme="minorHAnsi"/>
              </w:rPr>
            </w:pPr>
            <w:r w:rsidRPr="002B6F1B">
              <w:rPr>
                <w:rFonts w:eastAsia="Calibri" w:cstheme="minorHAnsi"/>
                <w:lang w:val="en-US"/>
              </w:rPr>
              <w:t>Stage 2</w:t>
            </w:r>
          </w:p>
          <w:p w14:paraId="586C7FBC" w14:textId="72685669" w:rsidR="6225F5D5" w:rsidRPr="002B6F1B" w:rsidRDefault="6225F5D5" w:rsidP="6225F5D5">
            <w:pPr>
              <w:spacing w:line="259" w:lineRule="auto"/>
              <w:rPr>
                <w:rFonts w:eastAsia="Calibri" w:cstheme="minorHAnsi"/>
              </w:rPr>
            </w:pPr>
          </w:p>
        </w:tc>
        <w:tc>
          <w:tcPr>
            <w:tcW w:w="8788" w:type="dxa"/>
          </w:tcPr>
          <w:p w14:paraId="49710E2C" w14:textId="2FEDE484" w:rsidR="6225F5D5" w:rsidRPr="002B6F1B" w:rsidRDefault="6225F5D5" w:rsidP="6225F5D5">
            <w:pPr>
              <w:pStyle w:val="ListParagraph"/>
              <w:numPr>
                <w:ilvl w:val="0"/>
                <w:numId w:val="2"/>
              </w:numPr>
              <w:spacing w:after="160" w:line="259" w:lineRule="auto"/>
              <w:rPr>
                <w:rFonts w:eastAsiaTheme="minorEastAsia" w:cstheme="minorHAnsi"/>
              </w:rPr>
            </w:pPr>
            <w:r w:rsidRPr="002B6F1B">
              <w:rPr>
                <w:rFonts w:eastAsia="Calibri" w:cstheme="minorHAnsi"/>
                <w:lang w:val="en-US"/>
              </w:rPr>
              <w:t>Employer arranges meeting with employee.</w:t>
            </w:r>
          </w:p>
          <w:p w14:paraId="4B00E56F" w14:textId="1A1FB03A" w:rsidR="6225F5D5" w:rsidRPr="002B6F1B" w:rsidRDefault="6225F5D5" w:rsidP="6225F5D5">
            <w:pPr>
              <w:pStyle w:val="ListParagraph"/>
              <w:numPr>
                <w:ilvl w:val="0"/>
                <w:numId w:val="2"/>
              </w:numPr>
              <w:spacing w:after="160" w:line="259" w:lineRule="auto"/>
              <w:rPr>
                <w:rFonts w:eastAsiaTheme="minorEastAsia" w:cstheme="minorHAnsi"/>
              </w:rPr>
            </w:pPr>
            <w:r w:rsidRPr="002B6F1B">
              <w:rPr>
                <w:rFonts w:eastAsia="Calibri" w:cstheme="minorHAnsi"/>
                <w:lang w:val="en-US"/>
              </w:rPr>
              <w:t>Meeting held at reasonable time and location for employee.</w:t>
            </w:r>
          </w:p>
          <w:p w14:paraId="266C17E2" w14:textId="3263FFF9" w:rsidR="6225F5D5" w:rsidRPr="002B6F1B" w:rsidRDefault="6225F5D5" w:rsidP="6225F5D5">
            <w:pPr>
              <w:pStyle w:val="ListParagraph"/>
              <w:numPr>
                <w:ilvl w:val="0"/>
                <w:numId w:val="2"/>
              </w:numPr>
              <w:spacing w:after="160" w:line="259" w:lineRule="auto"/>
              <w:rPr>
                <w:rFonts w:eastAsiaTheme="minorEastAsia" w:cstheme="minorHAnsi"/>
              </w:rPr>
            </w:pPr>
            <w:r w:rsidRPr="002B6F1B">
              <w:rPr>
                <w:rFonts w:eastAsia="Calibri" w:cstheme="minorHAnsi"/>
                <w:lang w:val="en-US"/>
              </w:rPr>
              <w:t>Give opportunity for employee to explain.</w:t>
            </w:r>
          </w:p>
          <w:p w14:paraId="57EF1037" w14:textId="1EB3A6DF" w:rsidR="6225F5D5" w:rsidRPr="002B6F1B" w:rsidRDefault="6225F5D5" w:rsidP="6225F5D5">
            <w:pPr>
              <w:pStyle w:val="ListParagraph"/>
              <w:numPr>
                <w:ilvl w:val="0"/>
                <w:numId w:val="2"/>
              </w:numPr>
              <w:spacing w:after="160" w:line="259" w:lineRule="auto"/>
              <w:rPr>
                <w:rFonts w:eastAsiaTheme="minorEastAsia" w:cstheme="minorHAnsi"/>
              </w:rPr>
            </w:pPr>
            <w:r w:rsidRPr="002B6F1B">
              <w:rPr>
                <w:rFonts w:eastAsia="Calibri" w:cstheme="minorHAnsi"/>
                <w:lang w:val="en-US"/>
              </w:rPr>
              <w:t xml:space="preserve">Employer to inform employee of decision to take or not </w:t>
            </w:r>
            <w:proofErr w:type="gramStart"/>
            <w:r w:rsidRPr="002B6F1B">
              <w:rPr>
                <w:rFonts w:eastAsia="Calibri" w:cstheme="minorHAnsi"/>
                <w:lang w:val="en-US"/>
              </w:rPr>
              <w:t>take action</w:t>
            </w:r>
            <w:proofErr w:type="gramEnd"/>
            <w:r w:rsidRPr="002B6F1B">
              <w:rPr>
                <w:rFonts w:eastAsia="Calibri" w:cstheme="minorHAnsi"/>
                <w:lang w:val="en-US"/>
              </w:rPr>
              <w:t xml:space="preserve"> and explain why.</w:t>
            </w:r>
          </w:p>
        </w:tc>
      </w:tr>
      <w:tr w:rsidR="6225F5D5" w:rsidRPr="002B6F1B" w14:paraId="63AD1C1B" w14:textId="77777777" w:rsidTr="002B6F1B">
        <w:tc>
          <w:tcPr>
            <w:tcW w:w="1413" w:type="dxa"/>
          </w:tcPr>
          <w:p w14:paraId="5570CF52" w14:textId="0ECBE562" w:rsidR="6225F5D5" w:rsidRPr="002B6F1B" w:rsidRDefault="6225F5D5" w:rsidP="6225F5D5">
            <w:pPr>
              <w:spacing w:line="259" w:lineRule="auto"/>
              <w:rPr>
                <w:rFonts w:eastAsia="Calibri" w:cstheme="minorHAnsi"/>
              </w:rPr>
            </w:pPr>
            <w:r w:rsidRPr="002B6F1B">
              <w:rPr>
                <w:rFonts w:eastAsia="Calibri" w:cstheme="minorHAnsi"/>
                <w:lang w:val="en-US"/>
              </w:rPr>
              <w:t>Stage 3</w:t>
            </w:r>
          </w:p>
          <w:p w14:paraId="26B17488" w14:textId="48CAD728" w:rsidR="6225F5D5" w:rsidRPr="002B6F1B" w:rsidRDefault="6225F5D5" w:rsidP="6225F5D5">
            <w:pPr>
              <w:spacing w:line="259" w:lineRule="auto"/>
              <w:rPr>
                <w:rFonts w:eastAsia="Calibri" w:cstheme="minorHAnsi"/>
              </w:rPr>
            </w:pPr>
          </w:p>
        </w:tc>
        <w:tc>
          <w:tcPr>
            <w:tcW w:w="8788" w:type="dxa"/>
          </w:tcPr>
          <w:p w14:paraId="690EBCB1" w14:textId="0E2DB9E5" w:rsidR="6225F5D5" w:rsidRPr="002B6F1B" w:rsidRDefault="6225F5D5" w:rsidP="6225F5D5">
            <w:pPr>
              <w:pStyle w:val="ListParagraph"/>
              <w:numPr>
                <w:ilvl w:val="0"/>
                <w:numId w:val="1"/>
              </w:numPr>
              <w:spacing w:after="160" w:line="259" w:lineRule="auto"/>
              <w:rPr>
                <w:rFonts w:eastAsiaTheme="minorEastAsia" w:cstheme="minorHAnsi"/>
              </w:rPr>
            </w:pPr>
            <w:r w:rsidRPr="002B6F1B">
              <w:rPr>
                <w:rFonts w:eastAsia="Calibri" w:cstheme="minorHAnsi"/>
                <w:lang w:val="en-US"/>
              </w:rPr>
              <w:t>Employee has the right to appeal against the decision.</w:t>
            </w:r>
          </w:p>
        </w:tc>
      </w:tr>
    </w:tbl>
    <w:p w14:paraId="48FC29E4" w14:textId="497368AC" w:rsidR="6225F5D5" w:rsidRPr="002B6F1B" w:rsidRDefault="6225F5D5" w:rsidP="6225F5D5">
      <w:pPr>
        <w:rPr>
          <w:rFonts w:eastAsia="Calibri" w:cstheme="minorHAnsi"/>
          <w:color w:val="000000" w:themeColor="text1"/>
        </w:rPr>
      </w:pPr>
    </w:p>
    <w:p w14:paraId="2918EAA3" w14:textId="6F4AC131"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A more senior manager must hear the appeal is possible and after the appeal the action that is going to be taken must be told to the employee. An employee can bring a grievance claim directly to the Employment Tribunal without raising it to the employer (Daniels, 2019, p. 172).</w:t>
      </w:r>
    </w:p>
    <w:p w14:paraId="1706D405" w14:textId="75E363C7" w:rsidR="084D601C" w:rsidRPr="002B6F1B" w:rsidRDefault="084D601C" w:rsidP="6225F5D5">
      <w:pPr>
        <w:rPr>
          <w:rFonts w:eastAsia="Calibri" w:cstheme="minorHAnsi"/>
          <w:color w:val="000000" w:themeColor="text1"/>
        </w:rPr>
      </w:pPr>
      <w:r w:rsidRPr="002B6F1B">
        <w:rPr>
          <w:rFonts w:eastAsia="Calibri" w:cstheme="minorHAnsi"/>
          <w:color w:val="000000" w:themeColor="text1"/>
        </w:rPr>
        <w:t xml:space="preserve">Remedies for unfair dismissals include re-engagement, </w:t>
      </w:r>
      <w:r w:rsidR="002B6F1B" w:rsidRPr="002B6F1B">
        <w:rPr>
          <w:rFonts w:eastAsia="Calibri" w:cstheme="minorHAnsi"/>
          <w:color w:val="000000" w:themeColor="text1"/>
        </w:rPr>
        <w:t>reinstatement,</w:t>
      </w:r>
      <w:r w:rsidRPr="002B6F1B">
        <w:rPr>
          <w:rFonts w:eastAsia="Calibri" w:cstheme="minorHAnsi"/>
          <w:color w:val="000000" w:themeColor="text1"/>
        </w:rPr>
        <w:t xml:space="preserve"> and compensation. If the employee is </w:t>
      </w:r>
      <w:r w:rsidR="002B6F1B" w:rsidRPr="002B6F1B">
        <w:rPr>
          <w:rFonts w:eastAsia="Calibri" w:cstheme="minorHAnsi"/>
          <w:color w:val="000000" w:themeColor="text1"/>
        </w:rPr>
        <w:t>reinstated,</w:t>
      </w:r>
      <w:r w:rsidRPr="002B6F1B">
        <w:rPr>
          <w:rFonts w:eastAsia="Calibri" w:cstheme="minorHAnsi"/>
          <w:color w:val="000000" w:themeColor="text1"/>
        </w:rPr>
        <w:t xml:space="preserve"> they return to their previous job and treated the same as before the dismissal. The employee is paid all monies between the dismissal and date they are re-instatement. If the employee is </w:t>
      </w:r>
      <w:r w:rsidR="002B6F1B" w:rsidRPr="002B6F1B">
        <w:rPr>
          <w:rFonts w:eastAsia="Calibri" w:cstheme="minorHAnsi"/>
          <w:color w:val="000000" w:themeColor="text1"/>
        </w:rPr>
        <w:t>re-engaged,</w:t>
      </w:r>
      <w:r w:rsidRPr="002B6F1B">
        <w:rPr>
          <w:rFonts w:eastAsia="Calibri" w:cstheme="minorHAnsi"/>
          <w:color w:val="000000" w:themeColor="text1"/>
        </w:rPr>
        <w:t xml:space="preserve"> they return to the employer but in a different role. The have the same rights as they would for re-engagement. If the employer fails to follow the Employment Tribunals’ order to reinstate or re-engage </w:t>
      </w:r>
      <w:r w:rsidR="002B6F1B">
        <w:rPr>
          <w:rFonts w:eastAsia="Calibri" w:cstheme="minorHAnsi"/>
          <w:color w:val="000000" w:themeColor="text1"/>
        </w:rPr>
        <w:t>t</w:t>
      </w:r>
      <w:r w:rsidRPr="002B6F1B">
        <w:rPr>
          <w:rFonts w:eastAsia="Calibri" w:cstheme="minorHAnsi"/>
          <w:color w:val="000000" w:themeColor="text1"/>
        </w:rPr>
        <w:t xml:space="preserve">he employee then compensation and an additional award of not less than 26 </w:t>
      </w:r>
      <w:r w:rsidR="002B6F1B" w:rsidRPr="002B6F1B">
        <w:rPr>
          <w:rFonts w:eastAsia="Calibri" w:cstheme="minorHAnsi"/>
          <w:color w:val="000000" w:themeColor="text1"/>
        </w:rPr>
        <w:t>weeks</w:t>
      </w:r>
      <w:r w:rsidRPr="002B6F1B">
        <w:rPr>
          <w:rFonts w:eastAsia="Calibri" w:cstheme="minorHAnsi"/>
          <w:color w:val="000000" w:themeColor="text1"/>
        </w:rPr>
        <w:t>’ pay (Daniels, 2019, p. 177).</w:t>
      </w:r>
    </w:p>
    <w:p w14:paraId="0DA4EE47" w14:textId="1926FAE1" w:rsidR="6225F5D5" w:rsidRPr="002B6F1B" w:rsidRDefault="6225F5D5" w:rsidP="6225F5D5">
      <w:pPr>
        <w:rPr>
          <w:rFonts w:eastAsia="Calibri" w:cstheme="minorHAnsi"/>
          <w:color w:val="000000" w:themeColor="text1"/>
        </w:rPr>
      </w:pPr>
    </w:p>
    <w:p w14:paraId="24E0BC15" w14:textId="57489D20" w:rsidR="17B2E3D6" w:rsidRPr="002B6F1B" w:rsidRDefault="17B2E3D6" w:rsidP="17B2E3D6">
      <w:pPr>
        <w:rPr>
          <w:rFonts w:eastAsia="Calibri" w:cstheme="minorHAnsi"/>
          <w:color w:val="000000" w:themeColor="text1"/>
        </w:rPr>
      </w:pPr>
    </w:p>
    <w:p w14:paraId="598FBD80" w14:textId="77777777" w:rsidR="002B6F1B" w:rsidRPr="002B6F1B" w:rsidRDefault="002B6F1B" w:rsidP="6225F5D5">
      <w:pPr>
        <w:rPr>
          <w:rFonts w:cstheme="minorHAnsi"/>
        </w:rPr>
      </w:pPr>
    </w:p>
    <w:p w14:paraId="2BC6D777" w14:textId="77777777" w:rsidR="002B6F1B" w:rsidRPr="002B6F1B" w:rsidRDefault="002B6F1B" w:rsidP="6225F5D5">
      <w:pPr>
        <w:rPr>
          <w:rFonts w:cstheme="minorHAnsi"/>
        </w:rPr>
      </w:pPr>
    </w:p>
    <w:p w14:paraId="182B64A9" w14:textId="77777777" w:rsidR="002B6F1B" w:rsidRPr="002B6F1B" w:rsidRDefault="002B6F1B" w:rsidP="6225F5D5">
      <w:pPr>
        <w:rPr>
          <w:rFonts w:cstheme="minorHAnsi"/>
        </w:rPr>
      </w:pPr>
    </w:p>
    <w:p w14:paraId="3FCD0063" w14:textId="77777777" w:rsidR="002B6F1B" w:rsidRPr="002B6F1B" w:rsidRDefault="002B6F1B" w:rsidP="6225F5D5">
      <w:pPr>
        <w:rPr>
          <w:rFonts w:cstheme="minorHAnsi"/>
        </w:rPr>
      </w:pPr>
    </w:p>
    <w:p w14:paraId="7E77628B" w14:textId="77777777" w:rsidR="002B6F1B" w:rsidRPr="002B6F1B" w:rsidRDefault="002B6F1B" w:rsidP="6225F5D5">
      <w:pPr>
        <w:rPr>
          <w:rFonts w:cstheme="minorHAnsi"/>
        </w:rPr>
      </w:pPr>
    </w:p>
    <w:p w14:paraId="07AC6A0A" w14:textId="77777777" w:rsidR="002B6F1B" w:rsidRPr="002B6F1B" w:rsidRDefault="002B6F1B" w:rsidP="6225F5D5">
      <w:pPr>
        <w:rPr>
          <w:rFonts w:cstheme="minorHAnsi"/>
        </w:rPr>
      </w:pPr>
    </w:p>
    <w:p w14:paraId="7089AF0F" w14:textId="77777777" w:rsidR="002B6F1B" w:rsidRPr="002B6F1B" w:rsidRDefault="002B6F1B" w:rsidP="6225F5D5">
      <w:pPr>
        <w:rPr>
          <w:rFonts w:cstheme="minorHAnsi"/>
        </w:rPr>
      </w:pPr>
    </w:p>
    <w:p w14:paraId="4354C513" w14:textId="77777777" w:rsidR="002B6F1B" w:rsidRPr="002B6F1B" w:rsidRDefault="002B6F1B" w:rsidP="6225F5D5">
      <w:pPr>
        <w:rPr>
          <w:rFonts w:cstheme="minorHAnsi"/>
        </w:rPr>
      </w:pPr>
    </w:p>
    <w:p w14:paraId="320F2448" w14:textId="77777777" w:rsidR="002B6F1B" w:rsidRPr="002B6F1B" w:rsidRDefault="002B6F1B" w:rsidP="6225F5D5">
      <w:pPr>
        <w:rPr>
          <w:rFonts w:cstheme="minorHAnsi"/>
        </w:rPr>
      </w:pPr>
    </w:p>
    <w:p w14:paraId="4D3BBA41" w14:textId="77777777" w:rsidR="002B6F1B" w:rsidRPr="002B6F1B" w:rsidRDefault="002B6F1B" w:rsidP="6225F5D5">
      <w:pPr>
        <w:rPr>
          <w:rFonts w:cstheme="minorHAnsi"/>
        </w:rPr>
      </w:pPr>
    </w:p>
    <w:p w14:paraId="51A5F9C6" w14:textId="77777777" w:rsidR="002B6F1B" w:rsidRPr="002B6F1B" w:rsidRDefault="002B6F1B" w:rsidP="6225F5D5">
      <w:pPr>
        <w:rPr>
          <w:rFonts w:cstheme="minorHAnsi"/>
        </w:rPr>
      </w:pPr>
    </w:p>
    <w:p w14:paraId="35B0DB88" w14:textId="77777777" w:rsidR="002B6F1B" w:rsidRPr="002B6F1B" w:rsidRDefault="002B6F1B" w:rsidP="6225F5D5">
      <w:pPr>
        <w:rPr>
          <w:rFonts w:cstheme="minorHAnsi"/>
        </w:rPr>
      </w:pPr>
    </w:p>
    <w:p w14:paraId="012B3EF2" w14:textId="77777777" w:rsidR="002B6F1B" w:rsidRPr="002B6F1B" w:rsidRDefault="002B6F1B" w:rsidP="6225F5D5">
      <w:pPr>
        <w:rPr>
          <w:rFonts w:cstheme="minorHAnsi"/>
        </w:rPr>
      </w:pPr>
    </w:p>
    <w:p w14:paraId="59B97D77" w14:textId="77777777" w:rsidR="002B6F1B" w:rsidRPr="002B6F1B" w:rsidRDefault="002B6F1B" w:rsidP="6225F5D5">
      <w:pPr>
        <w:rPr>
          <w:rFonts w:cstheme="minorHAnsi"/>
        </w:rPr>
      </w:pPr>
    </w:p>
    <w:p w14:paraId="2DE6D080" w14:textId="77777777" w:rsidR="002B6F1B" w:rsidRPr="002B6F1B" w:rsidRDefault="002B6F1B" w:rsidP="6225F5D5">
      <w:pPr>
        <w:rPr>
          <w:rFonts w:cstheme="minorHAnsi"/>
        </w:rPr>
      </w:pPr>
    </w:p>
    <w:p w14:paraId="279AB636" w14:textId="77777777" w:rsidR="002B6F1B" w:rsidRPr="002B6F1B" w:rsidRDefault="002B6F1B" w:rsidP="6225F5D5">
      <w:pPr>
        <w:rPr>
          <w:rFonts w:cstheme="minorHAnsi"/>
        </w:rPr>
      </w:pPr>
    </w:p>
    <w:p w14:paraId="3D2BA42B" w14:textId="77777777" w:rsidR="002B6F1B" w:rsidRDefault="002B6F1B" w:rsidP="6225F5D5">
      <w:pPr>
        <w:rPr>
          <w:rFonts w:cstheme="minorHAnsi"/>
        </w:rPr>
      </w:pPr>
    </w:p>
    <w:p w14:paraId="1B6A7717" w14:textId="33D9B4A0" w:rsidR="6225F5D5" w:rsidRPr="002B6F1B" w:rsidRDefault="6225F5D5" w:rsidP="6225F5D5">
      <w:pPr>
        <w:rPr>
          <w:rFonts w:eastAsia="Calibri" w:cstheme="minorHAnsi"/>
          <w:color w:val="000000" w:themeColor="text1"/>
        </w:rPr>
      </w:pPr>
      <w:r w:rsidRPr="002B6F1B">
        <w:rPr>
          <w:rFonts w:cstheme="minorHAnsi"/>
        </w:rPr>
        <w:lastRenderedPageBreak/>
        <w:br/>
      </w:r>
      <w:r w:rsidR="251B2F6D" w:rsidRPr="002B6F1B">
        <w:rPr>
          <w:rFonts w:eastAsia="Calibri" w:cstheme="minorHAnsi"/>
          <w:color w:val="000000" w:themeColor="text1"/>
          <w:u w:val="single"/>
        </w:rPr>
        <w:t>References</w:t>
      </w:r>
    </w:p>
    <w:p w14:paraId="3FC03DE4" w14:textId="63A69DB9"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Anonymous (2009), ‘Redundancy’, </w:t>
      </w:r>
      <w:r w:rsidRPr="002B6F1B">
        <w:rPr>
          <w:rFonts w:eastAsia="Calibri" w:cstheme="minorHAnsi"/>
          <w:i/>
          <w:iCs/>
          <w:color w:val="000000" w:themeColor="text1"/>
        </w:rPr>
        <w:t xml:space="preserve">Documents Etc </w:t>
      </w:r>
      <w:r w:rsidRPr="002B6F1B">
        <w:rPr>
          <w:rFonts w:eastAsia="Calibri" w:cstheme="minorHAnsi"/>
          <w:color w:val="000000" w:themeColor="text1"/>
        </w:rPr>
        <w:t xml:space="preserve">[blog]. 23 January. Available at: </w:t>
      </w:r>
      <w:hyperlink r:id="rId6">
        <w:r w:rsidRPr="002B6F1B">
          <w:rPr>
            <w:rStyle w:val="Hyperlink"/>
            <w:rFonts w:eastAsia="Calibri" w:cstheme="minorHAnsi"/>
          </w:rPr>
          <w:t>http://documentsetc.blogspot.com/2009/01/redundancy.html</w:t>
        </w:r>
      </w:hyperlink>
      <w:r w:rsidRPr="002B6F1B">
        <w:rPr>
          <w:rFonts w:eastAsia="Calibri" w:cstheme="minorHAnsi"/>
          <w:color w:val="000000" w:themeColor="text1"/>
        </w:rPr>
        <w:t xml:space="preserve"> (Accessed 4 April 2021).</w:t>
      </w:r>
    </w:p>
    <w:p w14:paraId="7AEC4279" w14:textId="58C2DD54"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Charted Institute of Personnel and Development (2020a) </w:t>
      </w:r>
      <w:r w:rsidRPr="002B6F1B">
        <w:rPr>
          <w:rFonts w:eastAsia="Calibri" w:cstheme="minorHAnsi"/>
          <w:i/>
          <w:iCs/>
          <w:color w:val="000000" w:themeColor="text1"/>
        </w:rPr>
        <w:t xml:space="preserve">Redundancy: an introduction. </w:t>
      </w:r>
      <w:r w:rsidRPr="002B6F1B">
        <w:rPr>
          <w:rFonts w:eastAsia="Calibri" w:cstheme="minorHAnsi"/>
          <w:color w:val="000000" w:themeColor="text1"/>
        </w:rPr>
        <w:t xml:space="preserve">Available at: </w:t>
      </w:r>
      <w:hyperlink r:id="rId7">
        <w:r w:rsidRPr="002B6F1B">
          <w:rPr>
            <w:rStyle w:val="Hyperlink"/>
            <w:rFonts w:eastAsia="Calibri" w:cstheme="minorHAnsi"/>
          </w:rPr>
          <w:t>https://www.cipd.co.uk/knowledge/fundamentals/emp-law/redundancy/factsheet</w:t>
        </w:r>
      </w:hyperlink>
      <w:r w:rsidRPr="002B6F1B">
        <w:rPr>
          <w:rFonts w:eastAsia="Calibri" w:cstheme="minorHAnsi"/>
          <w:color w:val="000000" w:themeColor="text1"/>
        </w:rPr>
        <w:t xml:space="preserve"> (Accessed 4 April 2021).</w:t>
      </w:r>
    </w:p>
    <w:p w14:paraId="0E386BEC" w14:textId="57616ECC"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Charted Institute of Personnel and Development (2020b) </w:t>
      </w:r>
      <w:r w:rsidRPr="002B6F1B">
        <w:rPr>
          <w:rFonts w:eastAsia="Calibri" w:cstheme="minorHAnsi"/>
          <w:i/>
          <w:iCs/>
          <w:color w:val="000000" w:themeColor="text1"/>
        </w:rPr>
        <w:t xml:space="preserve">Transfer of undertakings (TUPE): an introduction. </w:t>
      </w:r>
      <w:r w:rsidRPr="002B6F1B">
        <w:rPr>
          <w:rFonts w:eastAsia="Calibri" w:cstheme="minorHAnsi"/>
          <w:color w:val="000000" w:themeColor="text1"/>
        </w:rPr>
        <w:t xml:space="preserve">Available at: </w:t>
      </w:r>
      <w:hyperlink r:id="rId8">
        <w:r w:rsidRPr="002B6F1B">
          <w:rPr>
            <w:rStyle w:val="Hyperlink"/>
            <w:rFonts w:eastAsia="Calibri" w:cstheme="minorHAnsi"/>
          </w:rPr>
          <w:t>https://www.cipd.co.uk/knowledge/fundamentals/emp-law/tupe/factsheet</w:t>
        </w:r>
      </w:hyperlink>
      <w:r w:rsidRPr="002B6F1B">
        <w:rPr>
          <w:rFonts w:eastAsia="Calibri" w:cstheme="minorHAnsi"/>
          <w:color w:val="000000" w:themeColor="text1"/>
        </w:rPr>
        <w:t xml:space="preserve"> (Accessed 4 April 2021).</w:t>
      </w:r>
    </w:p>
    <w:p w14:paraId="2AD7530A" w14:textId="6AC37236"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Charted Institute of Personnel and Development (2020c) </w:t>
      </w:r>
      <w:r w:rsidRPr="002B6F1B">
        <w:rPr>
          <w:rFonts w:eastAsia="Calibri" w:cstheme="minorHAnsi"/>
          <w:i/>
          <w:iCs/>
          <w:color w:val="000000" w:themeColor="text1"/>
        </w:rPr>
        <w:t>Discipline and grievance at work.</w:t>
      </w:r>
      <w:r w:rsidRPr="002B6F1B">
        <w:rPr>
          <w:rFonts w:eastAsia="Calibri" w:cstheme="minorHAnsi"/>
          <w:color w:val="000000" w:themeColor="text1"/>
        </w:rPr>
        <w:t xml:space="preserve"> Available at: </w:t>
      </w:r>
      <w:hyperlink r:id="rId9">
        <w:r w:rsidRPr="002B6F1B">
          <w:rPr>
            <w:rStyle w:val="Hyperlink"/>
            <w:rFonts w:eastAsia="Calibri" w:cstheme="minorHAnsi"/>
          </w:rPr>
          <w:t>https://www.cipd.co.uk/knowledge/fundamentals/emp-law/discipline/factsheet</w:t>
        </w:r>
      </w:hyperlink>
      <w:r w:rsidRPr="002B6F1B">
        <w:rPr>
          <w:rFonts w:eastAsia="Calibri" w:cstheme="minorHAnsi"/>
          <w:color w:val="000000" w:themeColor="text1"/>
        </w:rPr>
        <w:t xml:space="preserve"> (Accessed: 14 April 2021).</w:t>
      </w:r>
    </w:p>
    <w:p w14:paraId="3E4D57A0" w14:textId="6F6491E2"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Charted Institute of Personnel and Development (2021a) </w:t>
      </w:r>
      <w:r w:rsidRPr="002B6F1B">
        <w:rPr>
          <w:rFonts w:eastAsia="Calibri" w:cstheme="minorHAnsi"/>
          <w:i/>
          <w:iCs/>
          <w:color w:val="000000" w:themeColor="text1"/>
        </w:rPr>
        <w:t xml:space="preserve">Employment law in the UK: the court system. </w:t>
      </w:r>
      <w:r w:rsidRPr="002B6F1B">
        <w:rPr>
          <w:rFonts w:eastAsia="Calibri" w:cstheme="minorHAnsi"/>
          <w:color w:val="000000" w:themeColor="text1"/>
        </w:rPr>
        <w:t xml:space="preserve">Available at: </w:t>
      </w:r>
      <w:hyperlink r:id="rId10">
        <w:r w:rsidRPr="002B6F1B">
          <w:rPr>
            <w:rStyle w:val="Hyperlink"/>
            <w:rFonts w:eastAsia="Calibri" w:cstheme="minorHAnsi"/>
          </w:rPr>
          <w:t>https://www.cipd.co.uk/knowledge/fundamentals/emp-law/about/uk-court-system-factsheet</w:t>
        </w:r>
      </w:hyperlink>
      <w:r w:rsidRPr="002B6F1B">
        <w:rPr>
          <w:rFonts w:eastAsia="Calibri" w:cstheme="minorHAnsi"/>
          <w:color w:val="000000" w:themeColor="text1"/>
        </w:rPr>
        <w:t xml:space="preserve"> (Accessed: 31 March 2021).</w:t>
      </w:r>
    </w:p>
    <w:p w14:paraId="3132FCB0" w14:textId="7ED5DB72"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Charted Institute of Personnel and Development (2021b) </w:t>
      </w:r>
      <w:r w:rsidRPr="002B6F1B">
        <w:rPr>
          <w:rFonts w:eastAsia="Calibri" w:cstheme="minorHAnsi"/>
          <w:i/>
          <w:iCs/>
          <w:color w:val="000000" w:themeColor="text1"/>
        </w:rPr>
        <w:t xml:space="preserve">Recruitment and selection Q&amp;As. </w:t>
      </w:r>
      <w:r w:rsidRPr="002B6F1B">
        <w:rPr>
          <w:rFonts w:eastAsia="Calibri" w:cstheme="minorHAnsi"/>
          <w:color w:val="000000" w:themeColor="text1"/>
        </w:rPr>
        <w:t xml:space="preserve">Available at: </w:t>
      </w:r>
      <w:hyperlink r:id="rId11">
        <w:r w:rsidRPr="002B6F1B">
          <w:rPr>
            <w:rStyle w:val="Hyperlink"/>
            <w:rFonts w:eastAsia="Calibri" w:cstheme="minorHAnsi"/>
          </w:rPr>
          <w:t>https://www.cipd.co.uk/knowledge/fundamentals/emp-law/recruitment/questions</w:t>
        </w:r>
      </w:hyperlink>
      <w:r w:rsidRPr="002B6F1B">
        <w:rPr>
          <w:rFonts w:eastAsia="Calibri" w:cstheme="minorHAnsi"/>
          <w:color w:val="000000" w:themeColor="text1"/>
        </w:rPr>
        <w:t xml:space="preserve"> (Accessed: 2 April 2021).</w:t>
      </w:r>
    </w:p>
    <w:p w14:paraId="11891478" w14:textId="7AFAD5BD"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Charted Institute of Personnel and Development (2021c) </w:t>
      </w:r>
      <w:r w:rsidRPr="002B6F1B">
        <w:rPr>
          <w:rFonts w:eastAsia="Calibri" w:cstheme="minorHAnsi"/>
          <w:i/>
          <w:iCs/>
          <w:color w:val="000000" w:themeColor="text1"/>
        </w:rPr>
        <w:t xml:space="preserve">Employment law update for CIPD tutors and students. </w:t>
      </w:r>
      <w:r w:rsidRPr="002B6F1B">
        <w:rPr>
          <w:rFonts w:eastAsia="Calibri" w:cstheme="minorHAnsi"/>
          <w:color w:val="000000" w:themeColor="text1"/>
        </w:rPr>
        <w:t xml:space="preserve">Available at: </w:t>
      </w:r>
      <w:hyperlink r:id="rId12">
        <w:r w:rsidRPr="002B6F1B">
          <w:rPr>
            <w:rStyle w:val="Hyperlink"/>
            <w:rFonts w:eastAsia="Calibri" w:cstheme="minorHAnsi"/>
          </w:rPr>
          <w:t>https://www.cipd.co.uk/knowledge/fundamentals/emp-law/student-tutor-update</w:t>
        </w:r>
      </w:hyperlink>
      <w:r w:rsidRPr="002B6F1B">
        <w:rPr>
          <w:rFonts w:eastAsia="Calibri" w:cstheme="minorHAnsi"/>
          <w:color w:val="000000" w:themeColor="text1"/>
        </w:rPr>
        <w:t xml:space="preserve"> (Accessed: 3 April 2021).</w:t>
      </w:r>
    </w:p>
    <w:p w14:paraId="3D18D198" w14:textId="4D2E0FD8"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Daniels, K. (2016) Introduction to employment law: fundamentals for HR and business students. 4th ed. London: Chartered Institute of Personnel and Development.</w:t>
      </w:r>
    </w:p>
    <w:p w14:paraId="3F6A4498" w14:textId="009363DF" w:rsidR="251B2F6D" w:rsidRPr="002B6F1B" w:rsidRDefault="251B2F6D" w:rsidP="6225F5D5">
      <w:pPr>
        <w:rPr>
          <w:rFonts w:eastAsia="Calibri" w:cstheme="minorHAnsi"/>
          <w:color w:val="000000" w:themeColor="text1"/>
        </w:rPr>
      </w:pPr>
      <w:r w:rsidRPr="002B6F1B">
        <w:rPr>
          <w:rFonts w:eastAsia="Calibri" w:cstheme="minorHAnsi"/>
          <w:i/>
          <w:iCs/>
          <w:color w:val="000000" w:themeColor="text1"/>
        </w:rPr>
        <w:t xml:space="preserve">Employment Rights Act 1996, c. 18. </w:t>
      </w:r>
      <w:r w:rsidRPr="002B6F1B">
        <w:rPr>
          <w:rFonts w:eastAsia="Calibri" w:cstheme="minorHAnsi"/>
          <w:color w:val="000000" w:themeColor="text1"/>
        </w:rPr>
        <w:t xml:space="preserve">Available at: </w:t>
      </w:r>
      <w:hyperlink r:id="rId13">
        <w:r w:rsidRPr="002B6F1B">
          <w:rPr>
            <w:rStyle w:val="Hyperlink"/>
            <w:rFonts w:eastAsia="Calibri" w:cstheme="minorHAnsi"/>
          </w:rPr>
          <w:t>https://www.legislation.gov.uk/ukpga/1996/18/contents</w:t>
        </w:r>
      </w:hyperlink>
      <w:r w:rsidRPr="002B6F1B">
        <w:rPr>
          <w:rFonts w:eastAsia="Calibri" w:cstheme="minorHAnsi"/>
          <w:color w:val="000000" w:themeColor="text1"/>
        </w:rPr>
        <w:t xml:space="preserve"> (Accessed 31 March 2021).</w:t>
      </w:r>
    </w:p>
    <w:p w14:paraId="1C22B9B0" w14:textId="4E7831D6" w:rsidR="251B2F6D" w:rsidRPr="002B6F1B" w:rsidRDefault="251B2F6D" w:rsidP="6225F5D5">
      <w:pPr>
        <w:rPr>
          <w:rFonts w:eastAsia="Calibri" w:cstheme="minorHAnsi"/>
          <w:color w:val="000000" w:themeColor="text1"/>
        </w:rPr>
      </w:pPr>
      <w:r w:rsidRPr="002B6F1B">
        <w:rPr>
          <w:rFonts w:eastAsia="Calibri" w:cstheme="minorHAnsi"/>
          <w:i/>
          <w:iCs/>
          <w:color w:val="000000" w:themeColor="text1"/>
        </w:rPr>
        <w:t xml:space="preserve">Equality Act 2010, c. 15. </w:t>
      </w:r>
      <w:r w:rsidRPr="002B6F1B">
        <w:rPr>
          <w:rFonts w:eastAsia="Calibri" w:cstheme="minorHAnsi"/>
          <w:color w:val="000000" w:themeColor="text1"/>
        </w:rPr>
        <w:t xml:space="preserve">Available at: </w:t>
      </w:r>
      <w:hyperlink r:id="rId14">
        <w:r w:rsidRPr="002B6F1B">
          <w:rPr>
            <w:rStyle w:val="Hyperlink"/>
            <w:rFonts w:eastAsia="Calibri" w:cstheme="minorHAnsi"/>
          </w:rPr>
          <w:t>https://www.legislation.gov.uk/ukpga/2010/15/contents</w:t>
        </w:r>
      </w:hyperlink>
      <w:r w:rsidRPr="002B6F1B">
        <w:rPr>
          <w:rFonts w:eastAsia="Calibri" w:cstheme="minorHAnsi"/>
          <w:color w:val="000000" w:themeColor="text1"/>
        </w:rPr>
        <w:t xml:space="preserve"> (Accessed: 31 March 2021).</w:t>
      </w:r>
    </w:p>
    <w:p w14:paraId="571D2F10" w14:textId="56DEF5AE"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Gov.uk, 2021a. The National Minimum Wage in 2021. Available at: </w:t>
      </w:r>
      <w:hyperlink r:id="rId15">
        <w:r w:rsidRPr="002B6F1B">
          <w:rPr>
            <w:rStyle w:val="Hyperlink"/>
            <w:rFonts w:eastAsia="Calibri" w:cstheme="minorHAnsi"/>
          </w:rPr>
          <w:t>https://www.gov.uk/government/publications/the-national-minimum-wage-in-2021</w:t>
        </w:r>
      </w:hyperlink>
    </w:p>
    <w:p w14:paraId="25BD1626" w14:textId="0E45A718"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Gov.uk, 2021b. National Living Wage extended to younger workers. Available at: </w:t>
      </w:r>
      <w:hyperlink r:id="rId16">
        <w:r w:rsidRPr="002B6F1B">
          <w:rPr>
            <w:rStyle w:val="Hyperlink"/>
            <w:rFonts w:eastAsia="Calibri" w:cstheme="minorHAnsi"/>
          </w:rPr>
          <w:t>https://www.gov.uk/government/news/national-living-wage-extended-to-younger-workers</w:t>
        </w:r>
      </w:hyperlink>
    </w:p>
    <w:p w14:paraId="13FA46FA" w14:textId="2422C790"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Gov.uk, Maternity </w:t>
      </w:r>
      <w:proofErr w:type="gramStart"/>
      <w:r w:rsidRPr="002B6F1B">
        <w:rPr>
          <w:rFonts w:eastAsia="Calibri" w:cstheme="minorHAnsi"/>
          <w:color w:val="000000" w:themeColor="text1"/>
        </w:rPr>
        <w:t>pay</w:t>
      </w:r>
      <w:proofErr w:type="gramEnd"/>
      <w:r w:rsidRPr="002B6F1B">
        <w:rPr>
          <w:rFonts w:eastAsia="Calibri" w:cstheme="minorHAnsi"/>
          <w:color w:val="000000" w:themeColor="text1"/>
        </w:rPr>
        <w:t xml:space="preserve"> and leave, 2021c Available at: </w:t>
      </w:r>
      <w:hyperlink r:id="rId17">
        <w:r w:rsidRPr="002B6F1B">
          <w:rPr>
            <w:rStyle w:val="Hyperlink"/>
            <w:rFonts w:eastAsia="Calibri" w:cstheme="minorHAnsi"/>
          </w:rPr>
          <w:t>https://www.gov.uk/maternity-pay-leave/pay</w:t>
        </w:r>
      </w:hyperlink>
      <w:r w:rsidRPr="002B6F1B">
        <w:rPr>
          <w:rFonts w:eastAsia="Calibri" w:cstheme="minorHAnsi"/>
          <w:color w:val="000000" w:themeColor="text1"/>
        </w:rPr>
        <w:t xml:space="preserve"> (Accessed: 10 April 2021).</w:t>
      </w:r>
    </w:p>
    <w:p w14:paraId="091A5801" w14:textId="4EEE53A4" w:rsidR="251B2F6D" w:rsidRPr="002B6F1B" w:rsidRDefault="251B2F6D" w:rsidP="6225F5D5">
      <w:pPr>
        <w:rPr>
          <w:rFonts w:eastAsia="Calibri" w:cstheme="minorHAnsi"/>
          <w:color w:val="000000" w:themeColor="text1"/>
        </w:rPr>
      </w:pPr>
      <w:r w:rsidRPr="002B6F1B">
        <w:rPr>
          <w:rFonts w:eastAsia="Calibri" w:cstheme="minorHAnsi"/>
          <w:i/>
          <w:iCs/>
          <w:color w:val="000000" w:themeColor="text1"/>
        </w:rPr>
        <w:t>Health and Safety at Work etc. Act 1974, c. 37</w:t>
      </w:r>
      <w:r w:rsidRPr="002B6F1B">
        <w:rPr>
          <w:rFonts w:eastAsia="Calibri" w:cstheme="minorHAnsi"/>
          <w:color w:val="000000" w:themeColor="text1"/>
        </w:rPr>
        <w:t xml:space="preserve">. Available at: </w:t>
      </w:r>
      <w:hyperlink r:id="rId18">
        <w:r w:rsidRPr="002B6F1B">
          <w:rPr>
            <w:rStyle w:val="Hyperlink"/>
            <w:rFonts w:eastAsia="Calibri" w:cstheme="minorHAnsi"/>
          </w:rPr>
          <w:t>https://www.legislation.gov.uk/ukpga/1974/37/contents</w:t>
        </w:r>
      </w:hyperlink>
      <w:r w:rsidRPr="002B6F1B">
        <w:rPr>
          <w:rFonts w:eastAsia="Calibri" w:cstheme="minorHAnsi"/>
          <w:color w:val="000000" w:themeColor="text1"/>
        </w:rPr>
        <w:t xml:space="preserve"> (Accessed: 11 April 2021).</w:t>
      </w:r>
    </w:p>
    <w:p w14:paraId="37A134B4" w14:textId="3C013AC5"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Law Commission (2018) </w:t>
      </w:r>
      <w:r w:rsidRPr="002B6F1B">
        <w:rPr>
          <w:rFonts w:eastAsia="Calibri" w:cstheme="minorHAnsi"/>
          <w:i/>
          <w:iCs/>
          <w:color w:val="000000" w:themeColor="text1"/>
        </w:rPr>
        <w:t xml:space="preserve">Employment Law Hearing Structures Summary of Consultation Paper. </w:t>
      </w:r>
      <w:r w:rsidRPr="002B6F1B">
        <w:rPr>
          <w:rFonts w:eastAsia="Calibri" w:cstheme="minorHAnsi"/>
          <w:color w:val="000000" w:themeColor="text1"/>
        </w:rPr>
        <w:t xml:space="preserve">Available at: </w:t>
      </w:r>
      <w:hyperlink>
        <w:r w:rsidRPr="002B6F1B">
          <w:rPr>
            <w:rStyle w:val="Hyperlink"/>
            <w:rFonts w:eastAsia="Calibri" w:cstheme="minorHAnsi"/>
          </w:rPr>
          <w:t>https://www.lawcom.gov.uk/document/employment-law-hearing-structures/</w:t>
        </w:r>
      </w:hyperlink>
      <w:r w:rsidRPr="002B6F1B">
        <w:rPr>
          <w:rFonts w:eastAsia="Calibri" w:cstheme="minorHAnsi"/>
          <w:color w:val="000000" w:themeColor="text1"/>
        </w:rPr>
        <w:t xml:space="preserve"> (Accessed: 31 March 2021).</w:t>
      </w:r>
    </w:p>
    <w:p w14:paraId="54045415" w14:textId="23A9048A" w:rsidR="251B2F6D" w:rsidRPr="002B6F1B" w:rsidRDefault="251B2F6D" w:rsidP="6225F5D5">
      <w:pPr>
        <w:rPr>
          <w:rFonts w:eastAsia="Calibri" w:cstheme="minorHAnsi"/>
          <w:color w:val="000000" w:themeColor="text1"/>
        </w:rPr>
      </w:pPr>
      <w:r w:rsidRPr="002B6F1B">
        <w:rPr>
          <w:rFonts w:eastAsia="Calibri" w:cstheme="minorHAnsi"/>
          <w:color w:val="000000" w:themeColor="text1"/>
        </w:rPr>
        <w:t xml:space="preserve">Moss, M. (2020), ‘Constructive dismissal and the last straw doctrine’, </w:t>
      </w:r>
      <w:r w:rsidRPr="002B6F1B">
        <w:rPr>
          <w:rFonts w:eastAsia="Calibri" w:cstheme="minorHAnsi"/>
          <w:i/>
          <w:iCs/>
          <w:color w:val="000000" w:themeColor="text1"/>
        </w:rPr>
        <w:t xml:space="preserve">Optimal Solicitors </w:t>
      </w:r>
      <w:r w:rsidRPr="002B6F1B">
        <w:rPr>
          <w:rFonts w:eastAsia="Calibri" w:cstheme="minorHAnsi"/>
          <w:color w:val="000000" w:themeColor="text1"/>
        </w:rPr>
        <w:t xml:space="preserve">[blog]. 10 June. Available at: </w:t>
      </w:r>
      <w:hyperlink r:id="rId19" w:anchor=":~:text=What%20the%20last%20straw%20doctrine,as%20being%20the%20last%20straw">
        <w:r w:rsidRPr="002B6F1B">
          <w:rPr>
            <w:rStyle w:val="Hyperlink"/>
            <w:rFonts w:eastAsia="Calibri" w:cstheme="minorHAnsi"/>
          </w:rPr>
          <w:t>https://optimalsolicitors.com/blog/constructive-dismissal-and-the-last-straw-doctrine#:~:text=What%20the%20last%20straw%20doctrine,as%20being%20the%20last%20straw</w:t>
        </w:r>
      </w:hyperlink>
      <w:r w:rsidRPr="002B6F1B">
        <w:rPr>
          <w:rFonts w:eastAsia="Calibri" w:cstheme="minorHAnsi"/>
          <w:color w:val="000000" w:themeColor="text1"/>
        </w:rPr>
        <w:t xml:space="preserve"> (Accessed: 4 April 2021).</w:t>
      </w:r>
    </w:p>
    <w:p w14:paraId="713866BD" w14:textId="1CA70166" w:rsidR="251B2F6D" w:rsidRPr="002B6F1B" w:rsidRDefault="251B2F6D" w:rsidP="6225F5D5">
      <w:pPr>
        <w:rPr>
          <w:rFonts w:eastAsia="Calibri" w:cstheme="minorHAnsi"/>
          <w:color w:val="000000" w:themeColor="text1"/>
        </w:rPr>
      </w:pPr>
      <w:r w:rsidRPr="002B6F1B">
        <w:rPr>
          <w:rFonts w:eastAsia="Calibri" w:cstheme="minorHAnsi"/>
          <w:i/>
          <w:iCs/>
          <w:color w:val="000000" w:themeColor="text1"/>
        </w:rPr>
        <w:t>National Minimum Wage Act 1998, c, 39.</w:t>
      </w:r>
      <w:r w:rsidRPr="002B6F1B">
        <w:rPr>
          <w:rFonts w:eastAsia="Calibri" w:cstheme="minorHAnsi"/>
          <w:color w:val="000000" w:themeColor="text1"/>
        </w:rPr>
        <w:t xml:space="preserve"> Available at: </w:t>
      </w:r>
      <w:hyperlink r:id="rId20">
        <w:r w:rsidRPr="002B6F1B">
          <w:rPr>
            <w:rStyle w:val="Hyperlink"/>
            <w:rFonts w:eastAsia="Calibri" w:cstheme="minorHAnsi"/>
          </w:rPr>
          <w:t>https://www.legislation.gov.uk/ukpga/1998/39/contents</w:t>
        </w:r>
      </w:hyperlink>
      <w:r w:rsidRPr="002B6F1B">
        <w:rPr>
          <w:rFonts w:eastAsia="Calibri" w:cstheme="minorHAnsi"/>
          <w:color w:val="000000" w:themeColor="text1"/>
        </w:rPr>
        <w:t xml:space="preserve"> (Accessed: 6 April 2021).</w:t>
      </w:r>
    </w:p>
    <w:p w14:paraId="1D2B0FFB" w14:textId="3D07DA02" w:rsidR="251B2F6D" w:rsidRPr="002B6F1B" w:rsidRDefault="251B2F6D" w:rsidP="6225F5D5">
      <w:pPr>
        <w:rPr>
          <w:rFonts w:eastAsia="Calibri" w:cstheme="minorHAnsi"/>
          <w:color w:val="000000" w:themeColor="text1"/>
        </w:rPr>
      </w:pPr>
      <w:proofErr w:type="spellStart"/>
      <w:r w:rsidRPr="002B6F1B">
        <w:rPr>
          <w:rFonts w:eastAsia="Calibri" w:cstheme="minorHAnsi"/>
          <w:color w:val="000000" w:themeColor="text1"/>
        </w:rPr>
        <w:t>Swinn</w:t>
      </w:r>
      <w:proofErr w:type="spellEnd"/>
      <w:r w:rsidRPr="002B6F1B">
        <w:rPr>
          <w:rFonts w:eastAsia="Calibri" w:cstheme="minorHAnsi"/>
          <w:color w:val="000000" w:themeColor="text1"/>
        </w:rPr>
        <w:t xml:space="preserve">, K. (2018) </w:t>
      </w:r>
      <w:r w:rsidRPr="002B6F1B">
        <w:rPr>
          <w:rFonts w:eastAsia="Calibri" w:cstheme="minorHAnsi"/>
          <w:i/>
          <w:iCs/>
          <w:color w:val="000000" w:themeColor="text1"/>
        </w:rPr>
        <w:t>Dismissal by reason of misconduct.</w:t>
      </w:r>
      <w:r w:rsidRPr="002B6F1B">
        <w:rPr>
          <w:rFonts w:eastAsia="Calibri" w:cstheme="minorHAnsi"/>
          <w:color w:val="000000" w:themeColor="text1"/>
        </w:rPr>
        <w:t xml:space="preserve"> Available at: </w:t>
      </w:r>
      <w:hyperlink r:id="rId21">
        <w:r w:rsidRPr="002B6F1B">
          <w:rPr>
            <w:rStyle w:val="Hyperlink"/>
            <w:rFonts w:eastAsia="Calibri" w:cstheme="minorHAnsi"/>
          </w:rPr>
          <w:t>https://www.truthlegal.com/dismissal-by-reason-of-misconduct/</w:t>
        </w:r>
      </w:hyperlink>
      <w:r w:rsidRPr="002B6F1B">
        <w:rPr>
          <w:rFonts w:eastAsia="Calibri" w:cstheme="minorHAnsi"/>
          <w:color w:val="000000" w:themeColor="text1"/>
        </w:rPr>
        <w:t xml:space="preserve"> (Accessed 13 April 2021).</w:t>
      </w:r>
    </w:p>
    <w:p w14:paraId="13311C5E" w14:textId="22FF35DB" w:rsidR="251B2F6D" w:rsidRPr="002B6F1B" w:rsidRDefault="251B2F6D" w:rsidP="6225F5D5">
      <w:pPr>
        <w:rPr>
          <w:rFonts w:eastAsia="Calibri" w:cstheme="minorHAnsi"/>
          <w:color w:val="000000" w:themeColor="text1"/>
        </w:rPr>
      </w:pPr>
      <w:r w:rsidRPr="002B6F1B">
        <w:rPr>
          <w:rFonts w:eastAsia="Calibri" w:cstheme="minorHAnsi"/>
          <w:color w:val="000000" w:themeColor="text1"/>
        </w:rPr>
        <w:lastRenderedPageBreak/>
        <w:t xml:space="preserve">Taylor, S. and Wilkinson, K. (2016) ‘Employment Law', in Taylor, S. and Woodhams, C. (ed.) </w:t>
      </w:r>
      <w:r w:rsidRPr="002B6F1B">
        <w:rPr>
          <w:rFonts w:eastAsia="Calibri" w:cstheme="minorHAnsi"/>
          <w:i/>
          <w:iCs/>
          <w:color w:val="000000" w:themeColor="text1"/>
        </w:rPr>
        <w:t xml:space="preserve">Human Resource Management: People and Organisations. </w:t>
      </w:r>
      <w:r w:rsidRPr="002B6F1B">
        <w:rPr>
          <w:rFonts w:eastAsia="Calibri" w:cstheme="minorHAnsi"/>
          <w:color w:val="000000" w:themeColor="text1"/>
        </w:rPr>
        <w:t>London: Charted Institute of Personnel and Development.</w:t>
      </w:r>
    </w:p>
    <w:p w14:paraId="1234AB01" w14:textId="48AED758" w:rsidR="251B2F6D" w:rsidRPr="002B6F1B" w:rsidRDefault="251B2F6D" w:rsidP="6225F5D5">
      <w:pPr>
        <w:rPr>
          <w:rFonts w:eastAsia="Calibri" w:cstheme="minorHAnsi"/>
          <w:color w:val="000000" w:themeColor="text1"/>
        </w:rPr>
      </w:pPr>
      <w:r w:rsidRPr="002B6F1B">
        <w:rPr>
          <w:rFonts w:eastAsia="Calibri" w:cstheme="minorHAnsi"/>
          <w:i/>
          <w:iCs/>
          <w:color w:val="000000" w:themeColor="text1"/>
        </w:rPr>
        <w:t>The Maternity and Parental Leave etc. Regulations 1999, No. 3312</w:t>
      </w:r>
      <w:r w:rsidRPr="002B6F1B">
        <w:rPr>
          <w:rFonts w:eastAsia="Calibri" w:cstheme="minorHAnsi"/>
          <w:color w:val="000000" w:themeColor="text1"/>
        </w:rPr>
        <w:t xml:space="preserve"> Available at: </w:t>
      </w:r>
      <w:hyperlink r:id="rId22">
        <w:r w:rsidRPr="002B6F1B">
          <w:rPr>
            <w:rStyle w:val="Hyperlink"/>
            <w:rFonts w:eastAsia="Calibri" w:cstheme="minorHAnsi"/>
          </w:rPr>
          <w:t>https://www.legislation.gov.uk/uksi/1999/3312/contents/made</w:t>
        </w:r>
      </w:hyperlink>
      <w:r w:rsidRPr="002B6F1B">
        <w:rPr>
          <w:rFonts w:eastAsia="Calibri" w:cstheme="minorHAnsi"/>
          <w:color w:val="000000" w:themeColor="text1"/>
        </w:rPr>
        <w:t xml:space="preserve"> (Accessed: 10 April 2021).</w:t>
      </w:r>
    </w:p>
    <w:p w14:paraId="1D74094F" w14:textId="31C222D1" w:rsidR="251B2F6D" w:rsidRPr="002B6F1B" w:rsidRDefault="251B2F6D" w:rsidP="6225F5D5">
      <w:pPr>
        <w:rPr>
          <w:rFonts w:eastAsia="Calibri" w:cstheme="minorHAnsi"/>
          <w:color w:val="000000" w:themeColor="text1"/>
        </w:rPr>
      </w:pPr>
      <w:r w:rsidRPr="002B6F1B">
        <w:rPr>
          <w:rFonts w:eastAsia="Calibri" w:cstheme="minorHAnsi"/>
          <w:i/>
          <w:iCs/>
          <w:color w:val="000000" w:themeColor="text1"/>
        </w:rPr>
        <w:t>The Paternity and Adoption Leave Regulations 2002, No. 2788.</w:t>
      </w:r>
      <w:r w:rsidRPr="002B6F1B">
        <w:rPr>
          <w:rFonts w:eastAsia="Calibri" w:cstheme="minorHAnsi"/>
          <w:color w:val="000000" w:themeColor="text1"/>
        </w:rPr>
        <w:t xml:space="preserve"> Available at: </w:t>
      </w:r>
      <w:hyperlink r:id="rId23">
        <w:r w:rsidRPr="002B6F1B">
          <w:rPr>
            <w:rStyle w:val="Hyperlink"/>
            <w:rFonts w:eastAsia="Calibri" w:cstheme="minorHAnsi"/>
          </w:rPr>
          <w:t>https://www.legislation.gov.uk/uksi/2002/2788/contents/made</w:t>
        </w:r>
      </w:hyperlink>
      <w:r w:rsidRPr="002B6F1B">
        <w:rPr>
          <w:rFonts w:eastAsia="Calibri" w:cstheme="minorHAnsi"/>
          <w:color w:val="000000" w:themeColor="text1"/>
        </w:rPr>
        <w:t xml:space="preserve"> (Accessed: 10 April 2021).</w:t>
      </w:r>
    </w:p>
    <w:p w14:paraId="50EA575F" w14:textId="5621AA2B" w:rsidR="6225F5D5" w:rsidRPr="002B6F1B" w:rsidRDefault="6225F5D5" w:rsidP="6225F5D5">
      <w:pPr>
        <w:rPr>
          <w:rFonts w:eastAsia="Calibri" w:cstheme="minorHAnsi"/>
          <w:color w:val="000000" w:themeColor="text1"/>
        </w:rPr>
      </w:pPr>
    </w:p>
    <w:p w14:paraId="1B50F37F" w14:textId="375F76C0" w:rsidR="6225F5D5" w:rsidRPr="002B6F1B" w:rsidRDefault="6225F5D5" w:rsidP="6225F5D5">
      <w:pPr>
        <w:rPr>
          <w:rFonts w:eastAsia="Calibri" w:cstheme="minorHAnsi"/>
          <w:color w:val="000000" w:themeColor="text1"/>
        </w:rPr>
      </w:pPr>
    </w:p>
    <w:p w14:paraId="33DD7BDE" w14:textId="671FE8B3" w:rsidR="6225F5D5" w:rsidRPr="002B6F1B" w:rsidRDefault="6225F5D5" w:rsidP="6225F5D5">
      <w:pPr>
        <w:rPr>
          <w:rFonts w:eastAsia="Calibri" w:cstheme="minorHAnsi"/>
          <w:color w:val="000000" w:themeColor="text1"/>
        </w:rPr>
      </w:pPr>
    </w:p>
    <w:p w14:paraId="6566918C" w14:textId="7FB7E6AA" w:rsidR="6225F5D5" w:rsidRPr="002B6F1B" w:rsidRDefault="6225F5D5" w:rsidP="6225F5D5">
      <w:pPr>
        <w:rPr>
          <w:rFonts w:cstheme="minorHAnsi"/>
        </w:rPr>
      </w:pPr>
    </w:p>
    <w:sectPr w:rsidR="6225F5D5" w:rsidRPr="002B6F1B">
      <w:pgSz w:w="11906" w:h="16838"/>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7060B4"/>
    <w:multiLevelType w:val="hybridMultilevel"/>
    <w:tmpl w:val="5E846EAE"/>
    <w:lvl w:ilvl="0" w:tplc="6F14AB5A">
      <w:start w:val="1"/>
      <w:numFmt w:val="bullet"/>
      <w:lvlText w:val=""/>
      <w:lvlJc w:val="left"/>
      <w:pPr>
        <w:ind w:left="720" w:hanging="360"/>
      </w:pPr>
      <w:rPr>
        <w:rFonts w:ascii="Symbol" w:hAnsi="Symbol" w:hint="default"/>
      </w:rPr>
    </w:lvl>
    <w:lvl w:ilvl="1" w:tplc="12466638">
      <w:start w:val="1"/>
      <w:numFmt w:val="bullet"/>
      <w:lvlText w:val="o"/>
      <w:lvlJc w:val="left"/>
      <w:pPr>
        <w:ind w:left="1440" w:hanging="360"/>
      </w:pPr>
      <w:rPr>
        <w:rFonts w:ascii="Courier New" w:hAnsi="Courier New" w:hint="default"/>
      </w:rPr>
    </w:lvl>
    <w:lvl w:ilvl="2" w:tplc="D3424A7C">
      <w:start w:val="1"/>
      <w:numFmt w:val="bullet"/>
      <w:lvlText w:val=""/>
      <w:lvlJc w:val="left"/>
      <w:pPr>
        <w:ind w:left="2160" w:hanging="360"/>
      </w:pPr>
      <w:rPr>
        <w:rFonts w:ascii="Wingdings" w:hAnsi="Wingdings" w:hint="default"/>
      </w:rPr>
    </w:lvl>
    <w:lvl w:ilvl="3" w:tplc="C5804CA0">
      <w:start w:val="1"/>
      <w:numFmt w:val="bullet"/>
      <w:lvlText w:val=""/>
      <w:lvlJc w:val="left"/>
      <w:pPr>
        <w:ind w:left="2880" w:hanging="360"/>
      </w:pPr>
      <w:rPr>
        <w:rFonts w:ascii="Symbol" w:hAnsi="Symbol" w:hint="default"/>
      </w:rPr>
    </w:lvl>
    <w:lvl w:ilvl="4" w:tplc="0410191E">
      <w:start w:val="1"/>
      <w:numFmt w:val="bullet"/>
      <w:lvlText w:val="o"/>
      <w:lvlJc w:val="left"/>
      <w:pPr>
        <w:ind w:left="3600" w:hanging="360"/>
      </w:pPr>
      <w:rPr>
        <w:rFonts w:ascii="Courier New" w:hAnsi="Courier New" w:hint="default"/>
      </w:rPr>
    </w:lvl>
    <w:lvl w:ilvl="5" w:tplc="EDD8F722">
      <w:start w:val="1"/>
      <w:numFmt w:val="bullet"/>
      <w:lvlText w:val=""/>
      <w:lvlJc w:val="left"/>
      <w:pPr>
        <w:ind w:left="4320" w:hanging="360"/>
      </w:pPr>
      <w:rPr>
        <w:rFonts w:ascii="Wingdings" w:hAnsi="Wingdings" w:hint="default"/>
      </w:rPr>
    </w:lvl>
    <w:lvl w:ilvl="6" w:tplc="8A6E2AC6">
      <w:start w:val="1"/>
      <w:numFmt w:val="bullet"/>
      <w:lvlText w:val=""/>
      <w:lvlJc w:val="left"/>
      <w:pPr>
        <w:ind w:left="5040" w:hanging="360"/>
      </w:pPr>
      <w:rPr>
        <w:rFonts w:ascii="Symbol" w:hAnsi="Symbol" w:hint="default"/>
      </w:rPr>
    </w:lvl>
    <w:lvl w:ilvl="7" w:tplc="6D5AB688">
      <w:start w:val="1"/>
      <w:numFmt w:val="bullet"/>
      <w:lvlText w:val="o"/>
      <w:lvlJc w:val="left"/>
      <w:pPr>
        <w:ind w:left="5760" w:hanging="360"/>
      </w:pPr>
      <w:rPr>
        <w:rFonts w:ascii="Courier New" w:hAnsi="Courier New" w:hint="default"/>
      </w:rPr>
    </w:lvl>
    <w:lvl w:ilvl="8" w:tplc="31D8761E">
      <w:start w:val="1"/>
      <w:numFmt w:val="bullet"/>
      <w:lvlText w:val=""/>
      <w:lvlJc w:val="left"/>
      <w:pPr>
        <w:ind w:left="6480" w:hanging="360"/>
      </w:pPr>
      <w:rPr>
        <w:rFonts w:ascii="Wingdings" w:hAnsi="Wingdings" w:hint="default"/>
      </w:rPr>
    </w:lvl>
  </w:abstractNum>
  <w:abstractNum w:abstractNumId="1" w15:restartNumberingAfterBreak="0">
    <w:nsid w:val="2D13620B"/>
    <w:multiLevelType w:val="hybridMultilevel"/>
    <w:tmpl w:val="2B0834C6"/>
    <w:lvl w:ilvl="0" w:tplc="0218A07C">
      <w:start w:val="1"/>
      <w:numFmt w:val="bullet"/>
      <w:lvlText w:val=""/>
      <w:lvlJc w:val="left"/>
      <w:pPr>
        <w:ind w:left="720" w:hanging="360"/>
      </w:pPr>
      <w:rPr>
        <w:rFonts w:ascii="Symbol" w:hAnsi="Symbol" w:hint="default"/>
      </w:rPr>
    </w:lvl>
    <w:lvl w:ilvl="1" w:tplc="4B4E7E6A">
      <w:start w:val="1"/>
      <w:numFmt w:val="bullet"/>
      <w:lvlText w:val="o"/>
      <w:lvlJc w:val="left"/>
      <w:pPr>
        <w:ind w:left="1440" w:hanging="360"/>
      </w:pPr>
      <w:rPr>
        <w:rFonts w:ascii="Courier New" w:hAnsi="Courier New" w:hint="default"/>
      </w:rPr>
    </w:lvl>
    <w:lvl w:ilvl="2" w:tplc="50321680">
      <w:start w:val="1"/>
      <w:numFmt w:val="bullet"/>
      <w:lvlText w:val=""/>
      <w:lvlJc w:val="left"/>
      <w:pPr>
        <w:ind w:left="2160" w:hanging="360"/>
      </w:pPr>
      <w:rPr>
        <w:rFonts w:ascii="Wingdings" w:hAnsi="Wingdings" w:hint="default"/>
      </w:rPr>
    </w:lvl>
    <w:lvl w:ilvl="3" w:tplc="B09E2C30">
      <w:start w:val="1"/>
      <w:numFmt w:val="bullet"/>
      <w:lvlText w:val=""/>
      <w:lvlJc w:val="left"/>
      <w:pPr>
        <w:ind w:left="2880" w:hanging="360"/>
      </w:pPr>
      <w:rPr>
        <w:rFonts w:ascii="Symbol" w:hAnsi="Symbol" w:hint="default"/>
      </w:rPr>
    </w:lvl>
    <w:lvl w:ilvl="4" w:tplc="B646280E">
      <w:start w:val="1"/>
      <w:numFmt w:val="bullet"/>
      <w:lvlText w:val="o"/>
      <w:lvlJc w:val="left"/>
      <w:pPr>
        <w:ind w:left="3600" w:hanging="360"/>
      </w:pPr>
      <w:rPr>
        <w:rFonts w:ascii="Courier New" w:hAnsi="Courier New" w:hint="default"/>
      </w:rPr>
    </w:lvl>
    <w:lvl w:ilvl="5" w:tplc="F408685C">
      <w:start w:val="1"/>
      <w:numFmt w:val="bullet"/>
      <w:lvlText w:val=""/>
      <w:lvlJc w:val="left"/>
      <w:pPr>
        <w:ind w:left="4320" w:hanging="360"/>
      </w:pPr>
      <w:rPr>
        <w:rFonts w:ascii="Wingdings" w:hAnsi="Wingdings" w:hint="default"/>
      </w:rPr>
    </w:lvl>
    <w:lvl w:ilvl="6" w:tplc="0F1CF360">
      <w:start w:val="1"/>
      <w:numFmt w:val="bullet"/>
      <w:lvlText w:val=""/>
      <w:lvlJc w:val="left"/>
      <w:pPr>
        <w:ind w:left="5040" w:hanging="360"/>
      </w:pPr>
      <w:rPr>
        <w:rFonts w:ascii="Symbol" w:hAnsi="Symbol" w:hint="default"/>
      </w:rPr>
    </w:lvl>
    <w:lvl w:ilvl="7" w:tplc="41D4D8A2">
      <w:start w:val="1"/>
      <w:numFmt w:val="bullet"/>
      <w:lvlText w:val="o"/>
      <w:lvlJc w:val="left"/>
      <w:pPr>
        <w:ind w:left="5760" w:hanging="360"/>
      </w:pPr>
      <w:rPr>
        <w:rFonts w:ascii="Courier New" w:hAnsi="Courier New" w:hint="default"/>
      </w:rPr>
    </w:lvl>
    <w:lvl w:ilvl="8" w:tplc="5A40BDDA">
      <w:start w:val="1"/>
      <w:numFmt w:val="bullet"/>
      <w:lvlText w:val=""/>
      <w:lvlJc w:val="left"/>
      <w:pPr>
        <w:ind w:left="6480" w:hanging="360"/>
      </w:pPr>
      <w:rPr>
        <w:rFonts w:ascii="Wingdings" w:hAnsi="Wingdings" w:hint="default"/>
      </w:rPr>
    </w:lvl>
  </w:abstractNum>
  <w:abstractNum w:abstractNumId="2" w15:restartNumberingAfterBreak="0">
    <w:nsid w:val="2D34615E"/>
    <w:multiLevelType w:val="hybridMultilevel"/>
    <w:tmpl w:val="379007CC"/>
    <w:lvl w:ilvl="0" w:tplc="81A2A974">
      <w:start w:val="1"/>
      <w:numFmt w:val="bullet"/>
      <w:lvlText w:val=""/>
      <w:lvlJc w:val="left"/>
      <w:pPr>
        <w:ind w:left="720" w:hanging="360"/>
      </w:pPr>
      <w:rPr>
        <w:rFonts w:ascii="Symbol" w:hAnsi="Symbol" w:hint="default"/>
      </w:rPr>
    </w:lvl>
    <w:lvl w:ilvl="1" w:tplc="3D52CAE0">
      <w:start w:val="1"/>
      <w:numFmt w:val="bullet"/>
      <w:lvlText w:val="o"/>
      <w:lvlJc w:val="left"/>
      <w:pPr>
        <w:ind w:left="1440" w:hanging="360"/>
      </w:pPr>
      <w:rPr>
        <w:rFonts w:ascii="Courier New" w:hAnsi="Courier New" w:hint="default"/>
      </w:rPr>
    </w:lvl>
    <w:lvl w:ilvl="2" w:tplc="6B6ECE64">
      <w:start w:val="1"/>
      <w:numFmt w:val="bullet"/>
      <w:lvlText w:val=""/>
      <w:lvlJc w:val="left"/>
      <w:pPr>
        <w:ind w:left="2160" w:hanging="360"/>
      </w:pPr>
      <w:rPr>
        <w:rFonts w:ascii="Wingdings" w:hAnsi="Wingdings" w:hint="default"/>
      </w:rPr>
    </w:lvl>
    <w:lvl w:ilvl="3" w:tplc="8F1EF638">
      <w:start w:val="1"/>
      <w:numFmt w:val="bullet"/>
      <w:lvlText w:val=""/>
      <w:lvlJc w:val="left"/>
      <w:pPr>
        <w:ind w:left="2880" w:hanging="360"/>
      </w:pPr>
      <w:rPr>
        <w:rFonts w:ascii="Symbol" w:hAnsi="Symbol" w:hint="default"/>
      </w:rPr>
    </w:lvl>
    <w:lvl w:ilvl="4" w:tplc="83FCE1DC">
      <w:start w:val="1"/>
      <w:numFmt w:val="bullet"/>
      <w:lvlText w:val="o"/>
      <w:lvlJc w:val="left"/>
      <w:pPr>
        <w:ind w:left="3600" w:hanging="360"/>
      </w:pPr>
      <w:rPr>
        <w:rFonts w:ascii="Courier New" w:hAnsi="Courier New" w:hint="default"/>
      </w:rPr>
    </w:lvl>
    <w:lvl w:ilvl="5" w:tplc="6A42EB08">
      <w:start w:val="1"/>
      <w:numFmt w:val="bullet"/>
      <w:lvlText w:val=""/>
      <w:lvlJc w:val="left"/>
      <w:pPr>
        <w:ind w:left="4320" w:hanging="360"/>
      </w:pPr>
      <w:rPr>
        <w:rFonts w:ascii="Wingdings" w:hAnsi="Wingdings" w:hint="default"/>
      </w:rPr>
    </w:lvl>
    <w:lvl w:ilvl="6" w:tplc="59F6AF1C">
      <w:start w:val="1"/>
      <w:numFmt w:val="bullet"/>
      <w:lvlText w:val=""/>
      <w:lvlJc w:val="left"/>
      <w:pPr>
        <w:ind w:left="5040" w:hanging="360"/>
      </w:pPr>
      <w:rPr>
        <w:rFonts w:ascii="Symbol" w:hAnsi="Symbol" w:hint="default"/>
      </w:rPr>
    </w:lvl>
    <w:lvl w:ilvl="7" w:tplc="50068CAE">
      <w:start w:val="1"/>
      <w:numFmt w:val="bullet"/>
      <w:lvlText w:val="o"/>
      <w:lvlJc w:val="left"/>
      <w:pPr>
        <w:ind w:left="5760" w:hanging="360"/>
      </w:pPr>
      <w:rPr>
        <w:rFonts w:ascii="Courier New" w:hAnsi="Courier New" w:hint="default"/>
      </w:rPr>
    </w:lvl>
    <w:lvl w:ilvl="8" w:tplc="963E3968">
      <w:start w:val="1"/>
      <w:numFmt w:val="bullet"/>
      <w:lvlText w:val=""/>
      <w:lvlJc w:val="left"/>
      <w:pPr>
        <w:ind w:left="6480" w:hanging="360"/>
      </w:pPr>
      <w:rPr>
        <w:rFonts w:ascii="Wingdings" w:hAnsi="Wingdings" w:hint="default"/>
      </w:rPr>
    </w:lvl>
  </w:abstractNum>
  <w:abstractNum w:abstractNumId="3" w15:restartNumberingAfterBreak="0">
    <w:nsid w:val="446F0B90"/>
    <w:multiLevelType w:val="hybridMultilevel"/>
    <w:tmpl w:val="6C8CD166"/>
    <w:lvl w:ilvl="0" w:tplc="DC60FD3A">
      <w:start w:val="1"/>
      <w:numFmt w:val="bullet"/>
      <w:lvlText w:val=""/>
      <w:lvlJc w:val="left"/>
      <w:pPr>
        <w:ind w:left="720" w:hanging="360"/>
      </w:pPr>
      <w:rPr>
        <w:rFonts w:ascii="Symbol" w:hAnsi="Symbol" w:hint="default"/>
      </w:rPr>
    </w:lvl>
    <w:lvl w:ilvl="1" w:tplc="536E13D0">
      <w:start w:val="1"/>
      <w:numFmt w:val="bullet"/>
      <w:lvlText w:val="o"/>
      <w:lvlJc w:val="left"/>
      <w:pPr>
        <w:ind w:left="1440" w:hanging="360"/>
      </w:pPr>
      <w:rPr>
        <w:rFonts w:ascii="Courier New" w:hAnsi="Courier New" w:hint="default"/>
      </w:rPr>
    </w:lvl>
    <w:lvl w:ilvl="2" w:tplc="6312089C">
      <w:start w:val="1"/>
      <w:numFmt w:val="bullet"/>
      <w:lvlText w:val=""/>
      <w:lvlJc w:val="left"/>
      <w:pPr>
        <w:ind w:left="2160" w:hanging="360"/>
      </w:pPr>
      <w:rPr>
        <w:rFonts w:ascii="Wingdings" w:hAnsi="Wingdings" w:hint="default"/>
      </w:rPr>
    </w:lvl>
    <w:lvl w:ilvl="3" w:tplc="A17238C8">
      <w:start w:val="1"/>
      <w:numFmt w:val="bullet"/>
      <w:lvlText w:val=""/>
      <w:lvlJc w:val="left"/>
      <w:pPr>
        <w:ind w:left="2880" w:hanging="360"/>
      </w:pPr>
      <w:rPr>
        <w:rFonts w:ascii="Symbol" w:hAnsi="Symbol" w:hint="default"/>
      </w:rPr>
    </w:lvl>
    <w:lvl w:ilvl="4" w:tplc="ACBE6142">
      <w:start w:val="1"/>
      <w:numFmt w:val="bullet"/>
      <w:lvlText w:val="o"/>
      <w:lvlJc w:val="left"/>
      <w:pPr>
        <w:ind w:left="3600" w:hanging="360"/>
      </w:pPr>
      <w:rPr>
        <w:rFonts w:ascii="Courier New" w:hAnsi="Courier New" w:hint="default"/>
      </w:rPr>
    </w:lvl>
    <w:lvl w:ilvl="5" w:tplc="8F24E8B4">
      <w:start w:val="1"/>
      <w:numFmt w:val="bullet"/>
      <w:lvlText w:val=""/>
      <w:lvlJc w:val="left"/>
      <w:pPr>
        <w:ind w:left="4320" w:hanging="360"/>
      </w:pPr>
      <w:rPr>
        <w:rFonts w:ascii="Wingdings" w:hAnsi="Wingdings" w:hint="default"/>
      </w:rPr>
    </w:lvl>
    <w:lvl w:ilvl="6" w:tplc="FA9846AE">
      <w:start w:val="1"/>
      <w:numFmt w:val="bullet"/>
      <w:lvlText w:val=""/>
      <w:lvlJc w:val="left"/>
      <w:pPr>
        <w:ind w:left="5040" w:hanging="360"/>
      </w:pPr>
      <w:rPr>
        <w:rFonts w:ascii="Symbol" w:hAnsi="Symbol" w:hint="default"/>
      </w:rPr>
    </w:lvl>
    <w:lvl w:ilvl="7" w:tplc="E754198C">
      <w:start w:val="1"/>
      <w:numFmt w:val="bullet"/>
      <w:lvlText w:val="o"/>
      <w:lvlJc w:val="left"/>
      <w:pPr>
        <w:ind w:left="5760" w:hanging="360"/>
      </w:pPr>
      <w:rPr>
        <w:rFonts w:ascii="Courier New" w:hAnsi="Courier New" w:hint="default"/>
      </w:rPr>
    </w:lvl>
    <w:lvl w:ilvl="8" w:tplc="67EA0848">
      <w:start w:val="1"/>
      <w:numFmt w:val="bullet"/>
      <w:lvlText w:val=""/>
      <w:lvlJc w:val="left"/>
      <w:pPr>
        <w:ind w:left="6480" w:hanging="360"/>
      </w:pPr>
      <w:rPr>
        <w:rFonts w:ascii="Wingdings" w:hAnsi="Wingdings" w:hint="default"/>
      </w:rPr>
    </w:lvl>
  </w:abstractNum>
  <w:abstractNum w:abstractNumId="4" w15:restartNumberingAfterBreak="0">
    <w:nsid w:val="4FE839C6"/>
    <w:multiLevelType w:val="hybridMultilevel"/>
    <w:tmpl w:val="3156F57C"/>
    <w:lvl w:ilvl="0" w:tplc="3A6E1C84">
      <w:start w:val="1"/>
      <w:numFmt w:val="bullet"/>
      <w:lvlText w:val="·"/>
      <w:lvlJc w:val="left"/>
      <w:pPr>
        <w:ind w:left="720" w:hanging="360"/>
      </w:pPr>
      <w:rPr>
        <w:rFonts w:ascii="Symbol" w:hAnsi="Symbol" w:hint="default"/>
      </w:rPr>
    </w:lvl>
    <w:lvl w:ilvl="1" w:tplc="7E585240">
      <w:start w:val="1"/>
      <w:numFmt w:val="bullet"/>
      <w:lvlText w:val="o"/>
      <w:lvlJc w:val="left"/>
      <w:pPr>
        <w:ind w:left="1440" w:hanging="360"/>
      </w:pPr>
      <w:rPr>
        <w:rFonts w:ascii="Courier New" w:hAnsi="Courier New" w:hint="default"/>
      </w:rPr>
    </w:lvl>
    <w:lvl w:ilvl="2" w:tplc="ECEC9C74">
      <w:start w:val="1"/>
      <w:numFmt w:val="bullet"/>
      <w:lvlText w:val=""/>
      <w:lvlJc w:val="left"/>
      <w:pPr>
        <w:ind w:left="2160" w:hanging="360"/>
      </w:pPr>
      <w:rPr>
        <w:rFonts w:ascii="Wingdings" w:hAnsi="Wingdings" w:hint="default"/>
      </w:rPr>
    </w:lvl>
    <w:lvl w:ilvl="3" w:tplc="8C2AB646">
      <w:start w:val="1"/>
      <w:numFmt w:val="bullet"/>
      <w:lvlText w:val=""/>
      <w:lvlJc w:val="left"/>
      <w:pPr>
        <w:ind w:left="2880" w:hanging="360"/>
      </w:pPr>
      <w:rPr>
        <w:rFonts w:ascii="Symbol" w:hAnsi="Symbol" w:hint="default"/>
      </w:rPr>
    </w:lvl>
    <w:lvl w:ilvl="4" w:tplc="4C42D6A0">
      <w:start w:val="1"/>
      <w:numFmt w:val="bullet"/>
      <w:lvlText w:val="o"/>
      <w:lvlJc w:val="left"/>
      <w:pPr>
        <w:ind w:left="3600" w:hanging="360"/>
      </w:pPr>
      <w:rPr>
        <w:rFonts w:ascii="Courier New" w:hAnsi="Courier New" w:hint="default"/>
      </w:rPr>
    </w:lvl>
    <w:lvl w:ilvl="5" w:tplc="5F047564">
      <w:start w:val="1"/>
      <w:numFmt w:val="bullet"/>
      <w:lvlText w:val=""/>
      <w:lvlJc w:val="left"/>
      <w:pPr>
        <w:ind w:left="4320" w:hanging="360"/>
      </w:pPr>
      <w:rPr>
        <w:rFonts w:ascii="Wingdings" w:hAnsi="Wingdings" w:hint="default"/>
      </w:rPr>
    </w:lvl>
    <w:lvl w:ilvl="6" w:tplc="E424F990">
      <w:start w:val="1"/>
      <w:numFmt w:val="bullet"/>
      <w:lvlText w:val=""/>
      <w:lvlJc w:val="left"/>
      <w:pPr>
        <w:ind w:left="5040" w:hanging="360"/>
      </w:pPr>
      <w:rPr>
        <w:rFonts w:ascii="Symbol" w:hAnsi="Symbol" w:hint="default"/>
      </w:rPr>
    </w:lvl>
    <w:lvl w:ilvl="7" w:tplc="8F80CB2A">
      <w:start w:val="1"/>
      <w:numFmt w:val="bullet"/>
      <w:lvlText w:val="o"/>
      <w:lvlJc w:val="left"/>
      <w:pPr>
        <w:ind w:left="5760" w:hanging="360"/>
      </w:pPr>
      <w:rPr>
        <w:rFonts w:ascii="Courier New" w:hAnsi="Courier New" w:hint="default"/>
      </w:rPr>
    </w:lvl>
    <w:lvl w:ilvl="8" w:tplc="B9FC8B04">
      <w:start w:val="1"/>
      <w:numFmt w:val="bullet"/>
      <w:lvlText w:val=""/>
      <w:lvlJc w:val="left"/>
      <w:pPr>
        <w:ind w:left="6480" w:hanging="360"/>
      </w:pPr>
      <w:rPr>
        <w:rFonts w:ascii="Wingdings" w:hAnsi="Wingdings" w:hint="default"/>
      </w:rPr>
    </w:lvl>
  </w:abstractNum>
  <w:abstractNum w:abstractNumId="5" w15:restartNumberingAfterBreak="0">
    <w:nsid w:val="520A147D"/>
    <w:multiLevelType w:val="hybridMultilevel"/>
    <w:tmpl w:val="6434809A"/>
    <w:lvl w:ilvl="0" w:tplc="2C7CE542">
      <w:start w:val="1"/>
      <w:numFmt w:val="bullet"/>
      <w:lvlText w:val="·"/>
      <w:lvlJc w:val="left"/>
      <w:pPr>
        <w:ind w:left="720" w:hanging="360"/>
      </w:pPr>
      <w:rPr>
        <w:rFonts w:ascii="Symbol" w:hAnsi="Symbol" w:hint="default"/>
      </w:rPr>
    </w:lvl>
    <w:lvl w:ilvl="1" w:tplc="BFA48CEE">
      <w:start w:val="1"/>
      <w:numFmt w:val="bullet"/>
      <w:lvlText w:val="o"/>
      <w:lvlJc w:val="left"/>
      <w:pPr>
        <w:ind w:left="1440" w:hanging="360"/>
      </w:pPr>
      <w:rPr>
        <w:rFonts w:ascii="Courier New" w:hAnsi="Courier New" w:hint="default"/>
      </w:rPr>
    </w:lvl>
    <w:lvl w:ilvl="2" w:tplc="2D86E1DE">
      <w:start w:val="1"/>
      <w:numFmt w:val="bullet"/>
      <w:lvlText w:val=""/>
      <w:lvlJc w:val="left"/>
      <w:pPr>
        <w:ind w:left="2160" w:hanging="360"/>
      </w:pPr>
      <w:rPr>
        <w:rFonts w:ascii="Wingdings" w:hAnsi="Wingdings" w:hint="default"/>
      </w:rPr>
    </w:lvl>
    <w:lvl w:ilvl="3" w:tplc="B83C57AC">
      <w:start w:val="1"/>
      <w:numFmt w:val="bullet"/>
      <w:lvlText w:val=""/>
      <w:lvlJc w:val="left"/>
      <w:pPr>
        <w:ind w:left="2880" w:hanging="360"/>
      </w:pPr>
      <w:rPr>
        <w:rFonts w:ascii="Symbol" w:hAnsi="Symbol" w:hint="default"/>
      </w:rPr>
    </w:lvl>
    <w:lvl w:ilvl="4" w:tplc="C2DE77FA">
      <w:start w:val="1"/>
      <w:numFmt w:val="bullet"/>
      <w:lvlText w:val="o"/>
      <w:lvlJc w:val="left"/>
      <w:pPr>
        <w:ind w:left="3600" w:hanging="360"/>
      </w:pPr>
      <w:rPr>
        <w:rFonts w:ascii="Courier New" w:hAnsi="Courier New" w:hint="default"/>
      </w:rPr>
    </w:lvl>
    <w:lvl w:ilvl="5" w:tplc="23200480">
      <w:start w:val="1"/>
      <w:numFmt w:val="bullet"/>
      <w:lvlText w:val=""/>
      <w:lvlJc w:val="left"/>
      <w:pPr>
        <w:ind w:left="4320" w:hanging="360"/>
      </w:pPr>
      <w:rPr>
        <w:rFonts w:ascii="Wingdings" w:hAnsi="Wingdings" w:hint="default"/>
      </w:rPr>
    </w:lvl>
    <w:lvl w:ilvl="6" w:tplc="E73A607E">
      <w:start w:val="1"/>
      <w:numFmt w:val="bullet"/>
      <w:lvlText w:val=""/>
      <w:lvlJc w:val="left"/>
      <w:pPr>
        <w:ind w:left="5040" w:hanging="360"/>
      </w:pPr>
      <w:rPr>
        <w:rFonts w:ascii="Symbol" w:hAnsi="Symbol" w:hint="default"/>
      </w:rPr>
    </w:lvl>
    <w:lvl w:ilvl="7" w:tplc="42865D14">
      <w:start w:val="1"/>
      <w:numFmt w:val="bullet"/>
      <w:lvlText w:val="o"/>
      <w:lvlJc w:val="left"/>
      <w:pPr>
        <w:ind w:left="5760" w:hanging="360"/>
      </w:pPr>
      <w:rPr>
        <w:rFonts w:ascii="Courier New" w:hAnsi="Courier New" w:hint="default"/>
      </w:rPr>
    </w:lvl>
    <w:lvl w:ilvl="8" w:tplc="58F8735E">
      <w:start w:val="1"/>
      <w:numFmt w:val="bullet"/>
      <w:lvlText w:val=""/>
      <w:lvlJc w:val="left"/>
      <w:pPr>
        <w:ind w:left="6480" w:hanging="360"/>
      </w:pPr>
      <w:rPr>
        <w:rFonts w:ascii="Wingdings" w:hAnsi="Wingdings" w:hint="default"/>
      </w:rPr>
    </w:lvl>
  </w:abstractNum>
  <w:abstractNum w:abstractNumId="6" w15:restartNumberingAfterBreak="0">
    <w:nsid w:val="5EFC2C0C"/>
    <w:multiLevelType w:val="hybridMultilevel"/>
    <w:tmpl w:val="25DA5DAE"/>
    <w:lvl w:ilvl="0" w:tplc="36BC14FC">
      <w:start w:val="1"/>
      <w:numFmt w:val="bullet"/>
      <w:lvlText w:val=""/>
      <w:lvlJc w:val="left"/>
      <w:pPr>
        <w:ind w:left="720" w:hanging="360"/>
      </w:pPr>
      <w:rPr>
        <w:rFonts w:ascii="Symbol" w:hAnsi="Symbol" w:hint="default"/>
      </w:rPr>
    </w:lvl>
    <w:lvl w:ilvl="1" w:tplc="5EFC6206">
      <w:start w:val="1"/>
      <w:numFmt w:val="bullet"/>
      <w:lvlText w:val="o"/>
      <w:lvlJc w:val="left"/>
      <w:pPr>
        <w:ind w:left="1440" w:hanging="360"/>
      </w:pPr>
      <w:rPr>
        <w:rFonts w:ascii="Courier New" w:hAnsi="Courier New" w:hint="default"/>
      </w:rPr>
    </w:lvl>
    <w:lvl w:ilvl="2" w:tplc="FD0EBBB6">
      <w:start w:val="1"/>
      <w:numFmt w:val="bullet"/>
      <w:lvlText w:val=""/>
      <w:lvlJc w:val="left"/>
      <w:pPr>
        <w:ind w:left="2160" w:hanging="360"/>
      </w:pPr>
      <w:rPr>
        <w:rFonts w:ascii="Wingdings" w:hAnsi="Wingdings" w:hint="default"/>
      </w:rPr>
    </w:lvl>
    <w:lvl w:ilvl="3" w:tplc="CA28D78E">
      <w:start w:val="1"/>
      <w:numFmt w:val="bullet"/>
      <w:lvlText w:val=""/>
      <w:lvlJc w:val="left"/>
      <w:pPr>
        <w:ind w:left="2880" w:hanging="360"/>
      </w:pPr>
      <w:rPr>
        <w:rFonts w:ascii="Symbol" w:hAnsi="Symbol" w:hint="default"/>
      </w:rPr>
    </w:lvl>
    <w:lvl w:ilvl="4" w:tplc="DA7202CE">
      <w:start w:val="1"/>
      <w:numFmt w:val="bullet"/>
      <w:lvlText w:val="o"/>
      <w:lvlJc w:val="left"/>
      <w:pPr>
        <w:ind w:left="3600" w:hanging="360"/>
      </w:pPr>
      <w:rPr>
        <w:rFonts w:ascii="Courier New" w:hAnsi="Courier New" w:hint="default"/>
      </w:rPr>
    </w:lvl>
    <w:lvl w:ilvl="5" w:tplc="01BCE6DA">
      <w:start w:val="1"/>
      <w:numFmt w:val="bullet"/>
      <w:lvlText w:val=""/>
      <w:lvlJc w:val="left"/>
      <w:pPr>
        <w:ind w:left="4320" w:hanging="360"/>
      </w:pPr>
      <w:rPr>
        <w:rFonts w:ascii="Wingdings" w:hAnsi="Wingdings" w:hint="default"/>
      </w:rPr>
    </w:lvl>
    <w:lvl w:ilvl="6" w:tplc="C0225668">
      <w:start w:val="1"/>
      <w:numFmt w:val="bullet"/>
      <w:lvlText w:val=""/>
      <w:lvlJc w:val="left"/>
      <w:pPr>
        <w:ind w:left="5040" w:hanging="360"/>
      </w:pPr>
      <w:rPr>
        <w:rFonts w:ascii="Symbol" w:hAnsi="Symbol" w:hint="default"/>
      </w:rPr>
    </w:lvl>
    <w:lvl w:ilvl="7" w:tplc="4A96CB64">
      <w:start w:val="1"/>
      <w:numFmt w:val="bullet"/>
      <w:lvlText w:val="o"/>
      <w:lvlJc w:val="left"/>
      <w:pPr>
        <w:ind w:left="5760" w:hanging="360"/>
      </w:pPr>
      <w:rPr>
        <w:rFonts w:ascii="Courier New" w:hAnsi="Courier New" w:hint="default"/>
      </w:rPr>
    </w:lvl>
    <w:lvl w:ilvl="8" w:tplc="529E08D6">
      <w:start w:val="1"/>
      <w:numFmt w:val="bullet"/>
      <w:lvlText w:val=""/>
      <w:lvlJc w:val="left"/>
      <w:pPr>
        <w:ind w:left="6480" w:hanging="360"/>
      </w:pPr>
      <w:rPr>
        <w:rFonts w:ascii="Wingdings" w:hAnsi="Wingdings" w:hint="default"/>
      </w:rPr>
    </w:lvl>
  </w:abstractNum>
  <w:abstractNum w:abstractNumId="7" w15:restartNumberingAfterBreak="0">
    <w:nsid w:val="780706FC"/>
    <w:multiLevelType w:val="hybridMultilevel"/>
    <w:tmpl w:val="3AB6CD06"/>
    <w:lvl w:ilvl="0" w:tplc="02FE130E">
      <w:start w:val="1"/>
      <w:numFmt w:val="bullet"/>
      <w:lvlText w:val=""/>
      <w:lvlJc w:val="left"/>
      <w:pPr>
        <w:ind w:left="720" w:hanging="360"/>
      </w:pPr>
      <w:rPr>
        <w:rFonts w:ascii="Symbol" w:hAnsi="Symbol" w:hint="default"/>
      </w:rPr>
    </w:lvl>
    <w:lvl w:ilvl="1" w:tplc="5FA49598">
      <w:start w:val="1"/>
      <w:numFmt w:val="bullet"/>
      <w:lvlText w:val="o"/>
      <w:lvlJc w:val="left"/>
      <w:pPr>
        <w:ind w:left="1440" w:hanging="360"/>
      </w:pPr>
      <w:rPr>
        <w:rFonts w:ascii="Courier New" w:hAnsi="Courier New" w:hint="default"/>
      </w:rPr>
    </w:lvl>
    <w:lvl w:ilvl="2" w:tplc="757EEF2E">
      <w:start w:val="1"/>
      <w:numFmt w:val="bullet"/>
      <w:lvlText w:val=""/>
      <w:lvlJc w:val="left"/>
      <w:pPr>
        <w:ind w:left="2160" w:hanging="360"/>
      </w:pPr>
      <w:rPr>
        <w:rFonts w:ascii="Wingdings" w:hAnsi="Wingdings" w:hint="default"/>
      </w:rPr>
    </w:lvl>
    <w:lvl w:ilvl="3" w:tplc="40880238">
      <w:start w:val="1"/>
      <w:numFmt w:val="bullet"/>
      <w:lvlText w:val=""/>
      <w:lvlJc w:val="left"/>
      <w:pPr>
        <w:ind w:left="2880" w:hanging="360"/>
      </w:pPr>
      <w:rPr>
        <w:rFonts w:ascii="Symbol" w:hAnsi="Symbol" w:hint="default"/>
      </w:rPr>
    </w:lvl>
    <w:lvl w:ilvl="4" w:tplc="92E25348">
      <w:start w:val="1"/>
      <w:numFmt w:val="bullet"/>
      <w:lvlText w:val="o"/>
      <w:lvlJc w:val="left"/>
      <w:pPr>
        <w:ind w:left="3600" w:hanging="360"/>
      </w:pPr>
      <w:rPr>
        <w:rFonts w:ascii="Courier New" w:hAnsi="Courier New" w:hint="default"/>
      </w:rPr>
    </w:lvl>
    <w:lvl w:ilvl="5" w:tplc="451E0532">
      <w:start w:val="1"/>
      <w:numFmt w:val="bullet"/>
      <w:lvlText w:val=""/>
      <w:lvlJc w:val="left"/>
      <w:pPr>
        <w:ind w:left="4320" w:hanging="360"/>
      </w:pPr>
      <w:rPr>
        <w:rFonts w:ascii="Wingdings" w:hAnsi="Wingdings" w:hint="default"/>
      </w:rPr>
    </w:lvl>
    <w:lvl w:ilvl="6" w:tplc="939E9E06">
      <w:start w:val="1"/>
      <w:numFmt w:val="bullet"/>
      <w:lvlText w:val=""/>
      <w:lvlJc w:val="left"/>
      <w:pPr>
        <w:ind w:left="5040" w:hanging="360"/>
      </w:pPr>
      <w:rPr>
        <w:rFonts w:ascii="Symbol" w:hAnsi="Symbol" w:hint="default"/>
      </w:rPr>
    </w:lvl>
    <w:lvl w:ilvl="7" w:tplc="FB86EBA6">
      <w:start w:val="1"/>
      <w:numFmt w:val="bullet"/>
      <w:lvlText w:val="o"/>
      <w:lvlJc w:val="left"/>
      <w:pPr>
        <w:ind w:left="5760" w:hanging="360"/>
      </w:pPr>
      <w:rPr>
        <w:rFonts w:ascii="Courier New" w:hAnsi="Courier New" w:hint="default"/>
      </w:rPr>
    </w:lvl>
    <w:lvl w:ilvl="8" w:tplc="D1D8D9F0">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6"/>
  </w:num>
  <w:num w:numId="4">
    <w:abstractNumId w:val="1"/>
  </w:num>
  <w:num w:numId="5">
    <w:abstractNumId w:val="7"/>
  </w:num>
  <w:num w:numId="6">
    <w:abstractNumId w:val="2"/>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1B2FE4"/>
    <w:rsid w:val="002B6F1B"/>
    <w:rsid w:val="008C09D5"/>
    <w:rsid w:val="00B5575A"/>
    <w:rsid w:val="00F1626E"/>
    <w:rsid w:val="03677544"/>
    <w:rsid w:val="049FF181"/>
    <w:rsid w:val="05F7F0F4"/>
    <w:rsid w:val="061622FA"/>
    <w:rsid w:val="067A6869"/>
    <w:rsid w:val="07874C00"/>
    <w:rsid w:val="084D601C"/>
    <w:rsid w:val="09AFCCC6"/>
    <w:rsid w:val="0A48D255"/>
    <w:rsid w:val="0A6760F4"/>
    <w:rsid w:val="0B4C141F"/>
    <w:rsid w:val="0BC8202A"/>
    <w:rsid w:val="0BEDF692"/>
    <w:rsid w:val="0D99E24A"/>
    <w:rsid w:val="0E80859E"/>
    <w:rsid w:val="0E89A92E"/>
    <w:rsid w:val="0F02CB52"/>
    <w:rsid w:val="102B3697"/>
    <w:rsid w:val="10BCCF23"/>
    <w:rsid w:val="1167B746"/>
    <w:rsid w:val="1298A72D"/>
    <w:rsid w:val="1321F4C3"/>
    <w:rsid w:val="135F4FF8"/>
    <w:rsid w:val="161BF9D0"/>
    <w:rsid w:val="172E4059"/>
    <w:rsid w:val="17B2E3D6"/>
    <w:rsid w:val="1865FBA3"/>
    <w:rsid w:val="198BF613"/>
    <w:rsid w:val="19BBB334"/>
    <w:rsid w:val="1CE12F38"/>
    <w:rsid w:val="1D121040"/>
    <w:rsid w:val="1F30AB42"/>
    <w:rsid w:val="1F711D8A"/>
    <w:rsid w:val="201175DB"/>
    <w:rsid w:val="20156D7E"/>
    <w:rsid w:val="2037ABE2"/>
    <w:rsid w:val="207F553F"/>
    <w:rsid w:val="20CB8900"/>
    <w:rsid w:val="21F3B58C"/>
    <w:rsid w:val="22191A0D"/>
    <w:rsid w:val="24476D6C"/>
    <w:rsid w:val="24CA811D"/>
    <w:rsid w:val="251B2F6D"/>
    <w:rsid w:val="264901E6"/>
    <w:rsid w:val="26DB1C16"/>
    <w:rsid w:val="2859566E"/>
    <w:rsid w:val="29F01A52"/>
    <w:rsid w:val="2A787A48"/>
    <w:rsid w:val="2A91C0D7"/>
    <w:rsid w:val="2A97E1DE"/>
    <w:rsid w:val="2AF70972"/>
    <w:rsid w:val="2B2DDFB6"/>
    <w:rsid w:val="2C063CCF"/>
    <w:rsid w:val="2CC9B017"/>
    <w:rsid w:val="2D127044"/>
    <w:rsid w:val="2D169CD5"/>
    <w:rsid w:val="2ED64CE9"/>
    <w:rsid w:val="3033A6AB"/>
    <w:rsid w:val="3072C9BB"/>
    <w:rsid w:val="32302A93"/>
    <w:rsid w:val="3295DC5B"/>
    <w:rsid w:val="33902792"/>
    <w:rsid w:val="34996CAA"/>
    <w:rsid w:val="34A4786C"/>
    <w:rsid w:val="3549679E"/>
    <w:rsid w:val="362E4902"/>
    <w:rsid w:val="36353D0B"/>
    <w:rsid w:val="3701DEF0"/>
    <w:rsid w:val="37DF79DD"/>
    <w:rsid w:val="38CC36B6"/>
    <w:rsid w:val="39431DC2"/>
    <w:rsid w:val="39B8148D"/>
    <w:rsid w:val="3A798D57"/>
    <w:rsid w:val="3A8A0CED"/>
    <w:rsid w:val="3B028DCE"/>
    <w:rsid w:val="3D230563"/>
    <w:rsid w:val="41A58B6A"/>
    <w:rsid w:val="41AB0675"/>
    <w:rsid w:val="41F12119"/>
    <w:rsid w:val="45EDCEAC"/>
    <w:rsid w:val="479C173A"/>
    <w:rsid w:val="488667AB"/>
    <w:rsid w:val="490DC578"/>
    <w:rsid w:val="4A13B234"/>
    <w:rsid w:val="4BB9B8E4"/>
    <w:rsid w:val="4C821594"/>
    <w:rsid w:val="4EFD1F62"/>
    <w:rsid w:val="50140722"/>
    <w:rsid w:val="511518B7"/>
    <w:rsid w:val="5414D0ED"/>
    <w:rsid w:val="551B2FE4"/>
    <w:rsid w:val="5532A9C0"/>
    <w:rsid w:val="556C60E6"/>
    <w:rsid w:val="55A61F38"/>
    <w:rsid w:val="55B5CC75"/>
    <w:rsid w:val="5748AEA6"/>
    <w:rsid w:val="5A74DD4B"/>
    <w:rsid w:val="5AA34BDB"/>
    <w:rsid w:val="5C13A4AD"/>
    <w:rsid w:val="5D82CD43"/>
    <w:rsid w:val="5E37B335"/>
    <w:rsid w:val="60C63574"/>
    <w:rsid w:val="610FB173"/>
    <w:rsid w:val="61A2D680"/>
    <w:rsid w:val="61B93040"/>
    <w:rsid w:val="6225F5D5"/>
    <w:rsid w:val="62C6DA11"/>
    <w:rsid w:val="63F14AB8"/>
    <w:rsid w:val="671ADFEB"/>
    <w:rsid w:val="6875189B"/>
    <w:rsid w:val="68B350F4"/>
    <w:rsid w:val="6916876C"/>
    <w:rsid w:val="6988FA4C"/>
    <w:rsid w:val="6A4EB76C"/>
    <w:rsid w:val="6C14794B"/>
    <w:rsid w:val="6C1D69A5"/>
    <w:rsid w:val="6CC09B0E"/>
    <w:rsid w:val="6CD77C3C"/>
    <w:rsid w:val="6E7AD0E9"/>
    <w:rsid w:val="70DE49CC"/>
    <w:rsid w:val="75F243E3"/>
    <w:rsid w:val="760121DA"/>
    <w:rsid w:val="764E54F7"/>
    <w:rsid w:val="766AF9D0"/>
    <w:rsid w:val="777D7D2F"/>
    <w:rsid w:val="77E802F3"/>
    <w:rsid w:val="78ED24EF"/>
    <w:rsid w:val="7D61B571"/>
    <w:rsid w:val="7DF2865F"/>
    <w:rsid w:val="7E22E88C"/>
    <w:rsid w:val="7FDA66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B2FE4"/>
  <w15:chartTrackingRefBased/>
  <w15:docId w15:val="{32416DE7-D842-44D0-B67F-5A6AA2C90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emp-law/tupe/factsheet" TargetMode="External"/><Relationship Id="rId13" Type="http://schemas.openxmlformats.org/officeDocument/2006/relationships/hyperlink" Target="https://www.legislation.gov.uk/ukpga/1996/18/contents" TargetMode="External"/><Relationship Id="rId18" Type="http://schemas.openxmlformats.org/officeDocument/2006/relationships/hyperlink" Target="https://www.legislation.gov.uk/ukpga/1974/37/contents" TargetMode="External"/><Relationship Id="rId3" Type="http://schemas.openxmlformats.org/officeDocument/2006/relationships/settings" Target="settings.xml"/><Relationship Id="rId21" Type="http://schemas.openxmlformats.org/officeDocument/2006/relationships/hyperlink" Target="https://www.truthlegal.com/dismissal-by-reason-of-misconduct/" TargetMode="External"/><Relationship Id="rId7" Type="http://schemas.openxmlformats.org/officeDocument/2006/relationships/hyperlink" Target="https://www.cipd.co.uk/knowledge/fundamentals/emp-law/redundancy/factsheet" TargetMode="External"/><Relationship Id="rId12" Type="http://schemas.openxmlformats.org/officeDocument/2006/relationships/hyperlink" Target="https://www.cipd.co.uk/knowledge/fundamentals/emp-law/student-tutor-update" TargetMode="External"/><Relationship Id="rId17" Type="http://schemas.openxmlformats.org/officeDocument/2006/relationships/hyperlink" Target="https://www.gov.uk/maternity-pay-leave/pa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national-living-wage-extended-to-younger-workers" TargetMode="External"/><Relationship Id="rId20" Type="http://schemas.openxmlformats.org/officeDocument/2006/relationships/hyperlink" Target="https://www.legislation.gov.uk/ukpga/1998/39/contents" TargetMode="External"/><Relationship Id="rId1" Type="http://schemas.openxmlformats.org/officeDocument/2006/relationships/numbering" Target="numbering.xml"/><Relationship Id="rId6" Type="http://schemas.openxmlformats.org/officeDocument/2006/relationships/hyperlink" Target="http://documentsetc.blogspot.com/2009/01/redundancy.html" TargetMode="External"/><Relationship Id="rId11" Type="http://schemas.openxmlformats.org/officeDocument/2006/relationships/hyperlink" Target="https://www.cipd.co.uk/knowledge/fundamentals/emp-law/recruitment/questions"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gov.uk/government/publications/the-national-minimum-wage-in-2021" TargetMode="External"/><Relationship Id="rId23" Type="http://schemas.openxmlformats.org/officeDocument/2006/relationships/hyperlink" Target="https://www.legislation.gov.uk/uksi/2002/2788/contents/made" TargetMode="External"/><Relationship Id="rId10" Type="http://schemas.openxmlformats.org/officeDocument/2006/relationships/hyperlink" Target="https://www.cipd.co.uk/knowledge/fundamentals/emp-law/abol%202ut/uk-court-system-factsheet" TargetMode="External"/><Relationship Id="rId19" Type="http://schemas.openxmlformats.org/officeDocument/2006/relationships/hyperlink" Target="https://optimalsolicitors.com/blog/constructive-dismissal-and-the-last-strawcove-doctrine" TargetMode="External"/><Relationship Id="rId4" Type="http://schemas.openxmlformats.org/officeDocument/2006/relationships/webSettings" Target="webSettings.xml"/><Relationship Id="rId9" Type="http://schemas.openxmlformats.org/officeDocument/2006/relationships/hyperlink" Target="https://www.cipd.co.uk/knowledge/fundamentals/emp-law/discipline/factsheet" TargetMode="External"/><Relationship Id="rId14" Type="http://schemas.openxmlformats.org/officeDocument/2006/relationships/hyperlink" Target="https://www.legislation.gov.uk/ukpga/2010/15/contents" TargetMode="External"/><Relationship Id="rId22" Type="http://schemas.openxmlformats.org/officeDocument/2006/relationships/hyperlink" Target="https://www.legislation.gov.uk/uksi/1999/3312/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6266</Words>
  <Characters>35719</Characters>
  <Application>Microsoft Office Word</Application>
  <DocSecurity>0</DocSecurity>
  <Lines>297</Lines>
  <Paragraphs>83</Paragraphs>
  <ScaleCrop>false</ScaleCrop>
  <Company/>
  <LinksUpToDate>false</LinksUpToDate>
  <CharactersWithSpaces>41902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Rachel Beynon (2016038)</dc:creator>
  <cp:keywords/>
  <dc:description/>
  <cp:lastModifiedBy>Elinor Rachel Beynon (2016038)</cp:lastModifiedBy>
  <cp:revision>2</cp:revision>
  <dcterms:created xsi:type="dcterms:W3CDTF">2021-04-19T22:13:00Z</dcterms:created>
  <dcterms:modified xsi:type="dcterms:W3CDTF">2021-04-19T22:13:00Z</dcterms:modified>
</cp:coreProperties>
</file>