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C6FAA5" w14:textId="77777777" w:rsidR="00341324" w:rsidRPr="004460FC" w:rsidRDefault="00341324" w:rsidP="00341324">
      <w:pPr>
        <w:pStyle w:val="BodyText"/>
        <w:spacing w:before="162" w:line="264" w:lineRule="auto"/>
        <w:ind w:right="283"/>
        <w:jc w:val="both"/>
        <w:rPr>
          <w:b/>
          <w:bCs/>
          <w:sz w:val="24"/>
          <w:szCs w:val="24"/>
        </w:rPr>
      </w:pPr>
      <w:r w:rsidRPr="004460FC">
        <w:rPr>
          <w:b/>
          <w:bCs/>
          <w:sz w:val="24"/>
          <w:szCs w:val="24"/>
        </w:rPr>
        <w:t>Evidence-based practice (AC 1.1)</w:t>
      </w:r>
    </w:p>
    <w:p w14:paraId="588A6747"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The concept of evidence-based practice (EBP) is widely used in several different sectors such as in medical and engineering fields, however, has only in recent years been acknowledged as a practical approach within Human Resource Management. </w:t>
      </w:r>
    </w:p>
    <w:p w14:paraId="50A8F8BE"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In simple terms evidence-based practice is how we support our decision-making through several different evidence sources. The CIPD (2023a) define </w:t>
      </w:r>
      <w:r>
        <w:rPr>
          <w:sz w:val="24"/>
          <w:szCs w:val="24"/>
        </w:rPr>
        <w:t>EBP</w:t>
      </w:r>
      <w:r w:rsidRPr="004460FC">
        <w:rPr>
          <w:sz w:val="24"/>
          <w:szCs w:val="24"/>
        </w:rPr>
        <w:t xml:space="preserve"> </w:t>
      </w:r>
      <w:r>
        <w:rPr>
          <w:sz w:val="24"/>
          <w:szCs w:val="24"/>
        </w:rPr>
        <w:t>using</w:t>
      </w:r>
      <w:r w:rsidRPr="004460FC">
        <w:rPr>
          <w:sz w:val="24"/>
          <w:szCs w:val="24"/>
        </w:rPr>
        <w:t xml:space="preserve"> the </w:t>
      </w:r>
      <w:proofErr w:type="spellStart"/>
      <w:r w:rsidRPr="004460FC">
        <w:rPr>
          <w:sz w:val="24"/>
          <w:szCs w:val="24"/>
        </w:rPr>
        <w:t>CEBMa</w:t>
      </w:r>
      <w:proofErr w:type="spellEnd"/>
      <w:r w:rsidRPr="004460FC">
        <w:rPr>
          <w:sz w:val="24"/>
          <w:szCs w:val="24"/>
        </w:rPr>
        <w:t xml:space="preserve"> definition</w:t>
      </w:r>
      <w:r>
        <w:rPr>
          <w:sz w:val="24"/>
          <w:szCs w:val="24"/>
        </w:rPr>
        <w:t xml:space="preserve"> </w:t>
      </w:r>
      <w:r w:rsidRPr="004460FC">
        <w:rPr>
          <w:sz w:val="24"/>
          <w:szCs w:val="24"/>
        </w:rPr>
        <w:t>“</w:t>
      </w:r>
      <w:r>
        <w:rPr>
          <w:sz w:val="24"/>
          <w:szCs w:val="24"/>
        </w:rPr>
        <w:t>EBP</w:t>
      </w:r>
      <w:r w:rsidRPr="004460FC">
        <w:rPr>
          <w:sz w:val="24"/>
          <w:szCs w:val="24"/>
        </w:rPr>
        <w:t xml:space="preserve"> is about making decisions through the conscientious, explicit and judicious use of the best available evidence from multiple sources… to increase the likelihood of a favourable outcome”.</w:t>
      </w:r>
    </w:p>
    <w:p w14:paraId="7D5B64B7"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The promotion of </w:t>
      </w:r>
      <w:r>
        <w:rPr>
          <w:sz w:val="24"/>
          <w:szCs w:val="24"/>
        </w:rPr>
        <w:t>EBP</w:t>
      </w:r>
      <w:r w:rsidRPr="004460FC">
        <w:rPr>
          <w:sz w:val="24"/>
          <w:szCs w:val="24"/>
        </w:rPr>
        <w:t xml:space="preserve"> can provide several key benefits to people practices within an organisation, including ensuring that organisational decisions are based on sound facts that are backed up by proven research. An evidence-based approach moves away from outdated, misaligned and often biased methods of decision making to ensure that decisions can be relied upon, trusted and can positively impact the workforce and the organisation. </w:t>
      </w:r>
    </w:p>
    <w:p w14:paraId="3633BC90"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It's critical to analyse the quality of the evidence we choose to use and ensure that we use only reliable and trustworthy sources to aid our decision-making. To encourage the use of multiple sources we can follow six steps, which promote people professionals to make use of the best available information and research.</w:t>
      </w:r>
    </w:p>
    <w:p w14:paraId="79D5B25B" w14:textId="77777777" w:rsidR="00341324" w:rsidRPr="004460FC" w:rsidRDefault="00341324" w:rsidP="00341324">
      <w:pPr>
        <w:pStyle w:val="BodyText"/>
        <w:spacing w:before="162" w:line="264" w:lineRule="auto"/>
        <w:ind w:left="1072" w:right="283"/>
        <w:jc w:val="both"/>
        <w:rPr>
          <w:sz w:val="24"/>
          <w:szCs w:val="24"/>
        </w:rPr>
      </w:pPr>
      <w:r w:rsidRPr="004460FC">
        <w:rPr>
          <w:noProof/>
          <w:sz w:val="24"/>
          <w:szCs w:val="24"/>
        </w:rPr>
        <w:drawing>
          <wp:anchor distT="0" distB="0" distL="114300" distR="114300" simplePos="0" relativeHeight="251663360" behindDoc="1" locked="0" layoutInCell="1" allowOverlap="1" wp14:anchorId="64604849" wp14:editId="5CC21307">
            <wp:simplePos x="0" y="0"/>
            <wp:positionH relativeFrom="column">
              <wp:posOffset>1255395</wp:posOffset>
            </wp:positionH>
            <wp:positionV relativeFrom="paragraph">
              <wp:posOffset>112402</wp:posOffset>
            </wp:positionV>
            <wp:extent cx="3366135" cy="3360420"/>
            <wp:effectExtent l="0" t="0" r="5715" b="0"/>
            <wp:wrapTight wrapText="bothSides">
              <wp:wrapPolygon edited="0">
                <wp:start x="0" y="0"/>
                <wp:lineTo x="0" y="21429"/>
                <wp:lineTo x="21514" y="21429"/>
                <wp:lineTo x="21514" y="0"/>
                <wp:lineTo x="0" y="0"/>
              </wp:wrapPolygon>
            </wp:wrapTight>
            <wp:docPr id="1578369672" name="Picture 1" descr="A diagram of steps to a probl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69672" name="Picture 1" descr="A diagram of steps to a problem&#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3366135" cy="3360420"/>
                    </a:xfrm>
                    <a:prstGeom prst="rect">
                      <a:avLst/>
                    </a:prstGeom>
                  </pic:spPr>
                </pic:pic>
              </a:graphicData>
            </a:graphic>
            <wp14:sizeRelH relativeFrom="page">
              <wp14:pctWidth>0</wp14:pctWidth>
            </wp14:sizeRelH>
            <wp14:sizeRelV relativeFrom="page">
              <wp14:pctHeight>0</wp14:pctHeight>
            </wp14:sizeRelV>
          </wp:anchor>
        </w:drawing>
      </w:r>
    </w:p>
    <w:p w14:paraId="1628494B" w14:textId="77777777" w:rsidR="00341324" w:rsidRPr="004460FC" w:rsidRDefault="00341324" w:rsidP="00341324">
      <w:pPr>
        <w:pStyle w:val="BodyText"/>
        <w:spacing w:before="162" w:line="264" w:lineRule="auto"/>
        <w:ind w:left="1072" w:right="283"/>
        <w:jc w:val="both"/>
        <w:rPr>
          <w:sz w:val="24"/>
          <w:szCs w:val="24"/>
        </w:rPr>
      </w:pPr>
    </w:p>
    <w:p w14:paraId="22907C05" w14:textId="77777777" w:rsidR="00341324" w:rsidRDefault="00341324" w:rsidP="00341324">
      <w:pPr>
        <w:pStyle w:val="BodyText"/>
        <w:spacing w:before="162" w:line="264" w:lineRule="auto"/>
        <w:ind w:left="720" w:right="283"/>
        <w:jc w:val="both"/>
        <w:rPr>
          <w:sz w:val="24"/>
          <w:szCs w:val="24"/>
        </w:rPr>
      </w:pPr>
    </w:p>
    <w:p w14:paraId="1BF28105" w14:textId="77777777" w:rsidR="00341324" w:rsidRDefault="00341324" w:rsidP="00341324">
      <w:pPr>
        <w:pStyle w:val="BodyText"/>
        <w:spacing w:before="162" w:line="264" w:lineRule="auto"/>
        <w:ind w:left="720" w:right="283"/>
        <w:jc w:val="both"/>
        <w:rPr>
          <w:sz w:val="24"/>
          <w:szCs w:val="24"/>
        </w:rPr>
      </w:pPr>
    </w:p>
    <w:p w14:paraId="414C4EF2" w14:textId="77777777" w:rsidR="00341324" w:rsidRDefault="00341324" w:rsidP="00341324">
      <w:pPr>
        <w:pStyle w:val="BodyText"/>
        <w:spacing w:before="162" w:line="264" w:lineRule="auto"/>
        <w:ind w:left="720" w:right="283"/>
        <w:jc w:val="both"/>
        <w:rPr>
          <w:sz w:val="24"/>
          <w:szCs w:val="24"/>
        </w:rPr>
      </w:pPr>
    </w:p>
    <w:p w14:paraId="277D613F" w14:textId="77777777" w:rsidR="00341324" w:rsidRDefault="00341324" w:rsidP="00341324">
      <w:pPr>
        <w:pStyle w:val="BodyText"/>
        <w:spacing w:before="162" w:line="264" w:lineRule="auto"/>
        <w:ind w:left="720" w:right="283"/>
        <w:jc w:val="both"/>
        <w:rPr>
          <w:sz w:val="24"/>
          <w:szCs w:val="24"/>
        </w:rPr>
      </w:pPr>
    </w:p>
    <w:p w14:paraId="100884BB" w14:textId="77777777" w:rsidR="00341324" w:rsidRDefault="00341324" w:rsidP="00341324">
      <w:pPr>
        <w:pStyle w:val="BodyText"/>
        <w:spacing w:before="162" w:line="264" w:lineRule="auto"/>
        <w:ind w:left="720" w:right="283"/>
        <w:jc w:val="both"/>
        <w:rPr>
          <w:sz w:val="24"/>
          <w:szCs w:val="24"/>
        </w:rPr>
      </w:pPr>
    </w:p>
    <w:p w14:paraId="31D8C16B" w14:textId="77777777" w:rsidR="00341324" w:rsidRDefault="00341324" w:rsidP="00341324">
      <w:pPr>
        <w:pStyle w:val="BodyText"/>
        <w:spacing w:before="162" w:line="264" w:lineRule="auto"/>
        <w:ind w:left="720" w:right="283"/>
        <w:jc w:val="both"/>
        <w:rPr>
          <w:sz w:val="24"/>
          <w:szCs w:val="24"/>
        </w:rPr>
      </w:pPr>
    </w:p>
    <w:p w14:paraId="6380E449" w14:textId="77777777" w:rsidR="00341324" w:rsidRDefault="00341324" w:rsidP="00341324">
      <w:pPr>
        <w:pStyle w:val="BodyText"/>
        <w:spacing w:before="162" w:line="264" w:lineRule="auto"/>
        <w:ind w:left="720" w:right="283"/>
        <w:jc w:val="both"/>
        <w:rPr>
          <w:sz w:val="24"/>
          <w:szCs w:val="24"/>
        </w:rPr>
      </w:pPr>
    </w:p>
    <w:p w14:paraId="62C2AA1F" w14:textId="77777777" w:rsidR="00341324" w:rsidRDefault="00341324" w:rsidP="00341324">
      <w:pPr>
        <w:pStyle w:val="BodyText"/>
        <w:spacing w:before="162" w:line="264" w:lineRule="auto"/>
        <w:ind w:left="720" w:right="283"/>
        <w:jc w:val="both"/>
        <w:rPr>
          <w:sz w:val="24"/>
          <w:szCs w:val="24"/>
        </w:rPr>
      </w:pPr>
    </w:p>
    <w:p w14:paraId="61054CCA" w14:textId="77777777" w:rsidR="00341324" w:rsidRDefault="00341324" w:rsidP="00341324">
      <w:pPr>
        <w:pStyle w:val="BodyText"/>
        <w:spacing w:before="162" w:line="264" w:lineRule="auto"/>
        <w:ind w:left="720" w:right="283"/>
        <w:jc w:val="both"/>
        <w:rPr>
          <w:sz w:val="24"/>
          <w:szCs w:val="24"/>
        </w:rPr>
      </w:pPr>
    </w:p>
    <w:p w14:paraId="235FBFF2" w14:textId="77777777" w:rsidR="00341324" w:rsidRDefault="00341324" w:rsidP="00341324">
      <w:pPr>
        <w:pStyle w:val="BodyText"/>
        <w:spacing w:before="162" w:line="264" w:lineRule="auto"/>
        <w:ind w:left="720" w:right="283"/>
        <w:jc w:val="both"/>
        <w:rPr>
          <w:sz w:val="24"/>
          <w:szCs w:val="24"/>
        </w:rPr>
      </w:pPr>
    </w:p>
    <w:p w14:paraId="2B53633C" w14:textId="77777777" w:rsidR="00341324" w:rsidRDefault="00341324" w:rsidP="00341324">
      <w:pPr>
        <w:pStyle w:val="BodyText"/>
        <w:spacing w:before="162" w:line="264" w:lineRule="auto"/>
        <w:ind w:left="720" w:right="283"/>
        <w:jc w:val="both"/>
        <w:rPr>
          <w:sz w:val="24"/>
          <w:szCs w:val="24"/>
        </w:rPr>
      </w:pPr>
      <w:r w:rsidRPr="004460FC">
        <w:rPr>
          <w:sz w:val="24"/>
          <w:szCs w:val="24"/>
        </w:rPr>
        <w:t>Figure 1: CIPD 6 Steps to Evidence-Based Practice Infographic (CIPD, 2023a</w:t>
      </w:r>
      <w:r>
        <w:rPr>
          <w:sz w:val="24"/>
          <w:szCs w:val="24"/>
        </w:rPr>
        <w:t>)</w:t>
      </w:r>
    </w:p>
    <w:p w14:paraId="3912B0BE"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The above figure depicts the 6 steps in evidence-based practice, it illustrates how people professionals can work towards more favourable outcomes and in assessing </w:t>
      </w:r>
      <w:r w:rsidRPr="004460FC">
        <w:rPr>
          <w:sz w:val="24"/>
          <w:szCs w:val="24"/>
        </w:rPr>
        <w:lastRenderedPageBreak/>
        <w:t xml:space="preserve">the outcomes we can continually learn and develop our practices to be more evidence-based and effective across a range of people practices. </w:t>
      </w:r>
    </w:p>
    <w:p w14:paraId="1D13287D"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In collating evidence, there are multiple sources we can utilise such as:</w:t>
      </w:r>
    </w:p>
    <w:p w14:paraId="0305177C" w14:textId="77777777" w:rsidR="00341324" w:rsidRPr="004460FC" w:rsidRDefault="00341324" w:rsidP="00341324">
      <w:pPr>
        <w:pStyle w:val="BodyText"/>
        <w:numPr>
          <w:ilvl w:val="0"/>
          <w:numId w:val="3"/>
        </w:numPr>
        <w:spacing w:before="162" w:line="264" w:lineRule="auto"/>
        <w:ind w:left="720" w:right="283"/>
        <w:jc w:val="both"/>
        <w:rPr>
          <w:sz w:val="24"/>
          <w:szCs w:val="24"/>
        </w:rPr>
      </w:pPr>
      <w:r w:rsidRPr="004460FC">
        <w:rPr>
          <w:sz w:val="24"/>
          <w:szCs w:val="24"/>
        </w:rPr>
        <w:t>Scientific literature</w:t>
      </w:r>
    </w:p>
    <w:p w14:paraId="75629BE1" w14:textId="77777777" w:rsidR="00341324" w:rsidRPr="004460FC" w:rsidRDefault="00341324" w:rsidP="00341324">
      <w:pPr>
        <w:pStyle w:val="BodyText"/>
        <w:numPr>
          <w:ilvl w:val="0"/>
          <w:numId w:val="3"/>
        </w:numPr>
        <w:spacing w:before="162" w:line="264" w:lineRule="auto"/>
        <w:ind w:left="720" w:right="283"/>
        <w:jc w:val="both"/>
        <w:rPr>
          <w:sz w:val="24"/>
          <w:szCs w:val="24"/>
        </w:rPr>
      </w:pPr>
      <w:r>
        <w:rPr>
          <w:sz w:val="24"/>
          <w:szCs w:val="24"/>
        </w:rPr>
        <w:t>External and Internal o</w:t>
      </w:r>
      <w:r w:rsidRPr="004460FC">
        <w:rPr>
          <w:sz w:val="24"/>
          <w:szCs w:val="24"/>
        </w:rPr>
        <w:t xml:space="preserve">rganisational data </w:t>
      </w:r>
    </w:p>
    <w:p w14:paraId="6302EA8B" w14:textId="77777777" w:rsidR="00341324" w:rsidRPr="004460FC" w:rsidRDefault="00341324" w:rsidP="00341324">
      <w:pPr>
        <w:pStyle w:val="BodyText"/>
        <w:numPr>
          <w:ilvl w:val="0"/>
          <w:numId w:val="3"/>
        </w:numPr>
        <w:spacing w:before="162" w:line="264" w:lineRule="auto"/>
        <w:ind w:left="720" w:right="283"/>
        <w:jc w:val="both"/>
        <w:rPr>
          <w:sz w:val="24"/>
          <w:szCs w:val="24"/>
        </w:rPr>
      </w:pPr>
      <w:r w:rsidRPr="004460FC">
        <w:rPr>
          <w:sz w:val="24"/>
          <w:szCs w:val="24"/>
        </w:rPr>
        <w:t>Stakeholders (internal and external)</w:t>
      </w:r>
    </w:p>
    <w:p w14:paraId="01ECC552"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All the above are great examples of sources that can aid and inform our decision making, be that looking at our own organisational data such as employee satisfaction through internal surveys, or through scientific literature on effective and targeted personnel selection. </w:t>
      </w:r>
    </w:p>
    <w:p w14:paraId="735A80B3"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As important as it is to use multiple sources, we should also ensure we appraise and critique the quality of all the evidence sources we use. By using multiple sources, we can critically analyse different opinions, data and facts to make sound decisions based on real life data and peer reviewed research by industry leaders.</w:t>
      </w:r>
    </w:p>
    <w:p w14:paraId="72084FC8" w14:textId="77777777" w:rsidR="00341324" w:rsidRPr="004460FC" w:rsidRDefault="00341324" w:rsidP="00341324">
      <w:pPr>
        <w:spacing w:before="120"/>
        <w:contextualSpacing/>
        <w:rPr>
          <w:sz w:val="24"/>
          <w:szCs w:val="24"/>
        </w:rPr>
      </w:pPr>
    </w:p>
    <w:p w14:paraId="43E9AD0F" w14:textId="77777777" w:rsidR="00341324" w:rsidRPr="004460FC" w:rsidRDefault="00341324" w:rsidP="00341324">
      <w:pPr>
        <w:pStyle w:val="ListParagraph"/>
        <w:numPr>
          <w:ilvl w:val="0"/>
          <w:numId w:val="0"/>
        </w:numPr>
        <w:spacing w:before="120" w:after="0" w:line="240" w:lineRule="auto"/>
        <w:contextualSpacing/>
        <w:rPr>
          <w:b/>
          <w:bCs/>
          <w:sz w:val="24"/>
        </w:rPr>
      </w:pPr>
      <w:r w:rsidRPr="004460FC">
        <w:rPr>
          <w:b/>
          <w:bCs/>
          <w:sz w:val="24"/>
        </w:rPr>
        <w:t>Analysis tools and Analysis methods (AC 1.2)</w:t>
      </w:r>
    </w:p>
    <w:p w14:paraId="76A0E699" w14:textId="77777777" w:rsidR="00341324" w:rsidRPr="004460FC" w:rsidRDefault="00341324" w:rsidP="00341324">
      <w:pPr>
        <w:pStyle w:val="ListParagraph"/>
        <w:numPr>
          <w:ilvl w:val="0"/>
          <w:numId w:val="0"/>
        </w:numPr>
        <w:spacing w:before="120" w:after="0" w:line="240" w:lineRule="auto"/>
        <w:contextualSpacing/>
        <w:rPr>
          <w:sz w:val="24"/>
        </w:rPr>
      </w:pPr>
      <w:r w:rsidRPr="004460FC">
        <w:rPr>
          <w:sz w:val="24"/>
        </w:rPr>
        <w:t>In any organisation there is a natural requirement to develop, compete and mature; to achieve this an organisation must diagnose issues and challenges that may prevent growth and identify opportunities for continual improvement.</w:t>
      </w:r>
    </w:p>
    <w:p w14:paraId="15BB66BB" w14:textId="77777777" w:rsidR="00341324" w:rsidRPr="004460FC" w:rsidRDefault="00341324" w:rsidP="00341324">
      <w:pPr>
        <w:pStyle w:val="ListParagraph"/>
        <w:numPr>
          <w:ilvl w:val="0"/>
          <w:numId w:val="0"/>
        </w:numPr>
        <w:spacing w:before="120" w:after="0" w:line="240" w:lineRule="auto"/>
        <w:contextualSpacing/>
        <w:rPr>
          <w:sz w:val="24"/>
        </w:rPr>
      </w:pPr>
    </w:p>
    <w:p w14:paraId="5160E42E" w14:textId="77777777" w:rsidR="00341324" w:rsidRPr="004460FC" w:rsidRDefault="00341324" w:rsidP="00341324">
      <w:pPr>
        <w:pStyle w:val="ListParagraph"/>
        <w:numPr>
          <w:ilvl w:val="0"/>
          <w:numId w:val="0"/>
        </w:numPr>
        <w:spacing w:before="120" w:after="0" w:line="240" w:lineRule="auto"/>
        <w:contextualSpacing/>
        <w:rPr>
          <w:sz w:val="24"/>
        </w:rPr>
      </w:pPr>
      <w:r w:rsidRPr="004460FC">
        <w:rPr>
          <w:sz w:val="24"/>
        </w:rPr>
        <w:t xml:space="preserve">Thorough analysis of issues and challenges is instrumental to achieving business goals, this can be done in several ways using a number of different tools, examples include SWOT analysis, Fishbone analysis and PESTLE to name a few. </w:t>
      </w:r>
    </w:p>
    <w:p w14:paraId="0D1EA729" w14:textId="77777777" w:rsidR="00341324" w:rsidRPr="004460FC" w:rsidRDefault="00341324" w:rsidP="00341324">
      <w:pPr>
        <w:pStyle w:val="ListParagraph"/>
        <w:numPr>
          <w:ilvl w:val="0"/>
          <w:numId w:val="0"/>
        </w:numPr>
        <w:spacing w:before="120" w:after="0" w:line="240" w:lineRule="auto"/>
        <w:contextualSpacing/>
        <w:rPr>
          <w:sz w:val="24"/>
        </w:rPr>
      </w:pPr>
    </w:p>
    <w:p w14:paraId="6BFF7954" w14:textId="77777777" w:rsidR="00341324" w:rsidRPr="004460FC" w:rsidRDefault="00341324" w:rsidP="00341324">
      <w:pPr>
        <w:pStyle w:val="ListParagraph"/>
        <w:numPr>
          <w:ilvl w:val="0"/>
          <w:numId w:val="0"/>
        </w:numPr>
        <w:spacing w:before="120" w:after="0" w:line="240" w:lineRule="auto"/>
        <w:contextualSpacing/>
        <w:rPr>
          <w:sz w:val="24"/>
        </w:rPr>
      </w:pPr>
      <w:r w:rsidRPr="004460FC">
        <w:rPr>
          <w:sz w:val="24"/>
        </w:rPr>
        <w:t xml:space="preserve">Analysis tools can be used independently or supported by other available tools. One of the most commonly used tools is the </w:t>
      </w:r>
      <w:r w:rsidRPr="004460FC">
        <w:rPr>
          <w:b/>
          <w:bCs/>
          <w:sz w:val="24"/>
        </w:rPr>
        <w:t>SWOT</w:t>
      </w:r>
      <w:r w:rsidRPr="004460FC">
        <w:rPr>
          <w:sz w:val="24"/>
        </w:rPr>
        <w:t xml:space="preserve"> analysis, as it allows a clear picture to be established of the </w:t>
      </w:r>
      <w:r w:rsidRPr="004460FC">
        <w:rPr>
          <w:b/>
          <w:bCs/>
          <w:sz w:val="24"/>
        </w:rPr>
        <w:t>S</w:t>
      </w:r>
      <w:r w:rsidRPr="004460FC">
        <w:rPr>
          <w:sz w:val="24"/>
        </w:rPr>
        <w:t>trengths</w:t>
      </w:r>
      <w:r w:rsidRPr="004460FC">
        <w:rPr>
          <w:b/>
          <w:bCs/>
          <w:sz w:val="24"/>
        </w:rPr>
        <w:t>, W</w:t>
      </w:r>
      <w:r w:rsidRPr="004460FC">
        <w:rPr>
          <w:sz w:val="24"/>
        </w:rPr>
        <w:t>eaknesses</w:t>
      </w:r>
      <w:r w:rsidRPr="004460FC">
        <w:rPr>
          <w:b/>
          <w:bCs/>
          <w:sz w:val="24"/>
        </w:rPr>
        <w:t>, O</w:t>
      </w:r>
      <w:r w:rsidRPr="004460FC">
        <w:rPr>
          <w:sz w:val="24"/>
        </w:rPr>
        <w:t>pportunities</w:t>
      </w:r>
      <w:r w:rsidRPr="004460FC">
        <w:rPr>
          <w:b/>
          <w:bCs/>
          <w:sz w:val="24"/>
        </w:rPr>
        <w:t xml:space="preserve"> </w:t>
      </w:r>
      <w:r w:rsidRPr="004460FC">
        <w:rPr>
          <w:sz w:val="24"/>
        </w:rPr>
        <w:t>and</w:t>
      </w:r>
      <w:r w:rsidRPr="004460FC">
        <w:rPr>
          <w:b/>
          <w:bCs/>
          <w:sz w:val="24"/>
        </w:rPr>
        <w:t xml:space="preserve"> T</w:t>
      </w:r>
      <w:r w:rsidRPr="004460FC">
        <w:rPr>
          <w:sz w:val="24"/>
        </w:rPr>
        <w:t>hreats.</w:t>
      </w:r>
    </w:p>
    <w:p w14:paraId="42DE7683" w14:textId="77777777" w:rsidR="00341324" w:rsidRPr="004460FC" w:rsidRDefault="00341324" w:rsidP="00341324">
      <w:pPr>
        <w:pStyle w:val="ListParagraph"/>
        <w:numPr>
          <w:ilvl w:val="0"/>
          <w:numId w:val="0"/>
        </w:numPr>
        <w:spacing w:before="120" w:after="0" w:line="240" w:lineRule="auto"/>
        <w:contextualSpacing/>
        <w:rPr>
          <w:sz w:val="24"/>
        </w:rPr>
      </w:pPr>
    </w:p>
    <w:p w14:paraId="6B75681D" w14:textId="77777777" w:rsidR="00341324" w:rsidRPr="004460FC" w:rsidRDefault="00341324" w:rsidP="00341324">
      <w:pPr>
        <w:pStyle w:val="ListParagraph"/>
        <w:numPr>
          <w:ilvl w:val="0"/>
          <w:numId w:val="0"/>
        </w:numPr>
        <w:spacing w:before="120" w:after="0" w:line="240" w:lineRule="auto"/>
        <w:contextualSpacing/>
        <w:rPr>
          <w:sz w:val="24"/>
        </w:rPr>
      </w:pPr>
      <w:r w:rsidRPr="004460FC">
        <w:rPr>
          <w:sz w:val="24"/>
        </w:rPr>
        <w:t xml:space="preserve">SWOT analysis is a supporting tool when assessing an organisation or project objective. Evaluating the 4 key elements of the analysis in consideration of the desired objective enables all influencing factors that either support or prevent the objective from being achieved to be identified. </w:t>
      </w:r>
    </w:p>
    <w:p w14:paraId="1228094A" w14:textId="77777777" w:rsidR="00341324" w:rsidRPr="004460FC" w:rsidRDefault="00341324" w:rsidP="00341324">
      <w:pPr>
        <w:pStyle w:val="ListParagraph"/>
        <w:numPr>
          <w:ilvl w:val="0"/>
          <w:numId w:val="0"/>
        </w:numPr>
        <w:spacing w:before="120" w:after="0" w:line="240" w:lineRule="auto"/>
        <w:contextualSpacing/>
        <w:rPr>
          <w:sz w:val="24"/>
        </w:rPr>
      </w:pPr>
    </w:p>
    <w:p w14:paraId="24F90CF6" w14:textId="77777777" w:rsidR="00341324" w:rsidRPr="004460FC" w:rsidRDefault="00341324" w:rsidP="00341324">
      <w:pPr>
        <w:pStyle w:val="ListParagraph"/>
        <w:numPr>
          <w:ilvl w:val="0"/>
          <w:numId w:val="0"/>
        </w:numPr>
        <w:spacing w:before="120" w:after="0" w:line="240" w:lineRule="auto"/>
        <w:contextualSpacing/>
        <w:rPr>
          <w:sz w:val="24"/>
        </w:rPr>
      </w:pPr>
      <w:r w:rsidRPr="004460FC">
        <w:rPr>
          <w:sz w:val="24"/>
        </w:rPr>
        <w:t xml:space="preserve">One of the many benefits of SWOT is that it is considered a simple tool, enabling an organisation or team to understand their own strengths and weaknesses, identify opportunities for development and highlight current and future threats that could have a detrimental impact and put mitigations in place to eliminate threats. There are also weaknesses in using a SWOT analysis, primarily around the quality and quantity of data used. In following the importance of incorporating EBP within an organisation, we should aim to ensure that our application of analysis tools used also follow the key principles of EBP and use data that is supported by evidence and not based on assumptions. SWOT analyses are continuously impacted by changes and therefore may require regular reviews that could be seen as time consuming. </w:t>
      </w:r>
    </w:p>
    <w:p w14:paraId="0173123C" w14:textId="77777777" w:rsidR="00341324" w:rsidRPr="004460FC" w:rsidRDefault="00341324" w:rsidP="00341324">
      <w:pPr>
        <w:pStyle w:val="ListParagraph"/>
        <w:numPr>
          <w:ilvl w:val="0"/>
          <w:numId w:val="0"/>
        </w:numPr>
        <w:spacing w:before="120" w:after="0" w:line="240" w:lineRule="auto"/>
        <w:ind w:left="712"/>
        <w:contextualSpacing/>
        <w:rPr>
          <w:b/>
          <w:bCs/>
          <w:sz w:val="24"/>
        </w:rPr>
      </w:pPr>
    </w:p>
    <w:p w14:paraId="368F4B9C" w14:textId="77777777" w:rsidR="00341324" w:rsidRPr="004460FC" w:rsidRDefault="00341324" w:rsidP="00341324">
      <w:pPr>
        <w:pStyle w:val="ListParagraph"/>
        <w:numPr>
          <w:ilvl w:val="0"/>
          <w:numId w:val="0"/>
        </w:numPr>
        <w:spacing w:before="120" w:after="0" w:line="240" w:lineRule="auto"/>
        <w:contextualSpacing/>
        <w:rPr>
          <w:sz w:val="24"/>
        </w:rPr>
      </w:pPr>
      <w:r w:rsidRPr="004460FC">
        <w:rPr>
          <w:sz w:val="24"/>
        </w:rPr>
        <w:lastRenderedPageBreak/>
        <w:t xml:space="preserve">When considering appropriate analysis methods to use as part of identifying and diagnosing issues, challenges and opportunities there are multiple methods available, such as, surveys, focus groups and participant observation. </w:t>
      </w:r>
    </w:p>
    <w:p w14:paraId="325461E9" w14:textId="77777777" w:rsidR="00341324" w:rsidRPr="004460FC" w:rsidRDefault="00341324" w:rsidP="00341324">
      <w:pPr>
        <w:pStyle w:val="ListParagraph"/>
        <w:numPr>
          <w:ilvl w:val="0"/>
          <w:numId w:val="0"/>
        </w:numPr>
        <w:spacing w:before="120" w:after="0" w:line="240" w:lineRule="auto"/>
        <w:contextualSpacing/>
        <w:rPr>
          <w:sz w:val="24"/>
        </w:rPr>
      </w:pPr>
    </w:p>
    <w:p w14:paraId="6A3CFC76" w14:textId="77777777" w:rsidR="00341324" w:rsidRPr="004460FC" w:rsidRDefault="00341324" w:rsidP="00341324">
      <w:pPr>
        <w:pStyle w:val="ListParagraph"/>
        <w:numPr>
          <w:ilvl w:val="0"/>
          <w:numId w:val="0"/>
        </w:numPr>
        <w:spacing w:before="120" w:after="0" w:line="240" w:lineRule="auto"/>
        <w:contextualSpacing/>
        <w:rPr>
          <w:sz w:val="24"/>
        </w:rPr>
      </w:pPr>
      <w:r w:rsidRPr="004460FC">
        <w:rPr>
          <w:sz w:val="24"/>
        </w:rPr>
        <w:t xml:space="preserve">Participant observation is a particularly useful method to understand the true nature of different working groups in an organisation. It’s the means by which the researcher observes first-hand the behaviours of individuals, enabling them to understand how employees interact in the working environment. Woodhams et al (2022) states that a positive perspective of this method </w:t>
      </w:r>
      <w:r>
        <w:rPr>
          <w:sz w:val="24"/>
        </w:rPr>
        <w:t>allows</w:t>
      </w:r>
      <w:r w:rsidRPr="004460FC">
        <w:rPr>
          <w:sz w:val="24"/>
        </w:rPr>
        <w:t xml:space="preserve"> researchers to observe the realities of the workplace </w:t>
      </w:r>
      <w:r>
        <w:rPr>
          <w:sz w:val="24"/>
        </w:rPr>
        <w:t>while</w:t>
      </w:r>
      <w:r w:rsidRPr="004460FC">
        <w:rPr>
          <w:sz w:val="24"/>
        </w:rPr>
        <w:t xml:space="preserve"> gathering data about</w:t>
      </w:r>
      <w:r>
        <w:rPr>
          <w:sz w:val="24"/>
        </w:rPr>
        <w:t xml:space="preserve"> </w:t>
      </w:r>
      <w:r w:rsidRPr="004460FC">
        <w:rPr>
          <w:sz w:val="24"/>
        </w:rPr>
        <w:t xml:space="preserve">practical problems. Woodhams et al (2022) also stated that it’s important to appreciate that these observations may not be a true reflection of a ‘normal’ working day as employees may adapt their behaviours due to being observed. </w:t>
      </w:r>
    </w:p>
    <w:p w14:paraId="40AE2C62" w14:textId="77777777" w:rsidR="00341324" w:rsidRPr="004460FC" w:rsidRDefault="00341324" w:rsidP="00341324">
      <w:pPr>
        <w:spacing w:before="120"/>
        <w:contextualSpacing/>
        <w:rPr>
          <w:sz w:val="24"/>
          <w:szCs w:val="24"/>
        </w:rPr>
      </w:pPr>
    </w:p>
    <w:p w14:paraId="74E98C8E" w14:textId="77777777" w:rsidR="00341324" w:rsidRPr="004460FC" w:rsidRDefault="00341324" w:rsidP="00341324">
      <w:pPr>
        <w:pStyle w:val="BodyText"/>
        <w:spacing w:before="162" w:line="264" w:lineRule="auto"/>
        <w:ind w:right="283"/>
        <w:jc w:val="both"/>
        <w:rPr>
          <w:b/>
          <w:bCs/>
          <w:sz w:val="24"/>
          <w:szCs w:val="24"/>
        </w:rPr>
      </w:pPr>
      <w:r w:rsidRPr="004460FC">
        <w:rPr>
          <w:b/>
          <w:bCs/>
          <w:sz w:val="24"/>
          <w:szCs w:val="24"/>
        </w:rPr>
        <w:t>Critical Thinking (AC 1.3)</w:t>
      </w:r>
    </w:p>
    <w:p w14:paraId="3EC22570"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According to Howlett (2019) critical thinking is the ability to think well and critically reflect on the ideas, opinions and arguments of others.</w:t>
      </w:r>
    </w:p>
    <w:p w14:paraId="39230B49"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Evidence-based practice cannot be achieved without effective critical thinking of the information that we are presented with. It is the means by which we as people professionals actively engage with the information presented to deduce if it is factual, unbiased and meaningful to enable positive and proactive debate of problems and issues within an organisation.</w:t>
      </w:r>
    </w:p>
    <w:p w14:paraId="1074C1F2"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Critical thinking does not imply that you are attempting to find a fault with the information, rather it means to ascertain the validity. It’s the means to ensure that our judgements are made to the best of our ability, having critically evaluated the sources of information we have used to make our decisions. </w:t>
      </w:r>
    </w:p>
    <w:p w14:paraId="6A410CE5"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To think critically is an essential skill that people professional should strive to achieve, especially when considering the vast amount of information available to us across a wide number of human resource topics and issues. We must ensure that we do not simply accept the information provided to us, rather we should evaluate the validity of the information, question the source of the information and discern if there are any biases presented within the information. </w:t>
      </w:r>
    </w:p>
    <w:p w14:paraId="5C989EEE"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The skill of critical thinking can not only be applied to the information we hear or read, but also to our own work. Critical thinking enables us to build and determine our own thoughts or opinions on a matter, having analysed and evaluated the sources of research we have viewed to enable us to present our views clearly. </w:t>
      </w:r>
    </w:p>
    <w:p w14:paraId="66160652"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The University of Edinburgh (2023) state that </w:t>
      </w:r>
      <w:r>
        <w:rPr>
          <w:sz w:val="24"/>
          <w:szCs w:val="24"/>
        </w:rPr>
        <w:t>by</w:t>
      </w:r>
      <w:r w:rsidRPr="004460FC">
        <w:rPr>
          <w:sz w:val="24"/>
          <w:szCs w:val="24"/>
        </w:rPr>
        <w:t xml:space="preserve"> developing your critical thinking, </w:t>
      </w:r>
      <w:r>
        <w:rPr>
          <w:sz w:val="24"/>
          <w:szCs w:val="24"/>
        </w:rPr>
        <w:t>it’s possible to</w:t>
      </w:r>
      <w:r w:rsidRPr="004460FC">
        <w:rPr>
          <w:sz w:val="24"/>
          <w:szCs w:val="24"/>
        </w:rPr>
        <w:t xml:space="preserve"> move from simply disagreeing to constructively evaluating alternatives by building on doubts.</w:t>
      </w:r>
    </w:p>
    <w:p w14:paraId="75FD6D46"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It is easy to form initial impressions when reviewing information, based on our own individual beliefs and opinions, however, it is important to avoid allowing these opinions and beliefs to lead us to dismiss the quality and content of the information. </w:t>
      </w:r>
      <w:r w:rsidRPr="004460FC">
        <w:rPr>
          <w:sz w:val="24"/>
          <w:szCs w:val="24"/>
        </w:rPr>
        <w:lastRenderedPageBreak/>
        <w:t>In order to critically evaluate information, we can ask ourselves a number of questions to ensure we are evaluating the information from an impartial and analytical perspective. Examples of questions that can be used to evaluate information, include:</w:t>
      </w:r>
    </w:p>
    <w:p w14:paraId="16560F71" w14:textId="77777777" w:rsidR="00341324" w:rsidRPr="004460FC" w:rsidRDefault="00341324" w:rsidP="00341324">
      <w:pPr>
        <w:pStyle w:val="BodyText"/>
        <w:numPr>
          <w:ilvl w:val="0"/>
          <w:numId w:val="3"/>
        </w:numPr>
        <w:spacing w:before="162" w:line="264" w:lineRule="auto"/>
        <w:ind w:left="720" w:right="283"/>
        <w:jc w:val="both"/>
        <w:rPr>
          <w:sz w:val="24"/>
          <w:szCs w:val="24"/>
        </w:rPr>
      </w:pPr>
      <w:r w:rsidRPr="004460FC">
        <w:rPr>
          <w:sz w:val="24"/>
          <w:szCs w:val="24"/>
        </w:rPr>
        <w:t>Who was the article written for?</w:t>
      </w:r>
    </w:p>
    <w:p w14:paraId="7E9B2303" w14:textId="77777777" w:rsidR="00341324" w:rsidRPr="004460FC" w:rsidRDefault="00341324" w:rsidP="00341324">
      <w:pPr>
        <w:pStyle w:val="BodyText"/>
        <w:numPr>
          <w:ilvl w:val="0"/>
          <w:numId w:val="3"/>
        </w:numPr>
        <w:spacing w:before="162" w:line="264" w:lineRule="auto"/>
        <w:ind w:left="720" w:right="283"/>
        <w:jc w:val="both"/>
        <w:rPr>
          <w:sz w:val="24"/>
          <w:szCs w:val="24"/>
        </w:rPr>
      </w:pPr>
      <w:r w:rsidRPr="004460FC">
        <w:rPr>
          <w:sz w:val="24"/>
          <w:szCs w:val="24"/>
        </w:rPr>
        <w:t xml:space="preserve">Is the information fact or opinion? </w:t>
      </w:r>
    </w:p>
    <w:p w14:paraId="209B1670" w14:textId="77777777" w:rsidR="00341324" w:rsidRPr="004460FC" w:rsidRDefault="00341324" w:rsidP="00341324">
      <w:pPr>
        <w:pStyle w:val="BodyText"/>
        <w:numPr>
          <w:ilvl w:val="0"/>
          <w:numId w:val="3"/>
        </w:numPr>
        <w:spacing w:before="162" w:line="264" w:lineRule="auto"/>
        <w:ind w:left="720" w:right="283"/>
        <w:jc w:val="both"/>
        <w:rPr>
          <w:sz w:val="24"/>
          <w:szCs w:val="24"/>
        </w:rPr>
      </w:pPr>
      <w:r w:rsidRPr="004460FC">
        <w:rPr>
          <w:sz w:val="24"/>
          <w:szCs w:val="24"/>
        </w:rPr>
        <w:t>Is the information well-researched?</w:t>
      </w:r>
    </w:p>
    <w:p w14:paraId="78B89356" w14:textId="77777777" w:rsidR="00341324" w:rsidRPr="004460FC" w:rsidRDefault="00341324" w:rsidP="00341324">
      <w:pPr>
        <w:pStyle w:val="BodyText"/>
        <w:numPr>
          <w:ilvl w:val="0"/>
          <w:numId w:val="3"/>
        </w:numPr>
        <w:spacing w:before="162" w:line="264" w:lineRule="auto"/>
        <w:ind w:left="720" w:right="283"/>
        <w:jc w:val="both"/>
        <w:rPr>
          <w:sz w:val="24"/>
          <w:szCs w:val="24"/>
        </w:rPr>
      </w:pPr>
      <w:r>
        <w:rPr>
          <w:sz w:val="24"/>
          <w:szCs w:val="24"/>
        </w:rPr>
        <w:t>Is</w:t>
      </w:r>
      <w:r w:rsidRPr="004460FC">
        <w:rPr>
          <w:sz w:val="24"/>
          <w:szCs w:val="24"/>
        </w:rPr>
        <w:t xml:space="preserve"> </w:t>
      </w:r>
      <w:r>
        <w:rPr>
          <w:sz w:val="24"/>
          <w:szCs w:val="24"/>
        </w:rPr>
        <w:t xml:space="preserve">there evidence to support conclusions or arguments presented by the author? </w:t>
      </w:r>
    </w:p>
    <w:p w14:paraId="5BF9437A"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Critical thinking is undoubtedly a highly useful skill for people professionals to develop when presenting arguments and decisions within an organisation, enabling better and more factual decision-making processes to be achieved. </w:t>
      </w:r>
    </w:p>
    <w:p w14:paraId="049E7544" w14:textId="77777777" w:rsidR="00341324" w:rsidRPr="004460FC" w:rsidRDefault="00341324" w:rsidP="00341324">
      <w:pPr>
        <w:pStyle w:val="BodyText"/>
        <w:spacing w:before="162" w:line="264" w:lineRule="auto"/>
        <w:ind w:right="283"/>
        <w:jc w:val="both"/>
        <w:rPr>
          <w:sz w:val="24"/>
          <w:szCs w:val="24"/>
        </w:rPr>
      </w:pPr>
    </w:p>
    <w:p w14:paraId="4E05724A" w14:textId="77777777" w:rsidR="00341324" w:rsidRPr="004460FC" w:rsidRDefault="00341324" w:rsidP="00341324">
      <w:pPr>
        <w:pStyle w:val="BodyText"/>
        <w:spacing w:before="162" w:line="264" w:lineRule="auto"/>
        <w:ind w:right="283"/>
        <w:jc w:val="both"/>
        <w:rPr>
          <w:rFonts w:eastAsiaTheme="minorEastAsia"/>
          <w:b/>
          <w:bCs/>
          <w:sz w:val="24"/>
          <w:szCs w:val="24"/>
        </w:rPr>
      </w:pPr>
      <w:r w:rsidRPr="004460FC">
        <w:rPr>
          <w:b/>
          <w:bCs/>
          <w:sz w:val="24"/>
          <w:szCs w:val="24"/>
        </w:rPr>
        <w:t xml:space="preserve">Decision-making (AC 1.4) </w:t>
      </w:r>
    </w:p>
    <w:p w14:paraId="41FE70C0"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Decision-making is part of everyday life; we’re continuously making decisions throughout the day, some decisions require little conscious effort and have minimal impact on those around us, however other decisions require a lot more thought as the impact can be considerably greater. Decision-making is a highly beneficial skill that people professionals and managers can develop to ensure the most effective outcome is achieved. There are a number of different decision-making processes available to help aid a team or individual through the process.</w:t>
      </w:r>
    </w:p>
    <w:p w14:paraId="593856DB"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One highly useful process to use when planning a new project is a ‘Stakeholder </w:t>
      </w:r>
      <w:proofErr w:type="gramStart"/>
      <w:r w:rsidRPr="004460FC">
        <w:rPr>
          <w:sz w:val="24"/>
          <w:szCs w:val="24"/>
        </w:rPr>
        <w:t>analysis’</w:t>
      </w:r>
      <w:proofErr w:type="gramEnd"/>
      <w:r w:rsidRPr="004460FC">
        <w:rPr>
          <w:sz w:val="24"/>
          <w:szCs w:val="24"/>
        </w:rPr>
        <w:t>. A stakeholder analysis is the process whereby you identify key stakeholders that could be positively or negatively impacted by a project or business decision, and ultimately these stakeholders could potentially oppose or support your project. A stakeholder analysis is an effective means of gaining support and resource for your project. This method is relatively straightforward to build and comprises of 3 main steps:</w:t>
      </w:r>
    </w:p>
    <w:p w14:paraId="6168F8FB" w14:textId="77777777" w:rsidR="00341324" w:rsidRPr="004460FC" w:rsidRDefault="00341324" w:rsidP="00341324">
      <w:pPr>
        <w:pStyle w:val="BodyText"/>
        <w:numPr>
          <w:ilvl w:val="0"/>
          <w:numId w:val="4"/>
        </w:numPr>
        <w:spacing w:before="162" w:line="264" w:lineRule="auto"/>
        <w:ind w:left="360" w:right="283"/>
        <w:jc w:val="both"/>
        <w:rPr>
          <w:rFonts w:eastAsia="Times New Roman"/>
          <w:spacing w:val="8"/>
          <w:sz w:val="24"/>
          <w:szCs w:val="24"/>
          <w:lang w:eastAsia="en-GB"/>
        </w:rPr>
      </w:pPr>
      <w:r w:rsidRPr="004460FC">
        <w:rPr>
          <w:sz w:val="24"/>
          <w:szCs w:val="24"/>
        </w:rPr>
        <w:t>Identifying your stakeholders – includes all individuals or groups of individuals who have an influence, interest or could be affected by the work.</w:t>
      </w:r>
    </w:p>
    <w:p w14:paraId="1324A4D4" w14:textId="77777777" w:rsidR="00341324" w:rsidRPr="004460FC" w:rsidRDefault="00341324" w:rsidP="00341324">
      <w:pPr>
        <w:pStyle w:val="BodyText"/>
        <w:numPr>
          <w:ilvl w:val="0"/>
          <w:numId w:val="4"/>
        </w:numPr>
        <w:spacing w:before="162" w:line="264" w:lineRule="auto"/>
        <w:ind w:left="360" w:right="283"/>
        <w:jc w:val="both"/>
        <w:rPr>
          <w:rFonts w:eastAsia="Times New Roman"/>
          <w:spacing w:val="8"/>
          <w:sz w:val="24"/>
          <w:szCs w:val="24"/>
          <w:lang w:eastAsia="en-GB"/>
        </w:rPr>
      </w:pPr>
      <w:r w:rsidRPr="004460FC">
        <w:rPr>
          <w:sz w:val="24"/>
          <w:szCs w:val="24"/>
        </w:rPr>
        <w:t>Prioritise your stakeholders – this is whereby you ‘rank’ your stakeholders on the influence and interest they have in the project.</w:t>
      </w:r>
    </w:p>
    <w:p w14:paraId="7FD42537" w14:textId="77777777" w:rsidR="00341324" w:rsidRPr="004460FC" w:rsidRDefault="00341324" w:rsidP="00341324">
      <w:pPr>
        <w:pStyle w:val="BodyText"/>
        <w:numPr>
          <w:ilvl w:val="0"/>
          <w:numId w:val="4"/>
        </w:numPr>
        <w:spacing w:before="162" w:line="264" w:lineRule="auto"/>
        <w:ind w:left="360" w:right="283"/>
        <w:jc w:val="both"/>
        <w:rPr>
          <w:rFonts w:eastAsia="Times New Roman"/>
          <w:spacing w:val="8"/>
          <w:sz w:val="24"/>
          <w:szCs w:val="24"/>
          <w:lang w:eastAsia="en-GB"/>
        </w:rPr>
      </w:pPr>
      <w:r w:rsidRPr="004460FC">
        <w:rPr>
          <w:sz w:val="24"/>
          <w:szCs w:val="24"/>
        </w:rPr>
        <w:t>Understand your key stakeholders – discuss how and the frequency to communicate with stakeholders.</w:t>
      </w:r>
    </w:p>
    <w:p w14:paraId="08A4A4C5"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A stakeholder analysis could be used in large business wide projects that affect a number of stakeholders, for example the implementation of a new management system or policy or even in small projects such as re-organisation of a small team.</w:t>
      </w:r>
    </w:p>
    <w:p w14:paraId="2F51E1B9"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Force field analysis is another example of decision-making processes, it’s widely </w:t>
      </w:r>
      <w:r w:rsidRPr="004460FC">
        <w:rPr>
          <w:sz w:val="24"/>
          <w:szCs w:val="24"/>
        </w:rPr>
        <w:lastRenderedPageBreak/>
        <w:t>used in change management. This process is the means in which a team identifies the ‘forces’ that help drive change and the forces that delay or resist change. A score is assigned to each of these forces to enable a team to analyse if there are opportunities to improve on driving changes or reduce the resisting forces. It can be used in a number of different projects to aid decision-making and ensure that the change is the best decision for the organisation or team.</w:t>
      </w:r>
    </w:p>
    <w:p w14:paraId="734D4CF9" w14:textId="77777777" w:rsidR="00341324" w:rsidRPr="004460FC" w:rsidRDefault="00341324" w:rsidP="00341324">
      <w:pPr>
        <w:pStyle w:val="BodyText"/>
        <w:spacing w:before="162" w:line="264" w:lineRule="auto"/>
        <w:ind w:left="1072" w:right="283"/>
        <w:jc w:val="both"/>
        <w:rPr>
          <w:sz w:val="24"/>
          <w:szCs w:val="24"/>
        </w:rPr>
      </w:pPr>
    </w:p>
    <w:p w14:paraId="778ED355" w14:textId="77777777" w:rsidR="00341324" w:rsidRPr="004460FC" w:rsidRDefault="00341324" w:rsidP="00341324">
      <w:pPr>
        <w:pStyle w:val="BodyText"/>
        <w:spacing w:before="162" w:line="264" w:lineRule="auto"/>
        <w:ind w:left="1072" w:right="283"/>
        <w:jc w:val="both"/>
        <w:rPr>
          <w:rFonts w:eastAsia="Times New Roman"/>
          <w:spacing w:val="8"/>
          <w:sz w:val="24"/>
          <w:szCs w:val="24"/>
          <w:lang w:eastAsia="en-GB"/>
        </w:rPr>
      </w:pPr>
      <w:r w:rsidRPr="004460FC">
        <w:rPr>
          <w:noProof/>
          <w:sz w:val="24"/>
          <w:szCs w:val="24"/>
        </w:rPr>
        <w:drawing>
          <wp:inline distT="0" distB="0" distL="0" distR="0" wp14:anchorId="1C60CCB6" wp14:editId="489A1B70">
            <wp:extent cx="4381994" cy="4381994"/>
            <wp:effectExtent l="0" t="0" r="0" b="0"/>
            <wp:docPr id="1566132235" name="Picture 1" descr="A diagram of a factory with new manufacturing equi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32235" name="Picture 1" descr="A diagram of a factory with new manufacturing equipmen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3326" cy="4383326"/>
                    </a:xfrm>
                    <a:prstGeom prst="rect">
                      <a:avLst/>
                    </a:prstGeom>
                    <a:noFill/>
                    <a:ln>
                      <a:noFill/>
                    </a:ln>
                  </pic:spPr>
                </pic:pic>
              </a:graphicData>
            </a:graphic>
          </wp:inline>
        </w:drawing>
      </w:r>
    </w:p>
    <w:p w14:paraId="3D4E4CDB" w14:textId="77777777" w:rsidR="00341324" w:rsidRPr="004460FC" w:rsidRDefault="00341324" w:rsidP="00341324">
      <w:pPr>
        <w:pStyle w:val="BodyText"/>
        <w:spacing w:before="162" w:line="264" w:lineRule="auto"/>
        <w:ind w:left="1072" w:right="283"/>
        <w:jc w:val="both"/>
        <w:rPr>
          <w:rFonts w:eastAsia="Times New Roman"/>
          <w:spacing w:val="8"/>
          <w:sz w:val="24"/>
          <w:szCs w:val="24"/>
          <w:lang w:eastAsia="en-GB"/>
        </w:rPr>
      </w:pPr>
      <w:r w:rsidRPr="004460FC">
        <w:rPr>
          <w:rFonts w:eastAsia="Times New Roman"/>
          <w:spacing w:val="8"/>
          <w:sz w:val="24"/>
          <w:szCs w:val="24"/>
          <w:lang w:eastAsia="en-GB"/>
        </w:rPr>
        <w:t>Figure 1: An example of a Force-field analysis (Feldman, 2023)</w:t>
      </w:r>
    </w:p>
    <w:p w14:paraId="7FE73377" w14:textId="77777777" w:rsidR="00341324" w:rsidRPr="004460FC" w:rsidRDefault="00341324" w:rsidP="00341324">
      <w:pPr>
        <w:pStyle w:val="BodyText"/>
        <w:spacing w:before="162" w:line="264" w:lineRule="auto"/>
        <w:ind w:right="283"/>
        <w:jc w:val="both"/>
        <w:rPr>
          <w:rFonts w:eastAsia="Times New Roman"/>
          <w:spacing w:val="8"/>
          <w:sz w:val="24"/>
          <w:szCs w:val="24"/>
          <w:lang w:eastAsia="en-GB"/>
        </w:rPr>
      </w:pPr>
      <w:r w:rsidRPr="004460FC">
        <w:rPr>
          <w:rFonts w:eastAsia="Times New Roman"/>
          <w:spacing w:val="8"/>
          <w:sz w:val="24"/>
          <w:szCs w:val="24"/>
          <w:lang w:eastAsia="en-GB"/>
        </w:rPr>
        <w:t>Alongside Stakeholder analyses and Force-field analysis, another widely used decision-making process is the PDCA cycle. PDCA stands for Plan, Do, Check, Act and is widely used in continuous improvement plans within organisations. The PDCA cycle can be applied to a number of different problems or projects, it oversees the project in its entirety from planning the change or improvement you intend to make, the initiation of the plan, monitoring effectiveness and making changes based on findings.</w:t>
      </w:r>
    </w:p>
    <w:p w14:paraId="63AE4820" w14:textId="77777777" w:rsidR="00341324" w:rsidRPr="004460FC" w:rsidRDefault="00341324" w:rsidP="00341324">
      <w:pPr>
        <w:pStyle w:val="BodyText"/>
        <w:spacing w:before="162" w:line="264" w:lineRule="auto"/>
        <w:ind w:left="1072" w:right="283"/>
        <w:jc w:val="both"/>
        <w:rPr>
          <w:b/>
          <w:bCs/>
          <w:sz w:val="24"/>
          <w:szCs w:val="24"/>
        </w:rPr>
      </w:pPr>
    </w:p>
    <w:p w14:paraId="3011E30B" w14:textId="77777777" w:rsidR="00341324" w:rsidRPr="004460FC" w:rsidRDefault="00341324" w:rsidP="00341324">
      <w:pPr>
        <w:pStyle w:val="BodyText"/>
        <w:spacing w:before="162" w:line="264" w:lineRule="auto"/>
        <w:ind w:right="283"/>
        <w:jc w:val="both"/>
        <w:rPr>
          <w:b/>
          <w:bCs/>
          <w:sz w:val="24"/>
          <w:szCs w:val="24"/>
        </w:rPr>
      </w:pPr>
      <w:r w:rsidRPr="004460FC">
        <w:rPr>
          <w:b/>
          <w:bCs/>
          <w:sz w:val="24"/>
          <w:szCs w:val="24"/>
        </w:rPr>
        <w:t>Ethical perspectives (AC 1.5)</w:t>
      </w:r>
    </w:p>
    <w:p w14:paraId="393FFAA8" w14:textId="77777777" w:rsidR="00341324" w:rsidRPr="004460FC" w:rsidRDefault="00341324" w:rsidP="00341324">
      <w:pPr>
        <w:pStyle w:val="BodyText"/>
        <w:spacing w:before="162" w:line="264" w:lineRule="auto"/>
        <w:ind w:right="283"/>
        <w:jc w:val="both"/>
        <w:rPr>
          <w:rFonts w:eastAsiaTheme="minorEastAsia"/>
          <w:sz w:val="24"/>
          <w:szCs w:val="24"/>
        </w:rPr>
      </w:pPr>
      <w:r w:rsidRPr="004460FC">
        <w:rPr>
          <w:rFonts w:eastAsiaTheme="minorEastAsia"/>
          <w:sz w:val="24"/>
          <w:szCs w:val="24"/>
        </w:rPr>
        <w:t xml:space="preserve">Taylor and Woodhams (2022) suggests that your organisation’s ethical views will be apparent in its general culture; in what is rewarded and what is punished; in its </w:t>
      </w:r>
      <w:r w:rsidRPr="004460FC">
        <w:rPr>
          <w:rFonts w:eastAsiaTheme="minorEastAsia"/>
          <w:sz w:val="24"/>
          <w:szCs w:val="24"/>
        </w:rPr>
        <w:lastRenderedPageBreak/>
        <w:t xml:space="preserve">view of flexible working; and in the contents of communications including training and its dignity at work policy. </w:t>
      </w:r>
    </w:p>
    <w:p w14:paraId="667FDAD1" w14:textId="77777777" w:rsidR="00341324" w:rsidRPr="004460FC" w:rsidRDefault="00341324" w:rsidP="00341324">
      <w:pPr>
        <w:pStyle w:val="BodyText"/>
        <w:spacing w:before="162" w:line="264" w:lineRule="auto"/>
        <w:ind w:right="283"/>
        <w:jc w:val="both"/>
        <w:rPr>
          <w:rFonts w:eastAsiaTheme="minorEastAsia"/>
          <w:sz w:val="24"/>
          <w:szCs w:val="24"/>
        </w:rPr>
      </w:pPr>
      <w:r w:rsidRPr="004460FC">
        <w:rPr>
          <w:rFonts w:eastAsiaTheme="minorEastAsia"/>
          <w:sz w:val="24"/>
          <w:szCs w:val="24"/>
        </w:rPr>
        <w:t>The understanding of different ethical perspectives is crucial in shaping moral decision-making within an organisation. There are a number of different ethical perspectives that can be considered, such as – Utilitarianism, Altruism, and Deontology. Ethical perspectives offer distinct frameworks for ethical analysis and decision-making.</w:t>
      </w:r>
    </w:p>
    <w:p w14:paraId="51FA7152" w14:textId="77777777" w:rsidR="00341324" w:rsidRPr="004460FC" w:rsidRDefault="00341324" w:rsidP="00341324">
      <w:pPr>
        <w:pStyle w:val="BodyText"/>
        <w:spacing w:before="162" w:line="264" w:lineRule="auto"/>
        <w:ind w:right="283"/>
        <w:jc w:val="both"/>
        <w:rPr>
          <w:rFonts w:eastAsiaTheme="minorEastAsia"/>
          <w:sz w:val="24"/>
          <w:szCs w:val="24"/>
        </w:rPr>
      </w:pPr>
      <w:r w:rsidRPr="004460FC">
        <w:rPr>
          <w:rFonts w:eastAsiaTheme="minorEastAsia"/>
          <w:sz w:val="24"/>
          <w:szCs w:val="24"/>
        </w:rPr>
        <w:t xml:space="preserve">Utilitarianism encompasses the value of attempting to </w:t>
      </w:r>
      <w:r>
        <w:rPr>
          <w:rFonts w:eastAsiaTheme="minorEastAsia"/>
          <w:sz w:val="24"/>
          <w:szCs w:val="24"/>
        </w:rPr>
        <w:t>make decisions that benefit as many individuals as possible</w:t>
      </w:r>
      <w:r w:rsidRPr="004460FC">
        <w:rPr>
          <w:rFonts w:eastAsiaTheme="minorEastAsia"/>
          <w:sz w:val="24"/>
          <w:szCs w:val="24"/>
        </w:rPr>
        <w:t xml:space="preserve">. </w:t>
      </w:r>
      <w:r>
        <w:rPr>
          <w:rFonts w:eastAsiaTheme="minorEastAsia"/>
          <w:sz w:val="24"/>
          <w:szCs w:val="24"/>
        </w:rPr>
        <w:t>It</w:t>
      </w:r>
      <w:r w:rsidRPr="004460FC">
        <w:rPr>
          <w:rFonts w:eastAsiaTheme="minorEastAsia"/>
          <w:sz w:val="24"/>
          <w:szCs w:val="24"/>
        </w:rPr>
        <w:t xml:space="preserve"> considers the pros and cons of a decision and the decision made is based on the severity of the consequences. Utilitarianism favours decisions that provide a greater benefit to as many people as possible, whilst also ensuring that the perceived risk is as low as possible. Within HR practices, utilitarianism can be beneficial in making decisions that affect a wider range of people however, there is a risk that these decisions can overlook the impact on certain individuals with a potential to affect the equality and equity within an organisation. </w:t>
      </w:r>
    </w:p>
    <w:p w14:paraId="0FDA3820" w14:textId="77777777" w:rsidR="00341324" w:rsidRPr="004460FC" w:rsidRDefault="00341324" w:rsidP="00341324">
      <w:pPr>
        <w:pStyle w:val="BodyText"/>
        <w:spacing w:before="162" w:line="264" w:lineRule="auto"/>
        <w:ind w:right="283"/>
        <w:jc w:val="both"/>
        <w:rPr>
          <w:rFonts w:eastAsiaTheme="minorEastAsia"/>
          <w:sz w:val="24"/>
          <w:szCs w:val="24"/>
        </w:rPr>
      </w:pPr>
      <w:r w:rsidRPr="004460FC">
        <w:rPr>
          <w:rFonts w:eastAsiaTheme="minorEastAsia"/>
          <w:sz w:val="24"/>
          <w:szCs w:val="24"/>
        </w:rPr>
        <w:t xml:space="preserve">Altruism is seen as the intentional and voluntary actions that aim to </w:t>
      </w:r>
      <w:r>
        <w:rPr>
          <w:rFonts w:eastAsiaTheme="minorEastAsia"/>
          <w:sz w:val="24"/>
          <w:szCs w:val="24"/>
        </w:rPr>
        <w:t>benefit other people, without the expectation of any reward</w:t>
      </w:r>
      <w:r w:rsidRPr="004460FC">
        <w:rPr>
          <w:rFonts w:eastAsiaTheme="minorEastAsia"/>
          <w:sz w:val="24"/>
          <w:szCs w:val="24"/>
        </w:rPr>
        <w:t xml:space="preserve"> (</w:t>
      </w:r>
      <w:proofErr w:type="spellStart"/>
      <w:r w:rsidRPr="004460FC">
        <w:rPr>
          <w:rFonts w:eastAsiaTheme="minorEastAsia"/>
          <w:sz w:val="24"/>
          <w:szCs w:val="24"/>
        </w:rPr>
        <w:t>Buhvana</w:t>
      </w:r>
      <w:proofErr w:type="spellEnd"/>
      <w:r w:rsidRPr="004460FC">
        <w:rPr>
          <w:rFonts w:eastAsiaTheme="minorEastAsia"/>
          <w:sz w:val="24"/>
          <w:szCs w:val="24"/>
        </w:rPr>
        <w:t xml:space="preserve"> et al, 2021). Altruism can be considered an ethical perspective of great significance when considering the decisions people professionals make, it encompasses the moral obligations an organisation has to its employees. </w:t>
      </w:r>
    </w:p>
    <w:p w14:paraId="41A7D53A" w14:textId="77777777" w:rsidR="00341324" w:rsidRPr="004460FC" w:rsidRDefault="00341324" w:rsidP="00341324">
      <w:pPr>
        <w:pStyle w:val="BodyText"/>
        <w:spacing w:before="162" w:line="264" w:lineRule="auto"/>
        <w:ind w:right="283"/>
        <w:jc w:val="both"/>
        <w:rPr>
          <w:rFonts w:eastAsiaTheme="minorEastAsia"/>
          <w:sz w:val="24"/>
          <w:szCs w:val="24"/>
        </w:rPr>
      </w:pPr>
      <w:proofErr w:type="spellStart"/>
      <w:r w:rsidRPr="004460FC">
        <w:rPr>
          <w:rFonts w:eastAsiaTheme="minorEastAsia"/>
          <w:sz w:val="24"/>
          <w:szCs w:val="24"/>
        </w:rPr>
        <w:t>Benlahcene</w:t>
      </w:r>
      <w:proofErr w:type="spellEnd"/>
      <w:r w:rsidRPr="004460FC">
        <w:rPr>
          <w:rFonts w:eastAsiaTheme="minorEastAsia"/>
          <w:sz w:val="24"/>
          <w:szCs w:val="24"/>
        </w:rPr>
        <w:t xml:space="preserve"> et al (2018) states Deontology focuses on the nature of the action itself and its motivation </w:t>
      </w:r>
      <w:r>
        <w:rPr>
          <w:rFonts w:eastAsiaTheme="minorEastAsia"/>
          <w:sz w:val="24"/>
          <w:szCs w:val="24"/>
        </w:rPr>
        <w:t>to decide</w:t>
      </w:r>
      <w:r w:rsidRPr="004460FC">
        <w:rPr>
          <w:rFonts w:eastAsiaTheme="minorEastAsia"/>
          <w:sz w:val="24"/>
          <w:szCs w:val="24"/>
        </w:rPr>
        <w:t xml:space="preserve"> if it is right or wrong. Deontology is often referred to as ‘Duty-based’ ethics, individuals look to do what they believe is morally the right decision, even if the outcome could have negative consequences to others. Deontology can play a big part within HR practices such as performance-based reviews, or termination of employment. The outcomes of these could be negative for the employee, however, the action itself could be deemed right for the business.</w:t>
      </w:r>
    </w:p>
    <w:p w14:paraId="5EABF559"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CIPD (2015) states </w:t>
      </w:r>
      <w:r>
        <w:rPr>
          <w:sz w:val="24"/>
          <w:szCs w:val="24"/>
        </w:rPr>
        <w:t>there is no</w:t>
      </w:r>
      <w:r w:rsidRPr="004460FC">
        <w:rPr>
          <w:sz w:val="24"/>
          <w:szCs w:val="24"/>
        </w:rPr>
        <w:t xml:space="preserve"> ‘golden rule’ that </w:t>
      </w:r>
      <w:r>
        <w:rPr>
          <w:sz w:val="24"/>
          <w:szCs w:val="24"/>
        </w:rPr>
        <w:t>can be applied to</w:t>
      </w:r>
      <w:r w:rsidRPr="004460FC">
        <w:rPr>
          <w:sz w:val="24"/>
          <w:szCs w:val="24"/>
        </w:rPr>
        <w:t xml:space="preserve"> all ethical decisions: </w:t>
      </w:r>
      <w:r>
        <w:rPr>
          <w:sz w:val="24"/>
          <w:szCs w:val="24"/>
        </w:rPr>
        <w:t>ethical decisions</w:t>
      </w:r>
      <w:r w:rsidRPr="004460FC">
        <w:rPr>
          <w:sz w:val="24"/>
          <w:szCs w:val="24"/>
        </w:rPr>
        <w:t xml:space="preserve"> require effort, imagination and judgement,</w:t>
      </w:r>
      <w:r>
        <w:rPr>
          <w:sz w:val="24"/>
          <w:szCs w:val="24"/>
        </w:rPr>
        <w:t xml:space="preserve"> even then outcomes may be inconclusive</w:t>
      </w:r>
      <w:r w:rsidRPr="004460FC">
        <w:rPr>
          <w:sz w:val="24"/>
          <w:szCs w:val="24"/>
        </w:rPr>
        <w:t>. The CIPD do offer some support in ethical decision making with the introduction of the ‘Eight Lenses’, which provide practitioners a different view to consider when making decisions.</w:t>
      </w:r>
    </w:p>
    <w:p w14:paraId="05F04B06" w14:textId="77777777" w:rsidR="00341324" w:rsidRPr="004460FC" w:rsidRDefault="00341324" w:rsidP="00341324">
      <w:pPr>
        <w:pStyle w:val="BodyText"/>
        <w:spacing w:before="162" w:line="264" w:lineRule="auto"/>
        <w:ind w:right="283"/>
        <w:jc w:val="both"/>
        <w:rPr>
          <w:b/>
          <w:bCs/>
          <w:sz w:val="24"/>
          <w:szCs w:val="24"/>
        </w:rPr>
      </w:pPr>
    </w:p>
    <w:p w14:paraId="6E7AEA09" w14:textId="77777777" w:rsidR="00341324" w:rsidRPr="004460FC" w:rsidRDefault="00341324" w:rsidP="00341324">
      <w:pPr>
        <w:pStyle w:val="BodyText"/>
        <w:spacing w:before="162" w:line="264" w:lineRule="auto"/>
        <w:ind w:right="283"/>
        <w:jc w:val="both"/>
        <w:rPr>
          <w:b/>
          <w:bCs/>
          <w:sz w:val="24"/>
          <w:szCs w:val="24"/>
        </w:rPr>
      </w:pPr>
      <w:r w:rsidRPr="004460FC">
        <w:rPr>
          <w:b/>
          <w:bCs/>
          <w:sz w:val="24"/>
          <w:szCs w:val="24"/>
        </w:rPr>
        <w:t>Financial and non-financial performance (AC 3.1)</w:t>
      </w:r>
    </w:p>
    <w:p w14:paraId="7C7158B2"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Decision-making within organisations is often driven by the performance of the company, there are two main sources of performance that businesses measure: financial performance and non-financial performance.</w:t>
      </w:r>
    </w:p>
    <w:p w14:paraId="2364A791"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Financial performance </w:t>
      </w:r>
      <w:r>
        <w:rPr>
          <w:sz w:val="24"/>
          <w:szCs w:val="24"/>
        </w:rPr>
        <w:t xml:space="preserve">data </w:t>
      </w:r>
      <w:r w:rsidRPr="004460FC">
        <w:rPr>
          <w:sz w:val="24"/>
          <w:szCs w:val="24"/>
        </w:rPr>
        <w:t xml:space="preserve">provides key stakeholders and investors an insight into how the company is performing, this enables businesses to forward plan and make further decisions. One means of measuring financial performance is to calculate the </w:t>
      </w:r>
      <w:r w:rsidRPr="004460FC">
        <w:rPr>
          <w:sz w:val="24"/>
          <w:szCs w:val="24"/>
        </w:rPr>
        <w:lastRenderedPageBreak/>
        <w:t xml:space="preserve">operating cash flow. This is the </w:t>
      </w:r>
      <w:r>
        <w:rPr>
          <w:sz w:val="24"/>
          <w:szCs w:val="24"/>
        </w:rPr>
        <w:t>method</w:t>
      </w:r>
      <w:r w:rsidRPr="004460FC">
        <w:rPr>
          <w:sz w:val="24"/>
          <w:szCs w:val="24"/>
        </w:rPr>
        <w:t xml:space="preserve"> </w:t>
      </w:r>
      <w:r>
        <w:rPr>
          <w:sz w:val="24"/>
          <w:szCs w:val="24"/>
        </w:rPr>
        <w:t>by which</w:t>
      </w:r>
      <w:r w:rsidRPr="004460FC">
        <w:rPr>
          <w:sz w:val="24"/>
          <w:szCs w:val="24"/>
        </w:rPr>
        <w:t xml:space="preserve"> an organisation </w:t>
      </w:r>
      <w:r>
        <w:rPr>
          <w:sz w:val="24"/>
          <w:szCs w:val="24"/>
        </w:rPr>
        <w:t>assesses its available cash flow</w:t>
      </w:r>
      <w:r w:rsidRPr="004460FC">
        <w:rPr>
          <w:sz w:val="24"/>
          <w:szCs w:val="24"/>
        </w:rPr>
        <w:t xml:space="preserve"> as a result of its operations in a period, </w:t>
      </w:r>
      <w:r>
        <w:rPr>
          <w:sz w:val="24"/>
          <w:szCs w:val="24"/>
        </w:rPr>
        <w:t>this</w:t>
      </w:r>
      <w:r w:rsidRPr="004460FC">
        <w:rPr>
          <w:sz w:val="24"/>
          <w:szCs w:val="24"/>
        </w:rPr>
        <w:t xml:space="preserve"> is useful for any business looking to understand if they company is generating money from operations. </w:t>
      </w:r>
    </w:p>
    <w:p w14:paraId="677D25BD"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Operating cash flow allows stakeholders and investors the ability to understand how the business is performing in different periods of time, this can impact how decisions are made to ensure that during periods of low cash flow the business alters their operations to try make positive financial impacts. Examples of this could be bringing in ‘saving’ initiatives within the company to ensure money is not spend on non-critical items or processes. Operating cash flow is not a measure of profitability, which many organisations, especially those in the private sector, would be interested in measuring.</w:t>
      </w:r>
    </w:p>
    <w:p w14:paraId="471DA91D"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The net profit margin is one method in which organisations measure to understand the profitability of a business. </w:t>
      </w:r>
      <w:r w:rsidRPr="004460FC">
        <w:rPr>
          <w:color w:val="181818"/>
          <w:sz w:val="24"/>
          <w:szCs w:val="24"/>
          <w:shd w:val="clear" w:color="auto" w:fill="FFFFFF"/>
        </w:rPr>
        <w:t xml:space="preserve">“Net profit margin </w:t>
      </w:r>
      <w:r>
        <w:rPr>
          <w:color w:val="181818"/>
          <w:sz w:val="24"/>
          <w:szCs w:val="24"/>
          <w:shd w:val="clear" w:color="auto" w:fill="FFFFFF"/>
        </w:rPr>
        <w:t>is different when compared with</w:t>
      </w:r>
      <w:r w:rsidRPr="004460FC">
        <w:rPr>
          <w:color w:val="181818"/>
          <w:sz w:val="24"/>
          <w:szCs w:val="24"/>
          <w:shd w:val="clear" w:color="auto" w:fill="FFFFFF"/>
        </w:rPr>
        <w:t xml:space="preserve"> gross profit margin </w:t>
      </w:r>
      <w:r>
        <w:rPr>
          <w:color w:val="181818"/>
          <w:sz w:val="24"/>
          <w:szCs w:val="24"/>
          <w:shd w:val="clear" w:color="auto" w:fill="FFFFFF"/>
        </w:rPr>
        <w:t>when</w:t>
      </w:r>
      <w:r w:rsidRPr="004460FC">
        <w:rPr>
          <w:color w:val="181818"/>
          <w:sz w:val="24"/>
          <w:szCs w:val="24"/>
          <w:shd w:val="clear" w:color="auto" w:fill="FFFFFF"/>
        </w:rPr>
        <w:t xml:space="preserve"> measur</w:t>
      </w:r>
      <w:r>
        <w:rPr>
          <w:color w:val="181818"/>
          <w:sz w:val="24"/>
          <w:szCs w:val="24"/>
          <w:shd w:val="clear" w:color="auto" w:fill="FFFFFF"/>
        </w:rPr>
        <w:t>ing</w:t>
      </w:r>
      <w:r w:rsidRPr="004460FC">
        <w:rPr>
          <w:color w:val="181818"/>
          <w:sz w:val="24"/>
          <w:szCs w:val="24"/>
          <w:shd w:val="clear" w:color="auto" w:fill="FFFFFF"/>
        </w:rPr>
        <w:t xml:space="preserve"> profitability </w:t>
      </w:r>
      <w:r>
        <w:rPr>
          <w:color w:val="181818"/>
          <w:sz w:val="24"/>
          <w:szCs w:val="24"/>
          <w:shd w:val="clear" w:color="auto" w:fill="FFFFFF"/>
        </w:rPr>
        <w:t>of</w:t>
      </w:r>
      <w:r w:rsidRPr="004460FC">
        <w:rPr>
          <w:color w:val="181818"/>
          <w:sz w:val="24"/>
          <w:szCs w:val="24"/>
          <w:shd w:val="clear" w:color="auto" w:fill="FFFFFF"/>
        </w:rPr>
        <w:t xml:space="preserve"> the business in general</w:t>
      </w:r>
      <w:r>
        <w:rPr>
          <w:color w:val="181818"/>
          <w:sz w:val="24"/>
          <w:szCs w:val="24"/>
          <w:shd w:val="clear" w:color="auto" w:fill="FFFFFF"/>
        </w:rPr>
        <w:t>. It</w:t>
      </w:r>
      <w:r w:rsidRPr="004460FC">
        <w:rPr>
          <w:color w:val="181818"/>
          <w:sz w:val="24"/>
          <w:szCs w:val="24"/>
          <w:shd w:val="clear" w:color="auto" w:fill="FFFFFF"/>
        </w:rPr>
        <w:t xml:space="preserve"> </w:t>
      </w:r>
      <w:r>
        <w:rPr>
          <w:color w:val="181818"/>
          <w:sz w:val="24"/>
          <w:szCs w:val="24"/>
          <w:shd w:val="clear" w:color="auto" w:fill="FFFFFF"/>
        </w:rPr>
        <w:t>considers</w:t>
      </w:r>
      <w:r w:rsidRPr="004460FC">
        <w:rPr>
          <w:color w:val="181818"/>
          <w:sz w:val="24"/>
          <w:szCs w:val="24"/>
          <w:shd w:val="clear" w:color="auto" w:fill="FFFFFF"/>
        </w:rPr>
        <w:t xml:space="preserve"> not only the cost of goods sold, but all other related expenses.” (Stobierski, 2020)</w:t>
      </w:r>
    </w:p>
    <w:p w14:paraId="57ED9520"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Non-financial performance indicators include customer feedback or compliance with standards. Feedback from customers allows businesses to understand how satisfied customers are with a product or service, in addition to highlighting any issues or complaints. Customer surveys can enable organisations to address concerns and improve the service they provide which ultimately enforces a positive working relationship with the consumer. Generally, surveys are a quick and easy means of engaging with customers at a relatively low cost to the company. </w:t>
      </w:r>
    </w:p>
    <w:p w14:paraId="507ED36D"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Compliance with standards is another example of non-financial measures a company may use to track their performance. Some sectors are driven by their duty to comply with relevant standards or legislation in particular when health, safety and environmental aspects are concerned. This can become even more important when there are governing bodies that are notified when these standards are breached, which ultimately can have significant financial implications on a company. An example of this is many organisations track the number of incidents and accidents occur, to create trends and analyse the information and make decisions in an attempt to address these issues.  </w:t>
      </w:r>
    </w:p>
    <w:p w14:paraId="2C81DE88" w14:textId="77777777" w:rsidR="00341324" w:rsidRPr="004460FC" w:rsidRDefault="00341324" w:rsidP="00341324">
      <w:pPr>
        <w:pStyle w:val="BodyText"/>
        <w:spacing w:before="162" w:line="264" w:lineRule="auto"/>
        <w:ind w:left="352" w:right="283" w:firstLine="720"/>
        <w:jc w:val="both"/>
        <w:rPr>
          <w:b/>
          <w:bCs/>
          <w:sz w:val="24"/>
          <w:szCs w:val="24"/>
        </w:rPr>
      </w:pPr>
    </w:p>
    <w:p w14:paraId="0D42CA65" w14:textId="77777777" w:rsidR="00341324" w:rsidRPr="004460FC" w:rsidRDefault="00341324" w:rsidP="00341324">
      <w:pPr>
        <w:pStyle w:val="BodyText"/>
        <w:spacing w:before="162" w:line="264" w:lineRule="auto"/>
        <w:ind w:right="283"/>
        <w:jc w:val="both"/>
        <w:rPr>
          <w:b/>
          <w:bCs/>
          <w:sz w:val="24"/>
          <w:szCs w:val="24"/>
        </w:rPr>
      </w:pPr>
      <w:r w:rsidRPr="004460FC">
        <w:rPr>
          <w:b/>
          <w:bCs/>
          <w:sz w:val="24"/>
          <w:szCs w:val="24"/>
        </w:rPr>
        <w:t>Adding value and methods (AC 3.2)</w:t>
      </w:r>
    </w:p>
    <w:p w14:paraId="565B4700"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People practices as a profession has evolved greatly over time, however, in one form or another it has always had some representation in any organisation. The practices that people professionals oversee and advocate for are applicable to every industry as they all involve people. Regardless of the size of an organisation, people practices are instrumental in the day-to-day running of business and equally as important in the long-term success of and organisation. </w:t>
      </w:r>
    </w:p>
    <w:p w14:paraId="06BFC1B1" w14:textId="77777777" w:rsidR="00341324" w:rsidRPr="004460FC" w:rsidRDefault="00341324" w:rsidP="00341324">
      <w:pPr>
        <w:pStyle w:val="BodyText"/>
        <w:spacing w:before="162" w:line="264" w:lineRule="auto"/>
        <w:ind w:right="283"/>
        <w:jc w:val="both"/>
        <w:rPr>
          <w:sz w:val="24"/>
          <w:szCs w:val="24"/>
        </w:rPr>
      </w:pPr>
      <w:r w:rsidRPr="004460FC">
        <w:rPr>
          <w:sz w:val="24"/>
          <w:szCs w:val="24"/>
        </w:rPr>
        <w:lastRenderedPageBreak/>
        <w:t>People practices continuously add value to an organisation, not only in ensuring that managers and employees are supported but also ensuring that policies and processes are available for support and guidance across a number of different practices such as learning and development, succession planning, performance management and absenteeism to name a few. There is also the element of ensuring businesses comply with relevant employment law and are supported through situations that may result in dismissals.</w:t>
      </w:r>
    </w:p>
    <w:p w14:paraId="05764BFE"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It's clear that people practices add value in a number of ways and to a number of different groups of people within organisations, throughout all organisational levels. It’s important to ensure as with any function within the organisation that as people professionals there is continuous growth and in order to grow, we must understand and measure the impact of people practices. In measuring the impact of such practices, we can ensure we are meeting objectives and targets, improve processes and services and understand what deficiencies are present to address them.</w:t>
      </w:r>
    </w:p>
    <w:p w14:paraId="264DF497" w14:textId="77777777" w:rsidR="00341324" w:rsidRPr="004460FC" w:rsidRDefault="00341324" w:rsidP="00341324">
      <w:pPr>
        <w:pStyle w:val="BodyText"/>
        <w:spacing w:before="162" w:line="264" w:lineRule="auto"/>
        <w:ind w:right="283"/>
        <w:jc w:val="both"/>
        <w:rPr>
          <w:sz w:val="24"/>
          <w:szCs w:val="24"/>
        </w:rPr>
      </w:pPr>
      <w:r>
        <w:rPr>
          <w:sz w:val="24"/>
          <w:szCs w:val="24"/>
        </w:rPr>
        <w:t xml:space="preserve">Methods that can </w:t>
      </w:r>
      <w:r w:rsidRPr="004460FC">
        <w:rPr>
          <w:sz w:val="24"/>
          <w:szCs w:val="24"/>
        </w:rPr>
        <w:t xml:space="preserve">be used to measure the impact of people practices </w:t>
      </w:r>
      <w:r>
        <w:rPr>
          <w:sz w:val="24"/>
          <w:szCs w:val="24"/>
        </w:rPr>
        <w:t>include looking at</w:t>
      </w:r>
      <w:r w:rsidRPr="004460FC">
        <w:rPr>
          <w:sz w:val="24"/>
          <w:szCs w:val="24"/>
        </w:rPr>
        <w:t xml:space="preserve"> internal company data, this could include absence data, wellbeing reports, sickness data, employee satisfaction surveys. When reviewing employee satisfaction, it’s possible to collect this information through a number of different means such as interviews, observations and focus groups within the organisation. </w:t>
      </w:r>
      <w:r>
        <w:rPr>
          <w:sz w:val="24"/>
          <w:szCs w:val="24"/>
        </w:rPr>
        <w:t>Benefits of these</w:t>
      </w:r>
      <w:r w:rsidRPr="004460FC">
        <w:rPr>
          <w:sz w:val="24"/>
          <w:szCs w:val="24"/>
        </w:rPr>
        <w:t xml:space="preserve"> methods </w:t>
      </w:r>
      <w:r>
        <w:rPr>
          <w:sz w:val="24"/>
          <w:szCs w:val="24"/>
        </w:rPr>
        <w:t>are</w:t>
      </w:r>
      <w:r w:rsidRPr="004460FC">
        <w:rPr>
          <w:sz w:val="24"/>
          <w:szCs w:val="24"/>
        </w:rPr>
        <w:t xml:space="preserve"> that it </w:t>
      </w:r>
      <w:r>
        <w:rPr>
          <w:sz w:val="24"/>
          <w:szCs w:val="24"/>
        </w:rPr>
        <w:t>enables</w:t>
      </w:r>
      <w:r w:rsidRPr="004460FC">
        <w:rPr>
          <w:sz w:val="24"/>
          <w:szCs w:val="24"/>
        </w:rPr>
        <w:t xml:space="preserve"> you to engage with employees and </w:t>
      </w:r>
      <w:r>
        <w:rPr>
          <w:sz w:val="24"/>
          <w:szCs w:val="24"/>
        </w:rPr>
        <w:t>develop</w:t>
      </w:r>
      <w:r w:rsidRPr="004460FC">
        <w:rPr>
          <w:sz w:val="24"/>
          <w:szCs w:val="24"/>
        </w:rPr>
        <w:t xml:space="preserve"> better employee relations, this in turn can create a more engaged and efficient workforce through promoting a </w:t>
      </w:r>
      <w:r>
        <w:rPr>
          <w:sz w:val="24"/>
          <w:szCs w:val="24"/>
        </w:rPr>
        <w:t>positive</w:t>
      </w:r>
      <w:r w:rsidRPr="004460FC">
        <w:rPr>
          <w:sz w:val="24"/>
          <w:szCs w:val="24"/>
        </w:rPr>
        <w:t xml:space="preserve"> workplace culture.</w:t>
      </w:r>
    </w:p>
    <w:p w14:paraId="17AD09DE" w14:textId="77777777" w:rsidR="00341324" w:rsidRPr="004460FC" w:rsidRDefault="00341324" w:rsidP="00341324">
      <w:pPr>
        <w:pStyle w:val="BodyText"/>
        <w:spacing w:before="162" w:line="264" w:lineRule="auto"/>
        <w:ind w:right="283"/>
        <w:jc w:val="both"/>
        <w:rPr>
          <w:sz w:val="24"/>
          <w:szCs w:val="24"/>
        </w:rPr>
      </w:pPr>
      <w:r w:rsidRPr="004460FC">
        <w:rPr>
          <w:sz w:val="24"/>
          <w:szCs w:val="24"/>
        </w:rPr>
        <w:t xml:space="preserve">Another method </w:t>
      </w:r>
      <w:r>
        <w:rPr>
          <w:sz w:val="24"/>
          <w:szCs w:val="24"/>
        </w:rPr>
        <w:t>to assess the</w:t>
      </w:r>
      <w:r w:rsidRPr="004460FC">
        <w:rPr>
          <w:sz w:val="24"/>
          <w:szCs w:val="24"/>
        </w:rPr>
        <w:t xml:space="preserve"> impact of people practices is through a cost-benefit analysis. Simply put a cost-benefit analysis is assessing the benefits of a decision or proposal against the cost that would be associated with implementing it. This method can be used for a number of people practices, such as learning and development initiatives or even employing new personnel. This method is useful in presenting cases to stakeholders and senior management to justify the decision making of a process. The results of such analyses are often expressed as a payback period, this allows the company to understand a full evaluation of the decision and the financial implications associated.</w:t>
      </w:r>
    </w:p>
    <w:p w14:paraId="5EBDDD39" w14:textId="77777777" w:rsidR="00341324" w:rsidRDefault="00341324" w:rsidP="00341324">
      <w:pPr>
        <w:rPr>
          <w:b/>
          <w:bCs/>
        </w:rPr>
      </w:pPr>
    </w:p>
    <w:p w14:paraId="34DCCB98" w14:textId="77777777" w:rsidR="00341324" w:rsidRDefault="00341324" w:rsidP="00341324">
      <w:pPr>
        <w:rPr>
          <w:b/>
          <w:bCs/>
        </w:rPr>
      </w:pPr>
    </w:p>
    <w:p w14:paraId="157B51AD" w14:textId="77777777" w:rsidR="00341324" w:rsidRPr="00632640" w:rsidRDefault="00341324" w:rsidP="00341324">
      <w:pPr>
        <w:rPr>
          <w:b/>
          <w:bCs/>
        </w:rPr>
      </w:pPr>
      <w:r w:rsidRPr="00632640">
        <w:rPr>
          <w:b/>
          <w:bCs/>
        </w:rPr>
        <w:t>Task 2</w:t>
      </w:r>
    </w:p>
    <w:p w14:paraId="36F909F4" w14:textId="77777777" w:rsidR="00341324" w:rsidRDefault="00341324" w:rsidP="00341324">
      <w:pPr>
        <w:rPr>
          <w:b/>
          <w:bCs/>
        </w:rPr>
      </w:pPr>
    </w:p>
    <w:p w14:paraId="0AFFA0A6" w14:textId="77777777" w:rsidR="00341324" w:rsidRPr="00590B3D" w:rsidRDefault="00341324" w:rsidP="00341324">
      <w:pPr>
        <w:ind w:left="360" w:hanging="360"/>
        <w:rPr>
          <w:b/>
          <w:bCs/>
        </w:rPr>
      </w:pPr>
      <w:r w:rsidRPr="00590B3D">
        <w:rPr>
          <w:b/>
          <w:bCs/>
        </w:rPr>
        <w:t>Analysis of data and graphical representations (AC 2.1, 2.2 and 2.3)</w:t>
      </w:r>
    </w:p>
    <w:p w14:paraId="0BC2ACF7" w14:textId="77777777" w:rsidR="00341324" w:rsidRDefault="00341324" w:rsidP="00341324">
      <w:pPr>
        <w:pStyle w:val="ListParagraph"/>
        <w:numPr>
          <w:ilvl w:val="0"/>
          <w:numId w:val="0"/>
        </w:numPr>
      </w:pPr>
      <w:r>
        <w:t>As people professionals we are governed by the impact we have on an organisation, evaluating our own performance relies on both quantitative and qualitative data, we can collect this data through a number of different methods</w:t>
      </w:r>
      <w:r w:rsidRPr="006F64B4">
        <w:rPr>
          <w:b/>
          <w:bCs/>
        </w:rPr>
        <w:t xml:space="preserve">. </w:t>
      </w:r>
      <w:r w:rsidRPr="006C08FC">
        <w:t xml:space="preserve">Kaplan (2016) states that qualitative research is </w:t>
      </w:r>
      <w:r>
        <w:t>focused on analysing words</w:t>
      </w:r>
      <w:r w:rsidRPr="006C08FC">
        <w:t xml:space="preserve"> (e.g., texts, interviews, or field notes from observations)</w:t>
      </w:r>
      <w:r>
        <w:t>. Q</w:t>
      </w:r>
      <w:r w:rsidRPr="006C08FC">
        <w:t xml:space="preserve">uantitative research is </w:t>
      </w:r>
      <w:r>
        <w:t>the means whereby numbers/raw data is analysed</w:t>
      </w:r>
      <w:r w:rsidRPr="006C08FC">
        <w:t>.</w:t>
      </w:r>
      <w:r>
        <w:t xml:space="preserve"> People practices can be supported by both quantitative and qualitative analysis methods.</w:t>
      </w:r>
    </w:p>
    <w:p w14:paraId="46723D19" w14:textId="77777777" w:rsidR="00341324" w:rsidRDefault="00341324" w:rsidP="00341324">
      <w:pPr>
        <w:pStyle w:val="ListParagraph"/>
        <w:numPr>
          <w:ilvl w:val="0"/>
          <w:numId w:val="0"/>
        </w:numPr>
      </w:pPr>
    </w:p>
    <w:p w14:paraId="279EB8DB" w14:textId="77777777" w:rsidR="00341324" w:rsidRPr="00AA52F4" w:rsidRDefault="00341324" w:rsidP="00341324">
      <w:pPr>
        <w:pStyle w:val="ListParagraph"/>
        <w:numPr>
          <w:ilvl w:val="0"/>
          <w:numId w:val="0"/>
        </w:numPr>
        <w:rPr>
          <w:b/>
          <w:bCs/>
        </w:rPr>
      </w:pPr>
      <w:r w:rsidRPr="008F4BE5">
        <w:rPr>
          <w:b/>
          <w:bCs/>
        </w:rPr>
        <w:t xml:space="preserve">Gender diversity </w:t>
      </w:r>
    </w:p>
    <w:p w14:paraId="0F267C0F" w14:textId="77777777" w:rsidR="00341324" w:rsidRDefault="00341324" w:rsidP="00341324">
      <w:r>
        <w:rPr>
          <w:noProof/>
          <w14:ligatures w14:val="standardContextual"/>
        </w:rPr>
        <w:lastRenderedPageBreak/>
        <w:drawing>
          <wp:anchor distT="0" distB="0" distL="114300" distR="114300" simplePos="0" relativeHeight="251660288" behindDoc="1" locked="0" layoutInCell="1" allowOverlap="1" wp14:anchorId="10B58F6B" wp14:editId="204BA562">
            <wp:simplePos x="0" y="0"/>
            <wp:positionH relativeFrom="column">
              <wp:posOffset>381000</wp:posOffset>
            </wp:positionH>
            <wp:positionV relativeFrom="paragraph">
              <wp:posOffset>27940</wp:posOffset>
            </wp:positionV>
            <wp:extent cx="4572000" cy="2743200"/>
            <wp:effectExtent l="0" t="0" r="0" b="0"/>
            <wp:wrapTight wrapText="bothSides">
              <wp:wrapPolygon edited="0">
                <wp:start x="0" y="0"/>
                <wp:lineTo x="0" y="21450"/>
                <wp:lineTo x="21510" y="21450"/>
                <wp:lineTo x="21510" y="0"/>
                <wp:lineTo x="0" y="0"/>
              </wp:wrapPolygon>
            </wp:wrapTight>
            <wp:docPr id="619487190" name="Chart 1">
              <a:extLst xmlns:a="http://schemas.openxmlformats.org/drawingml/2006/main">
                <a:ext uri="{FF2B5EF4-FFF2-40B4-BE49-F238E27FC236}">
                  <a16:creationId xmlns:a16="http://schemas.microsoft.com/office/drawing/2014/main" id="{FE1BD09C-EFDD-0A42-792C-9EFD6FD3F9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5271FE66" w14:textId="77777777" w:rsidR="00341324" w:rsidRDefault="00341324" w:rsidP="00341324"/>
    <w:p w14:paraId="7A397CAC" w14:textId="77777777" w:rsidR="00341324" w:rsidRDefault="00341324" w:rsidP="00341324"/>
    <w:p w14:paraId="0A70C8BA" w14:textId="77777777" w:rsidR="00341324" w:rsidRDefault="00341324" w:rsidP="00341324"/>
    <w:p w14:paraId="23D12CF6" w14:textId="77777777" w:rsidR="00341324" w:rsidRDefault="00341324" w:rsidP="00341324"/>
    <w:p w14:paraId="2AB6A559" w14:textId="77777777" w:rsidR="00341324" w:rsidRDefault="00341324" w:rsidP="00341324"/>
    <w:p w14:paraId="3BF201DA" w14:textId="77777777" w:rsidR="00341324" w:rsidRDefault="00341324" w:rsidP="00341324"/>
    <w:p w14:paraId="4E3DDCB7" w14:textId="77777777" w:rsidR="00341324" w:rsidRDefault="00341324" w:rsidP="00341324"/>
    <w:p w14:paraId="36492E20" w14:textId="77777777" w:rsidR="00341324" w:rsidRDefault="00341324" w:rsidP="00341324"/>
    <w:p w14:paraId="307B4CB4" w14:textId="77777777" w:rsidR="00341324" w:rsidRDefault="00341324" w:rsidP="00341324"/>
    <w:p w14:paraId="053A6F62" w14:textId="77777777" w:rsidR="00341324" w:rsidRDefault="00341324" w:rsidP="00341324"/>
    <w:p w14:paraId="2DCFBBD9" w14:textId="77777777" w:rsidR="00341324" w:rsidRDefault="00341324" w:rsidP="00341324"/>
    <w:p w14:paraId="156644FB" w14:textId="77777777" w:rsidR="00341324" w:rsidRDefault="00341324" w:rsidP="00341324"/>
    <w:p w14:paraId="0F712029" w14:textId="77777777" w:rsidR="00341324" w:rsidRDefault="00341324" w:rsidP="00341324"/>
    <w:p w14:paraId="01EB899C" w14:textId="77777777" w:rsidR="00341324" w:rsidRDefault="00341324" w:rsidP="00341324"/>
    <w:p w14:paraId="440AC870" w14:textId="77777777" w:rsidR="00341324" w:rsidRDefault="00341324" w:rsidP="00341324"/>
    <w:p w14:paraId="6CB85551" w14:textId="77777777" w:rsidR="00341324" w:rsidRDefault="00341324" w:rsidP="00341324"/>
    <w:p w14:paraId="76ADF318" w14:textId="77777777" w:rsidR="00341324" w:rsidRDefault="00341324" w:rsidP="00341324"/>
    <w:p w14:paraId="0A53C480" w14:textId="77777777" w:rsidR="00341324" w:rsidRDefault="00341324" w:rsidP="00341324"/>
    <w:p w14:paraId="4AA621D0" w14:textId="77777777" w:rsidR="00341324" w:rsidRDefault="00341324" w:rsidP="00341324"/>
    <w:p w14:paraId="626C150F" w14:textId="77777777" w:rsidR="00341324" w:rsidRDefault="00341324" w:rsidP="00341324">
      <w:r>
        <w:t xml:space="preserve">The above graph illustrates that of the 260 employees within the organisation males make up the majority at 53.85%, followed by female at 45.38% and then employees identifying as non-binary make up 0.77% of the total. </w:t>
      </w:r>
    </w:p>
    <w:p w14:paraId="6770BAE3" w14:textId="77777777" w:rsidR="00341324" w:rsidRPr="008E6727" w:rsidRDefault="00341324" w:rsidP="00341324">
      <w:pPr>
        <w:rPr>
          <w:b/>
          <w:bCs/>
        </w:rPr>
      </w:pPr>
    </w:p>
    <w:p w14:paraId="6ABE7985" w14:textId="77777777" w:rsidR="00341324" w:rsidRPr="008E6727" w:rsidRDefault="00341324" w:rsidP="00341324">
      <w:pPr>
        <w:rPr>
          <w:b/>
          <w:bCs/>
        </w:rPr>
      </w:pPr>
      <w:r w:rsidRPr="008E6727">
        <w:rPr>
          <w:b/>
          <w:bCs/>
          <w:noProof/>
        </w:rPr>
        <w:drawing>
          <wp:anchor distT="0" distB="0" distL="114300" distR="114300" simplePos="0" relativeHeight="251659264" behindDoc="1" locked="0" layoutInCell="1" allowOverlap="1" wp14:anchorId="11146C35" wp14:editId="5787EB4B">
            <wp:simplePos x="0" y="0"/>
            <wp:positionH relativeFrom="margin">
              <wp:posOffset>-9525</wp:posOffset>
            </wp:positionH>
            <wp:positionV relativeFrom="paragraph">
              <wp:posOffset>238125</wp:posOffset>
            </wp:positionV>
            <wp:extent cx="5969635" cy="3571875"/>
            <wp:effectExtent l="0" t="0" r="12065" b="9525"/>
            <wp:wrapTight wrapText="bothSides">
              <wp:wrapPolygon edited="0">
                <wp:start x="0" y="0"/>
                <wp:lineTo x="0" y="21542"/>
                <wp:lineTo x="21575" y="21542"/>
                <wp:lineTo x="21575" y="0"/>
                <wp:lineTo x="0" y="0"/>
              </wp:wrapPolygon>
            </wp:wrapTight>
            <wp:docPr id="279678568" name="Chart 1">
              <a:extLst xmlns:a="http://schemas.openxmlformats.org/drawingml/2006/main">
                <a:ext uri="{FF2B5EF4-FFF2-40B4-BE49-F238E27FC236}">
                  <a16:creationId xmlns:a16="http://schemas.microsoft.com/office/drawing/2014/main" id="{6A9B45C6-01DF-C655-263E-C91516B34D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Pr="008E6727">
        <w:rPr>
          <w:b/>
          <w:bCs/>
        </w:rPr>
        <w:t>Ethnicity by Team</w:t>
      </w:r>
    </w:p>
    <w:p w14:paraId="2848C21A" w14:textId="77777777" w:rsidR="00341324" w:rsidRDefault="00341324" w:rsidP="00341324">
      <w:pPr>
        <w:pStyle w:val="ListParagraph"/>
        <w:numPr>
          <w:ilvl w:val="0"/>
          <w:numId w:val="0"/>
        </w:numPr>
      </w:pPr>
      <w:r>
        <w:t xml:space="preserve">The above bar graph identifies the percentage of individuals of a particular ethnicity within each team. Across all teams, the ethnicity that is represented the most is white British with 91.15% of the entire workforce being of a white British descent. When analysis the data, there are 4 teams (Facilities, letting, marketing and Regeneration) that are comprised of only white British employees. Analysis of the demographics across all 18 teams identifies there are 4 teams comprised of only 1 ethnicity, 8 teams comprised of two different ethnicities, 5 </w:t>
      </w:r>
      <w:r>
        <w:t xml:space="preserve">teams comprised of 3 different ethnicities and only one team (Community, engagement and partnership) comprised of 4 different ethnicities. The data shows that a number of ethnicities are widely under-represented, including individuals from an Asian-Bangladesh descent and those identifying as mixed-other are greatly under-represented at only 0.38% of the workforce population. </w:t>
      </w:r>
    </w:p>
    <w:p w14:paraId="0A4B30AC" w14:textId="77777777" w:rsidR="00341324" w:rsidRDefault="00341324" w:rsidP="00341324">
      <w:pPr>
        <w:pStyle w:val="ListParagraph"/>
        <w:numPr>
          <w:ilvl w:val="0"/>
          <w:numId w:val="0"/>
        </w:numPr>
        <w:ind w:left="720"/>
      </w:pPr>
    </w:p>
    <w:p w14:paraId="0196E611" w14:textId="77777777" w:rsidR="00341324" w:rsidRDefault="00341324" w:rsidP="00341324">
      <w:pPr>
        <w:pStyle w:val="ListParagraph"/>
        <w:numPr>
          <w:ilvl w:val="0"/>
          <w:numId w:val="0"/>
        </w:numPr>
        <w:ind w:left="720"/>
      </w:pPr>
    </w:p>
    <w:p w14:paraId="1504DAC4" w14:textId="77777777" w:rsidR="00341324" w:rsidRDefault="00341324" w:rsidP="00341324">
      <w:pPr>
        <w:pStyle w:val="ListParagraph"/>
        <w:numPr>
          <w:ilvl w:val="0"/>
          <w:numId w:val="0"/>
        </w:numPr>
        <w:ind w:left="720"/>
      </w:pPr>
    </w:p>
    <w:p w14:paraId="76495AB5" w14:textId="77777777" w:rsidR="00341324" w:rsidRDefault="00341324" w:rsidP="00341324">
      <w:pPr>
        <w:rPr>
          <w:highlight w:val="yellow"/>
        </w:rPr>
      </w:pPr>
    </w:p>
    <w:p w14:paraId="7729BE5C" w14:textId="77777777" w:rsidR="00341324" w:rsidRDefault="00341324" w:rsidP="00341324">
      <w:pPr>
        <w:rPr>
          <w:highlight w:val="yellow"/>
        </w:rPr>
      </w:pPr>
    </w:p>
    <w:p w14:paraId="1778C789" w14:textId="77777777" w:rsidR="00341324" w:rsidRDefault="00341324" w:rsidP="00341324">
      <w:pPr>
        <w:rPr>
          <w:highlight w:val="yellow"/>
        </w:rPr>
      </w:pPr>
    </w:p>
    <w:p w14:paraId="0F8B8CD8" w14:textId="77777777" w:rsidR="00341324" w:rsidRDefault="00341324" w:rsidP="00341324">
      <w:pPr>
        <w:rPr>
          <w:highlight w:val="yellow"/>
        </w:rPr>
      </w:pPr>
    </w:p>
    <w:p w14:paraId="77A6E52D" w14:textId="77777777" w:rsidR="00341324" w:rsidRDefault="00341324" w:rsidP="00341324">
      <w:pPr>
        <w:rPr>
          <w:highlight w:val="yellow"/>
        </w:rPr>
      </w:pPr>
    </w:p>
    <w:p w14:paraId="58B2DDB7" w14:textId="77777777" w:rsidR="00341324" w:rsidRDefault="00341324" w:rsidP="00341324">
      <w:pPr>
        <w:rPr>
          <w:highlight w:val="yellow"/>
        </w:rPr>
      </w:pPr>
    </w:p>
    <w:p w14:paraId="60F0A4BF" w14:textId="77777777" w:rsidR="00341324" w:rsidRDefault="00341324" w:rsidP="00341324">
      <w:pPr>
        <w:rPr>
          <w:highlight w:val="yellow"/>
        </w:rPr>
      </w:pPr>
    </w:p>
    <w:p w14:paraId="0AED297A" w14:textId="77777777" w:rsidR="00341324" w:rsidRDefault="00341324" w:rsidP="00341324">
      <w:pPr>
        <w:rPr>
          <w:highlight w:val="yellow"/>
        </w:rPr>
      </w:pPr>
    </w:p>
    <w:p w14:paraId="475CEAFC" w14:textId="77777777" w:rsidR="00341324" w:rsidRDefault="00341324" w:rsidP="00341324">
      <w:pPr>
        <w:rPr>
          <w:highlight w:val="yellow"/>
        </w:rPr>
      </w:pPr>
    </w:p>
    <w:p w14:paraId="52AFB231" w14:textId="77777777" w:rsidR="00341324" w:rsidRDefault="00341324" w:rsidP="00341324">
      <w:pPr>
        <w:rPr>
          <w:highlight w:val="yellow"/>
        </w:rPr>
      </w:pPr>
    </w:p>
    <w:p w14:paraId="3953EA2D" w14:textId="77777777" w:rsidR="00341324" w:rsidRDefault="00341324" w:rsidP="00341324">
      <w:pPr>
        <w:rPr>
          <w:highlight w:val="yellow"/>
        </w:rPr>
      </w:pPr>
    </w:p>
    <w:p w14:paraId="634B9B29" w14:textId="77777777" w:rsidR="00341324" w:rsidRDefault="00341324" w:rsidP="00341324">
      <w:pPr>
        <w:rPr>
          <w:highlight w:val="yellow"/>
        </w:rPr>
      </w:pPr>
    </w:p>
    <w:p w14:paraId="668C536D" w14:textId="77777777" w:rsidR="00341324" w:rsidRPr="00306069" w:rsidRDefault="00341324" w:rsidP="00341324">
      <w:pPr>
        <w:rPr>
          <w:b/>
          <w:bCs/>
        </w:rPr>
      </w:pPr>
      <w:r w:rsidRPr="00306069">
        <w:rPr>
          <w:b/>
          <w:bCs/>
        </w:rPr>
        <w:t>Disability by teams</w:t>
      </w:r>
      <w:r>
        <w:rPr>
          <w:b/>
          <w:bCs/>
        </w:rPr>
        <w:t xml:space="preserve"> &amp; organisation</w:t>
      </w:r>
    </w:p>
    <w:p w14:paraId="30696D24" w14:textId="77777777" w:rsidR="00341324" w:rsidRDefault="00341324" w:rsidP="00341324">
      <w:pPr>
        <w:pStyle w:val="ListParagraph"/>
        <w:numPr>
          <w:ilvl w:val="0"/>
          <w:numId w:val="0"/>
        </w:numPr>
        <w:ind w:left="720"/>
      </w:pPr>
      <w:r>
        <w:rPr>
          <w:noProof/>
          <w14:ligatures w14:val="standardContextual"/>
        </w:rPr>
        <w:drawing>
          <wp:inline distT="0" distB="0" distL="0" distR="0" wp14:anchorId="145A8560" wp14:editId="6FBB6147">
            <wp:extent cx="5731510" cy="3669665"/>
            <wp:effectExtent l="0" t="0" r="2540" b="6985"/>
            <wp:docPr id="510051651" name="Chart 1">
              <a:extLst xmlns:a="http://schemas.openxmlformats.org/drawingml/2006/main">
                <a:ext uri="{FF2B5EF4-FFF2-40B4-BE49-F238E27FC236}">
                  <a16:creationId xmlns:a16="http://schemas.microsoft.com/office/drawing/2014/main" id="{8D02DB2D-4F84-203D-60BC-9DAB45541A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78CD12C" w14:textId="77777777" w:rsidR="00341324" w:rsidRDefault="00341324" w:rsidP="00341324">
      <w:pPr>
        <w:pStyle w:val="ListParagraph"/>
        <w:numPr>
          <w:ilvl w:val="0"/>
          <w:numId w:val="0"/>
        </w:numPr>
        <w:ind w:left="720"/>
      </w:pPr>
      <w:r>
        <w:t xml:space="preserve">When analysis the bar chart displaying the percentage of individuals who are recognised as disabled against those with no recognised disabilities in each team, we can see that 50% of the teams within the organisation have individuals with disabilities in their team and 50% of the teams have no employees with recognised disabilities. </w:t>
      </w:r>
    </w:p>
    <w:p w14:paraId="50416FAE" w14:textId="77777777" w:rsidR="00341324" w:rsidRDefault="00341324" w:rsidP="00341324">
      <w:pPr>
        <w:pStyle w:val="ListParagraph"/>
        <w:numPr>
          <w:ilvl w:val="0"/>
          <w:numId w:val="0"/>
        </w:numPr>
        <w:ind w:left="720"/>
      </w:pPr>
    </w:p>
    <w:p w14:paraId="79665939" w14:textId="77777777" w:rsidR="00341324" w:rsidRDefault="00341324" w:rsidP="00341324">
      <w:pPr>
        <w:pStyle w:val="ListParagraph"/>
        <w:numPr>
          <w:ilvl w:val="0"/>
          <w:numId w:val="0"/>
        </w:numPr>
        <w:ind w:left="720"/>
      </w:pPr>
      <w:r>
        <w:rPr>
          <w:noProof/>
          <w14:ligatures w14:val="standardContextual"/>
        </w:rPr>
        <w:drawing>
          <wp:inline distT="0" distB="0" distL="0" distR="0" wp14:anchorId="028FE3D9" wp14:editId="6524A378">
            <wp:extent cx="4572000" cy="2743200"/>
            <wp:effectExtent l="0" t="0" r="0" b="0"/>
            <wp:docPr id="1130837802" name="Chart 1">
              <a:extLst xmlns:a="http://schemas.openxmlformats.org/drawingml/2006/main">
                <a:ext uri="{FF2B5EF4-FFF2-40B4-BE49-F238E27FC236}">
                  <a16:creationId xmlns:a16="http://schemas.microsoft.com/office/drawing/2014/main" id="{009E20C8-31CE-0F34-2EFA-FC996C999E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79D8F0" w14:textId="77777777" w:rsidR="00341324" w:rsidRDefault="00341324" w:rsidP="00341324">
      <w:pPr>
        <w:pStyle w:val="ListParagraph"/>
        <w:numPr>
          <w:ilvl w:val="0"/>
          <w:numId w:val="0"/>
        </w:numPr>
        <w:ind w:left="720"/>
      </w:pPr>
      <w:r>
        <w:t xml:space="preserve">The above pie chart depicts that within the entire workforce of 260 people, only 8% of those employees have a disability. This indicates that individuals with a disability are grossly underrepresented within this organisation. </w:t>
      </w:r>
    </w:p>
    <w:p w14:paraId="6B846B7E" w14:textId="77777777" w:rsidR="00341324" w:rsidRDefault="00341324" w:rsidP="00341324">
      <w:pPr>
        <w:pStyle w:val="ListParagraph"/>
        <w:numPr>
          <w:ilvl w:val="0"/>
          <w:numId w:val="0"/>
        </w:numPr>
        <w:ind w:left="720"/>
      </w:pPr>
    </w:p>
    <w:p w14:paraId="521CA7B9" w14:textId="77777777" w:rsidR="00341324" w:rsidRPr="008F4BE5" w:rsidRDefault="00341324" w:rsidP="00341324">
      <w:pPr>
        <w:pStyle w:val="ListParagraph"/>
        <w:numPr>
          <w:ilvl w:val="0"/>
          <w:numId w:val="0"/>
        </w:numPr>
        <w:rPr>
          <w:b/>
          <w:bCs/>
        </w:rPr>
      </w:pPr>
      <w:r w:rsidRPr="008F4BE5">
        <w:rPr>
          <w:b/>
          <w:bCs/>
        </w:rPr>
        <w:t xml:space="preserve">Gender </w:t>
      </w:r>
      <w:proofErr w:type="gramStart"/>
      <w:r w:rsidRPr="008F4BE5">
        <w:rPr>
          <w:b/>
          <w:bCs/>
        </w:rPr>
        <w:t>pay</w:t>
      </w:r>
      <w:proofErr w:type="gramEnd"/>
      <w:r w:rsidRPr="008F4BE5">
        <w:rPr>
          <w:b/>
          <w:bCs/>
        </w:rPr>
        <w:t xml:space="preserve"> gap and Average organisational salary</w:t>
      </w:r>
    </w:p>
    <w:p w14:paraId="305B543A" w14:textId="77777777" w:rsidR="00341324" w:rsidRDefault="00341324" w:rsidP="00341324"/>
    <w:p w14:paraId="3ABAFDC0" w14:textId="77777777" w:rsidR="00341324" w:rsidRDefault="00341324" w:rsidP="00341324">
      <w:pPr>
        <w:pStyle w:val="ListParagraph"/>
        <w:numPr>
          <w:ilvl w:val="0"/>
          <w:numId w:val="0"/>
        </w:numPr>
        <w:ind w:left="720"/>
      </w:pPr>
      <w:r>
        <w:rPr>
          <w:noProof/>
          <w14:ligatures w14:val="standardContextual"/>
        </w:rPr>
        <w:drawing>
          <wp:inline distT="0" distB="0" distL="0" distR="0" wp14:anchorId="49A00FCE" wp14:editId="1C8B412F">
            <wp:extent cx="5731510" cy="3182620"/>
            <wp:effectExtent l="0" t="0" r="2540" b="17780"/>
            <wp:docPr id="564047927" name="Chart 1">
              <a:extLst xmlns:a="http://schemas.openxmlformats.org/drawingml/2006/main">
                <a:ext uri="{FF2B5EF4-FFF2-40B4-BE49-F238E27FC236}">
                  <a16:creationId xmlns:a16="http://schemas.microsoft.com/office/drawing/2014/main" id="{F44040CC-2B80-380B-75B9-455E306DF5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A58FEF" w14:textId="77777777" w:rsidR="00341324" w:rsidRDefault="00341324" w:rsidP="00341324">
      <w:pPr>
        <w:pStyle w:val="ListParagraph"/>
        <w:numPr>
          <w:ilvl w:val="0"/>
          <w:numId w:val="0"/>
        </w:numPr>
      </w:pPr>
      <w:r>
        <w:t>The above bar graph displays the average salary between different genders within the organisation. When observing the pay gap between men and women within the organisation, there is a negative gap of -0.28% which indicates that on average, women earn more per hour than their male counterparts. When observing the average pay for non-binary employees there is a pay gap of 38.7% when compared with the average pay of male employees, and a pay gap of 38.9% when compared with the average pay of female employees. This data initially tells us that non-binary employees are significantly underpaid in comparison with their male and female counterparts; however, closer inspection of the data shows that there are only 2 non-binary employees within the organisation, working as an administrator and as a trades apprentice which are generally on the lower end of the pay scale. It’s important to analyse the types of roles all genders are occupying when analysing the pay gap, in this instance the highest salaried roles such as chief executive and directors of services roles are occupied by females. Addressing pay gaps within the organisation is instrumental in promoting equal opportunities.</w:t>
      </w:r>
    </w:p>
    <w:p w14:paraId="148F8DDB" w14:textId="77777777" w:rsidR="00341324" w:rsidRDefault="00341324" w:rsidP="00341324">
      <w:pPr>
        <w:pStyle w:val="ListParagraph"/>
        <w:numPr>
          <w:ilvl w:val="0"/>
          <w:numId w:val="0"/>
        </w:numPr>
      </w:pPr>
      <w:r>
        <w:t xml:space="preserve">The graph also displays the average salary paid by the organisation is £31,757.46. Without data pertaining to external companies’ data to compare overall average salaries, it is not possible to determine if the organisation is paying fairly and competitively. </w:t>
      </w:r>
    </w:p>
    <w:p w14:paraId="6241CFB7" w14:textId="77777777" w:rsidR="00341324" w:rsidRDefault="00341324" w:rsidP="00341324">
      <w:pPr>
        <w:ind w:left="1080" w:hanging="360"/>
      </w:pPr>
    </w:p>
    <w:p w14:paraId="11CA926C" w14:textId="77777777" w:rsidR="00341324" w:rsidRPr="0075462E" w:rsidRDefault="00341324" w:rsidP="00341324">
      <w:pPr>
        <w:rPr>
          <w:b/>
          <w:bCs/>
        </w:rPr>
      </w:pPr>
      <w:r w:rsidRPr="0075462E">
        <w:rPr>
          <w:b/>
          <w:bCs/>
        </w:rPr>
        <w:t>Recommendations (AC 2.3)</w:t>
      </w:r>
    </w:p>
    <w:p w14:paraId="23600524" w14:textId="77777777" w:rsidR="00341324" w:rsidRDefault="00341324" w:rsidP="00341324">
      <w:r>
        <w:t xml:space="preserve">On reflection of the analysis of the above data it’s recommended that the organisation review their internal equality, diversity and inclusion practices. The data demonstrates that across the organisation there could be inequalities in the representation of individuals with protected characteristics such as those with a disability, different genders and also individuals from certain ethnicities. </w:t>
      </w:r>
    </w:p>
    <w:p w14:paraId="35B1E9A1" w14:textId="77777777" w:rsidR="00341324" w:rsidRDefault="00341324" w:rsidP="00341324"/>
    <w:p w14:paraId="055C9E22" w14:textId="77777777" w:rsidR="00341324" w:rsidRDefault="00341324" w:rsidP="00341324">
      <w:r>
        <w:t xml:space="preserve">According to the CIPD (2022), in order to progress EDI organisations should look to develop an inclusive culture and enhance their employment policies and practices to become more inclusive. </w:t>
      </w:r>
    </w:p>
    <w:p w14:paraId="4D2B2D42" w14:textId="77777777" w:rsidR="00341324" w:rsidRDefault="00341324" w:rsidP="00341324"/>
    <w:p w14:paraId="0C740B94" w14:textId="77777777" w:rsidR="00341324" w:rsidRDefault="00341324" w:rsidP="00341324">
      <w:r>
        <w:t>There are benefits to promoting EDI within an organisation, including creating a more positive organisational culture, having a more engaged and diverse workforce that bring different backgrounds and experiences that can enhance overall productivity. In addition, through manging EDI an organisation can ensure corporate reputation is upheld and compliance with the Equality Act 2010.</w:t>
      </w:r>
    </w:p>
    <w:p w14:paraId="5AECF4FF" w14:textId="77777777" w:rsidR="00341324" w:rsidRDefault="00341324" w:rsidP="00341324"/>
    <w:p w14:paraId="4F7FB85F" w14:textId="77777777" w:rsidR="00341324" w:rsidRDefault="00341324" w:rsidP="00341324">
      <w:r>
        <w:t xml:space="preserve">A lack of EDI within an organisation can have negative outcomes such as those from a minority background may not feel included which can have a negative impact on employee engagement, with a potential to lead to high turnover rates which can have negative financial implications on the establishment when considering the cost of recruitment and potential training needs. Syed and </w:t>
      </w:r>
      <w:proofErr w:type="spellStart"/>
      <w:r>
        <w:t>Ozbilgin</w:t>
      </w:r>
      <w:proofErr w:type="spellEnd"/>
      <w:r>
        <w:t xml:space="preserve"> (2020) suggest a lack of diversity and inclusion for an organisation can present risks of litigation from individuals who have been discriminated or unfairly treated within an organisation, this can have serious financial and reputational implications.</w:t>
      </w:r>
    </w:p>
    <w:p w14:paraId="71D0F744" w14:textId="77777777" w:rsidR="00341324" w:rsidRDefault="00341324" w:rsidP="00341324"/>
    <w:p w14:paraId="78AAD4F9" w14:textId="77777777" w:rsidR="00341324" w:rsidRDefault="00341324" w:rsidP="00341324">
      <w:pPr>
        <w:rPr>
          <w:b/>
          <w:bCs/>
        </w:rPr>
      </w:pPr>
      <w:r>
        <w:rPr>
          <w:noProof/>
          <w14:ligatures w14:val="standardContextual"/>
        </w:rPr>
        <w:drawing>
          <wp:anchor distT="0" distB="0" distL="114300" distR="114300" simplePos="0" relativeHeight="251661312" behindDoc="1" locked="0" layoutInCell="1" allowOverlap="1" wp14:anchorId="25505868" wp14:editId="165C4754">
            <wp:simplePos x="0" y="0"/>
            <wp:positionH relativeFrom="column">
              <wp:posOffset>278977</wp:posOffset>
            </wp:positionH>
            <wp:positionV relativeFrom="paragraph">
              <wp:posOffset>263102</wp:posOffset>
            </wp:positionV>
            <wp:extent cx="5748655" cy="3429000"/>
            <wp:effectExtent l="0" t="0" r="4445" b="0"/>
            <wp:wrapTight wrapText="bothSides">
              <wp:wrapPolygon edited="0">
                <wp:start x="0" y="0"/>
                <wp:lineTo x="0" y="21480"/>
                <wp:lineTo x="21545" y="21480"/>
                <wp:lineTo x="21545" y="0"/>
                <wp:lineTo x="0" y="0"/>
              </wp:wrapPolygon>
            </wp:wrapTight>
            <wp:docPr id="1047901295" name="Chart 1">
              <a:extLst xmlns:a="http://schemas.openxmlformats.org/drawingml/2006/main">
                <a:ext uri="{FF2B5EF4-FFF2-40B4-BE49-F238E27FC236}">
                  <a16:creationId xmlns:a16="http://schemas.microsoft.com/office/drawing/2014/main" id="{214AF945-F672-99A8-A194-6687EB5BB4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Pr="00C9130A">
        <w:rPr>
          <w:b/>
          <w:bCs/>
        </w:rPr>
        <w:t xml:space="preserve"> </w:t>
      </w:r>
      <w:r>
        <w:rPr>
          <w:b/>
          <w:bCs/>
        </w:rPr>
        <w:t>Hybrid-Working survey (AC 2.1, 2.2, 2.3)</w:t>
      </w:r>
      <w:r w:rsidRPr="00C9130A">
        <w:rPr>
          <w:b/>
          <w:bCs/>
        </w:rPr>
        <w:t xml:space="preserve"> </w:t>
      </w:r>
    </w:p>
    <w:p w14:paraId="4CB95C9A" w14:textId="77777777" w:rsidR="00341324" w:rsidRDefault="00341324" w:rsidP="00341324">
      <w:pPr>
        <w:rPr>
          <w:b/>
          <w:bCs/>
        </w:rPr>
      </w:pPr>
    </w:p>
    <w:p w14:paraId="7E225B6E" w14:textId="77777777" w:rsidR="00341324" w:rsidRDefault="00341324" w:rsidP="00341324">
      <w:r>
        <w:t>The results of the employee survey on hybrid working practices provides an insight into the impact hybrid working has on employees, with consideration to the implications it has had on culture, stress, support and work-life balance.</w:t>
      </w:r>
    </w:p>
    <w:p w14:paraId="071A82DA" w14:textId="77777777" w:rsidR="00341324" w:rsidRPr="00755B16" w:rsidRDefault="00341324" w:rsidP="00341324">
      <w:pPr>
        <w:rPr>
          <w:b/>
          <w:bCs/>
        </w:rPr>
      </w:pPr>
    </w:p>
    <w:p w14:paraId="1F1A8A4A" w14:textId="77777777" w:rsidR="00341324" w:rsidRDefault="00341324" w:rsidP="00341324">
      <w:r>
        <w:t xml:space="preserve">According to the results 82% of participant believed that their wellbeing and work-life balance is supported by hybrid working, however, in considering that 64% of employees found difficulties separating their work from their personal life when at home. CIPD (2021) guidance advises that training should be provided to managers on how to manage hybrid teams effectively through remote communication, collaboration and relationship building. </w:t>
      </w:r>
    </w:p>
    <w:p w14:paraId="5837E8FC" w14:textId="77777777" w:rsidR="00341324" w:rsidRDefault="00341324" w:rsidP="00341324"/>
    <w:p w14:paraId="73F1FCE9" w14:textId="77777777" w:rsidR="00341324" w:rsidRDefault="00341324" w:rsidP="00341324">
      <w:r>
        <w:t xml:space="preserve">Analysis of responses show that of the 300 employees, 80% did not feel fully supported when working in the workplace, in addition 59% of employees stated that working from home removes conflicts. Interpretation of this data suggests potential deficiencies in support and conflict in the workplace. Further insights into these potential issues would be beneficial, to understand if there are any underlying issues that need to be addressed. </w:t>
      </w:r>
    </w:p>
    <w:p w14:paraId="25807008" w14:textId="77777777" w:rsidR="00341324" w:rsidRDefault="00341324" w:rsidP="00341324">
      <w:pPr>
        <w:ind w:left="-360"/>
      </w:pPr>
    </w:p>
    <w:p w14:paraId="4B56A046" w14:textId="77777777" w:rsidR="00341324" w:rsidRDefault="00341324" w:rsidP="00341324">
      <w:pPr>
        <w:ind w:left="-360"/>
      </w:pPr>
    </w:p>
    <w:p w14:paraId="554F6E34" w14:textId="77777777" w:rsidR="00341324" w:rsidRDefault="00341324" w:rsidP="00341324">
      <w:pPr>
        <w:ind w:left="-360"/>
      </w:pPr>
      <w:r>
        <w:t xml:space="preserve">An overview of the data suggests that employees find there to be positives and negatives from hybrid-working arrangements. The organisation should conduct further analysis to understand if there are correlations between the results and specific teams, or demographics. </w:t>
      </w:r>
    </w:p>
    <w:p w14:paraId="63439363" w14:textId="77777777" w:rsidR="00341324" w:rsidRDefault="00341324" w:rsidP="00341324"/>
    <w:p w14:paraId="327A1648" w14:textId="77777777" w:rsidR="00341324" w:rsidRDefault="00341324" w:rsidP="00341324">
      <w:pPr>
        <w:ind w:left="-360"/>
      </w:pPr>
      <w:r>
        <w:t>CIPD (2023) recommends that policies around hybrid working should be continuously monitored and training provided for line managers to support successful hybrid management. Further data analysis could be conducted from employee interviews, focus groups or alternatively surveys that consider the employee demographics.</w:t>
      </w:r>
    </w:p>
    <w:p w14:paraId="34618521" w14:textId="77777777" w:rsidR="00045C39" w:rsidRDefault="00045C39"/>
    <w:sectPr w:rsidR="00045C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 w15:restartNumberingAfterBreak="0">
    <w:nsid w:val="3F247AA5"/>
    <w:multiLevelType w:val="hybridMultilevel"/>
    <w:tmpl w:val="E6EA46E4"/>
    <w:lvl w:ilvl="0" w:tplc="7568833A">
      <w:start w:val="1"/>
      <w:numFmt w:val="decimal"/>
      <w:lvlText w:val="%1."/>
      <w:lvlJc w:val="left"/>
      <w:pPr>
        <w:ind w:left="1432" w:hanging="360"/>
      </w:pPr>
      <w:rPr>
        <w:rFonts w:eastAsia="Arial" w:hint="default"/>
      </w:rPr>
    </w:lvl>
    <w:lvl w:ilvl="1" w:tplc="08090019" w:tentative="1">
      <w:start w:val="1"/>
      <w:numFmt w:val="lowerLetter"/>
      <w:lvlText w:val="%2."/>
      <w:lvlJc w:val="left"/>
      <w:pPr>
        <w:ind w:left="2152" w:hanging="360"/>
      </w:pPr>
    </w:lvl>
    <w:lvl w:ilvl="2" w:tplc="0809001B" w:tentative="1">
      <w:start w:val="1"/>
      <w:numFmt w:val="lowerRoman"/>
      <w:lvlText w:val="%3."/>
      <w:lvlJc w:val="right"/>
      <w:pPr>
        <w:ind w:left="2872" w:hanging="180"/>
      </w:pPr>
    </w:lvl>
    <w:lvl w:ilvl="3" w:tplc="0809000F" w:tentative="1">
      <w:start w:val="1"/>
      <w:numFmt w:val="decimal"/>
      <w:lvlText w:val="%4."/>
      <w:lvlJc w:val="left"/>
      <w:pPr>
        <w:ind w:left="3592" w:hanging="360"/>
      </w:pPr>
    </w:lvl>
    <w:lvl w:ilvl="4" w:tplc="08090019" w:tentative="1">
      <w:start w:val="1"/>
      <w:numFmt w:val="lowerLetter"/>
      <w:lvlText w:val="%5."/>
      <w:lvlJc w:val="left"/>
      <w:pPr>
        <w:ind w:left="4312" w:hanging="360"/>
      </w:pPr>
    </w:lvl>
    <w:lvl w:ilvl="5" w:tplc="0809001B" w:tentative="1">
      <w:start w:val="1"/>
      <w:numFmt w:val="lowerRoman"/>
      <w:lvlText w:val="%6."/>
      <w:lvlJc w:val="right"/>
      <w:pPr>
        <w:ind w:left="5032" w:hanging="180"/>
      </w:pPr>
    </w:lvl>
    <w:lvl w:ilvl="6" w:tplc="0809000F" w:tentative="1">
      <w:start w:val="1"/>
      <w:numFmt w:val="decimal"/>
      <w:lvlText w:val="%7."/>
      <w:lvlJc w:val="left"/>
      <w:pPr>
        <w:ind w:left="5752" w:hanging="360"/>
      </w:pPr>
    </w:lvl>
    <w:lvl w:ilvl="7" w:tplc="08090019" w:tentative="1">
      <w:start w:val="1"/>
      <w:numFmt w:val="lowerLetter"/>
      <w:lvlText w:val="%8."/>
      <w:lvlJc w:val="left"/>
      <w:pPr>
        <w:ind w:left="6472" w:hanging="360"/>
      </w:pPr>
    </w:lvl>
    <w:lvl w:ilvl="8" w:tplc="0809001B" w:tentative="1">
      <w:start w:val="1"/>
      <w:numFmt w:val="lowerRoman"/>
      <w:lvlText w:val="%9."/>
      <w:lvlJc w:val="right"/>
      <w:pPr>
        <w:ind w:left="7192" w:hanging="180"/>
      </w:pPr>
    </w:lvl>
  </w:abstractNum>
  <w:abstractNum w:abstractNumId="2" w15:restartNumberingAfterBreak="0">
    <w:nsid w:val="59765343"/>
    <w:multiLevelType w:val="hybridMultilevel"/>
    <w:tmpl w:val="CCE8540A"/>
    <w:lvl w:ilvl="0" w:tplc="08090001">
      <w:start w:val="1"/>
      <w:numFmt w:val="bullet"/>
      <w:lvlText w:val=""/>
      <w:lvlJc w:val="left"/>
      <w:pPr>
        <w:ind w:left="1792" w:hanging="360"/>
      </w:pPr>
      <w:rPr>
        <w:rFonts w:ascii="Symbol" w:hAnsi="Symbol" w:hint="default"/>
      </w:rPr>
    </w:lvl>
    <w:lvl w:ilvl="1" w:tplc="08090003" w:tentative="1">
      <w:start w:val="1"/>
      <w:numFmt w:val="bullet"/>
      <w:lvlText w:val="o"/>
      <w:lvlJc w:val="left"/>
      <w:pPr>
        <w:ind w:left="2512" w:hanging="360"/>
      </w:pPr>
      <w:rPr>
        <w:rFonts w:ascii="Courier New" w:hAnsi="Courier New" w:cs="Courier New" w:hint="default"/>
      </w:rPr>
    </w:lvl>
    <w:lvl w:ilvl="2" w:tplc="08090005" w:tentative="1">
      <w:start w:val="1"/>
      <w:numFmt w:val="bullet"/>
      <w:lvlText w:val=""/>
      <w:lvlJc w:val="left"/>
      <w:pPr>
        <w:ind w:left="3232" w:hanging="360"/>
      </w:pPr>
      <w:rPr>
        <w:rFonts w:ascii="Wingdings" w:hAnsi="Wingdings" w:hint="default"/>
      </w:rPr>
    </w:lvl>
    <w:lvl w:ilvl="3" w:tplc="08090001" w:tentative="1">
      <w:start w:val="1"/>
      <w:numFmt w:val="bullet"/>
      <w:lvlText w:val=""/>
      <w:lvlJc w:val="left"/>
      <w:pPr>
        <w:ind w:left="3952" w:hanging="360"/>
      </w:pPr>
      <w:rPr>
        <w:rFonts w:ascii="Symbol" w:hAnsi="Symbol" w:hint="default"/>
      </w:rPr>
    </w:lvl>
    <w:lvl w:ilvl="4" w:tplc="08090003" w:tentative="1">
      <w:start w:val="1"/>
      <w:numFmt w:val="bullet"/>
      <w:lvlText w:val="o"/>
      <w:lvlJc w:val="left"/>
      <w:pPr>
        <w:ind w:left="4672" w:hanging="360"/>
      </w:pPr>
      <w:rPr>
        <w:rFonts w:ascii="Courier New" w:hAnsi="Courier New" w:cs="Courier New" w:hint="default"/>
      </w:rPr>
    </w:lvl>
    <w:lvl w:ilvl="5" w:tplc="08090005" w:tentative="1">
      <w:start w:val="1"/>
      <w:numFmt w:val="bullet"/>
      <w:lvlText w:val=""/>
      <w:lvlJc w:val="left"/>
      <w:pPr>
        <w:ind w:left="5392" w:hanging="360"/>
      </w:pPr>
      <w:rPr>
        <w:rFonts w:ascii="Wingdings" w:hAnsi="Wingdings" w:hint="default"/>
      </w:rPr>
    </w:lvl>
    <w:lvl w:ilvl="6" w:tplc="08090001" w:tentative="1">
      <w:start w:val="1"/>
      <w:numFmt w:val="bullet"/>
      <w:lvlText w:val=""/>
      <w:lvlJc w:val="left"/>
      <w:pPr>
        <w:ind w:left="6112" w:hanging="360"/>
      </w:pPr>
      <w:rPr>
        <w:rFonts w:ascii="Symbol" w:hAnsi="Symbol" w:hint="default"/>
      </w:rPr>
    </w:lvl>
    <w:lvl w:ilvl="7" w:tplc="08090003" w:tentative="1">
      <w:start w:val="1"/>
      <w:numFmt w:val="bullet"/>
      <w:lvlText w:val="o"/>
      <w:lvlJc w:val="left"/>
      <w:pPr>
        <w:ind w:left="6832" w:hanging="360"/>
      </w:pPr>
      <w:rPr>
        <w:rFonts w:ascii="Courier New" w:hAnsi="Courier New" w:cs="Courier New" w:hint="default"/>
      </w:rPr>
    </w:lvl>
    <w:lvl w:ilvl="8" w:tplc="08090005" w:tentative="1">
      <w:start w:val="1"/>
      <w:numFmt w:val="bullet"/>
      <w:lvlText w:val=""/>
      <w:lvlJc w:val="left"/>
      <w:pPr>
        <w:ind w:left="7552" w:hanging="360"/>
      </w:pPr>
      <w:rPr>
        <w:rFonts w:ascii="Wingdings" w:hAnsi="Wingdings" w:hint="default"/>
      </w:rPr>
    </w:lvl>
  </w:abstractNum>
  <w:abstractNum w:abstractNumId="3"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56063931">
    <w:abstractNumId w:val="3"/>
  </w:num>
  <w:num w:numId="2" w16cid:durableId="1467702196">
    <w:abstractNumId w:val="0"/>
  </w:num>
  <w:num w:numId="3" w16cid:durableId="1047879191">
    <w:abstractNumId w:val="2"/>
  </w:num>
  <w:num w:numId="4" w16cid:durableId="86269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324"/>
    <w:rsid w:val="00045C39"/>
    <w:rsid w:val="00341324"/>
    <w:rsid w:val="00373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135B2"/>
  <w15:chartTrackingRefBased/>
  <w15:docId w15:val="{0D28CB70-F6C6-4778-AC42-2CDE0B3C7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324"/>
    <w:pPr>
      <w:widowControl w:val="0"/>
      <w:autoSpaceDE w:val="0"/>
      <w:autoSpaceDN w:val="0"/>
      <w:spacing w:after="0" w:line="240" w:lineRule="auto"/>
    </w:pPr>
    <w:rPr>
      <w:rFonts w:ascii="Arial" w:eastAsia="Arial" w:hAnsi="Arial" w:cs="Arial"/>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341324"/>
    <w:pPr>
      <w:widowControl/>
      <w:numPr>
        <w:numId w:val="1"/>
      </w:numPr>
      <w:autoSpaceDE/>
      <w:autoSpaceDN/>
      <w:spacing w:after="120" w:line="264" w:lineRule="auto"/>
    </w:pPr>
    <w:rPr>
      <w:rFonts w:eastAsia="Times New Roman"/>
      <w:szCs w:val="24"/>
      <w:lang w:eastAsia="en-GB"/>
    </w:rPr>
  </w:style>
  <w:style w:type="character" w:customStyle="1" w:styleId="ListParagraphChar">
    <w:name w:val="List Paragraph Char"/>
    <w:basedOn w:val="DefaultParagraphFont"/>
    <w:link w:val="ListParagraph"/>
    <w:uiPriority w:val="1"/>
    <w:rsid w:val="00341324"/>
    <w:rPr>
      <w:rFonts w:ascii="Arial" w:eastAsia="Times New Roman" w:hAnsi="Arial" w:cs="Arial"/>
      <w:kern w:val="0"/>
      <w:szCs w:val="24"/>
      <w:lang w:eastAsia="en-GB"/>
      <w14:ligatures w14:val="none"/>
    </w:rPr>
  </w:style>
  <w:style w:type="paragraph" w:styleId="BodyText">
    <w:name w:val="Body Text"/>
    <w:basedOn w:val="Normal"/>
    <w:link w:val="BodyTextChar"/>
    <w:uiPriority w:val="1"/>
    <w:qFormat/>
    <w:rsid w:val="00341324"/>
  </w:style>
  <w:style w:type="character" w:customStyle="1" w:styleId="BodyTextChar">
    <w:name w:val="Body Text Char"/>
    <w:basedOn w:val="DefaultParagraphFont"/>
    <w:link w:val="BodyText"/>
    <w:uiPriority w:val="1"/>
    <w:rsid w:val="00341324"/>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hart" Target="charts/chart5.xml"/><Relationship Id="rId5" Type="http://schemas.openxmlformats.org/officeDocument/2006/relationships/image" Target="media/image1.png"/><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9e900e4e590c7566/Documents/Catrin%20University/CIPD%20L5%20Diploma/Evidence-based%20practice/Worksheet%20table%201%20Evidence%20Based%20Practice%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pivotSource>
    <c:name>[Worksheet table 1 Evidence Based Practice 2023.xlsx]Genders per type!PivotTable1</c:name>
    <c:fmtId val="18"/>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Percentage of each gender by type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4"/>
          </a:solidFill>
          <a:ln>
            <a:noFill/>
          </a:ln>
          <a:effectLst/>
        </c:spPr>
        <c:marker>
          <c:symbol val="circle"/>
          <c:size val="5"/>
          <c:spPr>
            <a:solidFill>
              <a:schemeClr val="accent4"/>
            </a:solidFill>
            <a:ln w="9525">
              <a:solidFill>
                <a:schemeClr val="accent4"/>
              </a:solidFill>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4"/>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'Genders per type'!$B$3</c:f>
              <c:strCache>
                <c:ptCount val="1"/>
                <c:pt idx="0">
                  <c:v>Total</c:v>
                </c:pt>
              </c:strCache>
            </c:strRef>
          </c:tx>
          <c:spPr>
            <a:solidFill>
              <a:schemeClr val="accent4"/>
            </a:solidFill>
            <a:ln>
              <a:noFill/>
            </a:ln>
            <a:effectLst/>
          </c:spPr>
          <c:invertIfNegative val="0"/>
          <c:cat>
            <c:strRef>
              <c:f>'Genders per type'!$A$4:$A$7</c:f>
              <c:strCache>
                <c:ptCount val="3"/>
                <c:pt idx="0">
                  <c:v>Female</c:v>
                </c:pt>
                <c:pt idx="1">
                  <c:v>Male</c:v>
                </c:pt>
                <c:pt idx="2">
                  <c:v>Non-binary</c:v>
                </c:pt>
              </c:strCache>
            </c:strRef>
          </c:cat>
          <c:val>
            <c:numRef>
              <c:f>'Genders per type'!$B$4:$B$7</c:f>
              <c:numCache>
                <c:formatCode>0.00%</c:formatCode>
                <c:ptCount val="3"/>
                <c:pt idx="0">
                  <c:v>0.45384615384615384</c:v>
                </c:pt>
                <c:pt idx="1">
                  <c:v>0.53846153846153844</c:v>
                </c:pt>
                <c:pt idx="2">
                  <c:v>7.6923076923076927E-3</c:v>
                </c:pt>
              </c:numCache>
            </c:numRef>
          </c:val>
          <c:extLst>
            <c:ext xmlns:c16="http://schemas.microsoft.com/office/drawing/2014/chart" uri="{C3380CC4-5D6E-409C-BE32-E72D297353CC}">
              <c16:uniqueId val="{00000000-3B22-4A42-9923-C2C803EF21BD}"/>
            </c:ext>
          </c:extLst>
        </c:ser>
        <c:dLbls>
          <c:showLegendKey val="0"/>
          <c:showVal val="0"/>
          <c:showCatName val="0"/>
          <c:showSerName val="0"/>
          <c:showPercent val="0"/>
          <c:showBubbleSize val="0"/>
        </c:dLbls>
        <c:gapWidth val="219"/>
        <c:axId val="895636559"/>
        <c:axId val="477047519"/>
      </c:barChart>
      <c:catAx>
        <c:axId val="895636559"/>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Gender type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7047519"/>
        <c:crosses val="autoZero"/>
        <c:auto val="1"/>
        <c:lblAlgn val="ctr"/>
        <c:lblOffset val="100"/>
        <c:noMultiLvlLbl val="0"/>
      </c:catAx>
      <c:valAx>
        <c:axId val="47704751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6365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2023.xlsx]Ethnicity per Team!PivotTable2</c:name>
    <c:fmtId val="10"/>
  </c:pivotSource>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Ethnicity as a percentage by team</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showLegendKey val="0"/>
          <c:showVal val="0"/>
          <c:showCatName val="0"/>
          <c:showSerName val="0"/>
          <c:showPercent val="0"/>
          <c:showBubbleSize val="0"/>
          <c:extLst>
            <c:ext xmlns:c15="http://schemas.microsoft.com/office/drawing/2012/chart" uri="{CE6537A1-D6FC-4f65-9D91-7224C49458BB}"/>
          </c:extLst>
        </c:dLbl>
      </c:pivotFmt>
      <c:pivotFmt>
        <c:idx val="3"/>
        <c:dLbl>
          <c:idx val="0"/>
          <c:showLegendKey val="0"/>
          <c:showVal val="0"/>
          <c:showCatName val="0"/>
          <c:showSerName val="0"/>
          <c:showPercent val="0"/>
          <c:showBubbleSize val="0"/>
          <c:extLst>
            <c:ext xmlns:c15="http://schemas.microsoft.com/office/drawing/2012/chart" uri="{CE6537A1-D6FC-4f65-9D91-7224C49458BB}"/>
          </c:extLst>
        </c:dLbl>
      </c:pivotFmt>
      <c:pivotFmt>
        <c:idx val="4"/>
        <c:dLbl>
          <c:idx val="0"/>
          <c:showLegendKey val="0"/>
          <c:showVal val="0"/>
          <c:showCatName val="0"/>
          <c:showSerName val="0"/>
          <c:showPercent val="0"/>
          <c:showBubbleSize val="0"/>
          <c:extLst>
            <c:ext xmlns:c15="http://schemas.microsoft.com/office/drawing/2012/chart" uri="{CE6537A1-D6FC-4f65-9D91-7224C49458BB}"/>
          </c:extLst>
        </c:dLbl>
      </c:pivotFmt>
      <c:pivotFmt>
        <c:idx val="5"/>
        <c:dLbl>
          <c:idx val="0"/>
          <c:showLegendKey val="0"/>
          <c:showVal val="0"/>
          <c:showCatName val="0"/>
          <c:showSerName val="0"/>
          <c:showPercent val="0"/>
          <c:showBubbleSize val="0"/>
          <c:extLst>
            <c:ext xmlns:c15="http://schemas.microsoft.com/office/drawing/2012/chart" uri="{CE6537A1-D6FC-4f65-9D91-7224C49458BB}"/>
          </c:extLst>
        </c:dLbl>
      </c:pivotFmt>
      <c:pivotFmt>
        <c:idx val="6"/>
        <c:dLbl>
          <c:idx val="0"/>
          <c:showLegendKey val="0"/>
          <c:showVal val="0"/>
          <c:showCatName val="0"/>
          <c:showSerName val="0"/>
          <c:showPercent val="0"/>
          <c:showBubbleSize val="0"/>
          <c:extLst>
            <c:ext xmlns:c15="http://schemas.microsoft.com/office/drawing/2012/chart" uri="{CE6537A1-D6FC-4f65-9D91-7224C49458BB}"/>
          </c:extLst>
        </c:dLbl>
      </c:pivotFmt>
      <c:pivotFmt>
        <c:idx val="7"/>
        <c:dLbl>
          <c:idx val="0"/>
          <c:showLegendKey val="0"/>
          <c:showVal val="0"/>
          <c:showCatName val="0"/>
          <c:showSerName val="0"/>
          <c:showPercent val="0"/>
          <c:showBubbleSize val="0"/>
          <c:extLst>
            <c:ext xmlns:c15="http://schemas.microsoft.com/office/drawing/2012/chart" uri="{CE6537A1-D6FC-4f65-9D91-7224C49458BB}"/>
          </c:extLst>
        </c:dLbl>
      </c:pivotFmt>
      <c:pivotFmt>
        <c:idx val="8"/>
        <c:dLbl>
          <c:idx val="0"/>
          <c:showLegendKey val="0"/>
          <c:showVal val="0"/>
          <c:showCatName val="0"/>
          <c:showSerName val="0"/>
          <c:showPercent val="0"/>
          <c:showBubbleSize val="0"/>
          <c:extLst>
            <c:ext xmlns:c15="http://schemas.microsoft.com/office/drawing/2012/chart" uri="{CE6537A1-D6FC-4f65-9D91-7224C49458BB}"/>
          </c:extLst>
        </c:dLbl>
      </c:pivotFmt>
      <c:pivotFmt>
        <c:idx val="9"/>
        <c:dLbl>
          <c:idx val="0"/>
          <c:showLegendKey val="0"/>
          <c:showVal val="0"/>
          <c:showCatName val="0"/>
          <c:showSerName val="0"/>
          <c:showPercent val="0"/>
          <c:showBubbleSize val="0"/>
          <c:extLst>
            <c:ext xmlns:c15="http://schemas.microsoft.com/office/drawing/2012/chart" uri="{CE6537A1-D6FC-4f65-9D91-7224C49458BB}"/>
          </c:extLst>
        </c:dLbl>
      </c:pivotFmt>
      <c:pivotFmt>
        <c:idx val="10"/>
        <c:dLbl>
          <c:idx val="0"/>
          <c:showLegendKey val="0"/>
          <c:showVal val="0"/>
          <c:showCatName val="0"/>
          <c:showSerName val="0"/>
          <c:showPercent val="0"/>
          <c:showBubbleSize val="0"/>
          <c:extLst>
            <c:ext xmlns:c15="http://schemas.microsoft.com/office/drawing/2012/chart" uri="{CE6537A1-D6FC-4f65-9D91-7224C49458BB}"/>
          </c:extLst>
        </c:dLbl>
      </c:pivotFmt>
      <c:pivotFmt>
        <c:idx val="11"/>
        <c:dLbl>
          <c:idx val="0"/>
          <c:showLegendKey val="0"/>
          <c:showVal val="0"/>
          <c:showCatName val="0"/>
          <c:showSerName val="0"/>
          <c:showPercent val="0"/>
          <c:showBubbleSize val="0"/>
          <c:extLst>
            <c:ext xmlns:c15="http://schemas.microsoft.com/office/drawing/2012/chart" uri="{CE6537A1-D6FC-4f65-9D91-7224C49458BB}"/>
          </c:extLst>
        </c:dLbl>
      </c:pivotFmt>
      <c:pivotFmt>
        <c:idx val="12"/>
        <c:dLbl>
          <c:idx val="0"/>
          <c:showLegendKey val="0"/>
          <c:showVal val="0"/>
          <c:showCatName val="0"/>
          <c:showSerName val="0"/>
          <c:showPercent val="0"/>
          <c:showBubbleSize val="0"/>
          <c:extLst>
            <c:ext xmlns:c15="http://schemas.microsoft.com/office/drawing/2012/chart" uri="{CE6537A1-D6FC-4f65-9D91-7224C49458BB}"/>
          </c:extLst>
        </c:dLbl>
      </c:pivotFmt>
      <c:pivotFmt>
        <c:idx val="13"/>
        <c:dLbl>
          <c:idx val="0"/>
          <c:showLegendKey val="0"/>
          <c:showVal val="0"/>
          <c:showCatName val="0"/>
          <c:showSerName val="0"/>
          <c:showPercent val="0"/>
          <c:showBubbleSize val="0"/>
          <c:extLst>
            <c:ext xmlns:c15="http://schemas.microsoft.com/office/drawing/2012/chart" uri="{CE6537A1-D6FC-4f65-9D91-7224C49458BB}"/>
          </c:extLst>
        </c:dLbl>
      </c:pivotFmt>
      <c:pivotFmt>
        <c:idx val="14"/>
        <c:dLbl>
          <c:idx val="0"/>
          <c:showLegendKey val="0"/>
          <c:showVal val="0"/>
          <c:showCatName val="0"/>
          <c:showSerName val="0"/>
          <c:showPercent val="0"/>
          <c:showBubbleSize val="0"/>
          <c:extLst>
            <c:ext xmlns:c15="http://schemas.microsoft.com/office/drawing/2012/chart" uri="{CE6537A1-D6FC-4f65-9D91-7224C49458BB}"/>
          </c:extLst>
        </c:dLbl>
      </c:pivotFmt>
      <c:pivotFmt>
        <c:idx val="15"/>
        <c:dLbl>
          <c:idx val="0"/>
          <c:showLegendKey val="0"/>
          <c:showVal val="0"/>
          <c:showCatName val="0"/>
          <c:showSerName val="0"/>
          <c:showPercent val="0"/>
          <c:showBubbleSize val="0"/>
          <c:extLst>
            <c:ext xmlns:c15="http://schemas.microsoft.com/office/drawing/2012/chart" uri="{CE6537A1-D6FC-4f65-9D91-7224C49458BB}"/>
          </c:extLst>
        </c:dLbl>
      </c:pivotFmt>
      <c:pivotFmt>
        <c:idx val="16"/>
        <c:dLbl>
          <c:idx val="0"/>
          <c:showLegendKey val="0"/>
          <c:showVal val="0"/>
          <c:showCatName val="0"/>
          <c:showSerName val="0"/>
          <c:showPercent val="0"/>
          <c:showBubbleSize val="0"/>
          <c:extLst>
            <c:ext xmlns:c15="http://schemas.microsoft.com/office/drawing/2012/chart" uri="{CE6537A1-D6FC-4f65-9D91-7224C49458BB}"/>
          </c:extLst>
        </c:dLbl>
      </c:pivotFmt>
      <c:pivotFmt>
        <c:idx val="17"/>
        <c:dLbl>
          <c:idx val="0"/>
          <c:showLegendKey val="0"/>
          <c:showVal val="0"/>
          <c:showCatName val="0"/>
          <c:showSerName val="0"/>
          <c:showPercent val="0"/>
          <c:showBubbleSize val="0"/>
          <c:extLst>
            <c:ext xmlns:c15="http://schemas.microsoft.com/office/drawing/2012/chart" uri="{CE6537A1-D6FC-4f65-9D91-7224C49458BB}"/>
          </c:extLst>
        </c:dLbl>
      </c:pivotFmt>
      <c:pivotFmt>
        <c:idx val="18"/>
        <c:dLbl>
          <c:idx val="0"/>
          <c:showLegendKey val="0"/>
          <c:showVal val="0"/>
          <c:showCatName val="0"/>
          <c:showSerName val="0"/>
          <c:showPercent val="0"/>
          <c:showBubbleSize val="0"/>
          <c:extLst>
            <c:ext xmlns:c15="http://schemas.microsoft.com/office/drawing/2012/chart" uri="{CE6537A1-D6FC-4f65-9D91-7224C49458BB}"/>
          </c:extLst>
        </c:dLbl>
      </c:pivotFmt>
      <c:pivotFmt>
        <c:idx val="19"/>
        <c:dLbl>
          <c:idx val="0"/>
          <c:showLegendKey val="0"/>
          <c:showVal val="0"/>
          <c:showCatName val="0"/>
          <c:showSerName val="0"/>
          <c:showPercent val="0"/>
          <c:showBubbleSize val="0"/>
          <c:extLst>
            <c:ext xmlns:c15="http://schemas.microsoft.com/office/drawing/2012/chart" uri="{CE6537A1-D6FC-4f65-9D91-7224C49458BB}"/>
          </c:extLst>
        </c:dLbl>
      </c:pivotFmt>
      <c:pivotFmt>
        <c:idx val="20"/>
        <c:dLbl>
          <c:idx val="0"/>
          <c:showLegendKey val="0"/>
          <c:showVal val="0"/>
          <c:showCatName val="0"/>
          <c:showSerName val="0"/>
          <c:showPercent val="0"/>
          <c:showBubbleSize val="0"/>
          <c:extLst>
            <c:ext xmlns:c15="http://schemas.microsoft.com/office/drawing/2012/chart" uri="{CE6537A1-D6FC-4f65-9D91-7224C49458BB}"/>
          </c:extLst>
        </c:dLbl>
      </c:pivotFmt>
      <c:pivotFmt>
        <c:idx val="21"/>
        <c:dLbl>
          <c:idx val="0"/>
          <c:showLegendKey val="0"/>
          <c:showVal val="0"/>
          <c:showCatName val="0"/>
          <c:showSerName val="0"/>
          <c:showPercent val="0"/>
          <c:showBubbleSize val="0"/>
          <c:extLst>
            <c:ext xmlns:c15="http://schemas.microsoft.com/office/drawing/2012/chart" uri="{CE6537A1-D6FC-4f65-9D91-7224C49458BB}"/>
          </c:extLst>
        </c:dLbl>
      </c:pivotFmt>
      <c:pivotFmt>
        <c:idx val="22"/>
        <c:dLbl>
          <c:idx val="0"/>
          <c:showLegendKey val="0"/>
          <c:showVal val="0"/>
          <c:showCatName val="0"/>
          <c:showSerName val="0"/>
          <c:showPercent val="0"/>
          <c:showBubbleSize val="0"/>
          <c:extLst>
            <c:ext xmlns:c15="http://schemas.microsoft.com/office/drawing/2012/chart" uri="{CE6537A1-D6FC-4f65-9D91-7224C49458BB}"/>
          </c:extLst>
        </c:dLbl>
      </c:pivotFmt>
      <c:pivotFmt>
        <c:idx val="23"/>
        <c:dLbl>
          <c:idx val="0"/>
          <c:showLegendKey val="0"/>
          <c:showVal val="0"/>
          <c:showCatName val="0"/>
          <c:showSerName val="0"/>
          <c:showPercent val="0"/>
          <c:showBubbleSize val="0"/>
          <c:extLst>
            <c:ext xmlns:c15="http://schemas.microsoft.com/office/drawing/2012/chart" uri="{CE6537A1-D6FC-4f65-9D91-7224C49458BB}"/>
          </c:extLst>
        </c:dLbl>
      </c:pivotFmt>
      <c:pivotFmt>
        <c:idx val="24"/>
        <c:dLbl>
          <c:idx val="0"/>
          <c:showLegendKey val="0"/>
          <c:showVal val="0"/>
          <c:showCatName val="0"/>
          <c:showSerName val="0"/>
          <c:showPercent val="0"/>
          <c:showBubbleSize val="0"/>
          <c:extLst>
            <c:ext xmlns:c15="http://schemas.microsoft.com/office/drawing/2012/chart" uri="{CE6537A1-D6FC-4f65-9D91-7224C49458BB}"/>
          </c:extLst>
        </c:dLbl>
      </c:pivotFmt>
      <c:pivotFmt>
        <c:idx val="25"/>
        <c:dLbl>
          <c:idx val="0"/>
          <c:showLegendKey val="0"/>
          <c:showVal val="0"/>
          <c:showCatName val="0"/>
          <c:showSerName val="0"/>
          <c:showPercent val="0"/>
          <c:showBubbleSize val="0"/>
          <c:extLst>
            <c:ext xmlns:c15="http://schemas.microsoft.com/office/drawing/2012/chart" uri="{CE6537A1-D6FC-4f65-9D91-7224C49458BB}"/>
          </c:extLst>
        </c:dLbl>
      </c:pivotFmt>
      <c:pivotFmt>
        <c:idx val="26"/>
        <c:dLbl>
          <c:idx val="0"/>
          <c:showLegendKey val="0"/>
          <c:showVal val="0"/>
          <c:showCatName val="0"/>
          <c:showSerName val="0"/>
          <c:showPercent val="0"/>
          <c:showBubbleSize val="0"/>
          <c:extLst>
            <c:ext xmlns:c15="http://schemas.microsoft.com/office/drawing/2012/chart" uri="{CE6537A1-D6FC-4f65-9D91-7224C49458BB}"/>
          </c:extLst>
        </c:dLbl>
      </c:pivotFmt>
      <c:pivotFmt>
        <c:idx val="27"/>
        <c:dLbl>
          <c:idx val="0"/>
          <c:showLegendKey val="0"/>
          <c:showVal val="0"/>
          <c:showCatName val="0"/>
          <c:showSerName val="0"/>
          <c:showPercent val="0"/>
          <c:showBubbleSize val="0"/>
          <c:extLst>
            <c:ext xmlns:c15="http://schemas.microsoft.com/office/drawing/2012/chart" uri="{CE6537A1-D6FC-4f65-9D91-7224C49458BB}"/>
          </c:extLst>
        </c:dLbl>
      </c:pivotFmt>
      <c:pivotFmt>
        <c:idx val="28"/>
        <c:dLbl>
          <c:idx val="0"/>
          <c:showLegendKey val="0"/>
          <c:showVal val="0"/>
          <c:showCatName val="0"/>
          <c:showSerName val="0"/>
          <c:showPercent val="0"/>
          <c:showBubbleSize val="0"/>
          <c:extLst>
            <c:ext xmlns:c15="http://schemas.microsoft.com/office/drawing/2012/chart" uri="{CE6537A1-D6FC-4f65-9D91-7224C49458BB}"/>
          </c:extLst>
        </c:dLbl>
      </c:pivotFmt>
      <c:pivotFmt>
        <c:idx val="29"/>
        <c:dLbl>
          <c:idx val="0"/>
          <c:showLegendKey val="0"/>
          <c:showVal val="0"/>
          <c:showCatName val="0"/>
          <c:showSerName val="0"/>
          <c:showPercent val="0"/>
          <c:showBubbleSize val="0"/>
          <c:extLst>
            <c:ext xmlns:c15="http://schemas.microsoft.com/office/drawing/2012/chart" uri="{CE6537A1-D6FC-4f65-9D91-7224C49458BB}"/>
          </c:extLst>
        </c:dLbl>
      </c:pivotFmt>
      <c:pivotFmt>
        <c:idx val="30"/>
        <c:dLbl>
          <c:idx val="0"/>
          <c:showLegendKey val="0"/>
          <c:showVal val="0"/>
          <c:showCatName val="0"/>
          <c:showSerName val="0"/>
          <c:showPercent val="0"/>
          <c:showBubbleSize val="0"/>
          <c:extLst>
            <c:ext xmlns:c15="http://schemas.microsoft.com/office/drawing/2012/chart" uri="{CE6537A1-D6FC-4f65-9D91-7224C49458BB}"/>
          </c:extLst>
        </c:dLbl>
      </c:pivotFmt>
      <c:pivotFmt>
        <c:idx val="31"/>
        <c:dLbl>
          <c:idx val="0"/>
          <c:showLegendKey val="0"/>
          <c:showVal val="0"/>
          <c:showCatName val="0"/>
          <c:showSerName val="0"/>
          <c:showPercent val="0"/>
          <c:showBubbleSize val="0"/>
          <c:extLst>
            <c:ext xmlns:c15="http://schemas.microsoft.com/office/drawing/2012/chart" uri="{CE6537A1-D6FC-4f65-9D91-7224C49458BB}"/>
          </c:extLst>
        </c:dLbl>
      </c:pivotFmt>
      <c:pivotFmt>
        <c:idx val="32"/>
        <c:dLbl>
          <c:idx val="0"/>
          <c:showLegendKey val="0"/>
          <c:showVal val="0"/>
          <c:showCatName val="0"/>
          <c:showSerName val="0"/>
          <c:showPercent val="0"/>
          <c:showBubbleSize val="0"/>
          <c:extLst>
            <c:ext xmlns:c15="http://schemas.microsoft.com/office/drawing/2012/chart" uri="{CE6537A1-D6FC-4f65-9D91-7224C49458BB}"/>
          </c:extLst>
        </c:dLbl>
      </c:pivotFmt>
      <c:pivotFmt>
        <c:idx val="33"/>
        <c:dLbl>
          <c:idx val="0"/>
          <c:showLegendKey val="0"/>
          <c:showVal val="0"/>
          <c:showCatName val="0"/>
          <c:showSerName val="0"/>
          <c:showPercent val="0"/>
          <c:showBubbleSize val="0"/>
          <c:extLst>
            <c:ext xmlns:c15="http://schemas.microsoft.com/office/drawing/2012/chart" uri="{CE6537A1-D6FC-4f65-9D91-7224C49458BB}"/>
          </c:extLst>
        </c:dLbl>
      </c:pivotFmt>
      <c:pivotFmt>
        <c:idx val="34"/>
        <c:dLbl>
          <c:idx val="0"/>
          <c:showLegendKey val="0"/>
          <c:showVal val="0"/>
          <c:showCatName val="0"/>
          <c:showSerName val="0"/>
          <c:showPercent val="0"/>
          <c:showBubbleSize val="0"/>
          <c:extLst>
            <c:ext xmlns:c15="http://schemas.microsoft.com/office/drawing/2012/chart" uri="{CE6537A1-D6FC-4f65-9D91-7224C49458BB}"/>
          </c:extLst>
        </c:dLbl>
      </c:pivotFmt>
      <c:pivotFmt>
        <c:idx val="35"/>
        <c:dLbl>
          <c:idx val="0"/>
          <c:showLegendKey val="0"/>
          <c:showVal val="0"/>
          <c:showCatName val="0"/>
          <c:showSerName val="0"/>
          <c:showPercent val="0"/>
          <c:showBubbleSize val="0"/>
          <c:extLst>
            <c:ext xmlns:c15="http://schemas.microsoft.com/office/drawing/2012/chart" uri="{CE6537A1-D6FC-4f65-9D91-7224C49458BB}"/>
          </c:extLst>
        </c:dLbl>
      </c:pivotFmt>
      <c:pivotFmt>
        <c:idx val="36"/>
        <c:dLbl>
          <c:idx val="0"/>
          <c:showLegendKey val="0"/>
          <c:showVal val="0"/>
          <c:showCatName val="0"/>
          <c:showSerName val="0"/>
          <c:showPercent val="0"/>
          <c:showBubbleSize val="0"/>
          <c:extLst>
            <c:ext xmlns:c15="http://schemas.microsoft.com/office/drawing/2012/chart" uri="{CE6537A1-D6FC-4f65-9D91-7224C49458BB}"/>
          </c:extLst>
        </c:dLbl>
      </c:pivotFmt>
      <c:pivotFmt>
        <c:idx val="37"/>
        <c:dLbl>
          <c:idx val="0"/>
          <c:showLegendKey val="0"/>
          <c:showVal val="0"/>
          <c:showCatName val="0"/>
          <c:showSerName val="0"/>
          <c:showPercent val="0"/>
          <c:showBubbleSize val="0"/>
          <c:extLst>
            <c:ext xmlns:c15="http://schemas.microsoft.com/office/drawing/2012/chart" uri="{CE6537A1-D6FC-4f65-9D91-7224C49458BB}"/>
          </c:extLst>
        </c:dLbl>
      </c:pivotFmt>
      <c:pivotFmt>
        <c:idx val="38"/>
        <c:dLbl>
          <c:idx val="0"/>
          <c:showLegendKey val="0"/>
          <c:showVal val="0"/>
          <c:showCatName val="0"/>
          <c:showSerName val="0"/>
          <c:showPercent val="0"/>
          <c:showBubbleSize val="0"/>
          <c:extLst>
            <c:ext xmlns:c15="http://schemas.microsoft.com/office/drawing/2012/chart" uri="{CE6537A1-D6FC-4f65-9D91-7224C49458BB}"/>
          </c:extLst>
        </c:dLbl>
      </c:pivotFmt>
      <c:pivotFmt>
        <c:idx val="39"/>
        <c:dLbl>
          <c:idx val="0"/>
          <c:showLegendKey val="0"/>
          <c:showVal val="0"/>
          <c:showCatName val="0"/>
          <c:showSerName val="0"/>
          <c:showPercent val="0"/>
          <c:showBubbleSize val="0"/>
          <c:extLst>
            <c:ext xmlns:c15="http://schemas.microsoft.com/office/drawing/2012/chart" uri="{CE6537A1-D6FC-4f65-9D91-7224C49458BB}"/>
          </c:extLst>
        </c:dLbl>
      </c:pivotFmt>
      <c:pivotFmt>
        <c:idx val="40"/>
        <c:dLbl>
          <c:idx val="0"/>
          <c:showLegendKey val="0"/>
          <c:showVal val="0"/>
          <c:showCatName val="0"/>
          <c:showSerName val="0"/>
          <c:showPercent val="0"/>
          <c:showBubbleSize val="0"/>
          <c:extLst>
            <c:ext xmlns:c15="http://schemas.microsoft.com/office/drawing/2012/chart" uri="{CE6537A1-D6FC-4f65-9D91-7224C49458BB}"/>
          </c:extLst>
        </c:dLbl>
      </c:pivotFmt>
      <c:pivotFmt>
        <c:idx val="41"/>
        <c:dLbl>
          <c:idx val="0"/>
          <c:showLegendKey val="0"/>
          <c:showVal val="0"/>
          <c:showCatName val="0"/>
          <c:showSerName val="0"/>
          <c:showPercent val="0"/>
          <c:showBubbleSize val="0"/>
          <c:extLst>
            <c:ext xmlns:c15="http://schemas.microsoft.com/office/drawing/2012/chart" uri="{CE6537A1-D6FC-4f65-9D91-7224C49458BB}"/>
          </c:extLst>
        </c:dLbl>
      </c:pivotFmt>
      <c:pivotFmt>
        <c:idx val="42"/>
        <c:dLbl>
          <c:idx val="0"/>
          <c:showLegendKey val="0"/>
          <c:showVal val="0"/>
          <c:showCatName val="0"/>
          <c:showSerName val="0"/>
          <c:showPercent val="0"/>
          <c:showBubbleSize val="0"/>
          <c:extLst>
            <c:ext xmlns:c15="http://schemas.microsoft.com/office/drawing/2012/chart" uri="{CE6537A1-D6FC-4f65-9D91-7224C49458BB}"/>
          </c:extLst>
        </c:dLbl>
      </c:pivotFmt>
      <c:pivotFmt>
        <c:idx val="43"/>
        <c:dLbl>
          <c:idx val="0"/>
          <c:showLegendKey val="0"/>
          <c:showVal val="0"/>
          <c:showCatName val="0"/>
          <c:showSerName val="0"/>
          <c:showPercent val="0"/>
          <c:showBubbleSize val="0"/>
          <c:extLst>
            <c:ext xmlns:c15="http://schemas.microsoft.com/office/drawing/2012/chart" uri="{CE6537A1-D6FC-4f65-9D91-7224C49458BB}"/>
          </c:extLst>
        </c:dLbl>
      </c:pivotFmt>
      <c:pivotFmt>
        <c:idx val="4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a:solidFill>
                <a:schemeClr val="accent1"/>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w="9525">
              <a:solidFill>
                <a:schemeClr val="accent2"/>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w="9525">
              <a:solidFill>
                <a:schemeClr val="accent3"/>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w="9525">
              <a:solidFill>
                <a:schemeClr val="accent4"/>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w="9525">
              <a:solidFill>
                <a:schemeClr val="accent5"/>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w="9525">
              <a:solidFill>
                <a:schemeClr val="accent6"/>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w="9525">
              <a:solidFill>
                <a:schemeClr val="accent1">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w="9525">
              <a:solidFill>
                <a:schemeClr val="accent2">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w="9525">
              <a:solidFill>
                <a:schemeClr val="accent3">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circle"/>
          <c:size val="6"/>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w="9525">
              <a:solidFill>
                <a:schemeClr val="accent4">
                  <a:lumMod val="60000"/>
                </a:schemeClr>
              </a:solidFill>
              <a:round/>
            </a:ln>
            <a:effectLst>
              <a:outerShdw blurRad="57150" dist="19050" dir="5400000" algn="ctr" rotWithShape="0">
                <a:srgbClr val="000000">
                  <a:alpha val="63000"/>
                </a:srgb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4"/>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5"/>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7"/>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8"/>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9"/>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1"/>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2"/>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3"/>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manualLayout>
          <c:layoutTarget val="inner"/>
          <c:xMode val="edge"/>
          <c:yMode val="edge"/>
          <c:x val="5.3471760706320898E-2"/>
          <c:y val="0.14108994422623472"/>
          <c:w val="0.94121179637821351"/>
          <c:h val="0.59718629863092143"/>
        </c:manualLayout>
      </c:layout>
      <c:barChart>
        <c:barDir val="col"/>
        <c:grouping val="clustered"/>
        <c:varyColors val="0"/>
        <c:ser>
          <c:idx val="0"/>
          <c:order val="0"/>
          <c:tx>
            <c:strRef>
              <c:f>'Ethnicity per Team'!$B$4:$B$5</c:f>
              <c:strCache>
                <c:ptCount val="1"/>
                <c:pt idx="0">
                  <c:v>Asian - Bangladesh</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Team'!$B$6:$B$24</c:f>
              <c:numCache>
                <c:formatCode>0.00%</c:formatCode>
                <c:ptCount val="18"/>
                <c:pt idx="0">
                  <c:v>0</c:v>
                </c:pt>
                <c:pt idx="1">
                  <c:v>0</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0376-4AA8-B3E9-836885D197EB}"/>
            </c:ext>
          </c:extLst>
        </c:ser>
        <c:ser>
          <c:idx val="1"/>
          <c:order val="1"/>
          <c:tx>
            <c:strRef>
              <c:f>'Ethnicity per Team'!$C$4:$C$5</c:f>
              <c:strCache>
                <c:ptCount val="1"/>
                <c:pt idx="0">
                  <c:v>Black - Other</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Team'!$C$6:$C$24</c:f>
              <c:numCache>
                <c:formatCode>0.00%</c:formatCode>
                <c:ptCount val="18"/>
                <c:pt idx="0">
                  <c:v>0</c:v>
                </c:pt>
                <c:pt idx="1">
                  <c:v>0</c:v>
                </c:pt>
                <c:pt idx="2">
                  <c:v>0</c:v>
                </c:pt>
                <c:pt idx="3">
                  <c:v>0</c:v>
                </c:pt>
                <c:pt idx="4">
                  <c:v>0</c:v>
                </c:pt>
                <c:pt idx="5">
                  <c:v>0.1</c:v>
                </c:pt>
                <c:pt idx="6">
                  <c:v>0</c:v>
                </c:pt>
                <c:pt idx="7">
                  <c:v>0</c:v>
                </c:pt>
                <c:pt idx="8">
                  <c:v>0</c:v>
                </c:pt>
                <c:pt idx="9">
                  <c:v>0</c:v>
                </c:pt>
                <c:pt idx="10">
                  <c:v>0.1111111111111111</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0376-4AA8-B3E9-836885D197EB}"/>
            </c:ext>
          </c:extLst>
        </c:ser>
        <c:ser>
          <c:idx val="2"/>
          <c:order val="2"/>
          <c:tx>
            <c:strRef>
              <c:f>'Ethnicity per Team'!$D$4:$D$5</c:f>
              <c:strCache>
                <c:ptCount val="1"/>
                <c:pt idx="0">
                  <c:v>Chinese</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Team'!$D$6:$D$24</c:f>
              <c:numCache>
                <c:formatCode>0.00%</c:formatCode>
                <c:ptCount val="18"/>
                <c:pt idx="0">
                  <c:v>0</c:v>
                </c:pt>
                <c:pt idx="1">
                  <c:v>0</c:v>
                </c:pt>
                <c:pt idx="2">
                  <c:v>6.6666666666666666E-2</c:v>
                </c:pt>
                <c:pt idx="3">
                  <c:v>0</c:v>
                </c:pt>
                <c:pt idx="4">
                  <c:v>0</c:v>
                </c:pt>
                <c:pt idx="5">
                  <c:v>0</c:v>
                </c:pt>
                <c:pt idx="6">
                  <c:v>0</c:v>
                </c:pt>
                <c:pt idx="7">
                  <c:v>0</c:v>
                </c:pt>
                <c:pt idx="8">
                  <c:v>0</c:v>
                </c:pt>
                <c:pt idx="9">
                  <c:v>0</c:v>
                </c:pt>
                <c:pt idx="10">
                  <c:v>0</c:v>
                </c:pt>
                <c:pt idx="11">
                  <c:v>0</c:v>
                </c:pt>
                <c:pt idx="12">
                  <c:v>0</c:v>
                </c:pt>
                <c:pt idx="13">
                  <c:v>9.0909090909090912E-2</c:v>
                </c:pt>
                <c:pt idx="14">
                  <c:v>0</c:v>
                </c:pt>
                <c:pt idx="15">
                  <c:v>0</c:v>
                </c:pt>
                <c:pt idx="16">
                  <c:v>0</c:v>
                </c:pt>
                <c:pt idx="17">
                  <c:v>0</c:v>
                </c:pt>
              </c:numCache>
            </c:numRef>
          </c:val>
          <c:extLst>
            <c:ext xmlns:c16="http://schemas.microsoft.com/office/drawing/2014/chart" uri="{C3380CC4-5D6E-409C-BE32-E72D297353CC}">
              <c16:uniqueId val="{00000002-0376-4AA8-B3E9-836885D197EB}"/>
            </c:ext>
          </c:extLst>
        </c:ser>
        <c:ser>
          <c:idx val="3"/>
          <c:order val="3"/>
          <c:tx>
            <c:strRef>
              <c:f>'Ethnicity per Team'!$E$4:$E$5</c:f>
              <c:strCache>
                <c:ptCount val="1"/>
                <c:pt idx="0">
                  <c:v>Indian</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Team'!$E$6:$E$24</c:f>
              <c:numCache>
                <c:formatCode>0.00%</c:formatCode>
                <c:ptCount val="18"/>
                <c:pt idx="0">
                  <c:v>0</c:v>
                </c:pt>
                <c:pt idx="1">
                  <c:v>0.14285714285714285</c:v>
                </c:pt>
                <c:pt idx="2">
                  <c:v>0</c:v>
                </c:pt>
                <c:pt idx="3">
                  <c:v>0.2</c:v>
                </c:pt>
                <c:pt idx="4">
                  <c:v>0</c:v>
                </c:pt>
                <c:pt idx="5">
                  <c:v>0.1</c:v>
                </c:pt>
                <c:pt idx="6">
                  <c:v>0.33333333333333331</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0376-4AA8-B3E9-836885D197EB}"/>
            </c:ext>
          </c:extLst>
        </c:ser>
        <c:ser>
          <c:idx val="4"/>
          <c:order val="4"/>
          <c:tx>
            <c:strRef>
              <c:f>'Ethnicity per Team'!$F$4:$F$5</c:f>
              <c:strCache>
                <c:ptCount val="1"/>
                <c:pt idx="0">
                  <c:v>Mixed - Other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Team'!$F$6:$F$24</c:f>
              <c:numCache>
                <c:formatCode>0.00%</c:formatCode>
                <c:ptCount val="18"/>
                <c:pt idx="0">
                  <c:v>0</c:v>
                </c:pt>
                <c:pt idx="1">
                  <c:v>0.14285714285714285</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0376-4AA8-B3E9-836885D197EB}"/>
            </c:ext>
          </c:extLst>
        </c:ser>
        <c:ser>
          <c:idx val="5"/>
          <c:order val="5"/>
          <c:tx>
            <c:strRef>
              <c:f>'Ethnicity per Team'!$G$4:$G$5</c:f>
              <c:strCache>
                <c:ptCount val="1"/>
                <c:pt idx="0">
                  <c:v>Pakistani</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Team'!$G$6:$G$24</c:f>
              <c:numCache>
                <c:formatCode>0.00%</c:formatCode>
                <c:ptCount val="18"/>
                <c:pt idx="0">
                  <c:v>0</c:v>
                </c:pt>
                <c:pt idx="1">
                  <c:v>0</c:v>
                </c:pt>
                <c:pt idx="2">
                  <c:v>0.13333333333333333</c:v>
                </c:pt>
                <c:pt idx="3">
                  <c:v>0</c:v>
                </c:pt>
                <c:pt idx="4">
                  <c:v>0</c:v>
                </c:pt>
                <c:pt idx="5">
                  <c:v>0</c:v>
                </c:pt>
                <c:pt idx="6">
                  <c:v>0</c:v>
                </c:pt>
                <c:pt idx="7">
                  <c:v>0</c:v>
                </c:pt>
                <c:pt idx="8">
                  <c:v>0</c:v>
                </c:pt>
                <c:pt idx="9">
                  <c:v>0</c:v>
                </c:pt>
                <c:pt idx="10">
                  <c:v>0</c:v>
                </c:pt>
                <c:pt idx="11">
                  <c:v>0</c:v>
                </c:pt>
                <c:pt idx="12">
                  <c:v>0</c:v>
                </c:pt>
                <c:pt idx="13">
                  <c:v>0</c:v>
                </c:pt>
                <c:pt idx="14">
                  <c:v>1.0101010101010102E-2</c:v>
                </c:pt>
                <c:pt idx="15">
                  <c:v>0</c:v>
                </c:pt>
                <c:pt idx="16">
                  <c:v>0</c:v>
                </c:pt>
                <c:pt idx="17">
                  <c:v>0</c:v>
                </c:pt>
              </c:numCache>
            </c:numRef>
          </c:val>
          <c:extLst>
            <c:ext xmlns:c16="http://schemas.microsoft.com/office/drawing/2014/chart" uri="{C3380CC4-5D6E-409C-BE32-E72D297353CC}">
              <c16:uniqueId val="{00000005-0376-4AA8-B3E9-836885D197EB}"/>
            </c:ext>
          </c:extLst>
        </c:ser>
        <c:ser>
          <c:idx val="6"/>
          <c:order val="6"/>
          <c:tx>
            <c:strRef>
              <c:f>'Ethnicity per Team'!$H$4:$H$5</c:f>
              <c:strCache>
                <c:ptCount val="1"/>
                <c:pt idx="0">
                  <c:v>White and Black Caribbean</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Team'!$H$6:$H$24</c:f>
              <c:numCache>
                <c:formatCode>0.00%</c:formatCode>
                <c:ptCount val="18"/>
                <c:pt idx="0">
                  <c:v>0</c:v>
                </c:pt>
                <c:pt idx="1">
                  <c:v>0.14285714285714285</c:v>
                </c:pt>
                <c:pt idx="2">
                  <c:v>0</c:v>
                </c:pt>
                <c:pt idx="3">
                  <c:v>0</c:v>
                </c:pt>
                <c:pt idx="4">
                  <c:v>0</c:v>
                </c:pt>
                <c:pt idx="5">
                  <c:v>0</c:v>
                </c:pt>
                <c:pt idx="6">
                  <c:v>0</c:v>
                </c:pt>
                <c:pt idx="7">
                  <c:v>0</c:v>
                </c:pt>
                <c:pt idx="8">
                  <c:v>5.5555555555555552E-2</c:v>
                </c:pt>
                <c:pt idx="9">
                  <c:v>0</c:v>
                </c:pt>
                <c:pt idx="10">
                  <c:v>0</c:v>
                </c:pt>
                <c:pt idx="11">
                  <c:v>0</c:v>
                </c:pt>
                <c:pt idx="12">
                  <c:v>0</c:v>
                </c:pt>
                <c:pt idx="13">
                  <c:v>0</c:v>
                </c:pt>
                <c:pt idx="14">
                  <c:v>0</c:v>
                </c:pt>
                <c:pt idx="15">
                  <c:v>0</c:v>
                </c:pt>
                <c:pt idx="16">
                  <c:v>9.0909090909090912E-2</c:v>
                </c:pt>
                <c:pt idx="17">
                  <c:v>0</c:v>
                </c:pt>
              </c:numCache>
            </c:numRef>
          </c:val>
          <c:extLst>
            <c:ext xmlns:c16="http://schemas.microsoft.com/office/drawing/2014/chart" uri="{C3380CC4-5D6E-409C-BE32-E72D297353CC}">
              <c16:uniqueId val="{00000006-0376-4AA8-B3E9-836885D197EB}"/>
            </c:ext>
          </c:extLst>
        </c:ser>
        <c:ser>
          <c:idx val="7"/>
          <c:order val="7"/>
          <c:tx>
            <c:strRef>
              <c:f>'Ethnicity per Team'!$I$4:$I$5</c:f>
              <c:strCache>
                <c:ptCount val="1"/>
                <c:pt idx="0">
                  <c:v>White British</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Team'!$I$6:$I$24</c:f>
              <c:numCache>
                <c:formatCode>0.00%</c:formatCode>
                <c:ptCount val="18"/>
                <c:pt idx="0">
                  <c:v>0.77777777777777779</c:v>
                </c:pt>
                <c:pt idx="1">
                  <c:v>0.5714285714285714</c:v>
                </c:pt>
                <c:pt idx="2">
                  <c:v>0.8</c:v>
                </c:pt>
                <c:pt idx="3">
                  <c:v>0.8</c:v>
                </c:pt>
                <c:pt idx="4">
                  <c:v>1</c:v>
                </c:pt>
                <c:pt idx="5">
                  <c:v>0.8</c:v>
                </c:pt>
                <c:pt idx="6">
                  <c:v>0.66666666666666663</c:v>
                </c:pt>
                <c:pt idx="7">
                  <c:v>0.91666666666666663</c:v>
                </c:pt>
                <c:pt idx="8">
                  <c:v>0.88888888888888884</c:v>
                </c:pt>
                <c:pt idx="9">
                  <c:v>0.89473684210526316</c:v>
                </c:pt>
                <c:pt idx="10">
                  <c:v>0.88888888888888884</c:v>
                </c:pt>
                <c:pt idx="11">
                  <c:v>1</c:v>
                </c:pt>
                <c:pt idx="12">
                  <c:v>1</c:v>
                </c:pt>
                <c:pt idx="13">
                  <c:v>0.90909090909090906</c:v>
                </c:pt>
                <c:pt idx="14">
                  <c:v>0.98989898989898994</c:v>
                </c:pt>
                <c:pt idx="15">
                  <c:v>1</c:v>
                </c:pt>
                <c:pt idx="16">
                  <c:v>0.90909090909090906</c:v>
                </c:pt>
                <c:pt idx="17">
                  <c:v>0.81818181818181823</c:v>
                </c:pt>
              </c:numCache>
            </c:numRef>
          </c:val>
          <c:extLst>
            <c:ext xmlns:c16="http://schemas.microsoft.com/office/drawing/2014/chart" uri="{C3380CC4-5D6E-409C-BE32-E72D297353CC}">
              <c16:uniqueId val="{00000007-0376-4AA8-B3E9-836885D197EB}"/>
            </c:ext>
          </c:extLst>
        </c:ser>
        <c:ser>
          <c:idx val="8"/>
          <c:order val="8"/>
          <c:tx>
            <c:strRef>
              <c:f>'Ethnicity per Team'!$J$4:$J$5</c:f>
              <c:strCache>
                <c:ptCount val="1"/>
                <c:pt idx="0">
                  <c:v>White Irish</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Team'!$J$6:$J$24</c:f>
              <c:numCache>
                <c:formatCode>0.00%</c:formatCode>
                <c:ptCount val="18"/>
                <c:pt idx="0">
                  <c:v>0.1111111111111111</c:v>
                </c:pt>
                <c:pt idx="1">
                  <c:v>0</c:v>
                </c:pt>
                <c:pt idx="2">
                  <c:v>0</c:v>
                </c:pt>
                <c:pt idx="3">
                  <c:v>0</c:v>
                </c:pt>
                <c:pt idx="4">
                  <c:v>0</c:v>
                </c:pt>
                <c:pt idx="5">
                  <c:v>0</c:v>
                </c:pt>
                <c:pt idx="6">
                  <c:v>0</c:v>
                </c:pt>
                <c:pt idx="7">
                  <c:v>0</c:v>
                </c:pt>
                <c:pt idx="8">
                  <c:v>0</c:v>
                </c:pt>
                <c:pt idx="9">
                  <c:v>5.2631578947368418E-2</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0376-4AA8-B3E9-836885D197EB}"/>
            </c:ext>
          </c:extLst>
        </c:ser>
        <c:ser>
          <c:idx val="9"/>
          <c:order val="9"/>
          <c:tx>
            <c:strRef>
              <c:f>'Ethnicity per Team'!$K$4:$K$5</c:f>
              <c:strCache>
                <c:ptCount val="1"/>
                <c:pt idx="0">
                  <c:v>White Other</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'Ethnicity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'Ethnicity per Team'!$K$6:$K$24</c:f>
              <c:numCache>
                <c:formatCode>0.00%</c:formatCode>
                <c:ptCount val="18"/>
                <c:pt idx="0">
                  <c:v>0.1111111111111111</c:v>
                </c:pt>
                <c:pt idx="1">
                  <c:v>0</c:v>
                </c:pt>
                <c:pt idx="2">
                  <c:v>0</c:v>
                </c:pt>
                <c:pt idx="3">
                  <c:v>0</c:v>
                </c:pt>
                <c:pt idx="4">
                  <c:v>0</c:v>
                </c:pt>
                <c:pt idx="5">
                  <c:v>0</c:v>
                </c:pt>
                <c:pt idx="6">
                  <c:v>0</c:v>
                </c:pt>
                <c:pt idx="7">
                  <c:v>8.3333333333333329E-2</c:v>
                </c:pt>
                <c:pt idx="8">
                  <c:v>0</c:v>
                </c:pt>
                <c:pt idx="9">
                  <c:v>5.2631578947368418E-2</c:v>
                </c:pt>
                <c:pt idx="10">
                  <c:v>0</c:v>
                </c:pt>
                <c:pt idx="11">
                  <c:v>0</c:v>
                </c:pt>
                <c:pt idx="12">
                  <c:v>0</c:v>
                </c:pt>
                <c:pt idx="13">
                  <c:v>0</c:v>
                </c:pt>
                <c:pt idx="14">
                  <c:v>0</c:v>
                </c:pt>
                <c:pt idx="15">
                  <c:v>0</c:v>
                </c:pt>
                <c:pt idx="16">
                  <c:v>0</c:v>
                </c:pt>
                <c:pt idx="17">
                  <c:v>0.18181818181818182</c:v>
                </c:pt>
              </c:numCache>
            </c:numRef>
          </c:val>
          <c:extLst>
            <c:ext xmlns:c16="http://schemas.microsoft.com/office/drawing/2014/chart" uri="{C3380CC4-5D6E-409C-BE32-E72D297353CC}">
              <c16:uniqueId val="{00000009-0376-4AA8-B3E9-836885D197EB}"/>
            </c:ext>
          </c:extLst>
        </c:ser>
        <c:dLbls>
          <c:showLegendKey val="0"/>
          <c:showVal val="0"/>
          <c:showCatName val="0"/>
          <c:showSerName val="0"/>
          <c:showPercent val="0"/>
          <c:showBubbleSize val="0"/>
        </c:dLbls>
        <c:gapWidth val="100"/>
        <c:overlap val="-24"/>
        <c:axId val="860868127"/>
        <c:axId val="434302399"/>
      </c:barChart>
      <c:catAx>
        <c:axId val="860868127"/>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Teams</a:t>
                </a:r>
              </a:p>
            </c:rich>
          </c:tx>
          <c:layout>
            <c:manualLayout>
              <c:xMode val="edge"/>
              <c:yMode val="edge"/>
              <c:x val="0.53300293904066165"/>
              <c:y val="0.803212481448175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302399"/>
        <c:crosses val="autoZero"/>
        <c:auto val="1"/>
        <c:lblAlgn val="ctr"/>
        <c:lblOffset val="100"/>
        <c:noMultiLvlLbl val="0"/>
      </c:catAx>
      <c:valAx>
        <c:axId val="434302399"/>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0868127"/>
        <c:crosses val="autoZero"/>
        <c:crossBetween val="between"/>
      </c:valAx>
      <c:spPr>
        <a:noFill/>
        <a:ln>
          <a:noFill/>
        </a:ln>
        <a:effectLst/>
      </c:spPr>
    </c:plotArea>
    <c:legend>
      <c:legendPos val="r"/>
      <c:layout>
        <c:manualLayout>
          <c:xMode val="edge"/>
          <c:yMode val="edge"/>
          <c:x val="0.17107076060764184"/>
          <c:y val="0.87157501312335961"/>
          <c:w val="0.7467932294017976"/>
          <c:h val="0.1284249868766404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2023.xlsx]Disability per Team!PivotTable4</c:name>
    <c:fmtId val="13"/>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Disability</a:t>
            </a:r>
            <a:r>
              <a:rPr lang="en-GB" baseline="0"/>
              <a:t> percentage by teams</a:t>
            </a:r>
            <a:endParaRPr lang="en-GB"/>
          </a:p>
        </c:rich>
      </c:tx>
      <c:layout>
        <c:manualLayout>
          <c:xMode val="edge"/>
          <c:yMode val="edge"/>
          <c:x val="0.2464436073565256"/>
          <c:y val="3.114725731095345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'Disability per Team'!$B$4:$B$5</c:f>
              <c:strCache>
                <c:ptCount val="1"/>
                <c:pt idx="0">
                  <c:v>Disabled</c:v>
                </c:pt>
              </c:strCache>
            </c:strRef>
          </c:tx>
          <c:spPr>
            <a:solidFill>
              <a:schemeClr val="accent1"/>
            </a:solidFill>
            <a:ln>
              <a:noFill/>
            </a:ln>
            <a:effectLst/>
          </c:spPr>
          <c:invertIfNegative val="0"/>
          <c:cat>
            <c:strRef>
              <c:f>'Disability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per Team'!$B$6:$B$24</c:f>
              <c:numCache>
                <c:formatCode>0.00%</c:formatCode>
                <c:ptCount val="18"/>
                <c:pt idx="0">
                  <c:v>0</c:v>
                </c:pt>
                <c:pt idx="1">
                  <c:v>0.14285714285714285</c:v>
                </c:pt>
                <c:pt idx="2">
                  <c:v>0.2</c:v>
                </c:pt>
                <c:pt idx="3">
                  <c:v>0</c:v>
                </c:pt>
                <c:pt idx="4">
                  <c:v>0</c:v>
                </c:pt>
                <c:pt idx="5">
                  <c:v>0.2</c:v>
                </c:pt>
                <c:pt idx="6">
                  <c:v>0</c:v>
                </c:pt>
                <c:pt idx="7">
                  <c:v>8.3333333333333329E-2</c:v>
                </c:pt>
                <c:pt idx="8">
                  <c:v>0.1111111111111111</c:v>
                </c:pt>
                <c:pt idx="9">
                  <c:v>5.2631578947368418E-2</c:v>
                </c:pt>
                <c:pt idx="10">
                  <c:v>0.22222222222222221</c:v>
                </c:pt>
                <c:pt idx="11">
                  <c:v>0.1</c:v>
                </c:pt>
                <c:pt idx="12">
                  <c:v>0</c:v>
                </c:pt>
                <c:pt idx="13">
                  <c:v>0.18181818181818182</c:v>
                </c:pt>
                <c:pt idx="14">
                  <c:v>5.0505050505050504E-2</c:v>
                </c:pt>
                <c:pt idx="15">
                  <c:v>0</c:v>
                </c:pt>
                <c:pt idx="16">
                  <c:v>0</c:v>
                </c:pt>
                <c:pt idx="17">
                  <c:v>9.0909090909090912E-2</c:v>
                </c:pt>
              </c:numCache>
            </c:numRef>
          </c:val>
          <c:extLst>
            <c:ext xmlns:c16="http://schemas.microsoft.com/office/drawing/2014/chart" uri="{C3380CC4-5D6E-409C-BE32-E72D297353CC}">
              <c16:uniqueId val="{00000000-6C7C-44C0-9AC5-D75334529243}"/>
            </c:ext>
          </c:extLst>
        </c:ser>
        <c:ser>
          <c:idx val="1"/>
          <c:order val="1"/>
          <c:tx>
            <c:strRef>
              <c:f>'Disability per Team'!$C$4:$C$5</c:f>
              <c:strCache>
                <c:ptCount val="1"/>
                <c:pt idx="0">
                  <c:v>Not disabled</c:v>
                </c:pt>
              </c:strCache>
            </c:strRef>
          </c:tx>
          <c:spPr>
            <a:solidFill>
              <a:schemeClr val="accent2"/>
            </a:solidFill>
            <a:ln>
              <a:noFill/>
            </a:ln>
            <a:effectLst/>
          </c:spPr>
          <c:invertIfNegative val="0"/>
          <c:cat>
            <c:strRef>
              <c:f>'Disability per Team'!$A$6:$A$24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'Disability per Team'!$C$6:$C$24</c:f>
              <c:numCache>
                <c:formatCode>0.00%</c:formatCode>
                <c:ptCount val="18"/>
                <c:pt idx="0">
                  <c:v>1</c:v>
                </c:pt>
                <c:pt idx="1">
                  <c:v>0.8571428571428571</c:v>
                </c:pt>
                <c:pt idx="2">
                  <c:v>0.8</c:v>
                </c:pt>
                <c:pt idx="3">
                  <c:v>1</c:v>
                </c:pt>
                <c:pt idx="4">
                  <c:v>1</c:v>
                </c:pt>
                <c:pt idx="5">
                  <c:v>0.8</c:v>
                </c:pt>
                <c:pt idx="6">
                  <c:v>1</c:v>
                </c:pt>
                <c:pt idx="7">
                  <c:v>0.91666666666666663</c:v>
                </c:pt>
                <c:pt idx="8">
                  <c:v>0.88888888888888884</c:v>
                </c:pt>
                <c:pt idx="9">
                  <c:v>0.94736842105263153</c:v>
                </c:pt>
                <c:pt idx="10">
                  <c:v>0.77777777777777779</c:v>
                </c:pt>
                <c:pt idx="11">
                  <c:v>0.9</c:v>
                </c:pt>
                <c:pt idx="12">
                  <c:v>1</c:v>
                </c:pt>
                <c:pt idx="13">
                  <c:v>0.81818181818181823</c:v>
                </c:pt>
                <c:pt idx="14">
                  <c:v>0.9494949494949495</c:v>
                </c:pt>
                <c:pt idx="15">
                  <c:v>1</c:v>
                </c:pt>
                <c:pt idx="16">
                  <c:v>1</c:v>
                </c:pt>
                <c:pt idx="17">
                  <c:v>0.90909090909090906</c:v>
                </c:pt>
              </c:numCache>
            </c:numRef>
          </c:val>
          <c:extLst>
            <c:ext xmlns:c16="http://schemas.microsoft.com/office/drawing/2014/chart" uri="{C3380CC4-5D6E-409C-BE32-E72D297353CC}">
              <c16:uniqueId val="{00000001-6C7C-44C0-9AC5-D75334529243}"/>
            </c:ext>
          </c:extLst>
        </c:ser>
        <c:dLbls>
          <c:showLegendKey val="0"/>
          <c:showVal val="0"/>
          <c:showCatName val="0"/>
          <c:showSerName val="0"/>
          <c:showPercent val="0"/>
          <c:showBubbleSize val="0"/>
        </c:dLbls>
        <c:gapWidth val="150"/>
        <c:axId val="1064072367"/>
        <c:axId val="862035503"/>
      </c:barChart>
      <c:catAx>
        <c:axId val="106407236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Teams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62035503"/>
        <c:crosses val="autoZero"/>
        <c:auto val="1"/>
        <c:lblAlgn val="ctr"/>
        <c:lblOffset val="100"/>
        <c:noMultiLvlLbl val="0"/>
      </c:catAx>
      <c:valAx>
        <c:axId val="862035503"/>
        <c:scaling>
          <c:orientation val="minMax"/>
          <c:max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407236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[Worksheet table 1 Evidence Based Practice 2023.xlsx]Disability Organisation!PivotTable3</c:name>
    <c:fmtId val="10"/>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percentage</a:t>
            </a:r>
            <a:r>
              <a:rPr lang="en-GB" baseline="0"/>
              <a:t> of employees with disabilities</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circle"/>
          <c:size val="6"/>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3"/>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4"/>
        <c:spPr>
          <a:solidFill>
            <a:schemeClr val="accent1"/>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
        <c:idx val="6"/>
        <c:spPr>
          <a:solidFill>
            <a:schemeClr val="accent1"/>
          </a:solidFill>
          <a:ln>
            <a:noFill/>
          </a:ln>
          <a:effectLst/>
          <a:scene3d>
            <a:camera prst="orthographicFront"/>
            <a:lightRig rig="brightRoom" dir="t"/>
          </a:scene3d>
          <a:sp3d prstMaterial="flat">
            <a:bevelT w="50800" h="101600" prst="angle"/>
            <a:contourClr>
              <a:srgbClr val="000000"/>
            </a:contourClr>
          </a:sp3d>
        </c:spPr>
      </c:pivotFmt>
    </c:pivotFmts>
    <c:plotArea>
      <c:layout/>
      <c:pieChart>
        <c:varyColors val="1"/>
        <c:ser>
          <c:idx val="0"/>
          <c:order val="0"/>
          <c:tx>
            <c:strRef>
              <c:f>'Disability Organisation'!$B$3</c:f>
              <c:strCache>
                <c:ptCount val="1"/>
                <c:pt idx="0">
                  <c:v>Total</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F40-4C7C-9490-1F76AB888A0D}"/>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F40-4C7C-9490-1F76AB888A0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'Disability Organisation'!$A$4:$A$6</c:f>
              <c:strCache>
                <c:ptCount val="2"/>
                <c:pt idx="0">
                  <c:v>Disabled</c:v>
                </c:pt>
                <c:pt idx="1">
                  <c:v>Not disabled</c:v>
                </c:pt>
              </c:strCache>
            </c:strRef>
          </c:cat>
          <c:val>
            <c:numRef>
              <c:f>'Disability Organisation'!$B$4:$B$6</c:f>
              <c:numCache>
                <c:formatCode>0.00%</c:formatCode>
                <c:ptCount val="2"/>
                <c:pt idx="0">
                  <c:v>8.0769230769230774E-2</c:v>
                </c:pt>
                <c:pt idx="1">
                  <c:v>0.91923076923076918</c:v>
                </c:pt>
              </c:numCache>
            </c:numRef>
          </c:val>
          <c:extLst>
            <c:ext xmlns:c16="http://schemas.microsoft.com/office/drawing/2014/chart" uri="{C3380CC4-5D6E-409C-BE32-E72D297353CC}">
              <c16:uniqueId val="{00000004-1F40-4C7C-9490-1F76AB888A0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Average Salary across genders and Organisation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Sheet8!$B$1</c:f>
              <c:strCache>
                <c:ptCount val="1"/>
                <c:pt idx="0">
                  <c:v>Average Salary</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Pt>
            <c:idx val="3"/>
            <c:invertIfNegative val="0"/>
            <c:bubble3D val="0"/>
            <c:spPr>
              <a:solidFill>
                <a:srgbClr val="FF0000"/>
              </a:soli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220D-48A1-9E08-998A1685DD5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Sheet8!$A$2:$A$5</c:f>
              <c:strCache>
                <c:ptCount val="4"/>
                <c:pt idx="0">
                  <c:v>Female</c:v>
                </c:pt>
                <c:pt idx="1">
                  <c:v>Male</c:v>
                </c:pt>
                <c:pt idx="2">
                  <c:v>Non-binary</c:v>
                </c:pt>
                <c:pt idx="3">
                  <c:v>Average Salary</c:v>
                </c:pt>
              </c:strCache>
            </c:strRef>
          </c:cat>
          <c:val>
            <c:numRef>
              <c:f>Sheet8!$B$2:$B$5</c:f>
              <c:numCache>
                <c:formatCode>"£"#,##0</c:formatCode>
                <c:ptCount val="4"/>
                <c:pt idx="0">
                  <c:v>31900</c:v>
                </c:pt>
                <c:pt idx="1">
                  <c:v>31812</c:v>
                </c:pt>
                <c:pt idx="2">
                  <c:v>19500</c:v>
                </c:pt>
                <c:pt idx="3">
                  <c:v>31757</c:v>
                </c:pt>
              </c:numCache>
            </c:numRef>
          </c:val>
          <c:extLst>
            <c:ext xmlns:c16="http://schemas.microsoft.com/office/drawing/2014/chart" uri="{C3380CC4-5D6E-409C-BE32-E72D297353CC}">
              <c16:uniqueId val="{00000002-220D-48A1-9E08-998A1685DD58}"/>
            </c:ext>
          </c:extLst>
        </c:ser>
        <c:dLbls>
          <c:dLblPos val="inEnd"/>
          <c:showLegendKey val="0"/>
          <c:showVal val="1"/>
          <c:showCatName val="0"/>
          <c:showSerName val="0"/>
          <c:showPercent val="0"/>
          <c:showBubbleSize val="0"/>
        </c:dLbls>
        <c:gapWidth val="115"/>
        <c:overlap val="-20"/>
        <c:axId val="428739055"/>
        <c:axId val="1090458607"/>
      </c:barChart>
      <c:catAx>
        <c:axId val="428739055"/>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Gender</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0458607"/>
        <c:crosses val="autoZero"/>
        <c:auto val="1"/>
        <c:lblAlgn val="ctr"/>
        <c:lblOffset val="100"/>
        <c:noMultiLvlLbl val="0"/>
      </c:catAx>
      <c:valAx>
        <c:axId val="10904586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Salary (£)</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7390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[Book5]Sheet7!PivotTable18</c:name>
    <c:fmtId val="14"/>
  </c:pivotSource>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Hybrid Working survey</a:t>
            </a:r>
            <a:r>
              <a:rPr lang="en-GB" baseline="0"/>
              <a:t> results</a:t>
            </a:r>
            <a:endParaRPr lang="en-GB"/>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ivotFmts>
      <c:pivotFmt>
        <c:idx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circle"/>
          <c:size val="4"/>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5"/>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7"/>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8"/>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stacked"/>
        <c:varyColors val="0"/>
        <c:ser>
          <c:idx val="0"/>
          <c:order val="0"/>
          <c:tx>
            <c:strRef>
              <c:f>Sheet7!$B$3</c:f>
              <c:strCache>
                <c:ptCount val="1"/>
                <c:pt idx="0">
                  <c:v>Sum of Agree</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Sheet7!$B$4:$B$18</c:f>
              <c:numCache>
                <c:formatCode>General</c:formatCode>
                <c:ptCount val="14"/>
                <c:pt idx="0">
                  <c:v>148</c:v>
                </c:pt>
                <c:pt idx="1">
                  <c:v>247</c:v>
                </c:pt>
                <c:pt idx="2">
                  <c:v>147</c:v>
                </c:pt>
                <c:pt idx="3">
                  <c:v>169</c:v>
                </c:pt>
                <c:pt idx="4">
                  <c:v>42</c:v>
                </c:pt>
                <c:pt idx="5">
                  <c:v>45</c:v>
                </c:pt>
                <c:pt idx="6">
                  <c:v>193</c:v>
                </c:pt>
                <c:pt idx="7">
                  <c:v>73</c:v>
                </c:pt>
                <c:pt idx="8">
                  <c:v>139</c:v>
                </c:pt>
                <c:pt idx="9">
                  <c:v>21</c:v>
                </c:pt>
                <c:pt idx="10">
                  <c:v>186</c:v>
                </c:pt>
                <c:pt idx="11">
                  <c:v>101</c:v>
                </c:pt>
                <c:pt idx="12">
                  <c:v>116</c:v>
                </c:pt>
                <c:pt idx="13">
                  <c:v>177</c:v>
                </c:pt>
              </c:numCache>
            </c:numRef>
          </c:val>
          <c:extLst>
            <c:ext xmlns:c16="http://schemas.microsoft.com/office/drawing/2014/chart" uri="{C3380CC4-5D6E-409C-BE32-E72D297353CC}">
              <c16:uniqueId val="{00000000-F843-409C-9A3C-EA643BB16EAF}"/>
            </c:ext>
          </c:extLst>
        </c:ser>
        <c:ser>
          <c:idx val="1"/>
          <c:order val="1"/>
          <c:tx>
            <c:strRef>
              <c:f>Sheet7!$C$3</c:f>
              <c:strCache>
                <c:ptCount val="1"/>
                <c:pt idx="0">
                  <c:v>Sum of Not Sure</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Sheet7!$C$4:$C$18</c:f>
              <c:numCache>
                <c:formatCode>General</c:formatCode>
                <c:ptCount val="14"/>
                <c:pt idx="0">
                  <c:v>5</c:v>
                </c:pt>
                <c:pt idx="1">
                  <c:v>11</c:v>
                </c:pt>
                <c:pt idx="2">
                  <c:v>6</c:v>
                </c:pt>
                <c:pt idx="3">
                  <c:v>19</c:v>
                </c:pt>
                <c:pt idx="4">
                  <c:v>18</c:v>
                </c:pt>
                <c:pt idx="5">
                  <c:v>0</c:v>
                </c:pt>
                <c:pt idx="6">
                  <c:v>23</c:v>
                </c:pt>
                <c:pt idx="7">
                  <c:v>101</c:v>
                </c:pt>
                <c:pt idx="8">
                  <c:v>2</c:v>
                </c:pt>
                <c:pt idx="9">
                  <c:v>30</c:v>
                </c:pt>
                <c:pt idx="10">
                  <c:v>3</c:v>
                </c:pt>
                <c:pt idx="11">
                  <c:v>1</c:v>
                </c:pt>
                <c:pt idx="12">
                  <c:v>5</c:v>
                </c:pt>
                <c:pt idx="13">
                  <c:v>7</c:v>
                </c:pt>
              </c:numCache>
            </c:numRef>
          </c:val>
          <c:extLst>
            <c:ext xmlns:c16="http://schemas.microsoft.com/office/drawing/2014/chart" uri="{C3380CC4-5D6E-409C-BE32-E72D297353CC}">
              <c16:uniqueId val="{00000001-F843-409C-9A3C-EA643BB16EAF}"/>
            </c:ext>
          </c:extLst>
        </c:ser>
        <c:ser>
          <c:idx val="2"/>
          <c:order val="2"/>
          <c:tx>
            <c:strRef>
              <c:f>Sheet7!$D$3</c:f>
              <c:strCache>
                <c:ptCount val="1"/>
                <c:pt idx="0">
                  <c:v>Sum of Disagree</c:v>
                </c:pt>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cat>
            <c:strRef>
              <c:f>Sheet7!$A$4:$A$18</c:f>
              <c:strCache>
                <c:ptCount val="14"/>
                <c:pt idx="0">
                  <c:v>Hybrid working practices make me more productive</c:v>
                </c:pt>
                <c:pt idx="1">
                  <c:v>Hybrid working practices support my work-life balance and well-being.</c:v>
                </c:pt>
                <c:pt idx="2">
                  <c:v>I can easily access resources at home</c:v>
                </c:pt>
                <c:pt idx="3">
                  <c:v>I enjoy working for home on some days of the week</c:v>
                </c:pt>
                <c:pt idx="4">
                  <c:v>I feel fully supported when working at work</c:v>
                </c:pt>
                <c:pt idx="5">
                  <c:v>I feel less stressed when away from the workplace</c:v>
                </c:pt>
                <c:pt idx="6">
                  <c:v>I find it difficult to separate work from my personal life when working from home </c:v>
                </c:pt>
                <c:pt idx="7">
                  <c:v>I find working remotely a challenge</c:v>
                </c:pt>
                <c:pt idx="8">
                  <c:v>I get the same amount of recognition about my work when working from home</c:v>
                </c:pt>
                <c:pt idx="9">
                  <c:v>I miss engaging with my colleagues in the workplace</c:v>
                </c:pt>
                <c:pt idx="10">
                  <c:v>Since hybrid working has been in place, I feel more connected to our company culture. </c:v>
                </c:pt>
                <c:pt idx="11">
                  <c:v>Working from home allows me to meet my targets</c:v>
                </c:pt>
                <c:pt idx="12">
                  <c:v>Working from home does not affect cross functional  communication and collaboration with my team</c:v>
                </c:pt>
                <c:pt idx="13">
                  <c:v>Working from home removes conflict</c:v>
                </c:pt>
              </c:strCache>
            </c:strRef>
          </c:cat>
          <c:val>
            <c:numRef>
              <c:f>Sheet7!$D$4:$D$18</c:f>
              <c:numCache>
                <c:formatCode>General</c:formatCode>
                <c:ptCount val="14"/>
                <c:pt idx="0">
                  <c:v>147</c:v>
                </c:pt>
                <c:pt idx="1">
                  <c:v>42</c:v>
                </c:pt>
                <c:pt idx="2">
                  <c:v>147</c:v>
                </c:pt>
                <c:pt idx="3">
                  <c:v>112</c:v>
                </c:pt>
                <c:pt idx="4">
                  <c:v>240</c:v>
                </c:pt>
                <c:pt idx="5">
                  <c:v>255</c:v>
                </c:pt>
                <c:pt idx="6">
                  <c:v>84</c:v>
                </c:pt>
                <c:pt idx="7">
                  <c:v>126</c:v>
                </c:pt>
                <c:pt idx="8">
                  <c:v>159</c:v>
                </c:pt>
                <c:pt idx="9">
                  <c:v>249</c:v>
                </c:pt>
                <c:pt idx="10">
                  <c:v>111</c:v>
                </c:pt>
                <c:pt idx="11">
                  <c:v>199</c:v>
                </c:pt>
                <c:pt idx="12">
                  <c:v>179</c:v>
                </c:pt>
                <c:pt idx="13">
                  <c:v>116</c:v>
                </c:pt>
              </c:numCache>
            </c:numRef>
          </c:val>
          <c:extLst>
            <c:ext xmlns:c16="http://schemas.microsoft.com/office/drawing/2014/chart" uri="{C3380CC4-5D6E-409C-BE32-E72D297353CC}">
              <c16:uniqueId val="{00000002-F843-409C-9A3C-EA643BB16EAF}"/>
            </c:ext>
          </c:extLst>
        </c:ser>
        <c:dLbls>
          <c:showLegendKey val="0"/>
          <c:showVal val="0"/>
          <c:showCatName val="0"/>
          <c:showSerName val="0"/>
          <c:showPercent val="0"/>
          <c:showBubbleSize val="0"/>
        </c:dLbls>
        <c:gapWidth val="150"/>
        <c:overlap val="100"/>
        <c:axId val="1560319519"/>
        <c:axId val="1274815535"/>
      </c:barChart>
      <c:catAx>
        <c:axId val="1560319519"/>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Question</a:t>
                </a:r>
                <a:r>
                  <a:rPr lang="en-GB" baseline="0"/>
                  <a:t> set</a:t>
                </a:r>
                <a:endParaRPr lang="en-GB"/>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274815535"/>
        <c:crosses val="autoZero"/>
        <c:auto val="1"/>
        <c:lblAlgn val="ctr"/>
        <c:lblOffset val="100"/>
        <c:noMultiLvlLbl val="0"/>
      </c:catAx>
      <c:valAx>
        <c:axId val="1274815535"/>
        <c:scaling>
          <c:orientation val="minMax"/>
          <c:max val="3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number of responses </a:t>
                </a:r>
              </a:p>
            </c:rich>
          </c:tx>
          <c:layout>
            <c:manualLayout>
              <c:xMode val="edge"/>
              <c:yMode val="edge"/>
              <c:x val="0.48488368148723482"/>
              <c:y val="0.91949402158063587"/>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560319519"/>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Reversed" id="25">
  <a:schemeClr val="accent5"/>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8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3988</Words>
  <Characters>22738</Characters>
  <Application>Microsoft Office Word</Application>
  <DocSecurity>0</DocSecurity>
  <Lines>189</Lines>
  <Paragraphs>53</Paragraphs>
  <ScaleCrop>false</ScaleCrop>
  <Company/>
  <LinksUpToDate>false</LinksUpToDate>
  <CharactersWithSpaces>26673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Young</dc:creator>
  <cp:keywords/>
  <dc:description/>
  <cp:lastModifiedBy>Joel Young</cp:lastModifiedBy>
  <cp:revision>1</cp:revision>
  <dcterms:created xsi:type="dcterms:W3CDTF">2023-12-02T20:37:00Z</dcterms:created>
  <dcterms:modified xsi:type="dcterms:W3CDTF">2023-12-02T20:39:00Z</dcterms:modified>
</cp:coreProperties>
</file>