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91B65" w14:textId="77777777" w:rsidR="00005AA5" w:rsidRPr="00C517E6" w:rsidRDefault="00C517E6" w:rsidP="00C517E6">
      <w:pPr>
        <w:jc w:val="center"/>
        <w:rPr>
          <w:u w:val="single"/>
        </w:rPr>
      </w:pPr>
      <w:r w:rsidRPr="00C517E6">
        <w:rPr>
          <w:u w:val="single"/>
        </w:rPr>
        <w:t>Compare the speeches in Thucydides and Sallust.</w:t>
      </w:r>
    </w:p>
    <w:p w14:paraId="172A3A98" w14:textId="312D0E2D" w:rsidR="009D4729" w:rsidRDefault="009D4729"/>
    <w:p w14:paraId="4A169B4E" w14:textId="77777777" w:rsidR="009D4729" w:rsidRDefault="00675FF3" w:rsidP="00675FF3">
      <w:pPr>
        <w:pStyle w:val="Heading2"/>
      </w:pPr>
      <w:r>
        <w:t>Preface:</w:t>
      </w:r>
    </w:p>
    <w:p w14:paraId="6050E11E" w14:textId="77777777" w:rsidR="00675FF3" w:rsidRDefault="00675FF3"/>
    <w:p w14:paraId="19D91750" w14:textId="77777777" w:rsidR="00675FF3" w:rsidRDefault="00675FF3" w:rsidP="00CA70A0">
      <w:pPr>
        <w:jc w:val="both"/>
      </w:pPr>
      <w:r>
        <w:tab/>
        <w:t>An aspect of several sources from the a</w:t>
      </w:r>
      <w:r w:rsidR="00FB0833">
        <w:t xml:space="preserve">ncient world is the use of </w:t>
      </w:r>
      <w:r w:rsidR="00B27404">
        <w:t>speeches</w:t>
      </w:r>
      <w:r>
        <w:t xml:space="preserve"> in the historical accounts, an aspect that is true for both the Greeks and Romans</w:t>
      </w:r>
      <w:r w:rsidR="00B27404">
        <w:t>.</w:t>
      </w:r>
      <w:r w:rsidR="00932D2E">
        <w:t xml:space="preserve"> This research intends to assess the works of Thucydides and Sallust and see how the differences in the Greek and Latin sources through the pair as the examples of their cultures.</w:t>
      </w:r>
      <w:r w:rsidR="00CA70A0">
        <w:t xml:space="preserve"> This research will first address the issues with speeches in the ancient sources, before looking at how Thucydides and then Sallust use speeches in their works, comparing primarily in these latter two parts rather than the first.</w:t>
      </w:r>
    </w:p>
    <w:p w14:paraId="63B364BA" w14:textId="509F409A" w:rsidR="00303EF8" w:rsidRDefault="00CA70A0" w:rsidP="00CA70A0">
      <w:pPr>
        <w:jc w:val="both"/>
      </w:pPr>
      <w:r>
        <w:tab/>
        <w:t xml:space="preserve">The comparisons between the </w:t>
      </w:r>
      <w:r w:rsidR="0094050F">
        <w:t>authors</w:t>
      </w:r>
      <w:r>
        <w:t xml:space="preserve"> </w:t>
      </w:r>
      <w:r w:rsidR="00CD4311">
        <w:t xml:space="preserve">will contain </w:t>
      </w:r>
      <w:r w:rsidR="00941796">
        <w:t>reasons why the speeches</w:t>
      </w:r>
      <w:r w:rsidR="002052B6">
        <w:t xml:space="preserve"> are being written, and why they differ in their presentation.</w:t>
      </w:r>
      <w:r w:rsidR="00E30069">
        <w:t xml:space="preserve"> Primarily, the differences in the speeches link to the moralising intent of </w:t>
      </w:r>
      <w:r w:rsidR="005C0EC8">
        <w:t xml:space="preserve">the authors, and to what extent the aim of the author is to cast a moral opinion upon whoever is supposedly delivering the speech. With these similarities there are </w:t>
      </w:r>
      <w:r w:rsidR="00303EF8">
        <w:t>likely</w:t>
      </w:r>
      <w:r w:rsidR="00B90F8B">
        <w:t xml:space="preserve"> to be overlaps and points that are dubious</w:t>
      </w:r>
      <w:r w:rsidR="00303EF8">
        <w:t>. As with other works there is the diffi</w:t>
      </w:r>
      <w:r w:rsidR="00CA77DF">
        <w:t xml:space="preserve">culties in assessing what is meant by the author, these will be discussed in the next section addressing these directly. </w:t>
      </w:r>
    </w:p>
    <w:p w14:paraId="1FB3D349" w14:textId="0F00D19C" w:rsidR="00874D58" w:rsidRDefault="00874D58" w:rsidP="00CA70A0">
      <w:pPr>
        <w:jc w:val="both"/>
      </w:pPr>
    </w:p>
    <w:p w14:paraId="2D760951" w14:textId="06C12183" w:rsidR="00874D58" w:rsidRPr="00C22826" w:rsidRDefault="00391393" w:rsidP="00C22826">
      <w:pPr>
        <w:pStyle w:val="Heading2"/>
      </w:pPr>
      <w:r w:rsidRPr="00C22826">
        <w:t>Diffic</w:t>
      </w:r>
      <w:r w:rsidR="00C22826">
        <w:t>ul</w:t>
      </w:r>
      <w:r w:rsidRPr="00C22826">
        <w:t xml:space="preserve">ties </w:t>
      </w:r>
      <w:r w:rsidR="00C22826" w:rsidRPr="00C22826">
        <w:t>with speeches</w:t>
      </w:r>
    </w:p>
    <w:p w14:paraId="65E1CB5E" w14:textId="500F794B" w:rsidR="00C22826" w:rsidRDefault="00C22826" w:rsidP="00CA70A0">
      <w:pPr>
        <w:jc w:val="both"/>
      </w:pPr>
    </w:p>
    <w:p w14:paraId="7CAD0DCE" w14:textId="158F885A" w:rsidR="00C22826" w:rsidRDefault="00C22826" w:rsidP="00CA70A0">
      <w:pPr>
        <w:jc w:val="both"/>
      </w:pPr>
      <w:r>
        <w:tab/>
        <w:t xml:space="preserve">With medium of speeches </w:t>
      </w:r>
      <w:r w:rsidR="00AD588D">
        <w:t xml:space="preserve">there are many problematic areas, primarily that there is no way of substantiating their accuracy. </w:t>
      </w:r>
      <w:r w:rsidR="002016C9">
        <w:t>There is somewhat of a difference between the difficulties in the Greek and Roman periods, therefore this section of the research aims to look at the</w:t>
      </w:r>
      <w:r w:rsidR="00561017">
        <w:t xml:space="preserve"> </w:t>
      </w:r>
      <w:r w:rsidR="00442BD4">
        <w:t>differences</w:t>
      </w:r>
      <w:r w:rsidR="00561017">
        <w:t xml:space="preserve">. </w:t>
      </w:r>
      <w:r w:rsidR="00201870">
        <w:t>Therefore,</w:t>
      </w:r>
      <w:r w:rsidR="00442BD4">
        <w:t xml:space="preserve"> this will look at the more generalised difficulties of speeches as well as </w:t>
      </w:r>
      <w:r w:rsidR="00F714FB">
        <w:t>the specifics with both Thucydides and Sallust</w:t>
      </w:r>
      <w:r w:rsidR="00201870">
        <w:t xml:space="preserve">. </w:t>
      </w:r>
    </w:p>
    <w:p w14:paraId="3E6E93AD" w14:textId="1A907A77" w:rsidR="00201870" w:rsidRDefault="00201870" w:rsidP="00CA70A0">
      <w:pPr>
        <w:jc w:val="both"/>
      </w:pPr>
      <w:r>
        <w:tab/>
        <w:t xml:space="preserve">Of course, as stated, the primary problem with speeches of any kind is </w:t>
      </w:r>
      <w:r w:rsidR="004C77FB">
        <w:t>assessing</w:t>
      </w:r>
      <w:r>
        <w:t xml:space="preserve"> the accuracy of the speech. In the sources that provide speeches (including Thucydides,</w:t>
      </w:r>
      <w:r w:rsidR="004C77FB">
        <w:t xml:space="preserve"> Polybius,</w:t>
      </w:r>
      <w:r>
        <w:t xml:space="preserve"> Caesar, Tacitus</w:t>
      </w:r>
      <w:r w:rsidR="00DD10A6">
        <w:rPr>
          <w:rStyle w:val="FootnoteReference"/>
        </w:rPr>
        <w:footnoteReference w:id="1"/>
      </w:r>
      <w:r w:rsidR="004C77FB">
        <w:t>) usually do so in one of two settings, a political speech or address, or a pre-battle speech. these however suffer from very similar issues when assessing them in terms of their historical significance, mainly there is no why to fully authenticate if they are what the historical figure w</w:t>
      </w:r>
      <w:r w:rsidR="00DD10A6">
        <w:t>ould have said in this speech. W</w:t>
      </w:r>
      <w:r w:rsidR="004C77FB">
        <w:t xml:space="preserve">ith these speeches, as it is incredibly unlikely that they would be recorded for posterity, much of what is recorded would be at best a combination of the odd memorable phrase that could have been in the speech and what memory of the author or the person recounting the speech. as such the primary similarity between what is recorded and what may have been said would be the general feeling of the speech. However, even this can be adjusted </w:t>
      </w:r>
      <w:r w:rsidR="004E1AE3">
        <w:t>to suit the purposes of the author, i</w:t>
      </w:r>
      <w:r w:rsidR="00DD10A6">
        <w:t>f</w:t>
      </w:r>
      <w:r w:rsidR="004E1AE3">
        <w:t xml:space="preserve"> a ‘villain’ figure is needed. </w:t>
      </w:r>
      <w:r w:rsidR="00DD10A6">
        <w:t>This means that speeches are fundamentally unreliable as a source, and are an interesting quirk of the classical historical genre that seems to be remanence of the Homeric poems and other great works from oral tradition.</w:t>
      </w:r>
    </w:p>
    <w:p w14:paraId="640453A7" w14:textId="34E377D5" w:rsidR="00F31871" w:rsidRDefault="00DD10A6" w:rsidP="00CA70A0">
      <w:pPr>
        <w:jc w:val="both"/>
      </w:pPr>
      <w:r>
        <w:tab/>
        <w:t xml:space="preserve">The </w:t>
      </w:r>
      <w:r w:rsidR="00172007">
        <w:t>political speeches in the ancient sources are full off issues</w:t>
      </w:r>
      <w:r w:rsidR="0071397D">
        <w:t xml:space="preserve"> and probably variation from probably history. As both Thucydides and Sallust use the political speeches of their times in their sources, for which both of them were most likely present during the oration, this aspect and the </w:t>
      </w:r>
      <w:r w:rsidR="0071397D">
        <w:lastRenderedPageBreak/>
        <w:t>generalised flaws</w:t>
      </w:r>
      <w:r w:rsidR="00061CA4">
        <w:t xml:space="preserve"> associated will be addressed here rather than during the later comparison. </w:t>
      </w:r>
      <w:r w:rsidR="000118BC">
        <w:t>Political speeches are particularly susceptible to the political opinions of the author who is</w:t>
      </w:r>
      <w:r w:rsidR="00F31871">
        <w:t xml:space="preserve"> writing about the historical figure delivering the speech. this personal political opinion would affect how the author would the perceive, and therefore record, the historical figure giving the speech. The susceptibility to bias is </w:t>
      </w:r>
      <w:r w:rsidR="003B5D15">
        <w:t>particularly</w:t>
      </w:r>
      <w:r w:rsidR="00F31871">
        <w:t xml:space="preserve"> true if the historian recording the events in </w:t>
      </w:r>
      <w:r w:rsidR="003B5D15">
        <w:t>their</w:t>
      </w:r>
      <w:r w:rsidR="00F31871">
        <w:t xml:space="preserve"> history was a political peer of whomever they are recording.</w:t>
      </w:r>
      <w:r w:rsidR="003B5D15">
        <w:t xml:space="preserve"> This issue with sources </w:t>
      </w:r>
      <w:r w:rsidR="00675398">
        <w:t>relatively</w:t>
      </w:r>
      <w:r w:rsidR="003B5D15">
        <w:t xml:space="preserve"> contemporary to the events they are recording applies to both Thucydides and Sallust. It is also a flaw with sources that are separate from the events, as they would have to also rely upon people who witnesses the political speech, who would have political </w:t>
      </w:r>
      <w:r w:rsidR="001501E2">
        <w:t>agency</w:t>
      </w:r>
      <w:r w:rsidR="003B5D15">
        <w:t xml:space="preserve"> so would be able to form their own opinions on the orator, which would then effect how they would perceive and retell the speech to whomsoever is recording it.  </w:t>
      </w:r>
    </w:p>
    <w:p w14:paraId="374DA9CD" w14:textId="415C69DB" w:rsidR="00201870" w:rsidRDefault="00201870" w:rsidP="00CA70A0">
      <w:pPr>
        <w:jc w:val="both"/>
      </w:pPr>
      <w:r>
        <w:tab/>
      </w:r>
      <w:r w:rsidR="003B5D15">
        <w:t>T</w:t>
      </w:r>
      <w:r>
        <w:t>he</w:t>
      </w:r>
      <w:r w:rsidR="003B5D15">
        <w:t xml:space="preserve"> other</w:t>
      </w:r>
      <w:r>
        <w:t xml:space="preserve"> </w:t>
      </w:r>
      <w:r w:rsidR="003B5D15">
        <w:t>most</w:t>
      </w:r>
      <w:r>
        <w:t xml:space="preserve"> common forms of speeches in histories are pre- battle speeches. Thucydides lists many in his work, n</w:t>
      </w:r>
      <w:r w:rsidR="00C14830">
        <w:t>otably the speeches of Brasidas</w:t>
      </w:r>
      <w:r w:rsidR="00675398">
        <w:rPr>
          <w:rStyle w:val="FootnoteReference"/>
        </w:rPr>
        <w:footnoteReference w:id="2"/>
      </w:r>
      <w:r w:rsidR="00675398">
        <w:t>. These speeches are less likely than the political speeches to be accurate as there is little chance that the author was there for them, often making note of it when they are. what makes these even less reliable is the fact that the people who would have heard it, whether it is the author or simply someone who was there relaying the information, would have probably fought in a battle the same day, a traumatic experience that would probably dominate the memory of whomever was fighting that day</w:t>
      </w:r>
      <w:r w:rsidR="007817B5">
        <w:t>. this traumatic experience of fighting</w:t>
      </w:r>
      <w:r w:rsidR="006378FB">
        <w:t xml:space="preserve"> would have not only dominated the memories of the day but also potentially distort the speech in tone, which would be the thing </w:t>
      </w:r>
      <w:r w:rsidR="00970C87">
        <w:t>their minds</w:t>
      </w:r>
      <w:r w:rsidR="006378FB">
        <w:t xml:space="preserve"> distort </w:t>
      </w:r>
      <w:r w:rsidR="00970C87">
        <w:t xml:space="preserve">the most. If this is relayed or the experience of the author it fundamentally changes the speeches. assuming this does not happen it is still susceptible to the same flaws as other speeches, having to be constructed form the rhetoric skill of the author. Then there is the question of if pre-battle speeches even happened. </w:t>
      </w:r>
      <w:r w:rsidR="00C27F1D">
        <w:t>I</w:t>
      </w:r>
      <w:r w:rsidR="00970C87">
        <w:t xml:space="preserve">f they are speeches that are products of a dramatic narrative then the entirety is what the author is saying they think should have been said if a speech were to occur </w:t>
      </w:r>
      <w:r w:rsidR="006E6B47">
        <w:t xml:space="preserve">before the battle. If this is the case then it is the author </w:t>
      </w:r>
      <w:r w:rsidR="008C08C5">
        <w:t xml:space="preserve">could be </w:t>
      </w:r>
      <w:r w:rsidR="006E6B47">
        <w:t>taking huge liberties wit</w:t>
      </w:r>
      <w:r w:rsidR="0019179C">
        <w:t xml:space="preserve">h not only what might have been said by the individual, but also the </w:t>
      </w:r>
      <w:r w:rsidR="008C08C5">
        <w:t>characteristics</w:t>
      </w:r>
      <w:r w:rsidR="0019179C">
        <w:t xml:space="preserve"> of the individual, th</w:t>
      </w:r>
      <w:r w:rsidR="008C08C5">
        <w:t>e mood of the day, how the battle was fought (confident or desperation)</w:t>
      </w:r>
      <w:r w:rsidR="00CB20EC">
        <w:t>, and more. If there were not pre-battle speeches then any examples of them would be entirely the author showing their own rhetoric skills rather than recording events, which make the speeches interesting and an insight into how the author thought and about the individual giving the speech; however, it makes the speeches historically questionable and difficult to use.</w:t>
      </w:r>
    </w:p>
    <w:p w14:paraId="56C7B51F" w14:textId="04AB4750" w:rsidR="00C14830" w:rsidRDefault="003B5D15" w:rsidP="00CA70A0">
      <w:pPr>
        <w:jc w:val="both"/>
      </w:pPr>
      <w:r>
        <w:tab/>
        <w:t xml:space="preserve">Another key thing to consider when studying speeches is to look at how it is the author showing their own skills and rhetoric capabilities. Both of these writers would be writing the speeches in their works based upon their own rhetoric skills, and therefore how they would have presented the speech. This is another </w:t>
      </w:r>
      <w:r w:rsidR="001501E2">
        <w:t>fundamental aspect of speeches that must be addressed when looking at any form of speeches. While there are many different points in literary historical sources where there is the opportunity to show the rhetorical skill of the writer, such as Thucydides’ description of Cleon which is incredibly</w:t>
      </w:r>
      <w:r w:rsidR="00F80C85">
        <w:t xml:space="preserve"> clearly bias and an attempt at a rhetoric description</w:t>
      </w:r>
      <w:r w:rsidR="00F80C85">
        <w:rPr>
          <w:rStyle w:val="FootnoteReference"/>
        </w:rPr>
        <w:footnoteReference w:id="3"/>
      </w:r>
      <w:r w:rsidR="00F80C85">
        <w:t>.</w:t>
      </w:r>
      <w:r w:rsidR="001501E2">
        <w:t xml:space="preserve"> </w:t>
      </w:r>
      <w:r w:rsidR="00F80C85">
        <w:t>The presentation of the individuals is one of these parts where the rhetoric of the author comes through</w:t>
      </w:r>
      <w:r w:rsidR="00A12178">
        <w:t xml:space="preserve">. These writers would, for the most part, be </w:t>
      </w:r>
      <w:r w:rsidR="00805DD4">
        <w:t xml:space="preserve">from the upper echelons of their respective societies. This work would both be their work where they can </w:t>
      </w:r>
      <w:r w:rsidR="00546F7E">
        <w:t>demonstrate</w:t>
      </w:r>
      <w:r w:rsidR="00805DD4">
        <w:t xml:space="preserve"> these skills to whomever would buy </w:t>
      </w:r>
      <w:r w:rsidR="00546F7E">
        <w:t xml:space="preserve">these works. This rhetoric presentation would ultimately end up distorting the presentation of the historical events being recorded. This susceptibility, as history is after all a literary genre, means that there are going to be issues with the sources in favour of any narrative </w:t>
      </w:r>
      <w:r w:rsidR="00B146F8">
        <w:t xml:space="preserve">preferences, such as the presentation of Cleon in </w:t>
      </w:r>
      <w:r w:rsidR="00B146F8">
        <w:lastRenderedPageBreak/>
        <w:t>Thucydides</w:t>
      </w:r>
      <w:r w:rsidR="00C0737E">
        <w:rPr>
          <w:rStyle w:val="FootnoteReference"/>
        </w:rPr>
        <w:footnoteReference w:id="4"/>
      </w:r>
      <w:r w:rsidR="00B146F8">
        <w:t>. While this is an aspect that effects all of the source it is a fundamental part of speeches, as the majority of speeches would</w:t>
      </w:r>
      <w:r w:rsidR="00FD37C1">
        <w:t>,</w:t>
      </w:r>
      <w:r w:rsidR="00B146F8">
        <w:t xml:space="preserve"> by necessity</w:t>
      </w:r>
      <w:r w:rsidR="00FD37C1">
        <w:t>,</w:t>
      </w:r>
      <w:r w:rsidR="00B146F8">
        <w:t xml:space="preserve"> be </w:t>
      </w:r>
      <w:r w:rsidR="00FD37C1">
        <w:t>reconstructed. This reconstruction requires that the authors of the speeches use their own rhetoric skills to create believable speeches, the author having to decide what is reasonable for the person to have said in that specific situation. This is why speeches in general are difficult to be reliable</w:t>
      </w:r>
      <w:r w:rsidR="00C14830">
        <w:t>.</w:t>
      </w:r>
      <w:r w:rsidR="00675398">
        <w:t xml:space="preserve"> </w:t>
      </w:r>
    </w:p>
    <w:p w14:paraId="163E4FCE" w14:textId="65AE3234" w:rsidR="003B5D15" w:rsidRDefault="00C14830" w:rsidP="00CA70A0">
      <w:pPr>
        <w:jc w:val="both"/>
      </w:pPr>
      <w:r>
        <w:tab/>
      </w:r>
      <w:r w:rsidR="00FD37C1">
        <w:t xml:space="preserve"> </w:t>
      </w:r>
      <w:r w:rsidR="000A75CC">
        <w:t xml:space="preserve">Speeches are, as discussed, difficult aspects of the literary sources </w:t>
      </w:r>
      <w:r w:rsidR="00FA6D14">
        <w:t xml:space="preserve">to fully assess and review with any degree of accuracy. Speeches are fundamentally unreliable in a strict historical sense, mainly useful as a </w:t>
      </w:r>
      <w:r w:rsidR="002E32B4">
        <w:t>example of the rhetoric of their era. While this does provide a great deal use in its own way it is not reliable in many other aspects. Comparing the speeches Thucydides and Sallust understanding the flaws in speeches means that the focus can be upon the pair rather than speeches in general</w:t>
      </w:r>
    </w:p>
    <w:p w14:paraId="07295F23" w14:textId="77777777" w:rsidR="00C22826" w:rsidRDefault="00C22826" w:rsidP="00CA70A0">
      <w:pPr>
        <w:jc w:val="both"/>
      </w:pPr>
    </w:p>
    <w:p w14:paraId="6D1469EA" w14:textId="3F24F9D9" w:rsidR="00C22826" w:rsidRDefault="00C22826" w:rsidP="00C22826">
      <w:pPr>
        <w:pStyle w:val="Heading2"/>
      </w:pPr>
      <w:r>
        <w:t>Thucydidean Speeches</w:t>
      </w:r>
    </w:p>
    <w:p w14:paraId="0891DD7E" w14:textId="4E75E22B" w:rsidR="00C22826" w:rsidRDefault="00C22826" w:rsidP="00CA70A0">
      <w:pPr>
        <w:jc w:val="both"/>
      </w:pPr>
    </w:p>
    <w:p w14:paraId="1B72750C" w14:textId="2922F602" w:rsidR="00C22826" w:rsidRDefault="002E32B4" w:rsidP="00CA70A0">
      <w:pPr>
        <w:jc w:val="both"/>
      </w:pPr>
      <w:r>
        <w:tab/>
        <w:t>Thycudidean speeches are a significant part of his work, with large proportions of time being spent upon debates in the Ekklesia, such as the Mytilene Debate or the Melian Dialogue</w:t>
      </w:r>
      <w:r>
        <w:rPr>
          <w:rStyle w:val="FootnoteReference"/>
        </w:rPr>
        <w:footnoteReference w:id="5"/>
      </w:r>
      <w:r>
        <w:t>, as well as debates in Spart</w:t>
      </w:r>
      <w:r w:rsidR="00953CD1">
        <w:t xml:space="preserve">a or Corinth, for instance the debates at </w:t>
      </w:r>
      <w:r w:rsidR="00A77B76">
        <w:t>Sparta in book 1</w:t>
      </w:r>
      <w:r>
        <w:rPr>
          <w:rStyle w:val="FootnoteReference"/>
        </w:rPr>
        <w:footnoteReference w:id="6"/>
      </w:r>
      <w:r>
        <w:t xml:space="preserve">. This significance means that there are many speeches to analyse in Thucydides’ history. The </w:t>
      </w:r>
      <w:r w:rsidR="0044264E">
        <w:t>speeches incredibly prevalent, but interesting for their own reasons</w:t>
      </w:r>
      <w:r w:rsidR="00CA77DF">
        <w:t>, as there is an issue over their intention and how they were meant to be used in the context of the time. This section will address this as well as the differences in the political and pre-battle speeches presented in Thucydides.</w:t>
      </w:r>
    </w:p>
    <w:p w14:paraId="54604CC5" w14:textId="65E3D2E8" w:rsidR="00CA77DF" w:rsidRDefault="00CA77DF" w:rsidP="00CA70A0">
      <w:pPr>
        <w:jc w:val="both"/>
      </w:pPr>
      <w:r>
        <w:tab/>
        <w:t xml:space="preserve">By far the most common aspect of speeches for Thucydides is the political speeches. this is not something that is particularly surprising given Thucydides was an active, and very prominent, member of the Ekklesia, a fact which can be seen in his command of the force </w:t>
      </w:r>
      <w:r w:rsidR="00DC5412">
        <w:t>near</w:t>
      </w:r>
      <w:r>
        <w:t xml:space="preserve"> Amphipolis</w:t>
      </w:r>
      <w:r w:rsidR="00B738C9">
        <w:rPr>
          <w:rStyle w:val="FootnoteReference"/>
        </w:rPr>
        <w:footnoteReference w:id="7"/>
      </w:r>
      <w:r w:rsidR="00B738C9">
        <w:t xml:space="preserve"> which linked Athens to a supply of Silver Fir trees needed to build triremes</w:t>
      </w:r>
      <w:r w:rsidR="00B738C9">
        <w:rPr>
          <w:rStyle w:val="FootnoteReference"/>
        </w:rPr>
        <w:footnoteReference w:id="8"/>
      </w:r>
      <w:r w:rsidR="00B738C9">
        <w:t>. As he is clearly present and prominent in the Ekklesia until his exile after his loss of the battle of Amphipolis it is very difficult to tell precisely what he is present for in terms of debates in the Ekklesia, if not impossible as he only mentions himself three times in his work when it is absolutely necessary</w:t>
      </w:r>
      <w:r w:rsidR="00B738C9">
        <w:rPr>
          <w:rStyle w:val="FootnoteReference"/>
        </w:rPr>
        <w:footnoteReference w:id="9"/>
      </w:r>
      <w:r w:rsidR="00B738C9">
        <w:t xml:space="preserve">. This means that </w:t>
      </w:r>
      <w:r w:rsidR="00FF0402">
        <w:t>for</w:t>
      </w:r>
      <w:r w:rsidR="00B738C9">
        <w:t xml:space="preserve"> some of the speeches he records before book five (where he is exiled during the events he is recording) he very well could have been there and remembered some of the speeches, however which ones is still speculation. For instance, it is likely that Thucydides was present at Pericles’ Funeral oration</w:t>
      </w:r>
      <w:r w:rsidR="00FF0402">
        <w:rPr>
          <w:rStyle w:val="FootnoteReference"/>
        </w:rPr>
        <w:footnoteReference w:id="10"/>
      </w:r>
      <w:r w:rsidR="00B738C9">
        <w:t>, though there is still a debate on this.</w:t>
      </w:r>
      <w:r w:rsidR="00FF0402">
        <w:t xml:space="preserve"> With later debates there is still the possibility that he was present for them, the Mytilene Debate for instance is recorded in enough detail that it is likely he was in the Ekklesia, however there is no way to substantiate this as it is precisely in the period where he may have been Statagoi, though not the same appointment as Amphipolis incident.</w:t>
      </w:r>
      <w:r w:rsidR="005B4EC1">
        <w:t xml:space="preserve"> </w:t>
      </w:r>
      <w:r w:rsidR="005B5A3D">
        <w:t>While this might not seem especially relevant it is very important to note, as a will be explored during the analysis of Sallust.</w:t>
      </w:r>
    </w:p>
    <w:p w14:paraId="41737B40" w14:textId="22100A52" w:rsidR="006E0B70" w:rsidRDefault="005B5A3D" w:rsidP="00CA70A0">
      <w:pPr>
        <w:jc w:val="both"/>
      </w:pPr>
      <w:r>
        <w:lastRenderedPageBreak/>
        <w:tab/>
        <w:t>Being a member of the elite, being elected Stratagoi at least once, there is also the aspect of the personal connections and opinions that Thucydides would have with other prominent leading Athenian citizens.</w:t>
      </w:r>
      <w:r w:rsidR="002B031E">
        <w:t xml:space="preserve"> Who I am referring to specifically is his connections and opinions on Pericles, Nicias and Cleon. With these three figures in particular it is clear what Thucydides’ opinion of them </w:t>
      </w:r>
      <w:r w:rsidR="00E201FA">
        <w:t>in his work</w:t>
      </w:r>
      <w:r w:rsidR="006E0B70">
        <w:t xml:space="preserve">s. Pericles is viewed very favourably by Thucydides, this is really clear at times from the manner in which Pericles </w:t>
      </w:r>
      <w:r w:rsidR="009C54E0">
        <w:t>is presented</w:t>
      </w:r>
      <w:r w:rsidR="004D28BA">
        <w:t xml:space="preserve"> that Thucydides is Periclean in his politics</w:t>
      </w:r>
      <w:r w:rsidR="00340FD6">
        <w:rPr>
          <w:rStyle w:val="FootnoteReference"/>
        </w:rPr>
        <w:footnoteReference w:id="11"/>
      </w:r>
      <w:r w:rsidR="004D28BA">
        <w:t>. The largest point this comes through is the funeral oration. Nicias is viewed as Pericles’ successor in the Periclean faction of the Ekklesia</w:t>
      </w:r>
      <w:r w:rsidR="00340FD6">
        <w:rPr>
          <w:rStyle w:val="FootnoteReference"/>
        </w:rPr>
        <w:footnoteReference w:id="12"/>
      </w:r>
      <w:r w:rsidR="00340FD6">
        <w:t xml:space="preserve">, which appears to be why he is seen favourably by Thucydides. </w:t>
      </w:r>
      <w:r w:rsidR="00C27F1D">
        <w:t>Finally</w:t>
      </w:r>
      <w:r w:rsidR="00340FD6">
        <w:t xml:space="preserve"> from the trio mentioned the is Cleon. To say that Thucydides dislikes Cleon is to severely underestimate the level of distain that Thucydides has for him. This opinion is clear from the introduction of Cleon: ‘the most violent man in Athens.’</w:t>
      </w:r>
      <w:r w:rsidR="00340FD6">
        <w:rPr>
          <w:rStyle w:val="FootnoteReference"/>
        </w:rPr>
        <w:footnoteReference w:id="13"/>
      </w:r>
      <w:r w:rsidR="00A2197E">
        <w:t xml:space="preserve"> There is significant reason for why Thucydides dislikes Cleon: is demagogue </w:t>
      </w:r>
      <w:r w:rsidR="001B53A5">
        <w:t xml:space="preserve">in </w:t>
      </w:r>
      <w:r w:rsidR="00A2197E">
        <w:t>nature</w:t>
      </w:r>
      <w:r w:rsidR="001B53A5">
        <w:t xml:space="preserve"> and a democrat</w:t>
      </w:r>
      <w:r w:rsidR="00A2197E">
        <w:rPr>
          <w:rStyle w:val="FootnoteReference"/>
        </w:rPr>
        <w:footnoteReference w:id="14"/>
      </w:r>
      <w:r w:rsidR="00A2197E">
        <w:t>, politically being opposed to Thucydides</w:t>
      </w:r>
      <w:r w:rsidR="00A2197E">
        <w:rPr>
          <w:rStyle w:val="FootnoteReference"/>
        </w:rPr>
        <w:footnoteReference w:id="15"/>
      </w:r>
      <w:r w:rsidR="00A2197E">
        <w:t>, and causing Thucydides’ exile</w:t>
      </w:r>
      <w:r w:rsidR="00A2197E">
        <w:rPr>
          <w:rStyle w:val="FootnoteReference"/>
        </w:rPr>
        <w:footnoteReference w:id="16"/>
      </w:r>
      <w:r w:rsidR="00A2197E">
        <w:t>.</w:t>
      </w:r>
      <w:r w:rsidR="0031081F">
        <w:t xml:space="preserve"> </w:t>
      </w:r>
      <w:bookmarkStart w:id="0" w:name="_GoBack"/>
      <w:bookmarkEnd w:id="0"/>
      <w:r w:rsidR="0031081F">
        <w:t>These personal connections hugely effect how they are presented by the Thucydides in the speeches, as Thucydides would be susceptible to the speech flaws as described earlier.</w:t>
      </w:r>
    </w:p>
    <w:p w14:paraId="516BCD83" w14:textId="697928BF" w:rsidR="009468DC" w:rsidRDefault="009468DC" w:rsidP="00CA70A0">
      <w:pPr>
        <w:jc w:val="both"/>
      </w:pPr>
      <w:r>
        <w:tab/>
        <w:t xml:space="preserve">The political speeches of Thucydides are not entirely there to moralise the </w:t>
      </w:r>
      <w:r w:rsidR="001E3367">
        <w:t>individuals</w:t>
      </w:r>
      <w:r>
        <w:t xml:space="preserve"> involved</w:t>
      </w:r>
      <w:r w:rsidR="001E3367">
        <w:t xml:space="preserve"> one way or another, but entirely is the key word in that assessment. Thucydides at times seems to be trying to be present the most accurate version of events that he can with the information provided, events in themselves being the prime example, and for a large part of the work </w:t>
      </w:r>
      <w:r w:rsidR="00E24102">
        <w:t xml:space="preserve">the accuracy is good. With the speeches it is, as previously mentioned, practically impossible to tell their accuracy in anything other than the broadest of strokes, and part of this is because of Thucydides moralising the political speeches. There are many </w:t>
      </w:r>
      <w:r w:rsidR="00503B9E">
        <w:t>reasons</w:t>
      </w:r>
      <w:r w:rsidR="00E24102">
        <w:t xml:space="preserve"> for this, </w:t>
      </w:r>
      <w:r w:rsidR="00503B9E">
        <w:t>including</w:t>
      </w:r>
      <w:r w:rsidR="00E24102">
        <w:t xml:space="preserve"> the personal </w:t>
      </w:r>
      <w:r w:rsidR="00503B9E">
        <w:t xml:space="preserve">connections demonstrated earlier, but possibly the most interesting </w:t>
      </w:r>
      <w:r w:rsidR="007907C7">
        <w:t xml:space="preserve">is the question of when are the speeches written and put in the work. </w:t>
      </w:r>
      <w:r w:rsidR="000D65F3">
        <w:t>There is of course the possibility that the speeches in Thucydides were added later than the initial writing, potentially years down the line.</w:t>
      </w:r>
      <w:r w:rsidR="0019228C">
        <w:t xml:space="preserve"> I find that the likelihood of the speeches being added after books were initially published is higher than any other arguments, but there are still a few issues with it. Primarily, it is theorised that </w:t>
      </w:r>
      <w:r w:rsidR="00C20218">
        <w:t xml:space="preserve">the speeches are added later as a response of sorts to the thriving oral </w:t>
      </w:r>
      <w:r w:rsidR="00CD07F4">
        <w:t xml:space="preserve">culture, with plays, law, and even philosophical and political speeches being commonplace in the Athenian world during this period. The prevalence of oratory at this time in Athens, and the Greek world given Thucydides’ exile, means that adding these </w:t>
      </w:r>
      <w:r w:rsidR="00957880">
        <w:t>speeches in during this period then it means that the audience for this history; while the audience for work is already huge, being a ‘work for all generations’</w:t>
      </w:r>
      <w:r w:rsidR="00C0737E">
        <w:rPr>
          <w:rStyle w:val="FootnoteReference"/>
        </w:rPr>
        <w:footnoteReference w:id="17"/>
      </w:r>
      <w:r w:rsidR="00957880">
        <w:t xml:space="preserve"> what this would do is open the audience basis during Thucydides own lifetime</w:t>
      </w:r>
      <w:r w:rsidR="000D0B60">
        <w:t xml:space="preserve">, which would ultimately </w:t>
      </w:r>
      <w:r w:rsidR="00CC7A94">
        <w:t>expand the prevalence of the work after his de</w:t>
      </w:r>
      <w:r w:rsidR="005D3C98">
        <w:t xml:space="preserve">ath. This does seem to be as a way to involve those who might not be able to read the work in </w:t>
      </w:r>
      <w:r w:rsidR="006A675D">
        <w:t>its</w:t>
      </w:r>
      <w:r w:rsidR="005D3C98">
        <w:t xml:space="preserve"> entirety, but would be able to listen to </w:t>
      </w:r>
      <w:r w:rsidR="006A675D">
        <w:t>the significant points of Thucydides’ work, as that is where the speeches appear. This means that, of all the aspects to moralise in any way it would be the speeches. This is why there are many speeches before the important event, because the audience would have context for the speech, which would mean that it is likely that many of the audience may have heard the speeches which adds difficulty into distorting. However, cultural memory would have allowed some time before the speeches are written</w:t>
      </w:r>
      <w:r w:rsidR="0008384D">
        <w:t>, which could have allowed for the speeches to be distorted in the cultural mindset, but this is overall this is unlikely.</w:t>
      </w:r>
      <w:r w:rsidR="00A411C0">
        <w:t xml:space="preserve"> As Thucydides is writing after his exile after the battle of Amp</w:t>
      </w:r>
      <w:r w:rsidR="000D65F3">
        <w:t xml:space="preserve">hipolis in 422BC </w:t>
      </w:r>
      <w:r w:rsidR="000D65F3">
        <w:lastRenderedPageBreak/>
        <w:t>and dies around the year 400BC</w:t>
      </w:r>
      <w:r w:rsidR="00A411C0">
        <w:t xml:space="preserve"> he has plenty of time to add in the speeches and allow public opinion </w:t>
      </w:r>
      <w:r w:rsidR="007367A6">
        <w:t xml:space="preserve">to change from the initial time of writing, allowing for there to be potential moralisation. As there are about </w:t>
      </w:r>
      <w:r w:rsidR="004E26F4">
        <w:t>twenty</w:t>
      </w:r>
      <w:r w:rsidR="007367A6">
        <w:t xml:space="preserve"> </w:t>
      </w:r>
      <w:r w:rsidR="00B1155D">
        <w:t>years between the start and the end of when Thucydides could have written these speeches, and as there are books without the speeches it seems that they were added relatively late. Why does this matter? The moralising factor of Thucydides speeches is prevalent but not the point of the entire work according the Thucydides himself</w:t>
      </w:r>
      <w:r w:rsidR="001F23A3">
        <w:t>;</w:t>
      </w:r>
      <w:r w:rsidR="00B1155D">
        <w:t xml:space="preserve"> </w:t>
      </w:r>
      <w:r w:rsidR="001F23A3">
        <w:t>however, it is arguably one of the major parts of Sallust, as will be discussed later.</w:t>
      </w:r>
    </w:p>
    <w:p w14:paraId="27E9DBBD" w14:textId="4D74C204" w:rsidR="001F23A3" w:rsidRDefault="001F23A3" w:rsidP="00CA70A0">
      <w:pPr>
        <w:jc w:val="both"/>
      </w:pPr>
      <w:r>
        <w:tab/>
        <w:t>The battle speeches of Thucydides are less prevalent and for this research less important, but still interesting.</w:t>
      </w:r>
      <w:r w:rsidR="000C6743">
        <w:t xml:space="preserve"> Most of the pre-battle speeches </w:t>
      </w:r>
      <w:r w:rsidR="005428D0">
        <w:t xml:space="preserve">that Thucydides records there is a miniscule chance that he was actually </w:t>
      </w:r>
      <w:r w:rsidR="003D6D8C">
        <w:t>present for them. This means that they are extremely susceptible to the flaws of speeches discussed before. This means that these, considering must have been written years after the fact in many, if not all cases</w:t>
      </w:r>
      <w:r w:rsidR="00C27389">
        <w:t>, are primarily going to be there as a rhetoric construct of</w:t>
      </w:r>
      <w:r w:rsidR="00E53122">
        <w:t xml:space="preserve"> Thucydides. Meaning, they have little connection to the history and a closer connection to the rhetoric stylings of the time. Again, with this what is why is it important to this research? Because of the moralising factor in both </w:t>
      </w:r>
      <w:r w:rsidR="00EE0CAE">
        <w:t>Thucydides and Sallust</w:t>
      </w:r>
      <w:r w:rsidR="00E74AD2">
        <w:t xml:space="preserve"> the effect of their speeches stylistically and how to see where there </w:t>
      </w:r>
      <w:r w:rsidR="00773F6D">
        <w:t>are</w:t>
      </w:r>
      <w:r w:rsidR="00E74AD2">
        <w:t xml:space="preserve"> th</w:t>
      </w:r>
      <w:r w:rsidR="00773F6D">
        <w:t xml:space="preserve">e characteristic changes. These therefore need to be looked at in a minor capacity. These speeches are often present the generals in the most favourable light they could, with the exceptions for the specific individuals that Thucydides particularly dislikes. This shows his biases fairly well, however the political speeches </w:t>
      </w:r>
      <w:r w:rsidR="0092137A">
        <w:t xml:space="preserve">are still the primary way of seeing </w:t>
      </w:r>
      <w:r w:rsidR="00B03B2A">
        <w:t xml:space="preserve">the biases and how Thucydides uses the speeches to moralise. </w:t>
      </w:r>
    </w:p>
    <w:p w14:paraId="1343E01C" w14:textId="5276C352" w:rsidR="00B03B2A" w:rsidRDefault="00B03B2A" w:rsidP="00CA70A0">
      <w:pPr>
        <w:jc w:val="both"/>
      </w:pPr>
      <w:r>
        <w:tab/>
        <w:t xml:space="preserve">This section on Thucydides has intended to explore the speeches of Thucydides </w:t>
      </w:r>
      <w:r w:rsidR="00AC3062">
        <w:t xml:space="preserve">and how they will link to the speeches of Sallust, which will be discussed momentarily. The speeches of Thucydides are unlikely to be written close to when the speeches supposedly were recited, meaning that there is great opportunity of the contents of them to be adjusted slightly to suit Thucydides’ needs for the narrative he wishes to present to his audience. This will not be a similarity in of itself, however, the </w:t>
      </w:r>
      <w:r w:rsidR="001219C6">
        <w:t>moralisation</w:t>
      </w:r>
      <w:r w:rsidR="00AC3062">
        <w:t xml:space="preserve"> that this allows is a similarity to Sallust</w:t>
      </w:r>
      <w:r w:rsidR="001219C6">
        <w:t xml:space="preserve">; this and the inherent issues and traits of writing speeches in the ancient world: narrative, showing the author’s rhetoric capabilities, lack of accuracy, and </w:t>
      </w:r>
      <w:r w:rsidR="000216C4">
        <w:t>personal biases. Aside from these it, at this point of this research, the heavy tendency in both the authors to use speeches as a way to moralise their accounts appears to the primary way in which they are linked.</w:t>
      </w:r>
    </w:p>
    <w:p w14:paraId="747D3607" w14:textId="77777777" w:rsidR="00C22826" w:rsidRDefault="00C22826" w:rsidP="00CA70A0">
      <w:pPr>
        <w:jc w:val="both"/>
      </w:pPr>
    </w:p>
    <w:p w14:paraId="704D322A" w14:textId="092BC52E" w:rsidR="00C22826" w:rsidRDefault="00C22826" w:rsidP="00C22826">
      <w:pPr>
        <w:pStyle w:val="Heading2"/>
      </w:pPr>
      <w:r>
        <w:t xml:space="preserve">Sallustian Speeches </w:t>
      </w:r>
    </w:p>
    <w:p w14:paraId="6F382523" w14:textId="0B1BE9A0" w:rsidR="00C22826" w:rsidRDefault="00C22826" w:rsidP="00CA70A0">
      <w:pPr>
        <w:jc w:val="both"/>
      </w:pPr>
    </w:p>
    <w:p w14:paraId="48DE5539" w14:textId="6A653B06" w:rsidR="00C22826" w:rsidRDefault="001D0A72" w:rsidP="00CA70A0">
      <w:pPr>
        <w:jc w:val="both"/>
      </w:pPr>
      <w:r>
        <w:tab/>
        <w:t xml:space="preserve">Sallust is an author </w:t>
      </w:r>
      <w:r w:rsidR="00F04085">
        <w:t xml:space="preserve">whose primary </w:t>
      </w:r>
      <w:r w:rsidR="00413A2E">
        <w:t>works</w:t>
      </w:r>
      <w:r w:rsidR="00F04085">
        <w:t xml:space="preserve"> </w:t>
      </w:r>
      <w:r w:rsidR="00413A2E">
        <w:t>are</w:t>
      </w:r>
      <w:r w:rsidR="00F04085">
        <w:t xml:space="preserve"> upon t</w:t>
      </w:r>
      <w:r w:rsidR="00413A2E">
        <w:t xml:space="preserve">he Cataline Conspiracy and the Jugurthine War, which are </w:t>
      </w:r>
      <w:r w:rsidR="00E46F55">
        <w:t>collectively</w:t>
      </w:r>
      <w:r w:rsidR="00413A2E">
        <w:t xml:space="preserve"> shorter than the works of Thucydides</w:t>
      </w:r>
      <w:r w:rsidR="00E46F55">
        <w:t>. However, there is plenty to within these works to analyse in comparison Thucydides</w:t>
      </w:r>
      <w:r w:rsidR="00E12ACF">
        <w:t>.</w:t>
      </w:r>
      <w:r w:rsidR="00BA45DB">
        <w:t xml:space="preserve"> For the purposes of this research I will primely focus upon the former of these complete works, as it has the more interesting aspects and all the biases, which amplifies the connections, will be addressed more often.</w:t>
      </w:r>
      <w:r w:rsidR="00E12ACF">
        <w:t xml:space="preserve"> As there are many speeches in Sallust it is easy to see the what the author was thinking, and provide the comparison </w:t>
      </w:r>
      <w:r w:rsidR="000F5B73">
        <w:t xml:space="preserve">to Thucydides. This section will be laid out similarly to the previous section on Thucydides so there is consistency between them. </w:t>
      </w:r>
    </w:p>
    <w:p w14:paraId="4DF991FC" w14:textId="4DED1438" w:rsidR="000F5B73" w:rsidRDefault="000F5B73" w:rsidP="00CA70A0">
      <w:pPr>
        <w:jc w:val="both"/>
      </w:pPr>
      <w:r>
        <w:tab/>
        <w:t xml:space="preserve">As before, the first section to be analysed will be the political speeches of Sallust. As with Thucydides </w:t>
      </w:r>
      <w:r w:rsidR="006C4607">
        <w:t xml:space="preserve">the speeches are where a lot can be learnt about what the author. As is explored by many scholars, Sallust’s speeches are very problematic. Beginning with possibly the largest of the apparent </w:t>
      </w:r>
      <w:r w:rsidR="006C4607">
        <w:lastRenderedPageBreak/>
        <w:t>issues with Sallustian speeches, Caesar. Caesar is outright a problem in Sallust’s work on the Cataline conspiracy, for reasons that will mostly be discussed in the next paragraph. Here the issue is his prominence in the senate at the time of the Ca</w:t>
      </w:r>
      <w:r w:rsidR="00442F43">
        <w:t>ta</w:t>
      </w:r>
      <w:r w:rsidR="006C4607">
        <w:t xml:space="preserve">line conspiracy is nowhere near </w:t>
      </w:r>
      <w:r w:rsidR="00442F43">
        <w:t>as dominant as is it presented in Sallust’s work. There is difficulty here as the order of speaking in the senate was determined by the precedence set by the cursus honourum and the order of previous years consuls</w:t>
      </w:r>
      <w:r w:rsidR="00977C9D">
        <w:rPr>
          <w:rStyle w:val="FootnoteReference"/>
        </w:rPr>
        <w:footnoteReference w:id="18"/>
      </w:r>
      <w:r w:rsidR="00442F43">
        <w:t>, the notable exception to this being Cato who has the distinction of having very little negative written about him in the sources.</w:t>
      </w:r>
      <w:r w:rsidR="00B9490C">
        <w:t xml:space="preserve"> The order of the speeches in Sallust suggest that Caesar speaks during when the proconsuls would be addressing the senate, an implication that for this time would be wrong or rude for etiquette of debates in the senate</w:t>
      </w:r>
      <w:r w:rsidR="00363A3F">
        <w:t xml:space="preserve">. At this time Caesar would be </w:t>
      </w:r>
      <w:r w:rsidR="000C59DC">
        <w:t xml:space="preserve">a Adile at the highest in the cursus honourum, a respectable rank but not one to give him precedence to talk amongst the consuls as Adiles would have had their own place to speak in the order. This </w:t>
      </w:r>
      <w:r w:rsidR="006040BD">
        <w:t>is an obvious proble</w:t>
      </w:r>
      <w:r w:rsidR="00796EBB">
        <w:t xml:space="preserve">m that this presents, if this is as inaccurate as it is what can be trusted in the rest of Sallust’s works. Well, it is difficult to assess, because Sallust certainly falls into the same pitfalls as Thucydides regarding personal connections. the political speeches in Sallust do appear to be potentially less accurate than the speeches of Thucydides. It is likely that as they both mostly present only two </w:t>
      </w:r>
      <w:r w:rsidR="00CF609B">
        <w:t>speakers</w:t>
      </w:r>
      <w:r w:rsidR="00796EBB">
        <w:t xml:space="preserve"> when there would have been many means that the speeches could also be an amalgamation of the speeches given rather than, or as well as, as reworking of the speech for the </w:t>
      </w:r>
      <w:r w:rsidR="00CF609B">
        <w:t>rhetoric</w:t>
      </w:r>
      <w:r w:rsidR="00682DB7">
        <w:t xml:space="preserve"> of the author. This means that the primary similarity in how Thucydides and Sallust regarding political speeches is their distortion for narrative that wants to be presented by the author. The specifics of the narrative that both wish to present is about to be discussed</w:t>
      </w:r>
      <w:r w:rsidR="0057734B">
        <w:t>.</w:t>
      </w:r>
    </w:p>
    <w:p w14:paraId="00C19611" w14:textId="779B2619" w:rsidR="0057734B" w:rsidRDefault="0057734B" w:rsidP="00CA70A0">
      <w:pPr>
        <w:jc w:val="both"/>
      </w:pPr>
      <w:r>
        <w:tab/>
        <w:t>As has been explored, Thucydides’ potential distortions have a very logical explanation, personal politics and connections combined with time allowing him to present the work more freely.</w:t>
      </w:r>
      <w:r w:rsidR="00033021">
        <w:t xml:space="preserve"> </w:t>
      </w:r>
      <w:r w:rsidR="00F86FF4">
        <w:t xml:space="preserve">this is also true of Sallust. Throughout Sallust’s work there are clear points where he seems to be presenting his own politics and particularly connections onto the work, again, it is most notable with Caesar who was also his patron for a lot of this work. This is where there is the biggest difference between Sallust and Thucydides, and the latter has no reference to having a patron. While Thucydides presents his own politics throughout his work Sallust presents the politics in a way that would alleviate his patron from ant implication </w:t>
      </w:r>
      <w:r w:rsidR="00BA45DB">
        <w:t>in the Cataline Conspiracy that had been present since Cicero revealed the plot in 63BCE. This is significant further as Sallust supposedly wrote after Caesar</w:t>
      </w:r>
      <w:r w:rsidR="009360F6">
        <w:t>’s death</w:t>
      </w:r>
      <w:r w:rsidR="00977C9D">
        <w:rPr>
          <w:rStyle w:val="FootnoteReference"/>
        </w:rPr>
        <w:footnoteReference w:id="19"/>
      </w:r>
      <w:r w:rsidR="009360F6">
        <w:t xml:space="preserve">. This therefore </w:t>
      </w:r>
      <w:r w:rsidR="00AA5E28">
        <w:t>would be intended to clear a blight on Caesar’s name after his assassination, however, in doing so would be very susceptible to adjustment of the truth for the purpose of the narrative, far more so than Thucydides. This is also true if it was not entirely meant to alleviate Caesar form complacency with the plot, as Sallust was a supporter of Caesar</w:t>
      </w:r>
      <w:r w:rsidR="00977C9D">
        <w:rPr>
          <w:rStyle w:val="FootnoteReference"/>
        </w:rPr>
        <w:footnoteReference w:id="20"/>
      </w:r>
      <w:r w:rsidR="00AA5E28">
        <w:t xml:space="preserve">. This can be seen clearly in the work on the Cataline conspiracy as well as the </w:t>
      </w:r>
      <w:r w:rsidR="00676CD0">
        <w:t xml:space="preserve">Jugurthine </w:t>
      </w:r>
      <w:r w:rsidR="00AA5E28">
        <w:t xml:space="preserve">War, and Marius is heavily supported and the successors to Sulla’s politics are also presented in a bad light </w:t>
      </w:r>
      <w:r w:rsidR="00977C9D">
        <w:t>tha</w:t>
      </w:r>
      <w:r w:rsidR="00AA5E28">
        <w:t xml:space="preserve">n the later surviving work. This political allegiance makes it where Caesar’s speech in the senate on the fate of the </w:t>
      </w:r>
      <w:r w:rsidR="00676CD0">
        <w:t>conspirators</w:t>
      </w:r>
      <w:r w:rsidR="00AA5E28">
        <w:t xml:space="preserve"> </w:t>
      </w:r>
      <w:r w:rsidR="00676CD0">
        <w:t xml:space="preserve">make a lot of sense, amplifying the more merciful traits and showing him as a good orator. However, because of this it does seem unlikely that the speeches are particularly accurate, much like Thucydides but to a greater extent. </w:t>
      </w:r>
    </w:p>
    <w:p w14:paraId="1078B03D" w14:textId="5791101D" w:rsidR="006A508D" w:rsidRDefault="00676CD0" w:rsidP="00CA70A0">
      <w:pPr>
        <w:jc w:val="both"/>
      </w:pPr>
      <w:r>
        <w:tab/>
        <w:t xml:space="preserve">There is also the factor of the moralisation of Sallust’s work. Sallust throughout both of his surviving works take a, rather ironic in retrospect, standpoint of condemning the corruption in the </w:t>
      </w:r>
      <w:r>
        <w:lastRenderedPageBreak/>
        <w:t>senate</w:t>
      </w:r>
      <w:r w:rsidR="00977C9D">
        <w:rPr>
          <w:rStyle w:val="FootnoteReference"/>
        </w:rPr>
        <w:footnoteReference w:id="21"/>
      </w:r>
      <w:r>
        <w:t>. This is ironic as Sallust himself was exiled for corruption</w:t>
      </w:r>
      <w:r w:rsidR="00977C9D">
        <w:rPr>
          <w:rStyle w:val="FootnoteReference"/>
        </w:rPr>
        <w:footnoteReference w:id="22"/>
      </w:r>
      <w:r>
        <w:t xml:space="preserve">, but what is politics without hypocrisy? This does again strike remarkable </w:t>
      </w:r>
      <w:r w:rsidR="007B4C46">
        <w:t xml:space="preserve">resemblance to Thucydides, as both were exiled by the very thing that they focus writing on. It seems that exile and resentment make a good historian in the ancient world. </w:t>
      </w:r>
      <w:r w:rsidR="00293F41">
        <w:t xml:space="preserve">With Sallust however, the moralisation is very prevalent, taking any opportunity to deliver cursory judgemental statements to the subject of that he is discussing. This does not seem to be entirely a difference in cultural style of writing history, as Caesar’s histories are not as moralising with only a few references to acts that seem to be intended to evoke </w:t>
      </w:r>
      <w:r w:rsidR="006A508D">
        <w:t>an emotional response from the reader.</w:t>
      </w:r>
    </w:p>
    <w:p w14:paraId="616E1813" w14:textId="49C2D1DC" w:rsidR="006A508D" w:rsidRDefault="00977C9D" w:rsidP="006A508D">
      <w:pPr>
        <w:ind w:firstLine="720"/>
        <w:jc w:val="both"/>
      </w:pPr>
      <w:r>
        <w:t>T</w:t>
      </w:r>
      <w:r w:rsidR="00F05DBD">
        <w:t>he other kind of speeches, pre-battle speeches, also appear in Sallust, primarily</w:t>
      </w:r>
      <w:r w:rsidR="003439B5">
        <w:t xml:space="preserve"> the </w:t>
      </w:r>
      <w:r w:rsidR="00665F91">
        <w:t xml:space="preserve">Jugurthine </w:t>
      </w:r>
      <w:r w:rsidR="003439B5">
        <w:t>war. Pre-battle speeches appear to function in much the same way in Sallust as they do in Thucydides, to functionally provide some narrative to that part of the work and provide inspiration for the soldiers in the context to the work. As they function in a similar way to Thucydides there is little to say about them that has not already been mentioned above, which means this is going to be a short paragraph. Thucydides uses the pre-battle speech incredibly sparingly, focusing primarily on the character of the individual and the apparent narrative value</w:t>
      </w:r>
      <w:r w:rsidR="00665F91">
        <w:t xml:space="preserve"> of having that speech there. </w:t>
      </w:r>
      <w:r w:rsidR="00207505">
        <w:t>Sallust and indeed later Latin writer such as Cassius Dio or Plutarch or even Tacitus use</w:t>
      </w:r>
      <w:r>
        <w:t>d</w:t>
      </w:r>
      <w:r w:rsidR="00207505">
        <w:t xml:space="preserve"> pre-battle speeches which makes it very likely that this is part of the Latin tradition of history, meaning that it is a difference in how the authors think about history rather than a deliberate divergence or something that would be more interesting from a historiographical viewpoint. This difference in frequency in pre-battle speeches is not as seemingly important as the differences in the political speeches.</w:t>
      </w:r>
    </w:p>
    <w:p w14:paraId="746D39DC" w14:textId="463FD33B" w:rsidR="006A508D" w:rsidRDefault="006A508D" w:rsidP="00CA70A0">
      <w:pPr>
        <w:jc w:val="both"/>
      </w:pPr>
      <w:r>
        <w:tab/>
        <w:t>Sallust as one final difference to Thucydides, the difference of where in the established genre they are in. Thucydides writes when history is still not really a genre per say, but rather made the analytic style</w:t>
      </w:r>
      <w:r w:rsidR="00D37389">
        <w:t xml:space="preserve"> of history that is prevalent in the Greek source</w:t>
      </w:r>
      <w:r w:rsidR="008E6FC5">
        <w:t>s. Sallust however is Roma</w:t>
      </w:r>
      <w:r w:rsidR="00F05DBD">
        <w:t>n</w:t>
      </w:r>
      <w:r w:rsidR="008E6FC5">
        <w:t>, and the Latin tradition until this point is not very clear on what the conventions were or anything along those lines.</w:t>
      </w:r>
      <w:r w:rsidR="00F05DBD">
        <w:t xml:space="preserve"> It is very possible that the moralisation that is present in Sallust as a part of the Latin tradition. This aspect is certainly a </w:t>
      </w:r>
      <w:r w:rsidR="003439B5">
        <w:t>difference</w:t>
      </w:r>
      <w:r w:rsidR="00F05DBD">
        <w:t xml:space="preserve"> based on the frequency of the moralisation in the work, but it may simply be due to Sallust following the conventions of the literary tradition that he knows, which is something that scholars still do. Either way, it does affect the work and is something that needed to be addressed in the minor way that it has. </w:t>
      </w:r>
    </w:p>
    <w:p w14:paraId="0EDD4BC6" w14:textId="2D36A430" w:rsidR="00F05DBD" w:rsidRDefault="00F05DBD" w:rsidP="00CA70A0">
      <w:pPr>
        <w:jc w:val="both"/>
      </w:pPr>
      <w:r>
        <w:tab/>
        <w:t>Over the Sallust section</w:t>
      </w:r>
      <w:r w:rsidR="00207505">
        <w:t xml:space="preserve"> of this work it has hopefully become apparent that there are many similarities between the pair of authors in how they work as well as a smattering of differences. Overall, Sallust writes what appear to be more moralising works intended to impart a message to the reader rather than simply recount the events. As discusses this fundamental difference is partly coming for a pre-establishe</w:t>
      </w:r>
      <w:r w:rsidR="007E5EA7">
        <w:t>d tradition that does this but mainly that Sallust has connections and a far more prevalent political agenda to push to the forefront of his histories.</w:t>
      </w:r>
    </w:p>
    <w:p w14:paraId="5D1A5B42" w14:textId="77777777" w:rsidR="00C22826" w:rsidRDefault="00C22826" w:rsidP="00CA70A0">
      <w:pPr>
        <w:jc w:val="both"/>
      </w:pPr>
    </w:p>
    <w:p w14:paraId="75FD6548" w14:textId="3C73BF59" w:rsidR="00874D58" w:rsidRDefault="00C22826" w:rsidP="00C22826">
      <w:pPr>
        <w:pStyle w:val="Heading2"/>
      </w:pPr>
      <w:r>
        <w:t>Conclusion</w:t>
      </w:r>
    </w:p>
    <w:p w14:paraId="074EC191" w14:textId="2A642AA9" w:rsidR="00874D58" w:rsidRDefault="00874D58" w:rsidP="00CA70A0">
      <w:pPr>
        <w:jc w:val="both"/>
      </w:pPr>
    </w:p>
    <w:p w14:paraId="5FC55F7F" w14:textId="2FA93249" w:rsidR="00C22826" w:rsidRDefault="007E5EA7" w:rsidP="00CA70A0">
      <w:pPr>
        <w:jc w:val="both"/>
      </w:pPr>
      <w:r>
        <w:tab/>
        <w:t>This research has hopefully shown the comparable aspects of Thucydides and Sallust</w:t>
      </w:r>
      <w:r w:rsidR="00820E2E">
        <w:t xml:space="preserve"> in their presentation of speeches. </w:t>
      </w:r>
      <w:r w:rsidR="00F55F54">
        <w:t xml:space="preserve">Overall, both use their speeches in a very similar way to each other, as speeches are used in a fairly generalised way over most of the sources, to show narrative. In showing the narrative Thucydides and Sallust are very similar, using the inherent flaws in writing speeches to </w:t>
      </w:r>
      <w:r w:rsidR="00F55F54">
        <w:lastRenderedPageBreak/>
        <w:t>allow their narrative to come through. As well as this both have the same issues with distortion of many of the political speeches before their respective exiles, though Thucydides is the only one of the two to record speeches after his ostracism.</w:t>
      </w:r>
      <w:r w:rsidR="007E306F">
        <w:t xml:space="preserve"> Sallust however has far more potential for distortion in his speeches based on the personal connections, both through political allegiance and patronage to Caesar. This is the primary difference, the speeches in Sallust are more directly intended to further his own aims and goals rather</w:t>
      </w:r>
      <w:r w:rsidR="00624E46">
        <w:t xml:space="preserve"> than the more objectively neutral standpoint of Thucydides. </w:t>
      </w:r>
    </w:p>
    <w:p w14:paraId="08CC6373" w14:textId="776A97BB" w:rsidR="00C22826" w:rsidRDefault="00C22826" w:rsidP="00CA70A0">
      <w:pPr>
        <w:jc w:val="both"/>
      </w:pPr>
    </w:p>
    <w:p w14:paraId="4F4BEB07" w14:textId="663FE4C0" w:rsidR="00C22826" w:rsidRDefault="00C22826" w:rsidP="00CA70A0">
      <w:pPr>
        <w:jc w:val="both"/>
      </w:pPr>
    </w:p>
    <w:p w14:paraId="3C3793F5" w14:textId="459E0821" w:rsidR="00C22826" w:rsidRDefault="00C22826" w:rsidP="00CA70A0">
      <w:pPr>
        <w:jc w:val="both"/>
      </w:pPr>
    </w:p>
    <w:p w14:paraId="5AAAA24B" w14:textId="3C0B24FE" w:rsidR="00C22826" w:rsidRDefault="00C22826" w:rsidP="00CA70A0">
      <w:pPr>
        <w:jc w:val="both"/>
      </w:pPr>
    </w:p>
    <w:p w14:paraId="1296FA38" w14:textId="4E0E3A12" w:rsidR="00C22826" w:rsidRDefault="00C22826" w:rsidP="00CA70A0">
      <w:pPr>
        <w:jc w:val="both"/>
      </w:pPr>
    </w:p>
    <w:p w14:paraId="12D69757" w14:textId="5320A1CB" w:rsidR="00C22826" w:rsidRDefault="00C22826" w:rsidP="00CA70A0">
      <w:pPr>
        <w:jc w:val="both"/>
      </w:pPr>
    </w:p>
    <w:p w14:paraId="25EBCF53" w14:textId="2FC635B7" w:rsidR="00C22826" w:rsidRDefault="00C22826" w:rsidP="00CA70A0">
      <w:pPr>
        <w:jc w:val="both"/>
      </w:pPr>
    </w:p>
    <w:p w14:paraId="62078332" w14:textId="4C756352" w:rsidR="00C22826" w:rsidRDefault="00C22826" w:rsidP="00CA70A0">
      <w:pPr>
        <w:jc w:val="both"/>
      </w:pPr>
    </w:p>
    <w:p w14:paraId="4E702B56" w14:textId="6B99D9E2" w:rsidR="00C22826" w:rsidRDefault="00C22826" w:rsidP="00CA70A0">
      <w:pPr>
        <w:jc w:val="both"/>
      </w:pPr>
    </w:p>
    <w:p w14:paraId="08489CFB" w14:textId="7BC17F7B" w:rsidR="00C22826" w:rsidRDefault="00C22826" w:rsidP="00CA70A0">
      <w:pPr>
        <w:jc w:val="both"/>
      </w:pPr>
    </w:p>
    <w:p w14:paraId="49447CC2" w14:textId="0EA0AC1C" w:rsidR="00C22826" w:rsidRDefault="00C22826" w:rsidP="00CA70A0">
      <w:pPr>
        <w:jc w:val="both"/>
      </w:pPr>
    </w:p>
    <w:p w14:paraId="44F76372" w14:textId="30818971" w:rsidR="00C22826" w:rsidRDefault="00C22826" w:rsidP="00CA70A0">
      <w:pPr>
        <w:jc w:val="both"/>
      </w:pPr>
    </w:p>
    <w:p w14:paraId="74827529" w14:textId="1B928209" w:rsidR="00C22826" w:rsidRDefault="00C22826" w:rsidP="00CA70A0">
      <w:pPr>
        <w:jc w:val="both"/>
      </w:pPr>
    </w:p>
    <w:p w14:paraId="5E935069" w14:textId="24026EC3" w:rsidR="00C22826" w:rsidRDefault="00C22826" w:rsidP="00CA70A0">
      <w:pPr>
        <w:jc w:val="both"/>
      </w:pPr>
    </w:p>
    <w:p w14:paraId="42317EBE" w14:textId="776A357C" w:rsidR="00C22826" w:rsidRDefault="00C22826" w:rsidP="00CA70A0">
      <w:pPr>
        <w:jc w:val="both"/>
      </w:pPr>
    </w:p>
    <w:p w14:paraId="1F95087F" w14:textId="6C28B83B" w:rsidR="00C22826" w:rsidRDefault="00C22826" w:rsidP="00CA70A0">
      <w:pPr>
        <w:jc w:val="both"/>
      </w:pPr>
    </w:p>
    <w:p w14:paraId="713097A8" w14:textId="782F9A02" w:rsidR="00737238" w:rsidRDefault="00737238" w:rsidP="00CA70A0">
      <w:pPr>
        <w:jc w:val="both"/>
      </w:pPr>
    </w:p>
    <w:p w14:paraId="55342AEC" w14:textId="67E46774" w:rsidR="00737238" w:rsidRDefault="00737238" w:rsidP="00CA70A0">
      <w:pPr>
        <w:jc w:val="both"/>
      </w:pPr>
    </w:p>
    <w:p w14:paraId="4061B2E5" w14:textId="2DF8D355" w:rsidR="00737238" w:rsidRDefault="00737238" w:rsidP="00CA70A0">
      <w:pPr>
        <w:jc w:val="both"/>
      </w:pPr>
    </w:p>
    <w:p w14:paraId="3DD0315B" w14:textId="77777777" w:rsidR="00737238" w:rsidRDefault="00737238" w:rsidP="00CA70A0">
      <w:pPr>
        <w:jc w:val="both"/>
      </w:pPr>
    </w:p>
    <w:p w14:paraId="05DABFD8" w14:textId="68969CAA" w:rsidR="00C22826" w:rsidRDefault="00C22826" w:rsidP="00CA70A0">
      <w:pPr>
        <w:jc w:val="both"/>
      </w:pPr>
    </w:p>
    <w:p w14:paraId="75050DC1" w14:textId="77777777" w:rsidR="00C22826" w:rsidRDefault="00C22826" w:rsidP="00CA70A0">
      <w:pPr>
        <w:jc w:val="both"/>
      </w:pPr>
    </w:p>
    <w:p w14:paraId="07498899" w14:textId="199FA190" w:rsidR="00C22826" w:rsidRDefault="00C22826" w:rsidP="00CA70A0">
      <w:pPr>
        <w:jc w:val="both"/>
      </w:pPr>
    </w:p>
    <w:p w14:paraId="1C05C457" w14:textId="36BDC9A6" w:rsidR="00C57784" w:rsidRDefault="00C57784" w:rsidP="00CA70A0">
      <w:pPr>
        <w:jc w:val="both"/>
      </w:pPr>
    </w:p>
    <w:p w14:paraId="29EDA931" w14:textId="77777777" w:rsidR="00C57784" w:rsidRDefault="00C57784" w:rsidP="00CA70A0">
      <w:pPr>
        <w:jc w:val="both"/>
      </w:pPr>
    </w:p>
    <w:p w14:paraId="7388E7C7" w14:textId="3332AD3A" w:rsidR="00C22826" w:rsidRDefault="00C22826" w:rsidP="00CA70A0">
      <w:pPr>
        <w:jc w:val="both"/>
      </w:pPr>
    </w:p>
    <w:p w14:paraId="3A2C67CE" w14:textId="06A2274B" w:rsidR="00C22826" w:rsidRDefault="00C22826" w:rsidP="00C22826">
      <w:pPr>
        <w:pStyle w:val="Heading2"/>
      </w:pPr>
      <w:r>
        <w:lastRenderedPageBreak/>
        <w:t xml:space="preserve">Bibliography </w:t>
      </w:r>
    </w:p>
    <w:p w14:paraId="15CA114F" w14:textId="51CD2983" w:rsidR="00C22826" w:rsidRDefault="00C22826" w:rsidP="00C22826"/>
    <w:p w14:paraId="4F7E6832"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Allen, Walter. “Sallust's Political Career.” </w:t>
      </w:r>
      <w:r w:rsidRPr="00737238">
        <w:rPr>
          <w:rFonts w:cstheme="minorHAnsi"/>
          <w:i/>
          <w:iCs/>
          <w:shd w:val="clear" w:color="auto" w:fill="FFFFFF"/>
        </w:rPr>
        <w:t>Studies in Philology</w:t>
      </w:r>
      <w:r w:rsidRPr="00737238">
        <w:rPr>
          <w:rFonts w:cstheme="minorHAnsi"/>
          <w:shd w:val="clear" w:color="auto" w:fill="FFFFFF"/>
        </w:rPr>
        <w:t>, vol. 51, no. 1, 1954, pp. 1–14.</w:t>
      </w:r>
      <w:r w:rsidRPr="00737238">
        <w:rPr>
          <w:rFonts w:cstheme="minorHAnsi"/>
        </w:rPr>
        <w:br/>
      </w:r>
      <w:r w:rsidRPr="00737238">
        <w:rPr>
          <w:rFonts w:cstheme="minorHAnsi"/>
          <w:shd w:val="clear" w:color="auto" w:fill="FFFFFF"/>
        </w:rPr>
        <w:t>  Garrity Thomas F. ‘Thucydides 1.22.1: Content and Form in the Speeches’ The American Journal of Philology, Vol. 119, No. 3.(Autumn, 1998), pp. 361-384</w:t>
      </w:r>
      <w:r w:rsidRPr="00737238">
        <w:rPr>
          <w:rFonts w:cstheme="minorHAnsi"/>
        </w:rPr>
        <w:br/>
      </w:r>
      <w:r w:rsidRPr="00737238">
        <w:rPr>
          <w:rFonts w:cstheme="minorHAnsi"/>
          <w:shd w:val="clear" w:color="auto" w:fill="FFFFFF"/>
        </w:rPr>
        <w:t>  Gribble, David ‘Narrator Interventions in Thucydides’ The Journal of Hellenic Studies, Vol. 118, (1998), pp. 41-67</w:t>
      </w:r>
    </w:p>
    <w:p w14:paraId="3F7031B0"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Bloedow, Edmund F. “The Implications of a Major Contradiction in Pericles' Career.” </w:t>
      </w:r>
      <w:r w:rsidRPr="00737238">
        <w:rPr>
          <w:rFonts w:cstheme="minorHAnsi"/>
          <w:i/>
          <w:iCs/>
          <w:shd w:val="clear" w:color="auto" w:fill="FFFFFF"/>
        </w:rPr>
        <w:t>Hermes</w:t>
      </w:r>
      <w:r w:rsidRPr="00737238">
        <w:rPr>
          <w:rFonts w:cstheme="minorHAnsi"/>
          <w:shd w:val="clear" w:color="auto" w:fill="FFFFFF"/>
        </w:rPr>
        <w:t>, vol. 128, no. 3, 2000, pp. 295–309.</w:t>
      </w:r>
    </w:p>
    <w:p w14:paraId="4E2EF984"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Borza, Eugene N. “Timber and Politics in the Ancient World: Macedon and the Greeks.” </w:t>
      </w:r>
      <w:r w:rsidRPr="00737238">
        <w:rPr>
          <w:rFonts w:cstheme="minorHAnsi"/>
          <w:i/>
          <w:iCs/>
          <w:shd w:val="clear" w:color="auto" w:fill="FFFFFF"/>
        </w:rPr>
        <w:t>Proceedings of the American Philosophical Society</w:t>
      </w:r>
      <w:r w:rsidRPr="00737238">
        <w:rPr>
          <w:rFonts w:cstheme="minorHAnsi"/>
          <w:shd w:val="clear" w:color="auto" w:fill="FFFFFF"/>
        </w:rPr>
        <w:t>, vol. 131, no. 1, 1987, pp. 32–52.</w:t>
      </w:r>
    </w:p>
    <w:p w14:paraId="7B2708DA"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Byrd, R. (2001). </w:t>
      </w:r>
      <w:r w:rsidRPr="00737238">
        <w:rPr>
          <w:rFonts w:cstheme="minorHAnsi"/>
          <w:i/>
          <w:iCs/>
          <w:shd w:val="clear" w:color="auto" w:fill="FFFFFF"/>
        </w:rPr>
        <w:t>The Senate of the Roman Republic</w:t>
      </w:r>
      <w:r w:rsidRPr="00737238">
        <w:rPr>
          <w:rFonts w:cstheme="minorHAnsi"/>
          <w:shd w:val="clear" w:color="auto" w:fill="FFFFFF"/>
        </w:rPr>
        <w:t>. Honolulu, Hawaii: University Press of the Pacific.</w:t>
      </w:r>
    </w:p>
    <w:p w14:paraId="238B9379"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Chernick, Steven ‘Historical Manipulation in Thucydides?’ The Classical World, Vol. 65, No. 4 (Dec., 1971), pp. 126-130.</w:t>
      </w:r>
    </w:p>
    <w:p w14:paraId="3CA56199"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Dewald, C. Thucydides' War Narrative. Berkeley, 2005</w:t>
      </w:r>
    </w:p>
    <w:p w14:paraId="2F9DFFDA"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Earl, D. C.  The Political Thought of </w:t>
      </w:r>
      <w:hyperlink r:id="rId8" w:tooltip="Sallust" w:history="1">
        <w:r w:rsidRPr="00737238">
          <w:rPr>
            <w:rStyle w:val="Hyperlink"/>
            <w:rFonts w:cstheme="minorHAnsi"/>
            <w:color w:val="auto"/>
            <w:u w:val="none"/>
            <w:shd w:val="clear" w:color="auto" w:fill="FFFFFF"/>
          </w:rPr>
          <w:t>Sallust</w:t>
        </w:r>
      </w:hyperlink>
      <w:r w:rsidRPr="00737238">
        <w:rPr>
          <w:rFonts w:cstheme="minorHAnsi"/>
          <w:shd w:val="clear" w:color="auto" w:fill="FFFFFF"/>
        </w:rPr>
        <w:t>, Cambridge 1961</w:t>
      </w:r>
    </w:p>
    <w:p w14:paraId="5B6D1CCB"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Kapust, D.  (2011). </w:t>
      </w:r>
      <w:r w:rsidRPr="00737238">
        <w:rPr>
          <w:rFonts w:cstheme="minorHAnsi"/>
          <w:i/>
          <w:iCs/>
          <w:shd w:val="clear" w:color="auto" w:fill="FFFFFF"/>
        </w:rPr>
        <w:t>Republicanism, Rhetoric, and Roman Political Thought </w:t>
      </w:r>
      <w:hyperlink r:id="rId9" w:tooltip="Sallust" w:history="1">
        <w:r w:rsidRPr="00737238">
          <w:rPr>
            <w:rStyle w:val="Hyperlink"/>
            <w:rFonts w:cstheme="minorHAnsi"/>
            <w:i/>
            <w:iCs/>
            <w:color w:val="auto"/>
            <w:u w:val="none"/>
          </w:rPr>
          <w:t>Sallust</w:t>
        </w:r>
      </w:hyperlink>
      <w:r w:rsidRPr="00737238">
        <w:rPr>
          <w:rFonts w:cstheme="minorHAnsi"/>
          <w:i/>
          <w:iCs/>
          <w:shd w:val="clear" w:color="auto" w:fill="FFFFFF"/>
        </w:rPr>
        <w:t>, </w:t>
      </w:r>
      <w:hyperlink r:id="rId10" w:tooltip="Livy" w:history="1">
        <w:r w:rsidRPr="00737238">
          <w:rPr>
            <w:rStyle w:val="Hyperlink"/>
            <w:rFonts w:cstheme="minorHAnsi"/>
            <w:i/>
            <w:iCs/>
            <w:color w:val="auto"/>
            <w:u w:val="none"/>
          </w:rPr>
          <w:t>Livy</w:t>
        </w:r>
      </w:hyperlink>
      <w:r w:rsidRPr="00737238">
        <w:rPr>
          <w:rFonts w:cstheme="minorHAnsi"/>
          <w:i/>
          <w:iCs/>
          <w:shd w:val="clear" w:color="auto" w:fill="FFFFFF"/>
        </w:rPr>
        <w:t>, and Tacitus</w:t>
      </w:r>
    </w:p>
    <w:p w14:paraId="03F68658"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Lane, Melissa. “The Origins of the Statesman—Demagogue Distinction in and after Ancient Athens.” </w:t>
      </w:r>
      <w:r w:rsidRPr="00737238">
        <w:rPr>
          <w:rFonts w:cstheme="minorHAnsi"/>
          <w:i/>
          <w:iCs/>
          <w:shd w:val="clear" w:color="auto" w:fill="FFFFFF"/>
        </w:rPr>
        <w:t>Journal of the History of Ideas</w:t>
      </w:r>
      <w:r w:rsidRPr="00737238">
        <w:rPr>
          <w:rFonts w:cstheme="minorHAnsi"/>
          <w:shd w:val="clear" w:color="auto" w:fill="FFFFFF"/>
        </w:rPr>
        <w:t>, vol. 73, no. 2, 2012, pp. 179–200. </w:t>
      </w:r>
    </w:p>
    <w:p w14:paraId="238C9558" w14:textId="77777777" w:rsidR="00737238" w:rsidRPr="00737238" w:rsidRDefault="000E411C" w:rsidP="00737238">
      <w:pPr>
        <w:ind w:left="567" w:hanging="567"/>
        <w:rPr>
          <w:rFonts w:cstheme="minorHAnsi"/>
          <w:shd w:val="clear" w:color="auto" w:fill="F7F7F7"/>
        </w:rPr>
      </w:pPr>
      <w:hyperlink r:id="rId11" w:tooltip="Ronald J. Mellor" w:history="1">
        <w:r w:rsidR="00737238" w:rsidRPr="00737238">
          <w:rPr>
            <w:rStyle w:val="Hyperlink"/>
            <w:rFonts w:cstheme="minorHAnsi"/>
            <w:color w:val="auto"/>
            <w:u w:val="none"/>
            <w:shd w:val="clear" w:color="auto" w:fill="F7F7F7"/>
          </w:rPr>
          <w:t>Mellor, R.</w:t>
        </w:r>
      </w:hyperlink>
      <w:r w:rsidR="00737238" w:rsidRPr="00737238">
        <w:rPr>
          <w:rFonts w:cstheme="minorHAnsi"/>
          <w:shd w:val="clear" w:color="auto" w:fill="F7F7F7"/>
        </w:rPr>
        <w:t> (1999) </w:t>
      </w:r>
      <w:r w:rsidR="00737238" w:rsidRPr="00737238">
        <w:rPr>
          <w:rFonts w:cstheme="minorHAnsi"/>
          <w:i/>
          <w:iCs/>
          <w:shd w:val="clear" w:color="auto" w:fill="F7F7F7"/>
        </w:rPr>
        <w:t>The Roman historians</w:t>
      </w:r>
      <w:r w:rsidR="00737238" w:rsidRPr="00737238">
        <w:rPr>
          <w:rFonts w:cstheme="minorHAnsi"/>
          <w:shd w:val="clear" w:color="auto" w:fill="F7F7F7"/>
        </w:rPr>
        <w:t xml:space="preserve">. Routledge. </w:t>
      </w:r>
    </w:p>
    <w:p w14:paraId="634A0D5C"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Sklenar, R. ‘La République des Signes: </w:t>
      </w:r>
      <w:hyperlink r:id="rId12" w:tooltip="Caesar" w:history="1">
        <w:r w:rsidRPr="00737238">
          <w:rPr>
            <w:rStyle w:val="Hyperlink"/>
            <w:rFonts w:cstheme="minorHAnsi"/>
            <w:color w:val="auto"/>
            <w:u w:val="none"/>
            <w:shd w:val="clear" w:color="auto" w:fill="FFFFFF"/>
          </w:rPr>
          <w:t>Caesar</w:t>
        </w:r>
      </w:hyperlink>
      <w:r w:rsidRPr="00737238">
        <w:rPr>
          <w:rFonts w:cstheme="minorHAnsi"/>
          <w:shd w:val="clear" w:color="auto" w:fill="FFFFFF"/>
        </w:rPr>
        <w:t>, Cato, and the Language of Sallustian Morality’, Transactions of the American Philological Association vol. 128 (1998), 205-220</w:t>
      </w:r>
    </w:p>
    <w:p w14:paraId="2AEF6BB3" w14:textId="77777777" w:rsidR="00737238" w:rsidRPr="00737238" w:rsidRDefault="000E411C" w:rsidP="00737238">
      <w:pPr>
        <w:ind w:left="567" w:hanging="567"/>
        <w:rPr>
          <w:rFonts w:cstheme="minorHAnsi"/>
          <w:shd w:val="clear" w:color="auto" w:fill="F7F7F7"/>
        </w:rPr>
      </w:pPr>
      <w:hyperlink r:id="rId13" w:tooltip="Ronald Syme" w:history="1">
        <w:r w:rsidR="00737238" w:rsidRPr="00737238">
          <w:rPr>
            <w:rStyle w:val="Hyperlink"/>
            <w:rFonts w:cstheme="minorHAnsi"/>
            <w:color w:val="auto"/>
            <w:u w:val="none"/>
            <w:shd w:val="clear" w:color="auto" w:fill="FFFFFF"/>
          </w:rPr>
          <w:t>Syme, R.</w:t>
        </w:r>
      </w:hyperlink>
      <w:r w:rsidR="00737238" w:rsidRPr="00737238">
        <w:rPr>
          <w:rFonts w:cstheme="minorHAnsi"/>
          <w:shd w:val="clear" w:color="auto" w:fill="FFFFFF"/>
        </w:rPr>
        <w:t> (1964) </w:t>
      </w:r>
      <w:r w:rsidR="00737238" w:rsidRPr="00737238">
        <w:rPr>
          <w:rFonts w:cstheme="minorHAnsi"/>
          <w:i/>
          <w:iCs/>
          <w:shd w:val="clear" w:color="auto" w:fill="FFFFFF"/>
        </w:rPr>
        <w:t>Sallust</w:t>
      </w:r>
      <w:r w:rsidR="00737238" w:rsidRPr="00737238">
        <w:rPr>
          <w:rFonts w:cstheme="minorHAnsi"/>
          <w:shd w:val="clear" w:color="auto" w:fill="FFFFFF"/>
        </w:rPr>
        <w:t>. University of California Press.</w:t>
      </w:r>
    </w:p>
    <w:p w14:paraId="3E036D5F" w14:textId="77777777" w:rsidR="00737238" w:rsidRPr="00737238" w:rsidRDefault="00737238" w:rsidP="00737238">
      <w:pPr>
        <w:ind w:left="567" w:hanging="567"/>
        <w:rPr>
          <w:rFonts w:cstheme="minorHAnsi"/>
          <w:shd w:val="clear" w:color="auto" w:fill="FFFFFF"/>
        </w:rPr>
      </w:pPr>
      <w:r w:rsidRPr="00737238">
        <w:rPr>
          <w:rFonts w:cstheme="minorHAnsi"/>
          <w:shd w:val="clear" w:color="auto" w:fill="FFFFFF"/>
        </w:rPr>
        <w:t>West, Allen B. “Pericles' Political Heirs. I.” </w:t>
      </w:r>
      <w:r w:rsidRPr="00737238">
        <w:rPr>
          <w:rFonts w:cstheme="minorHAnsi"/>
          <w:i/>
          <w:iCs/>
          <w:shd w:val="clear" w:color="auto" w:fill="FFFFFF"/>
        </w:rPr>
        <w:t>Classical Philology</w:t>
      </w:r>
      <w:r w:rsidRPr="00737238">
        <w:rPr>
          <w:rFonts w:cstheme="minorHAnsi"/>
          <w:shd w:val="clear" w:color="auto" w:fill="FFFFFF"/>
        </w:rPr>
        <w:t>, vol. 19, no. 2, 1924, pp. 124–146.</w:t>
      </w:r>
    </w:p>
    <w:p w14:paraId="2487A9F5" w14:textId="2F8155F5" w:rsidR="00737238" w:rsidRDefault="00737238" w:rsidP="00737238">
      <w:pPr>
        <w:ind w:left="567" w:hanging="567"/>
        <w:rPr>
          <w:rFonts w:cstheme="minorHAnsi"/>
          <w:shd w:val="clear" w:color="auto" w:fill="FFFFFF"/>
        </w:rPr>
      </w:pPr>
      <w:r w:rsidRPr="00737238">
        <w:rPr>
          <w:rFonts w:cstheme="minorHAnsi"/>
          <w:shd w:val="clear" w:color="auto" w:fill="FFFFFF"/>
        </w:rPr>
        <w:t>Wilson, John ‘What Does Thucydides Claim for His Speeches?’ Phoenix, Vol. 36, No. 2 (Summer, 1982), pp. 95-103</w:t>
      </w:r>
    </w:p>
    <w:p w14:paraId="0FCB652F" w14:textId="5C144862" w:rsidR="00737238" w:rsidRDefault="00737238" w:rsidP="00737238">
      <w:pPr>
        <w:ind w:left="567" w:hanging="567"/>
        <w:rPr>
          <w:rFonts w:cstheme="minorHAnsi"/>
          <w:shd w:val="clear" w:color="auto" w:fill="FFFFFF"/>
        </w:rPr>
      </w:pPr>
    </w:p>
    <w:p w14:paraId="1129CC58" w14:textId="77777777" w:rsidR="00575723" w:rsidRDefault="00575723" w:rsidP="00737238">
      <w:pPr>
        <w:ind w:left="567" w:hanging="567"/>
        <w:rPr>
          <w:rFonts w:cstheme="minorHAnsi"/>
          <w:shd w:val="clear" w:color="auto" w:fill="FFFFFF"/>
        </w:rPr>
      </w:pPr>
    </w:p>
    <w:p w14:paraId="43F30042" w14:textId="6E8D35BD" w:rsidR="00737238" w:rsidRDefault="00737238" w:rsidP="00737238">
      <w:pPr>
        <w:ind w:left="567" w:hanging="567"/>
        <w:rPr>
          <w:rFonts w:cstheme="minorHAnsi"/>
          <w:shd w:val="clear" w:color="auto" w:fill="FFFFFF"/>
        </w:rPr>
      </w:pPr>
    </w:p>
    <w:p w14:paraId="1E845666" w14:textId="77777777" w:rsidR="00575723" w:rsidRPr="00575723" w:rsidRDefault="00575723" w:rsidP="00737238">
      <w:pPr>
        <w:ind w:left="567" w:hanging="567"/>
        <w:rPr>
          <w:rFonts w:cstheme="minorHAnsi"/>
          <w:shd w:val="clear" w:color="auto" w:fill="FFFFFF"/>
        </w:rPr>
      </w:pPr>
      <w:r w:rsidRPr="00575723">
        <w:rPr>
          <w:rFonts w:cstheme="minorHAnsi"/>
        </w:rPr>
        <w:t>Julius Caesar. ‘</w:t>
      </w:r>
      <w:r w:rsidRPr="00575723">
        <w:rPr>
          <w:rFonts w:cstheme="minorHAnsi"/>
          <w:i/>
        </w:rPr>
        <w:t>Caesar's Gallic War’</w:t>
      </w:r>
      <w:r w:rsidRPr="00575723">
        <w:rPr>
          <w:rFonts w:cstheme="minorHAnsi"/>
        </w:rPr>
        <w:t>. Translator. W. A. McDevitte. Translator. W. S. Bohn. 1st Edition. New York. Harper &amp; Brothers. 1869. Harper's New Classical Library.</w:t>
      </w:r>
    </w:p>
    <w:p w14:paraId="55F34A44" w14:textId="77777777" w:rsidR="00575723" w:rsidRPr="00575723" w:rsidRDefault="00575723" w:rsidP="00737238">
      <w:pPr>
        <w:ind w:left="567" w:hanging="567"/>
        <w:rPr>
          <w:rFonts w:cstheme="minorHAnsi"/>
        </w:rPr>
      </w:pPr>
      <w:r w:rsidRPr="00575723">
        <w:rPr>
          <w:rFonts w:cstheme="minorHAnsi"/>
        </w:rPr>
        <w:t>Polybius. ‘</w:t>
      </w:r>
      <w:r w:rsidRPr="00575723">
        <w:rPr>
          <w:rFonts w:cstheme="minorHAnsi"/>
          <w:i/>
        </w:rPr>
        <w:t>Histories</w:t>
      </w:r>
      <w:r w:rsidRPr="00575723">
        <w:rPr>
          <w:rFonts w:cstheme="minorHAnsi"/>
        </w:rPr>
        <w:t>’. Evelyn S. Shuckburgh. translator. London, New York. Macmillan. 1889. Reprint Bloomington 1962.</w:t>
      </w:r>
    </w:p>
    <w:p w14:paraId="7174E9EB" w14:textId="77777777" w:rsidR="00575723" w:rsidRPr="00575723" w:rsidRDefault="00575723" w:rsidP="00737238">
      <w:pPr>
        <w:ind w:left="567" w:hanging="567"/>
        <w:rPr>
          <w:rFonts w:cstheme="minorHAnsi"/>
        </w:rPr>
      </w:pPr>
      <w:r w:rsidRPr="00575723">
        <w:rPr>
          <w:rFonts w:cstheme="minorHAnsi"/>
        </w:rPr>
        <w:t>Sallust. ‘</w:t>
      </w:r>
      <w:r w:rsidRPr="00575723">
        <w:rPr>
          <w:rFonts w:cstheme="minorHAnsi"/>
          <w:i/>
        </w:rPr>
        <w:t>Conspiracy of Catiline’</w:t>
      </w:r>
      <w:r w:rsidRPr="00575723">
        <w:rPr>
          <w:rFonts w:cstheme="minorHAnsi"/>
        </w:rPr>
        <w:t>. Rev. John Selby Watson, M.A. New York and London. Harper &amp; Brothers. 1899.</w:t>
      </w:r>
    </w:p>
    <w:p w14:paraId="2D3EC6B2" w14:textId="77777777" w:rsidR="00575723" w:rsidRPr="00575723" w:rsidRDefault="00575723" w:rsidP="00737238">
      <w:pPr>
        <w:ind w:left="567" w:hanging="567"/>
        <w:rPr>
          <w:rFonts w:cstheme="minorHAnsi"/>
        </w:rPr>
      </w:pPr>
      <w:r w:rsidRPr="00575723">
        <w:rPr>
          <w:rFonts w:cstheme="minorHAnsi"/>
        </w:rPr>
        <w:lastRenderedPageBreak/>
        <w:t>Sallust. ‘</w:t>
      </w:r>
      <w:r w:rsidRPr="00575723">
        <w:rPr>
          <w:rFonts w:cstheme="minorHAnsi"/>
          <w:i/>
        </w:rPr>
        <w:t>The Jugurthine War’</w:t>
      </w:r>
      <w:r w:rsidRPr="00575723">
        <w:rPr>
          <w:rFonts w:cstheme="minorHAnsi"/>
        </w:rPr>
        <w:t>. Rev. John Selby Watson, M.A. New York and London. Harper &amp; Brothers. 1899.</w:t>
      </w:r>
    </w:p>
    <w:p w14:paraId="5C596AE9" w14:textId="77777777" w:rsidR="00575723" w:rsidRPr="00575723" w:rsidRDefault="00575723" w:rsidP="00737238">
      <w:pPr>
        <w:ind w:left="567" w:hanging="567"/>
        <w:rPr>
          <w:rFonts w:cstheme="minorHAnsi"/>
        </w:rPr>
      </w:pPr>
      <w:r w:rsidRPr="00575723">
        <w:rPr>
          <w:rFonts w:cstheme="minorHAnsi"/>
        </w:rPr>
        <w:t>Tacitus. ‘</w:t>
      </w:r>
      <w:r w:rsidRPr="00575723">
        <w:rPr>
          <w:rFonts w:cstheme="minorHAnsi"/>
          <w:i/>
        </w:rPr>
        <w:t>Complete Works of Tacitus’</w:t>
      </w:r>
      <w:r w:rsidRPr="00575723">
        <w:rPr>
          <w:rFonts w:cstheme="minorHAnsi"/>
        </w:rPr>
        <w:t>. Alfred John Church. William Jackson Brodribb. Sara Bryant. edited for Perseus. New York. : Random House, Inc. Random House, Inc. reprinted 1942.</w:t>
      </w:r>
    </w:p>
    <w:p w14:paraId="6D675B16" w14:textId="77777777" w:rsidR="00575723" w:rsidRPr="00575723" w:rsidRDefault="00575723" w:rsidP="00737238">
      <w:pPr>
        <w:ind w:left="567" w:hanging="567"/>
        <w:rPr>
          <w:rFonts w:cstheme="minorHAnsi"/>
          <w:shd w:val="clear" w:color="auto" w:fill="FFFFFF"/>
        </w:rPr>
      </w:pPr>
      <w:r w:rsidRPr="00575723">
        <w:rPr>
          <w:rFonts w:cstheme="minorHAnsi"/>
          <w:shd w:val="clear" w:color="auto" w:fill="FFFFFF"/>
        </w:rPr>
        <w:t>Thucydides and Dover, K. (1971). ‘</w:t>
      </w:r>
      <w:r w:rsidRPr="00575723">
        <w:rPr>
          <w:rFonts w:cstheme="minorHAnsi"/>
          <w:i/>
          <w:iCs/>
          <w:shd w:val="clear" w:color="auto" w:fill="FFFFFF"/>
        </w:rPr>
        <w:t>Thucydides’</w:t>
      </w:r>
      <w:r w:rsidRPr="00575723">
        <w:rPr>
          <w:rFonts w:cstheme="minorHAnsi"/>
          <w:shd w:val="clear" w:color="auto" w:fill="FFFFFF"/>
        </w:rPr>
        <w:t>. Oxford: Clarendon Press.</w:t>
      </w:r>
    </w:p>
    <w:sectPr w:rsidR="00575723" w:rsidRPr="0057572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62406" w14:textId="77777777" w:rsidR="000E411C" w:rsidRDefault="000E411C" w:rsidP="00005AA5">
      <w:pPr>
        <w:spacing w:after="0" w:line="240" w:lineRule="auto"/>
      </w:pPr>
      <w:r>
        <w:separator/>
      </w:r>
    </w:p>
  </w:endnote>
  <w:endnote w:type="continuationSeparator" w:id="0">
    <w:p w14:paraId="67379262" w14:textId="77777777" w:rsidR="000E411C" w:rsidRDefault="000E411C" w:rsidP="00005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50443"/>
      <w:docPartObj>
        <w:docPartGallery w:val="Page Numbers (Bottom of Page)"/>
        <w:docPartUnique/>
      </w:docPartObj>
    </w:sdtPr>
    <w:sdtEndPr>
      <w:rPr>
        <w:noProof/>
      </w:rPr>
    </w:sdtEndPr>
    <w:sdtContent>
      <w:p w14:paraId="613C58C6" w14:textId="1204B0E7" w:rsidR="000D5B13" w:rsidRDefault="000D5B13">
        <w:pPr>
          <w:pStyle w:val="Footer"/>
          <w:jc w:val="center"/>
        </w:pPr>
        <w:r>
          <w:fldChar w:fldCharType="begin"/>
        </w:r>
        <w:r>
          <w:instrText xml:space="preserve"> PAGE   \* MERGEFORMAT </w:instrText>
        </w:r>
        <w:r>
          <w:fldChar w:fldCharType="separate"/>
        </w:r>
        <w:r w:rsidR="00C27F1D">
          <w:rPr>
            <w:noProof/>
          </w:rPr>
          <w:t>4</w:t>
        </w:r>
        <w:r>
          <w:rPr>
            <w:noProof/>
          </w:rPr>
          <w:fldChar w:fldCharType="end"/>
        </w:r>
      </w:p>
    </w:sdtContent>
  </w:sdt>
  <w:p w14:paraId="153C6CE4" w14:textId="77777777" w:rsidR="000D5B13" w:rsidRDefault="000D5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BF288" w14:textId="77777777" w:rsidR="000E411C" w:rsidRDefault="000E411C" w:rsidP="00005AA5">
      <w:pPr>
        <w:spacing w:after="0" w:line="240" w:lineRule="auto"/>
      </w:pPr>
      <w:r>
        <w:separator/>
      </w:r>
    </w:p>
  </w:footnote>
  <w:footnote w:type="continuationSeparator" w:id="0">
    <w:p w14:paraId="5E3F62A2" w14:textId="77777777" w:rsidR="000E411C" w:rsidRDefault="000E411C" w:rsidP="00005AA5">
      <w:pPr>
        <w:spacing w:after="0" w:line="240" w:lineRule="auto"/>
      </w:pPr>
      <w:r>
        <w:continuationSeparator/>
      </w:r>
    </w:p>
  </w:footnote>
  <w:footnote w:id="1">
    <w:p w14:paraId="28D0C315" w14:textId="2E2D948A" w:rsidR="000D5B13" w:rsidRDefault="000D5B13">
      <w:pPr>
        <w:pStyle w:val="FootnoteText"/>
      </w:pPr>
      <w:r>
        <w:rPr>
          <w:rStyle w:val="FootnoteReference"/>
        </w:rPr>
        <w:footnoteRef/>
      </w:r>
      <w:r>
        <w:t xml:space="preserve"> Thucydides:</w:t>
      </w:r>
      <w:r w:rsidR="00370228">
        <w:t xml:space="preserve"> several examples given later</w:t>
      </w:r>
      <w:r>
        <w:t xml:space="preserve">. Polybius: </w:t>
      </w:r>
      <w:r w:rsidR="00370228">
        <w:t>Carthaginian envoys 15.1</w:t>
      </w:r>
      <w:r>
        <w:t xml:space="preserve">. Caesar: </w:t>
      </w:r>
      <w:r w:rsidR="00370228">
        <w:t>Helvetian emissary Gallic Wars 1.31</w:t>
      </w:r>
      <w:r>
        <w:t xml:space="preserve">. Tacitus: </w:t>
      </w:r>
      <w:r w:rsidR="00370228">
        <w:t>Boudicca’s speech Annals 14.35</w:t>
      </w:r>
      <w:r>
        <w:t>.</w:t>
      </w:r>
    </w:p>
  </w:footnote>
  <w:footnote w:id="2">
    <w:p w14:paraId="0AEF6C95" w14:textId="069EDC55" w:rsidR="000D5B13" w:rsidRDefault="000D5B13">
      <w:pPr>
        <w:pStyle w:val="FootnoteText"/>
      </w:pPr>
      <w:r>
        <w:rPr>
          <w:rStyle w:val="FootnoteReference"/>
        </w:rPr>
        <w:footnoteRef/>
      </w:r>
      <w:r>
        <w:t xml:space="preserve"> Thucydides 4.84-89</w:t>
      </w:r>
    </w:p>
  </w:footnote>
  <w:footnote w:id="3">
    <w:p w14:paraId="6A4A6AC7" w14:textId="2AD1C2A7" w:rsidR="000D5B13" w:rsidRDefault="000D5B13">
      <w:pPr>
        <w:pStyle w:val="FootnoteText"/>
      </w:pPr>
      <w:r>
        <w:rPr>
          <w:rStyle w:val="FootnoteReference"/>
        </w:rPr>
        <w:footnoteRef/>
      </w:r>
      <w:r>
        <w:t xml:space="preserve"> Thuc. 3.36</w:t>
      </w:r>
    </w:p>
  </w:footnote>
  <w:footnote w:id="4">
    <w:p w14:paraId="39DB6DC1" w14:textId="241EDBEA" w:rsidR="000D5B13" w:rsidRDefault="000D5B13">
      <w:pPr>
        <w:pStyle w:val="FootnoteText"/>
      </w:pPr>
      <w:r>
        <w:rPr>
          <w:rStyle w:val="FootnoteReference"/>
        </w:rPr>
        <w:footnoteRef/>
      </w:r>
      <w:r>
        <w:t xml:space="preserve"> Again, Thucydides 3.36 ‘The most violent man in Athens’ is not a neutral statement, and the presentation of Cleon as a coward 5.10.9</w:t>
      </w:r>
    </w:p>
  </w:footnote>
  <w:footnote w:id="5">
    <w:p w14:paraId="31173AD2" w14:textId="67066D8D" w:rsidR="000D5B13" w:rsidRDefault="000D5B13">
      <w:pPr>
        <w:pStyle w:val="FootnoteText"/>
      </w:pPr>
      <w:r>
        <w:rPr>
          <w:rStyle w:val="FootnoteReference"/>
        </w:rPr>
        <w:footnoteRef/>
      </w:r>
      <w:r>
        <w:t xml:space="preserve"> Mytilene Debate: Thucydides 3.36-49. Melian Dialogue: Thucydides 5:84-116</w:t>
      </w:r>
    </w:p>
  </w:footnote>
  <w:footnote w:id="6">
    <w:p w14:paraId="024E0EF1" w14:textId="1EB49890" w:rsidR="000D5B13" w:rsidRDefault="000D5B13">
      <w:pPr>
        <w:pStyle w:val="FootnoteText"/>
      </w:pPr>
      <w:r>
        <w:rPr>
          <w:rStyle w:val="FootnoteReference"/>
        </w:rPr>
        <w:footnoteRef/>
      </w:r>
      <w:r>
        <w:t xml:space="preserve"> Thucydides: 1.67-91. Speeches delivered by both the Spartans and Corinthians in the assembly in Sparta</w:t>
      </w:r>
    </w:p>
  </w:footnote>
  <w:footnote w:id="7">
    <w:p w14:paraId="001B6CE3" w14:textId="6A1FD041" w:rsidR="000D5B13" w:rsidRDefault="000D5B13">
      <w:pPr>
        <w:pStyle w:val="FootnoteText"/>
      </w:pPr>
      <w:r>
        <w:rPr>
          <w:rStyle w:val="FootnoteReference"/>
        </w:rPr>
        <w:footnoteRef/>
      </w:r>
      <w:r>
        <w:t xml:space="preserve"> Thucydides 4.104-107</w:t>
      </w:r>
    </w:p>
  </w:footnote>
  <w:footnote w:id="8">
    <w:p w14:paraId="2D9F4B10" w14:textId="3111607B" w:rsidR="000D5B13" w:rsidRDefault="000D5B13">
      <w:pPr>
        <w:pStyle w:val="FootnoteText"/>
      </w:pPr>
      <w:r>
        <w:rPr>
          <w:rStyle w:val="FootnoteReference"/>
        </w:rPr>
        <w:footnoteRef/>
      </w:r>
      <w:r>
        <w:t xml:space="preserve"> Thucydides 4.108. Borza, 1987</w:t>
      </w:r>
    </w:p>
  </w:footnote>
  <w:footnote w:id="9">
    <w:p w14:paraId="47A7C7FF" w14:textId="6F29B563" w:rsidR="000D5B13" w:rsidRDefault="000D5B13">
      <w:pPr>
        <w:pStyle w:val="FootnoteText"/>
      </w:pPr>
      <w:r>
        <w:rPr>
          <w:rStyle w:val="FootnoteReference"/>
        </w:rPr>
        <w:footnoteRef/>
      </w:r>
      <w:r>
        <w:t xml:space="preserve"> The Plague (Thucydides 2:48), his command around Amphipolis (Thucydides 4.104-107), his exile and historical advantages (Thucydides 5.26)</w:t>
      </w:r>
    </w:p>
  </w:footnote>
  <w:footnote w:id="10">
    <w:p w14:paraId="05D3253C" w14:textId="2EF4DB91" w:rsidR="000D5B13" w:rsidRDefault="000D5B13">
      <w:pPr>
        <w:pStyle w:val="FootnoteText"/>
      </w:pPr>
      <w:r>
        <w:rPr>
          <w:rStyle w:val="FootnoteReference"/>
        </w:rPr>
        <w:footnoteRef/>
      </w:r>
      <w:r>
        <w:t xml:space="preserve"> Thucydides 2.34-46</w:t>
      </w:r>
    </w:p>
  </w:footnote>
  <w:footnote w:id="11">
    <w:p w14:paraId="09242E47" w14:textId="79B0391F" w:rsidR="000D5B13" w:rsidRDefault="000D5B13">
      <w:pPr>
        <w:pStyle w:val="FootnoteText"/>
      </w:pPr>
      <w:r>
        <w:rPr>
          <w:rStyle w:val="FootnoteReference"/>
        </w:rPr>
        <w:footnoteRef/>
      </w:r>
      <w:r>
        <w:t xml:space="preserve"> Bloedow 2000</w:t>
      </w:r>
    </w:p>
  </w:footnote>
  <w:footnote w:id="12">
    <w:p w14:paraId="42AF7730" w14:textId="07E7934E" w:rsidR="000D5B13" w:rsidRDefault="000D5B13">
      <w:pPr>
        <w:pStyle w:val="FootnoteText"/>
      </w:pPr>
      <w:r>
        <w:rPr>
          <w:rStyle w:val="FootnoteReference"/>
        </w:rPr>
        <w:footnoteRef/>
      </w:r>
      <w:r>
        <w:t xml:space="preserve"> West 1924</w:t>
      </w:r>
    </w:p>
  </w:footnote>
  <w:footnote w:id="13">
    <w:p w14:paraId="0C527561" w14:textId="3888B438" w:rsidR="000D5B13" w:rsidRDefault="000D5B13">
      <w:pPr>
        <w:pStyle w:val="FootnoteText"/>
      </w:pPr>
      <w:r>
        <w:rPr>
          <w:rStyle w:val="FootnoteReference"/>
        </w:rPr>
        <w:footnoteRef/>
      </w:r>
      <w:r>
        <w:t xml:space="preserve"> Thucydides 3.36</w:t>
      </w:r>
    </w:p>
  </w:footnote>
  <w:footnote w:id="14">
    <w:p w14:paraId="50EC755C" w14:textId="2CE807D7" w:rsidR="000D5B13" w:rsidRDefault="000D5B13">
      <w:pPr>
        <w:pStyle w:val="FootnoteText"/>
      </w:pPr>
      <w:r>
        <w:rPr>
          <w:rStyle w:val="FootnoteReference"/>
        </w:rPr>
        <w:footnoteRef/>
      </w:r>
      <w:r>
        <w:t xml:space="preserve"> Lane 2012, West 1924</w:t>
      </w:r>
    </w:p>
  </w:footnote>
  <w:footnote w:id="15">
    <w:p w14:paraId="51182AE7" w14:textId="6A80CD67" w:rsidR="000D5B13" w:rsidRDefault="000D5B13">
      <w:pPr>
        <w:pStyle w:val="FootnoteText"/>
      </w:pPr>
      <w:r>
        <w:rPr>
          <w:rStyle w:val="FootnoteReference"/>
        </w:rPr>
        <w:footnoteRef/>
      </w:r>
      <w:r>
        <w:t xml:space="preserve"> Lane 2012</w:t>
      </w:r>
    </w:p>
  </w:footnote>
  <w:footnote w:id="16">
    <w:p w14:paraId="092D9503" w14:textId="4E57AAF1" w:rsidR="000D5B13" w:rsidRDefault="000D5B13">
      <w:pPr>
        <w:pStyle w:val="FootnoteText"/>
      </w:pPr>
      <w:r>
        <w:rPr>
          <w:rStyle w:val="FootnoteReference"/>
        </w:rPr>
        <w:footnoteRef/>
      </w:r>
      <w:r>
        <w:t xml:space="preserve"> Lane 2012</w:t>
      </w:r>
    </w:p>
  </w:footnote>
  <w:footnote w:id="17">
    <w:p w14:paraId="12CD282C" w14:textId="33702D44" w:rsidR="000D5B13" w:rsidRDefault="000D5B13">
      <w:pPr>
        <w:pStyle w:val="FootnoteText"/>
      </w:pPr>
      <w:r>
        <w:rPr>
          <w:rStyle w:val="FootnoteReference"/>
        </w:rPr>
        <w:footnoteRef/>
      </w:r>
      <w:r>
        <w:t xml:space="preserve"> Thucydides 1.1.3</w:t>
      </w:r>
    </w:p>
  </w:footnote>
  <w:footnote w:id="18">
    <w:p w14:paraId="68A3CF12" w14:textId="13B90F55" w:rsidR="000D5B13" w:rsidRDefault="000D5B13">
      <w:pPr>
        <w:pStyle w:val="FootnoteText"/>
      </w:pPr>
      <w:r>
        <w:rPr>
          <w:rStyle w:val="FootnoteReference"/>
        </w:rPr>
        <w:footnoteRef/>
      </w:r>
      <w:r>
        <w:t xml:space="preserve"> Byrd 2001</w:t>
      </w:r>
    </w:p>
  </w:footnote>
  <w:footnote w:id="19">
    <w:p w14:paraId="76C2DCD0" w14:textId="57D05983" w:rsidR="000D5B13" w:rsidRDefault="000D5B13">
      <w:pPr>
        <w:pStyle w:val="FootnoteText"/>
      </w:pPr>
      <w:r>
        <w:rPr>
          <w:rStyle w:val="FootnoteReference"/>
        </w:rPr>
        <w:footnoteRef/>
      </w:r>
      <w:r>
        <w:t xml:space="preserve"> Mellor 1999</w:t>
      </w:r>
    </w:p>
  </w:footnote>
  <w:footnote w:id="20">
    <w:p w14:paraId="56ABE419" w14:textId="5FCC0484" w:rsidR="000D5B13" w:rsidRDefault="000D5B13">
      <w:pPr>
        <w:pStyle w:val="FootnoteText"/>
      </w:pPr>
      <w:r>
        <w:rPr>
          <w:rStyle w:val="FootnoteReference"/>
        </w:rPr>
        <w:footnoteRef/>
      </w:r>
      <w:r>
        <w:t xml:space="preserve"> </w:t>
      </w:r>
      <w:r w:rsidR="00665F91">
        <w:t>Syme 1964</w:t>
      </w:r>
    </w:p>
  </w:footnote>
  <w:footnote w:id="21">
    <w:p w14:paraId="3BDC8856" w14:textId="01F4B5CC" w:rsidR="000D5B13" w:rsidRDefault="000D5B13">
      <w:pPr>
        <w:pStyle w:val="FootnoteText"/>
      </w:pPr>
      <w:r>
        <w:rPr>
          <w:rStyle w:val="FootnoteReference"/>
        </w:rPr>
        <w:footnoteRef/>
      </w:r>
      <w:r>
        <w:t xml:space="preserve"> </w:t>
      </w:r>
      <w:r w:rsidR="00A33582" w:rsidRPr="00A33582">
        <w:t>Sall. Cat. 5.9</w:t>
      </w:r>
    </w:p>
  </w:footnote>
  <w:footnote w:id="22">
    <w:p w14:paraId="73241960" w14:textId="46F54A6F" w:rsidR="000D5B13" w:rsidRDefault="000D5B13">
      <w:pPr>
        <w:pStyle w:val="FootnoteText"/>
      </w:pPr>
      <w:r>
        <w:rPr>
          <w:rStyle w:val="FootnoteReference"/>
        </w:rPr>
        <w:footnoteRef/>
      </w:r>
      <w:r>
        <w:t xml:space="preserve"> </w:t>
      </w:r>
      <w:r w:rsidR="00737238">
        <w:t>Allen 1954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317F5" w14:textId="77777777" w:rsidR="000D5B13" w:rsidRDefault="000D5B13">
    <w:pPr>
      <w:pStyle w:val="Header"/>
    </w:pPr>
    <w:r>
      <w:t>CLAH7018</w:t>
    </w:r>
    <w:r>
      <w:tab/>
      <w:t>1400752</w:t>
    </w:r>
    <w:r>
      <w:tab/>
      <w:t>Russell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B124C6"/>
    <w:multiLevelType w:val="hybridMultilevel"/>
    <w:tmpl w:val="FCF2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E56"/>
    <w:multiLevelType w:val="hybridMultilevel"/>
    <w:tmpl w:val="FC7A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AA5"/>
    <w:rsid w:val="00005AA5"/>
    <w:rsid w:val="000118BC"/>
    <w:rsid w:val="000216C4"/>
    <w:rsid w:val="00033021"/>
    <w:rsid w:val="00061CA4"/>
    <w:rsid w:val="0008384D"/>
    <w:rsid w:val="000A75CC"/>
    <w:rsid w:val="000C3A9E"/>
    <w:rsid w:val="000C59DC"/>
    <w:rsid w:val="000C6743"/>
    <w:rsid w:val="000D0B60"/>
    <w:rsid w:val="000D5B13"/>
    <w:rsid w:val="000D65F3"/>
    <w:rsid w:val="000E411C"/>
    <w:rsid w:val="000F5B73"/>
    <w:rsid w:val="00115CD1"/>
    <w:rsid w:val="001219C6"/>
    <w:rsid w:val="001501E2"/>
    <w:rsid w:val="00172007"/>
    <w:rsid w:val="0019179C"/>
    <w:rsid w:val="0019228C"/>
    <w:rsid w:val="001B53A5"/>
    <w:rsid w:val="001D0A72"/>
    <w:rsid w:val="001E3367"/>
    <w:rsid w:val="001F2055"/>
    <w:rsid w:val="001F23A3"/>
    <w:rsid w:val="002016C9"/>
    <w:rsid w:val="00201870"/>
    <w:rsid w:val="002052B6"/>
    <w:rsid w:val="00207505"/>
    <w:rsid w:val="00266076"/>
    <w:rsid w:val="002906DF"/>
    <w:rsid w:val="00293F41"/>
    <w:rsid w:val="002B031E"/>
    <w:rsid w:val="002B501F"/>
    <w:rsid w:val="002C09EA"/>
    <w:rsid w:val="002E0FC0"/>
    <w:rsid w:val="002E32B4"/>
    <w:rsid w:val="00303EF8"/>
    <w:rsid w:val="0031081F"/>
    <w:rsid w:val="00325F24"/>
    <w:rsid w:val="00340FD6"/>
    <w:rsid w:val="003439B5"/>
    <w:rsid w:val="00363A3F"/>
    <w:rsid w:val="00370228"/>
    <w:rsid w:val="00391393"/>
    <w:rsid w:val="003B5D15"/>
    <w:rsid w:val="003D6D8C"/>
    <w:rsid w:val="003E6884"/>
    <w:rsid w:val="00413A2E"/>
    <w:rsid w:val="004346A3"/>
    <w:rsid w:val="004416A6"/>
    <w:rsid w:val="0044264E"/>
    <w:rsid w:val="00442BD4"/>
    <w:rsid w:val="00442F43"/>
    <w:rsid w:val="00460CA2"/>
    <w:rsid w:val="004644D8"/>
    <w:rsid w:val="004C77FB"/>
    <w:rsid w:val="004D28BA"/>
    <w:rsid w:val="004E1AE3"/>
    <w:rsid w:val="004E26F4"/>
    <w:rsid w:val="00503B9E"/>
    <w:rsid w:val="005428D0"/>
    <w:rsid w:val="00546F7E"/>
    <w:rsid w:val="00561017"/>
    <w:rsid w:val="00575723"/>
    <w:rsid w:val="0057734B"/>
    <w:rsid w:val="005B4EC1"/>
    <w:rsid w:val="005B5A3D"/>
    <w:rsid w:val="005C0EC8"/>
    <w:rsid w:val="005D3C98"/>
    <w:rsid w:val="006040BD"/>
    <w:rsid w:val="00624E46"/>
    <w:rsid w:val="006378FB"/>
    <w:rsid w:val="00665F91"/>
    <w:rsid w:val="006733BF"/>
    <w:rsid w:val="00675398"/>
    <w:rsid w:val="00675FF3"/>
    <w:rsid w:val="00676CD0"/>
    <w:rsid w:val="00682DB7"/>
    <w:rsid w:val="006A508D"/>
    <w:rsid w:val="006A675D"/>
    <w:rsid w:val="006C4607"/>
    <w:rsid w:val="006D4467"/>
    <w:rsid w:val="006E0B70"/>
    <w:rsid w:val="006E4720"/>
    <w:rsid w:val="006E6B47"/>
    <w:rsid w:val="0071397D"/>
    <w:rsid w:val="007367A6"/>
    <w:rsid w:val="00737238"/>
    <w:rsid w:val="00741E3B"/>
    <w:rsid w:val="00760C55"/>
    <w:rsid w:val="00773F6D"/>
    <w:rsid w:val="007817B5"/>
    <w:rsid w:val="00785D37"/>
    <w:rsid w:val="007907C7"/>
    <w:rsid w:val="007929D2"/>
    <w:rsid w:val="00796EBB"/>
    <w:rsid w:val="007B448C"/>
    <w:rsid w:val="007B4C46"/>
    <w:rsid w:val="007E306F"/>
    <w:rsid w:val="007E5EA7"/>
    <w:rsid w:val="00805DD4"/>
    <w:rsid w:val="00820E2E"/>
    <w:rsid w:val="00821374"/>
    <w:rsid w:val="00823CEE"/>
    <w:rsid w:val="0086720B"/>
    <w:rsid w:val="00874D58"/>
    <w:rsid w:val="008C08C5"/>
    <w:rsid w:val="008E6FC5"/>
    <w:rsid w:val="00900889"/>
    <w:rsid w:val="0092137A"/>
    <w:rsid w:val="0092491D"/>
    <w:rsid w:val="00932D2E"/>
    <w:rsid w:val="009360F6"/>
    <w:rsid w:val="0094050F"/>
    <w:rsid w:val="00941796"/>
    <w:rsid w:val="009468DC"/>
    <w:rsid w:val="00953CD1"/>
    <w:rsid w:val="00957880"/>
    <w:rsid w:val="00970C87"/>
    <w:rsid w:val="00977C9D"/>
    <w:rsid w:val="009A406B"/>
    <w:rsid w:val="009C54E0"/>
    <w:rsid w:val="009D4729"/>
    <w:rsid w:val="00A12178"/>
    <w:rsid w:val="00A2197E"/>
    <w:rsid w:val="00A33582"/>
    <w:rsid w:val="00A411C0"/>
    <w:rsid w:val="00A77B76"/>
    <w:rsid w:val="00AA5E28"/>
    <w:rsid w:val="00AC3062"/>
    <w:rsid w:val="00AD588D"/>
    <w:rsid w:val="00B03B2A"/>
    <w:rsid w:val="00B053B2"/>
    <w:rsid w:val="00B05E1B"/>
    <w:rsid w:val="00B1155D"/>
    <w:rsid w:val="00B146F8"/>
    <w:rsid w:val="00B2642B"/>
    <w:rsid w:val="00B27404"/>
    <w:rsid w:val="00B738C9"/>
    <w:rsid w:val="00B90F8B"/>
    <w:rsid w:val="00B9490C"/>
    <w:rsid w:val="00BA45DB"/>
    <w:rsid w:val="00BE458E"/>
    <w:rsid w:val="00BE57B0"/>
    <w:rsid w:val="00BE7AB0"/>
    <w:rsid w:val="00C0737E"/>
    <w:rsid w:val="00C125AF"/>
    <w:rsid w:val="00C14830"/>
    <w:rsid w:val="00C20218"/>
    <w:rsid w:val="00C22826"/>
    <w:rsid w:val="00C27389"/>
    <w:rsid w:val="00C27F1D"/>
    <w:rsid w:val="00C37C6F"/>
    <w:rsid w:val="00C517E6"/>
    <w:rsid w:val="00C57784"/>
    <w:rsid w:val="00C6007F"/>
    <w:rsid w:val="00C6798E"/>
    <w:rsid w:val="00C8761E"/>
    <w:rsid w:val="00C94666"/>
    <w:rsid w:val="00CA70A0"/>
    <w:rsid w:val="00CA77DF"/>
    <w:rsid w:val="00CB0233"/>
    <w:rsid w:val="00CB20EC"/>
    <w:rsid w:val="00CC0F7E"/>
    <w:rsid w:val="00CC7A94"/>
    <w:rsid w:val="00CD07F4"/>
    <w:rsid w:val="00CD4311"/>
    <w:rsid w:val="00CF3D28"/>
    <w:rsid w:val="00CF5889"/>
    <w:rsid w:val="00CF609B"/>
    <w:rsid w:val="00D22C6D"/>
    <w:rsid w:val="00D37389"/>
    <w:rsid w:val="00D5502C"/>
    <w:rsid w:val="00D66F17"/>
    <w:rsid w:val="00DC5412"/>
    <w:rsid w:val="00DD10A6"/>
    <w:rsid w:val="00E11D81"/>
    <w:rsid w:val="00E12ACF"/>
    <w:rsid w:val="00E201FA"/>
    <w:rsid w:val="00E24102"/>
    <w:rsid w:val="00E30069"/>
    <w:rsid w:val="00E46F55"/>
    <w:rsid w:val="00E53122"/>
    <w:rsid w:val="00E74AD2"/>
    <w:rsid w:val="00E82B1E"/>
    <w:rsid w:val="00EE0CAE"/>
    <w:rsid w:val="00F04085"/>
    <w:rsid w:val="00F05DBD"/>
    <w:rsid w:val="00F31871"/>
    <w:rsid w:val="00F55F54"/>
    <w:rsid w:val="00F714FB"/>
    <w:rsid w:val="00F80C85"/>
    <w:rsid w:val="00F86FF4"/>
    <w:rsid w:val="00FA6D14"/>
    <w:rsid w:val="00FB0833"/>
    <w:rsid w:val="00FB41BE"/>
    <w:rsid w:val="00FD37C1"/>
    <w:rsid w:val="00FF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B8A7B"/>
  <w15:chartTrackingRefBased/>
  <w15:docId w15:val="{F0DFF988-66CF-499A-9B50-F5EB1744C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75F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AA5"/>
  </w:style>
  <w:style w:type="paragraph" w:styleId="Footer">
    <w:name w:val="footer"/>
    <w:basedOn w:val="Normal"/>
    <w:link w:val="FooterChar"/>
    <w:uiPriority w:val="99"/>
    <w:unhideWhenUsed/>
    <w:rsid w:val="00005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AA5"/>
  </w:style>
  <w:style w:type="character" w:customStyle="1" w:styleId="Heading2Char">
    <w:name w:val="Heading 2 Char"/>
    <w:basedOn w:val="DefaultParagraphFont"/>
    <w:link w:val="Heading2"/>
    <w:uiPriority w:val="9"/>
    <w:rsid w:val="00675FF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E4720"/>
    <w:pPr>
      <w:ind w:left="720"/>
      <w:contextualSpacing/>
    </w:pPr>
  </w:style>
  <w:style w:type="paragraph" w:styleId="FootnoteText">
    <w:name w:val="footnote text"/>
    <w:basedOn w:val="Normal"/>
    <w:link w:val="FootnoteTextChar"/>
    <w:uiPriority w:val="99"/>
    <w:semiHidden/>
    <w:unhideWhenUsed/>
    <w:rsid w:val="00DD10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10A6"/>
    <w:rPr>
      <w:sz w:val="20"/>
      <w:szCs w:val="20"/>
    </w:rPr>
  </w:style>
  <w:style w:type="character" w:styleId="FootnoteReference">
    <w:name w:val="footnote reference"/>
    <w:basedOn w:val="DefaultParagraphFont"/>
    <w:uiPriority w:val="99"/>
    <w:semiHidden/>
    <w:unhideWhenUsed/>
    <w:rsid w:val="00DD10A6"/>
    <w:rPr>
      <w:vertAlign w:val="superscript"/>
    </w:rPr>
  </w:style>
  <w:style w:type="character" w:styleId="Hyperlink">
    <w:name w:val="Hyperlink"/>
    <w:basedOn w:val="DefaultParagraphFont"/>
    <w:uiPriority w:val="99"/>
    <w:semiHidden/>
    <w:unhideWhenUsed/>
    <w:rsid w:val="000D5B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37324" TargetMode="External"/><Relationship Id="rId13" Type="http://schemas.openxmlformats.org/officeDocument/2006/relationships/hyperlink" Target="https://en.wikipedia.org/wiki/Ronald_Sy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resource/view.php?id=373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Ronald_J._Mello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oodle.uwtsd.ac.uk/mod/book/view.php?id=37327" TargetMode="External"/><Relationship Id="rId4" Type="http://schemas.openxmlformats.org/officeDocument/2006/relationships/settings" Target="settings.xml"/><Relationship Id="rId9" Type="http://schemas.openxmlformats.org/officeDocument/2006/relationships/hyperlink" Target="https://moodle.uwtsd.ac.uk/mod/resource/view.php?id=3732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F1B8A-3C69-49E5-9CD0-B18D1BA4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4470</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Russell</dc:creator>
  <cp:keywords/>
  <dc:description/>
  <cp:lastModifiedBy>Will Russell</cp:lastModifiedBy>
  <cp:revision>3</cp:revision>
  <dcterms:created xsi:type="dcterms:W3CDTF">2018-01-31T18:04:00Z</dcterms:created>
  <dcterms:modified xsi:type="dcterms:W3CDTF">2018-01-31T21:38:00Z</dcterms:modified>
</cp:coreProperties>
</file>