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F4BF863" w14:textId="77777777" w:rsidR="00D501F6" w:rsidRPr="00E814CB" w:rsidRDefault="00D501F6" w:rsidP="00D501F6">
      <w:pPr>
        <w:spacing w:line="276" w:lineRule="auto"/>
        <w:jc w:val="center"/>
        <w:rPr>
          <w:rFonts w:cs="Times New Roman"/>
          <w:color w:val="0D0D0D" w:themeColor="text1" w:themeTint="F2"/>
          <w:sz w:val="36"/>
          <w:lang w:val="en-GB"/>
        </w:rPr>
      </w:pPr>
      <w:bookmarkStart w:id="0" w:name="_GoBack"/>
      <w:bookmarkEnd w:id="0"/>
    </w:p>
    <w:p w14:paraId="6084C94D" w14:textId="77777777" w:rsidR="00D501F6" w:rsidRPr="00E814CB" w:rsidRDefault="00D501F6" w:rsidP="00D501F6">
      <w:pPr>
        <w:spacing w:line="276" w:lineRule="auto"/>
        <w:jc w:val="center"/>
        <w:rPr>
          <w:rFonts w:cs="Times New Roman"/>
          <w:color w:val="0D0D0D" w:themeColor="text1" w:themeTint="F2"/>
          <w:sz w:val="36"/>
          <w:lang w:val="en-GB"/>
        </w:rPr>
      </w:pPr>
    </w:p>
    <w:p w14:paraId="612B78EB" w14:textId="77777777" w:rsidR="00D501F6" w:rsidRPr="00E922F5" w:rsidRDefault="00D501F6" w:rsidP="00D501F6">
      <w:pPr>
        <w:spacing w:line="276" w:lineRule="auto"/>
        <w:jc w:val="center"/>
        <w:rPr>
          <w:rFonts w:cs="Times New Roman"/>
          <w:b/>
          <w:color w:val="0D0D0D" w:themeColor="text1" w:themeTint="F2"/>
          <w:sz w:val="32"/>
          <w:szCs w:val="32"/>
          <w:lang w:val="en-GB"/>
        </w:rPr>
      </w:pPr>
    </w:p>
    <w:p w14:paraId="5BCAC96E" w14:textId="77777777" w:rsidR="00D501F6" w:rsidRPr="00E922F5" w:rsidRDefault="00D501F6" w:rsidP="00D501F6">
      <w:pPr>
        <w:spacing w:line="276" w:lineRule="auto"/>
        <w:jc w:val="center"/>
        <w:rPr>
          <w:rFonts w:cs="Times New Roman"/>
          <w:b/>
          <w:bCs/>
          <w:color w:val="0D0D0D" w:themeColor="text1" w:themeTint="F2"/>
          <w:sz w:val="32"/>
          <w:szCs w:val="32"/>
          <w:lang w:val="en-GB"/>
        </w:rPr>
      </w:pPr>
      <w:r w:rsidRPr="00E922F5">
        <w:rPr>
          <w:rFonts w:cs="Times New Roman"/>
          <w:b/>
          <w:bCs/>
          <w:color w:val="0D0D0D" w:themeColor="text1" w:themeTint="F2"/>
          <w:sz w:val="32"/>
          <w:szCs w:val="32"/>
          <w:lang w:val="en-GB"/>
        </w:rPr>
        <w:t>ASSESSMENT TITLE: MANAGING PEOPLE</w:t>
      </w:r>
    </w:p>
    <w:p w14:paraId="0D9E56AF" w14:textId="77777777" w:rsidR="00D501F6" w:rsidRPr="00E922F5" w:rsidRDefault="00D501F6" w:rsidP="00D501F6">
      <w:pPr>
        <w:spacing w:line="276" w:lineRule="auto"/>
        <w:jc w:val="center"/>
        <w:rPr>
          <w:rFonts w:cs="Times New Roman"/>
          <w:b/>
          <w:color w:val="0D0D0D" w:themeColor="text1" w:themeTint="F2"/>
          <w:sz w:val="32"/>
          <w:szCs w:val="32"/>
          <w:lang w:val="en-GB"/>
        </w:rPr>
      </w:pPr>
      <w:r w:rsidRPr="00E922F5">
        <w:rPr>
          <w:rFonts w:cs="Times New Roman"/>
          <w:b/>
          <w:color w:val="0D0D0D" w:themeColor="text1" w:themeTint="F2"/>
          <w:sz w:val="32"/>
          <w:szCs w:val="32"/>
          <w:lang w:val="en-GB"/>
        </w:rPr>
        <w:t>ASSESSMENT 2</w:t>
      </w:r>
    </w:p>
    <w:p w14:paraId="0E702343" w14:textId="77777777" w:rsidR="00D501F6" w:rsidRPr="00E922F5" w:rsidRDefault="00D501F6" w:rsidP="00D501F6">
      <w:pPr>
        <w:spacing w:line="276" w:lineRule="auto"/>
        <w:jc w:val="center"/>
        <w:rPr>
          <w:rFonts w:cs="Times New Roman"/>
          <w:b/>
          <w:color w:val="0D0D0D" w:themeColor="text1" w:themeTint="F2"/>
          <w:sz w:val="32"/>
          <w:szCs w:val="32"/>
          <w:lang w:val="en-GB"/>
        </w:rPr>
      </w:pPr>
      <w:r w:rsidRPr="00E922F5">
        <w:rPr>
          <w:rFonts w:cs="Times New Roman"/>
          <w:b/>
          <w:color w:val="0D0D0D" w:themeColor="text1" w:themeTint="F2"/>
          <w:sz w:val="32"/>
          <w:szCs w:val="32"/>
          <w:lang w:val="en-GB"/>
        </w:rPr>
        <w:t>MODULE NUMBER: LCBB5004</w:t>
      </w:r>
    </w:p>
    <w:p w14:paraId="7F0570D7" w14:textId="77777777" w:rsidR="00E922F5" w:rsidRPr="00E922F5" w:rsidRDefault="00D501F6" w:rsidP="00D501F6">
      <w:pPr>
        <w:spacing w:line="276" w:lineRule="auto"/>
        <w:jc w:val="center"/>
        <w:rPr>
          <w:rFonts w:cs="Times New Roman"/>
          <w:b/>
          <w:color w:val="0D0D0D" w:themeColor="text1" w:themeTint="F2"/>
          <w:sz w:val="32"/>
          <w:szCs w:val="32"/>
          <w:lang w:val="en-GB"/>
        </w:rPr>
      </w:pPr>
      <w:r w:rsidRPr="00E922F5">
        <w:rPr>
          <w:rFonts w:cs="Times New Roman"/>
          <w:b/>
          <w:color w:val="0D0D0D" w:themeColor="text1" w:themeTint="F2"/>
          <w:sz w:val="32"/>
          <w:szCs w:val="32"/>
          <w:lang w:val="en-GB"/>
        </w:rPr>
        <w:t xml:space="preserve">MODULE LECTURER: </w:t>
      </w:r>
      <w:r w:rsidR="00E922F5" w:rsidRPr="00E922F5">
        <w:rPr>
          <w:rFonts w:cs="Times New Roman"/>
          <w:b/>
          <w:color w:val="0D0D0D" w:themeColor="text1" w:themeTint="F2"/>
          <w:sz w:val="32"/>
          <w:szCs w:val="32"/>
          <w:lang w:val="en-GB"/>
        </w:rPr>
        <w:t>Rexton Nting</w:t>
      </w:r>
    </w:p>
    <w:p w14:paraId="0EC6EE75" w14:textId="77777777" w:rsidR="00E922F5" w:rsidRPr="00E922F5" w:rsidRDefault="00E922F5" w:rsidP="00D501F6">
      <w:pPr>
        <w:spacing w:line="276" w:lineRule="auto"/>
        <w:jc w:val="center"/>
        <w:rPr>
          <w:rFonts w:cs="Times New Roman"/>
          <w:b/>
          <w:color w:val="0D0D0D" w:themeColor="text1" w:themeTint="F2"/>
          <w:sz w:val="32"/>
          <w:szCs w:val="32"/>
          <w:lang w:val="en-GB"/>
        </w:rPr>
      </w:pPr>
      <w:r w:rsidRPr="00E922F5">
        <w:rPr>
          <w:rFonts w:cs="Times New Roman"/>
          <w:b/>
          <w:color w:val="0D0D0D" w:themeColor="text1" w:themeTint="F2"/>
          <w:sz w:val="32"/>
          <w:szCs w:val="32"/>
          <w:lang w:val="en-GB"/>
        </w:rPr>
        <w:t>STUDENT NAME: Maria Taleva</w:t>
      </w:r>
    </w:p>
    <w:p w14:paraId="00B6A5D8" w14:textId="77777777" w:rsidR="00D501F6" w:rsidRPr="00E814CB" w:rsidRDefault="00E922F5" w:rsidP="00D501F6">
      <w:pPr>
        <w:spacing w:line="276" w:lineRule="auto"/>
        <w:jc w:val="center"/>
        <w:rPr>
          <w:rFonts w:cs="Times New Roman"/>
          <w:color w:val="0D0D0D" w:themeColor="text1" w:themeTint="F2"/>
          <w:sz w:val="36"/>
          <w:lang w:val="en-GB"/>
        </w:rPr>
      </w:pPr>
      <w:r w:rsidRPr="00E922F5">
        <w:rPr>
          <w:rFonts w:cs="Times New Roman"/>
          <w:b/>
          <w:color w:val="0D0D0D" w:themeColor="text1" w:themeTint="F2"/>
          <w:sz w:val="32"/>
          <w:szCs w:val="32"/>
          <w:lang w:val="en-GB"/>
        </w:rPr>
        <w:t>STUDENT ID: 181411</w:t>
      </w:r>
      <w:r w:rsidR="00D501F6" w:rsidRPr="00E814CB">
        <w:rPr>
          <w:rFonts w:cs="Times New Roman"/>
          <w:color w:val="0D0D0D" w:themeColor="text1" w:themeTint="F2"/>
          <w:sz w:val="36"/>
          <w:lang w:val="en-GB"/>
        </w:rPr>
        <w:br w:type="page"/>
      </w:r>
    </w:p>
    <w:p w14:paraId="7A0510CE" w14:textId="77777777" w:rsidR="00D501F6" w:rsidRPr="00E814CB" w:rsidRDefault="00D501F6" w:rsidP="00D501F6">
      <w:pPr>
        <w:pStyle w:val="Heading1"/>
        <w:rPr>
          <w:rFonts w:cs="Times New Roman"/>
          <w:color w:val="0D0D0D" w:themeColor="text1" w:themeTint="F2"/>
          <w:lang w:val="en-GB"/>
        </w:rPr>
      </w:pPr>
      <w:r w:rsidRPr="00E814CB">
        <w:rPr>
          <w:rFonts w:cs="Times New Roman"/>
          <w:color w:val="0D0D0D" w:themeColor="text1" w:themeTint="F2"/>
          <w:lang w:val="en-GB"/>
        </w:rPr>
        <w:lastRenderedPageBreak/>
        <w:t>Question 1</w:t>
      </w:r>
    </w:p>
    <w:p w14:paraId="2F6297AA" w14:textId="77777777" w:rsidR="00D501F6" w:rsidRPr="00E814CB" w:rsidRDefault="00D501F6" w:rsidP="00D501F6">
      <w:pPr>
        <w:rPr>
          <w:rFonts w:cs="Times New Roman"/>
          <w:b/>
          <w:bCs/>
          <w:color w:val="0D0D0D" w:themeColor="text1" w:themeTint="F2"/>
          <w:lang w:val="en-GB"/>
        </w:rPr>
      </w:pPr>
      <w:r w:rsidRPr="00E814CB">
        <w:rPr>
          <w:rFonts w:cs="Times New Roman"/>
          <w:b/>
          <w:bCs/>
          <w:color w:val="0D0D0D" w:themeColor="text1" w:themeTint="F2"/>
          <w:lang w:val="en-GB"/>
        </w:rPr>
        <w:t>Develop a reasoned and balanced argument as to why the organization needs robust and progressive HRM policies. Your answer should include reference to training and development and employee engagement and how these are linked to HRM strategy</w:t>
      </w:r>
    </w:p>
    <w:p w14:paraId="74611844" w14:textId="77777777" w:rsidR="00D501F6" w:rsidRPr="00E814CB" w:rsidRDefault="00D501F6" w:rsidP="00D501F6">
      <w:pPr>
        <w:pStyle w:val="Heading1"/>
        <w:rPr>
          <w:rFonts w:cs="Times New Roman"/>
          <w:color w:val="0D0D0D" w:themeColor="text1" w:themeTint="F2"/>
          <w:lang w:val="en-GB"/>
        </w:rPr>
      </w:pPr>
      <w:r w:rsidRPr="00E814CB">
        <w:rPr>
          <w:rFonts w:cs="Times New Roman"/>
          <w:color w:val="0D0D0D" w:themeColor="text1" w:themeTint="F2"/>
          <w:lang w:val="en-GB"/>
        </w:rPr>
        <w:t>Introduction</w:t>
      </w:r>
    </w:p>
    <w:p w14:paraId="4BECDBCB" w14:textId="77777777" w:rsidR="00D501F6" w:rsidRPr="00E814CB" w:rsidRDefault="00D501F6" w:rsidP="00D501F6">
      <w:pPr>
        <w:rPr>
          <w:rFonts w:cs="Times New Roman"/>
          <w:color w:val="0D0D0D" w:themeColor="text1" w:themeTint="F2"/>
          <w:lang w:val="en-GB"/>
        </w:rPr>
      </w:pPr>
      <w:r w:rsidRPr="00E814CB">
        <w:rPr>
          <w:rFonts w:cs="Times New Roman"/>
          <w:color w:val="0D0D0D" w:themeColor="text1" w:themeTint="F2"/>
          <w:lang w:val="en-GB"/>
        </w:rPr>
        <w:t>Tesco plc. is one of the largest retailers in the national as well as the global landscape that enjoys British heritage of over 101 years, as the company was established in 1919, in and is ranked as the third-largest retailer in terms of gross revenues on an annual basis, and the ninth-largest in terms of net revenues collected by the firm as of 2019. The company employs over 6800 functional outlets in the global landscape, employing over 450,000 capable and skilled individuals as of 2019 alone, and generated gross revenue of over £2.206 billion for that period</w:t>
      </w:r>
      <w:r w:rsidRPr="00E814CB">
        <w:rPr>
          <w:rFonts w:cs="Times New Roman"/>
          <w:noProof/>
          <w:color w:val="0D0D0D" w:themeColor="text1" w:themeTint="F2"/>
          <w:lang w:val="en-GB"/>
        </w:rPr>
        <w:t xml:space="preserve"> (tescoplc.com, 2020)</w:t>
      </w:r>
      <w:r w:rsidRPr="00E814CB">
        <w:rPr>
          <w:rFonts w:cs="Times New Roman"/>
          <w:color w:val="0D0D0D" w:themeColor="text1" w:themeTint="F2"/>
          <w:lang w:val="en-GB"/>
        </w:rPr>
        <w:t>.</w:t>
      </w:r>
    </w:p>
    <w:p w14:paraId="58B8D495" w14:textId="77777777" w:rsidR="00D501F6" w:rsidRPr="00E814CB" w:rsidRDefault="00D501F6" w:rsidP="00D501F6">
      <w:pPr>
        <w:pStyle w:val="Heading1"/>
        <w:rPr>
          <w:rFonts w:cs="Times New Roman"/>
          <w:color w:val="0D0D0D" w:themeColor="text1" w:themeTint="F2"/>
          <w:lang w:val="en-GB"/>
        </w:rPr>
      </w:pPr>
      <w:r w:rsidRPr="00E814CB">
        <w:rPr>
          <w:rFonts w:cs="Times New Roman"/>
          <w:color w:val="0D0D0D" w:themeColor="text1" w:themeTint="F2"/>
          <w:lang w:val="en-GB"/>
        </w:rPr>
        <w:t>Discussion</w:t>
      </w:r>
    </w:p>
    <w:p w14:paraId="45C0502A" w14:textId="77777777" w:rsidR="00D501F6" w:rsidRPr="00E814CB" w:rsidRDefault="00D501F6" w:rsidP="00D501F6">
      <w:pPr>
        <w:rPr>
          <w:rFonts w:cs="Times New Roman"/>
          <w:color w:val="0D0D0D" w:themeColor="text1" w:themeTint="F2"/>
          <w:lang w:val="en-GB"/>
        </w:rPr>
      </w:pPr>
      <w:r w:rsidRPr="00E814CB">
        <w:rPr>
          <w:rFonts w:cs="Times New Roman"/>
          <w:color w:val="0D0D0D" w:themeColor="text1" w:themeTint="F2"/>
          <w:lang w:val="en-GB"/>
        </w:rPr>
        <w:t>Thus, this essay would effectively highlight and bring forward the concept of managing people within the organisational landscape of Tesco plc. and would present an argument on the need of a robust as well as progressive HRM policies within the organisational mainframe of Tesco plc. as a whole. This essay would also devolve into the core concepts of HRM, and its application in the current organisational mainframe, in the retail sector, in the UK, which is characterised by intense competition. The human resource of the organisation can have a direct and magnanimous impact on the overall public image and revenue-generating capability of the firm. </w:t>
      </w:r>
    </w:p>
    <w:p w14:paraId="7DD034A5" w14:textId="77777777" w:rsidR="00D501F6" w:rsidRPr="00E814CB" w:rsidRDefault="00D501F6" w:rsidP="00D501F6">
      <w:pPr>
        <w:rPr>
          <w:rFonts w:cs="Times New Roman"/>
          <w:color w:val="0D0D0D" w:themeColor="text1" w:themeTint="F2"/>
          <w:lang w:val="en-GB"/>
        </w:rPr>
      </w:pPr>
      <w:r w:rsidRPr="00E814CB">
        <w:rPr>
          <w:rFonts w:cs="Times New Roman"/>
          <w:color w:val="0D0D0D" w:themeColor="text1" w:themeTint="F2"/>
          <w:lang w:val="en-GB"/>
        </w:rPr>
        <w:t>The concept of Human Resource Management can be portrayed as a strategic approach that is utilised by an organisation for the strategic and tactical management of its Human Resources that can help the firm in establishing a competitive advantage over its competitors. Human Resource Management can also be inferred as the princess of the strategic implementation and integration of the goals and targets of the firm on the employees so that the firm can ensure its sustainability as well as the feasibility of operations and functions along with ensuring its existence</w:t>
      </w:r>
      <w:r w:rsidRPr="00E814CB">
        <w:rPr>
          <w:rFonts w:cs="Times New Roman"/>
          <w:noProof/>
          <w:color w:val="0D0D0D" w:themeColor="text1" w:themeTint="F2"/>
          <w:lang w:val="en-GB"/>
        </w:rPr>
        <w:t xml:space="preserve"> (Mira et al., 2019)</w:t>
      </w:r>
      <w:r w:rsidRPr="00E814CB">
        <w:rPr>
          <w:rFonts w:cs="Times New Roman"/>
          <w:color w:val="0D0D0D" w:themeColor="text1" w:themeTint="F2"/>
          <w:lang w:val="en-GB"/>
        </w:rPr>
        <w:t>. </w:t>
      </w:r>
    </w:p>
    <w:p w14:paraId="37809288" w14:textId="77777777" w:rsidR="00D501F6" w:rsidRPr="00E814CB" w:rsidRDefault="00D501F6" w:rsidP="00D501F6">
      <w:pPr>
        <w:rPr>
          <w:rFonts w:cs="Times New Roman"/>
          <w:color w:val="0D0D0D" w:themeColor="text1" w:themeTint="F2"/>
          <w:lang w:val="en-GB"/>
        </w:rPr>
      </w:pPr>
      <w:r w:rsidRPr="00E814CB">
        <w:rPr>
          <w:rFonts w:cs="Times New Roman"/>
          <w:color w:val="0D0D0D" w:themeColor="text1" w:themeTint="F2"/>
          <w:lang w:val="en-GB"/>
        </w:rPr>
        <w:t>The Human Resource Management Policies can be defined as the set of guidelines or approach that are utilised by the management or the organization in order to manage its particular human resources and are composed of a range of specific guidelines that provide assistance to the firm and the employees regarding certain cases and scenarios. Thus, the policies serve as a reference point to the human resource managers and the employees working use them in the organisation and helps the managers and the hierarchy in making undertaking decisions regarding the workforce of the organisation, in cases like recruitment, selection, compensation, training, and other cases</w:t>
      </w:r>
      <w:r w:rsidRPr="00E814CB">
        <w:rPr>
          <w:rFonts w:cs="Times New Roman"/>
          <w:noProof/>
          <w:color w:val="0D0D0D" w:themeColor="text1" w:themeTint="F2"/>
          <w:lang w:val="en-GB"/>
        </w:rPr>
        <w:t xml:space="preserve"> (Wikhamn, 2019)</w:t>
      </w:r>
      <w:r w:rsidRPr="00E814CB">
        <w:rPr>
          <w:rFonts w:cs="Times New Roman"/>
          <w:color w:val="0D0D0D" w:themeColor="text1" w:themeTint="F2"/>
          <w:lang w:val="en-GB"/>
        </w:rPr>
        <w:t>. </w:t>
      </w:r>
    </w:p>
    <w:p w14:paraId="5A823728" w14:textId="77777777" w:rsidR="00D501F6" w:rsidRPr="00E814CB" w:rsidRDefault="00D501F6" w:rsidP="00D501F6">
      <w:pPr>
        <w:rPr>
          <w:rFonts w:cs="Times New Roman"/>
          <w:color w:val="0D0D0D" w:themeColor="text1" w:themeTint="F2"/>
          <w:lang w:val="en-GB"/>
        </w:rPr>
      </w:pPr>
      <w:r w:rsidRPr="00E814CB">
        <w:rPr>
          <w:rFonts w:cs="Times New Roman"/>
          <w:color w:val="0D0D0D" w:themeColor="text1" w:themeTint="F2"/>
          <w:lang w:val="en-GB"/>
        </w:rPr>
        <w:t>The policies within the organisational mainframe are made and drafted in compliance with the specific employment laws and regulations prevalent in the country, along with the certain and specific standards as well prevailing conditions that exist in the industry as a whole. These policies and framework thereby serving as a reference point and consultation for the managers for the treatment and the decision making regarding the employees working in the organisation like the current compensation that is prevalent in the industry, along with the working hours, employee benefits and engagement and other factors and scenarios as a whole</w:t>
      </w:r>
      <w:r w:rsidRPr="00E814CB">
        <w:rPr>
          <w:rFonts w:cs="Times New Roman"/>
          <w:noProof/>
          <w:color w:val="0D0D0D" w:themeColor="text1" w:themeTint="F2"/>
          <w:lang w:val="en-GB"/>
        </w:rPr>
        <w:t xml:space="preserve"> (McKeown, 2019)</w:t>
      </w:r>
      <w:r w:rsidRPr="00E814CB">
        <w:rPr>
          <w:rFonts w:cs="Times New Roman"/>
          <w:color w:val="0D0D0D" w:themeColor="text1" w:themeTint="F2"/>
          <w:lang w:val="en-GB"/>
        </w:rPr>
        <w:t>. </w:t>
      </w:r>
    </w:p>
    <w:p w14:paraId="508AEBDF" w14:textId="77777777" w:rsidR="00D501F6" w:rsidRPr="00E814CB" w:rsidRDefault="00D501F6" w:rsidP="00D501F6">
      <w:pPr>
        <w:rPr>
          <w:rFonts w:cs="Times New Roman"/>
          <w:color w:val="0D0D0D" w:themeColor="text1" w:themeTint="F2"/>
          <w:lang w:val="en-GB"/>
        </w:rPr>
      </w:pPr>
      <w:r w:rsidRPr="00E814CB">
        <w:rPr>
          <w:rFonts w:cs="Times New Roman"/>
          <w:color w:val="0D0D0D" w:themeColor="text1" w:themeTint="F2"/>
          <w:lang w:val="en-GB"/>
        </w:rPr>
        <w:t>Thereby in the organizational landscape, these policies and framework help and assist the manager or the hierarchy in managing the human resources and undertaking decisions that are concerned with the Workforce of the firm in the organizational landscape, and include a range of factors like Employee motivation, retention as well as productivity. The HRM policies and framework have a direct and significant impact on how the employees or the workforce at large behaves within the organizational landscape, how they undertake tasks, within the organisation and how they can help the firm in achieving its goals and targets and their impact on the goodwill of the firm as a whole</w:t>
      </w:r>
      <w:r w:rsidRPr="00E814CB">
        <w:rPr>
          <w:rFonts w:cs="Times New Roman"/>
          <w:noProof/>
          <w:color w:val="0D0D0D" w:themeColor="text1" w:themeTint="F2"/>
          <w:lang w:val="en-GB"/>
        </w:rPr>
        <w:t xml:space="preserve"> (Lin &amp; Sanders, 2017)</w:t>
      </w:r>
      <w:r w:rsidRPr="00E814CB">
        <w:rPr>
          <w:rFonts w:cs="Times New Roman"/>
          <w:color w:val="0D0D0D" w:themeColor="text1" w:themeTint="F2"/>
          <w:lang w:val="en-GB"/>
        </w:rPr>
        <w:t>. </w:t>
      </w:r>
    </w:p>
    <w:p w14:paraId="7C87AAE4" w14:textId="77777777" w:rsidR="00D501F6" w:rsidRPr="00E814CB" w:rsidRDefault="00D501F6" w:rsidP="00D501F6">
      <w:pPr>
        <w:rPr>
          <w:rFonts w:cs="Times New Roman"/>
          <w:color w:val="0D0D0D" w:themeColor="text1" w:themeTint="F2"/>
          <w:lang w:val="en-GB"/>
        </w:rPr>
      </w:pPr>
      <w:r w:rsidRPr="00E814CB">
        <w:rPr>
          <w:rFonts w:cs="Times New Roman"/>
          <w:color w:val="0D0D0D" w:themeColor="text1" w:themeTint="F2"/>
          <w:lang w:val="en-GB"/>
        </w:rPr>
        <w:t>The HR framework and policies rudimentarily present the rules of engagement with the employees within the organizational mainframe, and an organisation with rudimentary or old policies that are not updated with the current national and global industry standards would lose out on a significant competitive advantage. Since, the HR policies and framework are composed of how the competitors as well as the industry in general treats the employees or the workforce, their compensation as well as the working hours and the treatment of the employees within the organization as a whole</w:t>
      </w:r>
      <w:r w:rsidRPr="00E814CB">
        <w:rPr>
          <w:rFonts w:cs="Times New Roman"/>
          <w:noProof/>
          <w:color w:val="0D0D0D" w:themeColor="text1" w:themeTint="F2"/>
          <w:lang w:val="en-GB"/>
        </w:rPr>
        <w:t xml:space="preserve"> (Jørgensen &amp; Becker, 2017)</w:t>
      </w:r>
      <w:r w:rsidRPr="00E814CB">
        <w:rPr>
          <w:rFonts w:cs="Times New Roman"/>
          <w:color w:val="0D0D0D" w:themeColor="text1" w:themeTint="F2"/>
          <w:lang w:val="en-GB"/>
        </w:rPr>
        <w:t>. </w:t>
      </w:r>
    </w:p>
    <w:p w14:paraId="7BB3E7B5" w14:textId="77777777" w:rsidR="00D501F6" w:rsidRPr="00E814CB" w:rsidRDefault="00D501F6" w:rsidP="00D501F6">
      <w:pPr>
        <w:rPr>
          <w:rFonts w:cs="Times New Roman"/>
          <w:color w:val="0D0D0D" w:themeColor="text1" w:themeTint="F2"/>
          <w:lang w:val="en-GB"/>
        </w:rPr>
      </w:pPr>
      <w:r w:rsidRPr="00E814CB">
        <w:rPr>
          <w:rFonts w:cs="Times New Roman"/>
          <w:color w:val="0D0D0D" w:themeColor="text1" w:themeTint="F2"/>
          <w:lang w:val="en-GB"/>
        </w:rPr>
        <w:t>Thereby, an organization with progressing and modern HR policies would find it easier to actively engage with the employees and undertake training as well as development of the employees as a whole, without aunty discrimination or preferential treatment being provided towards any particular employee within the mainframe of et organisation. Wherein Employee engagement can be portrayed as the range of activities that are undertaken by the management for the upkeep as well as engagement with the employees working in the organization, and can be described as the relation that is shared between the organisation and the employees as a whole</w:t>
      </w:r>
      <w:r w:rsidRPr="00E814CB">
        <w:rPr>
          <w:rFonts w:cs="Times New Roman"/>
          <w:noProof/>
          <w:color w:val="0D0D0D" w:themeColor="text1" w:themeTint="F2"/>
          <w:lang w:val="en-GB"/>
        </w:rPr>
        <w:t xml:space="preserve"> (Gupta, 2017)</w:t>
      </w:r>
      <w:r w:rsidRPr="00E814CB">
        <w:rPr>
          <w:rFonts w:cs="Times New Roman"/>
          <w:color w:val="0D0D0D" w:themeColor="text1" w:themeTint="F2"/>
          <w:lang w:val="en-GB"/>
        </w:rPr>
        <w:t>. </w:t>
      </w:r>
    </w:p>
    <w:p w14:paraId="3FCD06C3" w14:textId="77777777" w:rsidR="00D501F6" w:rsidRPr="00E814CB" w:rsidRDefault="00D501F6" w:rsidP="00D501F6">
      <w:pPr>
        <w:rPr>
          <w:rFonts w:cs="Times New Roman"/>
          <w:color w:val="0D0D0D" w:themeColor="text1" w:themeTint="F2"/>
          <w:lang w:val="en-GB"/>
        </w:rPr>
      </w:pPr>
      <w:r w:rsidRPr="00E814CB">
        <w:rPr>
          <w:rFonts w:cs="Times New Roman"/>
          <w:color w:val="0D0D0D" w:themeColor="text1" w:themeTint="F2"/>
          <w:lang w:val="en-GB"/>
        </w:rPr>
        <w:t>The importance of employee engagement within the organisational mainframe is in the form of increased employee safety as well as loyalty, as employee engagement leads to higher satisfaction amongst the employees, which drastically reduce employee turnover, as the employees feel valued in the organization irrespective of their designation or position. Thereafter, employee engagement also reduces the rate of absenteeism within the organisational mainframe, as satisfied and happy employees are less likely to abstain from work, as they feel valued, and think that they owe to the organisation, which in turn also reduces the overall cost of operations that the firm has to append on recruitment and selection of fresh employees due to reduced employee turnover</w:t>
      </w:r>
      <w:r w:rsidRPr="00E814CB">
        <w:rPr>
          <w:rFonts w:cs="Times New Roman"/>
          <w:noProof/>
          <w:color w:val="0D0D0D" w:themeColor="text1" w:themeTint="F2"/>
          <w:lang w:val="en-GB"/>
        </w:rPr>
        <w:t xml:space="preserve"> (Holt, 2016)</w:t>
      </w:r>
      <w:r w:rsidRPr="00E814CB">
        <w:rPr>
          <w:rFonts w:cs="Times New Roman"/>
          <w:color w:val="0D0D0D" w:themeColor="text1" w:themeTint="F2"/>
          <w:lang w:val="en-GB"/>
        </w:rPr>
        <w:t>. </w:t>
      </w:r>
    </w:p>
    <w:p w14:paraId="378931FE" w14:textId="77777777" w:rsidR="00D501F6" w:rsidRPr="00E814CB" w:rsidRDefault="00D501F6" w:rsidP="00D501F6">
      <w:pPr>
        <w:rPr>
          <w:rFonts w:cs="Times New Roman"/>
          <w:color w:val="0D0D0D" w:themeColor="text1" w:themeTint="F2"/>
          <w:lang w:val="en-GB"/>
        </w:rPr>
      </w:pPr>
      <w:r w:rsidRPr="00E814CB">
        <w:rPr>
          <w:rFonts w:cs="Times New Roman"/>
          <w:color w:val="0D0D0D" w:themeColor="text1" w:themeTint="F2"/>
          <w:lang w:val="en-GB"/>
        </w:rPr>
        <w:t>Thereafter, the HR policies and guides the firm in training and development of the workforce as a whole since in the current landscape, in lieu of the highly competitive retail industry, the employees are required to be omnipotent. That is, they must cater to different demands of the firm in terms of human skills and talents, thereby increasingly more and more organisations, as opposed to the traditional role, and concept actively undertakes the task of training and development of the employees</w:t>
      </w:r>
      <w:r w:rsidRPr="00E814CB">
        <w:rPr>
          <w:rFonts w:cs="Times New Roman"/>
          <w:noProof/>
          <w:color w:val="0D0D0D" w:themeColor="text1" w:themeTint="F2"/>
          <w:lang w:val="en-GB"/>
        </w:rPr>
        <w:t xml:space="preserve"> (Hangal &amp; Kumar, 2018)</w:t>
      </w:r>
      <w:r w:rsidRPr="00E814CB">
        <w:rPr>
          <w:rFonts w:cs="Times New Roman"/>
          <w:color w:val="0D0D0D" w:themeColor="text1" w:themeTint="F2"/>
          <w:lang w:val="en-GB"/>
        </w:rPr>
        <w:t>. </w:t>
      </w:r>
    </w:p>
    <w:p w14:paraId="254FBE3C" w14:textId="77777777" w:rsidR="00D501F6" w:rsidRPr="00E814CB" w:rsidRDefault="00D501F6" w:rsidP="00D501F6">
      <w:pPr>
        <w:rPr>
          <w:rFonts w:cs="Times New Roman"/>
          <w:color w:val="0D0D0D" w:themeColor="text1" w:themeTint="F2"/>
          <w:lang w:val="en-GB"/>
        </w:rPr>
      </w:pPr>
      <w:r w:rsidRPr="00E814CB">
        <w:rPr>
          <w:rFonts w:cs="Times New Roman"/>
          <w:color w:val="0D0D0D" w:themeColor="text1" w:themeTint="F2"/>
          <w:lang w:val="en-GB"/>
        </w:rPr>
        <w:t>Thereby, the employees are taught to adapt and survive along with meeting the specific demands of the firm as a whole, through gaining the relevant skillset that can allow them to transmit and provide their utility as well as functions effectively in undertaking different job roles within the landscape of the organisation. Thus, the organisation must undertake employees training and development, so that they can enhance their overall profitability as well as revenue-generating capability as a whole along with reducing the overall costs of the firm, allowing the firm to retain its employees and reduce employee turnover as well</w:t>
      </w:r>
      <w:r w:rsidRPr="00E814CB">
        <w:rPr>
          <w:rFonts w:cs="Times New Roman"/>
          <w:noProof/>
          <w:color w:val="0D0D0D" w:themeColor="text1" w:themeTint="F2"/>
          <w:lang w:val="en-GB"/>
        </w:rPr>
        <w:t xml:space="preserve"> (Zoller, 2018)</w:t>
      </w:r>
      <w:r w:rsidRPr="00E814CB">
        <w:rPr>
          <w:rFonts w:cs="Times New Roman"/>
          <w:color w:val="0D0D0D" w:themeColor="text1" w:themeTint="F2"/>
          <w:lang w:val="en-GB"/>
        </w:rPr>
        <w:t>. </w:t>
      </w:r>
    </w:p>
    <w:p w14:paraId="7F41B8EB" w14:textId="77777777" w:rsidR="00D501F6" w:rsidRPr="00E814CB" w:rsidRDefault="00D501F6" w:rsidP="00D501F6">
      <w:pPr>
        <w:rPr>
          <w:rFonts w:cs="Times New Roman"/>
          <w:color w:val="0D0D0D" w:themeColor="text1" w:themeTint="F2"/>
          <w:lang w:val="en-GB"/>
        </w:rPr>
      </w:pPr>
      <w:r w:rsidRPr="00E814CB">
        <w:rPr>
          <w:rFonts w:cs="Times New Roman"/>
          <w:color w:val="0D0D0D" w:themeColor="text1" w:themeTint="F2"/>
          <w:lang w:val="en-GB"/>
        </w:rPr>
        <w:t>Thus, these are the basic HRM guidelines and policies that have a significant impact of the overall gravity as well as the revenue-generating capability of the firm as a whole, as the policy and guidelines help the firms and the management in effective decision making and retaining the employees as well. Thereby, the firm needs a robust and progressive HR policy in order to adapt and survive in the current environment and the national as well as global market, wherein the policies and framework are adapted and modified as per the needs as well as the specific goals and targets of the organisation</w:t>
      </w:r>
      <w:r w:rsidRPr="00E814CB">
        <w:rPr>
          <w:rFonts w:cs="Times New Roman"/>
          <w:noProof/>
          <w:color w:val="0D0D0D" w:themeColor="text1" w:themeTint="F2"/>
          <w:lang w:val="en-GB"/>
        </w:rPr>
        <w:t xml:space="preserve"> (Zentes et al., 2017)</w:t>
      </w:r>
      <w:r w:rsidRPr="00E814CB">
        <w:rPr>
          <w:rFonts w:cs="Times New Roman"/>
          <w:color w:val="0D0D0D" w:themeColor="text1" w:themeTint="F2"/>
          <w:lang w:val="en-GB"/>
        </w:rPr>
        <w:t>. </w:t>
      </w:r>
    </w:p>
    <w:p w14:paraId="17600742" w14:textId="77777777" w:rsidR="00D501F6" w:rsidRPr="00E814CB" w:rsidRDefault="00D501F6" w:rsidP="00D501F6">
      <w:pPr>
        <w:rPr>
          <w:rFonts w:cs="Times New Roman"/>
          <w:color w:val="0D0D0D" w:themeColor="text1" w:themeTint="F2"/>
          <w:lang w:val="en-GB"/>
        </w:rPr>
      </w:pPr>
      <w:r w:rsidRPr="00E814CB">
        <w:rPr>
          <w:rFonts w:cs="Times New Roman"/>
          <w:color w:val="0D0D0D" w:themeColor="text1" w:themeTint="F2"/>
          <w:lang w:val="en-GB"/>
        </w:rPr>
        <w:t>Thus, in the organisational mainframe of Tesco plc the need of Robust and Progressive HRM policies can also be highlighted form a specific utility that is provided by the HRM policy within the organisational landscape, as a whole, through the guidelines and framework. It can help the firm in assessing and evaluating its need in terms of human resources, as Tesco Currently follows the policy of creating value for the employees, wherein the firm support the employee's ventures as well as their latent talents as well as skills, by providing them with the necessary training as well as development. </w:t>
      </w:r>
    </w:p>
    <w:p w14:paraId="5A033A6E" w14:textId="77777777" w:rsidR="00D501F6" w:rsidRPr="00E814CB" w:rsidRDefault="00D501F6" w:rsidP="00D501F6">
      <w:pPr>
        <w:rPr>
          <w:rFonts w:cs="Times New Roman"/>
          <w:color w:val="0D0D0D" w:themeColor="text1" w:themeTint="F2"/>
          <w:lang w:val="en-GB"/>
        </w:rPr>
      </w:pPr>
      <w:r w:rsidRPr="00E814CB">
        <w:rPr>
          <w:rFonts w:cs="Times New Roman"/>
          <w:color w:val="0D0D0D" w:themeColor="text1" w:themeTint="F2"/>
          <w:lang w:val="en-GB"/>
        </w:rPr>
        <w:t>Thereby, comparison with the global retail standards, each and every retail organisation is matriculating to removing special treatment to its employees so that they feel valued within the organisation and aims at creating an inclusive space wherein they can actively apply their skills and talents for enhancing their revenue-generating capability. Tesco, in that particular aspect, has been the trendsetter in the industry, which is highlighted from the particular revenue-generating capability of Tesco, along with the actual revenue that the generated in the national as well as  global landscape, wherein the firm is ranked amongst the largest British Retailer</w:t>
      </w:r>
      <w:r w:rsidRPr="00E814CB">
        <w:rPr>
          <w:rFonts w:cs="Times New Roman"/>
          <w:noProof/>
          <w:color w:val="0D0D0D" w:themeColor="text1" w:themeTint="F2"/>
          <w:lang w:val="en-GB"/>
        </w:rPr>
        <w:t xml:space="preserve"> (Dondjio &amp; Haafst, 2019)</w:t>
      </w:r>
      <w:r w:rsidRPr="00E814CB">
        <w:rPr>
          <w:rFonts w:cs="Times New Roman"/>
          <w:color w:val="0D0D0D" w:themeColor="text1" w:themeTint="F2"/>
          <w:lang w:val="en-GB"/>
        </w:rPr>
        <w:t>. </w:t>
      </w:r>
    </w:p>
    <w:p w14:paraId="48E5646E" w14:textId="77777777" w:rsidR="00D501F6" w:rsidRPr="00E814CB" w:rsidRDefault="00D501F6" w:rsidP="00D501F6">
      <w:pPr>
        <w:rPr>
          <w:rFonts w:cs="Times New Roman"/>
          <w:color w:val="0D0D0D" w:themeColor="text1" w:themeTint="F2"/>
          <w:lang w:val="en-GB"/>
        </w:rPr>
      </w:pPr>
      <w:r w:rsidRPr="00E814CB">
        <w:rPr>
          <w:rFonts w:cs="Times New Roman"/>
          <w:color w:val="0D0D0D" w:themeColor="text1" w:themeTint="F2"/>
          <w:lang w:val="en-GB"/>
        </w:rPr>
        <w:t>Thereafter, the employee engagement policies in the organisational mainframe of the company are also directed and established through its HRM policies as the firm employs a large and diverse workforce in the national as well as the global landscape with over 450,000 employees through 6500 outlets in the national and global landscape. Thereby, the firm has predefined set of policies for employee engagement in its stores and outlets that are based in and outside of the country, the company needs to create an effective guideline for the specific countries in which Tesco operates in the global landscape, as each and every region has its own set for competitors and legal policies as well.  </w:t>
      </w:r>
    </w:p>
    <w:p w14:paraId="234A9AF7" w14:textId="77777777" w:rsidR="00D501F6" w:rsidRPr="00E814CB" w:rsidRDefault="00D501F6" w:rsidP="00D501F6">
      <w:pPr>
        <w:rPr>
          <w:rFonts w:cs="Times New Roman"/>
          <w:color w:val="0D0D0D" w:themeColor="text1" w:themeTint="F2"/>
          <w:lang w:val="en-GB"/>
        </w:rPr>
      </w:pPr>
      <w:r w:rsidRPr="00E814CB">
        <w:rPr>
          <w:rFonts w:cs="Times New Roman"/>
          <w:color w:val="0D0D0D" w:themeColor="text1" w:themeTint="F2"/>
          <w:lang w:val="en-GB"/>
        </w:rPr>
        <w:t>Thus, this allows the firm to focus on one of the important stakeholders that are the employee who has been considered as one of the most ignored as well as overlooked segments in the realm of stakeholders, irrespective of their level for contributing to the overall revenue-generating capability of the firm</w:t>
      </w:r>
      <w:r w:rsidRPr="00E814CB">
        <w:rPr>
          <w:rFonts w:cs="Times New Roman"/>
          <w:noProof/>
          <w:color w:val="0D0D0D" w:themeColor="text1" w:themeTint="F2"/>
          <w:lang w:val="en-GB"/>
        </w:rPr>
        <w:t xml:space="preserve"> (Barrena-Martínez et al., 2019)</w:t>
      </w:r>
      <w:r w:rsidRPr="00E814CB">
        <w:rPr>
          <w:rFonts w:cs="Times New Roman"/>
          <w:color w:val="0D0D0D" w:themeColor="text1" w:themeTint="F2"/>
          <w:lang w:val="en-GB"/>
        </w:rPr>
        <w:t>. The effective utilisation and implementation of the HR policies the firm can establish a sustainable competitive advantage over its competitors and enable stem to enhance its revenue-generating capability as a whole</w:t>
      </w:r>
      <w:r w:rsidRPr="00E814CB">
        <w:rPr>
          <w:rFonts w:cs="Times New Roman"/>
          <w:noProof/>
          <w:color w:val="0D0D0D" w:themeColor="text1" w:themeTint="F2"/>
          <w:lang w:val="en-GB"/>
        </w:rPr>
        <w:t xml:space="preserve"> (Mira et al., 2019)</w:t>
      </w:r>
      <w:r w:rsidRPr="00E814CB">
        <w:rPr>
          <w:rFonts w:cs="Times New Roman"/>
          <w:color w:val="0D0D0D" w:themeColor="text1" w:themeTint="F2"/>
          <w:lang w:val="en-GB"/>
        </w:rPr>
        <w:t>. </w:t>
      </w:r>
    </w:p>
    <w:p w14:paraId="0027C8C1" w14:textId="77777777" w:rsidR="00D501F6" w:rsidRPr="00E814CB" w:rsidRDefault="00D501F6" w:rsidP="00D501F6">
      <w:pPr>
        <w:rPr>
          <w:rFonts w:cs="Times New Roman"/>
          <w:color w:val="0D0D0D" w:themeColor="text1" w:themeTint="F2"/>
          <w:lang w:val="en-GB"/>
        </w:rPr>
      </w:pPr>
      <w:r w:rsidRPr="00E814CB">
        <w:rPr>
          <w:rFonts w:cs="Times New Roman"/>
          <w:color w:val="0D0D0D" w:themeColor="text1" w:themeTint="F2"/>
          <w:lang w:val="en-GB"/>
        </w:rPr>
        <w:t>Thereby, the present or defined set of HR policies might have certain drawbacks in the organizational mainframe and can reduce the overall facility of the operation of the firm as a whole since the firm has to follow the rules and regulations that are being utilised by the competitors and the industry as a whole. Therein, disregarding the factors, like the scale of operations, the feasibility of operations, overall cost incurred by the firm, the profitability of the firm as a whole and the level fob operations, that can have a negative impact on the feasibility and survivability of the company as well</w:t>
      </w:r>
      <w:r w:rsidRPr="00E814CB">
        <w:rPr>
          <w:rFonts w:cs="Times New Roman"/>
          <w:noProof/>
          <w:color w:val="0D0D0D" w:themeColor="text1" w:themeTint="F2"/>
          <w:lang w:val="en-GB"/>
        </w:rPr>
        <w:t xml:space="preserve"> (Blom et al., 2019)</w:t>
      </w:r>
      <w:r w:rsidRPr="00E814CB">
        <w:rPr>
          <w:rFonts w:cs="Times New Roman"/>
          <w:color w:val="0D0D0D" w:themeColor="text1" w:themeTint="F2"/>
          <w:lang w:val="en-GB"/>
        </w:rPr>
        <w:t>. </w:t>
      </w:r>
    </w:p>
    <w:p w14:paraId="114D517C" w14:textId="77777777" w:rsidR="00D501F6" w:rsidRPr="00E814CB" w:rsidRDefault="00D501F6" w:rsidP="00D501F6">
      <w:pPr>
        <w:rPr>
          <w:rFonts w:cs="Times New Roman"/>
          <w:color w:val="0D0D0D" w:themeColor="text1" w:themeTint="F2"/>
          <w:lang w:val="en-GB"/>
        </w:rPr>
      </w:pPr>
      <w:r w:rsidRPr="00E814CB">
        <w:rPr>
          <w:rFonts w:cs="Times New Roman"/>
          <w:color w:val="0D0D0D" w:themeColor="text1" w:themeTint="F2"/>
          <w:lang w:val="en-GB"/>
        </w:rPr>
        <w:t>Since, every company has a different set of production capabilities, as well as operational and functional capabilities, that are unique to the company, and a certain location or region, like the local tradition and customs that are prevalent in that particular region or location as a whole. Therein, a predefined set of regulations and guideline that are meant to serve as the basic guideline may hamper the coverall feasibility of the firm in that particular location as a whole. Thereby, reducing the competitive advantage or the goodwill, as happened with Tesco in the US, as due to different sets of customer base, and their unique tradition, as well as requirement, turned out to be havoc for the company. Furthermore, the predefined set of regulations and guidelines that were set by the firm also were rendered useless</w:t>
      </w:r>
      <w:r w:rsidRPr="00E814CB">
        <w:rPr>
          <w:rFonts w:cs="Times New Roman"/>
          <w:noProof/>
          <w:color w:val="0D0D0D" w:themeColor="text1" w:themeTint="F2"/>
          <w:lang w:val="en-GB"/>
        </w:rPr>
        <w:t xml:space="preserve"> (Hankivsky et al., 2019)</w:t>
      </w:r>
      <w:r w:rsidRPr="00E814CB">
        <w:rPr>
          <w:rFonts w:cs="Times New Roman"/>
          <w:color w:val="0D0D0D" w:themeColor="text1" w:themeTint="F2"/>
          <w:lang w:val="en-GB"/>
        </w:rPr>
        <w:t>. </w:t>
      </w:r>
    </w:p>
    <w:p w14:paraId="5E3BAC75" w14:textId="77777777" w:rsidR="00D501F6" w:rsidRPr="00E814CB" w:rsidRDefault="00D501F6" w:rsidP="00D501F6">
      <w:pPr>
        <w:rPr>
          <w:rFonts w:cs="Times New Roman"/>
          <w:color w:val="0D0D0D" w:themeColor="text1" w:themeTint="F2"/>
          <w:lang w:val="en-GB"/>
        </w:rPr>
      </w:pPr>
      <w:r w:rsidRPr="00E814CB">
        <w:rPr>
          <w:rFonts w:cs="Times New Roman"/>
          <w:color w:val="0D0D0D" w:themeColor="text1" w:themeTint="F2"/>
          <w:lang w:val="en-GB"/>
        </w:rPr>
        <w:t>Thus, the companies require HRM policies and guideline, in the organisational landscape, but these policies must be used only as a soft reference point within organisational mainframe to be used for reference only, and not to be used by as an unbreakable rule, in the ever-changing and diverse global as well as national retail environment that is also characterised as highly competitive. </w:t>
      </w:r>
    </w:p>
    <w:p w14:paraId="3253E55E" w14:textId="77777777" w:rsidR="00D501F6" w:rsidRPr="00E814CB" w:rsidRDefault="00D501F6" w:rsidP="00D501F6">
      <w:pPr>
        <w:pStyle w:val="Heading1"/>
        <w:rPr>
          <w:rFonts w:cs="Times New Roman"/>
          <w:color w:val="0D0D0D" w:themeColor="text1" w:themeTint="F2"/>
          <w:lang w:val="en-GB"/>
        </w:rPr>
      </w:pPr>
      <w:r w:rsidRPr="00E814CB">
        <w:rPr>
          <w:rFonts w:cs="Times New Roman"/>
          <w:color w:val="0D0D0D" w:themeColor="text1" w:themeTint="F2"/>
          <w:lang w:val="en-GB"/>
        </w:rPr>
        <w:t>Conclusion</w:t>
      </w:r>
    </w:p>
    <w:p w14:paraId="57932389" w14:textId="77777777" w:rsidR="00D501F6" w:rsidRPr="00E814CB" w:rsidRDefault="00D501F6" w:rsidP="00D501F6">
      <w:pPr>
        <w:rPr>
          <w:rFonts w:cs="Times New Roman"/>
          <w:color w:val="0D0D0D" w:themeColor="text1" w:themeTint="F2"/>
          <w:lang w:val="en-GB"/>
        </w:rPr>
      </w:pPr>
      <w:r w:rsidRPr="00E814CB">
        <w:rPr>
          <w:rFonts w:cs="Times New Roman"/>
          <w:color w:val="0D0D0D" w:themeColor="text1" w:themeTint="F2"/>
          <w:lang w:val="en-GB"/>
        </w:rPr>
        <w:t>Thus, in a brief, this essay effectively highlights Human Resource Management in the organisational landscape of Tesco, which can be portrayed as a strategic approach that is utilised by an Organisation for the strategic and tactical management of its Human Resources that can help the firm in establishing a competitive advantage over its competitors. Thereby, this essay further highlights the need as well as different aspects of HRM policies in the organisational mainframe of Tesco and the limitation of the HRM policies in the organisational mainframe of Tesco plc.       </w:t>
      </w:r>
    </w:p>
    <w:p w14:paraId="42C7172F" w14:textId="77777777" w:rsidR="00D501F6" w:rsidRPr="00E814CB" w:rsidRDefault="00D501F6" w:rsidP="00D501F6">
      <w:pPr>
        <w:rPr>
          <w:rFonts w:cs="Times New Roman"/>
          <w:color w:val="0D0D0D" w:themeColor="text1" w:themeTint="F2"/>
          <w:lang w:val="en-GB"/>
        </w:rPr>
      </w:pPr>
    </w:p>
    <w:p w14:paraId="6AD14CCC" w14:textId="77777777" w:rsidR="00D501F6" w:rsidRPr="00E814CB" w:rsidRDefault="00D501F6" w:rsidP="00D501F6">
      <w:pPr>
        <w:pStyle w:val="Heading1"/>
        <w:rPr>
          <w:rFonts w:cs="Times New Roman"/>
          <w:color w:val="0D0D0D" w:themeColor="text1" w:themeTint="F2"/>
          <w:lang w:val="en-GB"/>
        </w:rPr>
      </w:pPr>
      <w:r w:rsidRPr="00E814CB">
        <w:rPr>
          <w:rFonts w:eastAsiaTheme="minorHAnsi" w:cs="Times New Roman"/>
          <w:color w:val="0D0D0D" w:themeColor="text1" w:themeTint="F2"/>
          <w:lang w:val="en-GB"/>
        </w:rPr>
        <w:t>References</w:t>
      </w:r>
    </w:p>
    <w:p w14:paraId="7A7C2F6F" w14:textId="77777777" w:rsidR="00D501F6" w:rsidRPr="00E814CB" w:rsidRDefault="00D501F6" w:rsidP="00D501F6">
      <w:pPr>
        <w:pStyle w:val="Bibliography"/>
        <w:rPr>
          <w:rFonts w:cs="Times New Roman"/>
          <w:noProof/>
          <w:color w:val="0D0D0D" w:themeColor="text1" w:themeTint="F2"/>
          <w:lang w:val="en-GB"/>
        </w:rPr>
      </w:pPr>
      <w:r w:rsidRPr="00E814CB">
        <w:rPr>
          <w:rFonts w:cs="Times New Roman"/>
          <w:noProof/>
          <w:color w:val="0D0D0D" w:themeColor="text1" w:themeTint="F2"/>
          <w:lang w:val="en-GB"/>
        </w:rPr>
        <w:t xml:space="preserve">Barrena-Martínez, J., López-Fernández, M. &amp; Romero-Fernández, P.M., 2019. Towards a configuration of socially responsible human resource management policies and practices: Findings from an academic consensus. </w:t>
      </w:r>
      <w:r w:rsidRPr="00E814CB">
        <w:rPr>
          <w:rFonts w:cs="Times New Roman"/>
          <w:i/>
          <w:iCs/>
          <w:noProof/>
          <w:color w:val="0D0D0D" w:themeColor="text1" w:themeTint="F2"/>
          <w:lang w:val="en-GB"/>
        </w:rPr>
        <w:t>The International Journal of Human Resource Management,</w:t>
      </w:r>
      <w:r w:rsidRPr="00E814CB">
        <w:rPr>
          <w:rFonts w:cs="Times New Roman"/>
          <w:noProof/>
          <w:color w:val="0D0D0D" w:themeColor="text1" w:themeTint="F2"/>
          <w:lang w:val="en-GB"/>
        </w:rPr>
        <w:t xml:space="preserve"> 30(17), pp.2544-80.</w:t>
      </w:r>
    </w:p>
    <w:p w14:paraId="0934A2F3" w14:textId="77777777" w:rsidR="00D501F6" w:rsidRPr="00E814CB" w:rsidRDefault="00D501F6" w:rsidP="00D501F6">
      <w:pPr>
        <w:pStyle w:val="Bibliography"/>
        <w:rPr>
          <w:rFonts w:cs="Times New Roman"/>
          <w:noProof/>
          <w:color w:val="0D0D0D" w:themeColor="text1" w:themeTint="F2"/>
          <w:lang w:val="en-GB"/>
        </w:rPr>
      </w:pPr>
      <w:r w:rsidRPr="00E814CB">
        <w:rPr>
          <w:rFonts w:cs="Times New Roman"/>
          <w:noProof/>
          <w:color w:val="0D0D0D" w:themeColor="text1" w:themeTint="F2"/>
          <w:lang w:val="en-GB"/>
        </w:rPr>
        <w:t xml:space="preserve">Blom, R., Kruyen, P.M., Van Thiel, S. &amp; Van der Heijden, B.I., 2019. HRM Philosophies and Policies in Semi-autonomous Agencies: Identification of Important Contextual Factors.. </w:t>
      </w:r>
      <w:r w:rsidRPr="00E814CB">
        <w:rPr>
          <w:rFonts w:cs="Times New Roman"/>
          <w:i/>
          <w:iCs/>
          <w:noProof/>
          <w:color w:val="0D0D0D" w:themeColor="text1" w:themeTint="F2"/>
          <w:lang w:val="en-GB"/>
        </w:rPr>
        <w:t>The International Journal of Human Resource Management</w:t>
      </w:r>
      <w:r w:rsidRPr="00E814CB">
        <w:rPr>
          <w:rFonts w:cs="Times New Roman"/>
          <w:noProof/>
          <w:color w:val="0D0D0D" w:themeColor="text1" w:themeTint="F2"/>
          <w:lang w:val="en-GB"/>
        </w:rPr>
        <w:t>, pp.1-26.</w:t>
      </w:r>
    </w:p>
    <w:p w14:paraId="435BEDDD" w14:textId="77777777" w:rsidR="00D501F6" w:rsidRPr="00E814CB" w:rsidRDefault="00D501F6" w:rsidP="00D501F6">
      <w:pPr>
        <w:pStyle w:val="Bibliography"/>
        <w:rPr>
          <w:rFonts w:cs="Times New Roman"/>
          <w:noProof/>
          <w:color w:val="0D0D0D" w:themeColor="text1" w:themeTint="F2"/>
          <w:lang w:val="en-GB"/>
        </w:rPr>
      </w:pPr>
      <w:r w:rsidRPr="00E814CB">
        <w:rPr>
          <w:rFonts w:cs="Times New Roman"/>
          <w:noProof/>
          <w:color w:val="0D0D0D" w:themeColor="text1" w:themeTint="F2"/>
          <w:lang w:val="en-GB"/>
        </w:rPr>
        <w:t xml:space="preserve">Dondjio, I. &amp; Haafst, R.., 2019. </w:t>
      </w:r>
      <w:r w:rsidRPr="00E814CB">
        <w:rPr>
          <w:rFonts w:cs="Times New Roman"/>
          <w:i/>
          <w:iCs/>
          <w:noProof/>
          <w:color w:val="0D0D0D" w:themeColor="text1" w:themeTint="F2"/>
          <w:lang w:val="en-GB"/>
        </w:rPr>
        <w:t>Managing Your Business: A Practical Guide.</w:t>
      </w:r>
      <w:r w:rsidRPr="00E814CB">
        <w:rPr>
          <w:rFonts w:cs="Times New Roman"/>
          <w:noProof/>
          <w:color w:val="0D0D0D" w:themeColor="text1" w:themeTint="F2"/>
          <w:lang w:val="en-GB"/>
        </w:rPr>
        <w:t xml:space="preserve"> Routledge.</w:t>
      </w:r>
    </w:p>
    <w:p w14:paraId="38C109DB" w14:textId="77777777" w:rsidR="00D501F6" w:rsidRPr="00E814CB" w:rsidRDefault="00D501F6" w:rsidP="00D501F6">
      <w:pPr>
        <w:pStyle w:val="Bibliography"/>
        <w:rPr>
          <w:rFonts w:cs="Times New Roman"/>
          <w:noProof/>
          <w:color w:val="0D0D0D" w:themeColor="text1" w:themeTint="F2"/>
          <w:lang w:val="en-GB"/>
        </w:rPr>
      </w:pPr>
      <w:r w:rsidRPr="00E814CB">
        <w:rPr>
          <w:rFonts w:cs="Times New Roman"/>
          <w:noProof/>
          <w:color w:val="0D0D0D" w:themeColor="text1" w:themeTint="F2"/>
          <w:lang w:val="en-GB"/>
        </w:rPr>
        <w:t xml:space="preserve">Gupta, S.., 2017. Overview of HR Analytics-Past, Present and Future.. </w:t>
      </w:r>
      <w:r w:rsidRPr="00E814CB">
        <w:rPr>
          <w:rFonts w:cs="Times New Roman"/>
          <w:i/>
          <w:iCs/>
          <w:noProof/>
          <w:color w:val="0D0D0D" w:themeColor="text1" w:themeTint="F2"/>
          <w:lang w:val="en-GB"/>
        </w:rPr>
        <w:t xml:space="preserve">A Journal of research articles in management science and allied areas </w:t>
      </w:r>
      <w:r w:rsidRPr="00E814CB">
        <w:rPr>
          <w:rFonts w:cs="Times New Roman"/>
          <w:noProof/>
          <w:color w:val="0D0D0D" w:themeColor="text1" w:themeTint="F2"/>
          <w:lang w:val="en-GB"/>
        </w:rPr>
        <w:t>, pp.1-6.</w:t>
      </w:r>
    </w:p>
    <w:p w14:paraId="60A3F6D7" w14:textId="77777777" w:rsidR="00D501F6" w:rsidRPr="00E814CB" w:rsidRDefault="00D501F6" w:rsidP="00D501F6">
      <w:pPr>
        <w:pStyle w:val="Bibliography"/>
        <w:rPr>
          <w:rFonts w:cs="Times New Roman"/>
          <w:noProof/>
          <w:color w:val="0D0D0D" w:themeColor="text1" w:themeTint="F2"/>
          <w:lang w:val="en-GB"/>
        </w:rPr>
      </w:pPr>
      <w:r w:rsidRPr="00E814CB">
        <w:rPr>
          <w:rFonts w:cs="Times New Roman"/>
          <w:noProof/>
          <w:color w:val="0D0D0D" w:themeColor="text1" w:themeTint="F2"/>
          <w:lang w:val="en-GB"/>
        </w:rPr>
        <w:t xml:space="preserve">Hangal, A. &amp; Kumar, S.., 2018. Impact of HR Analytics in Improving Company's Bottom-line. </w:t>
      </w:r>
      <w:r w:rsidRPr="00E814CB">
        <w:rPr>
          <w:rFonts w:cs="Times New Roman"/>
          <w:i/>
          <w:iCs/>
          <w:noProof/>
          <w:color w:val="0D0D0D" w:themeColor="text1" w:themeTint="F2"/>
          <w:lang w:val="en-GB"/>
        </w:rPr>
        <w:t>Gavesana Journal of Management</w:t>
      </w:r>
      <w:r w:rsidRPr="00E814CB">
        <w:rPr>
          <w:rFonts w:cs="Times New Roman"/>
          <w:noProof/>
          <w:color w:val="0D0D0D" w:themeColor="text1" w:themeTint="F2"/>
          <w:lang w:val="en-GB"/>
        </w:rPr>
        <w:t>, pp.6-11.</w:t>
      </w:r>
    </w:p>
    <w:p w14:paraId="0D417F9C" w14:textId="77777777" w:rsidR="00D501F6" w:rsidRPr="00E814CB" w:rsidRDefault="00D501F6" w:rsidP="00D501F6">
      <w:pPr>
        <w:pStyle w:val="Bibliography"/>
        <w:rPr>
          <w:rFonts w:cs="Times New Roman"/>
          <w:noProof/>
          <w:color w:val="0D0D0D" w:themeColor="text1" w:themeTint="F2"/>
          <w:lang w:val="en-GB"/>
        </w:rPr>
      </w:pPr>
      <w:r w:rsidRPr="00E814CB">
        <w:rPr>
          <w:rFonts w:cs="Times New Roman"/>
          <w:noProof/>
          <w:color w:val="0D0D0D" w:themeColor="text1" w:themeTint="F2"/>
          <w:lang w:val="en-GB"/>
        </w:rPr>
        <w:t xml:space="preserve">Hankivsky, O., de Merich, D. &amp; Christoffersen, A.., 2019. Equalities ‘devolved’: experiences in mainstreaming across the UK devolved powers post-Equality Act 2010.. </w:t>
      </w:r>
      <w:r w:rsidRPr="00E814CB">
        <w:rPr>
          <w:rFonts w:cs="Times New Roman"/>
          <w:i/>
          <w:iCs/>
          <w:noProof/>
          <w:color w:val="0D0D0D" w:themeColor="text1" w:themeTint="F2"/>
          <w:lang w:val="en-GB"/>
        </w:rPr>
        <w:t>British Politics</w:t>
      </w:r>
      <w:r w:rsidRPr="00E814CB">
        <w:rPr>
          <w:rFonts w:cs="Times New Roman"/>
          <w:noProof/>
          <w:color w:val="0D0D0D" w:themeColor="text1" w:themeTint="F2"/>
          <w:lang w:val="en-GB"/>
        </w:rPr>
        <w:t>, pp.141-61.</w:t>
      </w:r>
    </w:p>
    <w:p w14:paraId="24C92D8F" w14:textId="77777777" w:rsidR="00D501F6" w:rsidRPr="00E814CB" w:rsidRDefault="00D501F6" w:rsidP="00D501F6">
      <w:pPr>
        <w:pStyle w:val="Bibliography"/>
        <w:rPr>
          <w:rFonts w:cs="Times New Roman"/>
          <w:noProof/>
          <w:color w:val="0D0D0D" w:themeColor="text1" w:themeTint="F2"/>
          <w:lang w:val="en-GB"/>
        </w:rPr>
      </w:pPr>
      <w:r w:rsidRPr="00E814CB">
        <w:rPr>
          <w:rFonts w:cs="Times New Roman"/>
          <w:noProof/>
          <w:color w:val="0D0D0D" w:themeColor="text1" w:themeTint="F2"/>
          <w:lang w:val="en-GB"/>
        </w:rPr>
        <w:t xml:space="preserve">Holt, N.L., 2016. </w:t>
      </w:r>
      <w:r w:rsidRPr="00E814CB">
        <w:rPr>
          <w:rFonts w:cs="Times New Roman"/>
          <w:i/>
          <w:iCs/>
          <w:noProof/>
          <w:color w:val="0D0D0D" w:themeColor="text1" w:themeTint="F2"/>
          <w:lang w:val="en-GB"/>
        </w:rPr>
        <w:t>Positive youth development through sport.</w:t>
      </w:r>
      <w:r w:rsidRPr="00E814CB">
        <w:rPr>
          <w:rFonts w:cs="Times New Roman"/>
          <w:noProof/>
          <w:color w:val="0D0D0D" w:themeColor="text1" w:themeTint="F2"/>
          <w:lang w:val="en-GB"/>
        </w:rPr>
        <w:t xml:space="preserve"> Routledge.</w:t>
      </w:r>
    </w:p>
    <w:p w14:paraId="54E58F07" w14:textId="77777777" w:rsidR="00D501F6" w:rsidRPr="00E814CB" w:rsidRDefault="00D501F6" w:rsidP="00D501F6">
      <w:pPr>
        <w:pStyle w:val="Bibliography"/>
        <w:rPr>
          <w:rFonts w:cs="Times New Roman"/>
          <w:noProof/>
          <w:color w:val="0D0D0D" w:themeColor="text1" w:themeTint="F2"/>
          <w:lang w:val="en-GB"/>
        </w:rPr>
      </w:pPr>
      <w:r w:rsidRPr="00E814CB">
        <w:rPr>
          <w:rFonts w:cs="Times New Roman"/>
          <w:noProof/>
          <w:color w:val="0D0D0D" w:themeColor="text1" w:themeTint="F2"/>
          <w:lang w:val="en-GB"/>
        </w:rPr>
        <w:t xml:space="preserve">Jørgensen, F. &amp; Becker, K., 2017. The role of HRM in facilitating team ambidexterity. </w:t>
      </w:r>
      <w:r w:rsidRPr="00E814CB">
        <w:rPr>
          <w:rFonts w:cs="Times New Roman"/>
          <w:i/>
          <w:iCs/>
          <w:noProof/>
          <w:color w:val="0D0D0D" w:themeColor="text1" w:themeTint="F2"/>
          <w:lang w:val="en-GB"/>
        </w:rPr>
        <w:t>Human Resource Management Journal</w:t>
      </w:r>
      <w:r w:rsidRPr="00E814CB">
        <w:rPr>
          <w:rFonts w:cs="Times New Roman"/>
          <w:noProof/>
          <w:color w:val="0D0D0D" w:themeColor="text1" w:themeTint="F2"/>
          <w:lang w:val="en-GB"/>
        </w:rPr>
        <w:t>, 27(2), pp.264-80.</w:t>
      </w:r>
    </w:p>
    <w:p w14:paraId="05ACF5B5" w14:textId="77777777" w:rsidR="00D501F6" w:rsidRPr="00E814CB" w:rsidRDefault="00D501F6" w:rsidP="00D501F6">
      <w:pPr>
        <w:pStyle w:val="Bibliography"/>
        <w:rPr>
          <w:rFonts w:cs="Times New Roman"/>
          <w:noProof/>
          <w:color w:val="0D0D0D" w:themeColor="text1" w:themeTint="F2"/>
          <w:lang w:val="en-GB"/>
        </w:rPr>
      </w:pPr>
      <w:r w:rsidRPr="00E814CB">
        <w:rPr>
          <w:rFonts w:cs="Times New Roman"/>
          <w:noProof/>
          <w:color w:val="0D0D0D" w:themeColor="text1" w:themeTint="F2"/>
          <w:lang w:val="en-GB"/>
        </w:rPr>
        <w:t xml:space="preserve">Lin, C.H. &amp; Sanders, K.., 2017. HRM and innovation: a multi‐level organisational learning perspective. </w:t>
      </w:r>
      <w:r w:rsidRPr="00E814CB">
        <w:rPr>
          <w:rFonts w:cs="Times New Roman"/>
          <w:i/>
          <w:iCs/>
          <w:noProof/>
          <w:color w:val="0D0D0D" w:themeColor="text1" w:themeTint="F2"/>
          <w:lang w:val="en-GB"/>
        </w:rPr>
        <w:t>Human Resource Management Journal</w:t>
      </w:r>
      <w:r w:rsidRPr="00E814CB">
        <w:rPr>
          <w:rFonts w:cs="Times New Roman"/>
          <w:noProof/>
          <w:color w:val="0D0D0D" w:themeColor="text1" w:themeTint="F2"/>
          <w:lang w:val="en-GB"/>
        </w:rPr>
        <w:t>, pp.300-17.</w:t>
      </w:r>
    </w:p>
    <w:p w14:paraId="575AE563" w14:textId="77777777" w:rsidR="00D501F6" w:rsidRPr="00E814CB" w:rsidRDefault="00D501F6" w:rsidP="00D501F6">
      <w:pPr>
        <w:pStyle w:val="Bibliography"/>
        <w:rPr>
          <w:rFonts w:cs="Times New Roman"/>
          <w:noProof/>
          <w:color w:val="0D0D0D" w:themeColor="text1" w:themeTint="F2"/>
          <w:lang w:val="en-GB"/>
        </w:rPr>
      </w:pPr>
      <w:r w:rsidRPr="00E814CB">
        <w:rPr>
          <w:rFonts w:cs="Times New Roman"/>
          <w:noProof/>
          <w:color w:val="0D0D0D" w:themeColor="text1" w:themeTint="F2"/>
          <w:lang w:val="en-GB"/>
        </w:rPr>
        <w:t xml:space="preserve">McKeown, T., 2019. The role of HRM in generating Innovation &amp; Creativity–helping or hindering? </w:t>
      </w:r>
      <w:r w:rsidRPr="00E814CB">
        <w:rPr>
          <w:rFonts w:cs="Times New Roman"/>
          <w:i/>
          <w:iCs/>
          <w:noProof/>
          <w:color w:val="0D0D0D" w:themeColor="text1" w:themeTint="F2"/>
          <w:lang w:val="en-GB"/>
        </w:rPr>
        <w:t>Journal of Management &amp; Organization</w:t>
      </w:r>
      <w:r w:rsidRPr="00E814CB">
        <w:rPr>
          <w:rFonts w:cs="Times New Roman"/>
          <w:noProof/>
          <w:color w:val="0D0D0D" w:themeColor="text1" w:themeTint="F2"/>
          <w:lang w:val="en-GB"/>
        </w:rPr>
        <w:t>, pp.173-174.</w:t>
      </w:r>
    </w:p>
    <w:p w14:paraId="551EEF7D" w14:textId="77777777" w:rsidR="00D501F6" w:rsidRPr="00E814CB" w:rsidRDefault="00D501F6" w:rsidP="00D501F6">
      <w:pPr>
        <w:pStyle w:val="Bibliography"/>
        <w:rPr>
          <w:rFonts w:cs="Times New Roman"/>
          <w:noProof/>
          <w:color w:val="0D0D0D" w:themeColor="text1" w:themeTint="F2"/>
          <w:lang w:val="en-GB"/>
        </w:rPr>
      </w:pPr>
      <w:r w:rsidRPr="00E814CB">
        <w:rPr>
          <w:rFonts w:cs="Times New Roman"/>
          <w:noProof/>
          <w:color w:val="0D0D0D" w:themeColor="text1" w:themeTint="F2"/>
          <w:lang w:val="en-GB"/>
        </w:rPr>
        <w:t xml:space="preserve">Mira, M., Choong, Y. &amp; Thim, C., 2019. The effect of HRM practices and employees’ job satisfaction on employee performance. </w:t>
      </w:r>
      <w:r w:rsidRPr="00E814CB">
        <w:rPr>
          <w:rFonts w:cs="Times New Roman"/>
          <w:i/>
          <w:iCs/>
          <w:noProof/>
          <w:color w:val="0D0D0D" w:themeColor="text1" w:themeTint="F2"/>
          <w:lang w:val="en-GB"/>
        </w:rPr>
        <w:t>Management Science Letters</w:t>
      </w:r>
      <w:r w:rsidRPr="00E814CB">
        <w:rPr>
          <w:rFonts w:cs="Times New Roman"/>
          <w:noProof/>
          <w:color w:val="0D0D0D" w:themeColor="text1" w:themeTint="F2"/>
          <w:lang w:val="en-GB"/>
        </w:rPr>
        <w:t>, 9(6), pp.771-86.</w:t>
      </w:r>
    </w:p>
    <w:p w14:paraId="1ED6772A" w14:textId="77777777" w:rsidR="00D501F6" w:rsidRPr="00E814CB" w:rsidRDefault="00D501F6" w:rsidP="00D501F6">
      <w:pPr>
        <w:pStyle w:val="Bibliography"/>
        <w:rPr>
          <w:rFonts w:cs="Times New Roman"/>
          <w:noProof/>
          <w:color w:val="0D0D0D" w:themeColor="text1" w:themeTint="F2"/>
          <w:lang w:val="en-GB"/>
        </w:rPr>
      </w:pPr>
      <w:r w:rsidRPr="00E814CB">
        <w:rPr>
          <w:rFonts w:cs="Times New Roman"/>
          <w:noProof/>
          <w:color w:val="0D0D0D" w:themeColor="text1" w:themeTint="F2"/>
          <w:lang w:val="en-GB"/>
        </w:rPr>
        <w:t xml:space="preserve">tescoplc.com, 2020. </w:t>
      </w:r>
      <w:r w:rsidRPr="00E814CB">
        <w:rPr>
          <w:rFonts w:cs="Times New Roman"/>
          <w:i/>
          <w:iCs/>
          <w:noProof/>
          <w:color w:val="0D0D0D" w:themeColor="text1" w:themeTint="F2"/>
          <w:lang w:val="en-GB"/>
        </w:rPr>
        <w:t>About us</w:t>
      </w:r>
      <w:r w:rsidRPr="00E814CB">
        <w:rPr>
          <w:rFonts w:cs="Times New Roman"/>
          <w:noProof/>
          <w:color w:val="0D0D0D" w:themeColor="text1" w:themeTint="F2"/>
          <w:lang w:val="en-GB"/>
        </w:rPr>
        <w:t xml:space="preserve">. [Online] Available at: </w:t>
      </w:r>
      <w:hyperlink r:id="rId4" w:history="1">
        <w:r w:rsidRPr="00E814CB">
          <w:rPr>
            <w:rStyle w:val="Hyperlink"/>
            <w:rFonts w:cs="Times New Roman"/>
            <w:noProof/>
            <w:color w:val="0D0D0D" w:themeColor="text1" w:themeTint="F2"/>
            <w:lang w:val="en-GB"/>
          </w:rPr>
          <w:t>https://www.tescoplc.com/about/</w:t>
        </w:r>
      </w:hyperlink>
      <w:r w:rsidRPr="00E814CB">
        <w:rPr>
          <w:rFonts w:cs="Times New Roman"/>
          <w:noProof/>
          <w:color w:val="0D0D0D" w:themeColor="text1" w:themeTint="F2"/>
          <w:lang w:val="en-GB"/>
        </w:rPr>
        <w:t xml:space="preserve"> [Accessed 2020].</w:t>
      </w:r>
    </w:p>
    <w:p w14:paraId="24A63730" w14:textId="77777777" w:rsidR="00D501F6" w:rsidRPr="00E814CB" w:rsidRDefault="00D501F6" w:rsidP="00D501F6">
      <w:pPr>
        <w:pStyle w:val="Bibliography"/>
        <w:rPr>
          <w:rFonts w:cs="Times New Roman"/>
          <w:noProof/>
          <w:color w:val="0D0D0D" w:themeColor="text1" w:themeTint="F2"/>
          <w:lang w:val="en-GB"/>
        </w:rPr>
      </w:pPr>
      <w:r w:rsidRPr="00E814CB">
        <w:rPr>
          <w:rFonts w:cs="Times New Roman"/>
          <w:noProof/>
          <w:color w:val="0D0D0D" w:themeColor="text1" w:themeTint="F2"/>
          <w:lang w:val="en-GB"/>
        </w:rPr>
        <w:t xml:space="preserve">Wikhamn, W., 2019. Innovation, sustainable HRM and customer satisfaction. </w:t>
      </w:r>
      <w:r w:rsidRPr="00E814CB">
        <w:rPr>
          <w:rFonts w:cs="Times New Roman"/>
          <w:i/>
          <w:iCs/>
          <w:noProof/>
          <w:color w:val="0D0D0D" w:themeColor="text1" w:themeTint="F2"/>
          <w:lang w:val="en-GB"/>
        </w:rPr>
        <w:t>International Journal of Hospitality Management</w:t>
      </w:r>
      <w:r w:rsidRPr="00E814CB">
        <w:rPr>
          <w:rFonts w:cs="Times New Roman"/>
          <w:noProof/>
          <w:color w:val="0D0D0D" w:themeColor="text1" w:themeTint="F2"/>
          <w:lang w:val="en-GB"/>
        </w:rPr>
        <w:t>, 76, pp.102-10.</w:t>
      </w:r>
    </w:p>
    <w:p w14:paraId="179FF75E" w14:textId="77777777" w:rsidR="00D501F6" w:rsidRPr="00E814CB" w:rsidRDefault="00D501F6" w:rsidP="00D501F6">
      <w:pPr>
        <w:pStyle w:val="Bibliography"/>
        <w:rPr>
          <w:rFonts w:cs="Times New Roman"/>
          <w:noProof/>
          <w:color w:val="0D0D0D" w:themeColor="text1" w:themeTint="F2"/>
          <w:lang w:val="en-GB"/>
        </w:rPr>
      </w:pPr>
      <w:r w:rsidRPr="00E814CB">
        <w:rPr>
          <w:rFonts w:cs="Times New Roman"/>
          <w:noProof/>
          <w:color w:val="0D0D0D" w:themeColor="text1" w:themeTint="F2"/>
          <w:lang w:val="en-GB"/>
        </w:rPr>
        <w:t xml:space="preserve">Zentes, J., Morschett, D. &amp; Schramm-Klein, H., 2017. Monitoring Operational and Financial Performance.. In </w:t>
      </w:r>
      <w:r w:rsidRPr="00E814CB">
        <w:rPr>
          <w:rFonts w:cs="Times New Roman"/>
          <w:i/>
          <w:iCs/>
          <w:noProof/>
          <w:color w:val="0D0D0D" w:themeColor="text1" w:themeTint="F2"/>
          <w:lang w:val="en-GB"/>
        </w:rPr>
        <w:t>In Strategic Retail Management</w:t>
      </w:r>
      <w:r w:rsidRPr="00E814CB">
        <w:rPr>
          <w:rFonts w:cs="Times New Roman"/>
          <w:noProof/>
          <w:color w:val="0D0D0D" w:themeColor="text1" w:themeTint="F2"/>
          <w:lang w:val="en-GB"/>
        </w:rPr>
        <w:t>. Wiesbaden: Springer Gabler. pp.441-61.</w:t>
      </w:r>
    </w:p>
    <w:p w14:paraId="6EE19D33" w14:textId="77777777" w:rsidR="00D501F6" w:rsidRPr="00E814CB" w:rsidRDefault="00D501F6" w:rsidP="00D501F6">
      <w:pPr>
        <w:pStyle w:val="Bibliography"/>
        <w:rPr>
          <w:rFonts w:cs="Times New Roman"/>
          <w:noProof/>
          <w:color w:val="0D0D0D" w:themeColor="text1" w:themeTint="F2"/>
          <w:lang w:val="en-GB"/>
        </w:rPr>
      </w:pPr>
      <w:r w:rsidRPr="00E814CB">
        <w:rPr>
          <w:rFonts w:cs="Times New Roman"/>
          <w:noProof/>
          <w:color w:val="0D0D0D" w:themeColor="text1" w:themeTint="F2"/>
          <w:lang w:val="en-GB"/>
        </w:rPr>
        <w:t xml:space="preserve">Zoller, B., 2018. Workforce planning: one of the most challenging HR compliance issues for 2018.. </w:t>
      </w:r>
      <w:r w:rsidRPr="00E814CB">
        <w:rPr>
          <w:rFonts w:cs="Times New Roman"/>
          <w:i/>
          <w:iCs/>
          <w:noProof/>
          <w:color w:val="0D0D0D" w:themeColor="text1" w:themeTint="F2"/>
          <w:lang w:val="en-GB"/>
        </w:rPr>
        <w:t>Strategic HR Review</w:t>
      </w:r>
      <w:r w:rsidRPr="00E814CB">
        <w:rPr>
          <w:rFonts w:cs="Times New Roman"/>
          <w:noProof/>
          <w:color w:val="0D0D0D" w:themeColor="text1" w:themeTint="F2"/>
          <w:lang w:val="en-GB"/>
        </w:rPr>
        <w:t>, pp.105-07.</w:t>
      </w:r>
    </w:p>
    <w:p w14:paraId="60589560" w14:textId="77777777" w:rsidR="00D501F6" w:rsidRPr="00E814CB" w:rsidRDefault="00D501F6" w:rsidP="00D501F6">
      <w:pPr>
        <w:rPr>
          <w:rFonts w:cs="Times New Roman"/>
          <w:color w:val="0D0D0D" w:themeColor="text1" w:themeTint="F2"/>
          <w:lang w:val="en-GB"/>
        </w:rPr>
      </w:pPr>
    </w:p>
    <w:p w14:paraId="41677AC9" w14:textId="77777777" w:rsidR="00D501F6" w:rsidRPr="00E814CB" w:rsidRDefault="00D501F6" w:rsidP="00D501F6">
      <w:pPr>
        <w:rPr>
          <w:rFonts w:cs="Times New Roman"/>
          <w:color w:val="0D0D0D" w:themeColor="text1" w:themeTint="F2"/>
          <w:lang w:val="en-GB"/>
        </w:rPr>
      </w:pPr>
    </w:p>
    <w:p w14:paraId="39DE54F9" w14:textId="77777777" w:rsidR="00D501F6" w:rsidRPr="00E814CB" w:rsidRDefault="00D501F6" w:rsidP="00D501F6">
      <w:pPr>
        <w:rPr>
          <w:rFonts w:cs="Times New Roman"/>
          <w:color w:val="0D0D0D" w:themeColor="text1" w:themeTint="F2"/>
          <w:lang w:val="en-GB"/>
        </w:rPr>
      </w:pPr>
    </w:p>
    <w:p w14:paraId="216EBA23" w14:textId="77777777" w:rsidR="00D501F6" w:rsidRPr="00E814CB" w:rsidRDefault="00D501F6" w:rsidP="00D501F6">
      <w:pPr>
        <w:rPr>
          <w:rFonts w:cs="Times New Roman"/>
          <w:color w:val="0D0D0D" w:themeColor="text1" w:themeTint="F2"/>
          <w:lang w:val="en-GB"/>
        </w:rPr>
      </w:pPr>
    </w:p>
    <w:p w14:paraId="2FE796D9" w14:textId="77777777" w:rsidR="00130637" w:rsidRDefault="00130637"/>
    <w:sectPr w:rsidR="00130637" w:rsidSect="00C74C94">
      <w:footerReference w:type="default" r:id="rI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96122662"/>
      <w:docPartObj>
        <w:docPartGallery w:val="Page Numbers (Bottom of Page)"/>
        <w:docPartUnique/>
      </w:docPartObj>
    </w:sdtPr>
    <w:sdtEndPr>
      <w:rPr>
        <w:noProof/>
      </w:rPr>
    </w:sdtEndPr>
    <w:sdtContent>
      <w:p w14:paraId="0F74D9CC" w14:textId="77777777" w:rsidR="004636B4" w:rsidRDefault="00E922F5">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10D42467" w14:textId="77777777" w:rsidR="004636B4" w:rsidRDefault="00E922F5">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01F6"/>
    <w:rsid w:val="00130637"/>
    <w:rsid w:val="0073183D"/>
    <w:rsid w:val="00D501F6"/>
    <w:rsid w:val="00E922F5"/>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463E927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501F6"/>
    <w:pPr>
      <w:spacing w:after="200" w:line="360" w:lineRule="auto"/>
      <w:jc w:val="both"/>
    </w:pPr>
    <w:rPr>
      <w:rFonts w:ascii="Times New Roman" w:hAnsi="Times New Roman"/>
      <w:szCs w:val="22"/>
      <w:lang w:val="en-IN"/>
    </w:rPr>
  </w:style>
  <w:style w:type="paragraph" w:styleId="Heading1">
    <w:name w:val="heading 1"/>
    <w:basedOn w:val="Normal"/>
    <w:next w:val="Normal"/>
    <w:link w:val="Heading1Char"/>
    <w:uiPriority w:val="9"/>
    <w:qFormat/>
    <w:rsid w:val="00D501F6"/>
    <w:pPr>
      <w:keepNext/>
      <w:keepLines/>
      <w:spacing w:before="480" w:after="0"/>
      <w:outlineLvl w:val="0"/>
    </w:pPr>
    <w:rPr>
      <w:rFonts w:eastAsiaTheme="majorEastAsia"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01F6"/>
    <w:rPr>
      <w:rFonts w:ascii="Times New Roman" w:eastAsiaTheme="majorEastAsia" w:hAnsi="Times New Roman" w:cstheme="majorBidi"/>
      <w:b/>
      <w:bCs/>
      <w:color w:val="2F5496" w:themeColor="accent1" w:themeShade="BF"/>
      <w:sz w:val="28"/>
      <w:szCs w:val="28"/>
      <w:lang w:val="en-IN"/>
    </w:rPr>
  </w:style>
  <w:style w:type="paragraph" w:styleId="Footer">
    <w:name w:val="footer"/>
    <w:basedOn w:val="Normal"/>
    <w:link w:val="FooterChar"/>
    <w:uiPriority w:val="99"/>
    <w:unhideWhenUsed/>
    <w:rsid w:val="00D501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01F6"/>
    <w:rPr>
      <w:rFonts w:ascii="Times New Roman" w:hAnsi="Times New Roman"/>
      <w:szCs w:val="22"/>
      <w:lang w:val="en-IN"/>
    </w:rPr>
  </w:style>
  <w:style w:type="paragraph" w:styleId="Bibliography">
    <w:name w:val="Bibliography"/>
    <w:basedOn w:val="Normal"/>
    <w:next w:val="Normal"/>
    <w:uiPriority w:val="37"/>
    <w:unhideWhenUsed/>
    <w:rsid w:val="00D501F6"/>
  </w:style>
  <w:style w:type="character" w:styleId="Hyperlink">
    <w:name w:val="Hyperlink"/>
    <w:basedOn w:val="DefaultParagraphFont"/>
    <w:uiPriority w:val="99"/>
    <w:semiHidden/>
    <w:unhideWhenUsed/>
    <w:rsid w:val="00D501F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yperlink" Target="https://www.tescoplc.com/about/" TargetMode="External"/><Relationship Id="rId5" Type="http://schemas.openxmlformats.org/officeDocument/2006/relationships/footer" Target="footer1.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8</Pages>
  <Words>2324</Words>
  <Characters>13252</Characters>
  <Application>Microsoft Macintosh Word</Application>
  <DocSecurity>0</DocSecurity>
  <Lines>110</Lines>
  <Paragraphs>31</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
      <vt:lpstr>Question 1</vt:lpstr>
      <vt:lpstr>Introduction</vt:lpstr>
      <vt:lpstr>Discussion</vt:lpstr>
      <vt:lpstr>Conclusion</vt:lpstr>
      <vt:lpstr>References</vt:lpstr>
    </vt:vector>
  </TitlesOfParts>
  <LinksUpToDate>false</LinksUpToDate>
  <CharactersWithSpaces>15545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2020-05-18T21:20:00Z</dcterms:created>
  <dcterms:modified xsi:type="dcterms:W3CDTF">2020-05-18T21:24:00Z</dcterms:modified>
</cp:coreProperties>
</file>