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373A5" w14:textId="25F85D5B" w:rsidR="008F430D" w:rsidRDefault="00AD22A9" w:rsidP="00AD22A9">
      <w:pPr>
        <w:jc w:val="center"/>
        <w:rPr>
          <w:b/>
          <w:bCs/>
        </w:rPr>
      </w:pPr>
      <w:r w:rsidRPr="00AD22A9">
        <w:rPr>
          <w:b/>
          <w:bCs/>
        </w:rPr>
        <w:t>Explore the dimensions of religious diversity within Shiʿism, explaining approaches to ideas of religious authority and spirituality, and how they differ with other forms of Islamic expression.</w:t>
      </w:r>
    </w:p>
    <w:p w14:paraId="5A9ED432" w14:textId="32C53B38" w:rsidR="00AD22A9" w:rsidRDefault="00AD22A9" w:rsidP="00AD22A9">
      <w:pPr>
        <w:jc w:val="both"/>
      </w:pPr>
    </w:p>
    <w:p w14:paraId="537D9A60" w14:textId="7B878521" w:rsidR="00C107D9" w:rsidRDefault="00C107D9" w:rsidP="00AD22A9">
      <w:pPr>
        <w:jc w:val="both"/>
      </w:pPr>
      <w:r>
        <w:t>It is often commented that Intra-faith dialogue can be</w:t>
      </w:r>
      <w:r w:rsidR="00CB498C">
        <w:t xml:space="preserve"> more of a</w:t>
      </w:r>
      <w:r>
        <w:t xml:space="preserve"> challenging task than that of inter-faith dialogue; it is not only the differences that hold the tension, it is also the similarities. Shared ground which </w:t>
      </w:r>
      <w:r w:rsidR="00E428E2">
        <w:t>has been</w:t>
      </w:r>
      <w:r>
        <w:t xml:space="preserve"> received and interpreted differently is often a larger hurdle to over-come than no shared ground at all. </w:t>
      </w:r>
      <w:r w:rsidR="00E428E2">
        <w:t>And yet, religions are inescapably diverse- they are a spectrum of interpretation</w:t>
      </w:r>
      <w:r w:rsidR="00292E5D">
        <w:t xml:space="preserve"> and application with doctrines often being built upon the universal and yet remaining subject to the particular. Islam is no different, to speak of one uniform Islam is to reject the nuanced spectrum of Islamic expression. While the majority of the Muslim population identify as belonging to the Sunni tr</w:t>
      </w:r>
      <w:r w:rsidR="00376577">
        <w:t>ad</w:t>
      </w:r>
      <w:r w:rsidR="00292E5D">
        <w:t>ition (approximately 87-90%), it is estimated that Shi’ite Muslims comprise approximately 10-13% of the</w:t>
      </w:r>
      <w:r w:rsidR="00264D4F">
        <w:t xml:space="preserve"> </w:t>
      </w:r>
      <w:r w:rsidR="0064415B">
        <w:t>trans</w:t>
      </w:r>
      <w:r w:rsidR="00264D4F">
        <w:t>global</w:t>
      </w:r>
      <w:r w:rsidR="00292E5D">
        <w:t xml:space="preserve"> Islamic population.</w:t>
      </w:r>
      <w:r w:rsidR="00292E5D">
        <w:rPr>
          <w:rStyle w:val="FootnoteReference"/>
        </w:rPr>
        <w:footnoteReference w:id="1"/>
      </w:r>
      <w:r w:rsidR="00264D4F">
        <w:t xml:space="preserve"> </w:t>
      </w:r>
    </w:p>
    <w:p w14:paraId="7544CD36" w14:textId="0353D3E0" w:rsidR="006961D8" w:rsidRPr="006961D8" w:rsidRDefault="00264D4F" w:rsidP="006961D8">
      <w:pPr>
        <w:jc w:val="both"/>
      </w:pPr>
      <w:r>
        <w:t xml:space="preserve">As is the case with Islam as a whole, Shi’ism is </w:t>
      </w:r>
      <w:r w:rsidR="00DE7890">
        <w:t xml:space="preserve">extremely </w:t>
      </w:r>
      <w:r>
        <w:t>diverse</w:t>
      </w:r>
      <w:r w:rsidR="00DE7890">
        <w:t>. T</w:t>
      </w:r>
      <w:r>
        <w:t xml:space="preserve">he </w:t>
      </w:r>
      <w:r w:rsidR="00DE7890">
        <w:t>‘Shi’a’ title</w:t>
      </w:r>
      <w:r>
        <w:t xml:space="preserve"> encompasses five main strands (Twelvers, Ismailis, Zaidis, Alawis, Alevis), which each contain within them yet more diversity. Despite the immense multiplicity of Shi’a Islam, a general value is held at the core of each denomination- they place particular value and importance upon the family of the Prophet Muhamm</w:t>
      </w:r>
      <w:r w:rsidR="00376577">
        <w:t>ad</w:t>
      </w:r>
      <w:r>
        <w:t xml:space="preserve">. This value is both religious and </w:t>
      </w:r>
      <w:r w:rsidR="00CB498C">
        <w:t>political and</w:t>
      </w:r>
      <w:r>
        <w:t xml:space="preserve"> began with the defence of the Prophet’s cousin and son-in-law, Ali, whom the </w:t>
      </w:r>
      <w:r w:rsidR="006961D8">
        <w:t xml:space="preserve">Shi’at Ali/the Party of Ali believed held the ultimate right to </w:t>
      </w:r>
      <w:r w:rsidR="00044D7E">
        <w:t xml:space="preserve">assume </w:t>
      </w:r>
      <w:r w:rsidR="006961D8">
        <w:t>l</w:t>
      </w:r>
      <w:r w:rsidR="00376577">
        <w:t>ead</w:t>
      </w:r>
      <w:r w:rsidR="006961D8">
        <w:t>ership</w:t>
      </w:r>
      <w:r w:rsidR="00044D7E">
        <w:t xml:space="preserve"> after the Prophet</w:t>
      </w:r>
      <w:r w:rsidR="00AE4D84">
        <w:t>’</w:t>
      </w:r>
      <w:r w:rsidR="00044D7E">
        <w:t xml:space="preserve">s death in 632 </w:t>
      </w:r>
      <w:r w:rsidR="00376577">
        <w:t>CE</w:t>
      </w:r>
      <w:r w:rsidR="006961D8">
        <w:t>.</w:t>
      </w:r>
      <w:r w:rsidR="006D097E">
        <w:rPr>
          <w:rStyle w:val="FootnoteReference"/>
        </w:rPr>
        <w:footnoteReference w:id="2"/>
      </w:r>
      <w:r w:rsidR="006961D8">
        <w:t xml:space="preserve"> Although Shi’i</w:t>
      </w:r>
      <w:r w:rsidR="00602655">
        <w:t>te tr</w:t>
      </w:r>
      <w:r w:rsidR="00376577">
        <w:t>ad</w:t>
      </w:r>
      <w:r w:rsidR="00602655">
        <w:t>ition</w:t>
      </w:r>
      <w:r w:rsidR="006961D8">
        <w:t xml:space="preserve"> places its origins within the civil war between Ali and his rival- Mu’awiya, it was a long process of development, interpretation and evolution that brought Shi’ism to the place where is it today- a defined and established strand of Islam. Andrew Rippin writes that: </w:t>
      </w:r>
    </w:p>
    <w:p w14:paraId="132F74D6" w14:textId="4731997E" w:rsidR="00C107D9" w:rsidRDefault="006961D8" w:rsidP="006961D8">
      <w:pPr>
        <w:jc w:val="center"/>
        <w:rPr>
          <w:i/>
          <w:iCs/>
        </w:rPr>
      </w:pPr>
      <w:r>
        <w:rPr>
          <w:i/>
          <w:iCs/>
        </w:rPr>
        <w:t>‘It may be asserted that the Shi’a represents an alternative vision of Islam in the sense that they do indeed hold to different tenets on some very significant points within Muslim theory, dogma and practice.’</w:t>
      </w:r>
      <w:r>
        <w:rPr>
          <w:rStyle w:val="FootnoteReference"/>
          <w:i/>
          <w:iCs/>
        </w:rPr>
        <w:footnoteReference w:id="3"/>
      </w:r>
    </w:p>
    <w:p w14:paraId="6E16FF70" w14:textId="26B1BB5E" w:rsidR="00A472B9" w:rsidRDefault="00A472B9" w:rsidP="00A472B9">
      <w:pPr>
        <w:jc w:val="both"/>
      </w:pPr>
      <w:r>
        <w:t xml:space="preserve">It is this ‘alternative vision’ of the Islamic faith that I will be exploring throughout this essay, paying particular attention to </w:t>
      </w:r>
      <w:r w:rsidR="00653580">
        <w:t>how</w:t>
      </w:r>
      <w:r>
        <w:t xml:space="preserve">/in what manner Shi’ism affords authority to both the scriptures and the scholars who </w:t>
      </w:r>
      <w:r w:rsidR="00051454">
        <w:t>were/</w:t>
      </w:r>
      <w:r>
        <w:t>are tasked with interpreting/teaching</w:t>
      </w:r>
      <w:r w:rsidR="00DE7890">
        <w:t xml:space="preserve"> it</w:t>
      </w:r>
      <w:r w:rsidR="00653580">
        <w:t xml:space="preserve">. I will also place my focus on Shi’a </w:t>
      </w:r>
      <w:r>
        <w:t>elements of spiritual practice- including festivals</w:t>
      </w:r>
      <w:r w:rsidR="00FB34C2">
        <w:t>, rituals and their relationship with law</w:t>
      </w:r>
      <w:r w:rsidR="00653580">
        <w:t>; endeavouring to highlight the ways that Shi’ism differs from Sunni Islam</w:t>
      </w:r>
      <w:r w:rsidR="00D747EC">
        <w:t>, along with any repercussions of such diversity</w:t>
      </w:r>
      <w:r w:rsidR="00653580">
        <w:t xml:space="preserve">. </w:t>
      </w:r>
    </w:p>
    <w:p w14:paraId="0B6DC24B" w14:textId="77777777" w:rsidR="00B143AB" w:rsidRDefault="00B143AB" w:rsidP="00A472B9">
      <w:pPr>
        <w:jc w:val="both"/>
      </w:pPr>
    </w:p>
    <w:p w14:paraId="6532CB05" w14:textId="68BD932F" w:rsidR="00653580" w:rsidRDefault="007A6A44" w:rsidP="00A472B9">
      <w:pPr>
        <w:jc w:val="both"/>
        <w:rPr>
          <w:b/>
          <w:bCs/>
        </w:rPr>
      </w:pPr>
      <w:r>
        <w:rPr>
          <w:b/>
          <w:bCs/>
        </w:rPr>
        <w:t xml:space="preserve">The Question of </w:t>
      </w:r>
      <w:r w:rsidR="00653580">
        <w:rPr>
          <w:b/>
          <w:bCs/>
        </w:rPr>
        <w:t xml:space="preserve">Authority- </w:t>
      </w:r>
      <w:r w:rsidR="00915F31">
        <w:rPr>
          <w:b/>
          <w:bCs/>
        </w:rPr>
        <w:t>The Origins and Influence of the Imams</w:t>
      </w:r>
    </w:p>
    <w:p w14:paraId="77D77EE0" w14:textId="0F46AB35" w:rsidR="004C0C88" w:rsidRDefault="00144138" w:rsidP="00A472B9">
      <w:pPr>
        <w:jc w:val="both"/>
      </w:pPr>
      <w:r>
        <w:t xml:space="preserve">The question of who/what has </w:t>
      </w:r>
      <w:r w:rsidR="00CD242C">
        <w:t>God-given</w:t>
      </w:r>
      <w:r>
        <w:t xml:space="preserve"> authority</w:t>
      </w:r>
      <w:r w:rsidR="00600162">
        <w:t xml:space="preserve"> </w:t>
      </w:r>
      <w:r>
        <w:t xml:space="preserve">is not only at the centre of Shi’a Islam, but at the </w:t>
      </w:r>
      <w:r w:rsidR="00B863E8">
        <w:t>core of all Islamic thought- consequently,</w:t>
      </w:r>
      <w:r>
        <w:t xml:space="preserve"> </w:t>
      </w:r>
      <w:r w:rsidR="00600162">
        <w:t xml:space="preserve">the Qur’an instructs its followers to: </w:t>
      </w:r>
    </w:p>
    <w:p w14:paraId="1B5CB6F0" w14:textId="1C37EA57" w:rsidR="00CD242C" w:rsidRPr="00600162" w:rsidRDefault="00CD242C" w:rsidP="00CD242C">
      <w:pPr>
        <w:jc w:val="center"/>
        <w:rPr>
          <w:i/>
          <w:iCs/>
        </w:rPr>
      </w:pPr>
      <w:r w:rsidRPr="00600162">
        <w:rPr>
          <w:i/>
          <w:iCs/>
        </w:rPr>
        <w:t xml:space="preserve">"O ye who believe!  Obey God, and obey the Apostle, and those charged with authority among you. If ye differ in anything Among yourselves, refer it To God and His Apostle If ye do believe in God and the Last Day: That is best, and most suitable </w:t>
      </w:r>
      <w:r w:rsidR="00600162">
        <w:rPr>
          <w:i/>
          <w:iCs/>
        </w:rPr>
        <w:t>f</w:t>
      </w:r>
      <w:r w:rsidRPr="00600162">
        <w:rPr>
          <w:i/>
          <w:iCs/>
        </w:rPr>
        <w:t xml:space="preserve">or final determination." </w:t>
      </w:r>
    </w:p>
    <w:p w14:paraId="37B3DEA3" w14:textId="487CA90F" w:rsidR="00CD242C" w:rsidRDefault="00CD242C" w:rsidP="00CD242C">
      <w:pPr>
        <w:jc w:val="center"/>
      </w:pPr>
      <w:r w:rsidRPr="00CD242C">
        <w:lastRenderedPageBreak/>
        <w:t xml:space="preserve"> </w:t>
      </w:r>
      <w:r>
        <w:t>(</w:t>
      </w:r>
      <w:r w:rsidRPr="00CD242C">
        <w:t>Qur'an</w:t>
      </w:r>
      <w:r w:rsidR="007A6A44">
        <w:t>, An-Nisa,</w:t>
      </w:r>
      <w:r w:rsidRPr="00CD242C">
        <w:t xml:space="preserve"> 4:59)</w:t>
      </w:r>
      <w:r w:rsidR="007A6A44">
        <w:rPr>
          <w:rStyle w:val="FootnoteReference"/>
        </w:rPr>
        <w:footnoteReference w:id="4"/>
      </w:r>
    </w:p>
    <w:p w14:paraId="3B0B4F96" w14:textId="276C3755" w:rsidR="00C92375" w:rsidRDefault="00A57835" w:rsidP="00600162">
      <w:pPr>
        <w:jc w:val="both"/>
      </w:pPr>
      <w:r>
        <w:t xml:space="preserve">There is a general consensus regarding the </w:t>
      </w:r>
      <w:r w:rsidR="00C92375">
        <w:t xml:space="preserve">ultimate </w:t>
      </w:r>
      <w:r>
        <w:t xml:space="preserve">authority of God, and the Apostle who presented his divine revelation to the world; it is the third category </w:t>
      </w:r>
      <w:r w:rsidR="00C92375">
        <w:t>referenced by the verse</w:t>
      </w:r>
      <w:r>
        <w:t xml:space="preserve"> that poses an integral question</w:t>
      </w:r>
      <w:r w:rsidR="00600162">
        <w:t>- who</w:t>
      </w:r>
      <w:r>
        <w:t xml:space="preserve"> else</w:t>
      </w:r>
      <w:r w:rsidR="00600162">
        <w:t xml:space="preserve"> qualifies as having been charged with </w:t>
      </w:r>
      <w:r w:rsidR="00B863E8">
        <w:t xml:space="preserve">such </w:t>
      </w:r>
      <w:r w:rsidR="00600162">
        <w:t xml:space="preserve">authority? </w:t>
      </w:r>
      <w:r w:rsidR="00EE646C">
        <w:t xml:space="preserve">I begin with this question for two reasons: </w:t>
      </w:r>
      <w:r w:rsidR="00333D5D">
        <w:t xml:space="preserve">firstly, an </w:t>
      </w:r>
      <w:r w:rsidR="00EE646C">
        <w:t xml:space="preserve">understanding of the importance of </w:t>
      </w:r>
      <w:r w:rsidR="00333D5D">
        <w:t>this question</w:t>
      </w:r>
      <w:r w:rsidR="00EE646C">
        <w:t xml:space="preserve"> le</w:t>
      </w:r>
      <w:r w:rsidR="00376577">
        <w:t>ad</w:t>
      </w:r>
      <w:r w:rsidR="00EE646C">
        <w:t>s to an understanding of the core value</w:t>
      </w:r>
      <w:r w:rsidR="00051454">
        <w:t>s</w:t>
      </w:r>
      <w:r w:rsidR="00EE646C">
        <w:t xml:space="preserve"> </w:t>
      </w:r>
      <w:r w:rsidR="00333D5D">
        <w:t>o</w:t>
      </w:r>
      <w:r w:rsidR="00EE646C">
        <w:t>f Shi’ism- their par</w:t>
      </w:r>
      <w:r w:rsidR="00376577">
        <w:t>ad</w:t>
      </w:r>
      <w:r w:rsidR="00EE646C">
        <w:t xml:space="preserve">igm, historical context and </w:t>
      </w:r>
      <w:r w:rsidR="00051454">
        <w:t>religious identity</w:t>
      </w:r>
      <w:r w:rsidR="00EE646C">
        <w:t xml:space="preserve"> are framed by their answer to this question. Secondly- </w:t>
      </w:r>
      <w:r w:rsidR="0066391D">
        <w:t>as is the case with authority in any and every context</w:t>
      </w:r>
      <w:r w:rsidR="000E3382">
        <w:t xml:space="preserve"> (secular and religious)</w:t>
      </w:r>
      <w:r w:rsidR="0066391D">
        <w:t>, it creates a ripple effect</w:t>
      </w:r>
      <w:r w:rsidR="000E3382">
        <w:t xml:space="preserve">; </w:t>
      </w:r>
      <w:r w:rsidR="0066391D">
        <w:t>the value of everything is</w:t>
      </w:r>
      <w:r w:rsidR="00EE646C">
        <w:t xml:space="preserve"> </w:t>
      </w:r>
      <w:r w:rsidR="000E3382">
        <w:t>judged upon the authority of the one who said it/created it/</w:t>
      </w:r>
      <w:r w:rsidR="00051454">
        <w:t>commissioned it/affirmed it</w:t>
      </w:r>
      <w:r w:rsidR="000E3382">
        <w:t xml:space="preserve"> etc. </w:t>
      </w:r>
      <w:r w:rsidR="00AA58D2">
        <w:t xml:space="preserve">this is no different in Islamic theology, therefore placing the utmost importance upon the question of authority. </w:t>
      </w:r>
    </w:p>
    <w:p w14:paraId="10352022" w14:textId="3A7E0C44" w:rsidR="00AA58D2" w:rsidRDefault="00AA58D2" w:rsidP="00600162">
      <w:pPr>
        <w:jc w:val="both"/>
      </w:pPr>
      <w:r>
        <w:t xml:space="preserve">In order to gain a holistic understanding of the Shi’a understanding of such authority, we must </w:t>
      </w:r>
      <w:r w:rsidR="0066104D">
        <w:t xml:space="preserve">begin with </w:t>
      </w:r>
      <w:r>
        <w:t>explor</w:t>
      </w:r>
      <w:r w:rsidR="0066104D">
        <w:t>ing</w:t>
      </w:r>
      <w:r>
        <w:t xml:space="preserve"> the tr</w:t>
      </w:r>
      <w:r w:rsidR="00376577">
        <w:t>ad</w:t>
      </w:r>
      <w:r>
        <w:t xml:space="preserve">ition of the first recognised Imam, Imam Ali. </w:t>
      </w:r>
    </w:p>
    <w:p w14:paraId="7604EA13" w14:textId="0DF90B96" w:rsidR="00E26306" w:rsidRDefault="00B14B2C" w:rsidP="00600162">
      <w:pPr>
        <w:jc w:val="both"/>
      </w:pPr>
      <w:r>
        <w:t>As has been briefly mentioned, Shi’a Islam places its historical and theological roots amidst the backdrop of the 7</w:t>
      </w:r>
      <w:r w:rsidRPr="00B14B2C">
        <w:rPr>
          <w:vertAlign w:val="superscript"/>
        </w:rPr>
        <w:t>th</w:t>
      </w:r>
      <w:r>
        <w:t xml:space="preserve"> Century tensions surrounding the le</w:t>
      </w:r>
      <w:r w:rsidR="00376577">
        <w:t>ad</w:t>
      </w:r>
      <w:r>
        <w:t>ership of the Islamic community</w:t>
      </w:r>
      <w:r w:rsidR="000073A7">
        <w:t xml:space="preserve"> after the death of the Prophet Muhamm</w:t>
      </w:r>
      <w:r w:rsidR="00376577">
        <w:t>ad</w:t>
      </w:r>
      <w:r w:rsidR="000073A7">
        <w:t xml:space="preserve"> in 632 </w:t>
      </w:r>
      <w:r w:rsidR="00376577">
        <w:t>CE</w:t>
      </w:r>
      <w:r>
        <w:t xml:space="preserve">. The Party of Ali firmly believed that it was Ali </w:t>
      </w:r>
      <w:r w:rsidR="000073A7">
        <w:t>B</w:t>
      </w:r>
      <w:r>
        <w:t>in Abi Talib who was the rightful le</w:t>
      </w:r>
      <w:r w:rsidR="00376577">
        <w:t>ad</w:t>
      </w:r>
      <w:r>
        <w:t xml:space="preserve">er, and yet he was denied that right on three consecutive occasions. </w:t>
      </w:r>
      <w:r w:rsidR="00605CA7">
        <w:t>Ali was believed to be the correct le</w:t>
      </w:r>
      <w:r w:rsidR="00376577">
        <w:t>ad</w:t>
      </w:r>
      <w:r w:rsidR="00605CA7">
        <w:t>er due to his blood relation to the Prophet, being not only his son-in-law (married to his daughter, Fatima) but also his cousin.</w:t>
      </w:r>
      <w:r w:rsidR="00605CA7">
        <w:rPr>
          <w:rStyle w:val="FootnoteReference"/>
        </w:rPr>
        <w:footnoteReference w:id="5"/>
      </w:r>
      <w:r w:rsidR="00605CA7">
        <w:t xml:space="preserve"> </w:t>
      </w:r>
      <w:r w:rsidR="00E746AA">
        <w:t xml:space="preserve">Ali was eventually appointed Caliph in 656 </w:t>
      </w:r>
      <w:r w:rsidR="00376577">
        <w:t>CE</w:t>
      </w:r>
      <w:r w:rsidR="00012339">
        <w:t xml:space="preserve">; </w:t>
      </w:r>
      <w:r w:rsidR="00E746AA">
        <w:t>although his time in le</w:t>
      </w:r>
      <w:r w:rsidR="00376577">
        <w:t>ad</w:t>
      </w:r>
      <w:r w:rsidR="00E746AA">
        <w:t xml:space="preserve">ership was brief, Ali was believed to have redeemed the failings of the three Caliphs who were appointed before him- Abu Bakr, Umar and Uthman. </w:t>
      </w:r>
      <w:r w:rsidR="00012339">
        <w:t>Shi’a tr</w:t>
      </w:r>
      <w:r w:rsidR="00376577">
        <w:t>adi</w:t>
      </w:r>
      <w:r w:rsidR="00012339">
        <w:t xml:space="preserve">tion places itself in support of Ali’s descendants: his two sons- Hassan and Husayn and his grandson (son of Husayn), Ali. The stories of these three men are tragic, as it is believed they fought to keep what was rightfully theirs, only to be </w:t>
      </w:r>
      <w:r w:rsidR="00E26306">
        <w:t xml:space="preserve">continually </w:t>
      </w:r>
      <w:r w:rsidR="00012339">
        <w:t>defeated</w:t>
      </w:r>
      <w:r w:rsidR="00E26306">
        <w:t xml:space="preserve"> by their enemies.</w:t>
      </w:r>
      <w:r w:rsidR="00AB4032" w:rsidRPr="00AB4032">
        <w:t xml:space="preserve"> This </w:t>
      </w:r>
      <w:r w:rsidR="00AB4032">
        <w:t>historic tr</w:t>
      </w:r>
      <w:r w:rsidR="00376577">
        <w:t>ad</w:t>
      </w:r>
      <w:r w:rsidR="00AB4032">
        <w:t>ition is</w:t>
      </w:r>
      <w:r w:rsidR="00AB4032" w:rsidRPr="00AB4032">
        <w:t xml:space="preserve"> the foundation upon which a core Shi’a belief rests, that there is a line of le</w:t>
      </w:r>
      <w:r w:rsidR="00376577">
        <w:t>ad</w:t>
      </w:r>
      <w:r w:rsidR="00AB4032" w:rsidRPr="00AB4032">
        <w:t>ership successors who are supernaturally infallible, given divine authority because of their lineage.</w:t>
      </w:r>
      <w:r w:rsidR="00AB4032">
        <w:rPr>
          <w:rStyle w:val="FootnoteReference"/>
        </w:rPr>
        <w:footnoteReference w:id="6"/>
      </w:r>
    </w:p>
    <w:p w14:paraId="05368298" w14:textId="7541A426" w:rsidR="00AB4032" w:rsidRDefault="001F1D4C" w:rsidP="00600162">
      <w:pPr>
        <w:jc w:val="both"/>
      </w:pPr>
      <w:r>
        <w:t>Andrew Rippin claims that:</w:t>
      </w:r>
    </w:p>
    <w:p w14:paraId="72433392" w14:textId="7314E613" w:rsidR="001F1D4C" w:rsidRPr="001F1D4C" w:rsidRDefault="001F1D4C" w:rsidP="001F1D4C">
      <w:pPr>
        <w:jc w:val="center"/>
        <w:rPr>
          <w:i/>
          <w:iCs/>
        </w:rPr>
      </w:pPr>
      <w:r>
        <w:t>‘</w:t>
      </w:r>
      <w:r>
        <w:rPr>
          <w:i/>
          <w:iCs/>
        </w:rPr>
        <w:t>This understanding of the development of authority makes sense of what is the most prominent and distinct element in the Shi’a, and that is the person of the Imam.’</w:t>
      </w:r>
      <w:r>
        <w:rPr>
          <w:rStyle w:val="FootnoteReference"/>
          <w:i/>
          <w:iCs/>
        </w:rPr>
        <w:footnoteReference w:id="7"/>
      </w:r>
    </w:p>
    <w:p w14:paraId="00BA8F52" w14:textId="276FECB8" w:rsidR="00982753" w:rsidRDefault="001F1D4C" w:rsidP="00600162">
      <w:pPr>
        <w:jc w:val="both"/>
      </w:pPr>
      <w:r>
        <w:t xml:space="preserve">Imam’s are more than religious teachers, they are </w:t>
      </w:r>
      <w:r w:rsidR="00491830">
        <w:t xml:space="preserve">God-ordained </w:t>
      </w:r>
      <w:r>
        <w:t>guides</w:t>
      </w:r>
      <w:r w:rsidR="00491830">
        <w:t>. T</w:t>
      </w:r>
      <w:r>
        <w:t xml:space="preserve">heir whole lives point people in the direction </w:t>
      </w:r>
      <w:r w:rsidR="00FA2D3C">
        <w:t>of</w:t>
      </w:r>
      <w:r>
        <w:t xml:space="preserve"> God’s will-  they are </w:t>
      </w:r>
      <w:r w:rsidR="00345125">
        <w:t>his</w:t>
      </w:r>
      <w:r>
        <w:t xml:space="preserve"> aids on the earth. </w:t>
      </w:r>
      <w:r w:rsidR="001911EC">
        <w:t xml:space="preserve">They are able to encompass wisdom and revelation because they </w:t>
      </w:r>
      <w:r w:rsidR="007801A8">
        <w:t xml:space="preserve">are </w:t>
      </w:r>
      <w:r w:rsidR="0049123A">
        <w:t>in</w:t>
      </w:r>
      <w:r w:rsidR="007801A8">
        <w:t xml:space="preserve"> </w:t>
      </w:r>
      <w:r w:rsidR="0049123A">
        <w:t>possession of a knowledge that was given to them by the God who appointed them, meaning that their claim to le</w:t>
      </w:r>
      <w:r w:rsidR="00376577">
        <w:t>ad</w:t>
      </w:r>
      <w:r w:rsidR="0049123A">
        <w:t xml:space="preserve">ership has </w:t>
      </w:r>
      <w:r w:rsidR="004F30EE">
        <w:t>a divine basis.</w:t>
      </w:r>
      <w:r w:rsidR="00FF072D">
        <w:t xml:space="preserve"> </w:t>
      </w:r>
      <w:r w:rsidR="008B5152">
        <w:t>S</w:t>
      </w:r>
      <w:r w:rsidR="00FF072D">
        <w:t xml:space="preserve">ince the tragedy that ended the lives of </w:t>
      </w:r>
      <w:r w:rsidR="00D21F0D">
        <w:t xml:space="preserve">Imam </w:t>
      </w:r>
      <w:r w:rsidR="004A7D19">
        <w:t>Ali and his sons, the role has become disentangled with political authority</w:t>
      </w:r>
      <w:r w:rsidR="00FB06BF">
        <w:t xml:space="preserve">; </w:t>
      </w:r>
      <w:r w:rsidR="00F6575C">
        <w:t>their responsibility is spiritual and theological</w:t>
      </w:r>
      <w:r w:rsidR="00033AA2">
        <w:t>, as they seek to le</w:t>
      </w:r>
      <w:r w:rsidR="00376577">
        <w:t>ad</w:t>
      </w:r>
      <w:r w:rsidR="00033AA2">
        <w:t xml:space="preserve"> </w:t>
      </w:r>
      <w:r w:rsidR="00FD2D74">
        <w:t xml:space="preserve">their </w:t>
      </w:r>
      <w:r w:rsidR="00C31E7F">
        <w:t>followers</w:t>
      </w:r>
      <w:r w:rsidR="00FD2D74">
        <w:t xml:space="preserve"> </w:t>
      </w:r>
      <w:r w:rsidR="0093050B">
        <w:t xml:space="preserve">into a holistic understanding and application of the scriptures. </w:t>
      </w:r>
    </w:p>
    <w:p w14:paraId="5FD49F97" w14:textId="3AF2A0ED" w:rsidR="00AB4032" w:rsidRDefault="00816BBC" w:rsidP="00600162">
      <w:pPr>
        <w:jc w:val="both"/>
      </w:pPr>
      <w:r>
        <w:lastRenderedPageBreak/>
        <w:t>As the Imams are at the core of Shi’a identity, so to are they at the core of Shi’a diversity, with different denominations placing particular importance on different le</w:t>
      </w:r>
      <w:r w:rsidR="00376577">
        <w:t>adi</w:t>
      </w:r>
      <w:r>
        <w:t xml:space="preserve">ng figures. There is a consensus at the core of Shi’ism that the Imams are to be attributed to the lineage of the Prophet, but how those Imams are selected over other eligible members of the family is a matter of scholarly debate. Shi’a Islam began to branch into multiple dimensions </w:t>
      </w:r>
      <w:r w:rsidR="00C1332D">
        <w:t>a</w:t>
      </w:r>
      <w:r w:rsidR="007A7562">
        <w:t>s a</w:t>
      </w:r>
      <w:r w:rsidR="00C1332D">
        <w:t xml:space="preserve"> range of influential le</w:t>
      </w:r>
      <w:r w:rsidR="00376577">
        <w:t>ad</w:t>
      </w:r>
      <w:r w:rsidR="00C1332D">
        <w:t>ers</w:t>
      </w:r>
      <w:r>
        <w:t xml:space="preserve"> began to put forward their own </w:t>
      </w:r>
      <w:r w:rsidR="00EA6D0F">
        <w:t>counterclaims</w:t>
      </w:r>
      <w:r>
        <w:t xml:space="preserve"> to </w:t>
      </w:r>
      <w:r w:rsidR="00C1332D">
        <w:t xml:space="preserve">the religious </w:t>
      </w:r>
      <w:r>
        <w:t>authority</w:t>
      </w:r>
      <w:r w:rsidR="00C1332D">
        <w:t xml:space="preserve"> that only Imams held- t</w:t>
      </w:r>
      <w:r w:rsidR="007A7562">
        <w:t>w</w:t>
      </w:r>
      <w:r w:rsidR="00C1332D">
        <w:t xml:space="preserve">o such examples of this are the Zaydis and the popular Twelvers. The Zaydis place their allegiance upon Zayd Ibn </w:t>
      </w:r>
      <w:r w:rsidR="00844759">
        <w:t>Ali, and</w:t>
      </w:r>
      <w:r w:rsidR="00C1332D">
        <w:t xml:space="preserve"> declare that all Imams should be derived from the Prophet’s daughter Fatima, and her afore mentioned husband, Ali</w:t>
      </w:r>
      <w:r w:rsidR="00EA6D0F">
        <w:t xml:space="preserve"> (the fourth Caliph).</w:t>
      </w:r>
      <w:r w:rsidR="00C1332D">
        <w:t xml:space="preserve"> </w:t>
      </w:r>
      <w:r w:rsidR="007A7562">
        <w:t>The Twelvers</w:t>
      </w:r>
      <w:r w:rsidR="000434C9">
        <w:t>/Twelfth Imam Shi’ites</w:t>
      </w:r>
      <w:r w:rsidR="007A7562">
        <w:t>, however, accept the authority of twelve consecutive Imams</w:t>
      </w:r>
      <w:r w:rsidR="002F0C86">
        <w:t xml:space="preserve"> who are believed to have continued a consecutive chain of God-given authority. </w:t>
      </w:r>
      <w:r w:rsidR="00BA336F">
        <w:t xml:space="preserve">Interestingly, Rippin also notes that </w:t>
      </w:r>
      <w:r w:rsidR="002F0C86">
        <w:t xml:space="preserve">according to ‘Twelver’ belief, </w:t>
      </w:r>
      <w:r w:rsidR="00BA336F">
        <w:t>God promises that there will never be a time where humans are l</w:t>
      </w:r>
      <w:r w:rsidR="00234A0C">
        <w:t>e</w:t>
      </w:r>
      <w:r w:rsidR="00BA336F">
        <w:t>ft without the assistance of an Imam</w:t>
      </w:r>
      <w:r w:rsidR="009910BF">
        <w:t>, and therefore the twelfth and final Imam to be recognised must not be deceased, but is merely hidden from human sight- this is referred to as ‘ghayba’.</w:t>
      </w:r>
      <w:r w:rsidR="009910BF">
        <w:rPr>
          <w:rStyle w:val="FootnoteReference"/>
        </w:rPr>
        <w:footnoteReference w:id="8"/>
      </w:r>
      <w:r w:rsidR="009910BF">
        <w:t xml:space="preserve"> Muhamm</w:t>
      </w:r>
      <w:r w:rsidR="00376577">
        <w:t>ad</w:t>
      </w:r>
      <w:r w:rsidR="009910BF">
        <w:t xml:space="preserve"> al-Mahdi (the twelfth Imam) therefore takes on a Messiah-like reputation, as Shi’ites await his return</w:t>
      </w:r>
      <w:r w:rsidR="001E29DD">
        <w:t xml:space="preserve">. </w:t>
      </w:r>
      <w:r w:rsidR="00035104">
        <w:t xml:space="preserve">In the temporal absence of an Imam, it is the responsibility of </w:t>
      </w:r>
      <w:r w:rsidR="00B143AB">
        <w:t>the educated, those who have a firm knowledge of the wisdom and tr</w:t>
      </w:r>
      <w:r w:rsidR="00376577">
        <w:t>ad</w:t>
      </w:r>
      <w:r w:rsidR="00B143AB">
        <w:t>ition of the Imams, to provide interpretation and le</w:t>
      </w:r>
      <w:r w:rsidR="00376577">
        <w:t>ad</w:t>
      </w:r>
      <w:r w:rsidR="00B143AB">
        <w:t xml:space="preserve"> Shi’ites toward deeper revelation</w:t>
      </w:r>
      <w:r w:rsidR="00E93D7C">
        <w:t>. These people became known as the jury/’Fuqaha’ and are believed to be acting under the authority of the Imam</w:t>
      </w:r>
      <w:r w:rsidR="00C17702">
        <w:t>- yet, it was not the people themselves that held the authority, for that would make them equal with the Imams</w:t>
      </w:r>
      <w:r w:rsidR="00E93D7C">
        <w:t>.</w:t>
      </w:r>
      <w:r w:rsidR="00C17702">
        <w:t xml:space="preserve"> Rather, in the absence of the Imams, and the need for a tangible source of authority, importance was placed on reason and logic.</w:t>
      </w:r>
      <w:r w:rsidR="00E93D7C">
        <w:rPr>
          <w:rStyle w:val="FootnoteReference"/>
        </w:rPr>
        <w:footnoteReference w:id="9"/>
      </w:r>
      <w:r w:rsidR="00B143AB">
        <w:t xml:space="preserve"> </w:t>
      </w:r>
    </w:p>
    <w:p w14:paraId="71D97219" w14:textId="52084CCB" w:rsidR="00F638E8" w:rsidRDefault="00E26133" w:rsidP="00600162">
      <w:pPr>
        <w:jc w:val="both"/>
      </w:pPr>
      <w:r>
        <w:t xml:space="preserve">Although it is common for Sunni Muslims to revere Ali, Hassan and Husayn as noble descendants of the Prophet, there is a distinct difference in who is able to usurp authority within Sunni thought. </w:t>
      </w:r>
      <w:r w:rsidR="00632F4D">
        <w:t xml:space="preserve">Rather than authority being given on the basis of a noble lineage, it is bestowed upon those who have a knowledge and wisdom of the Scriptures; authority is </w:t>
      </w:r>
      <w:r w:rsidR="00CA341D">
        <w:t>given on merit, not by genetic default.</w:t>
      </w:r>
      <w:r w:rsidR="00B94CC0">
        <w:t xml:space="preserve"> </w:t>
      </w:r>
      <w:r w:rsidR="00502C25">
        <w:t>According to Andrew Rippin, this le</w:t>
      </w:r>
      <w:r w:rsidR="00376577">
        <w:t>ad</w:t>
      </w:r>
      <w:r w:rsidR="00502C25">
        <w:t>s Shi’a theology to regard Sunnis as being “reduced to mere conjecture on all elements of their religion”.</w:t>
      </w:r>
      <w:r w:rsidR="00502C25">
        <w:rPr>
          <w:rStyle w:val="FootnoteReference"/>
        </w:rPr>
        <w:footnoteReference w:id="10"/>
      </w:r>
      <w:r w:rsidR="00502C25">
        <w:t xml:space="preserve"> </w:t>
      </w:r>
      <w:r w:rsidR="00B94CC0">
        <w:t>Furthermore, within Sunni tr</w:t>
      </w:r>
      <w:r w:rsidR="00376577">
        <w:t>ad</w:t>
      </w:r>
      <w:r w:rsidR="00B94CC0">
        <w:t xml:space="preserve">ition, the ultimate authority is held by the written text, not the one who is able to interpret or teach it; while Shi’a authority is also vested in the individual Imams.  </w:t>
      </w:r>
      <w:r w:rsidR="00CA341D">
        <w:t xml:space="preserve"> </w:t>
      </w:r>
    </w:p>
    <w:p w14:paraId="468ABF5E" w14:textId="5D67CABC" w:rsidR="00B94CC0" w:rsidRDefault="00AD2E66" w:rsidP="00600162">
      <w:pPr>
        <w:jc w:val="both"/>
      </w:pPr>
      <w:r>
        <w:t xml:space="preserve">Where and how authority is placed within Shi’ism is at the core of the majority of its differences with its Sunni </w:t>
      </w:r>
      <w:r w:rsidR="00B94CC0">
        <w:t>counterparts</w:t>
      </w:r>
      <w:r>
        <w:t>.</w:t>
      </w:r>
    </w:p>
    <w:p w14:paraId="5711730E" w14:textId="53DFDCA7" w:rsidR="00D747EC" w:rsidRPr="00D747EC" w:rsidRDefault="00AD2E66" w:rsidP="00A472B9">
      <w:pPr>
        <w:jc w:val="both"/>
      </w:pPr>
      <w:r>
        <w:t xml:space="preserve"> </w:t>
      </w:r>
    </w:p>
    <w:p w14:paraId="0887E1B9" w14:textId="7FE5D7F7" w:rsidR="00653580" w:rsidRDefault="00B143AB" w:rsidP="00A472B9">
      <w:pPr>
        <w:jc w:val="both"/>
        <w:rPr>
          <w:b/>
          <w:bCs/>
        </w:rPr>
      </w:pPr>
      <w:r>
        <w:rPr>
          <w:b/>
          <w:bCs/>
        </w:rPr>
        <w:t xml:space="preserve">Shi’a </w:t>
      </w:r>
      <w:r w:rsidR="00653580">
        <w:rPr>
          <w:b/>
          <w:bCs/>
        </w:rPr>
        <w:t>Spiritual</w:t>
      </w:r>
      <w:r w:rsidR="00E93D7C">
        <w:rPr>
          <w:b/>
          <w:bCs/>
        </w:rPr>
        <w:t xml:space="preserve"> identity Markers</w:t>
      </w:r>
    </w:p>
    <w:p w14:paraId="2F9B08AE" w14:textId="790A3C84" w:rsidR="00E93D7C" w:rsidRPr="00E93D7C" w:rsidRDefault="00A33A94" w:rsidP="00A472B9">
      <w:pPr>
        <w:jc w:val="both"/>
      </w:pPr>
      <w:r>
        <w:t>The authority of the Imams also feeds into Shi’a beliefs regarding spirituality and religious practice</w:t>
      </w:r>
      <w:r w:rsidR="00074C0E">
        <w:t>/Sunna</w:t>
      </w:r>
      <w:r w:rsidR="00915F31">
        <w:t>;</w:t>
      </w:r>
      <w:r w:rsidR="00074C0E">
        <w:t xml:space="preserve"> John McHugo explains that “an Imam was a person whose actions became models of right conduct for later generations: his practice, Sunna, was to be the practice of also of the people who follow him”.</w:t>
      </w:r>
      <w:r w:rsidR="00074C0E">
        <w:rPr>
          <w:rStyle w:val="FootnoteReference"/>
        </w:rPr>
        <w:footnoteReference w:id="11"/>
      </w:r>
      <w:r w:rsidR="00074C0E">
        <w:t>This can be clearly seen in the importance placed upon the mourning of specific Imams (The slaughter in Karbala in particular) and the way in which the absence of the Imam’s effects the ways religious practices are conducted.</w:t>
      </w:r>
      <w:r w:rsidR="00915F31">
        <w:t xml:space="preserve"> </w:t>
      </w:r>
      <w:r w:rsidR="00C60D27">
        <w:t>O</w:t>
      </w:r>
      <w:r w:rsidR="00915F31">
        <w:t xml:space="preserve">ne example of this </w:t>
      </w:r>
      <w:r w:rsidR="00C60D27">
        <w:t>i</w:t>
      </w:r>
      <w:r w:rsidR="00915F31">
        <w:t xml:space="preserve">s their attitude towards Friday noon </w:t>
      </w:r>
      <w:r w:rsidR="00915F31">
        <w:lastRenderedPageBreak/>
        <w:t>prayers. As prayer is one of the five pillars of Islam and the Mosque has become a key marker of Muslim identity- Friday communal prayer times have become a time of religious and cultural significance. It is a time of learning, community, and above all else- prayer. And yet, within Shi’ism, this time of prayer holds less significance due to the absence of the Imam</w:t>
      </w:r>
      <w:r w:rsidR="00074C0E">
        <w:t xml:space="preserve"> who is the only one entitled to le</w:t>
      </w:r>
      <w:r w:rsidR="00376577">
        <w:t>ad</w:t>
      </w:r>
      <w:r w:rsidR="00074C0E">
        <w:t xml:space="preserve"> the prayers</w:t>
      </w:r>
      <w:r w:rsidR="0092778D">
        <w:t>. This is simply not the case within Sunni Islam, as the term ‘Imam’ is not reserved for the historic le</w:t>
      </w:r>
      <w:r w:rsidR="00376577">
        <w:t>ad</w:t>
      </w:r>
      <w:r w:rsidR="0092778D">
        <w:t>ers who were appointed by God and their predecessors, but is used to refer to all religious le</w:t>
      </w:r>
      <w:r w:rsidR="00376577">
        <w:t>ad</w:t>
      </w:r>
      <w:r w:rsidR="0092778D">
        <w:t xml:space="preserve">ers/teachers who are educated and have been appointed by merit and knowledge. </w:t>
      </w:r>
      <w:r w:rsidR="00376577">
        <w:t>ad</w:t>
      </w:r>
      <w:r w:rsidR="00074C0E">
        <w:t xml:space="preserve">ditionally, </w:t>
      </w:r>
      <w:r w:rsidR="00B56F5E">
        <w:t xml:space="preserve">within </w:t>
      </w:r>
      <w:r w:rsidR="0092778D">
        <w:t>Shi’a theology</w:t>
      </w:r>
      <w:r w:rsidR="00B56F5E">
        <w:t xml:space="preserve"> it is common to believe that the Imam is acting as an intercessor for them in the after-life.</w:t>
      </w:r>
      <w:r w:rsidR="00B56F5E">
        <w:rPr>
          <w:rStyle w:val="FootnoteReference"/>
        </w:rPr>
        <w:footnoteReference w:id="12"/>
      </w:r>
      <w:r w:rsidR="0092778D">
        <w:t xml:space="preserve"> </w:t>
      </w:r>
    </w:p>
    <w:p w14:paraId="36942332" w14:textId="03296A64" w:rsidR="00D747EC" w:rsidRDefault="00F65BAE" w:rsidP="00A472B9">
      <w:pPr>
        <w:jc w:val="both"/>
      </w:pPr>
      <w:r>
        <w:t xml:space="preserve">Yet, perhaps the most defining marker of Shi’ite identity is the elaborate and emotive re-enactment plays of the battle in Karbala- such a commemorative celebration is simply not present within the Sunni calendar- and yet the Shi’a year revolves around it. Celebrated on the tenth day of the first month of the year (Muharram), this commemoration is deemed as spiritually significant as the Hajj. </w:t>
      </w:r>
      <w:r w:rsidR="00855907">
        <w:t>Commemoration and mourning are important themes within Shi’ism, as they remember the sacrifices of the Imams who fought to keep authority in the hands of those who were rightly ordained. Martyrdom for the cause/party of Ali are also significant themes, and this is what is celebrated on the day of Muharram, the martyrdom of Husa</w:t>
      </w:r>
      <w:r w:rsidR="00376577">
        <w:t>y</w:t>
      </w:r>
      <w:r w:rsidR="00855907">
        <w:t xml:space="preserve">n (Ali’s son) and his army in the city of Karbala in the year 680 </w:t>
      </w:r>
      <w:r w:rsidR="00376577">
        <w:t>CE</w:t>
      </w:r>
      <w:r w:rsidR="00855907">
        <w:t xml:space="preserve">. </w:t>
      </w:r>
      <w:r w:rsidR="00A8767A">
        <w:t>Highly emotive p</w:t>
      </w:r>
      <w:r w:rsidR="00376577">
        <w:t>assion plays (</w:t>
      </w:r>
      <w:r w:rsidR="00A8767A">
        <w:t>Ta’ziyeh) are performed by communities who want to present the suffering of those who suffered to protect Imam Ali</w:t>
      </w:r>
      <w:r w:rsidR="004C4B46">
        <w:t>, as well as visits to what is believed to be Husayn’s tomb</w:t>
      </w:r>
      <w:r w:rsidR="00A8767A">
        <w:t xml:space="preserve">. </w:t>
      </w:r>
      <w:r w:rsidR="004C4B46">
        <w:t>I mention these commemorations as they have become more than celebrations, they are symbols of Shi’a identity and remembrances of Shi’a history- they are distinctive ways in which their spirituality and their origins collide</w:t>
      </w:r>
      <w:r w:rsidR="00647506">
        <w:t>, McHugo identifies this practice as a means of strengthening and sustaining the oppressed and the downtrodden</w:t>
      </w:r>
      <w:r w:rsidR="00647506">
        <w:rPr>
          <w:rStyle w:val="FootnoteReference"/>
        </w:rPr>
        <w:footnoteReference w:id="13"/>
      </w:r>
      <w:r w:rsidR="00647506">
        <w:t>.</w:t>
      </w:r>
      <w:r w:rsidR="004C4B46">
        <w:t xml:space="preserve"> </w:t>
      </w:r>
    </w:p>
    <w:p w14:paraId="2C13C676" w14:textId="77777777" w:rsidR="00743D77" w:rsidRPr="00F65BAE" w:rsidRDefault="00743D77" w:rsidP="00A472B9">
      <w:pPr>
        <w:jc w:val="both"/>
      </w:pPr>
    </w:p>
    <w:p w14:paraId="4D4DDE0C" w14:textId="6CB5B19F" w:rsidR="00C0530C" w:rsidRDefault="00653580" w:rsidP="00A472B9">
      <w:pPr>
        <w:jc w:val="both"/>
        <w:rPr>
          <w:b/>
          <w:bCs/>
        </w:rPr>
      </w:pPr>
      <w:r>
        <w:rPr>
          <w:b/>
          <w:bCs/>
        </w:rPr>
        <w:t>Concluding Thought</w:t>
      </w:r>
      <w:r w:rsidR="00F47FCA">
        <w:rPr>
          <w:b/>
          <w:bCs/>
        </w:rPr>
        <w:t>s</w:t>
      </w:r>
    </w:p>
    <w:p w14:paraId="7B05B851" w14:textId="793F3A87" w:rsidR="00647506" w:rsidRPr="00743D77" w:rsidRDefault="00647506" w:rsidP="00A472B9">
      <w:pPr>
        <w:jc w:val="both"/>
      </w:pPr>
      <w:r w:rsidRPr="00647506">
        <w:t>Although much is shared (the Qur’an, monotheism, the ultimate reverence afforded to the Prophet, the Five Pillars etc.), diversity within Islam is simply inescapabl</w:t>
      </w:r>
      <w:r>
        <w:t>e</w:t>
      </w:r>
      <w:bookmarkStart w:id="6" w:name="_GoBack"/>
      <w:bookmarkEnd w:id="6"/>
      <w:r>
        <w:t>- i</w:t>
      </w:r>
      <w:r w:rsidR="006849D2">
        <w:t xml:space="preserve">t is clear that the question of authority is at the heart of the differences between Shi’a Islam, and the more dominant, Sunni expression of Islam. Furthermore, it is clear that the question of authority is at the heart of Shi’ism itself- the spectrum of answers and opinions regarding the rightful leadership of the </w:t>
      </w:r>
      <w:r w:rsidR="00325E01">
        <w:t>Islamic</w:t>
      </w:r>
      <w:r w:rsidR="006849D2">
        <w:t xml:space="preserve"> community has given way to a nuance of religious expression and self-identification. </w:t>
      </w:r>
    </w:p>
    <w:p w14:paraId="0C1C2FBE" w14:textId="306055D4" w:rsidR="00E93D7C" w:rsidRDefault="00E93D7C" w:rsidP="00A472B9">
      <w:pPr>
        <w:jc w:val="both"/>
        <w:rPr>
          <w:b/>
          <w:bCs/>
        </w:rPr>
      </w:pPr>
    </w:p>
    <w:p w14:paraId="7AC97CA1" w14:textId="1EBF2BCB" w:rsidR="00E93D7C" w:rsidRDefault="00E93D7C" w:rsidP="00A472B9">
      <w:pPr>
        <w:jc w:val="both"/>
        <w:rPr>
          <w:b/>
          <w:bCs/>
        </w:rPr>
      </w:pPr>
    </w:p>
    <w:p w14:paraId="26FFD59A" w14:textId="3FB23A08" w:rsidR="00E93D7C" w:rsidRDefault="00E93D7C" w:rsidP="00A472B9">
      <w:pPr>
        <w:jc w:val="both"/>
        <w:rPr>
          <w:b/>
          <w:bCs/>
        </w:rPr>
      </w:pPr>
    </w:p>
    <w:p w14:paraId="33690A84" w14:textId="5FC539FA" w:rsidR="00E93D7C" w:rsidRDefault="00E93D7C" w:rsidP="00A472B9">
      <w:pPr>
        <w:jc w:val="both"/>
        <w:rPr>
          <w:b/>
          <w:bCs/>
        </w:rPr>
      </w:pPr>
    </w:p>
    <w:p w14:paraId="2C4E055C" w14:textId="3A5273FD" w:rsidR="00E93D7C" w:rsidRDefault="00E93D7C" w:rsidP="00A472B9">
      <w:pPr>
        <w:jc w:val="both"/>
        <w:rPr>
          <w:b/>
          <w:bCs/>
        </w:rPr>
      </w:pPr>
    </w:p>
    <w:p w14:paraId="5FEA4CBC" w14:textId="3A8EB4DE" w:rsidR="00743D77" w:rsidRDefault="00743D77" w:rsidP="00A472B9">
      <w:pPr>
        <w:jc w:val="both"/>
        <w:rPr>
          <w:b/>
          <w:bCs/>
        </w:rPr>
      </w:pPr>
    </w:p>
    <w:p w14:paraId="0FBD8A0F" w14:textId="77777777" w:rsidR="00743D77" w:rsidRDefault="00743D77" w:rsidP="00A472B9">
      <w:pPr>
        <w:jc w:val="both"/>
        <w:rPr>
          <w:b/>
          <w:bCs/>
        </w:rPr>
      </w:pPr>
    </w:p>
    <w:p w14:paraId="17A93CF4" w14:textId="67FA907B" w:rsidR="00C0530C" w:rsidRDefault="00C0530C" w:rsidP="00A472B9">
      <w:pPr>
        <w:jc w:val="both"/>
        <w:rPr>
          <w:b/>
          <w:bCs/>
        </w:rPr>
      </w:pPr>
      <w:r>
        <w:rPr>
          <w:b/>
          <w:bCs/>
        </w:rPr>
        <w:lastRenderedPageBreak/>
        <w:t xml:space="preserve">Bibliography: </w:t>
      </w:r>
    </w:p>
    <w:p w14:paraId="3F310CB8" w14:textId="7313CE2A" w:rsidR="00135DFE" w:rsidRDefault="00135DFE" w:rsidP="00A472B9">
      <w:pPr>
        <w:jc w:val="both"/>
      </w:pPr>
      <w:r w:rsidRPr="00135DFE">
        <w:t>Alain,</w:t>
      </w:r>
      <w:r>
        <w:t xml:space="preserve"> G.</w:t>
      </w:r>
      <w:r w:rsidRPr="00135DFE">
        <w:t xml:space="preserve"> Marsham,</w:t>
      </w:r>
      <w:r>
        <w:t xml:space="preserve"> A.,</w:t>
      </w:r>
      <w:r w:rsidRPr="00135DFE">
        <w:t xml:space="preserve"> </w:t>
      </w:r>
      <w:r w:rsidRPr="00135DFE">
        <w:rPr>
          <w:i/>
          <w:iCs/>
        </w:rPr>
        <w:t xml:space="preserve">Power, Patronage and Memory in Early Islam, </w:t>
      </w:r>
      <w:r w:rsidRPr="00135DFE">
        <w:t>(Oxford: Oxford University Press, 2018</w:t>
      </w:r>
      <w:r>
        <w:t>)</w:t>
      </w:r>
    </w:p>
    <w:p w14:paraId="70E31010" w14:textId="0FDB41A1" w:rsidR="00E24D81" w:rsidRDefault="00E24D81" w:rsidP="00A472B9">
      <w:pPr>
        <w:jc w:val="both"/>
      </w:pPr>
      <w:r w:rsidRPr="00E24D81">
        <w:t>Crone,</w:t>
      </w:r>
      <w:r>
        <w:t xml:space="preserve"> P</w:t>
      </w:r>
      <w:r w:rsidR="00135DFE">
        <w:t>.</w:t>
      </w:r>
      <w:r w:rsidRPr="00E24D81">
        <w:t xml:space="preserve"> Hinds,</w:t>
      </w:r>
      <w:r>
        <w:t xml:space="preserve"> M.,</w:t>
      </w:r>
      <w:r w:rsidRPr="00E24D81">
        <w:t xml:space="preserve"> </w:t>
      </w:r>
      <w:r w:rsidRPr="00E24D81">
        <w:rPr>
          <w:i/>
          <w:iCs/>
        </w:rPr>
        <w:t xml:space="preserve">God’s Caliph: Religious Authority in the Five Centuries of Islam, </w:t>
      </w:r>
      <w:r w:rsidRPr="00E24D81">
        <w:t>(Cambridge: Cambridge University Press, 1986)</w:t>
      </w:r>
    </w:p>
    <w:p w14:paraId="61E59D18" w14:textId="47A7D492" w:rsidR="009910BF" w:rsidRDefault="009910BF" w:rsidP="00A472B9">
      <w:pPr>
        <w:jc w:val="both"/>
      </w:pPr>
      <w:r w:rsidRPr="009910BF">
        <w:t>M</w:t>
      </w:r>
      <w:r w:rsidR="00376577">
        <w:t>CE</w:t>
      </w:r>
      <w:r w:rsidRPr="009910BF">
        <w:t>elung, W.</w:t>
      </w:r>
      <w:r w:rsidR="00E24D81">
        <w:t>,</w:t>
      </w:r>
      <w:r w:rsidRPr="009910BF">
        <w:t xml:space="preserve"> </w:t>
      </w:r>
      <w:r w:rsidR="00E24D81">
        <w:t>‘</w:t>
      </w:r>
      <w:r w:rsidRPr="00E24D81">
        <w:rPr>
          <w:i/>
          <w:iCs/>
        </w:rPr>
        <w:t>Shīʿa.</w:t>
      </w:r>
      <w:r w:rsidR="00E24D81" w:rsidRPr="00E24D81">
        <w:rPr>
          <w:i/>
          <w:iCs/>
        </w:rPr>
        <w:t>’.</w:t>
      </w:r>
      <w:r w:rsidRPr="009910BF">
        <w:t xml:space="preserve"> Encyclopaedia of Islam, Second Edition. Brill Online, 2015.</w:t>
      </w:r>
    </w:p>
    <w:p w14:paraId="5CF9848D" w14:textId="1D26D9C3" w:rsidR="00E24D81" w:rsidRDefault="00E24D81" w:rsidP="00A472B9">
      <w:pPr>
        <w:jc w:val="both"/>
      </w:pPr>
      <w:r w:rsidRPr="00E24D81">
        <w:t>M</w:t>
      </w:r>
      <w:r w:rsidR="00376577">
        <w:t>CE</w:t>
      </w:r>
      <w:r w:rsidRPr="00E24D81">
        <w:t>elung,</w:t>
      </w:r>
      <w:r>
        <w:t xml:space="preserve"> W.,</w:t>
      </w:r>
      <w:r w:rsidRPr="00E24D81">
        <w:t xml:space="preserve"> </w:t>
      </w:r>
      <w:r w:rsidRPr="00E24D81">
        <w:rPr>
          <w:i/>
          <w:iCs/>
        </w:rPr>
        <w:t>The Succession to Muhamm</w:t>
      </w:r>
      <w:r w:rsidR="00743D77">
        <w:rPr>
          <w:i/>
          <w:iCs/>
        </w:rPr>
        <w:t>ad</w:t>
      </w:r>
      <w:r w:rsidRPr="00E24D81">
        <w:rPr>
          <w:i/>
          <w:iCs/>
        </w:rPr>
        <w:t xml:space="preserve">: A Study of the Early Caliphate, </w:t>
      </w:r>
      <w:r w:rsidRPr="00E24D81">
        <w:t>(Cambridge: Cambridge University Press, 1997)</w:t>
      </w:r>
    </w:p>
    <w:p w14:paraId="1285B1B4" w14:textId="72A01325" w:rsidR="00F47FCA" w:rsidRDefault="00F47FCA" w:rsidP="00A472B9">
      <w:pPr>
        <w:jc w:val="both"/>
      </w:pPr>
      <w:r>
        <w:t xml:space="preserve">McHugo, J., </w:t>
      </w:r>
      <w:r>
        <w:rPr>
          <w:i/>
          <w:iCs/>
        </w:rPr>
        <w:t xml:space="preserve">A Concise History of Sunnis and Shi’is, </w:t>
      </w:r>
      <w:r>
        <w:t>(London: Saqi Books, 2019)</w:t>
      </w:r>
    </w:p>
    <w:p w14:paraId="020B6C94" w14:textId="3A67E288" w:rsidR="00502C25" w:rsidRDefault="00502C25" w:rsidP="00A472B9">
      <w:pPr>
        <w:jc w:val="both"/>
        <w:rPr>
          <w:b/>
          <w:bCs/>
        </w:rPr>
      </w:pPr>
      <w:r w:rsidRPr="00502C25">
        <w:t>Moojan,</w:t>
      </w:r>
      <w:r>
        <w:t xml:space="preserve"> M.,</w:t>
      </w:r>
      <w:r w:rsidRPr="00502C25">
        <w:t xml:space="preserve"> </w:t>
      </w:r>
      <w:r w:rsidRPr="00502C25">
        <w:rPr>
          <w:i/>
          <w:iCs/>
        </w:rPr>
        <w:t xml:space="preserve">An Introduction to Shi’i Islam, </w:t>
      </w:r>
      <w:r w:rsidRPr="00502C25">
        <w:t>(New Haven, CT: Yale University Press, 1985</w:t>
      </w:r>
    </w:p>
    <w:p w14:paraId="72A51EC0" w14:textId="3F4C4DEC" w:rsidR="00C0530C" w:rsidRDefault="00C0530C" w:rsidP="00A472B9">
      <w:pPr>
        <w:jc w:val="both"/>
        <w:rPr>
          <w:iCs/>
        </w:rPr>
      </w:pPr>
      <w:r w:rsidRPr="00C0530C">
        <w:t>Rippin,</w:t>
      </w:r>
      <w:r>
        <w:t xml:space="preserve"> A., </w:t>
      </w:r>
      <w:r w:rsidRPr="00C0530C">
        <w:t>Bernheimer,</w:t>
      </w:r>
      <w:r>
        <w:t xml:space="preserve"> T.,</w:t>
      </w:r>
      <w:r w:rsidRPr="00C0530C">
        <w:t xml:space="preserve"> </w:t>
      </w:r>
      <w:r w:rsidRPr="00C0530C">
        <w:rPr>
          <w:i/>
          <w:iCs/>
        </w:rPr>
        <w:t xml:space="preserve">Muslims: Their Religious Beliefs and Practices </w:t>
      </w:r>
      <w:r w:rsidRPr="00C0530C">
        <w:rPr>
          <w:iCs/>
        </w:rPr>
        <w:t>(5</w:t>
      </w:r>
      <w:r w:rsidRPr="00C0530C">
        <w:rPr>
          <w:iCs/>
          <w:vertAlign w:val="superscript"/>
        </w:rPr>
        <w:t>th</w:t>
      </w:r>
      <w:r w:rsidRPr="00C0530C">
        <w:rPr>
          <w:iCs/>
        </w:rPr>
        <w:t xml:space="preserve"> ed), (London: Routledge, 2019)</w:t>
      </w:r>
    </w:p>
    <w:p w14:paraId="6D562F39" w14:textId="77777777" w:rsidR="00C0530C" w:rsidRPr="00C0530C" w:rsidRDefault="00C0530C" w:rsidP="00A472B9">
      <w:pPr>
        <w:jc w:val="both"/>
      </w:pPr>
    </w:p>
    <w:sectPr w:rsidR="00C0530C" w:rsidRPr="00C053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EFDE7" w14:textId="77777777" w:rsidR="00BE061D" w:rsidRDefault="00BE061D" w:rsidP="00292E5D">
      <w:pPr>
        <w:spacing w:after="0" w:line="240" w:lineRule="auto"/>
      </w:pPr>
      <w:r>
        <w:separator/>
      </w:r>
    </w:p>
  </w:endnote>
  <w:endnote w:type="continuationSeparator" w:id="0">
    <w:p w14:paraId="15BCD9E1" w14:textId="77777777" w:rsidR="00BE061D" w:rsidRDefault="00BE061D" w:rsidP="00292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F9926" w14:textId="77777777" w:rsidR="00BE061D" w:rsidRDefault="00BE061D" w:rsidP="00292E5D">
      <w:pPr>
        <w:spacing w:after="0" w:line="240" w:lineRule="auto"/>
      </w:pPr>
      <w:r>
        <w:separator/>
      </w:r>
    </w:p>
  </w:footnote>
  <w:footnote w:type="continuationSeparator" w:id="0">
    <w:p w14:paraId="6579B14D" w14:textId="77777777" w:rsidR="00BE061D" w:rsidRDefault="00BE061D" w:rsidP="00292E5D">
      <w:pPr>
        <w:spacing w:after="0" w:line="240" w:lineRule="auto"/>
      </w:pPr>
      <w:r>
        <w:continuationSeparator/>
      </w:r>
    </w:p>
  </w:footnote>
  <w:footnote w:id="1">
    <w:p w14:paraId="50019389" w14:textId="3CBC0669" w:rsidR="009910BF" w:rsidRDefault="009910BF">
      <w:pPr>
        <w:pStyle w:val="FootnoteText"/>
      </w:pPr>
      <w:r>
        <w:rPr>
          <w:rStyle w:val="FootnoteReference"/>
        </w:rPr>
        <w:footnoteRef/>
      </w:r>
      <w:r>
        <w:t xml:space="preserve"> </w:t>
      </w:r>
      <w:r w:rsidRPr="00292E5D">
        <w:t>http://www.pewforum.org/2009/10/07/mapping-the-global-muslimpopulation/</w:t>
      </w:r>
    </w:p>
  </w:footnote>
  <w:footnote w:id="2">
    <w:p w14:paraId="354D52C6" w14:textId="68616C01" w:rsidR="009910BF" w:rsidRPr="006D097E" w:rsidRDefault="009910BF">
      <w:pPr>
        <w:pStyle w:val="FootnoteText"/>
      </w:pPr>
      <w:r>
        <w:rPr>
          <w:rStyle w:val="FootnoteReference"/>
        </w:rPr>
        <w:footnoteRef/>
      </w:r>
      <w:r>
        <w:t xml:space="preserve"> </w:t>
      </w:r>
      <w:bookmarkStart w:id="0" w:name="_Hlk29478174"/>
      <w:r>
        <w:t xml:space="preserve">John McHugo, </w:t>
      </w:r>
      <w:r>
        <w:rPr>
          <w:i/>
          <w:iCs/>
        </w:rPr>
        <w:t xml:space="preserve">A Concise History of Sunnis and Shi’is, </w:t>
      </w:r>
      <w:r>
        <w:t xml:space="preserve">(London: Saqi Books, 2019) </w:t>
      </w:r>
      <w:bookmarkEnd w:id="0"/>
      <w:r>
        <w:t>pp- 45-66.</w:t>
      </w:r>
    </w:p>
  </w:footnote>
  <w:footnote w:id="3">
    <w:p w14:paraId="3B07C935" w14:textId="121567BE" w:rsidR="009910BF" w:rsidRPr="00A472B9" w:rsidRDefault="009910BF">
      <w:pPr>
        <w:pStyle w:val="FootnoteText"/>
        <w:rPr>
          <w:iCs/>
        </w:rPr>
      </w:pPr>
      <w:r>
        <w:rPr>
          <w:rStyle w:val="FootnoteReference"/>
        </w:rPr>
        <w:footnoteRef/>
      </w:r>
      <w:r>
        <w:t xml:space="preserve"> </w:t>
      </w:r>
      <w:bookmarkStart w:id="1" w:name="_Hlk29559116"/>
      <w:r>
        <w:t xml:space="preserve">Andrew Rippin, Teresa Bernheimer, </w:t>
      </w:r>
      <w:r>
        <w:rPr>
          <w:i/>
          <w:iCs/>
        </w:rPr>
        <w:t xml:space="preserve">Muslims: Their Religious Beliefs and Practices </w:t>
      </w:r>
      <w:r>
        <w:rPr>
          <w:iCs/>
        </w:rPr>
        <w:t>(5</w:t>
      </w:r>
      <w:r w:rsidRPr="00A472B9">
        <w:rPr>
          <w:iCs/>
          <w:vertAlign w:val="superscript"/>
        </w:rPr>
        <w:t>th</w:t>
      </w:r>
      <w:r>
        <w:rPr>
          <w:iCs/>
        </w:rPr>
        <w:t xml:space="preserve"> ed), (London: Routledge, 2019) p-117. </w:t>
      </w:r>
      <w:bookmarkEnd w:id="1"/>
    </w:p>
  </w:footnote>
  <w:footnote w:id="4">
    <w:p w14:paraId="0669225E" w14:textId="70E78169" w:rsidR="009910BF" w:rsidRPr="007A6A44" w:rsidRDefault="009910BF">
      <w:pPr>
        <w:pStyle w:val="FootnoteText"/>
      </w:pPr>
      <w:r>
        <w:rPr>
          <w:rStyle w:val="FootnoteReference"/>
        </w:rPr>
        <w:footnoteRef/>
      </w:r>
      <w:r>
        <w:t xml:space="preserve"> M. A. Abdel Haleem, </w:t>
      </w:r>
      <w:r>
        <w:rPr>
          <w:i/>
          <w:iCs/>
        </w:rPr>
        <w:t xml:space="preserve">The Qur’an: Oxford World Classics, </w:t>
      </w:r>
      <w:r>
        <w:t xml:space="preserve">(Oxford: Oxford University Press, 2008). </w:t>
      </w:r>
    </w:p>
  </w:footnote>
  <w:footnote w:id="5">
    <w:p w14:paraId="2D62C089" w14:textId="0E92D0D4" w:rsidR="009910BF" w:rsidRPr="003126F7" w:rsidRDefault="009910BF">
      <w:pPr>
        <w:pStyle w:val="FootnoteText"/>
      </w:pPr>
      <w:r>
        <w:rPr>
          <w:rStyle w:val="FootnoteReference"/>
        </w:rPr>
        <w:footnoteRef/>
      </w:r>
      <w:r>
        <w:t xml:space="preserve"> </w:t>
      </w:r>
      <w:r w:rsidRPr="00605CA7">
        <w:t xml:space="preserve">John McHugo, </w:t>
      </w:r>
      <w:r w:rsidRPr="00605CA7">
        <w:rPr>
          <w:i/>
          <w:iCs/>
        </w:rPr>
        <w:t xml:space="preserve">A Concise History of Sunnis and Shi’is, </w:t>
      </w:r>
      <w:r w:rsidRPr="00605CA7">
        <w:t>(London: Saqi Books, 2019)</w:t>
      </w:r>
      <w:r w:rsidR="003126F7">
        <w:t xml:space="preserve">; Patricia Crone, Martin Hinds, </w:t>
      </w:r>
      <w:r w:rsidR="003126F7">
        <w:rPr>
          <w:i/>
          <w:iCs/>
        </w:rPr>
        <w:t xml:space="preserve">God’s Caliph: Religious Authority in the Five Centuries of Islam, </w:t>
      </w:r>
      <w:r w:rsidR="003126F7">
        <w:t>(Cambridge: Cambridge University Press, 1986); Wilferd M</w:t>
      </w:r>
      <w:r w:rsidR="00376577">
        <w:t>CE</w:t>
      </w:r>
      <w:r w:rsidR="003126F7">
        <w:t xml:space="preserve">elung, </w:t>
      </w:r>
      <w:r w:rsidR="003126F7">
        <w:rPr>
          <w:i/>
          <w:iCs/>
        </w:rPr>
        <w:t>The Succession to Muhamm</w:t>
      </w:r>
      <w:r w:rsidR="00376577">
        <w:rPr>
          <w:i/>
          <w:iCs/>
        </w:rPr>
        <w:t>ad</w:t>
      </w:r>
      <w:r w:rsidR="003126F7">
        <w:rPr>
          <w:i/>
          <w:iCs/>
        </w:rPr>
        <w:t xml:space="preserve">: A Study of the Early Caliphate, </w:t>
      </w:r>
      <w:r w:rsidR="003126F7">
        <w:t xml:space="preserve">(Cambridge: Cambridge University Press, </w:t>
      </w:r>
      <w:r w:rsidR="001323C7">
        <w:t>1997)</w:t>
      </w:r>
    </w:p>
  </w:footnote>
  <w:footnote w:id="6">
    <w:p w14:paraId="1DCC1DFA" w14:textId="0B4C0707" w:rsidR="009910BF" w:rsidRPr="004619DA" w:rsidRDefault="009910BF">
      <w:pPr>
        <w:pStyle w:val="FootnoteText"/>
      </w:pPr>
      <w:r>
        <w:rPr>
          <w:rStyle w:val="FootnoteReference"/>
        </w:rPr>
        <w:footnoteRef/>
      </w:r>
      <w:r>
        <w:t xml:space="preserve"> </w:t>
      </w:r>
      <w:bookmarkStart w:id="2" w:name="_Hlk29566672"/>
      <w:r w:rsidR="003126F7">
        <w:t xml:space="preserve">Wilferd </w:t>
      </w:r>
      <w:r w:rsidRPr="00AB4032">
        <w:t>M</w:t>
      </w:r>
      <w:r w:rsidR="00376577">
        <w:t>CE</w:t>
      </w:r>
      <w:r w:rsidRPr="00AB4032">
        <w:t>elung</w:t>
      </w:r>
      <w:r w:rsidR="003126F7">
        <w:t>,</w:t>
      </w:r>
      <w:r w:rsidRPr="00AB4032">
        <w:t xml:space="preserve"> ”Shīʿa." Encyclopaedia of Islam, Second Edition. Brill Online, 2015</w:t>
      </w:r>
      <w:bookmarkEnd w:id="2"/>
      <w:r w:rsidR="001323C7">
        <w:t xml:space="preserve">; </w:t>
      </w:r>
      <w:r w:rsidR="004619DA">
        <w:t xml:space="preserve">George Alain, Andrew Marsham, </w:t>
      </w:r>
      <w:r w:rsidR="004619DA">
        <w:rPr>
          <w:i/>
          <w:iCs/>
        </w:rPr>
        <w:t xml:space="preserve">Power, Patronage and Memory in Early Islam, </w:t>
      </w:r>
      <w:r w:rsidR="004619DA">
        <w:t xml:space="preserve">(Oxford: Oxford University Press, 2018). </w:t>
      </w:r>
    </w:p>
  </w:footnote>
  <w:footnote w:id="7">
    <w:p w14:paraId="03CB5859" w14:textId="21A04860" w:rsidR="009910BF" w:rsidRDefault="009910BF">
      <w:pPr>
        <w:pStyle w:val="FootnoteText"/>
      </w:pPr>
      <w:r>
        <w:rPr>
          <w:rStyle w:val="FootnoteReference"/>
        </w:rPr>
        <w:footnoteRef/>
      </w:r>
      <w:r>
        <w:t xml:space="preserve"> </w:t>
      </w:r>
      <w:r w:rsidRPr="001F1D4C">
        <w:t xml:space="preserve">Andrew Rippin, Teresa Bernheimer, </w:t>
      </w:r>
      <w:r w:rsidRPr="001F1D4C">
        <w:rPr>
          <w:i/>
          <w:iCs/>
        </w:rPr>
        <w:t xml:space="preserve">Muslims: Their Religious Beliefs and Practices </w:t>
      </w:r>
      <w:r w:rsidRPr="001F1D4C">
        <w:rPr>
          <w:iCs/>
        </w:rPr>
        <w:t>(5</w:t>
      </w:r>
      <w:r w:rsidRPr="001F1D4C">
        <w:rPr>
          <w:iCs/>
          <w:vertAlign w:val="superscript"/>
        </w:rPr>
        <w:t>th</w:t>
      </w:r>
      <w:r w:rsidRPr="001F1D4C">
        <w:rPr>
          <w:iCs/>
        </w:rPr>
        <w:t xml:space="preserve"> ed), (London: Routledge, 2019) p-1</w:t>
      </w:r>
      <w:r>
        <w:rPr>
          <w:iCs/>
        </w:rPr>
        <w:t>20.</w:t>
      </w:r>
    </w:p>
  </w:footnote>
  <w:footnote w:id="8">
    <w:p w14:paraId="7306A9C1" w14:textId="1661ACC7" w:rsidR="009910BF" w:rsidRDefault="009910BF">
      <w:pPr>
        <w:pStyle w:val="FootnoteText"/>
      </w:pPr>
      <w:r>
        <w:rPr>
          <w:rStyle w:val="FootnoteReference"/>
        </w:rPr>
        <w:footnoteRef/>
      </w:r>
      <w:r>
        <w:t xml:space="preserve"> </w:t>
      </w:r>
      <w:bookmarkStart w:id="3" w:name="_Hlk29580612"/>
      <w:r w:rsidRPr="009910BF">
        <w:t xml:space="preserve">Andrew Rippin, Teresa Bernheimer, </w:t>
      </w:r>
      <w:r w:rsidRPr="009910BF">
        <w:rPr>
          <w:i/>
          <w:iCs/>
        </w:rPr>
        <w:t xml:space="preserve">Muslims: Their Religious Beliefs and Practices </w:t>
      </w:r>
      <w:r w:rsidRPr="009910BF">
        <w:rPr>
          <w:iCs/>
        </w:rPr>
        <w:t>(5</w:t>
      </w:r>
      <w:r w:rsidRPr="009910BF">
        <w:rPr>
          <w:iCs/>
          <w:vertAlign w:val="superscript"/>
        </w:rPr>
        <w:t>th</w:t>
      </w:r>
      <w:r w:rsidRPr="009910BF">
        <w:rPr>
          <w:iCs/>
        </w:rPr>
        <w:t xml:space="preserve"> ed), (London: Routledge, 2019)</w:t>
      </w:r>
      <w:r>
        <w:rPr>
          <w:iCs/>
        </w:rPr>
        <w:t xml:space="preserve"> p</w:t>
      </w:r>
      <w:r w:rsidR="00502C25">
        <w:rPr>
          <w:iCs/>
        </w:rPr>
        <w:t>p</w:t>
      </w:r>
      <w:r>
        <w:rPr>
          <w:iCs/>
        </w:rPr>
        <w:t>-</w:t>
      </w:r>
      <w:bookmarkEnd w:id="3"/>
      <w:r>
        <w:rPr>
          <w:iCs/>
        </w:rPr>
        <w:t xml:space="preserve">121-123. </w:t>
      </w:r>
    </w:p>
  </w:footnote>
  <w:footnote w:id="9">
    <w:p w14:paraId="06421C02" w14:textId="015747CA" w:rsidR="00E93D7C" w:rsidRPr="00502C25" w:rsidRDefault="00E93D7C">
      <w:pPr>
        <w:pStyle w:val="FootnoteText"/>
      </w:pPr>
      <w:r>
        <w:rPr>
          <w:rStyle w:val="FootnoteReference"/>
        </w:rPr>
        <w:footnoteRef/>
      </w:r>
      <w:r>
        <w:t xml:space="preserve"> </w:t>
      </w:r>
      <w:r w:rsidR="00502C25">
        <w:t xml:space="preserve">Momen Moojan, </w:t>
      </w:r>
      <w:r w:rsidR="00502C25">
        <w:rPr>
          <w:i/>
          <w:iCs/>
        </w:rPr>
        <w:t xml:space="preserve">An Introduction to Shi’i Islam, </w:t>
      </w:r>
      <w:r w:rsidR="00502C25">
        <w:t>(New Haven, CT: Yale University Press, 1985)</w:t>
      </w:r>
    </w:p>
  </w:footnote>
  <w:footnote w:id="10">
    <w:p w14:paraId="2E440C32" w14:textId="707011A4" w:rsidR="00502C25" w:rsidRDefault="00502C25">
      <w:pPr>
        <w:pStyle w:val="FootnoteText"/>
      </w:pPr>
      <w:r>
        <w:rPr>
          <w:rStyle w:val="FootnoteReference"/>
        </w:rPr>
        <w:footnoteRef/>
      </w:r>
      <w:r>
        <w:t xml:space="preserve"> </w:t>
      </w:r>
      <w:bookmarkStart w:id="4" w:name="_Hlk29581991"/>
      <w:r w:rsidRPr="009910BF">
        <w:t xml:space="preserve">Andrew Rippin, Teresa Bernheimer, </w:t>
      </w:r>
      <w:r w:rsidRPr="009910BF">
        <w:rPr>
          <w:i/>
          <w:iCs/>
        </w:rPr>
        <w:t xml:space="preserve">Muslims: Their Religious Beliefs and Practices </w:t>
      </w:r>
      <w:r w:rsidRPr="009910BF">
        <w:rPr>
          <w:iCs/>
        </w:rPr>
        <w:t>(5</w:t>
      </w:r>
      <w:r w:rsidRPr="009910BF">
        <w:rPr>
          <w:iCs/>
          <w:vertAlign w:val="superscript"/>
        </w:rPr>
        <w:t>th</w:t>
      </w:r>
      <w:r w:rsidRPr="009910BF">
        <w:rPr>
          <w:iCs/>
        </w:rPr>
        <w:t xml:space="preserve"> ed), (London: Routledge, 2019)</w:t>
      </w:r>
      <w:r>
        <w:rPr>
          <w:iCs/>
        </w:rPr>
        <w:t xml:space="preserve"> p-</w:t>
      </w:r>
      <w:r>
        <w:rPr>
          <w:iCs/>
        </w:rPr>
        <w:t>124.</w:t>
      </w:r>
      <w:bookmarkEnd w:id="4"/>
    </w:p>
  </w:footnote>
  <w:footnote w:id="11">
    <w:p w14:paraId="19FFC5B0" w14:textId="54404DAA" w:rsidR="00074C0E" w:rsidRDefault="00074C0E">
      <w:pPr>
        <w:pStyle w:val="FootnoteText"/>
      </w:pPr>
      <w:r>
        <w:rPr>
          <w:rStyle w:val="FootnoteReference"/>
        </w:rPr>
        <w:footnoteRef/>
      </w:r>
      <w:r>
        <w:t xml:space="preserve"> </w:t>
      </w:r>
      <w:bookmarkStart w:id="5" w:name="_Hlk29584276"/>
      <w:r w:rsidRPr="00074C0E">
        <w:t xml:space="preserve">John McHugo, </w:t>
      </w:r>
      <w:r w:rsidRPr="00074C0E">
        <w:rPr>
          <w:i/>
          <w:iCs/>
        </w:rPr>
        <w:t xml:space="preserve">A Concise History of Sunnis and Shi’is, </w:t>
      </w:r>
      <w:r w:rsidRPr="00074C0E">
        <w:t>(London: Saqi Books, 2019</w:t>
      </w:r>
      <w:r>
        <w:t xml:space="preserve">) p- 92. </w:t>
      </w:r>
      <w:bookmarkEnd w:id="5"/>
    </w:p>
  </w:footnote>
  <w:footnote w:id="12">
    <w:p w14:paraId="0EC249CC" w14:textId="47319580" w:rsidR="00B56F5E" w:rsidRDefault="00B56F5E">
      <w:pPr>
        <w:pStyle w:val="FootnoteText"/>
      </w:pPr>
      <w:r>
        <w:rPr>
          <w:rStyle w:val="FootnoteReference"/>
        </w:rPr>
        <w:footnoteRef/>
      </w:r>
      <w:r>
        <w:t xml:space="preserve"> </w:t>
      </w:r>
      <w:r w:rsidRPr="009910BF">
        <w:t xml:space="preserve">Andrew Rippin, Teresa Bernheimer, </w:t>
      </w:r>
      <w:r w:rsidRPr="009910BF">
        <w:rPr>
          <w:i/>
          <w:iCs/>
        </w:rPr>
        <w:t xml:space="preserve">Muslims: Their Religious Beliefs and Practices </w:t>
      </w:r>
      <w:r w:rsidRPr="009910BF">
        <w:rPr>
          <w:iCs/>
        </w:rPr>
        <w:t>(5</w:t>
      </w:r>
      <w:r w:rsidRPr="009910BF">
        <w:rPr>
          <w:iCs/>
          <w:vertAlign w:val="superscript"/>
        </w:rPr>
        <w:t>th</w:t>
      </w:r>
      <w:r w:rsidRPr="009910BF">
        <w:rPr>
          <w:iCs/>
        </w:rPr>
        <w:t xml:space="preserve"> ed), (London: Routledge, 2019)</w:t>
      </w:r>
      <w:r>
        <w:rPr>
          <w:iCs/>
        </w:rPr>
        <w:t xml:space="preserve"> p-124.</w:t>
      </w:r>
    </w:p>
  </w:footnote>
  <w:footnote w:id="13">
    <w:p w14:paraId="66E32510" w14:textId="0B66C555" w:rsidR="00647506" w:rsidRDefault="00647506">
      <w:pPr>
        <w:pStyle w:val="FootnoteText"/>
      </w:pPr>
      <w:r>
        <w:rPr>
          <w:rStyle w:val="FootnoteReference"/>
        </w:rPr>
        <w:footnoteRef/>
      </w:r>
      <w:r>
        <w:t xml:space="preserve"> </w:t>
      </w:r>
      <w:r w:rsidRPr="00647506">
        <w:t xml:space="preserve">John McHugo, </w:t>
      </w:r>
      <w:r w:rsidRPr="00647506">
        <w:rPr>
          <w:i/>
          <w:iCs/>
        </w:rPr>
        <w:t xml:space="preserve">A Concise History of Sunnis and Shi’is, </w:t>
      </w:r>
      <w:r w:rsidRPr="00647506">
        <w:t xml:space="preserve">(London: Saqi Books, 2019) p- </w:t>
      </w:r>
      <w:r>
        <w:t>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2A9"/>
    <w:rsid w:val="000073A7"/>
    <w:rsid w:val="00012339"/>
    <w:rsid w:val="000240A8"/>
    <w:rsid w:val="00033AA2"/>
    <w:rsid w:val="00035104"/>
    <w:rsid w:val="000434C9"/>
    <w:rsid w:val="00044D7E"/>
    <w:rsid w:val="00051454"/>
    <w:rsid w:val="00053360"/>
    <w:rsid w:val="00074C0E"/>
    <w:rsid w:val="000839E7"/>
    <w:rsid w:val="000A1999"/>
    <w:rsid w:val="000A764D"/>
    <w:rsid w:val="000E3382"/>
    <w:rsid w:val="00105F1E"/>
    <w:rsid w:val="00120482"/>
    <w:rsid w:val="001323C7"/>
    <w:rsid w:val="00135DFE"/>
    <w:rsid w:val="00144138"/>
    <w:rsid w:val="001911EC"/>
    <w:rsid w:val="001E29DD"/>
    <w:rsid w:val="001F1D4C"/>
    <w:rsid w:val="00234570"/>
    <w:rsid w:val="00234A0C"/>
    <w:rsid w:val="00264D4F"/>
    <w:rsid w:val="00292E5D"/>
    <w:rsid w:val="002941CE"/>
    <w:rsid w:val="002F0C86"/>
    <w:rsid w:val="003126F7"/>
    <w:rsid w:val="00325E01"/>
    <w:rsid w:val="00333D5D"/>
    <w:rsid w:val="00345125"/>
    <w:rsid w:val="003642AF"/>
    <w:rsid w:val="00376577"/>
    <w:rsid w:val="003E6CBA"/>
    <w:rsid w:val="004619DA"/>
    <w:rsid w:val="0049123A"/>
    <w:rsid w:val="00491830"/>
    <w:rsid w:val="004A7D19"/>
    <w:rsid w:val="004C0C88"/>
    <w:rsid w:val="004C4B46"/>
    <w:rsid w:val="004E5AAC"/>
    <w:rsid w:val="004F30EE"/>
    <w:rsid w:val="00502C25"/>
    <w:rsid w:val="0054315A"/>
    <w:rsid w:val="005E532C"/>
    <w:rsid w:val="00600162"/>
    <w:rsid w:val="00602655"/>
    <w:rsid w:val="00605CA7"/>
    <w:rsid w:val="00632F4D"/>
    <w:rsid w:val="0064415B"/>
    <w:rsid w:val="00647506"/>
    <w:rsid w:val="00653580"/>
    <w:rsid w:val="0066104D"/>
    <w:rsid w:val="0066391D"/>
    <w:rsid w:val="006847A0"/>
    <w:rsid w:val="006849D2"/>
    <w:rsid w:val="00685EA4"/>
    <w:rsid w:val="006961D8"/>
    <w:rsid w:val="006D097E"/>
    <w:rsid w:val="00743D77"/>
    <w:rsid w:val="007801A8"/>
    <w:rsid w:val="007A6A44"/>
    <w:rsid w:val="007A7562"/>
    <w:rsid w:val="00811C04"/>
    <w:rsid w:val="00816BBC"/>
    <w:rsid w:val="008269BF"/>
    <w:rsid w:val="0084335C"/>
    <w:rsid w:val="00844759"/>
    <w:rsid w:val="00855907"/>
    <w:rsid w:val="008A16B3"/>
    <w:rsid w:val="008B5152"/>
    <w:rsid w:val="008F430D"/>
    <w:rsid w:val="00910AE4"/>
    <w:rsid w:val="00915F31"/>
    <w:rsid w:val="0092778D"/>
    <w:rsid w:val="0093050B"/>
    <w:rsid w:val="00982753"/>
    <w:rsid w:val="009910BF"/>
    <w:rsid w:val="009A4072"/>
    <w:rsid w:val="00A33A94"/>
    <w:rsid w:val="00A44228"/>
    <w:rsid w:val="00A472B9"/>
    <w:rsid w:val="00A57835"/>
    <w:rsid w:val="00A60985"/>
    <w:rsid w:val="00A8767A"/>
    <w:rsid w:val="00AA58D2"/>
    <w:rsid w:val="00AB4032"/>
    <w:rsid w:val="00AD22A9"/>
    <w:rsid w:val="00AD2E66"/>
    <w:rsid w:val="00AE4D84"/>
    <w:rsid w:val="00B143AB"/>
    <w:rsid w:val="00B14B2C"/>
    <w:rsid w:val="00B56F5E"/>
    <w:rsid w:val="00B8111A"/>
    <w:rsid w:val="00B863E8"/>
    <w:rsid w:val="00B94CC0"/>
    <w:rsid w:val="00BA336F"/>
    <w:rsid w:val="00BE061D"/>
    <w:rsid w:val="00BE1AAB"/>
    <w:rsid w:val="00C0530C"/>
    <w:rsid w:val="00C107D9"/>
    <w:rsid w:val="00C1332D"/>
    <w:rsid w:val="00C17702"/>
    <w:rsid w:val="00C31E7F"/>
    <w:rsid w:val="00C60D27"/>
    <w:rsid w:val="00C92375"/>
    <w:rsid w:val="00CA341D"/>
    <w:rsid w:val="00CB498C"/>
    <w:rsid w:val="00CD242C"/>
    <w:rsid w:val="00CD6D03"/>
    <w:rsid w:val="00D21F0D"/>
    <w:rsid w:val="00D66439"/>
    <w:rsid w:val="00D747EC"/>
    <w:rsid w:val="00DC5C81"/>
    <w:rsid w:val="00DE7890"/>
    <w:rsid w:val="00E24D81"/>
    <w:rsid w:val="00E26133"/>
    <w:rsid w:val="00E26306"/>
    <w:rsid w:val="00E428E2"/>
    <w:rsid w:val="00E746AA"/>
    <w:rsid w:val="00E93D7C"/>
    <w:rsid w:val="00EA6D0F"/>
    <w:rsid w:val="00EE646C"/>
    <w:rsid w:val="00F47FCA"/>
    <w:rsid w:val="00F638E8"/>
    <w:rsid w:val="00F6575C"/>
    <w:rsid w:val="00F65BAE"/>
    <w:rsid w:val="00FA2D3C"/>
    <w:rsid w:val="00FB06BF"/>
    <w:rsid w:val="00FB34C2"/>
    <w:rsid w:val="00FD2D74"/>
    <w:rsid w:val="00FF0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4238"/>
  <w15:chartTrackingRefBased/>
  <w15:docId w15:val="{EB004F4A-5002-4EC3-87A2-D82FC65A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2E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2E5D"/>
    <w:rPr>
      <w:sz w:val="20"/>
      <w:szCs w:val="20"/>
    </w:rPr>
  </w:style>
  <w:style w:type="character" w:styleId="FootnoteReference">
    <w:name w:val="footnote reference"/>
    <w:basedOn w:val="DefaultParagraphFont"/>
    <w:uiPriority w:val="99"/>
    <w:semiHidden/>
    <w:unhideWhenUsed/>
    <w:rsid w:val="00292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31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bel00</b:Tag>
    <b:SourceType>Book</b:SourceType>
    <b:Guid>{74B020C0-4347-4563-A184-1AFC683DBF16}</b:Guid>
    <b:Author>
      <b:Author>
        <b:NameList>
          <b:Person>
            <b:Last>belle</b:Last>
          </b:Person>
        </b:NameList>
      </b:Author>
    </b:Author>
    <b:Title>Belle's great </b:Title>
    <b:Year>1800</b:Year>
    <b:City>Bellesville </b:City>
    <b:Publisher>Ditoi</b:Publisher>
    <b:RefOrder>1</b:RefOrder>
  </b:Source>
</b:Sources>
</file>

<file path=customXml/itemProps1.xml><?xml version="1.0" encoding="utf-8"?>
<ds:datastoreItem xmlns:ds="http://schemas.openxmlformats.org/officeDocument/2006/customXml" ds:itemID="{6405164F-B1E9-4292-B494-C023D2B8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5</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 tindall</dc:creator>
  <cp:keywords/>
  <dc:description/>
  <cp:lastModifiedBy>belle tindall</cp:lastModifiedBy>
  <cp:revision>81</cp:revision>
  <dcterms:created xsi:type="dcterms:W3CDTF">2020-01-09T12:10:00Z</dcterms:created>
  <dcterms:modified xsi:type="dcterms:W3CDTF">2020-01-10T21:33:00Z</dcterms:modified>
</cp:coreProperties>
</file>