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D8CE9" w14:textId="77777777" w:rsidR="009D2323" w:rsidRDefault="009D2323" w:rsidP="009D2323">
      <w:pPr>
        <w:pStyle w:val="Title"/>
        <w:rPr>
          <w:rFonts w:ascii="Times New Roman" w:hAnsi="Times New Roman" w:cs="Times New Roman"/>
        </w:rPr>
      </w:pPr>
    </w:p>
    <w:p w14:paraId="7203BEE7" w14:textId="3AF71E40" w:rsidR="009D2323" w:rsidRPr="009D2323" w:rsidRDefault="009D2323" w:rsidP="009D2323">
      <w:pPr>
        <w:pStyle w:val="Title"/>
        <w:spacing w:line="360" w:lineRule="auto"/>
        <w:jc w:val="center"/>
        <w:rPr>
          <w:rFonts w:ascii="Times New Roman" w:hAnsi="Times New Roman" w:cs="Times New Roman"/>
          <w:b/>
          <w:color w:val="auto"/>
          <w:sz w:val="40"/>
          <w:szCs w:val="40"/>
          <w:u w:val="single"/>
        </w:rPr>
      </w:pPr>
    </w:p>
    <w:p w14:paraId="14BF9237" w14:textId="77777777" w:rsidR="009D2323" w:rsidRPr="009D2323" w:rsidRDefault="009D2323" w:rsidP="009D2323">
      <w:pPr>
        <w:pStyle w:val="Title"/>
        <w:spacing w:line="360" w:lineRule="auto"/>
        <w:jc w:val="center"/>
        <w:rPr>
          <w:color w:val="auto"/>
          <w:sz w:val="40"/>
          <w:szCs w:val="40"/>
        </w:rPr>
      </w:pPr>
      <w:r w:rsidRPr="009D2323">
        <w:rPr>
          <w:rFonts w:ascii="Times New Roman" w:hAnsi="Times New Roman" w:cs="Times New Roman"/>
          <w:b/>
          <w:color w:val="auto"/>
          <w:sz w:val="40"/>
          <w:szCs w:val="40"/>
          <w:u w:val="single"/>
        </w:rPr>
        <w:t>Report Case Study: The Seaview Resort</w:t>
      </w:r>
      <w:r w:rsidRPr="009D2323">
        <w:rPr>
          <w:color w:val="auto"/>
          <w:sz w:val="40"/>
          <w:szCs w:val="40"/>
        </w:rPr>
        <w:t xml:space="preserve"> </w:t>
      </w:r>
    </w:p>
    <w:p w14:paraId="145909D8" w14:textId="77777777" w:rsidR="009D2323" w:rsidRDefault="009D2323" w:rsidP="009D2323"/>
    <w:p w14:paraId="36DB7059" w14:textId="77777777" w:rsidR="009D2323" w:rsidRDefault="009D2323" w:rsidP="009D2323"/>
    <w:p w14:paraId="1B71C7BF" w14:textId="77777777" w:rsidR="009D2323" w:rsidRDefault="009D2323" w:rsidP="009D2323">
      <w:pPr>
        <w:ind w:right="483"/>
        <w:rPr>
          <w:b/>
          <w:sz w:val="36"/>
          <w:szCs w:val="36"/>
        </w:rPr>
      </w:pPr>
    </w:p>
    <w:p w14:paraId="7708B3D0" w14:textId="77777777" w:rsidR="009D2323" w:rsidRDefault="009D2323" w:rsidP="009D2323">
      <w:pPr>
        <w:ind w:right="483"/>
        <w:rPr>
          <w:b/>
          <w:sz w:val="32"/>
          <w:szCs w:val="32"/>
        </w:rPr>
      </w:pPr>
      <w:r>
        <w:rPr>
          <w:b/>
          <w:sz w:val="32"/>
          <w:szCs w:val="32"/>
        </w:rPr>
        <w:t xml:space="preserve">                                                 Student Name</w:t>
      </w:r>
    </w:p>
    <w:p w14:paraId="23E73311" w14:textId="77777777" w:rsidR="009D2323" w:rsidRDefault="009D2323" w:rsidP="009D2323">
      <w:pPr>
        <w:jc w:val="center"/>
        <w:rPr>
          <w:b/>
          <w:sz w:val="32"/>
          <w:szCs w:val="32"/>
        </w:rPr>
      </w:pPr>
      <w:r>
        <w:rPr>
          <w:b/>
          <w:sz w:val="32"/>
          <w:szCs w:val="32"/>
        </w:rPr>
        <w:t xml:space="preserve">Natalia Mirosnicova </w:t>
      </w:r>
    </w:p>
    <w:p w14:paraId="779EDA6E" w14:textId="77777777" w:rsidR="009D2323" w:rsidRDefault="009D2323" w:rsidP="009D2323">
      <w:pPr>
        <w:jc w:val="center"/>
        <w:rPr>
          <w:b/>
          <w:sz w:val="32"/>
          <w:szCs w:val="32"/>
        </w:rPr>
      </w:pPr>
      <w:r>
        <w:rPr>
          <w:b/>
          <w:sz w:val="32"/>
          <w:szCs w:val="32"/>
        </w:rPr>
        <w:t>Student ID Number:2129102</w:t>
      </w:r>
    </w:p>
    <w:p w14:paraId="242EA433" w14:textId="77777777" w:rsidR="009D2323" w:rsidRDefault="009D2323" w:rsidP="009D2323">
      <w:pPr>
        <w:jc w:val="center"/>
        <w:rPr>
          <w:b/>
          <w:bCs/>
          <w:sz w:val="32"/>
          <w:szCs w:val="32"/>
        </w:rPr>
      </w:pPr>
      <w:r>
        <w:rPr>
          <w:b/>
          <w:bCs/>
          <w:sz w:val="32"/>
          <w:szCs w:val="32"/>
        </w:rPr>
        <w:t>Financial Management for the Hotel Industry</w:t>
      </w:r>
    </w:p>
    <w:p w14:paraId="2C5E0448" w14:textId="77777777" w:rsidR="009D2323" w:rsidRDefault="009D2323" w:rsidP="009D2323">
      <w:pPr>
        <w:jc w:val="center"/>
        <w:rPr>
          <w:b/>
          <w:bCs/>
          <w:sz w:val="32"/>
          <w:szCs w:val="32"/>
        </w:rPr>
      </w:pPr>
      <w:r>
        <w:rPr>
          <w:b/>
          <w:bCs/>
          <w:sz w:val="32"/>
          <w:szCs w:val="32"/>
        </w:rPr>
        <w:t>BMIH5007</w:t>
      </w:r>
    </w:p>
    <w:p w14:paraId="2DD70A23" w14:textId="77777777" w:rsidR="009D2323" w:rsidRDefault="009D2323" w:rsidP="009D2323">
      <w:pPr>
        <w:jc w:val="center"/>
        <w:rPr>
          <w:b/>
          <w:sz w:val="32"/>
          <w:szCs w:val="32"/>
        </w:rPr>
      </w:pPr>
      <w:r>
        <w:rPr>
          <w:b/>
          <w:sz w:val="32"/>
          <w:szCs w:val="32"/>
        </w:rPr>
        <w:t>Lecturer’s Name</w:t>
      </w:r>
    </w:p>
    <w:p w14:paraId="2DAC9B3C" w14:textId="77777777" w:rsidR="009D2323" w:rsidRDefault="009D2323" w:rsidP="009D2323">
      <w:pPr>
        <w:jc w:val="center"/>
        <w:rPr>
          <w:b/>
          <w:bCs/>
          <w:color w:val="000000" w:themeColor="text1"/>
          <w:sz w:val="32"/>
          <w:szCs w:val="32"/>
        </w:rPr>
      </w:pPr>
      <w:r>
        <w:rPr>
          <w:b/>
          <w:bCs/>
          <w:color w:val="000000" w:themeColor="text1"/>
          <w:sz w:val="32"/>
          <w:szCs w:val="32"/>
        </w:rPr>
        <w:t>Tristan Hawkins</w:t>
      </w:r>
    </w:p>
    <w:p w14:paraId="51CC2151" w14:textId="77777777" w:rsidR="009D2323" w:rsidRDefault="009D2323" w:rsidP="009D2323">
      <w:pPr>
        <w:jc w:val="center"/>
        <w:rPr>
          <w:b/>
          <w:bCs/>
          <w:sz w:val="32"/>
          <w:szCs w:val="32"/>
        </w:rPr>
      </w:pPr>
    </w:p>
    <w:p w14:paraId="1F26F612" w14:textId="77777777" w:rsidR="009D2323" w:rsidRDefault="009D2323" w:rsidP="009D2323"/>
    <w:p w14:paraId="34BADB9E" w14:textId="77777777" w:rsidR="009D2323" w:rsidRDefault="009D2323" w:rsidP="009D2323"/>
    <w:p w14:paraId="7F881662" w14:textId="77777777" w:rsidR="009D2323" w:rsidRDefault="009D2323" w:rsidP="009D2323"/>
    <w:p w14:paraId="22CFB393" w14:textId="77777777" w:rsidR="009D2323" w:rsidRDefault="009D2323" w:rsidP="009D2323"/>
    <w:p w14:paraId="1528DF8D" w14:textId="77777777" w:rsidR="009D2323" w:rsidRDefault="009D2323" w:rsidP="009D2323">
      <w:r>
        <w:rPr>
          <w:kern w:val="0"/>
          <w14:ligatures w14:val="none"/>
        </w:rPr>
        <w:br w:type="page"/>
      </w:r>
    </w:p>
    <w:sdt>
      <w:sdtPr>
        <w:rPr>
          <w:rFonts w:asciiTheme="minorHAnsi" w:eastAsiaTheme="minorHAnsi" w:hAnsiTheme="minorHAnsi" w:cstheme="minorBidi"/>
          <w:color w:val="auto"/>
          <w:sz w:val="22"/>
          <w:szCs w:val="22"/>
        </w:rPr>
        <w:id w:val="1724095867"/>
        <w:docPartObj>
          <w:docPartGallery w:val="Table of Contents"/>
          <w:docPartUnique/>
        </w:docPartObj>
      </w:sdtPr>
      <w:sdtEndPr>
        <w:rPr>
          <w:kern w:val="0"/>
          <w14:ligatures w14:val="none"/>
        </w:rPr>
      </w:sdtEndPr>
      <w:sdtContent>
        <w:p w14:paraId="5C14F332" w14:textId="77777777" w:rsidR="009D2323" w:rsidRDefault="009D2323" w:rsidP="009D2323">
          <w:pPr>
            <w:pStyle w:val="TOCHeading"/>
            <w:rPr>
              <w:color w:val="auto"/>
            </w:rPr>
          </w:pPr>
          <w:r>
            <w:rPr>
              <w:color w:val="auto"/>
            </w:rPr>
            <w:t>Contents</w:t>
          </w:r>
        </w:p>
        <w:p w14:paraId="2AC2B03D" w14:textId="77777777" w:rsidR="009D2323" w:rsidRDefault="009D2323" w:rsidP="009D2323">
          <w:pPr>
            <w:pStyle w:val="TOC1"/>
            <w:tabs>
              <w:tab w:val="right" w:leader="dot" w:pos="9350"/>
            </w:tabs>
            <w:rPr>
              <w:rFonts w:eastAsiaTheme="minorEastAsia"/>
              <w:noProof/>
              <w:kern w:val="0"/>
              <w14:ligatures w14:val="none"/>
            </w:rPr>
          </w:pPr>
          <w:r>
            <w:fldChar w:fldCharType="begin"/>
          </w:r>
          <w:r>
            <w:instrText xml:space="preserve"> TOC \o "1-3" \h \z \u </w:instrText>
          </w:r>
          <w:r>
            <w:fldChar w:fldCharType="separate"/>
          </w:r>
          <w:hyperlink r:id="rId7" w:anchor="_Toc149647627" w:history="1">
            <w:r>
              <w:rPr>
                <w:rStyle w:val="Hyperlink"/>
                <w:rFonts w:cs="Times New Roman"/>
                <w:noProof/>
              </w:rPr>
              <w:t>Purpose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_Toc149647627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09EFDD4B" w14:textId="77777777" w:rsidR="009D2323" w:rsidRDefault="00000000" w:rsidP="009D2323">
          <w:pPr>
            <w:pStyle w:val="TOC1"/>
            <w:tabs>
              <w:tab w:val="right" w:leader="dot" w:pos="9350"/>
            </w:tabs>
            <w:rPr>
              <w:rFonts w:eastAsiaTheme="minorEastAsia"/>
              <w:noProof/>
              <w:kern w:val="0"/>
              <w14:ligatures w14:val="none"/>
            </w:rPr>
          </w:pPr>
          <w:hyperlink r:id="rId8" w:anchor="_Toc149647628" w:history="1">
            <w:r w:rsidR="009D2323">
              <w:rPr>
                <w:rStyle w:val="Hyperlink"/>
                <w:rFonts w:cs="Times New Roman"/>
                <w:noProof/>
              </w:rPr>
              <w:t>Introduction</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_Toc149647628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4</w:t>
            </w:r>
            <w:r w:rsidR="009D2323">
              <w:rPr>
                <w:rStyle w:val="Hyperlink"/>
                <w:noProof/>
                <w:webHidden/>
                <w:color w:val="auto"/>
              </w:rPr>
              <w:fldChar w:fldCharType="end"/>
            </w:r>
          </w:hyperlink>
        </w:p>
        <w:p w14:paraId="52094483" w14:textId="77777777" w:rsidR="009D2323" w:rsidRDefault="00000000" w:rsidP="009D2323">
          <w:pPr>
            <w:pStyle w:val="TOC1"/>
            <w:tabs>
              <w:tab w:val="right" w:leader="dot" w:pos="9350"/>
            </w:tabs>
            <w:rPr>
              <w:rFonts w:eastAsiaTheme="minorEastAsia"/>
              <w:noProof/>
              <w:kern w:val="0"/>
              <w14:ligatures w14:val="none"/>
            </w:rPr>
          </w:pPr>
          <w:hyperlink r:id="rId9" w:anchor="_Toc149647629" w:history="1">
            <w:r w:rsidR="009D2323">
              <w:rPr>
                <w:rStyle w:val="Hyperlink"/>
                <w:rFonts w:cs="Times New Roman"/>
                <w:noProof/>
              </w:rPr>
              <w:t>Scope and Objectives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_Toc149647629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5</w:t>
            </w:r>
            <w:r w:rsidR="009D2323">
              <w:rPr>
                <w:rStyle w:val="Hyperlink"/>
                <w:noProof/>
                <w:webHidden/>
                <w:color w:val="auto"/>
              </w:rPr>
              <w:fldChar w:fldCharType="end"/>
            </w:r>
          </w:hyperlink>
        </w:p>
        <w:p w14:paraId="48962D41" w14:textId="77777777" w:rsidR="009D2323" w:rsidRDefault="00000000" w:rsidP="009D2323">
          <w:pPr>
            <w:pStyle w:val="TOC1"/>
            <w:tabs>
              <w:tab w:val="right" w:leader="dot" w:pos="9350"/>
            </w:tabs>
            <w:rPr>
              <w:rFonts w:eastAsiaTheme="minorEastAsia"/>
              <w:noProof/>
              <w:kern w:val="0"/>
              <w14:ligatures w14:val="none"/>
            </w:rPr>
          </w:pPr>
          <w:hyperlink r:id="rId10" w:anchor="_Toc149647630" w:history="1">
            <w:r w:rsidR="009D2323">
              <w:rPr>
                <w:rStyle w:val="Hyperlink"/>
                <w:rFonts w:cs="Times New Roman"/>
                <w:noProof/>
              </w:rPr>
              <w:t>Financial Analysis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_Toc149647630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6</w:t>
            </w:r>
            <w:r w:rsidR="009D2323">
              <w:rPr>
                <w:rStyle w:val="Hyperlink"/>
                <w:noProof/>
                <w:webHidden/>
                <w:color w:val="auto"/>
              </w:rPr>
              <w:fldChar w:fldCharType="end"/>
            </w:r>
          </w:hyperlink>
        </w:p>
        <w:p w14:paraId="44530462" w14:textId="77777777" w:rsidR="009D2323" w:rsidRDefault="00000000" w:rsidP="009D2323">
          <w:pPr>
            <w:pStyle w:val="TOC1"/>
            <w:tabs>
              <w:tab w:val="right" w:leader="dot" w:pos="9350"/>
            </w:tabs>
            <w:rPr>
              <w:rFonts w:eastAsiaTheme="minorEastAsia"/>
              <w:noProof/>
              <w:kern w:val="0"/>
              <w14:ligatures w14:val="none"/>
            </w:rPr>
          </w:pPr>
          <w:hyperlink r:id="rId11" w:anchor="_Toc149647631" w:history="1">
            <w:r w:rsidR="009D2323">
              <w:rPr>
                <w:rStyle w:val="Hyperlink"/>
                <w:noProof/>
              </w:rPr>
              <w:t>SWOT Analysis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_Toc149647631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9</w:t>
            </w:r>
            <w:r w:rsidR="009D2323">
              <w:rPr>
                <w:rStyle w:val="Hyperlink"/>
                <w:noProof/>
                <w:webHidden/>
                <w:color w:val="auto"/>
              </w:rPr>
              <w:fldChar w:fldCharType="end"/>
            </w:r>
          </w:hyperlink>
        </w:p>
        <w:p w14:paraId="3FDC016A" w14:textId="77777777" w:rsidR="009D2323" w:rsidRDefault="00000000" w:rsidP="009D2323">
          <w:pPr>
            <w:pStyle w:val="TOC1"/>
            <w:tabs>
              <w:tab w:val="right" w:leader="dot" w:pos="9350"/>
            </w:tabs>
            <w:rPr>
              <w:rFonts w:eastAsiaTheme="minorEastAsia"/>
              <w:noProof/>
              <w:kern w:val="0"/>
              <w14:ligatures w14:val="none"/>
            </w:rPr>
          </w:pPr>
          <w:hyperlink r:id="rId12" w:anchor="_Toc149647632" w:history="1">
            <w:r w:rsidR="009D2323">
              <w:rPr>
                <w:rStyle w:val="Hyperlink"/>
                <w:noProof/>
              </w:rPr>
              <w:t>Market Analysis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_Toc149647632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10</w:t>
            </w:r>
            <w:r w:rsidR="009D2323">
              <w:rPr>
                <w:rStyle w:val="Hyperlink"/>
                <w:noProof/>
                <w:webHidden/>
                <w:color w:val="auto"/>
              </w:rPr>
              <w:fldChar w:fldCharType="end"/>
            </w:r>
          </w:hyperlink>
        </w:p>
        <w:p w14:paraId="762F02DE" w14:textId="77777777" w:rsidR="009D2323" w:rsidRDefault="00000000" w:rsidP="009D2323">
          <w:pPr>
            <w:pStyle w:val="TOC1"/>
            <w:tabs>
              <w:tab w:val="right" w:leader="dot" w:pos="9350"/>
            </w:tabs>
            <w:rPr>
              <w:rFonts w:eastAsiaTheme="minorEastAsia"/>
              <w:noProof/>
              <w:kern w:val="0"/>
              <w14:ligatures w14:val="none"/>
            </w:rPr>
          </w:pPr>
          <w:hyperlink r:id="rId13" w:anchor="_Toc149647633" w:history="1">
            <w:r w:rsidR="009D2323">
              <w:rPr>
                <w:rStyle w:val="Hyperlink"/>
                <w:noProof/>
              </w:rPr>
              <w:t>Turnaround Strategy (2023-2026)</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_Toc149647633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11</w:t>
            </w:r>
            <w:r w:rsidR="009D2323">
              <w:rPr>
                <w:rStyle w:val="Hyperlink"/>
                <w:noProof/>
                <w:webHidden/>
                <w:color w:val="auto"/>
              </w:rPr>
              <w:fldChar w:fldCharType="end"/>
            </w:r>
          </w:hyperlink>
        </w:p>
        <w:p w14:paraId="048DE3CE" w14:textId="77777777" w:rsidR="009D2323" w:rsidRDefault="00000000" w:rsidP="009D2323">
          <w:pPr>
            <w:pStyle w:val="TOC1"/>
            <w:tabs>
              <w:tab w:val="right" w:leader="dot" w:pos="9350"/>
            </w:tabs>
            <w:rPr>
              <w:rFonts w:eastAsiaTheme="minorEastAsia"/>
              <w:noProof/>
              <w:kern w:val="0"/>
              <w14:ligatures w14:val="none"/>
            </w:rPr>
          </w:pPr>
          <w:hyperlink r:id="rId14" w:anchor="_Toc149647634" w:history="1">
            <w:r w:rsidR="009D2323">
              <w:rPr>
                <w:rStyle w:val="Hyperlink"/>
                <w:noProof/>
              </w:rPr>
              <w:t>Financial Projections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_Toc149647634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12</w:t>
            </w:r>
            <w:r w:rsidR="009D2323">
              <w:rPr>
                <w:rStyle w:val="Hyperlink"/>
                <w:noProof/>
                <w:webHidden/>
                <w:color w:val="auto"/>
              </w:rPr>
              <w:fldChar w:fldCharType="end"/>
            </w:r>
          </w:hyperlink>
        </w:p>
        <w:p w14:paraId="526911B4" w14:textId="77777777" w:rsidR="009D2323" w:rsidRDefault="00000000" w:rsidP="009D2323">
          <w:pPr>
            <w:pStyle w:val="TOC1"/>
            <w:tabs>
              <w:tab w:val="right" w:leader="dot" w:pos="9350"/>
            </w:tabs>
            <w:rPr>
              <w:rFonts w:eastAsiaTheme="minorEastAsia"/>
              <w:noProof/>
              <w:kern w:val="0"/>
              <w14:ligatures w14:val="none"/>
            </w:rPr>
          </w:pPr>
          <w:hyperlink r:id="rId15" w:anchor="_Toc149647635" w:history="1">
            <w:r w:rsidR="009D2323">
              <w:rPr>
                <w:rStyle w:val="Hyperlink"/>
                <w:noProof/>
              </w:rPr>
              <w:t>Risk Assessment</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_Toc149647635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14</w:t>
            </w:r>
            <w:r w:rsidR="009D2323">
              <w:rPr>
                <w:rStyle w:val="Hyperlink"/>
                <w:noProof/>
                <w:webHidden/>
                <w:color w:val="auto"/>
              </w:rPr>
              <w:fldChar w:fldCharType="end"/>
            </w:r>
          </w:hyperlink>
        </w:p>
        <w:p w14:paraId="23D90540" w14:textId="77777777" w:rsidR="009D2323" w:rsidRDefault="00000000" w:rsidP="009D2323">
          <w:pPr>
            <w:pStyle w:val="TOC1"/>
            <w:tabs>
              <w:tab w:val="right" w:leader="dot" w:pos="9350"/>
            </w:tabs>
            <w:rPr>
              <w:rFonts w:eastAsiaTheme="minorEastAsia"/>
              <w:noProof/>
              <w:kern w:val="0"/>
              <w14:ligatures w14:val="none"/>
            </w:rPr>
          </w:pPr>
          <w:hyperlink r:id="rId16" w:anchor="_Toc149647636" w:history="1">
            <w:r w:rsidR="009D2323">
              <w:rPr>
                <w:rStyle w:val="Hyperlink"/>
                <w:noProof/>
              </w:rPr>
              <w:t>Conclusion</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_Toc149647636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15</w:t>
            </w:r>
            <w:r w:rsidR="009D2323">
              <w:rPr>
                <w:rStyle w:val="Hyperlink"/>
                <w:noProof/>
                <w:webHidden/>
                <w:color w:val="auto"/>
              </w:rPr>
              <w:fldChar w:fldCharType="end"/>
            </w:r>
          </w:hyperlink>
        </w:p>
        <w:p w14:paraId="57AB4071" w14:textId="77777777" w:rsidR="009D2323" w:rsidRDefault="00000000" w:rsidP="009D2323">
          <w:pPr>
            <w:pStyle w:val="TOC1"/>
            <w:tabs>
              <w:tab w:val="right" w:leader="dot" w:pos="9350"/>
            </w:tabs>
            <w:rPr>
              <w:rFonts w:eastAsiaTheme="minorEastAsia"/>
              <w:noProof/>
              <w:kern w:val="0"/>
              <w14:ligatures w14:val="none"/>
            </w:rPr>
          </w:pPr>
          <w:hyperlink r:id="rId17" w:anchor="_Toc149647637" w:history="1">
            <w:r w:rsidR="009D2323">
              <w:rPr>
                <w:rStyle w:val="Hyperlink"/>
                <w:noProof/>
              </w:rPr>
              <w:t>Recommendation</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_Toc149647637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16</w:t>
            </w:r>
            <w:r w:rsidR="009D2323">
              <w:rPr>
                <w:rStyle w:val="Hyperlink"/>
                <w:noProof/>
                <w:webHidden/>
                <w:color w:val="auto"/>
              </w:rPr>
              <w:fldChar w:fldCharType="end"/>
            </w:r>
          </w:hyperlink>
        </w:p>
        <w:p w14:paraId="5FD400DF" w14:textId="77777777" w:rsidR="009D2323" w:rsidRDefault="00000000" w:rsidP="009D2323">
          <w:pPr>
            <w:pStyle w:val="TOC1"/>
            <w:tabs>
              <w:tab w:val="right" w:leader="dot" w:pos="9350"/>
            </w:tabs>
            <w:rPr>
              <w:rFonts w:eastAsiaTheme="minorEastAsia"/>
              <w:noProof/>
              <w:kern w:val="0"/>
              <w14:ligatures w14:val="none"/>
            </w:rPr>
          </w:pPr>
          <w:hyperlink r:id="rId18" w:anchor="_Toc149647638" w:history="1">
            <w:r w:rsidR="009D2323">
              <w:rPr>
                <w:rStyle w:val="Hyperlink"/>
                <w:noProof/>
              </w:rPr>
              <w:t>Appendix</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_Toc149647638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17</w:t>
            </w:r>
            <w:r w:rsidR="009D2323">
              <w:rPr>
                <w:rStyle w:val="Hyperlink"/>
                <w:noProof/>
                <w:webHidden/>
                <w:color w:val="auto"/>
              </w:rPr>
              <w:fldChar w:fldCharType="end"/>
            </w:r>
          </w:hyperlink>
        </w:p>
        <w:p w14:paraId="63325256" w14:textId="77777777" w:rsidR="009D2323" w:rsidRDefault="00000000" w:rsidP="009D2323">
          <w:pPr>
            <w:pStyle w:val="TOC2"/>
            <w:tabs>
              <w:tab w:val="right" w:leader="dot" w:pos="9350"/>
            </w:tabs>
            <w:rPr>
              <w:rFonts w:eastAsiaTheme="minorEastAsia"/>
              <w:noProof/>
              <w:kern w:val="0"/>
              <w14:ligatures w14:val="none"/>
            </w:rPr>
          </w:pPr>
          <w:hyperlink r:id="rId19" w:anchor="_Toc149647639" w:history="1">
            <w:r w:rsidR="009D2323">
              <w:rPr>
                <w:rStyle w:val="Hyperlink"/>
                <w:noProof/>
              </w:rPr>
              <w:t>Appendix 1</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_Toc149647639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17</w:t>
            </w:r>
            <w:r w:rsidR="009D2323">
              <w:rPr>
                <w:rStyle w:val="Hyperlink"/>
                <w:noProof/>
                <w:webHidden/>
                <w:color w:val="auto"/>
              </w:rPr>
              <w:fldChar w:fldCharType="end"/>
            </w:r>
          </w:hyperlink>
        </w:p>
        <w:p w14:paraId="1C8D9997" w14:textId="77777777" w:rsidR="009D2323" w:rsidRDefault="00000000" w:rsidP="009D2323">
          <w:pPr>
            <w:pStyle w:val="TOC2"/>
            <w:tabs>
              <w:tab w:val="right" w:leader="dot" w:pos="9350"/>
            </w:tabs>
            <w:rPr>
              <w:rFonts w:eastAsiaTheme="minorEastAsia"/>
              <w:noProof/>
              <w:kern w:val="0"/>
              <w14:ligatures w14:val="none"/>
            </w:rPr>
          </w:pPr>
          <w:hyperlink r:id="rId20" w:anchor="_Toc149647640" w:history="1">
            <w:r w:rsidR="009D2323">
              <w:rPr>
                <w:rStyle w:val="Hyperlink"/>
                <w:noProof/>
              </w:rPr>
              <w:t>Appendix 2</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_Toc149647640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17</w:t>
            </w:r>
            <w:r w:rsidR="009D2323">
              <w:rPr>
                <w:rStyle w:val="Hyperlink"/>
                <w:noProof/>
                <w:webHidden/>
                <w:color w:val="auto"/>
              </w:rPr>
              <w:fldChar w:fldCharType="end"/>
            </w:r>
          </w:hyperlink>
        </w:p>
        <w:p w14:paraId="7F4A025B" w14:textId="77777777" w:rsidR="009D2323" w:rsidRDefault="00000000" w:rsidP="009D2323">
          <w:pPr>
            <w:pStyle w:val="TOC2"/>
            <w:tabs>
              <w:tab w:val="right" w:leader="dot" w:pos="9350"/>
            </w:tabs>
            <w:rPr>
              <w:rFonts w:eastAsiaTheme="minorEastAsia"/>
              <w:noProof/>
              <w:kern w:val="0"/>
              <w14:ligatures w14:val="none"/>
            </w:rPr>
          </w:pPr>
          <w:hyperlink r:id="rId21" w:anchor="_Toc149647641" w:history="1">
            <w:r w:rsidR="009D2323">
              <w:rPr>
                <w:rStyle w:val="Hyperlink"/>
                <w:noProof/>
              </w:rPr>
              <w:t>Appendix 3</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_Toc149647641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18</w:t>
            </w:r>
            <w:r w:rsidR="009D2323">
              <w:rPr>
                <w:rStyle w:val="Hyperlink"/>
                <w:noProof/>
                <w:webHidden/>
                <w:color w:val="auto"/>
              </w:rPr>
              <w:fldChar w:fldCharType="end"/>
            </w:r>
          </w:hyperlink>
        </w:p>
        <w:p w14:paraId="5549485B" w14:textId="77777777" w:rsidR="009D2323" w:rsidRDefault="00000000" w:rsidP="009D2323">
          <w:pPr>
            <w:pStyle w:val="TOC2"/>
            <w:tabs>
              <w:tab w:val="right" w:leader="dot" w:pos="9350"/>
            </w:tabs>
            <w:rPr>
              <w:rFonts w:eastAsiaTheme="minorEastAsia"/>
              <w:noProof/>
              <w:kern w:val="0"/>
              <w14:ligatures w14:val="none"/>
            </w:rPr>
          </w:pPr>
          <w:hyperlink r:id="rId22" w:anchor="_Toc149647642" w:history="1">
            <w:r w:rsidR="009D2323">
              <w:rPr>
                <w:rStyle w:val="Hyperlink"/>
                <w:noProof/>
              </w:rPr>
              <w:t>Appendix 4</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_Toc149647642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18</w:t>
            </w:r>
            <w:r w:rsidR="009D2323">
              <w:rPr>
                <w:rStyle w:val="Hyperlink"/>
                <w:noProof/>
                <w:webHidden/>
                <w:color w:val="auto"/>
              </w:rPr>
              <w:fldChar w:fldCharType="end"/>
            </w:r>
          </w:hyperlink>
        </w:p>
        <w:p w14:paraId="7769A917" w14:textId="77777777" w:rsidR="009D2323" w:rsidRDefault="00000000" w:rsidP="009D2323">
          <w:pPr>
            <w:pStyle w:val="TOC2"/>
            <w:tabs>
              <w:tab w:val="right" w:leader="dot" w:pos="9350"/>
            </w:tabs>
            <w:rPr>
              <w:rFonts w:eastAsiaTheme="minorEastAsia"/>
              <w:noProof/>
              <w:kern w:val="0"/>
              <w14:ligatures w14:val="none"/>
            </w:rPr>
          </w:pPr>
          <w:hyperlink r:id="rId23" w:anchor="_Toc149647643" w:history="1">
            <w:r w:rsidR="009D2323">
              <w:rPr>
                <w:rStyle w:val="Hyperlink"/>
                <w:noProof/>
              </w:rPr>
              <w:t>Appendix 5</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_Toc149647643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19</w:t>
            </w:r>
            <w:r w:rsidR="009D2323">
              <w:rPr>
                <w:rStyle w:val="Hyperlink"/>
                <w:noProof/>
                <w:webHidden/>
                <w:color w:val="auto"/>
              </w:rPr>
              <w:fldChar w:fldCharType="end"/>
            </w:r>
          </w:hyperlink>
        </w:p>
        <w:p w14:paraId="2B88D5FC" w14:textId="77777777" w:rsidR="009D2323" w:rsidRDefault="00000000" w:rsidP="009D2323">
          <w:pPr>
            <w:pStyle w:val="TOC2"/>
            <w:tabs>
              <w:tab w:val="right" w:leader="dot" w:pos="9350"/>
            </w:tabs>
            <w:rPr>
              <w:rFonts w:eastAsiaTheme="minorEastAsia"/>
              <w:noProof/>
              <w:kern w:val="0"/>
              <w14:ligatures w14:val="none"/>
            </w:rPr>
          </w:pPr>
          <w:hyperlink r:id="rId24" w:anchor="_Toc149647644" w:history="1">
            <w:r w:rsidR="009D2323">
              <w:rPr>
                <w:rStyle w:val="Hyperlink"/>
                <w:noProof/>
              </w:rPr>
              <w:t>Appendix 6</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_Toc149647644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19</w:t>
            </w:r>
            <w:r w:rsidR="009D2323">
              <w:rPr>
                <w:rStyle w:val="Hyperlink"/>
                <w:noProof/>
                <w:webHidden/>
                <w:color w:val="auto"/>
              </w:rPr>
              <w:fldChar w:fldCharType="end"/>
            </w:r>
          </w:hyperlink>
        </w:p>
        <w:p w14:paraId="3B85FD7D" w14:textId="77777777" w:rsidR="009D2323" w:rsidRDefault="00000000" w:rsidP="009D2323">
          <w:pPr>
            <w:pStyle w:val="TOC2"/>
            <w:tabs>
              <w:tab w:val="right" w:leader="dot" w:pos="9350"/>
            </w:tabs>
            <w:rPr>
              <w:rFonts w:eastAsiaTheme="minorEastAsia"/>
              <w:noProof/>
              <w:kern w:val="0"/>
              <w14:ligatures w14:val="none"/>
            </w:rPr>
          </w:pPr>
          <w:hyperlink r:id="rId25" w:anchor="_Toc149647645" w:history="1">
            <w:r w:rsidR="009D2323">
              <w:rPr>
                <w:rStyle w:val="Hyperlink"/>
                <w:noProof/>
              </w:rPr>
              <w:t>Appendix 7</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_Toc149647645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20</w:t>
            </w:r>
            <w:r w:rsidR="009D2323">
              <w:rPr>
                <w:rStyle w:val="Hyperlink"/>
                <w:noProof/>
                <w:webHidden/>
                <w:color w:val="auto"/>
              </w:rPr>
              <w:fldChar w:fldCharType="end"/>
            </w:r>
          </w:hyperlink>
        </w:p>
        <w:p w14:paraId="1E5A6F31" w14:textId="77777777" w:rsidR="009D2323" w:rsidRDefault="00000000" w:rsidP="009D2323">
          <w:pPr>
            <w:pStyle w:val="TOC2"/>
            <w:tabs>
              <w:tab w:val="right" w:leader="dot" w:pos="9350"/>
            </w:tabs>
            <w:rPr>
              <w:rFonts w:eastAsiaTheme="minorEastAsia"/>
              <w:noProof/>
              <w:kern w:val="0"/>
              <w14:ligatures w14:val="none"/>
            </w:rPr>
          </w:pPr>
          <w:hyperlink r:id="rId26" w:anchor="_Toc149647646" w:history="1">
            <w:r w:rsidR="009D2323">
              <w:rPr>
                <w:rStyle w:val="Hyperlink"/>
                <w:noProof/>
              </w:rPr>
              <w:t>Appendix 8</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_Toc149647646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20</w:t>
            </w:r>
            <w:r w:rsidR="009D2323">
              <w:rPr>
                <w:rStyle w:val="Hyperlink"/>
                <w:noProof/>
                <w:webHidden/>
                <w:color w:val="auto"/>
              </w:rPr>
              <w:fldChar w:fldCharType="end"/>
            </w:r>
          </w:hyperlink>
        </w:p>
        <w:p w14:paraId="0E6868EB" w14:textId="77777777" w:rsidR="009D2323" w:rsidRDefault="00000000" w:rsidP="009D2323">
          <w:pPr>
            <w:pStyle w:val="TOC1"/>
            <w:tabs>
              <w:tab w:val="right" w:leader="dot" w:pos="9350"/>
            </w:tabs>
            <w:rPr>
              <w:rFonts w:eastAsiaTheme="minorEastAsia"/>
              <w:noProof/>
              <w:kern w:val="0"/>
              <w14:ligatures w14:val="none"/>
            </w:rPr>
          </w:pPr>
          <w:hyperlink r:id="rId27" w:anchor="_Toc149647647" w:history="1">
            <w:r w:rsidR="009D2323">
              <w:rPr>
                <w:rStyle w:val="Hyperlink"/>
                <w:noProof/>
              </w:rPr>
              <w:t>References</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_Toc149647647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21</w:t>
            </w:r>
            <w:r w:rsidR="009D2323">
              <w:rPr>
                <w:rStyle w:val="Hyperlink"/>
                <w:noProof/>
                <w:webHidden/>
                <w:color w:val="auto"/>
              </w:rPr>
              <w:fldChar w:fldCharType="end"/>
            </w:r>
          </w:hyperlink>
        </w:p>
        <w:p w14:paraId="568DC919" w14:textId="77777777" w:rsidR="009D2323" w:rsidRDefault="00000000" w:rsidP="009D2323">
          <w:pPr>
            <w:pStyle w:val="TOC1"/>
            <w:tabs>
              <w:tab w:val="right" w:leader="dot" w:pos="9350"/>
            </w:tabs>
            <w:rPr>
              <w:rStyle w:val="Hyperlink"/>
              <w:noProof/>
              <w:color w:val="auto"/>
            </w:rPr>
          </w:pPr>
          <w:hyperlink r:id="rId28" w:anchor="_Toc149647648" w:history="1">
            <w:r w:rsidR="009D2323">
              <w:rPr>
                <w:rStyle w:val="Hyperlink"/>
                <w:noProof/>
              </w:rPr>
              <w:t>Executive Summary</w:t>
            </w:r>
            <w:r w:rsidR="009D2323">
              <w:rPr>
                <w:rStyle w:val="Hyperlink"/>
                <w:noProof/>
                <w:webHidden/>
                <w:color w:val="auto"/>
              </w:rPr>
              <w:tab/>
            </w:r>
            <w:r w:rsidR="009D2323">
              <w:rPr>
                <w:rStyle w:val="Hyperlink"/>
                <w:noProof/>
                <w:webHidden/>
                <w:color w:val="auto"/>
              </w:rPr>
              <w:fldChar w:fldCharType="begin"/>
            </w:r>
            <w:r w:rsidR="009D2323">
              <w:rPr>
                <w:rStyle w:val="Hyperlink"/>
                <w:noProof/>
                <w:webHidden/>
                <w:color w:val="auto"/>
              </w:rPr>
              <w:instrText xml:space="preserve"> PAGEREF _Toc149647648 \h </w:instrText>
            </w:r>
            <w:r w:rsidR="009D2323">
              <w:rPr>
                <w:rStyle w:val="Hyperlink"/>
                <w:noProof/>
                <w:webHidden/>
                <w:color w:val="auto"/>
              </w:rPr>
            </w:r>
            <w:r w:rsidR="009D2323">
              <w:rPr>
                <w:rStyle w:val="Hyperlink"/>
                <w:noProof/>
                <w:webHidden/>
                <w:color w:val="auto"/>
              </w:rPr>
              <w:fldChar w:fldCharType="separate"/>
            </w:r>
            <w:r w:rsidR="009D2323">
              <w:rPr>
                <w:rStyle w:val="Hyperlink"/>
                <w:noProof/>
                <w:webHidden/>
                <w:color w:val="auto"/>
              </w:rPr>
              <w:t>24</w:t>
            </w:r>
            <w:r w:rsidR="009D2323">
              <w:rPr>
                <w:rStyle w:val="Hyperlink"/>
                <w:noProof/>
                <w:webHidden/>
                <w:color w:val="auto"/>
              </w:rPr>
              <w:fldChar w:fldCharType="end"/>
            </w:r>
          </w:hyperlink>
        </w:p>
        <w:p w14:paraId="1FDD1E26" w14:textId="247B0A67" w:rsidR="00460E87" w:rsidRPr="00460E87" w:rsidRDefault="00460E87" w:rsidP="00460E87">
          <w:r>
            <w:t>Appendix 9……………………………………………………………………………………………………………………………………….25</w:t>
          </w:r>
        </w:p>
        <w:p w14:paraId="1868BA19" w14:textId="77777777" w:rsidR="009D2323" w:rsidRDefault="009D2323" w:rsidP="009D2323">
          <w:r>
            <w:rPr>
              <w:b/>
              <w:bCs/>
              <w:noProof/>
            </w:rPr>
            <w:fldChar w:fldCharType="end"/>
          </w:r>
        </w:p>
      </w:sdtContent>
    </w:sdt>
    <w:p w14:paraId="04B807C9" w14:textId="77777777" w:rsidR="009D2323" w:rsidRDefault="009D2323" w:rsidP="009D2323">
      <w:pPr>
        <w:rPr>
          <w:rFonts w:cs="Times New Roman"/>
        </w:rPr>
      </w:pPr>
    </w:p>
    <w:p w14:paraId="230F4E10" w14:textId="77777777" w:rsidR="009D2323" w:rsidRDefault="009D2323" w:rsidP="009D2323">
      <w:pPr>
        <w:rPr>
          <w:rFonts w:ascii="Times New Roman" w:eastAsiaTheme="majorEastAsia" w:hAnsi="Times New Roman" w:cs="Times New Roman"/>
          <w:b/>
          <w:color w:val="000000" w:themeColor="text1"/>
          <w:sz w:val="28"/>
          <w:szCs w:val="32"/>
        </w:rPr>
      </w:pPr>
      <w:r>
        <w:rPr>
          <w:rFonts w:cs="Times New Roman"/>
          <w:kern w:val="0"/>
          <w14:ligatures w14:val="none"/>
        </w:rPr>
        <w:br w:type="page"/>
      </w:r>
    </w:p>
    <w:p w14:paraId="1D327D74" w14:textId="77777777" w:rsidR="009D2323" w:rsidRPr="009D2323" w:rsidRDefault="009D2323" w:rsidP="009D2323">
      <w:pPr>
        <w:pStyle w:val="Heading1"/>
        <w:rPr>
          <w:rFonts w:ascii="Times New Roman" w:hAnsi="Times New Roman" w:cs="Times New Roman"/>
          <w:b/>
          <w:color w:val="auto"/>
          <w:sz w:val="28"/>
          <w:szCs w:val="32"/>
        </w:rPr>
      </w:pPr>
      <w:bookmarkStart w:id="0" w:name="_Toc149647627"/>
      <w:r w:rsidRPr="009D2323">
        <w:rPr>
          <w:rFonts w:cs="Times New Roman"/>
          <w:color w:val="auto"/>
        </w:rPr>
        <w:lastRenderedPageBreak/>
        <w:t>Purpose</w:t>
      </w:r>
      <w:bookmarkEnd w:id="0"/>
    </w:p>
    <w:p w14:paraId="3503831D"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This report will clarify the financial viability as well as the turnaround strategy for a firm named The Seaview Resort. It will explain the financial performance of The Seaview Resort for the past three years, the main reasons for the decrease in profitability, and the comprehensive turnaround strategy that will enhance the financial health of the resort to regain the dignity of the resort as a high-quality vacation resort or high financial results. The financial analysis will be conducted based on the balance sheet, income statement, cash flow statement, and financial ratios. There will be a SWOT analysis, market analysis, and risk assessment.</w:t>
      </w:r>
    </w:p>
    <w:p w14:paraId="62C9BD4F"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70706E5E" w14:textId="77777777" w:rsidR="009D2323" w:rsidRPr="009D2323" w:rsidRDefault="009D2323" w:rsidP="009D2323">
      <w:pPr>
        <w:pStyle w:val="Heading1"/>
        <w:rPr>
          <w:rFonts w:ascii="Times New Roman" w:hAnsi="Times New Roman" w:cs="Times New Roman"/>
          <w:color w:val="auto"/>
          <w:sz w:val="28"/>
          <w:szCs w:val="32"/>
        </w:rPr>
      </w:pPr>
      <w:bookmarkStart w:id="1" w:name="_Toc149647628"/>
      <w:r w:rsidRPr="009D2323">
        <w:rPr>
          <w:rFonts w:cs="Times New Roman"/>
          <w:color w:val="auto"/>
        </w:rPr>
        <w:lastRenderedPageBreak/>
        <w:t>Introduction</w:t>
      </w:r>
      <w:bookmarkEnd w:id="1"/>
    </w:p>
    <w:p w14:paraId="2446F0DB"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This report will analyze The Seaview Resort which resides on a picturesque coastline and used to be an attractive fun place for vacationers offering luxury as well as leisure. In some present years, there has been a decrease in sales, occupancy rates, and customer satisfaction. The owner of the resort is Mr. James Henderson who will be assessing the future viability of the resort as the resort is in a highly competitive location where the new resorts are performing better than The Seaview Resort. The reason for a decrease in profitability is that the customers are attracted to eco-friendly and experiential tourism. The resort was decreasing in service quality and outdated facilities. </w:t>
      </w:r>
      <w:r>
        <w:rPr>
          <w:rFonts w:ascii="Times New Roman" w:hAnsi="Times New Roman" w:cs="Times New Roman"/>
          <w:sz w:val="24"/>
          <w:szCs w:val="24"/>
        </w:rPr>
        <w:br w:type="page"/>
      </w:r>
    </w:p>
    <w:p w14:paraId="5092B9D4" w14:textId="77777777" w:rsidR="009D2323" w:rsidRPr="009D2323" w:rsidRDefault="009D2323" w:rsidP="009D2323">
      <w:pPr>
        <w:pStyle w:val="Heading1"/>
        <w:rPr>
          <w:rFonts w:ascii="Times New Roman" w:hAnsi="Times New Roman" w:cs="Times New Roman"/>
          <w:color w:val="auto"/>
          <w:sz w:val="28"/>
          <w:szCs w:val="32"/>
        </w:rPr>
      </w:pPr>
      <w:bookmarkStart w:id="2" w:name="_Toc149647629"/>
      <w:r w:rsidRPr="009D2323">
        <w:rPr>
          <w:rFonts w:cs="Times New Roman"/>
          <w:color w:val="auto"/>
        </w:rPr>
        <w:lastRenderedPageBreak/>
        <w:t>Scope and Objectives</w:t>
      </w:r>
      <w:bookmarkEnd w:id="2"/>
    </w:p>
    <w:p w14:paraId="27EFE3AB"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This report will carry the objective of –</w:t>
      </w:r>
    </w:p>
    <w:p w14:paraId="38FDCEF2" w14:textId="77777777" w:rsidR="009D2323" w:rsidRDefault="009D2323" w:rsidP="009D23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Analyzing the financial performance of The Seaview Resort for the previous three years.</w:t>
      </w:r>
    </w:p>
    <w:p w14:paraId="7BF8D9C0" w14:textId="77777777" w:rsidR="009D2323" w:rsidRDefault="009D2323" w:rsidP="009D23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What are the main reasons behind the decrease in profitability, and to make a comprehensive turnaround strategy to enhance the financial performance of the resort and regain its dignity as a high-quality vacation fun place?</w:t>
      </w:r>
    </w:p>
    <w:p w14:paraId="14C691AA" w14:textId="77777777" w:rsidR="009D2323" w:rsidRDefault="009D2323" w:rsidP="009D2323">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This report will recommend how to concentrate on the weaknesses and improve by implementing strategies in the financial performance of the resort.</w:t>
      </w:r>
    </w:p>
    <w:p w14:paraId="20CEE46D"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The other objectives of this report will be market analysis, risk assessment, and SWOT analysis.</w:t>
      </w:r>
      <w:r>
        <w:rPr>
          <w:rFonts w:ascii="Times New Roman" w:hAnsi="Times New Roman" w:cs="Times New Roman"/>
          <w:sz w:val="24"/>
          <w:szCs w:val="24"/>
        </w:rPr>
        <w:br w:type="page"/>
      </w:r>
    </w:p>
    <w:p w14:paraId="3C1DEFE2" w14:textId="77777777" w:rsidR="009D2323" w:rsidRPr="009D2323" w:rsidRDefault="009D2323" w:rsidP="009D2323">
      <w:pPr>
        <w:pStyle w:val="Heading1"/>
        <w:rPr>
          <w:rFonts w:ascii="Times New Roman" w:hAnsi="Times New Roman" w:cs="Times New Roman"/>
          <w:color w:val="auto"/>
          <w:sz w:val="28"/>
          <w:szCs w:val="32"/>
        </w:rPr>
      </w:pPr>
      <w:bookmarkStart w:id="3" w:name="_Toc149647630"/>
      <w:r w:rsidRPr="009D2323">
        <w:rPr>
          <w:rFonts w:cs="Times New Roman"/>
          <w:color w:val="auto"/>
        </w:rPr>
        <w:lastRenderedPageBreak/>
        <w:t>Financial Analysis</w:t>
      </w:r>
      <w:bookmarkEnd w:id="3"/>
    </w:p>
    <w:p w14:paraId="6388731D" w14:textId="77777777" w:rsidR="009D2323" w:rsidRDefault="009D2323" w:rsidP="009D2323">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Income Statement Analysis</w:t>
      </w:r>
      <w:r>
        <w:rPr>
          <w:rFonts w:ascii="Times New Roman" w:hAnsi="Times New Roman" w:cs="Times New Roman"/>
          <w:sz w:val="24"/>
          <w:szCs w:val="24"/>
        </w:rPr>
        <w:t xml:space="preserve"> – As per </w:t>
      </w:r>
      <w:proofErr w:type="spellStart"/>
      <w:r>
        <w:rPr>
          <w:rFonts w:ascii="Times New Roman" w:hAnsi="Times New Roman" w:cs="Times New Roman"/>
          <w:color w:val="222222"/>
          <w:sz w:val="24"/>
          <w:szCs w:val="24"/>
          <w:shd w:val="clear" w:color="auto" w:fill="FFFFFF"/>
        </w:rPr>
        <w:t>Fatihudin</w:t>
      </w:r>
      <w:proofErr w:type="spellEnd"/>
      <w:r>
        <w:rPr>
          <w:rFonts w:ascii="Times New Roman" w:hAnsi="Times New Roman" w:cs="Times New Roman"/>
          <w:color w:val="222222"/>
          <w:sz w:val="24"/>
          <w:szCs w:val="24"/>
          <w:shd w:val="clear" w:color="auto" w:fill="FFFFFF"/>
        </w:rPr>
        <w:t>, (2018),</w:t>
      </w:r>
      <w:r>
        <w:rPr>
          <w:rFonts w:ascii="Times New Roman" w:hAnsi="Times New Roman" w:cs="Times New Roman"/>
          <w:sz w:val="24"/>
          <w:szCs w:val="24"/>
        </w:rPr>
        <w:t xml:space="preserve"> it represents the firm's financial performance for a period. The revenue of the resort has been declining for the past three years which was £5,20,000 in 2020, £480,000 in 2021, and £430,000 in 2022. The resort has also increased its operating expenses which were £390,000 in 2020, £400,000 in 2021, and £450,000 in 2022. The firm's net profit margin has decreased from 15% to 8% to 4% over the past three years.</w:t>
      </w:r>
    </w:p>
    <w:p w14:paraId="04B4FA5A" w14:textId="77777777" w:rsidR="009D2323" w:rsidRDefault="009D2323" w:rsidP="009D2323">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Balance Sheet</w:t>
      </w:r>
      <w:r>
        <w:rPr>
          <w:rFonts w:ascii="Times New Roman" w:hAnsi="Times New Roman" w:cs="Times New Roman"/>
          <w:sz w:val="24"/>
          <w:szCs w:val="24"/>
        </w:rPr>
        <w:t xml:space="preserve"> </w:t>
      </w:r>
      <w:r>
        <w:rPr>
          <w:rFonts w:ascii="Times New Roman" w:hAnsi="Times New Roman" w:cs="Times New Roman"/>
          <w:b/>
          <w:bCs/>
          <w:sz w:val="24"/>
          <w:szCs w:val="24"/>
        </w:rPr>
        <w:t>Analysis</w:t>
      </w:r>
      <w:r>
        <w:rPr>
          <w:rFonts w:ascii="Times New Roman" w:hAnsi="Times New Roman" w:cs="Times New Roman"/>
          <w:sz w:val="24"/>
          <w:szCs w:val="24"/>
        </w:rPr>
        <w:t xml:space="preserve"> – According to </w:t>
      </w:r>
      <w:r>
        <w:rPr>
          <w:rFonts w:ascii="Times New Roman" w:hAnsi="Times New Roman" w:cs="Times New Roman"/>
          <w:color w:val="222222"/>
          <w:sz w:val="24"/>
          <w:szCs w:val="24"/>
          <w:shd w:val="clear" w:color="auto" w:fill="FFFFFF"/>
        </w:rPr>
        <w:t>Robinson, (2020, p.357), i</w:t>
      </w:r>
      <w:r>
        <w:rPr>
          <w:rFonts w:ascii="Times New Roman" w:hAnsi="Times New Roman" w:cs="Times New Roman"/>
          <w:sz w:val="24"/>
          <w:szCs w:val="24"/>
        </w:rPr>
        <w:t>t states the financial position of the organization for a point in time. The total assets of the resort in 2022 were recorded at £1,200,000. The total liabilities of the resort were more than the equity which was £750,000 and £450,000 respectively. This analyzes that the resort has funded more from the liabilities than the equity.</w:t>
      </w:r>
    </w:p>
    <w:p w14:paraId="2DF507DE" w14:textId="77777777" w:rsidR="009D2323" w:rsidRDefault="009D2323" w:rsidP="009D2323">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 xml:space="preserve">Net Cash Flow Analysis </w:t>
      </w:r>
      <w:r>
        <w:rPr>
          <w:rFonts w:ascii="Times New Roman" w:hAnsi="Times New Roman" w:cs="Times New Roman"/>
          <w:sz w:val="24"/>
          <w:szCs w:val="24"/>
        </w:rPr>
        <w:t xml:space="preserve">– As per the study of </w:t>
      </w:r>
      <w:r>
        <w:rPr>
          <w:rFonts w:ascii="Times New Roman" w:hAnsi="Times New Roman" w:cs="Times New Roman"/>
          <w:color w:val="222222"/>
          <w:sz w:val="24"/>
          <w:szCs w:val="24"/>
          <w:shd w:val="clear" w:color="auto" w:fill="FFFFFF"/>
        </w:rPr>
        <w:t>Ali et al.,</w:t>
      </w:r>
      <w:r>
        <w:rPr>
          <w:rFonts w:ascii="Times New Roman" w:hAnsi="Times New Roman" w:cs="Times New Roman"/>
          <w:sz w:val="24"/>
          <w:szCs w:val="24"/>
        </w:rPr>
        <w:t xml:space="preserve"> (2018), it displays the cash inflows and cash outflows of the firm. The net cash flow recorded in 2021 was -£80,000 which does not include the capital expenditure of £30,000. The change in the net cash balance of the resort since the previous year was recorded to be at -£110,000 in 2021.</w:t>
      </w:r>
    </w:p>
    <w:p w14:paraId="2C3B99D4" w14:textId="77777777" w:rsidR="009D2323" w:rsidRDefault="009D2323" w:rsidP="009D2323">
      <w:pPr>
        <w:pStyle w:val="ListParagraph"/>
        <w:numPr>
          <w:ilvl w:val="0"/>
          <w:numId w:val="2"/>
        </w:numPr>
        <w:rPr>
          <w:rFonts w:ascii="Times New Roman" w:hAnsi="Times New Roman" w:cs="Times New Roman"/>
          <w:sz w:val="24"/>
          <w:szCs w:val="24"/>
        </w:rPr>
      </w:pPr>
      <w:r>
        <w:rPr>
          <w:rFonts w:ascii="Times New Roman" w:hAnsi="Times New Roman" w:cs="Times New Roman"/>
          <w:b/>
          <w:bCs/>
          <w:sz w:val="24"/>
          <w:szCs w:val="24"/>
        </w:rPr>
        <w:t>Key Financial Ratios</w:t>
      </w:r>
    </w:p>
    <w:tbl>
      <w:tblPr>
        <w:tblW w:w="5000" w:type="pct"/>
        <w:tblLook w:val="04A0" w:firstRow="1" w:lastRow="0" w:firstColumn="1" w:lastColumn="0" w:noHBand="0" w:noVBand="1"/>
      </w:tblPr>
      <w:tblGrid>
        <w:gridCol w:w="7555"/>
        <w:gridCol w:w="1461"/>
      </w:tblGrid>
      <w:tr w:rsidR="009D2323" w14:paraId="2C7AB8AA" w14:textId="77777777" w:rsidTr="009D2323">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05892D1D"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10" w:type="pct"/>
            <w:tcBorders>
              <w:top w:val="single" w:sz="4" w:space="0" w:color="auto"/>
              <w:left w:val="nil"/>
              <w:bottom w:val="single" w:sz="4" w:space="0" w:color="auto"/>
              <w:right w:val="single" w:sz="4" w:space="0" w:color="auto"/>
            </w:tcBorders>
            <w:noWrap/>
            <w:vAlign w:val="bottom"/>
            <w:hideMark/>
          </w:tcPr>
          <w:p w14:paraId="7A9475DE"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9D2323" w14:paraId="13A2AF37"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7B0B24B3"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Ratio = Current Assets/ Current Liabilities</w:t>
            </w:r>
          </w:p>
        </w:tc>
        <w:tc>
          <w:tcPr>
            <w:tcW w:w="810" w:type="pct"/>
            <w:tcBorders>
              <w:top w:val="nil"/>
              <w:left w:val="nil"/>
              <w:bottom w:val="single" w:sz="4" w:space="0" w:color="auto"/>
              <w:right w:val="single" w:sz="4" w:space="0" w:color="auto"/>
            </w:tcBorders>
            <w:noWrap/>
            <w:vAlign w:val="bottom"/>
            <w:hideMark/>
          </w:tcPr>
          <w:p w14:paraId="758BEA2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9D2323" w14:paraId="65D4AC8D"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63288AC0"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810" w:type="pct"/>
            <w:tcBorders>
              <w:top w:val="nil"/>
              <w:left w:val="nil"/>
              <w:bottom w:val="single" w:sz="4" w:space="0" w:color="auto"/>
              <w:right w:val="single" w:sz="4" w:space="0" w:color="auto"/>
            </w:tcBorders>
            <w:noWrap/>
            <w:vAlign w:val="bottom"/>
            <w:hideMark/>
          </w:tcPr>
          <w:p w14:paraId="255FC350"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250,000</w:t>
            </w:r>
          </w:p>
        </w:tc>
      </w:tr>
      <w:tr w:rsidR="009D2323" w14:paraId="69387576"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2AEC8AEB"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Liabilities</w:t>
            </w:r>
          </w:p>
        </w:tc>
        <w:tc>
          <w:tcPr>
            <w:tcW w:w="810" w:type="pct"/>
            <w:tcBorders>
              <w:top w:val="nil"/>
              <w:left w:val="nil"/>
              <w:bottom w:val="single" w:sz="4" w:space="0" w:color="auto"/>
              <w:right w:val="single" w:sz="4" w:space="0" w:color="auto"/>
            </w:tcBorders>
            <w:noWrap/>
            <w:vAlign w:val="bottom"/>
            <w:hideMark/>
          </w:tcPr>
          <w:p w14:paraId="4F9A303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180,000</w:t>
            </w:r>
          </w:p>
        </w:tc>
      </w:tr>
      <w:tr w:rsidR="009D2323" w14:paraId="30713106"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35FF14A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Ratio</w:t>
            </w:r>
          </w:p>
        </w:tc>
        <w:tc>
          <w:tcPr>
            <w:tcW w:w="810" w:type="pct"/>
            <w:tcBorders>
              <w:top w:val="nil"/>
              <w:left w:val="nil"/>
              <w:bottom w:val="single" w:sz="4" w:space="0" w:color="auto"/>
              <w:right w:val="single" w:sz="4" w:space="0" w:color="auto"/>
            </w:tcBorders>
            <w:noWrap/>
            <w:vAlign w:val="bottom"/>
            <w:hideMark/>
          </w:tcPr>
          <w:p w14:paraId="15C7E38C" w14:textId="77777777" w:rsidR="009D2323" w:rsidRDefault="009D2323">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1.39</w:t>
            </w:r>
          </w:p>
        </w:tc>
      </w:tr>
    </w:tbl>
    <w:p w14:paraId="017291BE" w14:textId="77777777" w:rsidR="009D2323" w:rsidRDefault="009D2323" w:rsidP="009D2323">
      <w:pPr>
        <w:pStyle w:val="Caption"/>
        <w:rPr>
          <w:sz w:val="18"/>
          <w:szCs w:val="18"/>
        </w:rPr>
      </w:pPr>
    </w:p>
    <w:p w14:paraId="234DE258" w14:textId="77777777" w:rsidR="009D2323" w:rsidRDefault="009D2323" w:rsidP="009D2323">
      <w:pPr>
        <w:pStyle w:val="Caption"/>
        <w:rPr>
          <w:rFonts w:ascii="Times New Roman" w:hAnsi="Times New Roman" w:cs="Times New Roman"/>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1</w:t>
      </w:r>
      <w:r>
        <w:rPr>
          <w:noProof/>
          <w:color w:val="auto"/>
        </w:rPr>
        <w:fldChar w:fldCharType="end"/>
      </w:r>
      <w:r>
        <w:rPr>
          <w:color w:val="auto"/>
        </w:rPr>
        <w:t xml:space="preserve"> Current Ratio</w:t>
      </w:r>
    </w:p>
    <w:p w14:paraId="7DF105E9"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color w:val="222222"/>
          <w:sz w:val="24"/>
          <w:szCs w:val="24"/>
          <w:shd w:val="clear" w:color="auto" w:fill="FFFFFF"/>
        </w:rPr>
        <w:t>Husna and Satria (2019), t</w:t>
      </w:r>
      <w:r>
        <w:rPr>
          <w:rFonts w:ascii="Times New Roman" w:hAnsi="Times New Roman" w:cs="Times New Roman"/>
          <w:sz w:val="24"/>
          <w:szCs w:val="24"/>
        </w:rPr>
        <w:t>he current ratio is a part of the liquidity ratio which explains how many current assets are available in the firm to fund its current liabilities. The current ratio of the resort has been weak since the previous years and the current liabilities will be paid in difficulty as the ratio can decline in the future (Appendix 1).</w:t>
      </w:r>
    </w:p>
    <w:tbl>
      <w:tblPr>
        <w:tblW w:w="5000" w:type="pct"/>
        <w:tblLook w:val="04A0" w:firstRow="1" w:lastRow="0" w:firstColumn="1" w:lastColumn="0" w:noHBand="0" w:noVBand="1"/>
      </w:tblPr>
      <w:tblGrid>
        <w:gridCol w:w="7642"/>
        <w:gridCol w:w="1374"/>
      </w:tblGrid>
      <w:tr w:rsidR="009D2323" w14:paraId="62C573C3" w14:textId="77777777" w:rsidTr="009D2323">
        <w:trPr>
          <w:trHeight w:val="310"/>
        </w:trPr>
        <w:tc>
          <w:tcPr>
            <w:tcW w:w="4238" w:type="pct"/>
            <w:tcBorders>
              <w:top w:val="single" w:sz="4" w:space="0" w:color="auto"/>
              <w:left w:val="single" w:sz="4" w:space="0" w:color="auto"/>
              <w:bottom w:val="single" w:sz="4" w:space="0" w:color="auto"/>
              <w:right w:val="single" w:sz="4" w:space="0" w:color="auto"/>
            </w:tcBorders>
            <w:noWrap/>
            <w:vAlign w:val="bottom"/>
            <w:hideMark/>
          </w:tcPr>
          <w:p w14:paraId="227CACFA"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762" w:type="pct"/>
            <w:tcBorders>
              <w:top w:val="single" w:sz="4" w:space="0" w:color="auto"/>
              <w:left w:val="nil"/>
              <w:bottom w:val="single" w:sz="4" w:space="0" w:color="auto"/>
              <w:right w:val="single" w:sz="4" w:space="0" w:color="auto"/>
            </w:tcBorders>
            <w:noWrap/>
            <w:vAlign w:val="bottom"/>
            <w:hideMark/>
          </w:tcPr>
          <w:p w14:paraId="2404AF4A"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9D2323" w14:paraId="11ED9B07" w14:textId="77777777" w:rsidTr="009D2323">
        <w:trPr>
          <w:trHeight w:val="310"/>
        </w:trPr>
        <w:tc>
          <w:tcPr>
            <w:tcW w:w="4238" w:type="pct"/>
            <w:tcBorders>
              <w:top w:val="nil"/>
              <w:left w:val="single" w:sz="4" w:space="0" w:color="auto"/>
              <w:bottom w:val="single" w:sz="4" w:space="0" w:color="auto"/>
              <w:right w:val="single" w:sz="4" w:space="0" w:color="auto"/>
            </w:tcBorders>
            <w:noWrap/>
            <w:vAlign w:val="bottom"/>
            <w:hideMark/>
          </w:tcPr>
          <w:p w14:paraId="4BF6DD6D"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Quick Ratio= Current Assets - Inventory / Current Liabilities</w:t>
            </w:r>
          </w:p>
        </w:tc>
        <w:tc>
          <w:tcPr>
            <w:tcW w:w="762" w:type="pct"/>
            <w:tcBorders>
              <w:top w:val="nil"/>
              <w:left w:val="nil"/>
              <w:bottom w:val="single" w:sz="4" w:space="0" w:color="auto"/>
              <w:right w:val="single" w:sz="4" w:space="0" w:color="auto"/>
            </w:tcBorders>
            <w:noWrap/>
            <w:vAlign w:val="bottom"/>
            <w:hideMark/>
          </w:tcPr>
          <w:p w14:paraId="5899736A"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9D2323" w14:paraId="3EFC546A" w14:textId="77777777" w:rsidTr="009D2323">
        <w:trPr>
          <w:trHeight w:val="310"/>
        </w:trPr>
        <w:tc>
          <w:tcPr>
            <w:tcW w:w="4238" w:type="pct"/>
            <w:tcBorders>
              <w:top w:val="nil"/>
              <w:left w:val="single" w:sz="4" w:space="0" w:color="auto"/>
              <w:bottom w:val="single" w:sz="4" w:space="0" w:color="auto"/>
              <w:right w:val="single" w:sz="4" w:space="0" w:color="auto"/>
            </w:tcBorders>
            <w:noWrap/>
            <w:vAlign w:val="bottom"/>
            <w:hideMark/>
          </w:tcPr>
          <w:p w14:paraId="63611623"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762" w:type="pct"/>
            <w:tcBorders>
              <w:top w:val="nil"/>
              <w:left w:val="nil"/>
              <w:bottom w:val="single" w:sz="4" w:space="0" w:color="auto"/>
              <w:right w:val="single" w:sz="4" w:space="0" w:color="auto"/>
            </w:tcBorders>
            <w:noWrap/>
            <w:vAlign w:val="bottom"/>
            <w:hideMark/>
          </w:tcPr>
          <w:p w14:paraId="1E9B1834"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250,000</w:t>
            </w:r>
          </w:p>
        </w:tc>
      </w:tr>
      <w:tr w:rsidR="009D2323" w14:paraId="7D975CE4" w14:textId="77777777" w:rsidTr="009D2323">
        <w:trPr>
          <w:trHeight w:val="310"/>
        </w:trPr>
        <w:tc>
          <w:tcPr>
            <w:tcW w:w="4238" w:type="pct"/>
            <w:tcBorders>
              <w:top w:val="nil"/>
              <w:left w:val="single" w:sz="4" w:space="0" w:color="auto"/>
              <w:bottom w:val="single" w:sz="4" w:space="0" w:color="auto"/>
              <w:right w:val="single" w:sz="4" w:space="0" w:color="auto"/>
            </w:tcBorders>
            <w:noWrap/>
            <w:vAlign w:val="bottom"/>
            <w:hideMark/>
          </w:tcPr>
          <w:p w14:paraId="713F31F5"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Inventory</w:t>
            </w:r>
          </w:p>
        </w:tc>
        <w:tc>
          <w:tcPr>
            <w:tcW w:w="762" w:type="pct"/>
            <w:tcBorders>
              <w:top w:val="nil"/>
              <w:left w:val="nil"/>
              <w:bottom w:val="single" w:sz="4" w:space="0" w:color="auto"/>
              <w:right w:val="single" w:sz="4" w:space="0" w:color="auto"/>
            </w:tcBorders>
            <w:noWrap/>
            <w:vAlign w:val="bottom"/>
            <w:hideMark/>
          </w:tcPr>
          <w:p w14:paraId="206C80D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100,000</w:t>
            </w:r>
          </w:p>
        </w:tc>
      </w:tr>
      <w:tr w:rsidR="009D2323" w14:paraId="37961583" w14:textId="77777777" w:rsidTr="009D2323">
        <w:trPr>
          <w:trHeight w:val="310"/>
        </w:trPr>
        <w:tc>
          <w:tcPr>
            <w:tcW w:w="4238" w:type="pct"/>
            <w:tcBorders>
              <w:top w:val="nil"/>
              <w:left w:val="single" w:sz="4" w:space="0" w:color="auto"/>
              <w:bottom w:val="single" w:sz="4" w:space="0" w:color="auto"/>
              <w:right w:val="single" w:sz="4" w:space="0" w:color="auto"/>
            </w:tcBorders>
            <w:noWrap/>
            <w:vAlign w:val="bottom"/>
            <w:hideMark/>
          </w:tcPr>
          <w:p w14:paraId="32D39E2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lastRenderedPageBreak/>
              <w:t>Current Liabilities</w:t>
            </w:r>
          </w:p>
        </w:tc>
        <w:tc>
          <w:tcPr>
            <w:tcW w:w="762" w:type="pct"/>
            <w:tcBorders>
              <w:top w:val="nil"/>
              <w:left w:val="nil"/>
              <w:bottom w:val="single" w:sz="4" w:space="0" w:color="auto"/>
              <w:right w:val="single" w:sz="4" w:space="0" w:color="auto"/>
            </w:tcBorders>
            <w:noWrap/>
            <w:vAlign w:val="bottom"/>
            <w:hideMark/>
          </w:tcPr>
          <w:p w14:paraId="7B66F370"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180,000</w:t>
            </w:r>
          </w:p>
        </w:tc>
      </w:tr>
      <w:tr w:rsidR="009D2323" w14:paraId="4559FE0B" w14:textId="77777777" w:rsidTr="009D2323">
        <w:trPr>
          <w:trHeight w:val="310"/>
        </w:trPr>
        <w:tc>
          <w:tcPr>
            <w:tcW w:w="4238" w:type="pct"/>
            <w:tcBorders>
              <w:top w:val="nil"/>
              <w:left w:val="single" w:sz="4" w:space="0" w:color="auto"/>
              <w:bottom w:val="single" w:sz="4" w:space="0" w:color="auto"/>
              <w:right w:val="single" w:sz="4" w:space="0" w:color="auto"/>
            </w:tcBorders>
            <w:noWrap/>
            <w:vAlign w:val="bottom"/>
            <w:hideMark/>
          </w:tcPr>
          <w:p w14:paraId="13C405F4"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Quick Ratio</w:t>
            </w:r>
          </w:p>
        </w:tc>
        <w:tc>
          <w:tcPr>
            <w:tcW w:w="762" w:type="pct"/>
            <w:tcBorders>
              <w:top w:val="nil"/>
              <w:left w:val="nil"/>
              <w:bottom w:val="single" w:sz="4" w:space="0" w:color="auto"/>
              <w:right w:val="single" w:sz="4" w:space="0" w:color="auto"/>
            </w:tcBorders>
            <w:noWrap/>
            <w:vAlign w:val="bottom"/>
            <w:hideMark/>
          </w:tcPr>
          <w:p w14:paraId="6225206E" w14:textId="77777777" w:rsidR="009D2323" w:rsidRDefault="009D2323">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0.83</w:t>
            </w:r>
          </w:p>
        </w:tc>
      </w:tr>
    </w:tbl>
    <w:p w14:paraId="2873BCEC" w14:textId="77777777" w:rsidR="009D2323" w:rsidRDefault="009D2323" w:rsidP="009D2323">
      <w:pPr>
        <w:pStyle w:val="Caption"/>
        <w:rPr>
          <w:sz w:val="18"/>
          <w:szCs w:val="18"/>
        </w:rPr>
      </w:pPr>
    </w:p>
    <w:p w14:paraId="7B2363CD" w14:textId="77777777" w:rsidR="009D2323" w:rsidRDefault="009D2323" w:rsidP="009D2323">
      <w:pPr>
        <w:pStyle w:val="Caption"/>
        <w:rPr>
          <w:rFonts w:ascii="Times New Roman" w:hAnsi="Times New Roman" w:cs="Times New Roman"/>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2</w:t>
      </w:r>
      <w:r>
        <w:rPr>
          <w:noProof/>
          <w:color w:val="auto"/>
        </w:rPr>
        <w:fldChar w:fldCharType="end"/>
      </w:r>
      <w:r>
        <w:rPr>
          <w:color w:val="auto"/>
        </w:rPr>
        <w:t xml:space="preserve"> Quick Ratio</w:t>
      </w:r>
    </w:p>
    <w:p w14:paraId="17B8A6E9"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According to </w:t>
      </w:r>
      <w:r>
        <w:rPr>
          <w:rFonts w:ascii="Times New Roman" w:hAnsi="Times New Roman" w:cs="Times New Roman"/>
          <w:color w:val="222222"/>
          <w:sz w:val="24"/>
          <w:szCs w:val="24"/>
          <w:shd w:val="clear" w:color="auto" w:fill="FFFFFF"/>
        </w:rPr>
        <w:t xml:space="preserve">Daryanto and </w:t>
      </w:r>
      <w:proofErr w:type="spellStart"/>
      <w:r>
        <w:rPr>
          <w:rFonts w:ascii="Times New Roman" w:hAnsi="Times New Roman" w:cs="Times New Roman"/>
          <w:color w:val="222222"/>
          <w:sz w:val="24"/>
          <w:szCs w:val="24"/>
          <w:shd w:val="clear" w:color="auto" w:fill="FFFFFF"/>
        </w:rPr>
        <w:t>Rizki</w:t>
      </w:r>
      <w:proofErr w:type="spellEnd"/>
      <w:r>
        <w:rPr>
          <w:rFonts w:ascii="Times New Roman" w:hAnsi="Times New Roman" w:cs="Times New Roman"/>
          <w:color w:val="222222"/>
          <w:sz w:val="24"/>
          <w:szCs w:val="24"/>
          <w:shd w:val="clear" w:color="auto" w:fill="FFFFFF"/>
        </w:rPr>
        <w:t xml:space="preserve"> (2021),</w:t>
      </w:r>
      <w:r>
        <w:rPr>
          <w:rFonts w:ascii="Times New Roman" w:hAnsi="Times New Roman" w:cs="Times New Roman"/>
          <w:sz w:val="24"/>
          <w:szCs w:val="24"/>
        </w:rPr>
        <w:t xml:space="preserve"> the quick ratio is also a part of the liquidity ratio which concentrates on the fundable current assets to current liabilities. The quick ratio of the resort is low as the inventory has decreased the current assets which has resulted in more current liabilities in a comparative manner (Appendix 2).</w:t>
      </w:r>
    </w:p>
    <w:tbl>
      <w:tblPr>
        <w:tblW w:w="5000" w:type="pct"/>
        <w:tblLook w:val="04A0" w:firstRow="1" w:lastRow="0" w:firstColumn="1" w:lastColumn="0" w:noHBand="0" w:noVBand="1"/>
      </w:tblPr>
      <w:tblGrid>
        <w:gridCol w:w="7555"/>
        <w:gridCol w:w="1461"/>
      </w:tblGrid>
      <w:tr w:rsidR="009D2323" w14:paraId="584AFE09" w14:textId="77777777" w:rsidTr="009D2323">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21E800CD"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10" w:type="pct"/>
            <w:tcBorders>
              <w:top w:val="single" w:sz="4" w:space="0" w:color="auto"/>
              <w:left w:val="nil"/>
              <w:bottom w:val="single" w:sz="4" w:space="0" w:color="auto"/>
              <w:right w:val="single" w:sz="4" w:space="0" w:color="auto"/>
            </w:tcBorders>
            <w:noWrap/>
            <w:vAlign w:val="bottom"/>
            <w:hideMark/>
          </w:tcPr>
          <w:p w14:paraId="5C738F3D"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9D2323" w14:paraId="7CCA73E1"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5000882B"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Debt-to-Equity Ratio = Debt / Equity</w:t>
            </w:r>
          </w:p>
        </w:tc>
        <w:tc>
          <w:tcPr>
            <w:tcW w:w="810" w:type="pct"/>
            <w:tcBorders>
              <w:top w:val="nil"/>
              <w:left w:val="nil"/>
              <w:bottom w:val="single" w:sz="4" w:space="0" w:color="auto"/>
              <w:right w:val="single" w:sz="4" w:space="0" w:color="auto"/>
            </w:tcBorders>
            <w:noWrap/>
            <w:vAlign w:val="bottom"/>
            <w:hideMark/>
          </w:tcPr>
          <w:p w14:paraId="3F74BED9"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9D2323" w14:paraId="0C120C12"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7DCC71E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w:t>
            </w:r>
          </w:p>
        </w:tc>
        <w:tc>
          <w:tcPr>
            <w:tcW w:w="810" w:type="pct"/>
            <w:tcBorders>
              <w:top w:val="nil"/>
              <w:left w:val="nil"/>
              <w:bottom w:val="single" w:sz="4" w:space="0" w:color="auto"/>
              <w:right w:val="single" w:sz="4" w:space="0" w:color="auto"/>
            </w:tcBorders>
            <w:noWrap/>
            <w:vAlign w:val="bottom"/>
            <w:hideMark/>
          </w:tcPr>
          <w:p w14:paraId="273A8BCD"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750,000</w:t>
            </w:r>
          </w:p>
        </w:tc>
      </w:tr>
      <w:tr w:rsidR="009D2323" w14:paraId="4E2023F8"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2B65C4CA"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Equity</w:t>
            </w:r>
          </w:p>
        </w:tc>
        <w:tc>
          <w:tcPr>
            <w:tcW w:w="810" w:type="pct"/>
            <w:tcBorders>
              <w:top w:val="nil"/>
              <w:left w:val="nil"/>
              <w:bottom w:val="single" w:sz="4" w:space="0" w:color="auto"/>
              <w:right w:val="single" w:sz="4" w:space="0" w:color="auto"/>
            </w:tcBorders>
            <w:noWrap/>
            <w:vAlign w:val="bottom"/>
            <w:hideMark/>
          </w:tcPr>
          <w:p w14:paraId="7A3B405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450,000</w:t>
            </w:r>
          </w:p>
        </w:tc>
      </w:tr>
      <w:tr w:rsidR="009D2323" w14:paraId="7B180206"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4210BD55"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Debt-to-Equity Ratio</w:t>
            </w:r>
          </w:p>
        </w:tc>
        <w:tc>
          <w:tcPr>
            <w:tcW w:w="810" w:type="pct"/>
            <w:tcBorders>
              <w:top w:val="nil"/>
              <w:left w:val="nil"/>
              <w:bottom w:val="single" w:sz="4" w:space="0" w:color="auto"/>
              <w:right w:val="single" w:sz="4" w:space="0" w:color="auto"/>
            </w:tcBorders>
            <w:noWrap/>
            <w:vAlign w:val="bottom"/>
            <w:hideMark/>
          </w:tcPr>
          <w:p w14:paraId="173C305C" w14:textId="77777777" w:rsidR="009D2323" w:rsidRDefault="009D2323">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1.67</w:t>
            </w:r>
          </w:p>
        </w:tc>
      </w:tr>
    </w:tbl>
    <w:p w14:paraId="6312A0C1" w14:textId="77777777" w:rsidR="009D2323" w:rsidRDefault="009D2323" w:rsidP="009D2323">
      <w:pPr>
        <w:pStyle w:val="Caption"/>
        <w:rPr>
          <w:sz w:val="18"/>
          <w:szCs w:val="18"/>
        </w:rPr>
      </w:pPr>
    </w:p>
    <w:p w14:paraId="5CAE00A0" w14:textId="77777777" w:rsidR="009D2323" w:rsidRDefault="009D2323" w:rsidP="009D2323">
      <w:pPr>
        <w:pStyle w:val="Caption"/>
        <w:rPr>
          <w:rFonts w:ascii="Times New Roman" w:hAnsi="Times New Roman" w:cs="Times New Roman"/>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3</w:t>
      </w:r>
      <w:r>
        <w:rPr>
          <w:noProof/>
          <w:color w:val="auto"/>
        </w:rPr>
        <w:fldChar w:fldCharType="end"/>
      </w:r>
      <w:r>
        <w:rPr>
          <w:color w:val="auto"/>
        </w:rPr>
        <w:t xml:space="preserve"> Debt-to-Equity Ratio</w:t>
      </w:r>
    </w:p>
    <w:p w14:paraId="1A5AE546"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As per </w:t>
      </w:r>
      <w:r>
        <w:rPr>
          <w:rFonts w:ascii="Times New Roman" w:hAnsi="Times New Roman" w:cs="Times New Roman"/>
          <w:color w:val="222222"/>
          <w:sz w:val="24"/>
          <w:szCs w:val="24"/>
          <w:shd w:val="clear" w:color="auto" w:fill="FFFFFF"/>
        </w:rPr>
        <w:t>Irman and Purwati (2020), t</w:t>
      </w:r>
      <w:r>
        <w:rPr>
          <w:rFonts w:ascii="Times New Roman" w:hAnsi="Times New Roman" w:cs="Times New Roman"/>
          <w:sz w:val="24"/>
          <w:szCs w:val="24"/>
        </w:rPr>
        <w:t>he debt-to-equity ratio states the level of debt funded by the firm in comparison to the assets related to the equity. The debt-to-equity ratio has depicted that the resort has more debt to be paid in comparison to the part of assets relative to the equity (Appendix 3).</w:t>
      </w:r>
    </w:p>
    <w:tbl>
      <w:tblPr>
        <w:tblW w:w="5000" w:type="pct"/>
        <w:tblLook w:val="04A0" w:firstRow="1" w:lastRow="0" w:firstColumn="1" w:lastColumn="0" w:noHBand="0" w:noVBand="1"/>
      </w:tblPr>
      <w:tblGrid>
        <w:gridCol w:w="7424"/>
        <w:gridCol w:w="1592"/>
      </w:tblGrid>
      <w:tr w:rsidR="009D2323" w14:paraId="11FDB644" w14:textId="77777777" w:rsidTr="009D2323">
        <w:trPr>
          <w:trHeight w:val="310"/>
        </w:trPr>
        <w:tc>
          <w:tcPr>
            <w:tcW w:w="4117" w:type="pct"/>
            <w:tcBorders>
              <w:top w:val="single" w:sz="4" w:space="0" w:color="auto"/>
              <w:left w:val="single" w:sz="4" w:space="0" w:color="auto"/>
              <w:bottom w:val="single" w:sz="4" w:space="0" w:color="auto"/>
              <w:right w:val="single" w:sz="4" w:space="0" w:color="auto"/>
            </w:tcBorders>
            <w:noWrap/>
            <w:vAlign w:val="bottom"/>
            <w:hideMark/>
          </w:tcPr>
          <w:p w14:paraId="2C1A7E88"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83" w:type="pct"/>
            <w:tcBorders>
              <w:top w:val="single" w:sz="4" w:space="0" w:color="auto"/>
              <w:left w:val="nil"/>
              <w:bottom w:val="single" w:sz="4" w:space="0" w:color="auto"/>
              <w:right w:val="single" w:sz="4" w:space="0" w:color="auto"/>
            </w:tcBorders>
            <w:noWrap/>
            <w:vAlign w:val="bottom"/>
            <w:hideMark/>
          </w:tcPr>
          <w:p w14:paraId="0F74E18E" w14:textId="77777777" w:rsidR="009D2323" w:rsidRDefault="009D2323">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9D2323" w14:paraId="0DF6CF0D" w14:textId="77777777" w:rsidTr="009D2323">
        <w:trPr>
          <w:trHeight w:val="310"/>
        </w:trPr>
        <w:tc>
          <w:tcPr>
            <w:tcW w:w="4117" w:type="pct"/>
            <w:tcBorders>
              <w:top w:val="nil"/>
              <w:left w:val="single" w:sz="4" w:space="0" w:color="auto"/>
              <w:bottom w:val="single" w:sz="4" w:space="0" w:color="auto"/>
              <w:right w:val="single" w:sz="4" w:space="0" w:color="auto"/>
            </w:tcBorders>
            <w:noWrap/>
            <w:vAlign w:val="bottom"/>
            <w:hideMark/>
          </w:tcPr>
          <w:p w14:paraId="4D461296"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Assets = Net Profit (Loss) / Total Assets</w:t>
            </w:r>
          </w:p>
        </w:tc>
        <w:tc>
          <w:tcPr>
            <w:tcW w:w="883" w:type="pct"/>
            <w:tcBorders>
              <w:top w:val="nil"/>
              <w:left w:val="nil"/>
              <w:bottom w:val="single" w:sz="4" w:space="0" w:color="auto"/>
              <w:right w:val="single" w:sz="4" w:space="0" w:color="auto"/>
            </w:tcBorders>
            <w:noWrap/>
            <w:vAlign w:val="bottom"/>
            <w:hideMark/>
          </w:tcPr>
          <w:p w14:paraId="1443F410" w14:textId="77777777" w:rsidR="009D2323" w:rsidRDefault="009D2323">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9D2323" w14:paraId="6984FE19" w14:textId="77777777" w:rsidTr="009D2323">
        <w:trPr>
          <w:trHeight w:val="310"/>
        </w:trPr>
        <w:tc>
          <w:tcPr>
            <w:tcW w:w="4117" w:type="pct"/>
            <w:tcBorders>
              <w:top w:val="nil"/>
              <w:left w:val="single" w:sz="4" w:space="0" w:color="auto"/>
              <w:bottom w:val="single" w:sz="4" w:space="0" w:color="auto"/>
              <w:right w:val="single" w:sz="4" w:space="0" w:color="auto"/>
            </w:tcBorders>
            <w:noWrap/>
            <w:vAlign w:val="bottom"/>
            <w:hideMark/>
          </w:tcPr>
          <w:p w14:paraId="5071D2E7"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883" w:type="pct"/>
            <w:tcBorders>
              <w:top w:val="nil"/>
              <w:left w:val="nil"/>
              <w:bottom w:val="single" w:sz="4" w:space="0" w:color="auto"/>
              <w:right w:val="single" w:sz="4" w:space="0" w:color="auto"/>
            </w:tcBorders>
            <w:noWrap/>
            <w:vAlign w:val="bottom"/>
            <w:hideMark/>
          </w:tcPr>
          <w:p w14:paraId="39B4D610" w14:textId="77777777" w:rsidR="009D2323" w:rsidRDefault="009D2323">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-17,500</w:t>
            </w:r>
          </w:p>
        </w:tc>
      </w:tr>
      <w:tr w:rsidR="009D2323" w14:paraId="445F8914" w14:textId="77777777" w:rsidTr="009D2323">
        <w:trPr>
          <w:trHeight w:val="310"/>
        </w:trPr>
        <w:tc>
          <w:tcPr>
            <w:tcW w:w="4117" w:type="pct"/>
            <w:tcBorders>
              <w:top w:val="nil"/>
              <w:left w:val="single" w:sz="4" w:space="0" w:color="auto"/>
              <w:bottom w:val="single" w:sz="4" w:space="0" w:color="auto"/>
              <w:right w:val="single" w:sz="4" w:space="0" w:color="auto"/>
            </w:tcBorders>
            <w:noWrap/>
            <w:vAlign w:val="bottom"/>
            <w:hideMark/>
          </w:tcPr>
          <w:p w14:paraId="2E150091"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Assets</w:t>
            </w:r>
          </w:p>
        </w:tc>
        <w:tc>
          <w:tcPr>
            <w:tcW w:w="883" w:type="pct"/>
            <w:tcBorders>
              <w:top w:val="nil"/>
              <w:left w:val="nil"/>
              <w:bottom w:val="single" w:sz="4" w:space="0" w:color="auto"/>
              <w:right w:val="single" w:sz="4" w:space="0" w:color="auto"/>
            </w:tcBorders>
            <w:noWrap/>
            <w:vAlign w:val="bottom"/>
            <w:hideMark/>
          </w:tcPr>
          <w:p w14:paraId="76C37B56" w14:textId="77777777" w:rsidR="009D2323" w:rsidRDefault="009D2323">
            <w:pPr>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1,200,000</w:t>
            </w:r>
          </w:p>
        </w:tc>
      </w:tr>
      <w:tr w:rsidR="009D2323" w14:paraId="22B3D244" w14:textId="77777777" w:rsidTr="009D2323">
        <w:trPr>
          <w:trHeight w:val="310"/>
        </w:trPr>
        <w:tc>
          <w:tcPr>
            <w:tcW w:w="4117" w:type="pct"/>
            <w:tcBorders>
              <w:top w:val="nil"/>
              <w:left w:val="single" w:sz="4" w:space="0" w:color="auto"/>
              <w:bottom w:val="single" w:sz="4" w:space="0" w:color="auto"/>
              <w:right w:val="single" w:sz="4" w:space="0" w:color="auto"/>
            </w:tcBorders>
            <w:noWrap/>
            <w:vAlign w:val="bottom"/>
            <w:hideMark/>
          </w:tcPr>
          <w:p w14:paraId="201AA167"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Assets</w:t>
            </w:r>
          </w:p>
        </w:tc>
        <w:tc>
          <w:tcPr>
            <w:tcW w:w="883" w:type="pct"/>
            <w:tcBorders>
              <w:top w:val="nil"/>
              <w:left w:val="nil"/>
              <w:bottom w:val="single" w:sz="4" w:space="0" w:color="auto"/>
              <w:right w:val="single" w:sz="4" w:space="0" w:color="auto"/>
            </w:tcBorders>
            <w:noWrap/>
            <w:vAlign w:val="bottom"/>
            <w:hideMark/>
          </w:tcPr>
          <w:p w14:paraId="38AEBDCA" w14:textId="77777777" w:rsidR="009D2323" w:rsidRDefault="009D2323">
            <w:pPr>
              <w:keepNext/>
              <w:spacing w:after="0"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w:t>
            </w:r>
          </w:p>
        </w:tc>
      </w:tr>
    </w:tbl>
    <w:p w14:paraId="6796330C" w14:textId="77777777" w:rsidR="009D2323" w:rsidRDefault="009D2323" w:rsidP="009D2323">
      <w:pPr>
        <w:pStyle w:val="Caption"/>
        <w:rPr>
          <w:sz w:val="18"/>
          <w:szCs w:val="18"/>
        </w:rPr>
      </w:pPr>
    </w:p>
    <w:p w14:paraId="083143FB" w14:textId="77777777" w:rsidR="009D2323" w:rsidRDefault="009D2323" w:rsidP="009D2323">
      <w:pPr>
        <w:pStyle w:val="Caption"/>
        <w:rPr>
          <w:rFonts w:ascii="Times New Roman" w:hAnsi="Times New Roman" w:cs="Times New Roman"/>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4</w:t>
      </w:r>
      <w:r>
        <w:rPr>
          <w:noProof/>
          <w:color w:val="auto"/>
        </w:rPr>
        <w:fldChar w:fldCharType="end"/>
      </w:r>
      <w:r>
        <w:rPr>
          <w:color w:val="auto"/>
        </w:rPr>
        <w:t xml:space="preserve"> Return on Assets Ratio</w:t>
      </w:r>
    </w:p>
    <w:p w14:paraId="6509A7E2" w14:textId="77777777" w:rsidR="009D2323" w:rsidRDefault="009D2323" w:rsidP="009D2323">
      <w:pPr>
        <w:rPr>
          <w:rFonts w:ascii="Times New Roman" w:hAnsi="Times New Roman" w:cs="Times New Roman"/>
          <w:sz w:val="24"/>
          <w:szCs w:val="24"/>
        </w:rPr>
      </w:pPr>
    </w:p>
    <w:p w14:paraId="3E7A6FAE"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As per the study of </w:t>
      </w:r>
      <w:r>
        <w:rPr>
          <w:rFonts w:ascii="Times New Roman" w:hAnsi="Times New Roman" w:cs="Times New Roman"/>
          <w:color w:val="222222"/>
          <w:sz w:val="24"/>
          <w:szCs w:val="24"/>
          <w:shd w:val="clear" w:color="auto" w:fill="FFFFFF"/>
        </w:rPr>
        <w:t>Husna and Satria (2019), t</w:t>
      </w:r>
      <w:r>
        <w:rPr>
          <w:rFonts w:ascii="Times New Roman" w:hAnsi="Times New Roman" w:cs="Times New Roman"/>
          <w:sz w:val="24"/>
          <w:szCs w:val="24"/>
        </w:rPr>
        <w:t>he return on assets ratio is a part of the profitability ratio which means the level of profitable assets is to generate sales. The resort has been in loss in 2022 which depicts that they are inefficient in using their assets (Appendix 4).</w:t>
      </w:r>
    </w:p>
    <w:tbl>
      <w:tblPr>
        <w:tblW w:w="5000" w:type="pct"/>
        <w:tblLook w:val="04A0" w:firstRow="1" w:lastRow="0" w:firstColumn="1" w:lastColumn="0" w:noHBand="0" w:noVBand="1"/>
      </w:tblPr>
      <w:tblGrid>
        <w:gridCol w:w="7555"/>
        <w:gridCol w:w="1461"/>
      </w:tblGrid>
      <w:tr w:rsidR="009D2323" w14:paraId="352DB4DA" w14:textId="77777777" w:rsidTr="009D2323">
        <w:trPr>
          <w:trHeight w:val="310"/>
        </w:trPr>
        <w:tc>
          <w:tcPr>
            <w:tcW w:w="4190" w:type="pct"/>
            <w:tcBorders>
              <w:top w:val="single" w:sz="4" w:space="0" w:color="auto"/>
              <w:left w:val="single" w:sz="4" w:space="0" w:color="auto"/>
              <w:bottom w:val="single" w:sz="4" w:space="0" w:color="auto"/>
              <w:right w:val="single" w:sz="4" w:space="0" w:color="auto"/>
            </w:tcBorders>
            <w:noWrap/>
            <w:vAlign w:val="bottom"/>
            <w:hideMark/>
          </w:tcPr>
          <w:p w14:paraId="7A1B333C"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Particulars</w:t>
            </w:r>
          </w:p>
        </w:tc>
        <w:tc>
          <w:tcPr>
            <w:tcW w:w="810" w:type="pct"/>
            <w:tcBorders>
              <w:top w:val="single" w:sz="4" w:space="0" w:color="auto"/>
              <w:left w:val="nil"/>
              <w:bottom w:val="single" w:sz="4" w:space="0" w:color="auto"/>
              <w:right w:val="single" w:sz="4" w:space="0" w:color="auto"/>
            </w:tcBorders>
            <w:noWrap/>
            <w:vAlign w:val="bottom"/>
            <w:hideMark/>
          </w:tcPr>
          <w:p w14:paraId="00897A83"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2022 (£)</w:t>
            </w:r>
          </w:p>
        </w:tc>
      </w:tr>
      <w:tr w:rsidR="009D2323" w14:paraId="6A2CA86D"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357FF10E"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lastRenderedPageBreak/>
              <w:t>Return on Equity = Net Profit (Loss) / Total Equity</w:t>
            </w:r>
          </w:p>
        </w:tc>
        <w:tc>
          <w:tcPr>
            <w:tcW w:w="810" w:type="pct"/>
            <w:tcBorders>
              <w:top w:val="nil"/>
              <w:left w:val="nil"/>
              <w:bottom w:val="single" w:sz="4" w:space="0" w:color="auto"/>
              <w:right w:val="single" w:sz="4" w:space="0" w:color="auto"/>
            </w:tcBorders>
            <w:noWrap/>
            <w:vAlign w:val="bottom"/>
            <w:hideMark/>
          </w:tcPr>
          <w:p w14:paraId="084F6D9C"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 </w:t>
            </w:r>
          </w:p>
        </w:tc>
      </w:tr>
      <w:tr w:rsidR="009D2323" w14:paraId="7EDC9091"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4E4644A0"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810" w:type="pct"/>
            <w:tcBorders>
              <w:top w:val="nil"/>
              <w:left w:val="nil"/>
              <w:bottom w:val="single" w:sz="4" w:space="0" w:color="auto"/>
              <w:right w:val="single" w:sz="4" w:space="0" w:color="auto"/>
            </w:tcBorders>
            <w:noWrap/>
            <w:vAlign w:val="bottom"/>
            <w:hideMark/>
          </w:tcPr>
          <w:p w14:paraId="78C37E98"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-17,500</w:t>
            </w:r>
          </w:p>
        </w:tc>
      </w:tr>
      <w:tr w:rsidR="009D2323" w14:paraId="37CAD110"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6EA2F48C"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Equity</w:t>
            </w:r>
          </w:p>
        </w:tc>
        <w:tc>
          <w:tcPr>
            <w:tcW w:w="810" w:type="pct"/>
            <w:tcBorders>
              <w:top w:val="nil"/>
              <w:left w:val="nil"/>
              <w:bottom w:val="single" w:sz="4" w:space="0" w:color="auto"/>
              <w:right w:val="single" w:sz="4" w:space="0" w:color="auto"/>
            </w:tcBorders>
            <w:noWrap/>
            <w:vAlign w:val="bottom"/>
            <w:hideMark/>
          </w:tcPr>
          <w:p w14:paraId="7C8C9205"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450,000</w:t>
            </w:r>
          </w:p>
        </w:tc>
      </w:tr>
      <w:tr w:rsidR="009D2323" w14:paraId="3D61F2A6" w14:textId="77777777" w:rsidTr="009D2323">
        <w:trPr>
          <w:trHeight w:val="310"/>
        </w:trPr>
        <w:tc>
          <w:tcPr>
            <w:tcW w:w="4190" w:type="pct"/>
            <w:tcBorders>
              <w:top w:val="nil"/>
              <w:left w:val="single" w:sz="4" w:space="0" w:color="auto"/>
              <w:bottom w:val="single" w:sz="4" w:space="0" w:color="auto"/>
              <w:right w:val="single" w:sz="4" w:space="0" w:color="auto"/>
            </w:tcBorders>
            <w:noWrap/>
            <w:vAlign w:val="bottom"/>
            <w:hideMark/>
          </w:tcPr>
          <w:p w14:paraId="7AC32767" w14:textId="77777777" w:rsidR="009D2323" w:rsidRDefault="009D2323">
            <w:pPr>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Return on Equity</w:t>
            </w:r>
          </w:p>
        </w:tc>
        <w:tc>
          <w:tcPr>
            <w:tcW w:w="810" w:type="pct"/>
            <w:tcBorders>
              <w:top w:val="nil"/>
              <w:left w:val="nil"/>
              <w:bottom w:val="single" w:sz="4" w:space="0" w:color="auto"/>
              <w:right w:val="single" w:sz="4" w:space="0" w:color="auto"/>
            </w:tcBorders>
            <w:noWrap/>
            <w:vAlign w:val="bottom"/>
            <w:hideMark/>
          </w:tcPr>
          <w:p w14:paraId="2BCB9D65" w14:textId="77777777" w:rsidR="009D2323" w:rsidRDefault="009D2323">
            <w:pPr>
              <w:keepNext/>
              <w:spacing w:after="0"/>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w:t>
            </w:r>
          </w:p>
        </w:tc>
      </w:tr>
    </w:tbl>
    <w:p w14:paraId="71A6A4AA" w14:textId="77777777" w:rsidR="009D2323" w:rsidRDefault="009D2323" w:rsidP="009D2323">
      <w:pPr>
        <w:pStyle w:val="Caption"/>
        <w:rPr>
          <w:sz w:val="18"/>
          <w:szCs w:val="18"/>
        </w:rPr>
      </w:pPr>
    </w:p>
    <w:p w14:paraId="21081036" w14:textId="77777777" w:rsidR="009D2323" w:rsidRDefault="009D2323" w:rsidP="009D2323">
      <w:pPr>
        <w:pStyle w:val="Caption"/>
        <w:rPr>
          <w:rFonts w:ascii="Times New Roman" w:hAnsi="Times New Roman" w:cs="Times New Roman"/>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5</w:t>
      </w:r>
      <w:r>
        <w:rPr>
          <w:noProof/>
          <w:color w:val="auto"/>
        </w:rPr>
        <w:fldChar w:fldCharType="end"/>
      </w:r>
      <w:r>
        <w:rPr>
          <w:color w:val="auto"/>
        </w:rPr>
        <w:t xml:space="preserve"> Return on Equity</w:t>
      </w:r>
    </w:p>
    <w:p w14:paraId="4D62A43C"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As per </w:t>
      </w:r>
      <w:r>
        <w:rPr>
          <w:rFonts w:ascii="Times New Roman" w:hAnsi="Times New Roman" w:cs="Times New Roman"/>
          <w:color w:val="222222"/>
          <w:sz w:val="24"/>
          <w:szCs w:val="24"/>
          <w:shd w:val="clear" w:color="auto" w:fill="FFFFFF"/>
        </w:rPr>
        <w:t>Fadjar et al., (2021), t</w:t>
      </w:r>
      <w:r>
        <w:rPr>
          <w:rFonts w:ascii="Times New Roman" w:hAnsi="Times New Roman" w:cs="Times New Roman"/>
          <w:sz w:val="24"/>
          <w:szCs w:val="24"/>
        </w:rPr>
        <w:t>he return on equity ratio is used to know the income after deducting tax with the capital invested. The resort has been in a loss in 2022 which has led to inefficient application of the equity (Appendix 5).</w:t>
      </w:r>
    </w:p>
    <w:p w14:paraId="5C43699D" w14:textId="77777777" w:rsidR="009D2323" w:rsidRDefault="009D2323" w:rsidP="009D2323">
      <w:pPr>
        <w:rPr>
          <w:rFonts w:ascii="Times New Roman" w:eastAsiaTheme="majorEastAsia" w:hAnsi="Times New Roman" w:cstheme="majorBidi"/>
          <w:b/>
          <w:color w:val="000000" w:themeColor="text1"/>
          <w:sz w:val="28"/>
          <w:szCs w:val="32"/>
        </w:rPr>
      </w:pPr>
      <w:r>
        <w:rPr>
          <w:kern w:val="0"/>
          <w14:ligatures w14:val="none"/>
        </w:rPr>
        <w:br w:type="page"/>
      </w:r>
    </w:p>
    <w:p w14:paraId="21378161" w14:textId="77777777" w:rsidR="009D2323" w:rsidRPr="009D2323" w:rsidRDefault="009D2323" w:rsidP="009D2323">
      <w:pPr>
        <w:pStyle w:val="Heading1"/>
        <w:rPr>
          <w:rFonts w:ascii="Times New Roman" w:hAnsi="Times New Roman"/>
          <w:b/>
          <w:color w:val="auto"/>
          <w:sz w:val="28"/>
          <w:szCs w:val="32"/>
        </w:rPr>
      </w:pPr>
      <w:bookmarkStart w:id="4" w:name="_Toc149647631"/>
      <w:r w:rsidRPr="009D2323">
        <w:rPr>
          <w:color w:val="auto"/>
        </w:rPr>
        <w:lastRenderedPageBreak/>
        <w:t>SWOT Analysis</w:t>
      </w:r>
      <w:bookmarkEnd w:id="4"/>
    </w:p>
    <w:tbl>
      <w:tblPr>
        <w:tblStyle w:val="TableGrid"/>
        <w:tblW w:w="5000" w:type="pct"/>
        <w:tblInd w:w="0" w:type="dxa"/>
        <w:tblLook w:val="04A0" w:firstRow="1" w:lastRow="0" w:firstColumn="1" w:lastColumn="0" w:noHBand="0" w:noVBand="1"/>
      </w:tblPr>
      <w:tblGrid>
        <w:gridCol w:w="4508"/>
        <w:gridCol w:w="4508"/>
      </w:tblGrid>
      <w:tr w:rsidR="009D2323" w14:paraId="6E970CCE" w14:textId="77777777" w:rsidTr="009D2323">
        <w:tc>
          <w:tcPr>
            <w:tcW w:w="2500" w:type="pct"/>
            <w:tcBorders>
              <w:top w:val="single" w:sz="4" w:space="0" w:color="auto"/>
              <w:left w:val="single" w:sz="4" w:space="0" w:color="auto"/>
              <w:bottom w:val="single" w:sz="4" w:space="0" w:color="auto"/>
              <w:right w:val="single" w:sz="4" w:space="0" w:color="auto"/>
            </w:tcBorders>
            <w:hideMark/>
          </w:tcPr>
          <w:p w14:paraId="696B3BCE" w14:textId="77777777" w:rsidR="009D2323" w:rsidRDefault="009D2323">
            <w:pPr>
              <w:tabs>
                <w:tab w:val="left" w:pos="1490"/>
              </w:tabs>
              <w:rPr>
                <w:rFonts w:ascii="Times New Roman" w:hAnsi="Times New Roman" w:cs="Times New Roman"/>
                <w:b/>
                <w:sz w:val="24"/>
                <w:szCs w:val="24"/>
              </w:rPr>
            </w:pPr>
            <w:r>
              <w:rPr>
                <w:rFonts w:ascii="Times New Roman" w:hAnsi="Times New Roman" w:cs="Times New Roman"/>
                <w:b/>
                <w:sz w:val="24"/>
                <w:szCs w:val="24"/>
              </w:rPr>
              <w:t>Strengths</w:t>
            </w:r>
          </w:p>
        </w:tc>
        <w:tc>
          <w:tcPr>
            <w:tcW w:w="2500" w:type="pct"/>
            <w:tcBorders>
              <w:top w:val="single" w:sz="4" w:space="0" w:color="auto"/>
              <w:left w:val="single" w:sz="4" w:space="0" w:color="auto"/>
              <w:bottom w:val="single" w:sz="4" w:space="0" w:color="auto"/>
              <w:right w:val="single" w:sz="4" w:space="0" w:color="auto"/>
            </w:tcBorders>
            <w:hideMark/>
          </w:tcPr>
          <w:p w14:paraId="51E2384F" w14:textId="77777777" w:rsidR="009D2323" w:rsidRDefault="009D2323">
            <w:pPr>
              <w:rPr>
                <w:rFonts w:ascii="Times New Roman" w:hAnsi="Times New Roman" w:cs="Times New Roman"/>
                <w:b/>
                <w:sz w:val="24"/>
                <w:szCs w:val="24"/>
              </w:rPr>
            </w:pPr>
            <w:r>
              <w:rPr>
                <w:rFonts w:ascii="Times New Roman" w:hAnsi="Times New Roman" w:cs="Times New Roman"/>
                <w:b/>
                <w:sz w:val="24"/>
                <w:szCs w:val="24"/>
              </w:rPr>
              <w:t>Weaknesses</w:t>
            </w:r>
          </w:p>
        </w:tc>
      </w:tr>
      <w:tr w:rsidR="009D2323" w14:paraId="23516AA2" w14:textId="77777777" w:rsidTr="009D2323">
        <w:tc>
          <w:tcPr>
            <w:tcW w:w="2500" w:type="pct"/>
            <w:tcBorders>
              <w:top w:val="single" w:sz="4" w:space="0" w:color="auto"/>
              <w:left w:val="single" w:sz="4" w:space="0" w:color="auto"/>
              <w:bottom w:val="single" w:sz="4" w:space="0" w:color="auto"/>
              <w:right w:val="single" w:sz="4" w:space="0" w:color="auto"/>
            </w:tcBorders>
            <w:hideMark/>
          </w:tcPr>
          <w:p w14:paraId="33D3406F" w14:textId="77777777" w:rsidR="009D2323" w:rsidRDefault="009D2323" w:rsidP="00D52032">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Location</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t</w:t>
            </w:r>
            <w:r>
              <w:rPr>
                <w:rFonts w:ascii="Times New Roman" w:hAnsi="Times New Roman" w:cs="Times New Roman"/>
                <w:sz w:val="24"/>
                <w:szCs w:val="24"/>
              </w:rPr>
              <w:t>he resort is in a premium location in which the vacationers seek luxury and leisure.</w:t>
            </w:r>
          </w:p>
          <w:p w14:paraId="4A5BB711" w14:textId="77777777" w:rsidR="009D2323" w:rsidRDefault="009D2323" w:rsidP="00D52032">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Affordable prices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Athar, (2020), t</w:t>
            </w:r>
            <w:r>
              <w:rPr>
                <w:rFonts w:ascii="Times New Roman" w:hAnsi="Times New Roman" w:cs="Times New Roman"/>
                <w:sz w:val="24"/>
                <w:szCs w:val="24"/>
              </w:rPr>
              <w:t>he resort has lowered its average room rate which makes it affordable for the customers.</w:t>
            </w:r>
          </w:p>
        </w:tc>
        <w:tc>
          <w:tcPr>
            <w:tcW w:w="2500" w:type="pct"/>
            <w:tcBorders>
              <w:top w:val="single" w:sz="4" w:space="0" w:color="auto"/>
              <w:left w:val="single" w:sz="4" w:space="0" w:color="auto"/>
              <w:bottom w:val="single" w:sz="4" w:space="0" w:color="auto"/>
              <w:right w:val="single" w:sz="4" w:space="0" w:color="auto"/>
            </w:tcBorders>
            <w:hideMark/>
          </w:tcPr>
          <w:p w14:paraId="3B8AF1B9" w14:textId="77777777" w:rsidR="009D2323" w:rsidRDefault="009D2323" w:rsidP="00D52032">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Outdated Amenities</w:t>
            </w:r>
            <w:r>
              <w:rPr>
                <w:rFonts w:ascii="Times New Roman" w:hAnsi="Times New Roman" w:cs="Times New Roman"/>
                <w:sz w:val="24"/>
                <w:szCs w:val="24"/>
              </w:rPr>
              <w:t xml:space="preserve"> – The resort has been serving outdated facilities which resulted in unsatisfied customers.</w:t>
            </w:r>
          </w:p>
          <w:p w14:paraId="5C682B49" w14:textId="77777777" w:rsidR="009D2323" w:rsidRDefault="009D2323" w:rsidP="00D52032">
            <w:pPr>
              <w:pStyle w:val="ListParagraph"/>
              <w:numPr>
                <w:ilvl w:val="0"/>
                <w:numId w:val="3"/>
              </w:numPr>
              <w:rPr>
                <w:rFonts w:ascii="Times New Roman" w:hAnsi="Times New Roman" w:cs="Times New Roman"/>
                <w:sz w:val="24"/>
                <w:szCs w:val="24"/>
              </w:rPr>
            </w:pPr>
            <w:r>
              <w:rPr>
                <w:rFonts w:ascii="Times New Roman" w:hAnsi="Times New Roman" w:cs="Times New Roman"/>
                <w:b/>
                <w:bCs/>
                <w:sz w:val="24"/>
                <w:szCs w:val="24"/>
              </w:rPr>
              <w:t>Service quality</w:t>
            </w:r>
            <w:r>
              <w:rPr>
                <w:rFonts w:ascii="Times New Roman" w:hAnsi="Times New Roman" w:cs="Times New Roman"/>
                <w:sz w:val="24"/>
                <w:szCs w:val="24"/>
              </w:rPr>
              <w:t xml:space="preserve"> – The quality has been downgraded over the past three years.</w:t>
            </w:r>
          </w:p>
        </w:tc>
      </w:tr>
      <w:tr w:rsidR="009D2323" w14:paraId="7FF97DD7" w14:textId="77777777" w:rsidTr="009D2323">
        <w:tc>
          <w:tcPr>
            <w:tcW w:w="2500" w:type="pct"/>
            <w:tcBorders>
              <w:top w:val="single" w:sz="4" w:space="0" w:color="auto"/>
              <w:left w:val="single" w:sz="4" w:space="0" w:color="auto"/>
              <w:bottom w:val="single" w:sz="4" w:space="0" w:color="auto"/>
              <w:right w:val="single" w:sz="4" w:space="0" w:color="auto"/>
            </w:tcBorders>
            <w:hideMark/>
          </w:tcPr>
          <w:p w14:paraId="05749DE6" w14:textId="77777777" w:rsidR="009D2323" w:rsidRDefault="009D2323">
            <w:pPr>
              <w:rPr>
                <w:rFonts w:ascii="Times New Roman" w:hAnsi="Times New Roman" w:cs="Times New Roman"/>
                <w:b/>
                <w:sz w:val="24"/>
                <w:szCs w:val="24"/>
              </w:rPr>
            </w:pPr>
            <w:r>
              <w:rPr>
                <w:rFonts w:ascii="Times New Roman" w:hAnsi="Times New Roman" w:cs="Times New Roman"/>
                <w:b/>
                <w:sz w:val="24"/>
                <w:szCs w:val="24"/>
              </w:rPr>
              <w:t>Opportunities</w:t>
            </w:r>
          </w:p>
        </w:tc>
        <w:tc>
          <w:tcPr>
            <w:tcW w:w="2500" w:type="pct"/>
            <w:tcBorders>
              <w:top w:val="single" w:sz="4" w:space="0" w:color="auto"/>
              <w:left w:val="single" w:sz="4" w:space="0" w:color="auto"/>
              <w:bottom w:val="single" w:sz="4" w:space="0" w:color="auto"/>
              <w:right w:val="single" w:sz="4" w:space="0" w:color="auto"/>
            </w:tcBorders>
            <w:hideMark/>
          </w:tcPr>
          <w:p w14:paraId="65DA3A3F" w14:textId="77777777" w:rsidR="009D2323" w:rsidRDefault="009D2323">
            <w:pPr>
              <w:rPr>
                <w:rFonts w:ascii="Times New Roman" w:hAnsi="Times New Roman" w:cs="Times New Roman"/>
                <w:b/>
                <w:sz w:val="24"/>
                <w:szCs w:val="24"/>
              </w:rPr>
            </w:pPr>
            <w:r>
              <w:rPr>
                <w:rFonts w:ascii="Times New Roman" w:hAnsi="Times New Roman" w:cs="Times New Roman"/>
                <w:b/>
                <w:sz w:val="24"/>
                <w:szCs w:val="24"/>
              </w:rPr>
              <w:t>Threats</w:t>
            </w:r>
          </w:p>
        </w:tc>
      </w:tr>
      <w:tr w:rsidR="009D2323" w14:paraId="384AE9EC" w14:textId="77777777" w:rsidTr="009D2323">
        <w:tc>
          <w:tcPr>
            <w:tcW w:w="2500" w:type="pct"/>
            <w:tcBorders>
              <w:top w:val="single" w:sz="4" w:space="0" w:color="auto"/>
              <w:left w:val="single" w:sz="4" w:space="0" w:color="auto"/>
              <w:bottom w:val="single" w:sz="4" w:space="0" w:color="auto"/>
              <w:right w:val="single" w:sz="4" w:space="0" w:color="auto"/>
            </w:tcBorders>
            <w:hideMark/>
          </w:tcPr>
          <w:p w14:paraId="215DA415" w14:textId="77777777" w:rsidR="009D2323" w:rsidRDefault="009D2323" w:rsidP="00D52032">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Low-season tactics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Chiriko, (2021), t</w:t>
            </w:r>
            <w:r>
              <w:rPr>
                <w:rFonts w:ascii="Times New Roman" w:hAnsi="Times New Roman" w:cs="Times New Roman"/>
                <w:sz w:val="24"/>
                <w:szCs w:val="24"/>
              </w:rPr>
              <w:t>he resort can apply different strategies in low-season time and their operational cost can also be declined.</w:t>
            </w:r>
          </w:p>
          <w:p w14:paraId="206C8097" w14:textId="77777777" w:rsidR="009D2323" w:rsidRDefault="009D2323" w:rsidP="00D52032">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Short-term investment</w:t>
            </w:r>
            <w:r>
              <w:rPr>
                <w:rFonts w:ascii="Times New Roman" w:hAnsi="Times New Roman" w:cs="Times New Roman"/>
                <w:sz w:val="24"/>
                <w:szCs w:val="24"/>
              </w:rPr>
              <w:t xml:space="preserve"> – The number of total assets is more in the business which will help in future short-term investment.</w:t>
            </w:r>
          </w:p>
        </w:tc>
        <w:tc>
          <w:tcPr>
            <w:tcW w:w="2500" w:type="pct"/>
            <w:tcBorders>
              <w:top w:val="single" w:sz="4" w:space="0" w:color="auto"/>
              <w:left w:val="single" w:sz="4" w:space="0" w:color="auto"/>
              <w:bottom w:val="single" w:sz="4" w:space="0" w:color="auto"/>
              <w:right w:val="single" w:sz="4" w:space="0" w:color="auto"/>
            </w:tcBorders>
            <w:hideMark/>
          </w:tcPr>
          <w:p w14:paraId="7D8DD4DA" w14:textId="77777777" w:rsidR="009D2323" w:rsidRDefault="009D2323" w:rsidP="00D52032">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High competition</w:t>
            </w:r>
            <w:r>
              <w:rPr>
                <w:rFonts w:ascii="Times New Roman" w:hAnsi="Times New Roman" w:cs="Times New Roman"/>
                <w:sz w:val="24"/>
                <w:szCs w:val="24"/>
              </w:rPr>
              <w:t xml:space="preserve"> – According to </w:t>
            </w:r>
            <w:proofErr w:type="spellStart"/>
            <w:r>
              <w:rPr>
                <w:rFonts w:ascii="Times New Roman" w:hAnsi="Times New Roman" w:cs="Times New Roman"/>
                <w:color w:val="222222"/>
                <w:sz w:val="24"/>
                <w:szCs w:val="24"/>
                <w:shd w:val="clear" w:color="auto" w:fill="FFFFFF"/>
              </w:rPr>
              <w:t>Dimitrić</w:t>
            </w:r>
            <w:proofErr w:type="spellEnd"/>
            <w:r>
              <w:rPr>
                <w:rFonts w:ascii="Times New Roman" w:hAnsi="Times New Roman" w:cs="Times New Roman"/>
                <w:color w:val="222222"/>
                <w:sz w:val="24"/>
                <w:szCs w:val="24"/>
                <w:shd w:val="clear" w:color="auto" w:fill="FFFFFF"/>
              </w:rPr>
              <w:t xml:space="preserve"> et al., (2019), t</w:t>
            </w:r>
            <w:r>
              <w:rPr>
                <w:rFonts w:ascii="Times New Roman" w:hAnsi="Times New Roman" w:cs="Times New Roman"/>
                <w:sz w:val="24"/>
                <w:szCs w:val="24"/>
              </w:rPr>
              <w:t xml:space="preserve">he coastal resort market is highly competitive with some new efficient resorts which makes it less profitable </w:t>
            </w:r>
          </w:p>
          <w:p w14:paraId="452BB1A5" w14:textId="77777777" w:rsidR="009D2323" w:rsidRDefault="009D2323" w:rsidP="00D52032">
            <w:pPr>
              <w:pStyle w:val="ListParagraph"/>
              <w:numPr>
                <w:ilvl w:val="0"/>
                <w:numId w:val="4"/>
              </w:numPr>
              <w:rPr>
                <w:rFonts w:ascii="Times New Roman" w:hAnsi="Times New Roman" w:cs="Times New Roman"/>
                <w:sz w:val="24"/>
                <w:szCs w:val="24"/>
              </w:rPr>
            </w:pPr>
            <w:r>
              <w:rPr>
                <w:rFonts w:ascii="Times New Roman" w:hAnsi="Times New Roman" w:cs="Times New Roman"/>
                <w:b/>
                <w:bCs/>
                <w:sz w:val="24"/>
                <w:szCs w:val="24"/>
              </w:rPr>
              <w:t>Customer Preferences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Navratil et al., (2019), t</w:t>
            </w:r>
            <w:r>
              <w:rPr>
                <w:rFonts w:ascii="Times New Roman" w:hAnsi="Times New Roman" w:cs="Times New Roman"/>
                <w:sz w:val="24"/>
                <w:szCs w:val="24"/>
              </w:rPr>
              <w:t>he customers are more attracted to experiential tourism and eco-friendly resorts.</w:t>
            </w:r>
          </w:p>
        </w:tc>
      </w:tr>
    </w:tbl>
    <w:p w14:paraId="2CFCDA8D"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7B592890" w14:textId="77777777" w:rsidR="009D2323" w:rsidRPr="009D2323" w:rsidRDefault="009D2323" w:rsidP="009D2323">
      <w:pPr>
        <w:pStyle w:val="Heading1"/>
        <w:rPr>
          <w:rFonts w:ascii="Times New Roman" w:hAnsi="Times New Roman"/>
          <w:color w:val="auto"/>
          <w:sz w:val="28"/>
          <w:szCs w:val="32"/>
        </w:rPr>
      </w:pPr>
      <w:bookmarkStart w:id="5" w:name="_Toc149647632"/>
      <w:r w:rsidRPr="009D2323">
        <w:rPr>
          <w:color w:val="auto"/>
        </w:rPr>
        <w:lastRenderedPageBreak/>
        <w:t>Market Analysis</w:t>
      </w:r>
      <w:bookmarkEnd w:id="5"/>
    </w:p>
    <w:p w14:paraId="2676183F"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Target Customer Segments</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Nica et al., (2019), t</w:t>
      </w:r>
      <w:r>
        <w:rPr>
          <w:rFonts w:ascii="Times New Roman" w:hAnsi="Times New Roman" w:cs="Times New Roman"/>
          <w:sz w:val="24"/>
          <w:szCs w:val="24"/>
        </w:rPr>
        <w:t>he target customers are now moving towards eco-friendly as well as experiential tourism. The resort has customer reviews that were downgrading service quality and outdated facilities.</w:t>
      </w:r>
    </w:p>
    <w:p w14:paraId="1B8CED26"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Potential Growth Opportunities</w:t>
      </w:r>
      <w:r>
        <w:rPr>
          <w:rFonts w:ascii="Times New Roman" w:hAnsi="Times New Roman" w:cs="Times New Roman"/>
          <w:sz w:val="24"/>
          <w:szCs w:val="24"/>
        </w:rPr>
        <w:t xml:space="preserve"> – The resort has a potential growth opportunity of investing in short-term investments as it has a good availability of assets. The total assets recorded in 2022 were £1,200,000.</w:t>
      </w:r>
    </w:p>
    <w:p w14:paraId="0872907E"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There is a </w:t>
      </w:r>
      <w:r>
        <w:rPr>
          <w:rFonts w:ascii="Times New Roman" w:hAnsi="Times New Roman" w:cs="Times New Roman"/>
          <w:b/>
          <w:bCs/>
          <w:sz w:val="24"/>
          <w:szCs w:val="24"/>
        </w:rPr>
        <w:t xml:space="preserve">competitive landscape </w:t>
      </w:r>
      <w:r>
        <w:rPr>
          <w:rFonts w:ascii="Times New Roman" w:hAnsi="Times New Roman" w:cs="Times New Roman"/>
          <w:sz w:val="24"/>
          <w:szCs w:val="24"/>
        </w:rPr>
        <w:t xml:space="preserve">as The Seaview Resort resides on a picturesque coastline. According to </w:t>
      </w:r>
      <w:r>
        <w:rPr>
          <w:rFonts w:ascii="Times New Roman" w:hAnsi="Times New Roman" w:cs="Times New Roman"/>
          <w:color w:val="222222"/>
          <w:sz w:val="24"/>
          <w:szCs w:val="24"/>
          <w:shd w:val="clear" w:color="auto" w:fill="FFFFFF"/>
        </w:rPr>
        <w:t>Fang et al., (2019), t</w:t>
      </w:r>
      <w:r>
        <w:rPr>
          <w:rFonts w:ascii="Times New Roman" w:hAnsi="Times New Roman" w:cs="Times New Roman"/>
          <w:sz w:val="24"/>
          <w:szCs w:val="24"/>
        </w:rPr>
        <w:t xml:space="preserve">he premium location served by the resort will charge a premium price for the rooms. The </w:t>
      </w:r>
      <w:r>
        <w:rPr>
          <w:rFonts w:ascii="Times New Roman" w:hAnsi="Times New Roman" w:cs="Times New Roman"/>
          <w:b/>
          <w:bCs/>
          <w:sz w:val="24"/>
          <w:szCs w:val="24"/>
        </w:rPr>
        <w:t>market trends</w:t>
      </w:r>
      <w:r>
        <w:rPr>
          <w:rFonts w:ascii="Times New Roman" w:hAnsi="Times New Roman" w:cs="Times New Roman"/>
          <w:sz w:val="24"/>
          <w:szCs w:val="24"/>
        </w:rPr>
        <w:t xml:space="preserve"> were analyzed as the customer preferences were moving towards eco-friendly and experiential tourism. The new resorts are providing good services and updated amenities.</w:t>
      </w:r>
    </w:p>
    <w:p w14:paraId="2E1DE267"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4B835ED6" w14:textId="77777777" w:rsidR="009D2323" w:rsidRPr="009D2323" w:rsidRDefault="009D2323" w:rsidP="009D2323">
      <w:pPr>
        <w:pStyle w:val="Heading1"/>
        <w:rPr>
          <w:rFonts w:ascii="Times New Roman" w:hAnsi="Times New Roman"/>
          <w:color w:val="auto"/>
          <w:sz w:val="28"/>
          <w:szCs w:val="32"/>
        </w:rPr>
      </w:pPr>
      <w:bookmarkStart w:id="6" w:name="_Toc149647633"/>
      <w:r w:rsidRPr="009D2323">
        <w:rPr>
          <w:color w:val="auto"/>
        </w:rPr>
        <w:lastRenderedPageBreak/>
        <w:t>Turnaround Strategy (2023-2026)</w:t>
      </w:r>
      <w:bookmarkEnd w:id="6"/>
    </w:p>
    <w:p w14:paraId="09DA1448" w14:textId="77777777" w:rsidR="009D2323" w:rsidRDefault="009D2323" w:rsidP="009D2323">
      <w:pPr>
        <w:pStyle w:val="ListParagraph"/>
        <w:numPr>
          <w:ilvl w:val="0"/>
          <w:numId w:val="5"/>
        </w:numPr>
        <w:rPr>
          <w:rFonts w:ascii="Times New Roman" w:hAnsi="Times New Roman" w:cs="Times New Roman"/>
          <w:sz w:val="24"/>
          <w:szCs w:val="24"/>
        </w:rPr>
      </w:pPr>
      <w:r>
        <w:rPr>
          <w:rFonts w:ascii="Times New Roman" w:hAnsi="Times New Roman" w:cs="Times New Roman"/>
          <w:b/>
          <w:bCs/>
          <w:sz w:val="24"/>
          <w:szCs w:val="24"/>
        </w:rPr>
        <w:t>Revenue Growth</w:t>
      </w:r>
      <w:r>
        <w:rPr>
          <w:rFonts w:ascii="Times New Roman" w:hAnsi="Times New Roman" w:cs="Times New Roman"/>
          <w:sz w:val="24"/>
          <w:szCs w:val="24"/>
        </w:rPr>
        <w:t xml:space="preserve"> – As per </w:t>
      </w:r>
      <w:proofErr w:type="spellStart"/>
      <w:r>
        <w:rPr>
          <w:rFonts w:ascii="Times New Roman" w:hAnsi="Times New Roman" w:cs="Times New Roman"/>
          <w:color w:val="222222"/>
          <w:sz w:val="24"/>
          <w:szCs w:val="24"/>
          <w:shd w:val="clear" w:color="auto" w:fill="FFFFFF"/>
        </w:rPr>
        <w:t>Mucharreira</w:t>
      </w:r>
      <w:proofErr w:type="spellEnd"/>
      <w:r>
        <w:rPr>
          <w:rFonts w:ascii="Times New Roman" w:hAnsi="Times New Roman" w:cs="Times New Roman"/>
          <w:sz w:val="24"/>
          <w:szCs w:val="24"/>
        </w:rPr>
        <w:t xml:space="preserve"> et al., (2019), it has been forecasted that the net revenue will grow by 30% every year from 2023 to 2026. The net revenue earned by the resort in 2022 was £430,000 which needs to be improved by increasing the sales price of rooms.</w:t>
      </w:r>
    </w:p>
    <w:p w14:paraId="0E48CE26" w14:textId="77777777" w:rsidR="009D2323" w:rsidRDefault="009D2323" w:rsidP="009D2323">
      <w:pPr>
        <w:pStyle w:val="ListParagraph"/>
        <w:numPr>
          <w:ilvl w:val="0"/>
          <w:numId w:val="5"/>
        </w:numPr>
        <w:rPr>
          <w:rFonts w:ascii="Times New Roman" w:hAnsi="Times New Roman" w:cs="Times New Roman"/>
          <w:sz w:val="24"/>
          <w:szCs w:val="24"/>
        </w:rPr>
      </w:pPr>
      <w:r>
        <w:rPr>
          <w:rFonts w:ascii="Times New Roman" w:hAnsi="Times New Roman" w:cs="Times New Roman"/>
          <w:b/>
          <w:bCs/>
          <w:sz w:val="24"/>
          <w:szCs w:val="24"/>
        </w:rPr>
        <w:t>Net Profit Margin Target</w:t>
      </w:r>
      <w:r>
        <w:rPr>
          <w:rFonts w:ascii="Times New Roman" w:hAnsi="Times New Roman" w:cs="Times New Roman"/>
          <w:sz w:val="24"/>
          <w:szCs w:val="24"/>
        </w:rPr>
        <w:t xml:space="preserve"> – The Net Profit Margin found in 2022 was 4% which is near the terms of loss. It is projected that the net profit margin will increase by 4% every year from 2023 to 2026 due to the increase in occupancy rates and premium pricing.</w:t>
      </w:r>
    </w:p>
    <w:p w14:paraId="1A193FEE" w14:textId="77777777" w:rsidR="009D2323" w:rsidRDefault="009D2323" w:rsidP="009D2323">
      <w:pPr>
        <w:pStyle w:val="ListParagraph"/>
        <w:numPr>
          <w:ilvl w:val="0"/>
          <w:numId w:val="5"/>
        </w:numPr>
        <w:rPr>
          <w:rFonts w:ascii="Times New Roman" w:hAnsi="Times New Roman" w:cs="Times New Roman"/>
          <w:sz w:val="24"/>
          <w:szCs w:val="24"/>
        </w:rPr>
      </w:pPr>
      <w:r>
        <w:rPr>
          <w:rFonts w:ascii="Times New Roman" w:hAnsi="Times New Roman" w:cs="Times New Roman"/>
          <w:b/>
          <w:bCs/>
          <w:sz w:val="24"/>
          <w:szCs w:val="24"/>
        </w:rPr>
        <w:t>Cash Flow Break-even</w:t>
      </w:r>
      <w:r>
        <w:rPr>
          <w:rFonts w:ascii="Times New Roman" w:hAnsi="Times New Roman" w:cs="Times New Roman"/>
          <w:sz w:val="24"/>
          <w:szCs w:val="24"/>
        </w:rPr>
        <w:t xml:space="preserve"> – The net cash flow of the resort was recorded to be at £-110,000. There had been a loss in the year 2022 which should be converted into gains while recovering the past losses by earning the cash flow not only from operational activity but also from investing and financing activities. The net cash flow earned by the resort should increase by 20% in the next years.</w:t>
      </w:r>
    </w:p>
    <w:p w14:paraId="55B642CF"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4C2DE5A0" w14:textId="77777777" w:rsidR="009D2323" w:rsidRPr="009D2323" w:rsidRDefault="009D2323" w:rsidP="009D2323">
      <w:pPr>
        <w:pStyle w:val="Heading1"/>
        <w:rPr>
          <w:rFonts w:ascii="Times New Roman" w:hAnsi="Times New Roman"/>
          <w:color w:val="auto"/>
          <w:sz w:val="28"/>
          <w:szCs w:val="32"/>
        </w:rPr>
      </w:pPr>
      <w:bookmarkStart w:id="7" w:name="_Toc149647634"/>
      <w:r w:rsidRPr="009D2323">
        <w:rPr>
          <w:color w:val="auto"/>
        </w:rPr>
        <w:lastRenderedPageBreak/>
        <w:t>Financial Projections</w:t>
      </w:r>
      <w:bookmarkEnd w:id="7"/>
    </w:p>
    <w:p w14:paraId="17CF1095" w14:textId="5BAA9232" w:rsidR="009D2323" w:rsidRDefault="009D2323" w:rsidP="009D2323">
      <w:pPr>
        <w:pStyle w:val="Caption"/>
      </w:pPr>
      <w:r>
        <w:rPr>
          <w:noProof/>
        </w:rPr>
        <w:drawing>
          <wp:inline distT="0" distB="0" distL="0" distR="0" wp14:anchorId="36F9507A" wp14:editId="4C44B673">
            <wp:extent cx="5303520" cy="2251075"/>
            <wp:effectExtent l="0" t="0" r="0" b="0"/>
            <wp:docPr id="20713198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309843" cy="2253759"/>
                    </a:xfrm>
                    <a:prstGeom prst="rect">
                      <a:avLst/>
                    </a:prstGeom>
                    <a:noFill/>
                    <a:ln>
                      <a:noFill/>
                    </a:ln>
                  </pic:spPr>
                </pic:pic>
              </a:graphicData>
            </a:graphic>
          </wp:inline>
        </w:drawing>
      </w:r>
    </w:p>
    <w:p w14:paraId="7DBBD55A" w14:textId="77777777" w:rsidR="009D2323" w:rsidRDefault="009D2323" w:rsidP="009D2323">
      <w:pPr>
        <w:pStyle w:val="Caption"/>
        <w:rPr>
          <w:rFonts w:ascii="Times New Roman" w:hAnsi="Times New Roman" w:cs="Times New Roman"/>
          <w:b w:val="0"/>
          <w:bCs w:val="0"/>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6</w:t>
      </w:r>
      <w:r>
        <w:rPr>
          <w:noProof/>
          <w:color w:val="auto"/>
        </w:rPr>
        <w:fldChar w:fldCharType="end"/>
      </w:r>
      <w:r>
        <w:rPr>
          <w:color w:val="auto"/>
        </w:rPr>
        <w:t xml:space="preserve"> Income Statement Financial Projection</w:t>
      </w:r>
    </w:p>
    <w:p w14:paraId="29F4EADD" w14:textId="6C07FEEE" w:rsidR="009D2323" w:rsidRDefault="009D2323" w:rsidP="009D2323">
      <w:pPr>
        <w:rPr>
          <w:rFonts w:ascii="Times New Roman" w:hAnsi="Times New Roman" w:cs="Times New Roman"/>
          <w:b/>
          <w:bCs/>
          <w:sz w:val="24"/>
          <w:szCs w:val="24"/>
        </w:rPr>
      </w:pPr>
      <w:r>
        <w:rPr>
          <w:rFonts w:ascii="Times New Roman" w:hAnsi="Times New Roman" w:cs="Times New Roman"/>
          <w:b/>
          <w:bCs/>
          <w:sz w:val="24"/>
          <w:szCs w:val="24"/>
        </w:rPr>
        <w:t>Income Statement</w:t>
      </w:r>
      <w:r>
        <w:rPr>
          <w:rFonts w:ascii="Times New Roman" w:hAnsi="Times New Roman" w:cs="Times New Roman"/>
          <w:sz w:val="24"/>
          <w:szCs w:val="24"/>
        </w:rPr>
        <w:t xml:space="preserve"> – As per </w:t>
      </w:r>
      <w:proofErr w:type="spellStart"/>
      <w:r>
        <w:rPr>
          <w:rFonts w:ascii="Times New Roman" w:hAnsi="Times New Roman" w:cs="Times New Roman"/>
          <w:color w:val="222222"/>
          <w:sz w:val="24"/>
          <w:szCs w:val="24"/>
          <w:shd w:val="clear" w:color="auto" w:fill="FFFFFF"/>
        </w:rPr>
        <w:t>Nugraha</w:t>
      </w:r>
      <w:proofErr w:type="spellEnd"/>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 xml:space="preserve"> the income statement assumed for 2023 to 2026 will increase the revenue by 30% every year. The net profit margin is assumed to increase </w:t>
      </w:r>
      <w:r w:rsidR="00A73AB2">
        <w:rPr>
          <w:noProof/>
        </w:rPr>
        <w:drawing>
          <wp:inline distT="0" distB="0" distL="0" distR="0" wp14:anchorId="09CBE01C" wp14:editId="00E8DB6A">
            <wp:extent cx="5318760" cy="2949575"/>
            <wp:effectExtent l="0" t="0" r="0" b="0"/>
            <wp:docPr id="10875412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21399" cy="2951038"/>
                    </a:xfrm>
                    <a:prstGeom prst="rect">
                      <a:avLst/>
                    </a:prstGeom>
                    <a:noFill/>
                    <a:ln>
                      <a:noFill/>
                    </a:ln>
                  </pic:spPr>
                </pic:pic>
              </a:graphicData>
            </a:graphic>
          </wp:inline>
        </w:drawing>
      </w:r>
      <w:r>
        <w:rPr>
          <w:rFonts w:ascii="Times New Roman" w:hAnsi="Times New Roman" w:cs="Times New Roman"/>
          <w:sz w:val="24"/>
          <w:szCs w:val="24"/>
        </w:rPr>
        <w:t>by 4% every year from 2023 to 2026 (Appendix 6).</w:t>
      </w:r>
    </w:p>
    <w:p w14:paraId="33E2DBDB" w14:textId="669E41E1" w:rsidR="009D2323" w:rsidRDefault="009D2323" w:rsidP="009D2323">
      <w:pPr>
        <w:pStyle w:val="Caption"/>
        <w:rPr>
          <w:sz w:val="18"/>
          <w:szCs w:val="18"/>
        </w:rPr>
      </w:pPr>
    </w:p>
    <w:p w14:paraId="2119238C" w14:textId="77777777" w:rsidR="009D2323" w:rsidRDefault="009D2323" w:rsidP="009D2323">
      <w:pPr>
        <w:pStyle w:val="Caption"/>
        <w:rPr>
          <w:rFonts w:ascii="Times New Roman" w:hAnsi="Times New Roman" w:cs="Times New Roman"/>
          <w:b w:val="0"/>
          <w:bCs w:val="0"/>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7</w:t>
      </w:r>
      <w:r>
        <w:rPr>
          <w:noProof/>
          <w:color w:val="auto"/>
        </w:rPr>
        <w:fldChar w:fldCharType="end"/>
      </w:r>
      <w:r>
        <w:rPr>
          <w:color w:val="auto"/>
        </w:rPr>
        <w:t xml:space="preserve"> Balance Sheet Financial Projection</w:t>
      </w:r>
    </w:p>
    <w:p w14:paraId="5C75742B" w14:textId="77777777" w:rsidR="009D2323" w:rsidRDefault="009D2323" w:rsidP="009D2323">
      <w:pPr>
        <w:rPr>
          <w:rFonts w:ascii="Times New Roman" w:hAnsi="Times New Roman" w:cs="Times New Roman"/>
          <w:b/>
          <w:bCs/>
          <w:sz w:val="24"/>
          <w:szCs w:val="24"/>
        </w:rPr>
      </w:pPr>
      <w:r>
        <w:rPr>
          <w:rFonts w:ascii="Times New Roman" w:hAnsi="Times New Roman" w:cs="Times New Roman"/>
          <w:b/>
          <w:bCs/>
          <w:sz w:val="24"/>
          <w:szCs w:val="24"/>
        </w:rPr>
        <w:t xml:space="preserve">Balance Sheet - </w:t>
      </w:r>
      <w:r>
        <w:rPr>
          <w:rFonts w:ascii="Times New Roman" w:hAnsi="Times New Roman" w:cs="Times New Roman"/>
          <w:sz w:val="24"/>
          <w:szCs w:val="24"/>
        </w:rPr>
        <w:t>The balance sheet from 2023 to 2026 is assumed to increase the assets and liabilities by 10% every year (Appendix 7).</w:t>
      </w:r>
    </w:p>
    <w:p w14:paraId="20F68C4F" w14:textId="04CE7BE6" w:rsidR="009D2323" w:rsidRDefault="009D2323" w:rsidP="009D2323">
      <w:pPr>
        <w:pStyle w:val="Caption"/>
        <w:rPr>
          <w:sz w:val="18"/>
          <w:szCs w:val="18"/>
        </w:rPr>
      </w:pPr>
      <w:r>
        <w:rPr>
          <w:noProof/>
        </w:rPr>
        <w:lastRenderedPageBreak/>
        <w:drawing>
          <wp:inline distT="0" distB="0" distL="0" distR="0" wp14:anchorId="7B9D7ED3" wp14:editId="793BC3AB">
            <wp:extent cx="5731510" cy="1616710"/>
            <wp:effectExtent l="0" t="0" r="2540" b="0"/>
            <wp:docPr id="17681373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616710"/>
                    </a:xfrm>
                    <a:prstGeom prst="rect">
                      <a:avLst/>
                    </a:prstGeom>
                    <a:noFill/>
                    <a:ln>
                      <a:noFill/>
                    </a:ln>
                  </pic:spPr>
                </pic:pic>
              </a:graphicData>
            </a:graphic>
          </wp:inline>
        </w:drawing>
      </w:r>
    </w:p>
    <w:p w14:paraId="2D7181C0" w14:textId="77777777" w:rsidR="009D2323" w:rsidRDefault="009D2323" w:rsidP="009D2323">
      <w:pPr>
        <w:pStyle w:val="Caption"/>
        <w:rPr>
          <w:rFonts w:ascii="Times New Roman" w:hAnsi="Times New Roman" w:cs="Times New Roman"/>
          <w:b w:val="0"/>
          <w:bCs w:val="0"/>
          <w:color w:val="auto"/>
          <w:sz w:val="24"/>
          <w:szCs w:val="24"/>
        </w:rPr>
      </w:pPr>
      <w:r>
        <w:rPr>
          <w:color w:val="auto"/>
        </w:rPr>
        <w:t xml:space="preserve">Table </w:t>
      </w:r>
      <w:r>
        <w:rPr>
          <w:color w:val="auto"/>
        </w:rPr>
        <w:fldChar w:fldCharType="begin"/>
      </w:r>
      <w:r>
        <w:rPr>
          <w:color w:val="auto"/>
        </w:rPr>
        <w:instrText xml:space="preserve"> SEQ Table \* ARABIC </w:instrText>
      </w:r>
      <w:r>
        <w:rPr>
          <w:color w:val="auto"/>
        </w:rPr>
        <w:fldChar w:fldCharType="separate"/>
      </w:r>
      <w:r>
        <w:rPr>
          <w:noProof/>
          <w:color w:val="auto"/>
        </w:rPr>
        <w:t>8</w:t>
      </w:r>
      <w:r>
        <w:rPr>
          <w:noProof/>
          <w:color w:val="auto"/>
        </w:rPr>
        <w:fldChar w:fldCharType="end"/>
      </w:r>
      <w:r>
        <w:rPr>
          <w:color w:val="auto"/>
        </w:rPr>
        <w:t xml:space="preserve"> Cash Flow Financial Projection</w:t>
      </w:r>
    </w:p>
    <w:p w14:paraId="768B6E6D"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Cash Flow Statement</w:t>
      </w:r>
      <w:r>
        <w:rPr>
          <w:rFonts w:ascii="Times New Roman" w:hAnsi="Times New Roman" w:cs="Times New Roman"/>
          <w:sz w:val="24"/>
          <w:szCs w:val="24"/>
        </w:rPr>
        <w:t xml:space="preserve"> – According to </w:t>
      </w:r>
      <w:proofErr w:type="spellStart"/>
      <w:r>
        <w:rPr>
          <w:rFonts w:ascii="Times New Roman" w:hAnsi="Times New Roman" w:cs="Times New Roman"/>
          <w:color w:val="222222"/>
          <w:sz w:val="24"/>
          <w:szCs w:val="24"/>
          <w:shd w:val="clear" w:color="auto" w:fill="FFFFFF"/>
        </w:rPr>
        <w:t>Nugraha</w:t>
      </w:r>
      <w:proofErr w:type="spellEnd"/>
      <w:r>
        <w:rPr>
          <w:rFonts w:ascii="Times New Roman" w:hAnsi="Times New Roman" w:cs="Times New Roman"/>
          <w:color w:val="222222"/>
          <w:sz w:val="24"/>
          <w:szCs w:val="24"/>
          <w:shd w:val="clear" w:color="auto" w:fill="FFFFFF"/>
        </w:rPr>
        <w:t xml:space="preserve"> et al., (2020), </w:t>
      </w:r>
      <w:r>
        <w:rPr>
          <w:rFonts w:ascii="Times New Roman" w:hAnsi="Times New Roman" w:cs="Times New Roman"/>
          <w:sz w:val="24"/>
          <w:szCs w:val="24"/>
        </w:rPr>
        <w:t>it has been assumed that the net cash flow from operations from 2023 to 2026 will increase by 20% which has also increased the change in net cash flow by the previous years (Appendix 8).</w:t>
      </w:r>
    </w:p>
    <w:p w14:paraId="5E1836F8" w14:textId="77777777" w:rsidR="009D2323" w:rsidRDefault="009D2323" w:rsidP="009D2323">
      <w:pPr>
        <w:rPr>
          <w:rFonts w:ascii="Times New Roman" w:eastAsiaTheme="majorEastAsia" w:hAnsi="Times New Roman" w:cstheme="majorBidi"/>
          <w:b/>
          <w:color w:val="000000" w:themeColor="text1"/>
          <w:sz w:val="28"/>
          <w:szCs w:val="32"/>
        </w:rPr>
      </w:pPr>
      <w:r>
        <w:rPr>
          <w:kern w:val="0"/>
          <w14:ligatures w14:val="none"/>
        </w:rPr>
        <w:br w:type="page"/>
      </w:r>
    </w:p>
    <w:p w14:paraId="6201AD2C" w14:textId="77777777" w:rsidR="009D2323" w:rsidRDefault="009D2323" w:rsidP="009D2323">
      <w:pPr>
        <w:pStyle w:val="Heading1"/>
        <w:rPr>
          <w:rFonts w:ascii="Times New Roman" w:hAnsi="Times New Roman"/>
          <w:b/>
          <w:color w:val="000000" w:themeColor="text1"/>
          <w:sz w:val="28"/>
          <w:szCs w:val="32"/>
        </w:rPr>
      </w:pPr>
      <w:bookmarkStart w:id="8" w:name="_Toc149647635"/>
      <w:r w:rsidRPr="009D2323">
        <w:rPr>
          <w:color w:val="auto"/>
        </w:rPr>
        <w:lastRenderedPageBreak/>
        <w:t>Risk Assessment</w:t>
      </w:r>
      <w:bookmarkEnd w:id="8"/>
    </w:p>
    <w:p w14:paraId="755D4C18"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Managing costs</w:t>
      </w:r>
      <w:r>
        <w:rPr>
          <w:rFonts w:ascii="Times New Roman" w:hAnsi="Times New Roman" w:cs="Times New Roman"/>
          <w:sz w:val="24"/>
          <w:szCs w:val="24"/>
        </w:rPr>
        <w:t xml:space="preserve"> – The </w:t>
      </w:r>
      <w:r>
        <w:rPr>
          <w:rFonts w:ascii="Times New Roman" w:hAnsi="Times New Roman" w:cs="Times New Roman"/>
          <w:b/>
          <w:bCs/>
          <w:sz w:val="24"/>
          <w:szCs w:val="24"/>
        </w:rPr>
        <w:t>revenue</w:t>
      </w:r>
      <w:r>
        <w:rPr>
          <w:rFonts w:ascii="Times New Roman" w:hAnsi="Times New Roman" w:cs="Times New Roman"/>
          <w:sz w:val="24"/>
          <w:szCs w:val="24"/>
        </w:rPr>
        <w:t xml:space="preserve"> in the past years was decreasing which will cause the resort to pay the costs to recover the expenses. The resort has assumed to increase the revenue by 30%. As per Gantner, (2023), the increasing revenue will cause increasing costs for the resort which will lead to restructuring the strategies accordingly. The increasing managing costs can lead to layoffs and move the costs upside-down.</w:t>
      </w:r>
    </w:p>
    <w:p w14:paraId="173D3021"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Mitigating Plan</w:t>
      </w:r>
      <w:r>
        <w:rPr>
          <w:rFonts w:ascii="Times New Roman" w:hAnsi="Times New Roman" w:cs="Times New Roman"/>
          <w:sz w:val="24"/>
          <w:szCs w:val="24"/>
        </w:rPr>
        <w:t xml:space="preserve"> – The firm should make a top-down or bottom-up approach in their budget to decline the risk. As per Gantner, (2023), this will help the organization to enhance the financial view in the areas in which risk was affecting. The resort must increase the sale price of the rooms.</w:t>
      </w:r>
    </w:p>
    <w:p w14:paraId="216C1BC3"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Marketing costs</w:t>
      </w:r>
      <w:r>
        <w:rPr>
          <w:rFonts w:ascii="Times New Roman" w:hAnsi="Times New Roman" w:cs="Times New Roman"/>
          <w:sz w:val="24"/>
          <w:szCs w:val="24"/>
        </w:rPr>
        <w:t xml:space="preserve"> – The resort had losses over the past three years and it is assumed to increase the net profit margin in the turnaround strategy by 4% every year from 2023 to 2026. As per </w:t>
      </w:r>
      <w:r>
        <w:rPr>
          <w:rFonts w:ascii="Times New Roman" w:hAnsi="Times New Roman" w:cs="Times New Roman"/>
          <w:color w:val="222222"/>
          <w:sz w:val="24"/>
          <w:szCs w:val="24"/>
          <w:shd w:val="clear" w:color="auto" w:fill="FFFFFF"/>
        </w:rPr>
        <w:t>KHAN</w:t>
      </w:r>
      <w:r>
        <w:rPr>
          <w:rFonts w:ascii="Times New Roman" w:hAnsi="Times New Roman" w:cs="Times New Roman"/>
          <w:sz w:val="24"/>
          <w:szCs w:val="24"/>
        </w:rPr>
        <w:t xml:space="preserve"> et al., (2018), the net profit margin has a risk of increasing marketing costs as the firm will spend on advertising expenses.</w:t>
      </w:r>
    </w:p>
    <w:p w14:paraId="4B71BD0A"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Mitigating Plan</w:t>
      </w:r>
      <w:r>
        <w:rPr>
          <w:rFonts w:ascii="Times New Roman" w:hAnsi="Times New Roman" w:cs="Times New Roman"/>
          <w:sz w:val="24"/>
          <w:szCs w:val="24"/>
        </w:rPr>
        <w:t xml:space="preserve"> – As per Markgraf, (2023), the resort should increase its revenue and profit as well. This will make them cost-effective in the future. The resort should increase its occupancy rate and premium pricing.</w:t>
      </w:r>
    </w:p>
    <w:p w14:paraId="656E011F"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Increase in Tax</w:t>
      </w:r>
      <w:r>
        <w:rPr>
          <w:rFonts w:ascii="Times New Roman" w:hAnsi="Times New Roman" w:cs="Times New Roman"/>
          <w:sz w:val="24"/>
          <w:szCs w:val="24"/>
        </w:rPr>
        <w:t xml:space="preserve"> – As per </w:t>
      </w:r>
      <w:r>
        <w:rPr>
          <w:rFonts w:ascii="Times New Roman" w:hAnsi="Times New Roman" w:cs="Times New Roman"/>
          <w:color w:val="222222"/>
          <w:sz w:val="24"/>
          <w:szCs w:val="24"/>
          <w:shd w:val="clear" w:color="auto" w:fill="FFFFFF"/>
        </w:rPr>
        <w:t>Hang</w:t>
      </w:r>
      <w:r>
        <w:rPr>
          <w:rFonts w:ascii="Times New Roman" w:hAnsi="Times New Roman" w:cs="Times New Roman"/>
          <w:sz w:val="24"/>
          <w:szCs w:val="24"/>
        </w:rPr>
        <w:t xml:space="preserve">, (2023), the net cash was analyzed to be decreasing over the past three years. It has been assumed that the net cash flow will be increasing by 20% for every year from 2023 to 2026. </w:t>
      </w:r>
    </w:p>
    <w:p w14:paraId="482DEFF5" w14:textId="77777777" w:rsidR="009D2323" w:rsidRDefault="009D2323" w:rsidP="009D2323">
      <w:pPr>
        <w:rPr>
          <w:rFonts w:ascii="Times New Roman" w:hAnsi="Times New Roman" w:cs="Times New Roman"/>
          <w:sz w:val="24"/>
          <w:szCs w:val="24"/>
        </w:rPr>
      </w:pPr>
      <w:r>
        <w:rPr>
          <w:rFonts w:ascii="Times New Roman" w:hAnsi="Times New Roman" w:cs="Times New Roman"/>
          <w:b/>
          <w:bCs/>
          <w:sz w:val="24"/>
          <w:szCs w:val="24"/>
        </w:rPr>
        <w:t>Mitigation Plan</w:t>
      </w:r>
      <w:r>
        <w:rPr>
          <w:rFonts w:ascii="Times New Roman" w:hAnsi="Times New Roman" w:cs="Times New Roman"/>
          <w:sz w:val="24"/>
          <w:szCs w:val="24"/>
        </w:rPr>
        <w:t xml:space="preserve"> – As per CBIZ, (2023), the tax can be decreased by delaying the recognition of income and increasing expenditures. The risk of an increase in cash flow can be mitigated by earning cash from investing and financing activities.</w:t>
      </w:r>
    </w:p>
    <w:p w14:paraId="255B60D9"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3D9F2C50" w14:textId="77777777" w:rsidR="009D2323" w:rsidRPr="009D2323" w:rsidRDefault="009D2323" w:rsidP="009D2323">
      <w:pPr>
        <w:pStyle w:val="Heading1"/>
        <w:rPr>
          <w:rFonts w:ascii="Times New Roman" w:hAnsi="Times New Roman"/>
          <w:color w:val="auto"/>
          <w:sz w:val="28"/>
          <w:szCs w:val="32"/>
        </w:rPr>
      </w:pPr>
      <w:bookmarkStart w:id="9" w:name="_Toc149647636"/>
      <w:r w:rsidRPr="009D2323">
        <w:rPr>
          <w:color w:val="auto"/>
        </w:rPr>
        <w:lastRenderedPageBreak/>
        <w:t>Conclusion</w:t>
      </w:r>
      <w:bookmarkEnd w:id="9"/>
    </w:p>
    <w:p w14:paraId="1E73DDD8"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This report has concluded based on The Seaview Resort which has developed a turnaround strategy. The resort had a declined profit and revenue in the past three years which has been assumed to be increased by 30% in the revenue and 4% in the net profit margin from 2023 to 2026. The net cash flow was assumed to be increased by 20% from 2023 to 2026. The risks found in the strategy were such as increased tax, increased management, and marketing costs as they are important so that the resort can improve its outdated facilities and change them in the updated amenities. The firm will receive higher revenue from the strategies and higher margin from selling large number of rooms to the consumers. </w:t>
      </w:r>
    </w:p>
    <w:p w14:paraId="5E1266B5"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02FB1349" w14:textId="77777777" w:rsidR="009D2323" w:rsidRDefault="009D2323" w:rsidP="009D2323">
      <w:pPr>
        <w:pStyle w:val="Heading1"/>
        <w:rPr>
          <w:rFonts w:ascii="Times New Roman" w:hAnsi="Times New Roman"/>
          <w:sz w:val="28"/>
          <w:szCs w:val="32"/>
        </w:rPr>
      </w:pPr>
      <w:bookmarkStart w:id="10" w:name="_Toc149647637"/>
      <w:r w:rsidRPr="009D2323">
        <w:rPr>
          <w:color w:val="auto"/>
        </w:rPr>
        <w:lastRenderedPageBreak/>
        <w:t>Recommendation</w:t>
      </w:r>
      <w:bookmarkEnd w:id="10"/>
    </w:p>
    <w:p w14:paraId="751F8FB6"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It is recommended for The Seaview Resort that they should increase its sales by increasing its occupancy rate and average room rate. They should follow a comprehensive strategy for increasing their profitability. The firm had a low revenue in its operational activities which led them to a loss, so they should start investing and financing activities which will lead to another source of income to recover the loss of the past operational activities. </w:t>
      </w:r>
      <w:r>
        <w:rPr>
          <w:rFonts w:ascii="Times New Roman" w:hAnsi="Times New Roman" w:cs="Times New Roman"/>
          <w:sz w:val="24"/>
          <w:szCs w:val="24"/>
        </w:rPr>
        <w:br w:type="page"/>
      </w:r>
    </w:p>
    <w:p w14:paraId="56D9422A" w14:textId="77777777" w:rsidR="009D2323" w:rsidRPr="009D2323" w:rsidRDefault="009D2323" w:rsidP="009D2323">
      <w:pPr>
        <w:pStyle w:val="Heading1"/>
        <w:rPr>
          <w:rFonts w:ascii="Times New Roman" w:hAnsi="Times New Roman"/>
          <w:color w:val="auto"/>
          <w:sz w:val="28"/>
          <w:szCs w:val="32"/>
        </w:rPr>
      </w:pPr>
      <w:bookmarkStart w:id="11" w:name="_Toc149647638"/>
      <w:r w:rsidRPr="009D2323">
        <w:rPr>
          <w:color w:val="auto"/>
        </w:rPr>
        <w:lastRenderedPageBreak/>
        <w:t>Appendix</w:t>
      </w:r>
      <w:bookmarkEnd w:id="11"/>
    </w:p>
    <w:p w14:paraId="67CC1834" w14:textId="77777777" w:rsidR="009D2323" w:rsidRPr="00460E87" w:rsidRDefault="009D2323" w:rsidP="009D2323">
      <w:pPr>
        <w:pStyle w:val="Heading2"/>
        <w:rPr>
          <w:color w:val="auto"/>
        </w:rPr>
      </w:pPr>
      <w:bookmarkStart w:id="12" w:name="_Toc149647639"/>
      <w:r w:rsidRPr="00460E87">
        <w:rPr>
          <w:color w:val="auto"/>
        </w:rPr>
        <w:t>Appendix 1</w:t>
      </w:r>
      <w:bookmarkEnd w:id="12"/>
    </w:p>
    <w:p w14:paraId="1BC95FA8" w14:textId="5BB7C4AB" w:rsidR="009D2323" w:rsidRDefault="009D2323" w:rsidP="009D2323">
      <w:pPr>
        <w:rPr>
          <w:rFonts w:ascii="Times New Roman" w:hAnsi="Times New Roman" w:cs="Times New Roman"/>
          <w:sz w:val="24"/>
          <w:szCs w:val="24"/>
        </w:rPr>
      </w:pPr>
      <w:r>
        <w:rPr>
          <w:noProof/>
        </w:rPr>
        <w:drawing>
          <wp:inline distT="0" distB="0" distL="0" distR="0" wp14:anchorId="641769A6" wp14:editId="402B6468">
            <wp:extent cx="4587240" cy="2758440"/>
            <wp:effectExtent l="0" t="0" r="3810" b="3810"/>
            <wp:docPr id="109764058" name="Chart 5">
              <a:extLst xmlns:a="http://schemas.openxmlformats.org/drawingml/2006/main">
                <a:ext uri="{FF2B5EF4-FFF2-40B4-BE49-F238E27FC236}">
                  <a16:creationId xmlns:a16="http://schemas.microsoft.com/office/drawing/2014/main" id="{B1B81C49-B543-E625-6945-EA4659C1D3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7675E91" w14:textId="77777777" w:rsidR="009D2323" w:rsidRPr="009D2323" w:rsidRDefault="009D2323" w:rsidP="009D2323">
      <w:pPr>
        <w:pStyle w:val="Heading2"/>
        <w:rPr>
          <w:rFonts w:ascii="Times New Roman" w:hAnsi="Times New Roman"/>
          <w:color w:val="auto"/>
          <w:sz w:val="26"/>
          <w:szCs w:val="26"/>
        </w:rPr>
      </w:pPr>
      <w:bookmarkStart w:id="13" w:name="_Toc149647640"/>
      <w:r w:rsidRPr="009D2323">
        <w:rPr>
          <w:color w:val="auto"/>
        </w:rPr>
        <w:t>Appendix 2</w:t>
      </w:r>
      <w:bookmarkEnd w:id="13"/>
    </w:p>
    <w:p w14:paraId="73A38C6E" w14:textId="43461BC7" w:rsidR="009D2323" w:rsidRDefault="009D2323" w:rsidP="009D2323">
      <w:pPr>
        <w:rPr>
          <w:rFonts w:ascii="Times New Roman" w:hAnsi="Times New Roman" w:cs="Times New Roman"/>
          <w:sz w:val="24"/>
          <w:szCs w:val="24"/>
        </w:rPr>
      </w:pPr>
      <w:r>
        <w:rPr>
          <w:noProof/>
        </w:rPr>
        <w:drawing>
          <wp:inline distT="0" distB="0" distL="0" distR="0" wp14:anchorId="713CEF07" wp14:editId="7F643B5B">
            <wp:extent cx="4724400" cy="2926080"/>
            <wp:effectExtent l="0" t="0" r="0" b="7620"/>
            <wp:docPr id="1324126399" name="Chart 4">
              <a:extLst xmlns:a="http://schemas.openxmlformats.org/drawingml/2006/main">
                <a:ext uri="{FF2B5EF4-FFF2-40B4-BE49-F238E27FC236}">
                  <a16:creationId xmlns:a16="http://schemas.microsoft.com/office/drawing/2014/main" id="{2125B70D-7637-2AD1-9856-E2C57166C7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44F5B29" w14:textId="77777777" w:rsidR="009D2323" w:rsidRPr="009D2323" w:rsidRDefault="009D2323" w:rsidP="009D2323">
      <w:pPr>
        <w:pStyle w:val="Heading2"/>
        <w:rPr>
          <w:rFonts w:ascii="Times New Roman" w:hAnsi="Times New Roman"/>
          <w:color w:val="auto"/>
          <w:sz w:val="26"/>
          <w:szCs w:val="26"/>
        </w:rPr>
      </w:pPr>
      <w:bookmarkStart w:id="14" w:name="_Toc149647641"/>
      <w:r w:rsidRPr="009D2323">
        <w:rPr>
          <w:color w:val="auto"/>
        </w:rPr>
        <w:lastRenderedPageBreak/>
        <w:t>Appendix 3</w:t>
      </w:r>
      <w:bookmarkEnd w:id="14"/>
    </w:p>
    <w:p w14:paraId="53690FD5" w14:textId="6786CAD2" w:rsidR="009D2323" w:rsidRDefault="009D2323" w:rsidP="009D2323">
      <w:pPr>
        <w:rPr>
          <w:rFonts w:ascii="Times New Roman" w:hAnsi="Times New Roman" w:cs="Times New Roman"/>
          <w:sz w:val="24"/>
          <w:szCs w:val="24"/>
        </w:rPr>
      </w:pPr>
      <w:r>
        <w:rPr>
          <w:noProof/>
        </w:rPr>
        <w:drawing>
          <wp:inline distT="0" distB="0" distL="0" distR="0" wp14:anchorId="49AAC4B2" wp14:editId="136D69F6">
            <wp:extent cx="4808220" cy="2842260"/>
            <wp:effectExtent l="0" t="0" r="11430" b="15240"/>
            <wp:docPr id="502521973" name="Chart 3">
              <a:extLst xmlns:a="http://schemas.openxmlformats.org/drawingml/2006/main">
                <a:ext uri="{FF2B5EF4-FFF2-40B4-BE49-F238E27FC236}">
                  <a16:creationId xmlns:a16="http://schemas.microsoft.com/office/drawing/2014/main" id="{34C54858-FA38-B94F-89B0-3E68BBFFD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091335A" w14:textId="77777777" w:rsidR="009D2323" w:rsidRPr="009D2323" w:rsidRDefault="009D2323" w:rsidP="009D2323">
      <w:pPr>
        <w:pStyle w:val="Heading2"/>
        <w:rPr>
          <w:rFonts w:ascii="Times New Roman" w:hAnsi="Times New Roman"/>
          <w:color w:val="auto"/>
          <w:sz w:val="26"/>
          <w:szCs w:val="26"/>
        </w:rPr>
      </w:pPr>
      <w:bookmarkStart w:id="15" w:name="_Toc149647642"/>
      <w:r w:rsidRPr="009D2323">
        <w:rPr>
          <w:color w:val="auto"/>
        </w:rPr>
        <w:t>Appendix 4</w:t>
      </w:r>
      <w:bookmarkEnd w:id="15"/>
    </w:p>
    <w:p w14:paraId="5D6BB66C" w14:textId="229F9CDF" w:rsidR="009D2323" w:rsidRDefault="009D2323" w:rsidP="009D2323">
      <w:pPr>
        <w:rPr>
          <w:rFonts w:ascii="Times New Roman" w:hAnsi="Times New Roman" w:cs="Times New Roman"/>
          <w:sz w:val="24"/>
          <w:szCs w:val="24"/>
        </w:rPr>
      </w:pPr>
      <w:r>
        <w:rPr>
          <w:noProof/>
        </w:rPr>
        <w:drawing>
          <wp:inline distT="0" distB="0" distL="0" distR="0" wp14:anchorId="3748C2E5" wp14:editId="17047F98">
            <wp:extent cx="4808220" cy="3063240"/>
            <wp:effectExtent l="0" t="0" r="11430" b="3810"/>
            <wp:docPr id="999344414" name="Chart 2">
              <a:extLst xmlns:a="http://schemas.openxmlformats.org/drawingml/2006/main">
                <a:ext uri="{FF2B5EF4-FFF2-40B4-BE49-F238E27FC236}">
                  <a16:creationId xmlns:a16="http://schemas.microsoft.com/office/drawing/2014/main" id="{78425DAA-FFAB-6014-2847-9BE749AFB5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84225F4" w14:textId="77777777" w:rsidR="009D2323" w:rsidRPr="009D2323" w:rsidRDefault="009D2323" w:rsidP="009D2323">
      <w:pPr>
        <w:pStyle w:val="Heading2"/>
        <w:rPr>
          <w:rFonts w:ascii="Times New Roman" w:hAnsi="Times New Roman"/>
          <w:color w:val="auto"/>
          <w:sz w:val="26"/>
          <w:szCs w:val="26"/>
        </w:rPr>
      </w:pPr>
      <w:bookmarkStart w:id="16" w:name="_Toc149647643"/>
      <w:r w:rsidRPr="009D2323">
        <w:rPr>
          <w:color w:val="auto"/>
        </w:rPr>
        <w:lastRenderedPageBreak/>
        <w:t>Appendix 5</w:t>
      </w:r>
      <w:bookmarkEnd w:id="16"/>
    </w:p>
    <w:p w14:paraId="6CB6C2FA" w14:textId="2F477F59" w:rsidR="009D2323" w:rsidRDefault="009D2323" w:rsidP="009D2323">
      <w:pPr>
        <w:rPr>
          <w:rFonts w:ascii="Times New Roman" w:hAnsi="Times New Roman" w:cs="Times New Roman"/>
          <w:sz w:val="24"/>
          <w:szCs w:val="24"/>
        </w:rPr>
      </w:pPr>
      <w:r>
        <w:rPr>
          <w:noProof/>
        </w:rPr>
        <w:drawing>
          <wp:inline distT="0" distB="0" distL="0" distR="0" wp14:anchorId="7D69AA0C" wp14:editId="526607D6">
            <wp:extent cx="5074920" cy="3268980"/>
            <wp:effectExtent l="0" t="0" r="11430" b="7620"/>
            <wp:docPr id="999510759" name="Chart 1">
              <a:extLst xmlns:a="http://schemas.openxmlformats.org/drawingml/2006/main">
                <a:ext uri="{FF2B5EF4-FFF2-40B4-BE49-F238E27FC236}">
                  <a16:creationId xmlns:a16="http://schemas.microsoft.com/office/drawing/2014/main" id="{2D5452AB-DC8C-BA39-5907-81173074065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3A62D9A5" w14:textId="77777777" w:rsidR="009D2323" w:rsidRDefault="009D2323" w:rsidP="009D2323">
      <w:pPr>
        <w:rPr>
          <w:rFonts w:ascii="Times New Roman" w:hAnsi="Times New Roman" w:cs="Times New Roman"/>
          <w:sz w:val="24"/>
          <w:szCs w:val="24"/>
        </w:rPr>
      </w:pPr>
    </w:p>
    <w:p w14:paraId="7D446D46" w14:textId="77777777" w:rsidR="009D2323" w:rsidRPr="009D2323" w:rsidRDefault="009D2323" w:rsidP="009D2323">
      <w:pPr>
        <w:pStyle w:val="Heading2"/>
        <w:rPr>
          <w:rFonts w:ascii="Times New Roman" w:hAnsi="Times New Roman"/>
          <w:color w:val="auto"/>
          <w:sz w:val="26"/>
          <w:szCs w:val="26"/>
        </w:rPr>
      </w:pPr>
      <w:bookmarkStart w:id="17" w:name="_Toc149647644"/>
      <w:r w:rsidRPr="009D2323">
        <w:rPr>
          <w:color w:val="auto"/>
        </w:rPr>
        <w:t>Appendix 6</w:t>
      </w:r>
      <w:bookmarkEnd w:id="17"/>
    </w:p>
    <w:tbl>
      <w:tblPr>
        <w:tblW w:w="5000" w:type="pct"/>
        <w:tblLook w:val="04A0" w:firstRow="1" w:lastRow="0" w:firstColumn="1" w:lastColumn="0" w:noHBand="0" w:noVBand="1"/>
      </w:tblPr>
      <w:tblGrid>
        <w:gridCol w:w="3015"/>
        <w:gridCol w:w="1304"/>
        <w:gridCol w:w="1617"/>
        <w:gridCol w:w="1461"/>
        <w:gridCol w:w="1619"/>
      </w:tblGrid>
      <w:tr w:rsidR="009D2323" w14:paraId="1F9F4B7F" w14:textId="77777777" w:rsidTr="009D2323">
        <w:trPr>
          <w:trHeight w:val="310"/>
        </w:trPr>
        <w:tc>
          <w:tcPr>
            <w:tcW w:w="5000" w:type="pct"/>
            <w:gridSpan w:val="5"/>
            <w:tcBorders>
              <w:top w:val="single" w:sz="4" w:space="0" w:color="auto"/>
              <w:left w:val="single" w:sz="4" w:space="0" w:color="auto"/>
              <w:bottom w:val="single" w:sz="4" w:space="0" w:color="auto"/>
              <w:right w:val="single" w:sz="4" w:space="0" w:color="000000"/>
            </w:tcBorders>
            <w:noWrap/>
            <w:vAlign w:val="bottom"/>
            <w:hideMark/>
          </w:tcPr>
          <w:p w14:paraId="45210A92" w14:textId="77777777" w:rsidR="009D2323" w:rsidRDefault="009D2323">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Income Statement (2023-2026)</w:t>
            </w:r>
          </w:p>
        </w:tc>
      </w:tr>
      <w:tr w:rsidR="009D2323" w14:paraId="3FF0C662"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3D20136A"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723" w:type="pct"/>
            <w:tcBorders>
              <w:top w:val="nil"/>
              <w:left w:val="nil"/>
              <w:bottom w:val="single" w:sz="4" w:space="0" w:color="auto"/>
              <w:right w:val="single" w:sz="4" w:space="0" w:color="auto"/>
            </w:tcBorders>
            <w:noWrap/>
            <w:vAlign w:val="bottom"/>
            <w:hideMark/>
          </w:tcPr>
          <w:p w14:paraId="12959FE7"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897" w:type="pct"/>
            <w:tcBorders>
              <w:top w:val="nil"/>
              <w:left w:val="nil"/>
              <w:bottom w:val="single" w:sz="4" w:space="0" w:color="auto"/>
              <w:right w:val="single" w:sz="4" w:space="0" w:color="auto"/>
            </w:tcBorders>
            <w:noWrap/>
            <w:vAlign w:val="bottom"/>
            <w:hideMark/>
          </w:tcPr>
          <w:p w14:paraId="112424F5"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810" w:type="pct"/>
            <w:tcBorders>
              <w:top w:val="nil"/>
              <w:left w:val="nil"/>
              <w:bottom w:val="single" w:sz="4" w:space="0" w:color="auto"/>
              <w:right w:val="single" w:sz="4" w:space="0" w:color="auto"/>
            </w:tcBorders>
            <w:noWrap/>
            <w:vAlign w:val="bottom"/>
            <w:hideMark/>
          </w:tcPr>
          <w:p w14:paraId="32AA7BC9"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898" w:type="pct"/>
            <w:tcBorders>
              <w:top w:val="nil"/>
              <w:left w:val="nil"/>
              <w:bottom w:val="single" w:sz="4" w:space="0" w:color="auto"/>
              <w:right w:val="single" w:sz="4" w:space="0" w:color="auto"/>
            </w:tcBorders>
            <w:noWrap/>
            <w:vAlign w:val="bottom"/>
            <w:hideMark/>
          </w:tcPr>
          <w:p w14:paraId="515B8B03"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9D2323" w14:paraId="16B1A6EE"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12F784B5"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Revenue</w:t>
            </w:r>
          </w:p>
        </w:tc>
        <w:tc>
          <w:tcPr>
            <w:tcW w:w="723" w:type="pct"/>
            <w:tcBorders>
              <w:top w:val="nil"/>
              <w:left w:val="nil"/>
              <w:bottom w:val="single" w:sz="4" w:space="0" w:color="auto"/>
              <w:right w:val="single" w:sz="4" w:space="0" w:color="auto"/>
            </w:tcBorders>
            <w:noWrap/>
            <w:vAlign w:val="bottom"/>
            <w:hideMark/>
          </w:tcPr>
          <w:p w14:paraId="3CAAC4D5"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430,000</w:t>
            </w:r>
          </w:p>
        </w:tc>
        <w:tc>
          <w:tcPr>
            <w:tcW w:w="897" w:type="pct"/>
            <w:tcBorders>
              <w:top w:val="nil"/>
              <w:left w:val="nil"/>
              <w:bottom w:val="single" w:sz="4" w:space="0" w:color="auto"/>
              <w:right w:val="single" w:sz="4" w:space="0" w:color="auto"/>
            </w:tcBorders>
            <w:noWrap/>
            <w:vAlign w:val="bottom"/>
            <w:hideMark/>
          </w:tcPr>
          <w:p w14:paraId="7E4DF83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559,000</w:t>
            </w:r>
          </w:p>
        </w:tc>
        <w:tc>
          <w:tcPr>
            <w:tcW w:w="810" w:type="pct"/>
            <w:tcBorders>
              <w:top w:val="nil"/>
              <w:left w:val="nil"/>
              <w:bottom w:val="single" w:sz="4" w:space="0" w:color="auto"/>
              <w:right w:val="single" w:sz="4" w:space="0" w:color="auto"/>
            </w:tcBorders>
            <w:noWrap/>
            <w:vAlign w:val="bottom"/>
            <w:hideMark/>
          </w:tcPr>
          <w:p w14:paraId="10394CB3"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726,700</w:t>
            </w:r>
          </w:p>
        </w:tc>
        <w:tc>
          <w:tcPr>
            <w:tcW w:w="898" w:type="pct"/>
            <w:tcBorders>
              <w:top w:val="nil"/>
              <w:left w:val="nil"/>
              <w:bottom w:val="single" w:sz="4" w:space="0" w:color="auto"/>
              <w:right w:val="single" w:sz="4" w:space="0" w:color="auto"/>
            </w:tcBorders>
            <w:noWrap/>
            <w:vAlign w:val="bottom"/>
            <w:hideMark/>
          </w:tcPr>
          <w:p w14:paraId="0140315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944,710</w:t>
            </w:r>
          </w:p>
        </w:tc>
      </w:tr>
      <w:tr w:rsidR="009D2323" w14:paraId="6FFB5716"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385DC783"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Operating Expenses</w:t>
            </w:r>
          </w:p>
        </w:tc>
        <w:tc>
          <w:tcPr>
            <w:tcW w:w="723" w:type="pct"/>
            <w:tcBorders>
              <w:top w:val="nil"/>
              <w:left w:val="nil"/>
              <w:bottom w:val="single" w:sz="4" w:space="0" w:color="auto"/>
              <w:right w:val="single" w:sz="4" w:space="0" w:color="auto"/>
            </w:tcBorders>
            <w:noWrap/>
            <w:vAlign w:val="bottom"/>
            <w:hideMark/>
          </w:tcPr>
          <w:p w14:paraId="00BBC3C6"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483,750</w:t>
            </w:r>
          </w:p>
        </w:tc>
        <w:tc>
          <w:tcPr>
            <w:tcW w:w="897" w:type="pct"/>
            <w:tcBorders>
              <w:top w:val="nil"/>
              <w:left w:val="nil"/>
              <w:bottom w:val="single" w:sz="4" w:space="0" w:color="auto"/>
              <w:right w:val="single" w:sz="4" w:space="0" w:color="auto"/>
            </w:tcBorders>
            <w:noWrap/>
            <w:vAlign w:val="bottom"/>
            <w:hideMark/>
          </w:tcPr>
          <w:p w14:paraId="3E52303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520031.25</w:t>
            </w:r>
          </w:p>
        </w:tc>
        <w:tc>
          <w:tcPr>
            <w:tcW w:w="810" w:type="pct"/>
            <w:tcBorders>
              <w:top w:val="nil"/>
              <w:left w:val="nil"/>
              <w:bottom w:val="single" w:sz="4" w:space="0" w:color="auto"/>
              <w:right w:val="single" w:sz="4" w:space="0" w:color="auto"/>
            </w:tcBorders>
            <w:noWrap/>
            <w:vAlign w:val="bottom"/>
            <w:hideMark/>
          </w:tcPr>
          <w:p w14:paraId="720F703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559033.6</w:t>
            </w:r>
          </w:p>
        </w:tc>
        <w:tc>
          <w:tcPr>
            <w:tcW w:w="898" w:type="pct"/>
            <w:tcBorders>
              <w:top w:val="nil"/>
              <w:left w:val="nil"/>
              <w:bottom w:val="single" w:sz="4" w:space="0" w:color="auto"/>
              <w:right w:val="single" w:sz="4" w:space="0" w:color="auto"/>
            </w:tcBorders>
            <w:noWrap/>
            <w:vAlign w:val="bottom"/>
            <w:hideMark/>
          </w:tcPr>
          <w:p w14:paraId="554FC311"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600961.11</w:t>
            </w:r>
          </w:p>
        </w:tc>
      </w:tr>
      <w:tr w:rsidR="009D2323" w14:paraId="7D7A221F"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1848E71F"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Gross Profit</w:t>
            </w:r>
          </w:p>
        </w:tc>
        <w:tc>
          <w:tcPr>
            <w:tcW w:w="723" w:type="pct"/>
            <w:tcBorders>
              <w:top w:val="nil"/>
              <w:left w:val="nil"/>
              <w:bottom w:val="single" w:sz="4" w:space="0" w:color="auto"/>
              <w:right w:val="single" w:sz="4" w:space="0" w:color="auto"/>
            </w:tcBorders>
            <w:noWrap/>
            <w:vAlign w:val="bottom"/>
            <w:hideMark/>
          </w:tcPr>
          <w:p w14:paraId="3FD75B1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110,400</w:t>
            </w:r>
          </w:p>
        </w:tc>
        <w:tc>
          <w:tcPr>
            <w:tcW w:w="897" w:type="pct"/>
            <w:tcBorders>
              <w:top w:val="nil"/>
              <w:left w:val="nil"/>
              <w:bottom w:val="single" w:sz="4" w:space="0" w:color="auto"/>
              <w:right w:val="single" w:sz="4" w:space="0" w:color="auto"/>
            </w:tcBorders>
            <w:noWrap/>
            <w:vAlign w:val="bottom"/>
            <w:hideMark/>
          </w:tcPr>
          <w:p w14:paraId="43CF52FB"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152352</w:t>
            </w:r>
          </w:p>
        </w:tc>
        <w:tc>
          <w:tcPr>
            <w:tcW w:w="810" w:type="pct"/>
            <w:tcBorders>
              <w:top w:val="nil"/>
              <w:left w:val="nil"/>
              <w:bottom w:val="single" w:sz="4" w:space="0" w:color="auto"/>
              <w:right w:val="single" w:sz="4" w:space="0" w:color="auto"/>
            </w:tcBorders>
            <w:noWrap/>
            <w:vAlign w:val="bottom"/>
            <w:hideMark/>
          </w:tcPr>
          <w:p w14:paraId="03AF5329"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210245.8</w:t>
            </w:r>
          </w:p>
        </w:tc>
        <w:tc>
          <w:tcPr>
            <w:tcW w:w="898" w:type="pct"/>
            <w:tcBorders>
              <w:top w:val="nil"/>
              <w:left w:val="nil"/>
              <w:bottom w:val="single" w:sz="4" w:space="0" w:color="auto"/>
              <w:right w:val="single" w:sz="4" w:space="0" w:color="auto"/>
            </w:tcBorders>
            <w:noWrap/>
            <w:vAlign w:val="bottom"/>
            <w:hideMark/>
          </w:tcPr>
          <w:p w14:paraId="7815F58D"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290139.15</w:t>
            </w:r>
          </w:p>
        </w:tc>
      </w:tr>
      <w:tr w:rsidR="009D2323" w14:paraId="4A0E0E8C"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517C01DC"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w:t>
            </w:r>
          </w:p>
        </w:tc>
        <w:tc>
          <w:tcPr>
            <w:tcW w:w="723" w:type="pct"/>
            <w:tcBorders>
              <w:top w:val="nil"/>
              <w:left w:val="nil"/>
              <w:bottom w:val="single" w:sz="4" w:space="0" w:color="auto"/>
              <w:right w:val="single" w:sz="4" w:space="0" w:color="auto"/>
            </w:tcBorders>
            <w:noWrap/>
            <w:vAlign w:val="bottom"/>
            <w:hideMark/>
          </w:tcPr>
          <w:p w14:paraId="1D6045D7"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18,200</w:t>
            </w:r>
          </w:p>
        </w:tc>
        <w:tc>
          <w:tcPr>
            <w:tcW w:w="897" w:type="pct"/>
            <w:tcBorders>
              <w:top w:val="nil"/>
              <w:left w:val="nil"/>
              <w:bottom w:val="single" w:sz="4" w:space="0" w:color="auto"/>
              <w:right w:val="single" w:sz="4" w:space="0" w:color="auto"/>
            </w:tcBorders>
            <w:noWrap/>
            <w:vAlign w:val="bottom"/>
            <w:hideMark/>
          </w:tcPr>
          <w:p w14:paraId="116418AF"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18,928</w:t>
            </w:r>
          </w:p>
        </w:tc>
        <w:tc>
          <w:tcPr>
            <w:tcW w:w="810" w:type="pct"/>
            <w:tcBorders>
              <w:top w:val="nil"/>
              <w:left w:val="nil"/>
              <w:bottom w:val="single" w:sz="4" w:space="0" w:color="auto"/>
              <w:right w:val="single" w:sz="4" w:space="0" w:color="auto"/>
            </w:tcBorders>
            <w:noWrap/>
            <w:vAlign w:val="bottom"/>
            <w:hideMark/>
          </w:tcPr>
          <w:p w14:paraId="4813A14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19,685</w:t>
            </w:r>
          </w:p>
        </w:tc>
        <w:tc>
          <w:tcPr>
            <w:tcW w:w="898" w:type="pct"/>
            <w:tcBorders>
              <w:top w:val="nil"/>
              <w:left w:val="nil"/>
              <w:bottom w:val="single" w:sz="4" w:space="0" w:color="auto"/>
              <w:right w:val="single" w:sz="4" w:space="0" w:color="auto"/>
            </w:tcBorders>
            <w:noWrap/>
            <w:vAlign w:val="bottom"/>
            <w:hideMark/>
          </w:tcPr>
          <w:p w14:paraId="341FFBDD"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20,473</w:t>
            </w:r>
          </w:p>
        </w:tc>
      </w:tr>
      <w:tr w:rsidR="009D2323" w14:paraId="0808A7B6" w14:textId="77777777" w:rsidTr="009D2323">
        <w:trPr>
          <w:trHeight w:val="310"/>
        </w:trPr>
        <w:tc>
          <w:tcPr>
            <w:tcW w:w="1672" w:type="pct"/>
            <w:tcBorders>
              <w:top w:val="nil"/>
              <w:left w:val="single" w:sz="4" w:space="0" w:color="auto"/>
              <w:bottom w:val="single" w:sz="4" w:space="0" w:color="auto"/>
              <w:right w:val="single" w:sz="4" w:space="0" w:color="auto"/>
            </w:tcBorders>
            <w:noWrap/>
            <w:vAlign w:val="bottom"/>
            <w:hideMark/>
          </w:tcPr>
          <w:p w14:paraId="1850F2B8"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Profit Margin</w:t>
            </w:r>
          </w:p>
        </w:tc>
        <w:tc>
          <w:tcPr>
            <w:tcW w:w="723" w:type="pct"/>
            <w:tcBorders>
              <w:top w:val="nil"/>
              <w:left w:val="nil"/>
              <w:bottom w:val="single" w:sz="4" w:space="0" w:color="auto"/>
              <w:right w:val="single" w:sz="4" w:space="0" w:color="auto"/>
            </w:tcBorders>
            <w:noWrap/>
            <w:vAlign w:val="bottom"/>
            <w:hideMark/>
          </w:tcPr>
          <w:p w14:paraId="747C38DC"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w:t>
            </w:r>
          </w:p>
        </w:tc>
        <w:tc>
          <w:tcPr>
            <w:tcW w:w="897" w:type="pct"/>
            <w:tcBorders>
              <w:top w:val="nil"/>
              <w:left w:val="nil"/>
              <w:bottom w:val="single" w:sz="4" w:space="0" w:color="auto"/>
              <w:right w:val="single" w:sz="4" w:space="0" w:color="auto"/>
            </w:tcBorders>
            <w:noWrap/>
            <w:vAlign w:val="bottom"/>
            <w:hideMark/>
          </w:tcPr>
          <w:p w14:paraId="5C9E3CB7"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w:t>
            </w:r>
          </w:p>
        </w:tc>
        <w:tc>
          <w:tcPr>
            <w:tcW w:w="810" w:type="pct"/>
            <w:tcBorders>
              <w:top w:val="nil"/>
              <w:left w:val="nil"/>
              <w:bottom w:val="single" w:sz="4" w:space="0" w:color="auto"/>
              <w:right w:val="single" w:sz="4" w:space="0" w:color="auto"/>
            </w:tcBorders>
            <w:noWrap/>
            <w:vAlign w:val="bottom"/>
            <w:hideMark/>
          </w:tcPr>
          <w:p w14:paraId="3D8C2ECB"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12%</w:t>
            </w:r>
          </w:p>
        </w:tc>
        <w:tc>
          <w:tcPr>
            <w:tcW w:w="898" w:type="pct"/>
            <w:tcBorders>
              <w:top w:val="nil"/>
              <w:left w:val="nil"/>
              <w:bottom w:val="single" w:sz="4" w:space="0" w:color="auto"/>
              <w:right w:val="single" w:sz="4" w:space="0" w:color="auto"/>
            </w:tcBorders>
            <w:noWrap/>
            <w:vAlign w:val="bottom"/>
            <w:hideMark/>
          </w:tcPr>
          <w:p w14:paraId="45EBF451" w14:textId="77777777" w:rsidR="009D2323" w:rsidRDefault="009D2323">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w:t>
            </w:r>
          </w:p>
        </w:tc>
      </w:tr>
    </w:tbl>
    <w:p w14:paraId="4F16B441" w14:textId="77777777" w:rsidR="009D2323" w:rsidRDefault="009D2323" w:rsidP="009D2323">
      <w:pPr>
        <w:rPr>
          <w:rFonts w:ascii="Times New Roman" w:hAnsi="Times New Roman" w:cs="Times New Roman"/>
          <w:sz w:val="24"/>
          <w:szCs w:val="24"/>
        </w:rPr>
      </w:pPr>
    </w:p>
    <w:p w14:paraId="350DF1DD" w14:textId="77777777" w:rsidR="009D2323" w:rsidRDefault="009D2323" w:rsidP="009D2323">
      <w:pPr>
        <w:rPr>
          <w:rFonts w:ascii="Times New Roman" w:eastAsiaTheme="majorEastAsia" w:hAnsi="Times New Roman" w:cstheme="majorBidi"/>
          <w:b/>
          <w:sz w:val="26"/>
          <w:szCs w:val="26"/>
          <w:u w:val="single"/>
        </w:rPr>
      </w:pPr>
      <w:r>
        <w:rPr>
          <w:kern w:val="0"/>
          <w14:ligatures w14:val="none"/>
        </w:rPr>
        <w:br w:type="page"/>
      </w:r>
    </w:p>
    <w:p w14:paraId="7304735D" w14:textId="77777777" w:rsidR="009D2323" w:rsidRPr="009D2323" w:rsidRDefault="009D2323" w:rsidP="009D2323">
      <w:pPr>
        <w:pStyle w:val="Heading2"/>
        <w:rPr>
          <w:rFonts w:ascii="Times New Roman" w:hAnsi="Times New Roman"/>
          <w:b/>
          <w:color w:val="auto"/>
          <w:sz w:val="26"/>
          <w:szCs w:val="26"/>
          <w:u w:val="single"/>
        </w:rPr>
      </w:pPr>
      <w:bookmarkStart w:id="18" w:name="_Toc149647645"/>
      <w:r w:rsidRPr="009D2323">
        <w:rPr>
          <w:color w:val="auto"/>
        </w:rPr>
        <w:lastRenderedPageBreak/>
        <w:t>Appendix 7</w:t>
      </w:r>
      <w:bookmarkEnd w:id="18"/>
    </w:p>
    <w:tbl>
      <w:tblPr>
        <w:tblW w:w="5000" w:type="pct"/>
        <w:tblLook w:val="04A0" w:firstRow="1" w:lastRow="0" w:firstColumn="1" w:lastColumn="0" w:noHBand="0" w:noVBand="1"/>
      </w:tblPr>
      <w:tblGrid>
        <w:gridCol w:w="2808"/>
        <w:gridCol w:w="1553"/>
        <w:gridCol w:w="1553"/>
        <w:gridCol w:w="1553"/>
        <w:gridCol w:w="1549"/>
      </w:tblGrid>
      <w:tr w:rsidR="009D2323" w14:paraId="5659AAFC" w14:textId="77777777" w:rsidTr="009D2323">
        <w:trPr>
          <w:trHeight w:val="310"/>
        </w:trPr>
        <w:tc>
          <w:tcPr>
            <w:tcW w:w="5000" w:type="pct"/>
            <w:gridSpan w:val="5"/>
            <w:tcBorders>
              <w:top w:val="single" w:sz="4" w:space="0" w:color="auto"/>
              <w:left w:val="single" w:sz="4" w:space="0" w:color="auto"/>
              <w:bottom w:val="single" w:sz="4" w:space="0" w:color="auto"/>
              <w:right w:val="single" w:sz="4" w:space="0" w:color="000000"/>
            </w:tcBorders>
            <w:noWrap/>
            <w:vAlign w:val="bottom"/>
            <w:hideMark/>
          </w:tcPr>
          <w:p w14:paraId="0CCAACF3" w14:textId="77777777" w:rsidR="009D2323" w:rsidRDefault="009D2323">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Balance Sheet (2023-2026)</w:t>
            </w:r>
          </w:p>
        </w:tc>
      </w:tr>
      <w:tr w:rsidR="009D2323" w14:paraId="29697F9F"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4901750A"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861" w:type="pct"/>
            <w:tcBorders>
              <w:top w:val="nil"/>
              <w:left w:val="nil"/>
              <w:bottom w:val="single" w:sz="4" w:space="0" w:color="auto"/>
              <w:right w:val="single" w:sz="4" w:space="0" w:color="auto"/>
            </w:tcBorders>
            <w:noWrap/>
            <w:vAlign w:val="bottom"/>
            <w:hideMark/>
          </w:tcPr>
          <w:p w14:paraId="57F3E543"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861" w:type="pct"/>
            <w:tcBorders>
              <w:top w:val="nil"/>
              <w:left w:val="nil"/>
              <w:bottom w:val="single" w:sz="4" w:space="0" w:color="auto"/>
              <w:right w:val="nil"/>
            </w:tcBorders>
            <w:noWrap/>
            <w:vAlign w:val="bottom"/>
            <w:hideMark/>
          </w:tcPr>
          <w:p w14:paraId="42AF1302"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861" w:type="pct"/>
            <w:tcBorders>
              <w:top w:val="nil"/>
              <w:left w:val="single" w:sz="4" w:space="0" w:color="auto"/>
              <w:bottom w:val="single" w:sz="4" w:space="0" w:color="auto"/>
              <w:right w:val="single" w:sz="4" w:space="0" w:color="auto"/>
            </w:tcBorders>
            <w:noWrap/>
            <w:vAlign w:val="bottom"/>
            <w:hideMark/>
          </w:tcPr>
          <w:p w14:paraId="5178FB22"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861" w:type="pct"/>
            <w:tcBorders>
              <w:top w:val="nil"/>
              <w:left w:val="nil"/>
              <w:bottom w:val="nil"/>
              <w:right w:val="single" w:sz="4" w:space="0" w:color="auto"/>
            </w:tcBorders>
            <w:noWrap/>
            <w:vAlign w:val="bottom"/>
            <w:hideMark/>
          </w:tcPr>
          <w:p w14:paraId="2947252A"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9D2323" w14:paraId="2BC2D25A"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4F51B58D"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Assets</w:t>
            </w:r>
          </w:p>
        </w:tc>
        <w:tc>
          <w:tcPr>
            <w:tcW w:w="861" w:type="pct"/>
            <w:tcBorders>
              <w:top w:val="nil"/>
              <w:left w:val="nil"/>
              <w:bottom w:val="single" w:sz="4" w:space="0" w:color="auto"/>
              <w:right w:val="single" w:sz="4" w:space="0" w:color="auto"/>
            </w:tcBorders>
            <w:noWrap/>
            <w:vAlign w:val="bottom"/>
            <w:hideMark/>
          </w:tcPr>
          <w:p w14:paraId="0CAEC44F"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1,320,000</w:t>
            </w:r>
          </w:p>
        </w:tc>
        <w:tc>
          <w:tcPr>
            <w:tcW w:w="861" w:type="pct"/>
            <w:tcBorders>
              <w:top w:val="nil"/>
              <w:left w:val="nil"/>
              <w:bottom w:val="single" w:sz="4" w:space="0" w:color="auto"/>
              <w:right w:val="nil"/>
            </w:tcBorders>
            <w:noWrap/>
            <w:vAlign w:val="bottom"/>
            <w:hideMark/>
          </w:tcPr>
          <w:p w14:paraId="27ADB543"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1,452,000</w:t>
            </w:r>
          </w:p>
        </w:tc>
        <w:tc>
          <w:tcPr>
            <w:tcW w:w="861" w:type="pct"/>
            <w:tcBorders>
              <w:top w:val="nil"/>
              <w:left w:val="single" w:sz="4" w:space="0" w:color="auto"/>
              <w:bottom w:val="single" w:sz="4" w:space="0" w:color="auto"/>
              <w:right w:val="nil"/>
            </w:tcBorders>
            <w:noWrap/>
            <w:vAlign w:val="bottom"/>
            <w:hideMark/>
          </w:tcPr>
          <w:p w14:paraId="4E0F8569"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1,597,200</w:t>
            </w:r>
          </w:p>
        </w:tc>
        <w:tc>
          <w:tcPr>
            <w:tcW w:w="861" w:type="pct"/>
            <w:tcBorders>
              <w:top w:val="single" w:sz="4" w:space="0" w:color="auto"/>
              <w:left w:val="single" w:sz="4" w:space="0" w:color="auto"/>
              <w:bottom w:val="single" w:sz="4" w:space="0" w:color="auto"/>
              <w:right w:val="nil"/>
            </w:tcBorders>
            <w:noWrap/>
            <w:vAlign w:val="bottom"/>
            <w:hideMark/>
          </w:tcPr>
          <w:p w14:paraId="447DDE3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1,756,920</w:t>
            </w:r>
          </w:p>
        </w:tc>
      </w:tr>
      <w:tr w:rsidR="009D2323" w14:paraId="61AE2C47"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6C0C8F86"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Assets</w:t>
            </w:r>
          </w:p>
        </w:tc>
        <w:tc>
          <w:tcPr>
            <w:tcW w:w="861" w:type="pct"/>
            <w:tcBorders>
              <w:top w:val="nil"/>
              <w:left w:val="nil"/>
              <w:bottom w:val="single" w:sz="4" w:space="0" w:color="auto"/>
              <w:right w:val="single" w:sz="4" w:space="0" w:color="auto"/>
            </w:tcBorders>
            <w:noWrap/>
            <w:vAlign w:val="bottom"/>
            <w:hideMark/>
          </w:tcPr>
          <w:p w14:paraId="38EAF6CD"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275,000</w:t>
            </w:r>
          </w:p>
        </w:tc>
        <w:tc>
          <w:tcPr>
            <w:tcW w:w="861" w:type="pct"/>
            <w:tcBorders>
              <w:top w:val="nil"/>
              <w:left w:val="nil"/>
              <w:bottom w:val="single" w:sz="4" w:space="0" w:color="auto"/>
              <w:right w:val="nil"/>
            </w:tcBorders>
            <w:noWrap/>
            <w:vAlign w:val="bottom"/>
            <w:hideMark/>
          </w:tcPr>
          <w:p w14:paraId="290AD856"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302,500</w:t>
            </w:r>
          </w:p>
        </w:tc>
        <w:tc>
          <w:tcPr>
            <w:tcW w:w="861" w:type="pct"/>
            <w:tcBorders>
              <w:top w:val="nil"/>
              <w:left w:val="single" w:sz="4" w:space="0" w:color="auto"/>
              <w:bottom w:val="single" w:sz="4" w:space="0" w:color="auto"/>
              <w:right w:val="nil"/>
            </w:tcBorders>
            <w:noWrap/>
            <w:vAlign w:val="bottom"/>
            <w:hideMark/>
          </w:tcPr>
          <w:p w14:paraId="201A281F"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332,750</w:t>
            </w:r>
          </w:p>
        </w:tc>
        <w:tc>
          <w:tcPr>
            <w:tcW w:w="861" w:type="pct"/>
            <w:tcBorders>
              <w:top w:val="nil"/>
              <w:left w:val="single" w:sz="4" w:space="0" w:color="auto"/>
              <w:bottom w:val="single" w:sz="4" w:space="0" w:color="auto"/>
              <w:right w:val="nil"/>
            </w:tcBorders>
            <w:noWrap/>
            <w:vAlign w:val="bottom"/>
            <w:hideMark/>
          </w:tcPr>
          <w:p w14:paraId="2681EEAD"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366,025</w:t>
            </w:r>
          </w:p>
        </w:tc>
      </w:tr>
      <w:tr w:rsidR="009D2323" w14:paraId="4A6E3403"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71E579EE"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Property &amp; Equip.</w:t>
            </w:r>
          </w:p>
        </w:tc>
        <w:tc>
          <w:tcPr>
            <w:tcW w:w="861" w:type="pct"/>
            <w:tcBorders>
              <w:top w:val="nil"/>
              <w:left w:val="nil"/>
              <w:bottom w:val="single" w:sz="4" w:space="0" w:color="auto"/>
              <w:right w:val="single" w:sz="4" w:space="0" w:color="auto"/>
            </w:tcBorders>
            <w:noWrap/>
            <w:vAlign w:val="bottom"/>
            <w:hideMark/>
          </w:tcPr>
          <w:p w14:paraId="0B838D02"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880,000</w:t>
            </w:r>
          </w:p>
        </w:tc>
        <w:tc>
          <w:tcPr>
            <w:tcW w:w="861" w:type="pct"/>
            <w:tcBorders>
              <w:top w:val="nil"/>
              <w:left w:val="nil"/>
              <w:bottom w:val="single" w:sz="4" w:space="0" w:color="auto"/>
              <w:right w:val="nil"/>
            </w:tcBorders>
            <w:noWrap/>
            <w:vAlign w:val="bottom"/>
            <w:hideMark/>
          </w:tcPr>
          <w:p w14:paraId="50C54EC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968,000</w:t>
            </w:r>
          </w:p>
        </w:tc>
        <w:tc>
          <w:tcPr>
            <w:tcW w:w="861" w:type="pct"/>
            <w:tcBorders>
              <w:top w:val="nil"/>
              <w:left w:val="single" w:sz="4" w:space="0" w:color="auto"/>
              <w:bottom w:val="single" w:sz="4" w:space="0" w:color="auto"/>
              <w:right w:val="nil"/>
            </w:tcBorders>
            <w:noWrap/>
            <w:vAlign w:val="bottom"/>
            <w:hideMark/>
          </w:tcPr>
          <w:p w14:paraId="3C6C2C51"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1,064,800</w:t>
            </w:r>
          </w:p>
        </w:tc>
        <w:tc>
          <w:tcPr>
            <w:tcW w:w="861" w:type="pct"/>
            <w:tcBorders>
              <w:top w:val="nil"/>
              <w:left w:val="single" w:sz="4" w:space="0" w:color="auto"/>
              <w:bottom w:val="single" w:sz="4" w:space="0" w:color="auto"/>
              <w:right w:val="nil"/>
            </w:tcBorders>
            <w:noWrap/>
            <w:vAlign w:val="bottom"/>
            <w:hideMark/>
          </w:tcPr>
          <w:p w14:paraId="1CECFB37"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1,171,280</w:t>
            </w:r>
          </w:p>
        </w:tc>
      </w:tr>
      <w:tr w:rsidR="009D2323" w14:paraId="1BAE81B7"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00CE386D"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Other Assets</w:t>
            </w:r>
          </w:p>
        </w:tc>
        <w:tc>
          <w:tcPr>
            <w:tcW w:w="861" w:type="pct"/>
            <w:tcBorders>
              <w:top w:val="nil"/>
              <w:left w:val="nil"/>
              <w:bottom w:val="single" w:sz="4" w:space="0" w:color="auto"/>
              <w:right w:val="single" w:sz="4" w:space="0" w:color="auto"/>
            </w:tcBorders>
            <w:noWrap/>
            <w:vAlign w:val="bottom"/>
            <w:hideMark/>
          </w:tcPr>
          <w:p w14:paraId="02575F34"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165,000</w:t>
            </w:r>
          </w:p>
        </w:tc>
        <w:tc>
          <w:tcPr>
            <w:tcW w:w="861" w:type="pct"/>
            <w:tcBorders>
              <w:top w:val="nil"/>
              <w:left w:val="nil"/>
              <w:bottom w:val="single" w:sz="4" w:space="0" w:color="auto"/>
              <w:right w:val="nil"/>
            </w:tcBorders>
            <w:noWrap/>
            <w:vAlign w:val="bottom"/>
            <w:hideMark/>
          </w:tcPr>
          <w:p w14:paraId="6CEC0AC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181,500</w:t>
            </w:r>
          </w:p>
        </w:tc>
        <w:tc>
          <w:tcPr>
            <w:tcW w:w="861" w:type="pct"/>
            <w:tcBorders>
              <w:top w:val="nil"/>
              <w:left w:val="single" w:sz="4" w:space="0" w:color="auto"/>
              <w:bottom w:val="single" w:sz="4" w:space="0" w:color="auto"/>
              <w:right w:val="nil"/>
            </w:tcBorders>
            <w:noWrap/>
            <w:vAlign w:val="bottom"/>
            <w:hideMark/>
          </w:tcPr>
          <w:p w14:paraId="36678006"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199,650</w:t>
            </w:r>
          </w:p>
        </w:tc>
        <w:tc>
          <w:tcPr>
            <w:tcW w:w="861" w:type="pct"/>
            <w:tcBorders>
              <w:top w:val="nil"/>
              <w:left w:val="single" w:sz="4" w:space="0" w:color="auto"/>
              <w:bottom w:val="single" w:sz="4" w:space="0" w:color="auto"/>
              <w:right w:val="nil"/>
            </w:tcBorders>
            <w:noWrap/>
            <w:vAlign w:val="bottom"/>
            <w:hideMark/>
          </w:tcPr>
          <w:p w14:paraId="3BA74929"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219,615</w:t>
            </w:r>
          </w:p>
        </w:tc>
      </w:tr>
      <w:tr w:rsidR="009D2323" w14:paraId="7062616F"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10B2F877"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Total Liabilities</w:t>
            </w:r>
          </w:p>
        </w:tc>
        <w:tc>
          <w:tcPr>
            <w:tcW w:w="861" w:type="pct"/>
            <w:tcBorders>
              <w:top w:val="nil"/>
              <w:left w:val="nil"/>
              <w:bottom w:val="single" w:sz="4" w:space="0" w:color="auto"/>
              <w:right w:val="single" w:sz="4" w:space="0" w:color="auto"/>
            </w:tcBorders>
            <w:noWrap/>
            <w:vAlign w:val="bottom"/>
            <w:hideMark/>
          </w:tcPr>
          <w:p w14:paraId="3CF29C7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825,000</w:t>
            </w:r>
          </w:p>
        </w:tc>
        <w:tc>
          <w:tcPr>
            <w:tcW w:w="861" w:type="pct"/>
            <w:tcBorders>
              <w:top w:val="nil"/>
              <w:left w:val="nil"/>
              <w:bottom w:val="single" w:sz="4" w:space="0" w:color="auto"/>
              <w:right w:val="nil"/>
            </w:tcBorders>
            <w:noWrap/>
            <w:vAlign w:val="bottom"/>
            <w:hideMark/>
          </w:tcPr>
          <w:p w14:paraId="426838CC"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907,500</w:t>
            </w:r>
          </w:p>
        </w:tc>
        <w:tc>
          <w:tcPr>
            <w:tcW w:w="861" w:type="pct"/>
            <w:tcBorders>
              <w:top w:val="nil"/>
              <w:left w:val="single" w:sz="4" w:space="0" w:color="auto"/>
              <w:bottom w:val="single" w:sz="4" w:space="0" w:color="auto"/>
              <w:right w:val="nil"/>
            </w:tcBorders>
            <w:noWrap/>
            <w:vAlign w:val="bottom"/>
            <w:hideMark/>
          </w:tcPr>
          <w:p w14:paraId="3357C83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998,250</w:t>
            </w:r>
          </w:p>
        </w:tc>
        <w:tc>
          <w:tcPr>
            <w:tcW w:w="861" w:type="pct"/>
            <w:tcBorders>
              <w:top w:val="nil"/>
              <w:left w:val="single" w:sz="4" w:space="0" w:color="auto"/>
              <w:bottom w:val="single" w:sz="4" w:space="0" w:color="auto"/>
              <w:right w:val="nil"/>
            </w:tcBorders>
            <w:noWrap/>
            <w:vAlign w:val="bottom"/>
            <w:hideMark/>
          </w:tcPr>
          <w:p w14:paraId="49A8EB94"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1,098,075</w:t>
            </w:r>
          </w:p>
        </w:tc>
      </w:tr>
      <w:tr w:rsidR="009D2323" w14:paraId="455D0A18"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0940C2E8"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Current Liabilities</w:t>
            </w:r>
          </w:p>
        </w:tc>
        <w:tc>
          <w:tcPr>
            <w:tcW w:w="861" w:type="pct"/>
            <w:tcBorders>
              <w:top w:val="nil"/>
              <w:left w:val="nil"/>
              <w:bottom w:val="single" w:sz="4" w:space="0" w:color="auto"/>
              <w:right w:val="single" w:sz="4" w:space="0" w:color="auto"/>
            </w:tcBorders>
            <w:noWrap/>
            <w:vAlign w:val="bottom"/>
            <w:hideMark/>
          </w:tcPr>
          <w:p w14:paraId="14820132"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198,000</w:t>
            </w:r>
          </w:p>
        </w:tc>
        <w:tc>
          <w:tcPr>
            <w:tcW w:w="861" w:type="pct"/>
            <w:tcBorders>
              <w:top w:val="nil"/>
              <w:left w:val="nil"/>
              <w:bottom w:val="single" w:sz="4" w:space="0" w:color="auto"/>
              <w:right w:val="nil"/>
            </w:tcBorders>
            <w:noWrap/>
            <w:vAlign w:val="bottom"/>
            <w:hideMark/>
          </w:tcPr>
          <w:p w14:paraId="5A749682"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217,800</w:t>
            </w:r>
          </w:p>
        </w:tc>
        <w:tc>
          <w:tcPr>
            <w:tcW w:w="861" w:type="pct"/>
            <w:tcBorders>
              <w:top w:val="nil"/>
              <w:left w:val="single" w:sz="4" w:space="0" w:color="auto"/>
              <w:bottom w:val="single" w:sz="4" w:space="0" w:color="auto"/>
              <w:right w:val="nil"/>
            </w:tcBorders>
            <w:noWrap/>
            <w:vAlign w:val="bottom"/>
            <w:hideMark/>
          </w:tcPr>
          <w:p w14:paraId="45BECDAC"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239,580</w:t>
            </w:r>
          </w:p>
        </w:tc>
        <w:tc>
          <w:tcPr>
            <w:tcW w:w="861" w:type="pct"/>
            <w:tcBorders>
              <w:top w:val="nil"/>
              <w:left w:val="single" w:sz="4" w:space="0" w:color="auto"/>
              <w:bottom w:val="single" w:sz="4" w:space="0" w:color="auto"/>
              <w:right w:val="nil"/>
            </w:tcBorders>
            <w:noWrap/>
            <w:vAlign w:val="bottom"/>
            <w:hideMark/>
          </w:tcPr>
          <w:p w14:paraId="43E50E29"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263,538</w:t>
            </w:r>
          </w:p>
        </w:tc>
      </w:tr>
      <w:tr w:rsidR="009D2323" w14:paraId="3F7BEC53"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1D591456"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Long-term Debt</w:t>
            </w:r>
          </w:p>
        </w:tc>
        <w:tc>
          <w:tcPr>
            <w:tcW w:w="861" w:type="pct"/>
            <w:tcBorders>
              <w:top w:val="nil"/>
              <w:left w:val="nil"/>
              <w:bottom w:val="single" w:sz="4" w:space="0" w:color="auto"/>
              <w:right w:val="single" w:sz="4" w:space="0" w:color="auto"/>
            </w:tcBorders>
            <w:noWrap/>
            <w:vAlign w:val="bottom"/>
            <w:hideMark/>
          </w:tcPr>
          <w:p w14:paraId="7D6DE401"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550,000</w:t>
            </w:r>
          </w:p>
        </w:tc>
        <w:tc>
          <w:tcPr>
            <w:tcW w:w="861" w:type="pct"/>
            <w:tcBorders>
              <w:top w:val="nil"/>
              <w:left w:val="nil"/>
              <w:bottom w:val="single" w:sz="4" w:space="0" w:color="auto"/>
              <w:right w:val="nil"/>
            </w:tcBorders>
            <w:noWrap/>
            <w:vAlign w:val="bottom"/>
            <w:hideMark/>
          </w:tcPr>
          <w:p w14:paraId="7BD1067A"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605,000</w:t>
            </w:r>
          </w:p>
        </w:tc>
        <w:tc>
          <w:tcPr>
            <w:tcW w:w="861" w:type="pct"/>
            <w:tcBorders>
              <w:top w:val="nil"/>
              <w:left w:val="single" w:sz="4" w:space="0" w:color="auto"/>
              <w:bottom w:val="single" w:sz="4" w:space="0" w:color="auto"/>
              <w:right w:val="nil"/>
            </w:tcBorders>
            <w:noWrap/>
            <w:vAlign w:val="bottom"/>
            <w:hideMark/>
          </w:tcPr>
          <w:p w14:paraId="1CF269F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665,500</w:t>
            </w:r>
          </w:p>
        </w:tc>
        <w:tc>
          <w:tcPr>
            <w:tcW w:w="861" w:type="pct"/>
            <w:tcBorders>
              <w:top w:val="nil"/>
              <w:left w:val="single" w:sz="4" w:space="0" w:color="auto"/>
              <w:bottom w:val="single" w:sz="4" w:space="0" w:color="auto"/>
              <w:right w:val="nil"/>
            </w:tcBorders>
            <w:noWrap/>
            <w:vAlign w:val="bottom"/>
            <w:hideMark/>
          </w:tcPr>
          <w:p w14:paraId="1AD6DA2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732,050</w:t>
            </w:r>
          </w:p>
        </w:tc>
      </w:tr>
      <w:tr w:rsidR="009D2323" w14:paraId="73373D95" w14:textId="77777777" w:rsidTr="009D2323">
        <w:trPr>
          <w:trHeight w:val="310"/>
        </w:trPr>
        <w:tc>
          <w:tcPr>
            <w:tcW w:w="1558" w:type="pct"/>
            <w:tcBorders>
              <w:top w:val="nil"/>
              <w:left w:val="single" w:sz="4" w:space="0" w:color="auto"/>
              <w:bottom w:val="single" w:sz="4" w:space="0" w:color="auto"/>
              <w:right w:val="single" w:sz="4" w:space="0" w:color="auto"/>
            </w:tcBorders>
            <w:noWrap/>
            <w:vAlign w:val="bottom"/>
            <w:hideMark/>
          </w:tcPr>
          <w:p w14:paraId="1026040C"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Equity</w:t>
            </w:r>
          </w:p>
        </w:tc>
        <w:tc>
          <w:tcPr>
            <w:tcW w:w="861" w:type="pct"/>
            <w:tcBorders>
              <w:top w:val="nil"/>
              <w:left w:val="nil"/>
              <w:bottom w:val="single" w:sz="4" w:space="0" w:color="auto"/>
              <w:right w:val="single" w:sz="4" w:space="0" w:color="auto"/>
            </w:tcBorders>
            <w:noWrap/>
            <w:vAlign w:val="bottom"/>
            <w:hideMark/>
          </w:tcPr>
          <w:p w14:paraId="1D75F64F"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495,000</w:t>
            </w:r>
          </w:p>
        </w:tc>
        <w:tc>
          <w:tcPr>
            <w:tcW w:w="861" w:type="pct"/>
            <w:tcBorders>
              <w:top w:val="nil"/>
              <w:left w:val="nil"/>
              <w:bottom w:val="single" w:sz="4" w:space="0" w:color="auto"/>
              <w:right w:val="nil"/>
            </w:tcBorders>
            <w:noWrap/>
            <w:vAlign w:val="bottom"/>
            <w:hideMark/>
          </w:tcPr>
          <w:p w14:paraId="51770625"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544,500</w:t>
            </w:r>
          </w:p>
        </w:tc>
        <w:tc>
          <w:tcPr>
            <w:tcW w:w="861" w:type="pct"/>
            <w:tcBorders>
              <w:top w:val="nil"/>
              <w:left w:val="single" w:sz="4" w:space="0" w:color="auto"/>
              <w:bottom w:val="single" w:sz="4" w:space="0" w:color="auto"/>
              <w:right w:val="nil"/>
            </w:tcBorders>
            <w:noWrap/>
            <w:vAlign w:val="bottom"/>
            <w:hideMark/>
          </w:tcPr>
          <w:p w14:paraId="5E33A44A"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598,950</w:t>
            </w:r>
          </w:p>
        </w:tc>
        <w:tc>
          <w:tcPr>
            <w:tcW w:w="861" w:type="pct"/>
            <w:tcBorders>
              <w:top w:val="nil"/>
              <w:left w:val="single" w:sz="4" w:space="0" w:color="auto"/>
              <w:bottom w:val="single" w:sz="4" w:space="0" w:color="auto"/>
              <w:right w:val="nil"/>
            </w:tcBorders>
            <w:noWrap/>
            <w:vAlign w:val="bottom"/>
            <w:hideMark/>
          </w:tcPr>
          <w:p w14:paraId="7E328578" w14:textId="77777777" w:rsidR="009D2323" w:rsidRDefault="009D2323">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658,845</w:t>
            </w:r>
          </w:p>
        </w:tc>
      </w:tr>
    </w:tbl>
    <w:p w14:paraId="29427A09" w14:textId="77777777" w:rsidR="009D2323" w:rsidRDefault="009D2323" w:rsidP="009D2323">
      <w:pPr>
        <w:rPr>
          <w:rFonts w:ascii="Times New Roman" w:hAnsi="Times New Roman" w:cs="Times New Roman"/>
          <w:sz w:val="24"/>
          <w:szCs w:val="24"/>
        </w:rPr>
      </w:pPr>
    </w:p>
    <w:p w14:paraId="76507D50" w14:textId="77777777" w:rsidR="009D2323" w:rsidRPr="009D2323" w:rsidRDefault="009D2323" w:rsidP="009D2323">
      <w:pPr>
        <w:pStyle w:val="Heading2"/>
        <w:rPr>
          <w:rFonts w:ascii="Times New Roman" w:hAnsi="Times New Roman"/>
          <w:color w:val="auto"/>
          <w:sz w:val="26"/>
          <w:szCs w:val="26"/>
        </w:rPr>
      </w:pPr>
      <w:bookmarkStart w:id="19" w:name="_Toc149647646"/>
      <w:bookmarkStart w:id="20" w:name="_Hlk151020563"/>
      <w:r w:rsidRPr="009D2323">
        <w:rPr>
          <w:color w:val="auto"/>
        </w:rPr>
        <w:t>Appendix 8</w:t>
      </w:r>
      <w:bookmarkEnd w:id="19"/>
    </w:p>
    <w:tbl>
      <w:tblPr>
        <w:tblW w:w="5000" w:type="pct"/>
        <w:tblLook w:val="04A0" w:firstRow="1" w:lastRow="0" w:firstColumn="1" w:lastColumn="0" w:noHBand="0" w:noVBand="1"/>
      </w:tblPr>
      <w:tblGrid>
        <w:gridCol w:w="4645"/>
        <w:gridCol w:w="1006"/>
        <w:gridCol w:w="1075"/>
        <w:gridCol w:w="1145"/>
        <w:gridCol w:w="1145"/>
      </w:tblGrid>
      <w:tr w:rsidR="009D2323" w14:paraId="3C9BB761" w14:textId="77777777" w:rsidTr="009D2323">
        <w:trPr>
          <w:trHeight w:val="310"/>
        </w:trPr>
        <w:tc>
          <w:tcPr>
            <w:tcW w:w="5000" w:type="pct"/>
            <w:gridSpan w:val="5"/>
            <w:tcBorders>
              <w:top w:val="single" w:sz="4" w:space="0" w:color="auto"/>
              <w:left w:val="single" w:sz="4" w:space="0" w:color="auto"/>
              <w:bottom w:val="single" w:sz="4" w:space="0" w:color="auto"/>
              <w:right w:val="single" w:sz="4" w:space="0" w:color="auto"/>
            </w:tcBorders>
            <w:noWrap/>
            <w:vAlign w:val="bottom"/>
            <w:hideMark/>
          </w:tcPr>
          <w:bookmarkEnd w:id="20"/>
          <w:p w14:paraId="08E4624C" w14:textId="77777777" w:rsidR="009D2323" w:rsidRDefault="009D2323">
            <w:pPr>
              <w:spacing w:after="0"/>
              <w:jc w:val="center"/>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Cash Flow (2023-2026)</w:t>
            </w:r>
          </w:p>
        </w:tc>
      </w:tr>
      <w:tr w:rsidR="009D2323" w14:paraId="0226405F" w14:textId="77777777" w:rsidTr="009D2323">
        <w:trPr>
          <w:trHeight w:val="310"/>
        </w:trPr>
        <w:tc>
          <w:tcPr>
            <w:tcW w:w="2576" w:type="pct"/>
            <w:tcBorders>
              <w:top w:val="nil"/>
              <w:left w:val="single" w:sz="4" w:space="0" w:color="auto"/>
              <w:bottom w:val="single" w:sz="4" w:space="0" w:color="auto"/>
              <w:right w:val="single" w:sz="4" w:space="0" w:color="auto"/>
            </w:tcBorders>
            <w:noWrap/>
            <w:vAlign w:val="bottom"/>
            <w:hideMark/>
          </w:tcPr>
          <w:p w14:paraId="3CD6DFCD"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Item</w:t>
            </w:r>
          </w:p>
        </w:tc>
        <w:tc>
          <w:tcPr>
            <w:tcW w:w="558" w:type="pct"/>
            <w:tcBorders>
              <w:top w:val="nil"/>
              <w:left w:val="nil"/>
              <w:bottom w:val="single" w:sz="4" w:space="0" w:color="auto"/>
              <w:right w:val="single" w:sz="4" w:space="0" w:color="auto"/>
            </w:tcBorders>
            <w:noWrap/>
            <w:vAlign w:val="bottom"/>
            <w:hideMark/>
          </w:tcPr>
          <w:p w14:paraId="1A5493F7"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2023</w:t>
            </w:r>
          </w:p>
        </w:tc>
        <w:tc>
          <w:tcPr>
            <w:tcW w:w="596" w:type="pct"/>
            <w:tcBorders>
              <w:top w:val="nil"/>
              <w:left w:val="nil"/>
              <w:bottom w:val="single" w:sz="4" w:space="0" w:color="auto"/>
              <w:right w:val="single" w:sz="4" w:space="0" w:color="auto"/>
            </w:tcBorders>
            <w:noWrap/>
            <w:vAlign w:val="bottom"/>
            <w:hideMark/>
          </w:tcPr>
          <w:p w14:paraId="39BD321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2024</w:t>
            </w:r>
          </w:p>
        </w:tc>
        <w:tc>
          <w:tcPr>
            <w:tcW w:w="635" w:type="pct"/>
            <w:tcBorders>
              <w:top w:val="nil"/>
              <w:left w:val="nil"/>
              <w:bottom w:val="single" w:sz="4" w:space="0" w:color="auto"/>
              <w:right w:val="single" w:sz="4" w:space="0" w:color="auto"/>
            </w:tcBorders>
            <w:noWrap/>
            <w:vAlign w:val="bottom"/>
            <w:hideMark/>
          </w:tcPr>
          <w:p w14:paraId="2A3666A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2025</w:t>
            </w:r>
          </w:p>
        </w:tc>
        <w:tc>
          <w:tcPr>
            <w:tcW w:w="635" w:type="pct"/>
            <w:tcBorders>
              <w:top w:val="nil"/>
              <w:left w:val="nil"/>
              <w:bottom w:val="single" w:sz="4" w:space="0" w:color="auto"/>
              <w:right w:val="single" w:sz="4" w:space="0" w:color="auto"/>
            </w:tcBorders>
            <w:noWrap/>
            <w:vAlign w:val="bottom"/>
            <w:hideMark/>
          </w:tcPr>
          <w:p w14:paraId="040D0284"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2026</w:t>
            </w:r>
          </w:p>
        </w:tc>
      </w:tr>
      <w:tr w:rsidR="009D2323" w14:paraId="7D7764C9" w14:textId="77777777" w:rsidTr="009D2323">
        <w:trPr>
          <w:trHeight w:val="310"/>
        </w:trPr>
        <w:tc>
          <w:tcPr>
            <w:tcW w:w="2576" w:type="pct"/>
            <w:tcBorders>
              <w:top w:val="nil"/>
              <w:left w:val="single" w:sz="4" w:space="0" w:color="auto"/>
              <w:bottom w:val="single" w:sz="4" w:space="0" w:color="auto"/>
              <w:right w:val="single" w:sz="4" w:space="0" w:color="auto"/>
            </w:tcBorders>
            <w:noWrap/>
            <w:vAlign w:val="bottom"/>
            <w:hideMark/>
          </w:tcPr>
          <w:p w14:paraId="10803BC1"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Cash Flow from Operations</w:t>
            </w:r>
          </w:p>
        </w:tc>
        <w:tc>
          <w:tcPr>
            <w:tcW w:w="558" w:type="pct"/>
            <w:tcBorders>
              <w:top w:val="nil"/>
              <w:left w:val="nil"/>
              <w:bottom w:val="single" w:sz="4" w:space="0" w:color="auto"/>
              <w:right w:val="single" w:sz="4" w:space="0" w:color="auto"/>
            </w:tcBorders>
            <w:noWrap/>
            <w:vAlign w:val="bottom"/>
            <w:hideMark/>
          </w:tcPr>
          <w:p w14:paraId="22811A48"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96,000</w:t>
            </w:r>
          </w:p>
        </w:tc>
        <w:tc>
          <w:tcPr>
            <w:tcW w:w="596" w:type="pct"/>
            <w:tcBorders>
              <w:top w:val="nil"/>
              <w:left w:val="nil"/>
              <w:bottom w:val="single" w:sz="4" w:space="0" w:color="auto"/>
              <w:right w:val="single" w:sz="4" w:space="0" w:color="auto"/>
            </w:tcBorders>
            <w:noWrap/>
            <w:vAlign w:val="bottom"/>
            <w:hideMark/>
          </w:tcPr>
          <w:p w14:paraId="4DDA0B5B"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115200</w:t>
            </w:r>
          </w:p>
        </w:tc>
        <w:tc>
          <w:tcPr>
            <w:tcW w:w="635" w:type="pct"/>
            <w:tcBorders>
              <w:top w:val="nil"/>
              <w:left w:val="nil"/>
              <w:bottom w:val="single" w:sz="4" w:space="0" w:color="auto"/>
              <w:right w:val="single" w:sz="4" w:space="0" w:color="auto"/>
            </w:tcBorders>
            <w:noWrap/>
            <w:vAlign w:val="bottom"/>
            <w:hideMark/>
          </w:tcPr>
          <w:p w14:paraId="40F27BAC"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138240</w:t>
            </w:r>
          </w:p>
        </w:tc>
        <w:tc>
          <w:tcPr>
            <w:tcW w:w="635" w:type="pct"/>
            <w:tcBorders>
              <w:top w:val="nil"/>
              <w:left w:val="nil"/>
              <w:bottom w:val="single" w:sz="4" w:space="0" w:color="auto"/>
              <w:right w:val="single" w:sz="4" w:space="0" w:color="auto"/>
            </w:tcBorders>
            <w:noWrap/>
            <w:vAlign w:val="bottom"/>
            <w:hideMark/>
          </w:tcPr>
          <w:p w14:paraId="317F589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165888</w:t>
            </w:r>
          </w:p>
        </w:tc>
      </w:tr>
      <w:tr w:rsidR="009D2323" w14:paraId="0994E60D" w14:textId="77777777" w:rsidTr="009D2323">
        <w:trPr>
          <w:trHeight w:val="310"/>
        </w:trPr>
        <w:tc>
          <w:tcPr>
            <w:tcW w:w="2576" w:type="pct"/>
            <w:tcBorders>
              <w:top w:val="nil"/>
              <w:left w:val="single" w:sz="4" w:space="0" w:color="auto"/>
              <w:bottom w:val="single" w:sz="4" w:space="0" w:color="auto"/>
              <w:right w:val="single" w:sz="4" w:space="0" w:color="auto"/>
            </w:tcBorders>
            <w:noWrap/>
            <w:vAlign w:val="bottom"/>
            <w:hideMark/>
          </w:tcPr>
          <w:p w14:paraId="6862667B"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Capital Expenditures</w:t>
            </w:r>
          </w:p>
        </w:tc>
        <w:tc>
          <w:tcPr>
            <w:tcW w:w="558" w:type="pct"/>
            <w:tcBorders>
              <w:top w:val="nil"/>
              <w:left w:val="nil"/>
              <w:bottom w:val="single" w:sz="4" w:space="0" w:color="auto"/>
              <w:right w:val="single" w:sz="4" w:space="0" w:color="auto"/>
            </w:tcBorders>
            <w:noWrap/>
            <w:vAlign w:val="bottom"/>
            <w:hideMark/>
          </w:tcPr>
          <w:p w14:paraId="22027971"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596" w:type="pct"/>
            <w:tcBorders>
              <w:top w:val="nil"/>
              <w:left w:val="nil"/>
              <w:bottom w:val="single" w:sz="4" w:space="0" w:color="auto"/>
              <w:right w:val="single" w:sz="4" w:space="0" w:color="auto"/>
            </w:tcBorders>
            <w:noWrap/>
            <w:vAlign w:val="bottom"/>
            <w:hideMark/>
          </w:tcPr>
          <w:p w14:paraId="53F9A816"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635" w:type="pct"/>
            <w:tcBorders>
              <w:top w:val="nil"/>
              <w:left w:val="nil"/>
              <w:bottom w:val="single" w:sz="4" w:space="0" w:color="auto"/>
              <w:right w:val="single" w:sz="4" w:space="0" w:color="auto"/>
            </w:tcBorders>
            <w:noWrap/>
            <w:vAlign w:val="bottom"/>
            <w:hideMark/>
          </w:tcPr>
          <w:p w14:paraId="2BB22B23"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c>
          <w:tcPr>
            <w:tcW w:w="635" w:type="pct"/>
            <w:tcBorders>
              <w:top w:val="nil"/>
              <w:left w:val="nil"/>
              <w:bottom w:val="single" w:sz="4" w:space="0" w:color="auto"/>
              <w:right w:val="single" w:sz="4" w:space="0" w:color="auto"/>
            </w:tcBorders>
            <w:noWrap/>
            <w:vAlign w:val="bottom"/>
            <w:hideMark/>
          </w:tcPr>
          <w:p w14:paraId="6D2D9AB4"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30,000</w:t>
            </w:r>
          </w:p>
        </w:tc>
      </w:tr>
      <w:tr w:rsidR="009D2323" w14:paraId="552841A4" w14:textId="77777777" w:rsidTr="009D2323">
        <w:trPr>
          <w:trHeight w:val="310"/>
        </w:trPr>
        <w:tc>
          <w:tcPr>
            <w:tcW w:w="2576" w:type="pct"/>
            <w:tcBorders>
              <w:top w:val="nil"/>
              <w:left w:val="single" w:sz="4" w:space="0" w:color="auto"/>
              <w:bottom w:val="single" w:sz="4" w:space="0" w:color="auto"/>
              <w:right w:val="single" w:sz="4" w:space="0" w:color="auto"/>
            </w:tcBorders>
            <w:noWrap/>
            <w:vAlign w:val="bottom"/>
            <w:hideMark/>
          </w:tcPr>
          <w:p w14:paraId="304A4189" w14:textId="77777777" w:rsidR="009D2323" w:rsidRDefault="009D2323">
            <w:pPr>
              <w:spacing w:after="0"/>
              <w:jc w:val="lef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Net Cash Flow (Change in Cash Balance)</w:t>
            </w:r>
          </w:p>
        </w:tc>
        <w:tc>
          <w:tcPr>
            <w:tcW w:w="558" w:type="pct"/>
            <w:tcBorders>
              <w:top w:val="nil"/>
              <w:left w:val="nil"/>
              <w:bottom w:val="single" w:sz="4" w:space="0" w:color="auto"/>
              <w:right w:val="single" w:sz="4" w:space="0" w:color="auto"/>
            </w:tcBorders>
            <w:noWrap/>
            <w:vAlign w:val="bottom"/>
            <w:hideMark/>
          </w:tcPr>
          <w:p w14:paraId="2BC1032E"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66,000</w:t>
            </w:r>
          </w:p>
        </w:tc>
        <w:tc>
          <w:tcPr>
            <w:tcW w:w="596" w:type="pct"/>
            <w:tcBorders>
              <w:top w:val="nil"/>
              <w:left w:val="nil"/>
              <w:bottom w:val="single" w:sz="4" w:space="0" w:color="auto"/>
              <w:right w:val="single" w:sz="4" w:space="0" w:color="auto"/>
            </w:tcBorders>
            <w:noWrap/>
            <w:vAlign w:val="bottom"/>
            <w:hideMark/>
          </w:tcPr>
          <w:p w14:paraId="26A3D075"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85,200</w:t>
            </w:r>
          </w:p>
        </w:tc>
        <w:tc>
          <w:tcPr>
            <w:tcW w:w="635" w:type="pct"/>
            <w:tcBorders>
              <w:top w:val="nil"/>
              <w:left w:val="nil"/>
              <w:bottom w:val="single" w:sz="4" w:space="0" w:color="auto"/>
              <w:right w:val="single" w:sz="4" w:space="0" w:color="auto"/>
            </w:tcBorders>
            <w:noWrap/>
            <w:vAlign w:val="bottom"/>
            <w:hideMark/>
          </w:tcPr>
          <w:p w14:paraId="7580DCB0" w14:textId="77777777" w:rsidR="009D2323" w:rsidRDefault="009D2323">
            <w:pPr>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108,240</w:t>
            </w:r>
          </w:p>
        </w:tc>
        <w:tc>
          <w:tcPr>
            <w:tcW w:w="635" w:type="pct"/>
            <w:tcBorders>
              <w:top w:val="nil"/>
              <w:left w:val="nil"/>
              <w:bottom w:val="single" w:sz="4" w:space="0" w:color="auto"/>
              <w:right w:val="single" w:sz="4" w:space="0" w:color="auto"/>
            </w:tcBorders>
            <w:noWrap/>
            <w:vAlign w:val="bottom"/>
            <w:hideMark/>
          </w:tcPr>
          <w:p w14:paraId="6B9F3103" w14:textId="77777777" w:rsidR="009D2323" w:rsidRDefault="009D2323">
            <w:pPr>
              <w:keepNext/>
              <w:spacing w:after="0"/>
              <w:jc w:val="right"/>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color w:val="000000"/>
                <w:kern w:val="0"/>
                <w:sz w:val="24"/>
                <w:szCs w:val="24"/>
                <w14:ligatures w14:val="none"/>
              </w:rPr>
              <w:t>135,888</w:t>
            </w:r>
          </w:p>
        </w:tc>
      </w:tr>
    </w:tbl>
    <w:p w14:paraId="046B0CAB"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19D1B8AA" w14:textId="77777777" w:rsidR="009D2323" w:rsidRPr="000E3A70" w:rsidRDefault="009D2323" w:rsidP="009D2323">
      <w:pPr>
        <w:pStyle w:val="Heading1"/>
        <w:rPr>
          <w:rFonts w:ascii="Times New Roman" w:hAnsi="Times New Roman"/>
          <w:color w:val="000000" w:themeColor="text1"/>
          <w:sz w:val="28"/>
          <w:szCs w:val="32"/>
        </w:rPr>
      </w:pPr>
      <w:bookmarkStart w:id="21" w:name="_Toc149647647"/>
      <w:r w:rsidRPr="000E3A70">
        <w:rPr>
          <w:color w:val="000000" w:themeColor="text1"/>
        </w:rPr>
        <w:lastRenderedPageBreak/>
        <w:t>References</w:t>
      </w:r>
      <w:bookmarkEnd w:id="21"/>
    </w:p>
    <w:p w14:paraId="1DA6229C"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Ali, U., Ormal, L. and Ahmad, F. (2018) ‘Impact of free cash flow on the profitability of the firms in automobile sector of Germany’, </w:t>
      </w:r>
      <w:r>
        <w:rPr>
          <w:rFonts w:ascii="Times New Roman" w:hAnsi="Times New Roman" w:cs="Times New Roman"/>
          <w:i/>
          <w:iCs/>
          <w:color w:val="222222"/>
          <w:sz w:val="24"/>
          <w:szCs w:val="24"/>
          <w:shd w:val="clear" w:color="auto" w:fill="FFFFFF"/>
        </w:rPr>
        <w:t>Journal of Economics and Management Sciences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(1), pp.57-67. Available at: https://kardan.edu.af/data/public/files/usmanali-lidaormal.pdf</w:t>
      </w:r>
    </w:p>
    <w:p w14:paraId="098A6DC7" w14:textId="77777777" w:rsidR="009D2323" w:rsidRDefault="009D2323" w:rsidP="009D23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Athar, H.S. (2020) ‘The Effect of Brand Image, Price and Promotion on The Decision to Stay at </w:t>
      </w:r>
      <w:proofErr w:type="spellStart"/>
      <w:r>
        <w:rPr>
          <w:rFonts w:ascii="Times New Roman" w:hAnsi="Times New Roman" w:cs="Times New Roman"/>
          <w:color w:val="222222"/>
          <w:sz w:val="24"/>
          <w:szCs w:val="24"/>
          <w:shd w:val="clear" w:color="auto" w:fill="FFFFFF"/>
        </w:rPr>
        <w:t>Cadaka</w:t>
      </w:r>
      <w:proofErr w:type="spellEnd"/>
      <w:r>
        <w:rPr>
          <w:rFonts w:ascii="Times New Roman" w:hAnsi="Times New Roman" w:cs="Times New Roman"/>
          <w:color w:val="222222"/>
          <w:sz w:val="24"/>
          <w:szCs w:val="24"/>
          <w:shd w:val="clear" w:color="auto" w:fill="FFFFFF"/>
        </w:rPr>
        <w:t xml:space="preserve"> Hotel-Central Java’, </w:t>
      </w:r>
      <w:proofErr w:type="spellStart"/>
      <w:r>
        <w:rPr>
          <w:rFonts w:ascii="Times New Roman" w:hAnsi="Times New Roman" w:cs="Times New Roman"/>
          <w:i/>
          <w:iCs/>
          <w:color w:val="222222"/>
          <w:sz w:val="24"/>
          <w:szCs w:val="24"/>
          <w:shd w:val="clear" w:color="auto" w:fill="FFFFFF"/>
        </w:rPr>
        <w:t>Jurnal</w:t>
      </w:r>
      <w:proofErr w:type="spellEnd"/>
      <w:r>
        <w:rPr>
          <w:rFonts w:ascii="Times New Roman" w:hAnsi="Times New Roman" w:cs="Times New Roman"/>
          <w:i/>
          <w:iCs/>
          <w:color w:val="222222"/>
          <w:sz w:val="24"/>
          <w:szCs w:val="24"/>
          <w:shd w:val="clear" w:color="auto" w:fill="FFFFFF"/>
        </w:rPr>
        <w:t xml:space="preserve"> Media Bina </w:t>
      </w:r>
      <w:proofErr w:type="spellStart"/>
      <w:r>
        <w:rPr>
          <w:rFonts w:ascii="Times New Roman" w:hAnsi="Times New Roman" w:cs="Times New Roman"/>
          <w:i/>
          <w:iCs/>
          <w:color w:val="222222"/>
          <w:sz w:val="24"/>
          <w:szCs w:val="24"/>
          <w:shd w:val="clear" w:color="auto" w:fill="FFFFFF"/>
        </w:rPr>
        <w:t>Ilmiah</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14</w:t>
      </w:r>
      <w:r>
        <w:rPr>
          <w:rFonts w:ascii="Times New Roman" w:hAnsi="Times New Roman" w:cs="Times New Roman"/>
          <w:color w:val="222222"/>
          <w:sz w:val="24"/>
          <w:szCs w:val="24"/>
          <w:shd w:val="clear" w:color="auto" w:fill="FFFFFF"/>
        </w:rPr>
        <w:t>(12). Available at: http://eprints.unram.ac.id/23219/1/B23-601-1685-2-PB.pdf</w:t>
      </w:r>
    </w:p>
    <w:p w14:paraId="1EA21A20"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CBIZ, (2023) </w:t>
      </w:r>
      <w:r>
        <w:rPr>
          <w:rFonts w:ascii="Times New Roman" w:hAnsi="Times New Roman" w:cs="Times New Roman"/>
          <w:i/>
          <w:sz w:val="24"/>
          <w:szCs w:val="24"/>
        </w:rPr>
        <w:t>Strategies to Decrease the Impact of Business Tax Increases.</w:t>
      </w:r>
      <w:r>
        <w:rPr>
          <w:rFonts w:ascii="Times New Roman" w:hAnsi="Times New Roman" w:cs="Times New Roman"/>
          <w:sz w:val="24"/>
          <w:szCs w:val="24"/>
        </w:rPr>
        <w:t xml:space="preserve"> Available at: https://www.cbiz.com/insights/articles/article-details/strategies-to-mitigate-the-effect-of-business-tax-increases (Accessed: 28 October 2023)</w:t>
      </w:r>
    </w:p>
    <w:p w14:paraId="4BD10542" w14:textId="77777777" w:rsidR="009D2323" w:rsidRDefault="009D2323" w:rsidP="009D23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Chiriko, A.Y. (2021) ‘How hotels suffer from and deal with the economic effects of tourism seasonality: A case study of Aksum, Ethiopia’, </w:t>
      </w:r>
      <w:r>
        <w:rPr>
          <w:rFonts w:ascii="Times New Roman" w:hAnsi="Times New Roman" w:cs="Times New Roman"/>
          <w:i/>
          <w:iCs/>
          <w:color w:val="222222"/>
          <w:sz w:val="24"/>
          <w:szCs w:val="24"/>
          <w:shd w:val="clear" w:color="auto" w:fill="FFFFFF"/>
        </w:rPr>
        <w:t>Research in Hospitality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(2), pp.137-143. Available at: https://doi.org/10.1080/22243534.2021.1917751</w:t>
      </w:r>
    </w:p>
    <w:p w14:paraId="2CC38154" w14:textId="77777777" w:rsidR="009D2323" w:rsidRDefault="009D2323" w:rsidP="009D23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Daryanto, W.M. and </w:t>
      </w:r>
      <w:proofErr w:type="spellStart"/>
      <w:r>
        <w:rPr>
          <w:rFonts w:ascii="Times New Roman" w:hAnsi="Times New Roman" w:cs="Times New Roman"/>
          <w:color w:val="222222"/>
          <w:sz w:val="24"/>
          <w:szCs w:val="24"/>
          <w:shd w:val="clear" w:color="auto" w:fill="FFFFFF"/>
        </w:rPr>
        <w:t>Rizki</w:t>
      </w:r>
      <w:proofErr w:type="spellEnd"/>
      <w:r>
        <w:rPr>
          <w:rFonts w:ascii="Times New Roman" w:hAnsi="Times New Roman" w:cs="Times New Roman"/>
          <w:color w:val="222222"/>
          <w:sz w:val="24"/>
          <w:szCs w:val="24"/>
          <w:shd w:val="clear" w:color="auto" w:fill="FFFFFF"/>
        </w:rPr>
        <w:t xml:space="preserve">, M.I. (2021) ‘Financial performance analysis of construction company before and during COVID-19 pandemic in Indonesia’, </w:t>
      </w:r>
      <w:r>
        <w:rPr>
          <w:rFonts w:ascii="Times New Roman" w:hAnsi="Times New Roman" w:cs="Times New Roman"/>
          <w:i/>
          <w:iCs/>
          <w:color w:val="222222"/>
          <w:sz w:val="24"/>
          <w:szCs w:val="24"/>
          <w:shd w:val="clear" w:color="auto" w:fill="FFFFFF"/>
        </w:rPr>
        <w:t>International Journal of Business, Economics and Law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 xml:space="preserve">(4), pp.99-108.Available at: </w:t>
      </w:r>
      <w:r>
        <w:rPr>
          <w:rFonts w:ascii="Times New Roman" w:hAnsi="Times New Roman" w:cs="Times New Roman"/>
          <w:sz w:val="24"/>
          <w:szCs w:val="24"/>
        </w:rPr>
        <w:t>https://ijbel.com/wp-content/uploads/2021/06/IJBEL24-727.pdf</w:t>
      </w:r>
    </w:p>
    <w:p w14:paraId="634550E0" w14:textId="77777777" w:rsidR="009D2323" w:rsidRDefault="009D2323" w:rsidP="009D2323">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Dimitrić</w:t>
      </w:r>
      <w:proofErr w:type="spellEnd"/>
      <w:r>
        <w:rPr>
          <w:rFonts w:ascii="Times New Roman" w:hAnsi="Times New Roman" w:cs="Times New Roman"/>
          <w:color w:val="222222"/>
          <w:sz w:val="24"/>
          <w:szCs w:val="24"/>
          <w:shd w:val="clear" w:color="auto" w:fill="FFFFFF"/>
        </w:rPr>
        <w:t xml:space="preserve">, M., Tomas </w:t>
      </w:r>
      <w:proofErr w:type="spellStart"/>
      <w:r>
        <w:rPr>
          <w:rFonts w:ascii="Times New Roman" w:hAnsi="Times New Roman" w:cs="Times New Roman"/>
          <w:color w:val="222222"/>
          <w:sz w:val="24"/>
          <w:szCs w:val="24"/>
          <w:shd w:val="clear" w:color="auto" w:fill="FFFFFF"/>
        </w:rPr>
        <w:t>Žiković</w:t>
      </w:r>
      <w:proofErr w:type="spellEnd"/>
      <w:r>
        <w:rPr>
          <w:rFonts w:ascii="Times New Roman" w:hAnsi="Times New Roman" w:cs="Times New Roman"/>
          <w:color w:val="222222"/>
          <w:sz w:val="24"/>
          <w:szCs w:val="24"/>
          <w:shd w:val="clear" w:color="auto" w:fill="FFFFFF"/>
        </w:rPr>
        <w:t xml:space="preserve">, I. and </w:t>
      </w:r>
      <w:proofErr w:type="spellStart"/>
      <w:r>
        <w:rPr>
          <w:rFonts w:ascii="Times New Roman" w:hAnsi="Times New Roman" w:cs="Times New Roman"/>
          <w:color w:val="222222"/>
          <w:sz w:val="24"/>
          <w:szCs w:val="24"/>
          <w:shd w:val="clear" w:color="auto" w:fill="FFFFFF"/>
        </w:rPr>
        <w:t>Arbula</w:t>
      </w:r>
      <w:proofErr w:type="spellEnd"/>
      <w:r>
        <w:rPr>
          <w:rFonts w:ascii="Times New Roman" w:hAnsi="Times New Roman" w:cs="Times New Roman"/>
          <w:color w:val="222222"/>
          <w:sz w:val="24"/>
          <w:szCs w:val="24"/>
          <w:shd w:val="clear" w:color="auto" w:fill="FFFFFF"/>
        </w:rPr>
        <w:t xml:space="preserve"> </w:t>
      </w:r>
      <w:proofErr w:type="spellStart"/>
      <w:r>
        <w:rPr>
          <w:rFonts w:ascii="Times New Roman" w:hAnsi="Times New Roman" w:cs="Times New Roman"/>
          <w:color w:val="222222"/>
          <w:sz w:val="24"/>
          <w:szCs w:val="24"/>
          <w:shd w:val="clear" w:color="auto" w:fill="FFFFFF"/>
        </w:rPr>
        <w:t>Blecich</w:t>
      </w:r>
      <w:proofErr w:type="spellEnd"/>
      <w:r>
        <w:rPr>
          <w:rFonts w:ascii="Times New Roman" w:hAnsi="Times New Roman" w:cs="Times New Roman"/>
          <w:color w:val="222222"/>
          <w:sz w:val="24"/>
          <w:szCs w:val="24"/>
          <w:shd w:val="clear" w:color="auto" w:fill="FFFFFF"/>
        </w:rPr>
        <w:t>, A. (2019) ‘Profitability determinants of hotel companies in selected Mediterranean countries’, </w:t>
      </w:r>
      <w:r>
        <w:rPr>
          <w:rFonts w:ascii="Times New Roman" w:hAnsi="Times New Roman" w:cs="Times New Roman"/>
          <w:i/>
          <w:iCs/>
          <w:color w:val="222222"/>
          <w:sz w:val="24"/>
          <w:szCs w:val="24"/>
          <w:shd w:val="clear" w:color="auto" w:fill="FFFFFF"/>
        </w:rPr>
        <w:t>Economic research-</w:t>
      </w:r>
      <w:proofErr w:type="spellStart"/>
      <w:r>
        <w:rPr>
          <w:rFonts w:ascii="Times New Roman" w:hAnsi="Times New Roman" w:cs="Times New Roman"/>
          <w:i/>
          <w:iCs/>
          <w:color w:val="222222"/>
          <w:sz w:val="24"/>
          <w:szCs w:val="24"/>
          <w:shd w:val="clear" w:color="auto" w:fill="FFFFFF"/>
        </w:rPr>
        <w:t>Ekonomska</w:t>
      </w:r>
      <w:proofErr w:type="spellEnd"/>
      <w:r>
        <w:rPr>
          <w:rFonts w:ascii="Times New Roman" w:hAnsi="Times New Roman" w:cs="Times New Roman"/>
          <w:i/>
          <w:iCs/>
          <w:color w:val="222222"/>
          <w:sz w:val="24"/>
          <w:szCs w:val="24"/>
          <w:shd w:val="clear" w:color="auto" w:fill="FFFFFF"/>
        </w:rPr>
        <w:t xml:space="preserve"> </w:t>
      </w:r>
      <w:proofErr w:type="spellStart"/>
      <w:r>
        <w:rPr>
          <w:rFonts w:ascii="Times New Roman" w:hAnsi="Times New Roman" w:cs="Times New Roman"/>
          <w:i/>
          <w:iCs/>
          <w:color w:val="222222"/>
          <w:sz w:val="24"/>
          <w:szCs w:val="24"/>
          <w:shd w:val="clear" w:color="auto" w:fill="FFFFFF"/>
        </w:rPr>
        <w:t>istraživanja</w:t>
      </w:r>
      <w:proofErr w:type="spellEnd"/>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32</w:t>
      </w:r>
      <w:r>
        <w:rPr>
          <w:rFonts w:ascii="Times New Roman" w:hAnsi="Times New Roman" w:cs="Times New Roman"/>
          <w:color w:val="222222"/>
          <w:sz w:val="24"/>
          <w:szCs w:val="24"/>
          <w:shd w:val="clear" w:color="auto" w:fill="FFFFFF"/>
        </w:rPr>
        <w:t>(1), pp.1977-1993. Available at: https://doi.org/10.1080/1331677X.2019.1642785</w:t>
      </w:r>
    </w:p>
    <w:p w14:paraId="753C87A6"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Fadjar, A., Jumana, Y.L. and Gunawan, B. (2021) ‘The Effect </w:t>
      </w:r>
      <w:proofErr w:type="gramStart"/>
      <w:r>
        <w:rPr>
          <w:rFonts w:ascii="Times New Roman" w:hAnsi="Times New Roman" w:cs="Times New Roman"/>
          <w:color w:val="222222"/>
          <w:sz w:val="24"/>
          <w:szCs w:val="24"/>
          <w:shd w:val="clear" w:color="auto" w:fill="FFFFFF"/>
        </w:rPr>
        <w:t>Of</w:t>
      </w:r>
      <w:proofErr w:type="gramEnd"/>
      <w:r>
        <w:rPr>
          <w:rFonts w:ascii="Times New Roman" w:hAnsi="Times New Roman" w:cs="Times New Roman"/>
          <w:color w:val="222222"/>
          <w:sz w:val="24"/>
          <w:szCs w:val="24"/>
          <w:shd w:val="clear" w:color="auto" w:fill="FFFFFF"/>
        </w:rPr>
        <w:t xml:space="preserve"> Current Ratio, Net Profit Margin, Debt To Equity Ratio Firm Size And Return On Equity On Price Earnings Ratio Empirical Studies On Consumer Goods Industry Companies Listed On </w:t>
      </w:r>
      <w:proofErr w:type="spellStart"/>
      <w:r>
        <w:rPr>
          <w:rFonts w:ascii="Times New Roman" w:hAnsi="Times New Roman" w:cs="Times New Roman"/>
          <w:color w:val="222222"/>
          <w:sz w:val="24"/>
          <w:szCs w:val="24"/>
          <w:shd w:val="clear" w:color="auto" w:fill="FFFFFF"/>
        </w:rPr>
        <w:t>Idx</w:t>
      </w:r>
      <w:proofErr w:type="spellEnd"/>
      <w:r>
        <w:rPr>
          <w:rFonts w:ascii="Times New Roman" w:hAnsi="Times New Roman" w:cs="Times New Roman"/>
          <w:color w:val="222222"/>
          <w:sz w:val="24"/>
          <w:szCs w:val="24"/>
          <w:shd w:val="clear" w:color="auto" w:fill="FFFFFF"/>
        </w:rPr>
        <w:t xml:space="preserve"> (Years 2018-2020)’, </w:t>
      </w:r>
      <w:r>
        <w:rPr>
          <w:rFonts w:ascii="Times New Roman" w:hAnsi="Times New Roman" w:cs="Times New Roman"/>
          <w:i/>
          <w:iCs/>
          <w:color w:val="222222"/>
          <w:sz w:val="24"/>
          <w:szCs w:val="24"/>
          <w:shd w:val="clear" w:color="auto" w:fill="FFFFFF"/>
        </w:rPr>
        <w:t>Review of International Geographical Education Online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11</w:t>
      </w:r>
      <w:r>
        <w:rPr>
          <w:rFonts w:ascii="Times New Roman" w:hAnsi="Times New Roman" w:cs="Times New Roman"/>
          <w:color w:val="222222"/>
          <w:sz w:val="24"/>
          <w:szCs w:val="24"/>
          <w:shd w:val="clear" w:color="auto" w:fill="FFFFFF"/>
        </w:rPr>
        <w:t>(6).</w:t>
      </w:r>
      <w:r>
        <w:rPr>
          <w:rFonts w:ascii="Times New Roman" w:hAnsi="Times New Roman" w:cs="Times New Roman"/>
          <w:sz w:val="24"/>
          <w:szCs w:val="24"/>
        </w:rPr>
        <w:t xml:space="preserve"> Available at: 10.48047/rigeo.11.06.88</w:t>
      </w:r>
    </w:p>
    <w:p w14:paraId="2E2CE930"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Fang, L., Li, H. and Li, M. (2019) ‘Does hotel location tell a true story? Evidence from geographically weighted regression analysis of hotels in Hong Kong’, </w:t>
      </w:r>
      <w:r>
        <w:rPr>
          <w:rFonts w:ascii="Times New Roman" w:hAnsi="Times New Roman" w:cs="Times New Roman"/>
          <w:i/>
          <w:iCs/>
          <w:color w:val="222222"/>
          <w:sz w:val="24"/>
          <w:szCs w:val="24"/>
          <w:shd w:val="clear" w:color="auto" w:fill="FFFFFF"/>
        </w:rPr>
        <w:t>Tourism Management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72</w:t>
      </w:r>
      <w:r>
        <w:rPr>
          <w:rFonts w:ascii="Times New Roman" w:hAnsi="Times New Roman" w:cs="Times New Roman"/>
          <w:color w:val="222222"/>
          <w:sz w:val="24"/>
          <w:szCs w:val="24"/>
          <w:shd w:val="clear" w:color="auto" w:fill="FFFFFF"/>
        </w:rPr>
        <w:t xml:space="preserve">, pp.78-91. </w:t>
      </w:r>
      <w:r>
        <w:rPr>
          <w:rFonts w:ascii="Times New Roman" w:hAnsi="Times New Roman" w:cs="Times New Roman"/>
          <w:sz w:val="24"/>
          <w:szCs w:val="24"/>
        </w:rPr>
        <w:t>Available at: https://doi.org/10.1016/j.tourman.2018.11.010</w:t>
      </w:r>
    </w:p>
    <w:p w14:paraId="0BFA8FE9" w14:textId="77777777" w:rsidR="009D2323" w:rsidRDefault="009D2323" w:rsidP="009D2323">
      <w:pPr>
        <w:rPr>
          <w:rFonts w:ascii="Times New Roman" w:hAnsi="Times New Roman" w:cs="Times New Roman"/>
          <w:sz w:val="24"/>
          <w:szCs w:val="24"/>
        </w:rPr>
      </w:pPr>
      <w:proofErr w:type="spellStart"/>
      <w:r>
        <w:rPr>
          <w:rFonts w:ascii="Times New Roman" w:hAnsi="Times New Roman" w:cs="Times New Roman"/>
          <w:color w:val="222222"/>
          <w:sz w:val="24"/>
          <w:szCs w:val="24"/>
          <w:shd w:val="clear" w:color="auto" w:fill="FFFFFF"/>
        </w:rPr>
        <w:lastRenderedPageBreak/>
        <w:t>Fatihudin</w:t>
      </w:r>
      <w:proofErr w:type="spellEnd"/>
      <w:r>
        <w:rPr>
          <w:rFonts w:ascii="Times New Roman" w:hAnsi="Times New Roman" w:cs="Times New Roman"/>
          <w:color w:val="222222"/>
          <w:sz w:val="24"/>
          <w:szCs w:val="24"/>
          <w:shd w:val="clear" w:color="auto" w:fill="FFFFFF"/>
        </w:rPr>
        <w:t>, D. (2018) ‘How measuring financial performance’, </w:t>
      </w:r>
      <w:r>
        <w:rPr>
          <w:rFonts w:ascii="Times New Roman" w:hAnsi="Times New Roman" w:cs="Times New Roman"/>
          <w:i/>
          <w:iCs/>
          <w:color w:val="222222"/>
          <w:sz w:val="24"/>
          <w:szCs w:val="24"/>
          <w:shd w:val="clear" w:color="auto" w:fill="FFFFFF"/>
        </w:rPr>
        <w:t>International Journal of Civil Engineering and Technology (IJCIET)</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(6), pp.553-557. Available at: https://repository.um-surabaya.ac.id/3260/10/%281%29Jur.Internasional_sqopus_Q2_IJCIET.pdf</w:t>
      </w:r>
    </w:p>
    <w:p w14:paraId="266F9D56"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Gantner, M. (2023) </w:t>
      </w:r>
      <w:r>
        <w:rPr>
          <w:rFonts w:ascii="Times New Roman" w:hAnsi="Times New Roman" w:cs="Times New Roman"/>
          <w:i/>
          <w:sz w:val="24"/>
          <w:szCs w:val="24"/>
        </w:rPr>
        <w:t>The 2023 Playbook: Revenue, Risk Mitigation And ROI.</w:t>
      </w:r>
      <w:r>
        <w:rPr>
          <w:rFonts w:ascii="Times New Roman" w:hAnsi="Times New Roman" w:cs="Times New Roman"/>
          <w:sz w:val="24"/>
          <w:szCs w:val="24"/>
        </w:rPr>
        <w:t xml:space="preserve"> Available at: https://www.forbes.com/sites/forbesbusinesscouncil/2023/03/22/the-2023-playbook-revenue-risk-mitigation-and-roi/?sh=3f23a8f930b7 (Accessed: 28 October 2023)</w:t>
      </w:r>
    </w:p>
    <w:p w14:paraId="22F3AEDB"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Hang, T.T.B., Nhung, D.T.H., Huy, D.T.N., Hung, N.M. and Pham, M.D. (2020) ‘Where Beta is going–case of Viet Nam hotel, airlines and tourism company groups after the low inflation period’, </w:t>
      </w:r>
      <w:r>
        <w:rPr>
          <w:rFonts w:ascii="Times New Roman" w:hAnsi="Times New Roman" w:cs="Times New Roman"/>
          <w:i/>
          <w:iCs/>
          <w:color w:val="222222"/>
          <w:sz w:val="24"/>
          <w:szCs w:val="24"/>
          <w:shd w:val="clear" w:color="auto" w:fill="FFFFFF"/>
        </w:rPr>
        <w:t>Entrepreneurship and Sustainability Issues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7</w:t>
      </w:r>
      <w:r>
        <w:rPr>
          <w:rFonts w:ascii="Times New Roman" w:hAnsi="Times New Roman" w:cs="Times New Roman"/>
          <w:color w:val="222222"/>
          <w:sz w:val="24"/>
          <w:szCs w:val="24"/>
          <w:shd w:val="clear" w:color="auto" w:fill="FFFFFF"/>
        </w:rPr>
        <w:t xml:space="preserve">(3), p.2282. </w:t>
      </w:r>
      <w:r>
        <w:rPr>
          <w:rFonts w:ascii="Times New Roman" w:hAnsi="Times New Roman" w:cs="Times New Roman"/>
          <w:sz w:val="24"/>
          <w:szCs w:val="24"/>
        </w:rPr>
        <w:t>Available at: http://doi.org/10.9770/jesi.2020.7.3(55)</w:t>
      </w:r>
    </w:p>
    <w:p w14:paraId="7987CD63"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Husna, A. and Satria, I. (2019) ‘Effects of return on asset, debt to asset ratio, current ratio, firm size, and dividend payout ratio on firm value’, </w:t>
      </w:r>
      <w:r>
        <w:rPr>
          <w:rFonts w:ascii="Times New Roman" w:hAnsi="Times New Roman" w:cs="Times New Roman"/>
          <w:i/>
          <w:iCs/>
          <w:color w:val="222222"/>
          <w:sz w:val="24"/>
          <w:szCs w:val="24"/>
          <w:shd w:val="clear" w:color="auto" w:fill="FFFFFF"/>
        </w:rPr>
        <w:t>International Journal of Economics and Financial Issues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9</w:t>
      </w:r>
      <w:r>
        <w:rPr>
          <w:rFonts w:ascii="Times New Roman" w:hAnsi="Times New Roman" w:cs="Times New Roman"/>
          <w:color w:val="222222"/>
          <w:sz w:val="24"/>
          <w:szCs w:val="24"/>
          <w:shd w:val="clear" w:color="auto" w:fill="FFFFFF"/>
        </w:rPr>
        <w:t xml:space="preserve">(5), pp.50-54. Available at: </w:t>
      </w:r>
      <w:r>
        <w:rPr>
          <w:rFonts w:ascii="Times New Roman" w:hAnsi="Times New Roman" w:cs="Times New Roman"/>
          <w:sz w:val="24"/>
          <w:szCs w:val="24"/>
        </w:rPr>
        <w:t>https://doi.org/10.32479/ijefi.8595</w:t>
      </w:r>
    </w:p>
    <w:p w14:paraId="69DF5A41"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Irman, M. and Purwati, A.A. (2020) ‘Analysis on the influence of current ratio, debt to equity ratio and total asset turnover toward return on assets on the </w:t>
      </w:r>
      <w:proofErr w:type="spellStart"/>
      <w:r>
        <w:rPr>
          <w:rFonts w:ascii="Times New Roman" w:hAnsi="Times New Roman" w:cs="Times New Roman"/>
          <w:color w:val="222222"/>
          <w:sz w:val="24"/>
          <w:szCs w:val="24"/>
          <w:shd w:val="clear" w:color="auto" w:fill="FFFFFF"/>
        </w:rPr>
        <w:t>otomotive</w:t>
      </w:r>
      <w:proofErr w:type="spellEnd"/>
      <w:r>
        <w:rPr>
          <w:rFonts w:ascii="Times New Roman" w:hAnsi="Times New Roman" w:cs="Times New Roman"/>
          <w:color w:val="222222"/>
          <w:sz w:val="24"/>
          <w:szCs w:val="24"/>
          <w:shd w:val="clear" w:color="auto" w:fill="FFFFFF"/>
        </w:rPr>
        <w:t xml:space="preserve"> and component company that has been registered in Indonesia Stock Exchange Within 2011-2017’, </w:t>
      </w:r>
      <w:r>
        <w:rPr>
          <w:rFonts w:ascii="Times New Roman" w:hAnsi="Times New Roman" w:cs="Times New Roman"/>
          <w:i/>
          <w:iCs/>
          <w:color w:val="222222"/>
          <w:sz w:val="24"/>
          <w:szCs w:val="24"/>
          <w:shd w:val="clear" w:color="auto" w:fill="FFFFFF"/>
        </w:rPr>
        <w:t>International Journal of Economics Development Research (IJEDR)</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xml:space="preserve">(1), pp.36-44. Available at: </w:t>
      </w:r>
      <w:r>
        <w:rPr>
          <w:rFonts w:ascii="Times New Roman" w:hAnsi="Times New Roman" w:cs="Times New Roman"/>
          <w:sz w:val="24"/>
          <w:szCs w:val="24"/>
        </w:rPr>
        <w:t>https://www.yrpipku.com/journal/index.php/ijedr/article/download/26/11</w:t>
      </w:r>
    </w:p>
    <w:p w14:paraId="3896633A" w14:textId="77777777" w:rsidR="009D2323" w:rsidRDefault="009D2323" w:rsidP="009D2323">
      <w:pPr>
        <w:rPr>
          <w:rFonts w:ascii="Times New Roman" w:hAnsi="Times New Roman" w:cs="Times New Roman"/>
          <w:b/>
          <w:bCs/>
          <w:sz w:val="24"/>
          <w:szCs w:val="24"/>
        </w:rPr>
      </w:pPr>
      <w:r>
        <w:rPr>
          <w:rFonts w:ascii="Times New Roman" w:hAnsi="Times New Roman" w:cs="Times New Roman"/>
          <w:color w:val="222222"/>
          <w:sz w:val="24"/>
          <w:szCs w:val="24"/>
          <w:shd w:val="clear" w:color="auto" w:fill="FFFFFF"/>
        </w:rPr>
        <w:t>Khan, Y.H., Hakeem, S.M.A. And Naumov, N. (2018) ‘The use of branding and market segmentation in hotel marketing: A Conceptual Review’, </w:t>
      </w:r>
      <w:r>
        <w:rPr>
          <w:rFonts w:ascii="Times New Roman" w:hAnsi="Times New Roman" w:cs="Times New Roman"/>
          <w:i/>
          <w:iCs/>
          <w:color w:val="222222"/>
          <w:sz w:val="24"/>
          <w:szCs w:val="24"/>
          <w:shd w:val="clear" w:color="auto" w:fill="FFFFFF"/>
        </w:rPr>
        <w:t>Journal of tourism intelligence and smartness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w:t>
      </w:r>
      <w:r>
        <w:rPr>
          <w:rFonts w:ascii="Times New Roman" w:hAnsi="Times New Roman" w:cs="Times New Roman"/>
          <w:color w:val="222222"/>
          <w:sz w:val="24"/>
          <w:szCs w:val="24"/>
          <w:shd w:val="clear" w:color="auto" w:fill="FFFFFF"/>
        </w:rPr>
        <w:t xml:space="preserve">(2), pp.12-23. </w:t>
      </w:r>
      <w:r>
        <w:rPr>
          <w:rFonts w:ascii="Times New Roman" w:hAnsi="Times New Roman" w:cs="Times New Roman"/>
          <w:sz w:val="24"/>
          <w:szCs w:val="24"/>
        </w:rPr>
        <w:t>Available at: https://dergipark.org.tr/en/download/article-file/609826</w:t>
      </w:r>
    </w:p>
    <w:p w14:paraId="7C698C52"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 xml:space="preserve">Markgraf B. (2023) </w:t>
      </w:r>
      <w:r>
        <w:rPr>
          <w:rFonts w:ascii="Times New Roman" w:hAnsi="Times New Roman" w:cs="Times New Roman"/>
          <w:i/>
          <w:sz w:val="24"/>
          <w:szCs w:val="24"/>
        </w:rPr>
        <w:t>Marketing Strategies to Decrease a Budget.</w:t>
      </w:r>
      <w:r>
        <w:rPr>
          <w:rFonts w:ascii="Times New Roman" w:hAnsi="Times New Roman" w:cs="Times New Roman"/>
          <w:sz w:val="24"/>
          <w:szCs w:val="24"/>
        </w:rPr>
        <w:t xml:space="preserve"> Available at: https://smallbusiness.chron.com/marketing-strategies-decrease-budget-15400.html (Accessed: 27 October 2023)</w:t>
      </w:r>
    </w:p>
    <w:p w14:paraId="78392756" w14:textId="77777777" w:rsidR="009D2323" w:rsidRDefault="009D2323" w:rsidP="009D2323">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Mucharreira</w:t>
      </w:r>
      <w:proofErr w:type="spellEnd"/>
      <w:r>
        <w:rPr>
          <w:rFonts w:ascii="Times New Roman" w:hAnsi="Times New Roman" w:cs="Times New Roman"/>
          <w:color w:val="222222"/>
          <w:sz w:val="24"/>
          <w:szCs w:val="24"/>
          <w:shd w:val="clear" w:color="auto" w:fill="FFFFFF"/>
        </w:rPr>
        <w:t xml:space="preserve">, P.R., Antunes, M.G., </w:t>
      </w:r>
      <w:proofErr w:type="spellStart"/>
      <w:r>
        <w:rPr>
          <w:rFonts w:ascii="Times New Roman" w:hAnsi="Times New Roman" w:cs="Times New Roman"/>
          <w:color w:val="222222"/>
          <w:sz w:val="24"/>
          <w:szCs w:val="24"/>
          <w:shd w:val="clear" w:color="auto" w:fill="FFFFFF"/>
        </w:rPr>
        <w:t>Abranja</w:t>
      </w:r>
      <w:proofErr w:type="spellEnd"/>
      <w:r>
        <w:rPr>
          <w:rFonts w:ascii="Times New Roman" w:hAnsi="Times New Roman" w:cs="Times New Roman"/>
          <w:color w:val="222222"/>
          <w:sz w:val="24"/>
          <w:szCs w:val="24"/>
          <w:shd w:val="clear" w:color="auto" w:fill="FFFFFF"/>
        </w:rPr>
        <w:t>, N., Justino, M.R.T. and Quirós, J.T.  (2019) ‘The relevance of tourism in financial sustainability of hotels’, </w:t>
      </w:r>
      <w:r>
        <w:rPr>
          <w:rFonts w:ascii="Times New Roman" w:hAnsi="Times New Roman" w:cs="Times New Roman"/>
          <w:i/>
          <w:iCs/>
          <w:color w:val="222222"/>
          <w:sz w:val="24"/>
          <w:szCs w:val="24"/>
          <w:shd w:val="clear" w:color="auto" w:fill="FFFFFF"/>
        </w:rPr>
        <w:t>European Research on Management and Business Economics</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25</w:t>
      </w:r>
      <w:r>
        <w:rPr>
          <w:rFonts w:ascii="Times New Roman" w:hAnsi="Times New Roman" w:cs="Times New Roman"/>
          <w:color w:val="222222"/>
          <w:sz w:val="24"/>
          <w:szCs w:val="24"/>
          <w:shd w:val="clear" w:color="auto" w:fill="FFFFFF"/>
        </w:rPr>
        <w:t>(3), pp.165-174. Available at: https://doi.org/10.1016/j.iedeen.2019.07.002</w:t>
      </w:r>
    </w:p>
    <w:p w14:paraId="43A710B1" w14:textId="77777777" w:rsidR="009D2323" w:rsidRDefault="009D2323" w:rsidP="009D23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 xml:space="preserve">Navratil, J., Picha, K., </w:t>
      </w:r>
      <w:proofErr w:type="spellStart"/>
      <w:r>
        <w:rPr>
          <w:rFonts w:ascii="Times New Roman" w:hAnsi="Times New Roman" w:cs="Times New Roman"/>
          <w:color w:val="222222"/>
          <w:sz w:val="24"/>
          <w:szCs w:val="24"/>
          <w:shd w:val="clear" w:color="auto" w:fill="FFFFFF"/>
        </w:rPr>
        <w:t>Buchecker</w:t>
      </w:r>
      <w:proofErr w:type="spellEnd"/>
      <w:r>
        <w:rPr>
          <w:rFonts w:ascii="Times New Roman" w:hAnsi="Times New Roman" w:cs="Times New Roman"/>
          <w:color w:val="222222"/>
          <w:sz w:val="24"/>
          <w:szCs w:val="24"/>
          <w:shd w:val="clear" w:color="auto" w:fill="FFFFFF"/>
        </w:rPr>
        <w:t xml:space="preserve">, M., Martinat, S., Svec, R., </w:t>
      </w:r>
      <w:proofErr w:type="spellStart"/>
      <w:r>
        <w:rPr>
          <w:rFonts w:ascii="Times New Roman" w:hAnsi="Times New Roman" w:cs="Times New Roman"/>
          <w:color w:val="222222"/>
          <w:sz w:val="24"/>
          <w:szCs w:val="24"/>
          <w:shd w:val="clear" w:color="auto" w:fill="FFFFFF"/>
        </w:rPr>
        <w:t>Brezinova</w:t>
      </w:r>
      <w:proofErr w:type="spellEnd"/>
      <w:r>
        <w:rPr>
          <w:rFonts w:ascii="Times New Roman" w:hAnsi="Times New Roman" w:cs="Times New Roman"/>
          <w:color w:val="222222"/>
          <w:sz w:val="24"/>
          <w:szCs w:val="24"/>
          <w:shd w:val="clear" w:color="auto" w:fill="FFFFFF"/>
        </w:rPr>
        <w:t>, M. and Knotek, J. (2019) ‘Visitors’ preferences of renewable energy options in “green” hotels’, </w:t>
      </w:r>
      <w:r>
        <w:rPr>
          <w:rFonts w:ascii="Times New Roman" w:hAnsi="Times New Roman" w:cs="Times New Roman"/>
          <w:i/>
          <w:iCs/>
          <w:color w:val="222222"/>
          <w:sz w:val="24"/>
          <w:szCs w:val="24"/>
          <w:shd w:val="clear" w:color="auto" w:fill="FFFFFF"/>
        </w:rPr>
        <w:t>Renewable energy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138</w:t>
      </w:r>
      <w:r>
        <w:rPr>
          <w:rFonts w:ascii="Times New Roman" w:hAnsi="Times New Roman" w:cs="Times New Roman"/>
          <w:color w:val="222222"/>
          <w:sz w:val="24"/>
          <w:szCs w:val="24"/>
          <w:shd w:val="clear" w:color="auto" w:fill="FFFFFF"/>
        </w:rPr>
        <w:t>, pp.1065-1077. Available at: https://doi.org/10.1016/j.renene.2019.02.043</w:t>
      </w:r>
    </w:p>
    <w:p w14:paraId="7B383947" w14:textId="77777777" w:rsidR="009D2323" w:rsidRDefault="009D2323" w:rsidP="009D2323">
      <w:pPr>
        <w:rPr>
          <w:rFonts w:ascii="Times New Roman" w:hAnsi="Times New Roman" w:cs="Times New Roman"/>
          <w:sz w:val="24"/>
          <w:szCs w:val="24"/>
        </w:rPr>
      </w:pPr>
      <w:r>
        <w:rPr>
          <w:rFonts w:ascii="Times New Roman" w:hAnsi="Times New Roman" w:cs="Times New Roman"/>
          <w:color w:val="222222"/>
          <w:sz w:val="24"/>
          <w:szCs w:val="24"/>
          <w:shd w:val="clear" w:color="auto" w:fill="FFFFFF"/>
        </w:rPr>
        <w:t xml:space="preserve">Nica, E., </w:t>
      </w:r>
      <w:proofErr w:type="spellStart"/>
      <w:r>
        <w:rPr>
          <w:rFonts w:ascii="Times New Roman" w:hAnsi="Times New Roman" w:cs="Times New Roman"/>
          <w:color w:val="222222"/>
          <w:sz w:val="24"/>
          <w:szCs w:val="24"/>
          <w:shd w:val="clear" w:color="auto" w:fill="FFFFFF"/>
        </w:rPr>
        <w:t>Gajanova</w:t>
      </w:r>
      <w:proofErr w:type="spellEnd"/>
      <w:r>
        <w:rPr>
          <w:rFonts w:ascii="Times New Roman" w:hAnsi="Times New Roman" w:cs="Times New Roman"/>
          <w:color w:val="222222"/>
          <w:sz w:val="24"/>
          <w:szCs w:val="24"/>
          <w:shd w:val="clear" w:color="auto" w:fill="FFFFFF"/>
        </w:rPr>
        <w:t xml:space="preserve">, L. and </w:t>
      </w:r>
      <w:proofErr w:type="spellStart"/>
      <w:r>
        <w:rPr>
          <w:rFonts w:ascii="Times New Roman" w:hAnsi="Times New Roman" w:cs="Times New Roman"/>
          <w:color w:val="222222"/>
          <w:sz w:val="24"/>
          <w:szCs w:val="24"/>
          <w:shd w:val="clear" w:color="auto" w:fill="FFFFFF"/>
        </w:rPr>
        <w:t>Kicova</w:t>
      </w:r>
      <w:proofErr w:type="spellEnd"/>
      <w:r>
        <w:rPr>
          <w:rFonts w:ascii="Times New Roman" w:hAnsi="Times New Roman" w:cs="Times New Roman"/>
          <w:color w:val="222222"/>
          <w:sz w:val="24"/>
          <w:szCs w:val="24"/>
          <w:shd w:val="clear" w:color="auto" w:fill="FFFFFF"/>
        </w:rPr>
        <w:t>, E. (2019) ‘Customer segmentation based on psychographic and demographic aspects as a determinant of customer targeting in the online environment’, </w:t>
      </w:r>
      <w:proofErr w:type="spellStart"/>
      <w:r>
        <w:rPr>
          <w:rFonts w:ascii="Times New Roman" w:hAnsi="Times New Roman" w:cs="Times New Roman"/>
          <w:i/>
          <w:iCs/>
          <w:color w:val="222222"/>
          <w:sz w:val="24"/>
          <w:szCs w:val="24"/>
          <w:shd w:val="clear" w:color="auto" w:fill="FFFFFF"/>
        </w:rPr>
        <w:t>Littera</w:t>
      </w:r>
      <w:proofErr w:type="spellEnd"/>
      <w:r>
        <w:rPr>
          <w:rFonts w:ascii="Times New Roman" w:hAnsi="Times New Roman" w:cs="Times New Roman"/>
          <w:i/>
          <w:iCs/>
          <w:color w:val="222222"/>
          <w:sz w:val="24"/>
          <w:szCs w:val="24"/>
          <w:shd w:val="clear" w:color="auto" w:fill="FFFFFF"/>
        </w:rPr>
        <w:t xml:space="preserve"> Scripta</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12</w:t>
      </w:r>
      <w:r>
        <w:rPr>
          <w:rFonts w:ascii="Times New Roman" w:hAnsi="Times New Roman" w:cs="Times New Roman"/>
          <w:color w:val="222222"/>
          <w:sz w:val="24"/>
          <w:szCs w:val="24"/>
          <w:shd w:val="clear" w:color="auto" w:fill="FFFFFF"/>
        </w:rPr>
        <w:t>(2), pp.108-126. Available at: https://doi.org/10.36708/Littera_Scripta2019/2/0</w:t>
      </w:r>
    </w:p>
    <w:p w14:paraId="36FA56F9" w14:textId="77777777" w:rsidR="009D2323" w:rsidRDefault="009D2323" w:rsidP="009D2323">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Nugraha</w:t>
      </w:r>
      <w:proofErr w:type="spellEnd"/>
      <w:r>
        <w:rPr>
          <w:rFonts w:ascii="Times New Roman" w:hAnsi="Times New Roman" w:cs="Times New Roman"/>
          <w:color w:val="222222"/>
          <w:sz w:val="24"/>
          <w:szCs w:val="24"/>
          <w:shd w:val="clear" w:color="auto" w:fill="FFFFFF"/>
        </w:rPr>
        <w:t xml:space="preserve">, N.M., </w:t>
      </w:r>
      <w:proofErr w:type="spellStart"/>
      <w:r>
        <w:rPr>
          <w:rFonts w:ascii="Times New Roman" w:hAnsi="Times New Roman" w:cs="Times New Roman"/>
          <w:color w:val="222222"/>
          <w:sz w:val="24"/>
          <w:szCs w:val="24"/>
          <w:shd w:val="clear" w:color="auto" w:fill="FFFFFF"/>
        </w:rPr>
        <w:t>Puspitasari</w:t>
      </w:r>
      <w:proofErr w:type="spellEnd"/>
      <w:r>
        <w:rPr>
          <w:rFonts w:ascii="Times New Roman" w:hAnsi="Times New Roman" w:cs="Times New Roman"/>
          <w:color w:val="222222"/>
          <w:sz w:val="24"/>
          <w:szCs w:val="24"/>
          <w:shd w:val="clear" w:color="auto" w:fill="FFFFFF"/>
        </w:rPr>
        <w:t>, D.M. and Amalia, S. (2020) ‘The effect of financial ratio factors on the percentage of income increasing of automotive companies in Indonesia’, </w:t>
      </w:r>
      <w:r>
        <w:rPr>
          <w:rFonts w:ascii="Times New Roman" w:hAnsi="Times New Roman" w:cs="Times New Roman"/>
          <w:i/>
          <w:iCs/>
          <w:color w:val="222222"/>
          <w:sz w:val="24"/>
          <w:szCs w:val="24"/>
          <w:shd w:val="clear" w:color="auto" w:fill="FFFFFF"/>
        </w:rPr>
        <w:t>International Journal of Psychosocial Rehabilitation</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24</w:t>
      </w:r>
      <w:r>
        <w:rPr>
          <w:rFonts w:ascii="Times New Roman" w:hAnsi="Times New Roman" w:cs="Times New Roman"/>
          <w:color w:val="222222"/>
          <w:sz w:val="24"/>
          <w:szCs w:val="24"/>
          <w:shd w:val="clear" w:color="auto" w:fill="FFFFFF"/>
        </w:rPr>
        <w:t>(1), pp.2539-2545. Available at: https://www.researchgate.net/profile/Nugi-Nugraha/publication/348522483_THE_EFFECT_OF_FINANCIAL_RATIO_FACTORS_ON_THE_PERCENTAGE_OF_INCOME_INCREASING_OF_AUTOMOTIVE_COMPANIES_IN_INDONESIA/links/60020e3192851c13fe146b85/THE-EFFECT-OF-FINANCIAL-RATIO-FACTORS-ON-THE-PERCENTAGE-OF-INCOME-INCREASING-OF-AUTOMOTIVE-COMPANIES-IN-INDONESIA.pdf</w:t>
      </w:r>
    </w:p>
    <w:p w14:paraId="3CE763CD" w14:textId="77777777" w:rsidR="009D2323" w:rsidRDefault="009D2323" w:rsidP="009D2323">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Robinson, T.R. (2020) </w:t>
      </w:r>
      <w:r>
        <w:rPr>
          <w:rFonts w:ascii="Times New Roman" w:hAnsi="Times New Roman" w:cs="Times New Roman"/>
          <w:i/>
          <w:iCs/>
          <w:color w:val="222222"/>
          <w:sz w:val="24"/>
          <w:szCs w:val="24"/>
          <w:shd w:val="clear" w:color="auto" w:fill="FFFFFF"/>
        </w:rPr>
        <w:t>International financial statement analysis</w:t>
      </w:r>
      <w:r>
        <w:rPr>
          <w:rFonts w:ascii="Times New Roman" w:hAnsi="Times New Roman" w:cs="Times New Roman"/>
          <w:color w:val="222222"/>
          <w:sz w:val="24"/>
          <w:szCs w:val="24"/>
          <w:shd w:val="clear" w:color="auto" w:fill="FFFFFF"/>
        </w:rPr>
        <w:t>. John Wiley &amp; Sons.</w:t>
      </w:r>
    </w:p>
    <w:p w14:paraId="13EC850B" w14:textId="77777777" w:rsidR="009D2323" w:rsidRDefault="009D2323" w:rsidP="009D2323">
      <w:pPr>
        <w:rPr>
          <w:rFonts w:ascii="Times New Roman" w:hAnsi="Times New Roman" w:cs="Times New Roman"/>
          <w:sz w:val="24"/>
          <w:szCs w:val="24"/>
        </w:rPr>
      </w:pPr>
    </w:p>
    <w:p w14:paraId="73B8BB1A" w14:textId="77777777" w:rsidR="009D2323" w:rsidRDefault="009D2323" w:rsidP="009D2323">
      <w:pPr>
        <w:rPr>
          <w:rFonts w:ascii="Times New Roman" w:hAnsi="Times New Roman" w:cs="Times New Roman"/>
          <w:sz w:val="24"/>
          <w:szCs w:val="24"/>
        </w:rPr>
      </w:pPr>
      <w:r>
        <w:rPr>
          <w:rFonts w:ascii="Times New Roman" w:hAnsi="Times New Roman" w:cs="Times New Roman"/>
          <w:kern w:val="0"/>
          <w:sz w:val="24"/>
          <w:szCs w:val="24"/>
          <w14:ligatures w14:val="none"/>
        </w:rPr>
        <w:br w:type="page"/>
      </w:r>
    </w:p>
    <w:p w14:paraId="10EED8EC" w14:textId="77777777" w:rsidR="009D2323" w:rsidRPr="009D2323" w:rsidRDefault="009D2323" w:rsidP="009D2323">
      <w:pPr>
        <w:pStyle w:val="Heading1"/>
        <w:rPr>
          <w:rFonts w:ascii="Times New Roman" w:hAnsi="Times New Roman"/>
          <w:color w:val="auto"/>
          <w:sz w:val="28"/>
          <w:szCs w:val="32"/>
        </w:rPr>
      </w:pPr>
      <w:bookmarkStart w:id="22" w:name="_Toc149647648"/>
      <w:r w:rsidRPr="009D2323">
        <w:rPr>
          <w:color w:val="auto"/>
        </w:rPr>
        <w:lastRenderedPageBreak/>
        <w:t>Executive Summary</w:t>
      </w:r>
      <w:bookmarkEnd w:id="22"/>
    </w:p>
    <w:p w14:paraId="36048E9B" w14:textId="77777777" w:rsidR="009D2323" w:rsidRDefault="009D2323" w:rsidP="009D2323">
      <w:pPr>
        <w:rPr>
          <w:rFonts w:ascii="Times New Roman" w:hAnsi="Times New Roman" w:cs="Times New Roman"/>
          <w:sz w:val="24"/>
          <w:szCs w:val="24"/>
        </w:rPr>
      </w:pPr>
      <w:r>
        <w:rPr>
          <w:rFonts w:ascii="Times New Roman" w:hAnsi="Times New Roman" w:cs="Times New Roman"/>
          <w:sz w:val="24"/>
          <w:szCs w:val="24"/>
        </w:rPr>
        <w:t>This report had an explanation of The Seaview Resort, its turnaround strategy, and its financial vitality. The resort had a decline in occupancy rate, revenue, and customer satisfaction. The turnaround strategy consisted of three outcomes: an increase in revenue by 30%, an increase in gross profit margin by 4% every year, and an increase in net cash flow by 20% every year from 2023 to 2026. The firm is suggested to increase its occupancy rate and average room rate so that it can achieve the set target. It has been analyzed that the resort has a strong location which can lead to attracting customers.</w:t>
      </w:r>
    </w:p>
    <w:p w14:paraId="0BB55348" w14:textId="77777777" w:rsidR="002B0A11" w:rsidRDefault="002B0A11"/>
    <w:p w14:paraId="241CAAB6" w14:textId="77777777" w:rsidR="000E3A70" w:rsidRDefault="000E3A70"/>
    <w:p w14:paraId="472BA822" w14:textId="77777777" w:rsidR="000E3A70" w:rsidRDefault="000E3A70"/>
    <w:p w14:paraId="0F01F968" w14:textId="77777777" w:rsidR="000E3A70" w:rsidRDefault="000E3A70"/>
    <w:p w14:paraId="2D27298B" w14:textId="77777777" w:rsidR="000E3A70" w:rsidRDefault="000E3A70"/>
    <w:p w14:paraId="69E35F46" w14:textId="77777777" w:rsidR="000E3A70" w:rsidRDefault="000E3A70"/>
    <w:p w14:paraId="4FA22702" w14:textId="77777777" w:rsidR="000E3A70" w:rsidRDefault="000E3A70"/>
    <w:p w14:paraId="38C5B80E" w14:textId="77777777" w:rsidR="000E3A70" w:rsidRDefault="000E3A70"/>
    <w:p w14:paraId="7B213D75" w14:textId="77777777" w:rsidR="000E3A70" w:rsidRDefault="000E3A70"/>
    <w:p w14:paraId="35ED9162" w14:textId="77777777" w:rsidR="000E3A70" w:rsidRDefault="000E3A70"/>
    <w:p w14:paraId="7430C86B" w14:textId="77777777" w:rsidR="000E3A70" w:rsidRDefault="000E3A70"/>
    <w:p w14:paraId="3A2BF48C" w14:textId="77777777" w:rsidR="000E3A70" w:rsidRDefault="000E3A70"/>
    <w:p w14:paraId="253777BB" w14:textId="77777777" w:rsidR="000E3A70" w:rsidRDefault="000E3A70"/>
    <w:p w14:paraId="7B4BF4B7" w14:textId="77777777" w:rsidR="000E3A70" w:rsidRDefault="000E3A70"/>
    <w:p w14:paraId="6599876C" w14:textId="77777777" w:rsidR="000E3A70" w:rsidRDefault="000E3A70"/>
    <w:p w14:paraId="1D1EF7F2" w14:textId="77777777" w:rsidR="000E3A70" w:rsidRDefault="000E3A70"/>
    <w:p w14:paraId="057B6994" w14:textId="77777777" w:rsidR="00460E87" w:rsidRDefault="00460E87" w:rsidP="000E3A70">
      <w:pPr>
        <w:pStyle w:val="Heading2"/>
        <w:rPr>
          <w:color w:val="auto"/>
        </w:rPr>
      </w:pPr>
    </w:p>
    <w:p w14:paraId="6645F21C" w14:textId="77777777" w:rsidR="00460E87" w:rsidRDefault="00460E87" w:rsidP="000E3A70">
      <w:pPr>
        <w:pStyle w:val="Heading2"/>
        <w:rPr>
          <w:color w:val="auto"/>
        </w:rPr>
      </w:pPr>
    </w:p>
    <w:p w14:paraId="7B10CF6B" w14:textId="77777777" w:rsidR="00460E87" w:rsidRDefault="00460E87" w:rsidP="000E3A70">
      <w:pPr>
        <w:pStyle w:val="Heading2"/>
        <w:rPr>
          <w:color w:val="auto"/>
        </w:rPr>
      </w:pPr>
    </w:p>
    <w:p w14:paraId="26D9DFCA" w14:textId="4EF222D2" w:rsidR="000E3A70" w:rsidRDefault="000E3A70" w:rsidP="000E3A70">
      <w:pPr>
        <w:pStyle w:val="Heading2"/>
        <w:rPr>
          <w:color w:val="auto"/>
        </w:rPr>
      </w:pPr>
      <w:r w:rsidRPr="009D2323">
        <w:rPr>
          <w:color w:val="auto"/>
        </w:rPr>
        <w:t xml:space="preserve">Appendix </w:t>
      </w:r>
      <w:r>
        <w:rPr>
          <w:color w:val="auto"/>
        </w:rPr>
        <w:t>9</w:t>
      </w:r>
    </w:p>
    <w:p w14:paraId="410C97FC" w14:textId="77777777" w:rsidR="000E3A70" w:rsidRDefault="000E3A70" w:rsidP="000E3A70"/>
    <w:p w14:paraId="081E94A6" w14:textId="6A178EC4" w:rsidR="000E3A70" w:rsidRPr="000E3A70" w:rsidRDefault="000E3A70" w:rsidP="000E3A70">
      <w:r>
        <w:rPr>
          <w:noProof/>
        </w:rPr>
        <w:drawing>
          <wp:inline distT="0" distB="0" distL="0" distR="0" wp14:anchorId="24CCEEE3" wp14:editId="7FD9C64C">
            <wp:extent cx="6569710" cy="4533900"/>
            <wp:effectExtent l="0" t="0" r="2540" b="0"/>
            <wp:docPr id="1388254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254892" name="Picture 1388254892"/>
                    <pic:cNvPicPr/>
                  </pic:nvPicPr>
                  <pic:blipFill>
                    <a:blip r:embed="rId37">
                      <a:extLst>
                        <a:ext uri="{28A0092B-C50C-407E-A947-70E740481C1C}">
                          <a14:useLocalDpi xmlns:a14="http://schemas.microsoft.com/office/drawing/2010/main" val="0"/>
                        </a:ext>
                      </a:extLst>
                    </a:blip>
                    <a:stretch>
                      <a:fillRect/>
                    </a:stretch>
                  </pic:blipFill>
                  <pic:spPr>
                    <a:xfrm>
                      <a:off x="0" y="0"/>
                      <a:ext cx="6569710" cy="4533900"/>
                    </a:xfrm>
                    <a:prstGeom prst="rect">
                      <a:avLst/>
                    </a:prstGeom>
                  </pic:spPr>
                </pic:pic>
              </a:graphicData>
            </a:graphic>
          </wp:inline>
        </w:drawing>
      </w:r>
    </w:p>
    <w:p w14:paraId="2B6A815B" w14:textId="77777777" w:rsidR="000E3A70" w:rsidRDefault="000E3A70"/>
    <w:p w14:paraId="0ADBAD54" w14:textId="7D2153CB" w:rsidR="000E3A70" w:rsidRDefault="000E3A70">
      <w:pPr>
        <w:rPr>
          <w:noProof/>
        </w:rPr>
      </w:pPr>
      <w:r>
        <w:rPr>
          <w:noProof/>
        </w:rPr>
        <w:lastRenderedPageBreak/>
        <w:drawing>
          <wp:inline distT="0" distB="0" distL="0" distR="0" wp14:anchorId="02989B6B" wp14:editId="2425B1C6">
            <wp:extent cx="6614160" cy="4503420"/>
            <wp:effectExtent l="0" t="0" r="0" b="0"/>
            <wp:docPr id="14363423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342376" name="Picture 1436342376"/>
                    <pic:cNvPicPr/>
                  </pic:nvPicPr>
                  <pic:blipFill>
                    <a:blip r:embed="rId38">
                      <a:extLst>
                        <a:ext uri="{28A0092B-C50C-407E-A947-70E740481C1C}">
                          <a14:useLocalDpi xmlns:a14="http://schemas.microsoft.com/office/drawing/2010/main" val="0"/>
                        </a:ext>
                      </a:extLst>
                    </a:blip>
                    <a:stretch>
                      <a:fillRect/>
                    </a:stretch>
                  </pic:blipFill>
                  <pic:spPr>
                    <a:xfrm>
                      <a:off x="0" y="0"/>
                      <a:ext cx="6614160" cy="4503420"/>
                    </a:xfrm>
                    <a:prstGeom prst="rect">
                      <a:avLst/>
                    </a:prstGeom>
                  </pic:spPr>
                </pic:pic>
              </a:graphicData>
            </a:graphic>
          </wp:inline>
        </w:drawing>
      </w:r>
    </w:p>
    <w:p w14:paraId="0C01B3DD" w14:textId="77777777" w:rsidR="000E3A70" w:rsidRDefault="000E3A70" w:rsidP="000E3A70">
      <w:pPr>
        <w:rPr>
          <w:noProof/>
        </w:rPr>
      </w:pPr>
    </w:p>
    <w:p w14:paraId="05F22441" w14:textId="79D1BD12" w:rsidR="000E3A70" w:rsidRPr="000E3A70" w:rsidRDefault="000E3A70" w:rsidP="000E3A70">
      <w:pPr>
        <w:tabs>
          <w:tab w:val="left" w:pos="1068"/>
        </w:tabs>
      </w:pPr>
      <w:r>
        <w:lastRenderedPageBreak/>
        <w:tab/>
      </w:r>
      <w:r>
        <w:rPr>
          <w:noProof/>
        </w:rPr>
        <w:drawing>
          <wp:inline distT="0" distB="0" distL="0" distR="0" wp14:anchorId="7E4F555E" wp14:editId="0318380B">
            <wp:extent cx="6591300" cy="4442460"/>
            <wp:effectExtent l="0" t="0" r="0" b="0"/>
            <wp:docPr id="11109701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970102" name="Picture 1110970102"/>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591300" cy="4442460"/>
                    </a:xfrm>
                    <a:prstGeom prst="rect">
                      <a:avLst/>
                    </a:prstGeom>
                  </pic:spPr>
                </pic:pic>
              </a:graphicData>
            </a:graphic>
          </wp:inline>
        </w:drawing>
      </w:r>
    </w:p>
    <w:sectPr w:rsidR="000E3A70" w:rsidRPr="000E3A70">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AA482" w14:textId="77777777" w:rsidR="00B75582" w:rsidRDefault="00B75582" w:rsidP="006C4C02">
      <w:pPr>
        <w:spacing w:after="0" w:line="240" w:lineRule="auto"/>
      </w:pPr>
      <w:r>
        <w:separator/>
      </w:r>
    </w:p>
  </w:endnote>
  <w:endnote w:type="continuationSeparator" w:id="0">
    <w:p w14:paraId="3657B727" w14:textId="77777777" w:rsidR="00B75582" w:rsidRDefault="00B75582" w:rsidP="006C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9BCC8" w14:textId="77777777" w:rsidR="006C4C02" w:rsidRDefault="006C4C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0652134"/>
      <w:docPartObj>
        <w:docPartGallery w:val="Page Numbers (Bottom of Page)"/>
        <w:docPartUnique/>
      </w:docPartObj>
    </w:sdtPr>
    <w:sdtEndPr>
      <w:rPr>
        <w:noProof/>
      </w:rPr>
    </w:sdtEndPr>
    <w:sdtContent>
      <w:p w14:paraId="428CFBDE" w14:textId="7A86E93C" w:rsidR="006C4C02" w:rsidRDefault="006C4C02">
        <w:pPr>
          <w:pStyle w:val="Footer"/>
        </w:pPr>
        <w:r>
          <w:fldChar w:fldCharType="begin"/>
        </w:r>
        <w:r>
          <w:instrText xml:space="preserve"> PAGE   \* MERGEFORMAT </w:instrText>
        </w:r>
        <w:r>
          <w:fldChar w:fldCharType="separate"/>
        </w:r>
        <w:r>
          <w:rPr>
            <w:noProof/>
          </w:rPr>
          <w:t>2</w:t>
        </w:r>
        <w:r>
          <w:rPr>
            <w:noProof/>
          </w:rPr>
          <w:fldChar w:fldCharType="end"/>
        </w:r>
      </w:p>
    </w:sdtContent>
  </w:sdt>
  <w:p w14:paraId="45E40D76" w14:textId="77777777" w:rsidR="006C4C02" w:rsidRDefault="006C4C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932C2" w14:textId="77777777" w:rsidR="006C4C02" w:rsidRDefault="006C4C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2DE41" w14:textId="77777777" w:rsidR="00B75582" w:rsidRDefault="00B75582" w:rsidP="006C4C02">
      <w:pPr>
        <w:spacing w:after="0" w:line="240" w:lineRule="auto"/>
      </w:pPr>
      <w:r>
        <w:separator/>
      </w:r>
    </w:p>
  </w:footnote>
  <w:footnote w:type="continuationSeparator" w:id="0">
    <w:p w14:paraId="741D77B6" w14:textId="77777777" w:rsidR="00B75582" w:rsidRDefault="00B75582" w:rsidP="006C4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A061" w14:textId="77777777" w:rsidR="006C4C02" w:rsidRDefault="006C4C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E1B35" w14:textId="77777777" w:rsidR="006C4C02" w:rsidRDefault="006C4C0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F7480" w14:textId="77777777" w:rsidR="006C4C02" w:rsidRDefault="006C4C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12940"/>
    <w:multiLevelType w:val="hybridMultilevel"/>
    <w:tmpl w:val="859056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79E4844"/>
    <w:multiLevelType w:val="hybridMultilevel"/>
    <w:tmpl w:val="45287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45D3653C"/>
    <w:multiLevelType w:val="hybridMultilevel"/>
    <w:tmpl w:val="5AF86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2F866EA"/>
    <w:multiLevelType w:val="hybridMultilevel"/>
    <w:tmpl w:val="BE3A4F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3BB2F2F"/>
    <w:multiLevelType w:val="hybridMultilevel"/>
    <w:tmpl w:val="B2D8B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841919986">
    <w:abstractNumId w:val="0"/>
  </w:num>
  <w:num w:numId="2" w16cid:durableId="1869486155">
    <w:abstractNumId w:val="1"/>
  </w:num>
  <w:num w:numId="3" w16cid:durableId="753866388">
    <w:abstractNumId w:val="4"/>
  </w:num>
  <w:num w:numId="4" w16cid:durableId="1475365972">
    <w:abstractNumId w:val="2"/>
  </w:num>
  <w:num w:numId="5" w16cid:durableId="2110469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ED3"/>
    <w:rsid w:val="00026CB0"/>
    <w:rsid w:val="000E3A70"/>
    <w:rsid w:val="002B0A11"/>
    <w:rsid w:val="003F4B43"/>
    <w:rsid w:val="00460E87"/>
    <w:rsid w:val="00486ED3"/>
    <w:rsid w:val="00587F7B"/>
    <w:rsid w:val="005B368B"/>
    <w:rsid w:val="006C4C02"/>
    <w:rsid w:val="00847E4E"/>
    <w:rsid w:val="009D2323"/>
    <w:rsid w:val="00A73AB2"/>
    <w:rsid w:val="00B34824"/>
    <w:rsid w:val="00B75582"/>
    <w:rsid w:val="00C52CD8"/>
    <w:rsid w:val="00CB3876"/>
    <w:rsid w:val="00E25F5B"/>
    <w:rsid w:val="00E72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B1F6"/>
  <w15:chartTrackingRefBased/>
  <w15:docId w15:val="{14A50F41-C692-464D-9760-A872E404C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323"/>
    <w:pPr>
      <w:spacing w:line="360" w:lineRule="auto"/>
      <w:jc w:val="both"/>
    </w:pPr>
    <w:rPr>
      <w:lang w:val="en-US"/>
    </w:rPr>
  </w:style>
  <w:style w:type="paragraph" w:styleId="Heading1">
    <w:name w:val="heading 1"/>
    <w:basedOn w:val="Normal"/>
    <w:next w:val="Normal"/>
    <w:link w:val="Heading1Char"/>
    <w:uiPriority w:val="9"/>
    <w:qFormat/>
    <w:rsid w:val="00B34824"/>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unhideWhenUsed/>
    <w:qFormat/>
    <w:rsid w:val="00B34824"/>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B34824"/>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B34824"/>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B34824"/>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B34824"/>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B34824"/>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B34824"/>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B34824"/>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824"/>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rsid w:val="00B34824"/>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B34824"/>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B34824"/>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B34824"/>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B34824"/>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B34824"/>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B34824"/>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B34824"/>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B34824"/>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B34824"/>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B34824"/>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B3482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B34824"/>
    <w:rPr>
      <w:rFonts w:asciiTheme="majorHAnsi" w:eastAsiaTheme="majorEastAsia" w:hAnsiTheme="majorHAnsi" w:cstheme="majorBidi"/>
    </w:rPr>
  </w:style>
  <w:style w:type="character" w:styleId="Strong">
    <w:name w:val="Strong"/>
    <w:basedOn w:val="DefaultParagraphFont"/>
    <w:uiPriority w:val="22"/>
    <w:qFormat/>
    <w:rsid w:val="00B34824"/>
    <w:rPr>
      <w:b/>
      <w:bCs/>
    </w:rPr>
  </w:style>
  <w:style w:type="character" w:styleId="Emphasis">
    <w:name w:val="Emphasis"/>
    <w:basedOn w:val="DefaultParagraphFont"/>
    <w:uiPriority w:val="20"/>
    <w:qFormat/>
    <w:rsid w:val="00B34824"/>
    <w:rPr>
      <w:i/>
      <w:iCs/>
    </w:rPr>
  </w:style>
  <w:style w:type="paragraph" w:styleId="NoSpacing">
    <w:name w:val="No Spacing"/>
    <w:uiPriority w:val="1"/>
    <w:qFormat/>
    <w:rsid w:val="00B34824"/>
    <w:pPr>
      <w:spacing w:after="0" w:line="240" w:lineRule="auto"/>
    </w:pPr>
  </w:style>
  <w:style w:type="paragraph" w:styleId="ListParagraph">
    <w:name w:val="List Paragraph"/>
    <w:basedOn w:val="Normal"/>
    <w:uiPriority w:val="34"/>
    <w:qFormat/>
    <w:rsid w:val="00B34824"/>
    <w:pPr>
      <w:ind w:left="720"/>
      <w:contextualSpacing/>
    </w:pPr>
  </w:style>
  <w:style w:type="paragraph" w:styleId="Quote">
    <w:name w:val="Quote"/>
    <w:basedOn w:val="Normal"/>
    <w:next w:val="Normal"/>
    <w:link w:val="QuoteChar"/>
    <w:uiPriority w:val="29"/>
    <w:qFormat/>
    <w:rsid w:val="00B34824"/>
    <w:pPr>
      <w:spacing w:before="120"/>
      <w:ind w:left="720" w:right="720"/>
      <w:jc w:val="center"/>
    </w:pPr>
    <w:rPr>
      <w:i/>
      <w:iCs/>
    </w:rPr>
  </w:style>
  <w:style w:type="character" w:customStyle="1" w:styleId="QuoteChar">
    <w:name w:val="Quote Char"/>
    <w:basedOn w:val="DefaultParagraphFont"/>
    <w:link w:val="Quote"/>
    <w:uiPriority w:val="29"/>
    <w:rsid w:val="00B34824"/>
    <w:rPr>
      <w:i/>
      <w:iCs/>
    </w:rPr>
  </w:style>
  <w:style w:type="paragraph" w:styleId="IntenseQuote">
    <w:name w:val="Intense Quote"/>
    <w:basedOn w:val="Normal"/>
    <w:next w:val="Normal"/>
    <w:link w:val="IntenseQuoteChar"/>
    <w:uiPriority w:val="30"/>
    <w:qFormat/>
    <w:rsid w:val="00B34824"/>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B34824"/>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B34824"/>
    <w:rPr>
      <w:i/>
      <w:iCs/>
      <w:color w:val="404040" w:themeColor="text1" w:themeTint="BF"/>
    </w:rPr>
  </w:style>
  <w:style w:type="character" w:styleId="IntenseEmphasis">
    <w:name w:val="Intense Emphasis"/>
    <w:basedOn w:val="DefaultParagraphFont"/>
    <w:uiPriority w:val="21"/>
    <w:qFormat/>
    <w:rsid w:val="00B34824"/>
    <w:rPr>
      <w:b w:val="0"/>
      <w:bCs w:val="0"/>
      <w:i/>
      <w:iCs/>
      <w:color w:val="4472C4" w:themeColor="accent1"/>
    </w:rPr>
  </w:style>
  <w:style w:type="character" w:styleId="SubtleReference">
    <w:name w:val="Subtle Reference"/>
    <w:basedOn w:val="DefaultParagraphFont"/>
    <w:uiPriority w:val="31"/>
    <w:qFormat/>
    <w:rsid w:val="00B3482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34824"/>
    <w:rPr>
      <w:b/>
      <w:bCs/>
      <w:smallCaps/>
      <w:color w:val="4472C4" w:themeColor="accent1"/>
      <w:spacing w:val="5"/>
      <w:u w:val="single"/>
    </w:rPr>
  </w:style>
  <w:style w:type="character" w:styleId="BookTitle">
    <w:name w:val="Book Title"/>
    <w:basedOn w:val="DefaultParagraphFont"/>
    <w:uiPriority w:val="33"/>
    <w:qFormat/>
    <w:rsid w:val="00B34824"/>
    <w:rPr>
      <w:b/>
      <w:bCs/>
      <w:smallCaps/>
    </w:rPr>
  </w:style>
  <w:style w:type="paragraph" w:styleId="TOCHeading">
    <w:name w:val="TOC Heading"/>
    <w:basedOn w:val="Heading1"/>
    <w:next w:val="Normal"/>
    <w:uiPriority w:val="39"/>
    <w:semiHidden/>
    <w:unhideWhenUsed/>
    <w:qFormat/>
    <w:rsid w:val="00B34824"/>
    <w:pPr>
      <w:outlineLvl w:val="9"/>
    </w:pPr>
  </w:style>
  <w:style w:type="character" w:styleId="Hyperlink">
    <w:name w:val="Hyperlink"/>
    <w:basedOn w:val="DefaultParagraphFont"/>
    <w:uiPriority w:val="99"/>
    <w:semiHidden/>
    <w:unhideWhenUsed/>
    <w:rsid w:val="009D2323"/>
    <w:rPr>
      <w:color w:val="0563C1" w:themeColor="hyperlink"/>
      <w:u w:val="single"/>
    </w:rPr>
  </w:style>
  <w:style w:type="paragraph" w:styleId="TOC1">
    <w:name w:val="toc 1"/>
    <w:basedOn w:val="Normal"/>
    <w:next w:val="Normal"/>
    <w:autoRedefine/>
    <w:uiPriority w:val="39"/>
    <w:semiHidden/>
    <w:unhideWhenUsed/>
    <w:rsid w:val="009D2323"/>
    <w:pPr>
      <w:spacing w:after="100"/>
    </w:pPr>
  </w:style>
  <w:style w:type="paragraph" w:styleId="TOC2">
    <w:name w:val="toc 2"/>
    <w:basedOn w:val="Normal"/>
    <w:next w:val="Normal"/>
    <w:autoRedefine/>
    <w:uiPriority w:val="39"/>
    <w:semiHidden/>
    <w:unhideWhenUsed/>
    <w:rsid w:val="009D2323"/>
    <w:pPr>
      <w:spacing w:after="100"/>
      <w:ind w:left="220"/>
    </w:pPr>
  </w:style>
  <w:style w:type="table" w:styleId="TableGrid">
    <w:name w:val="Table Grid"/>
    <w:basedOn w:val="TableNormal"/>
    <w:uiPriority w:val="39"/>
    <w:rsid w:val="009D2323"/>
    <w:pPr>
      <w:spacing w:after="0" w:line="240" w:lineRule="auto"/>
      <w:jc w:val="both"/>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C4C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C02"/>
    <w:rPr>
      <w:lang w:val="en-US"/>
    </w:rPr>
  </w:style>
  <w:style w:type="paragraph" w:styleId="Footer">
    <w:name w:val="footer"/>
    <w:basedOn w:val="Normal"/>
    <w:link w:val="FooterChar"/>
    <w:uiPriority w:val="99"/>
    <w:unhideWhenUsed/>
    <w:rsid w:val="006C4C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C0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54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Desktop\Financila%20Management%20%20Assigment%202023\BMIH5007%20FINANCIAL%20MANAGEMENT%20FOR%20THE%20HOTEL%20INDUSTRY%20A2_2RB3BWHMVR%20(1).docx" TargetMode="External"/><Relationship Id="rId13" Type="http://schemas.openxmlformats.org/officeDocument/2006/relationships/hyperlink" Target="file:///C:\Users\User\Desktop\Financila%20Management%20%20Assigment%202023\BMIH5007%20FINANCIAL%20MANAGEMENT%20FOR%20THE%20HOTEL%20INDUSTRY%20A2_2RB3BWHMVR%20(1).docx" TargetMode="External"/><Relationship Id="rId18" Type="http://schemas.openxmlformats.org/officeDocument/2006/relationships/hyperlink" Target="file:///C:\Users\User\Desktop\Financila%20Management%20%20Assigment%202023\BMIH5007%20FINANCIAL%20MANAGEMENT%20FOR%20THE%20HOTEL%20INDUSTRY%20A2_2RB3BWHMVR%20(1).docx" TargetMode="External"/><Relationship Id="rId26" Type="http://schemas.openxmlformats.org/officeDocument/2006/relationships/hyperlink" Target="file:///C:\Users\User\Desktop\Financila%20Management%20%20Assigment%202023\BMIH5007%20FINANCIAL%20MANAGEMENT%20FOR%20THE%20HOTEL%20INDUSTRY%20A2_2RB3BWHMVR%20(1).docx" TargetMode="External"/><Relationship Id="rId39"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yperlink" Target="file:///C:\Users\User\Desktop\Financila%20Management%20%20Assigment%202023\BMIH5007%20FINANCIAL%20MANAGEMENT%20FOR%20THE%20HOTEL%20INDUSTRY%20A2_2RB3BWHMVR%20(1).docx" TargetMode="External"/><Relationship Id="rId34" Type="http://schemas.openxmlformats.org/officeDocument/2006/relationships/chart" Target="charts/chart3.xml"/><Relationship Id="rId42" Type="http://schemas.openxmlformats.org/officeDocument/2006/relationships/footer" Target="footer1.xml"/><Relationship Id="rId47" Type="http://schemas.openxmlformats.org/officeDocument/2006/relationships/theme" Target="theme/theme1.xml"/><Relationship Id="rId7" Type="http://schemas.openxmlformats.org/officeDocument/2006/relationships/hyperlink" Target="file:///C:\Users\User\Desktop\Financila%20Management%20%20Assigment%202023\BMIH5007%20FINANCIAL%20MANAGEMENT%20FOR%20THE%20HOTEL%20INDUSTRY%20A2_2RB3BWHMVR%20(1).docx" TargetMode="External"/><Relationship Id="rId12" Type="http://schemas.openxmlformats.org/officeDocument/2006/relationships/hyperlink" Target="file:///C:\Users\User\Desktop\Financila%20Management%20%20Assigment%202023\BMIH5007%20FINANCIAL%20MANAGEMENT%20FOR%20THE%20HOTEL%20INDUSTRY%20A2_2RB3BWHMVR%20(1).docx" TargetMode="External"/><Relationship Id="rId17" Type="http://schemas.openxmlformats.org/officeDocument/2006/relationships/hyperlink" Target="file:///C:\Users\User\Desktop\Financila%20Management%20%20Assigment%202023\BMIH5007%20FINANCIAL%20MANAGEMENT%20FOR%20THE%20HOTEL%20INDUSTRY%20A2_2RB3BWHMVR%20(1).docx" TargetMode="External"/><Relationship Id="rId25" Type="http://schemas.openxmlformats.org/officeDocument/2006/relationships/hyperlink" Target="file:///C:\Users\User\Desktop\Financila%20Management%20%20Assigment%202023\BMIH5007%20FINANCIAL%20MANAGEMENT%20FOR%20THE%20HOTEL%20INDUSTRY%20A2_2RB3BWHMVR%20(1).docx" TargetMode="External"/><Relationship Id="rId33" Type="http://schemas.openxmlformats.org/officeDocument/2006/relationships/chart" Target="charts/chart2.xml"/><Relationship Id="rId38" Type="http://schemas.openxmlformats.org/officeDocument/2006/relationships/image" Target="media/image5.png"/><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User\Desktop\Financila%20Management%20%20Assigment%202023\BMIH5007%20FINANCIAL%20MANAGEMENT%20FOR%20THE%20HOTEL%20INDUSTRY%20A2_2RB3BWHMVR%20(1).docx" TargetMode="External"/><Relationship Id="rId20" Type="http://schemas.openxmlformats.org/officeDocument/2006/relationships/hyperlink" Target="file:///C:\Users\User\Desktop\Financila%20Management%20%20Assigment%202023\BMIH5007%20FINANCIAL%20MANAGEMENT%20FOR%20THE%20HOTEL%20INDUSTRY%20A2_2RB3BWHMVR%20(1).docx" TargetMode="External"/><Relationship Id="rId29" Type="http://schemas.openxmlformats.org/officeDocument/2006/relationships/image" Target="media/image1.emf"/><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User\Desktop\Financila%20Management%20%20Assigment%202023\BMIH5007%20FINANCIAL%20MANAGEMENT%20FOR%20THE%20HOTEL%20INDUSTRY%20A2_2RB3BWHMVR%20(1).docx" TargetMode="External"/><Relationship Id="rId24" Type="http://schemas.openxmlformats.org/officeDocument/2006/relationships/hyperlink" Target="file:///C:\Users\User\Desktop\Financila%20Management%20%20Assigment%202023\BMIH5007%20FINANCIAL%20MANAGEMENT%20FOR%20THE%20HOTEL%20INDUSTRY%20A2_2RB3BWHMVR%20(1).docx" TargetMode="External"/><Relationship Id="rId32" Type="http://schemas.openxmlformats.org/officeDocument/2006/relationships/chart" Target="charts/chart1.xml"/><Relationship Id="rId37" Type="http://schemas.openxmlformats.org/officeDocument/2006/relationships/image" Target="media/image4.pn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file:///C:\Users\User\Desktop\Financila%20Management%20%20Assigment%202023\BMIH5007%20FINANCIAL%20MANAGEMENT%20FOR%20THE%20HOTEL%20INDUSTRY%20A2_2RB3BWHMVR%20(1).docx" TargetMode="External"/><Relationship Id="rId23" Type="http://schemas.openxmlformats.org/officeDocument/2006/relationships/hyperlink" Target="file:///C:\Users\User\Desktop\Financila%20Management%20%20Assigment%202023\BMIH5007%20FINANCIAL%20MANAGEMENT%20FOR%20THE%20HOTEL%20INDUSTRY%20A2_2RB3BWHMVR%20(1).docx" TargetMode="External"/><Relationship Id="rId28" Type="http://schemas.openxmlformats.org/officeDocument/2006/relationships/hyperlink" Target="file:///C:\Users\User\Desktop\Financila%20Management%20%20Assigment%202023\BMIH5007%20FINANCIAL%20MANAGEMENT%20FOR%20THE%20HOTEL%20INDUSTRY%20A2_2RB3BWHMVR%20(1).docx" TargetMode="External"/><Relationship Id="rId36" Type="http://schemas.openxmlformats.org/officeDocument/2006/relationships/chart" Target="charts/chart5.xml"/><Relationship Id="rId10" Type="http://schemas.openxmlformats.org/officeDocument/2006/relationships/hyperlink" Target="file:///C:\Users\User\Desktop\Financila%20Management%20%20Assigment%202023\BMIH5007%20FINANCIAL%20MANAGEMENT%20FOR%20THE%20HOTEL%20INDUSTRY%20A2_2RB3BWHMVR%20(1).docx" TargetMode="External"/><Relationship Id="rId19" Type="http://schemas.openxmlformats.org/officeDocument/2006/relationships/hyperlink" Target="file:///C:\Users\User\Desktop\Financila%20Management%20%20Assigment%202023\BMIH5007%20FINANCIAL%20MANAGEMENT%20FOR%20THE%20HOTEL%20INDUSTRY%20A2_2RB3BWHMVR%20(1).docx" TargetMode="External"/><Relationship Id="rId31" Type="http://schemas.openxmlformats.org/officeDocument/2006/relationships/image" Target="media/image3.emf"/><Relationship Id="rId44"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file:///C:\Users\User\Desktop\Financila%20Management%20%20Assigment%202023\BMIH5007%20FINANCIAL%20MANAGEMENT%20FOR%20THE%20HOTEL%20INDUSTRY%20A2_2RB3BWHMVR%20(1).docx" TargetMode="External"/><Relationship Id="rId14" Type="http://schemas.openxmlformats.org/officeDocument/2006/relationships/hyperlink" Target="file:///C:\Users\User\Desktop\Financila%20Management%20%20Assigment%202023\BMIH5007%20FINANCIAL%20MANAGEMENT%20FOR%20THE%20HOTEL%20INDUSTRY%20A2_2RB3BWHMVR%20(1).docx" TargetMode="External"/><Relationship Id="rId22" Type="http://schemas.openxmlformats.org/officeDocument/2006/relationships/hyperlink" Target="file:///C:\Users\User\Desktop\Financila%20Management%20%20Assigment%202023\BMIH5007%20FINANCIAL%20MANAGEMENT%20FOR%20THE%20HOTEL%20INDUSTRY%20A2_2RB3BWHMVR%20(1).docx" TargetMode="External"/><Relationship Id="rId27" Type="http://schemas.openxmlformats.org/officeDocument/2006/relationships/hyperlink" Target="file:///C:\Users\User\Desktop\Financila%20Management%20%20Assigment%202023\BMIH5007%20FINANCIAL%20MANAGEMENT%20FOR%20THE%20HOTEL%20INDUSTRY%20A2_2RB3BWHMVR%20(1).docx" TargetMode="External"/><Relationship Id="rId30" Type="http://schemas.openxmlformats.org/officeDocument/2006/relationships/image" Target="media/image2.emf"/><Relationship Id="rId35" Type="http://schemas.openxmlformats.org/officeDocument/2006/relationships/chart" Target="charts/chart4.xml"/><Relationship Id="rId43" Type="http://schemas.openxmlformats.org/officeDocument/2006/relationships/footer" Target="footer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Ekta\Documents\Zucol\BMIH5007%20FINANCIAL%20MANAGEMENT%20FOR%20THE%20HOTEL%20INDUSTRY%20A2_2RB3BWHMVR\Ratios_2RB3BWHMV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Sheet1!$A$5</c:f>
              <c:strCache>
                <c:ptCount val="1"/>
                <c:pt idx="0">
                  <c:v>Current Ratio</c:v>
                </c:pt>
              </c:strCache>
            </c:strRef>
          </c:tx>
          <c:spPr>
            <a:solidFill>
              <a:schemeClr val="accent1"/>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F78E-4E27-BEF0-91AB4C16EF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c:f>
              <c:strCache>
                <c:ptCount val="1"/>
                <c:pt idx="0">
                  <c:v>2022 (£)</c:v>
                </c:pt>
              </c:strCache>
            </c:strRef>
          </c:cat>
          <c:val>
            <c:numRef>
              <c:f>Sheet1!$B$5</c:f>
              <c:numCache>
                <c:formatCode>0.00</c:formatCode>
                <c:ptCount val="1"/>
                <c:pt idx="0">
                  <c:v>1.3888888888888888</c:v>
                </c:pt>
              </c:numCache>
            </c:numRef>
          </c:val>
          <c:extLst>
            <c:ext xmlns:c16="http://schemas.microsoft.com/office/drawing/2014/chart" uri="{C3380CC4-5D6E-409C-BE32-E72D297353CC}">
              <c16:uniqueId val="{00000001-F78E-4E27-BEF0-91AB4C16EF64}"/>
            </c:ext>
          </c:extLst>
        </c:ser>
        <c:dLbls>
          <c:showLegendKey val="0"/>
          <c:showVal val="0"/>
          <c:showCatName val="0"/>
          <c:showSerName val="0"/>
          <c:showPercent val="0"/>
          <c:showBubbleSize val="0"/>
        </c:dLbls>
        <c:gapWidth val="150"/>
        <c:axId val="169348480"/>
        <c:axId val="174467712"/>
      </c:barChart>
      <c:catAx>
        <c:axId val="169348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467712"/>
        <c:crosses val="autoZero"/>
        <c:auto val="1"/>
        <c:lblAlgn val="ctr"/>
        <c:lblOffset val="100"/>
        <c:noMultiLvlLbl val="0"/>
      </c:catAx>
      <c:valAx>
        <c:axId val="17446771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348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Sheet1!$A$12</c:f>
              <c:strCache>
                <c:ptCount val="1"/>
                <c:pt idx="0">
                  <c:v>Quick Ratio</c:v>
                </c:pt>
              </c:strCache>
            </c:strRef>
          </c:tx>
          <c:spPr>
            <a:solidFill>
              <a:schemeClr val="accent2">
                <a:lumMod val="75000"/>
              </a:schemeClr>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4BA7-4148-BEB4-F2C65C53F52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Sheet1!$B$14</c:f>
              <c:strCache>
                <c:ptCount val="1"/>
                <c:pt idx="0">
                  <c:v>2022 (£)</c:v>
                </c:pt>
              </c:strCache>
            </c:strRef>
          </c:cat>
          <c:val>
            <c:numRef>
              <c:f>Sheet1!$B$12</c:f>
              <c:numCache>
                <c:formatCode>0.00</c:formatCode>
                <c:ptCount val="1"/>
                <c:pt idx="0">
                  <c:v>0.83333333333333337</c:v>
                </c:pt>
              </c:numCache>
            </c:numRef>
          </c:val>
          <c:extLst>
            <c:ext xmlns:c16="http://schemas.microsoft.com/office/drawing/2014/chart" uri="{C3380CC4-5D6E-409C-BE32-E72D297353CC}">
              <c16:uniqueId val="{00000001-4BA7-4148-BEB4-F2C65C53F52B}"/>
            </c:ext>
          </c:extLst>
        </c:ser>
        <c:dLbls>
          <c:showLegendKey val="0"/>
          <c:showVal val="0"/>
          <c:showCatName val="0"/>
          <c:showSerName val="0"/>
          <c:showPercent val="0"/>
          <c:showBubbleSize val="0"/>
        </c:dLbls>
        <c:gapWidth val="150"/>
        <c:axId val="422140928"/>
        <c:axId val="422318848"/>
      </c:barChart>
      <c:catAx>
        <c:axId val="42214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318848"/>
        <c:crosses val="autoZero"/>
        <c:auto val="1"/>
        <c:lblAlgn val="ctr"/>
        <c:lblOffset val="100"/>
        <c:noMultiLvlLbl val="0"/>
      </c:catAx>
      <c:valAx>
        <c:axId val="42231884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2140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Sheet1!$A$18</c:f>
              <c:strCache>
                <c:ptCount val="1"/>
                <c:pt idx="0">
                  <c:v>Debt-to-Equity Ratio</c:v>
                </c:pt>
              </c:strCache>
            </c:strRef>
          </c:tx>
          <c:spPr>
            <a:solidFill>
              <a:schemeClr val="accent1"/>
            </a:solidFill>
            <a:ln>
              <a:noFill/>
            </a:ln>
            <a:effectLst/>
          </c:spPr>
          <c:invertIfNegative val="0"/>
          <c:dPt>
            <c:idx val="0"/>
            <c:invertIfNegative val="0"/>
            <c:bubble3D val="0"/>
            <c:spPr>
              <a:solidFill>
                <a:schemeClr val="accent4">
                  <a:lumMod val="75000"/>
                </a:schemeClr>
              </a:solidFill>
              <a:ln>
                <a:noFill/>
              </a:ln>
              <a:effectLst/>
            </c:spPr>
            <c:extLst>
              <c:ext xmlns:c16="http://schemas.microsoft.com/office/drawing/2014/chart" uri="{C3380CC4-5D6E-409C-BE32-E72D297353CC}">
                <c16:uniqueId val="{00000001-16CE-4F77-934C-039EBC26FF90}"/>
              </c:ext>
            </c:extLst>
          </c:dPt>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1-16CE-4F77-934C-039EBC26FF9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Sheet1!$B$20</c:f>
              <c:strCache>
                <c:ptCount val="1"/>
                <c:pt idx="0">
                  <c:v>2022 (£)</c:v>
                </c:pt>
              </c:strCache>
            </c:strRef>
          </c:cat>
          <c:val>
            <c:numRef>
              <c:f>Sheet1!$B$18</c:f>
              <c:numCache>
                <c:formatCode>0.00</c:formatCode>
                <c:ptCount val="1"/>
                <c:pt idx="0">
                  <c:v>1.6666666666666667</c:v>
                </c:pt>
              </c:numCache>
            </c:numRef>
          </c:val>
          <c:extLst>
            <c:ext xmlns:c16="http://schemas.microsoft.com/office/drawing/2014/chart" uri="{C3380CC4-5D6E-409C-BE32-E72D297353CC}">
              <c16:uniqueId val="{00000002-16CE-4F77-934C-039EBC26FF90}"/>
            </c:ext>
          </c:extLst>
        </c:ser>
        <c:dLbls>
          <c:showLegendKey val="0"/>
          <c:showVal val="0"/>
          <c:showCatName val="0"/>
          <c:showSerName val="0"/>
          <c:showPercent val="0"/>
          <c:showBubbleSize val="0"/>
        </c:dLbls>
        <c:gapWidth val="150"/>
        <c:axId val="165797888"/>
        <c:axId val="165799424"/>
      </c:barChart>
      <c:catAx>
        <c:axId val="165797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99424"/>
        <c:crosses val="autoZero"/>
        <c:auto val="1"/>
        <c:lblAlgn val="ctr"/>
        <c:lblOffset val="100"/>
        <c:noMultiLvlLbl val="0"/>
      </c:catAx>
      <c:valAx>
        <c:axId val="165799424"/>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797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Sheet1!$A$24</c:f>
              <c:strCache>
                <c:ptCount val="1"/>
                <c:pt idx="0">
                  <c:v>Return on Assets</c:v>
                </c:pt>
              </c:strCache>
            </c:strRef>
          </c:tx>
          <c:spPr>
            <a:solidFill>
              <a:schemeClr val="accent6">
                <a:lumMod val="75000"/>
              </a:schemeClr>
            </a:solidFill>
            <a:ln>
              <a:noFill/>
            </a:ln>
            <a:effectLst/>
          </c:spPr>
          <c:invertIfNegative val="0"/>
          <c:cat>
            <c:strRef>
              <c:f>Sheet1!$B$26</c:f>
              <c:strCache>
                <c:ptCount val="1"/>
                <c:pt idx="0">
                  <c:v>2022 (£)</c:v>
                </c:pt>
              </c:strCache>
            </c:strRef>
          </c:cat>
          <c:val>
            <c:numRef>
              <c:f>Sheet1!$B$24</c:f>
              <c:numCache>
                <c:formatCode>0%</c:formatCode>
                <c:ptCount val="1"/>
                <c:pt idx="0">
                  <c:v>-1.4583333333333334E-2</c:v>
                </c:pt>
              </c:numCache>
            </c:numRef>
          </c:val>
          <c:extLst>
            <c:ext xmlns:c16="http://schemas.microsoft.com/office/drawing/2014/chart" uri="{C3380CC4-5D6E-409C-BE32-E72D297353CC}">
              <c16:uniqueId val="{00000000-1810-4EA3-946E-5BD09E2499B8}"/>
            </c:ext>
          </c:extLst>
        </c:ser>
        <c:dLbls>
          <c:showLegendKey val="0"/>
          <c:showVal val="0"/>
          <c:showCatName val="0"/>
          <c:showSerName val="0"/>
          <c:showPercent val="0"/>
          <c:showBubbleSize val="0"/>
        </c:dLbls>
        <c:gapWidth val="150"/>
        <c:axId val="165832576"/>
        <c:axId val="165834112"/>
      </c:barChart>
      <c:catAx>
        <c:axId val="165832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34112"/>
        <c:crosses val="autoZero"/>
        <c:auto val="1"/>
        <c:lblAlgn val="ctr"/>
        <c:lblOffset val="100"/>
        <c:noMultiLvlLbl val="0"/>
      </c:catAx>
      <c:valAx>
        <c:axId val="1658341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8325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Sheet1!$A$30</c:f>
              <c:strCache>
                <c:ptCount val="1"/>
                <c:pt idx="0">
                  <c:v>Return on Equity</c:v>
                </c:pt>
              </c:strCache>
            </c:strRef>
          </c:tx>
          <c:spPr>
            <a:solidFill>
              <a:srgbClr val="7030A0"/>
            </a:solidFill>
            <a:ln>
              <a:noFill/>
            </a:ln>
            <a:effectLst/>
          </c:spPr>
          <c:invertIfNegative val="0"/>
          <c:dLbls>
            <c:dLbl>
              <c:idx val="0"/>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0-DA2C-4465-B33F-28256DA017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Sheet1!$B$30</c:f>
              <c:numCache>
                <c:formatCode>0%</c:formatCode>
                <c:ptCount val="1"/>
                <c:pt idx="0">
                  <c:v>-3.888888888888889E-2</c:v>
                </c:pt>
              </c:numCache>
            </c:numRef>
          </c:val>
          <c:extLst>
            <c:ext xmlns:c16="http://schemas.microsoft.com/office/drawing/2014/chart" uri="{C3380CC4-5D6E-409C-BE32-E72D297353CC}">
              <c16:uniqueId val="{00000001-DA2C-4465-B33F-28256DA01757}"/>
            </c:ext>
          </c:extLst>
        </c:ser>
        <c:dLbls>
          <c:showLegendKey val="0"/>
          <c:showVal val="0"/>
          <c:showCatName val="0"/>
          <c:showSerName val="0"/>
          <c:showPercent val="0"/>
          <c:showBubbleSize val="0"/>
        </c:dLbls>
        <c:gapWidth val="150"/>
        <c:axId val="167979648"/>
        <c:axId val="168018304"/>
      </c:barChart>
      <c:catAx>
        <c:axId val="167979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8018304"/>
        <c:crosses val="autoZero"/>
        <c:auto val="1"/>
        <c:lblAlgn val="ctr"/>
        <c:lblOffset val="100"/>
        <c:noMultiLvlLbl val="0"/>
      </c:catAx>
      <c:valAx>
        <c:axId val="16801830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9796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27</Pages>
  <Words>3834</Words>
  <Characters>21854</Characters>
  <Application>Microsoft Office Word</Application>
  <DocSecurity>0</DocSecurity>
  <Lines>182</Lines>
  <Paragraphs>51</Paragraphs>
  <ScaleCrop>false</ScaleCrop>
  <Company/>
  <LinksUpToDate>false</LinksUpToDate>
  <CharactersWithSpaces>25637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Mirosnicova</dc:creator>
  <cp:keywords/>
  <dc:description/>
  <cp:lastModifiedBy>Natalia Mirosnicova</cp:lastModifiedBy>
  <cp:revision>8</cp:revision>
  <dcterms:created xsi:type="dcterms:W3CDTF">2023-11-10T15:47:00Z</dcterms:created>
  <dcterms:modified xsi:type="dcterms:W3CDTF">2023-11-16T21:29:00Z</dcterms:modified>
</cp:coreProperties>
</file>