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B610C" w14:textId="7F3FA497" w:rsidR="00F15CFA" w:rsidRDefault="00F15CFA" w:rsidP="00F15CFA">
      <w:pPr>
        <w:spacing w:after="320"/>
        <w:jc w:val="center"/>
        <w:rPr>
          <w:rFonts w:cs="Times New Roman"/>
        </w:rPr>
      </w:pPr>
      <w:r>
        <w:rPr>
          <w:rFonts w:cs="Times New Roman"/>
          <w:noProof/>
        </w:rPr>
        <w:drawing>
          <wp:inline distT="0" distB="0" distL="0" distR="0" wp14:anchorId="6939E5A2" wp14:editId="5E7D129B">
            <wp:extent cx="2286000" cy="952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a:ln>
                      <a:noFill/>
                    </a:ln>
                  </pic:spPr>
                </pic:pic>
              </a:graphicData>
            </a:graphic>
          </wp:inline>
        </w:drawing>
      </w:r>
    </w:p>
    <w:p w14:paraId="34370A76" w14:textId="77777777" w:rsidR="00F15CFA" w:rsidRDefault="00F15CFA" w:rsidP="00F15CFA">
      <w:pPr>
        <w:spacing w:before="320" w:after="400"/>
        <w:jc w:val="center"/>
        <w:rPr>
          <w:rFonts w:cs="Times New Roman"/>
        </w:rPr>
      </w:pPr>
      <w:r>
        <w:rPr>
          <w:rFonts w:cs="Times New Roman"/>
          <w:b/>
          <w:i/>
          <w:sz w:val="34"/>
        </w:rPr>
        <w:t>“Management and Diagnostic Strategies for Acute</w:t>
      </w:r>
      <w:r>
        <w:rPr>
          <w:rFonts w:cs="Times New Roman"/>
          <w:b/>
          <w:i/>
          <w:sz w:val="34"/>
        </w:rPr>
        <w:br/>
        <w:t>Respiratory Tract Infections among the Adult Population in the United Kingdom: A Systematic Review”</w:t>
      </w:r>
    </w:p>
    <w:p w14:paraId="3E992982" w14:textId="77777777" w:rsidR="00F15CFA" w:rsidRDefault="00F15CFA" w:rsidP="00F15CFA">
      <w:pPr>
        <w:jc w:val="center"/>
        <w:rPr>
          <w:rFonts w:cs="Times New Roman"/>
        </w:rPr>
      </w:pPr>
      <w:r>
        <w:rPr>
          <w:rFonts w:cs="Times New Roman"/>
        </w:rPr>
        <w:t>by</w:t>
      </w:r>
    </w:p>
    <w:p w14:paraId="14DA357F" w14:textId="77777777" w:rsidR="00F15CFA" w:rsidRDefault="00F15CFA" w:rsidP="00D0202E">
      <w:pPr>
        <w:spacing w:after="0"/>
        <w:jc w:val="center"/>
        <w:rPr>
          <w:rFonts w:cs="Times New Roman"/>
          <w:b/>
          <w:sz w:val="28"/>
        </w:rPr>
      </w:pPr>
      <w:r>
        <w:rPr>
          <w:rFonts w:cs="Times New Roman"/>
          <w:b/>
          <w:sz w:val="28"/>
        </w:rPr>
        <w:t>Mst. Sima Begum</w:t>
      </w:r>
    </w:p>
    <w:p w14:paraId="57E87B0C" w14:textId="4D201E07" w:rsidR="00970418" w:rsidRDefault="00807A36" w:rsidP="00F15CFA">
      <w:pPr>
        <w:spacing w:after="600"/>
        <w:jc w:val="center"/>
        <w:rPr>
          <w:rFonts w:cs="Times New Roman"/>
          <w:b/>
          <w:sz w:val="28"/>
        </w:rPr>
      </w:pPr>
      <w:r w:rsidRPr="00807A36">
        <w:rPr>
          <w:rFonts w:cs="Times New Roman"/>
          <w:b/>
          <w:sz w:val="28"/>
        </w:rPr>
        <w:t>2433426</w:t>
      </w:r>
    </w:p>
    <w:p w14:paraId="124317BD" w14:textId="1C4681A6" w:rsidR="00F15CFA" w:rsidRDefault="00F15CFA" w:rsidP="00F15CFA">
      <w:pPr>
        <w:spacing w:after="600"/>
        <w:jc w:val="center"/>
        <w:rPr>
          <w:rFonts w:cs="Times New Roman"/>
        </w:rPr>
      </w:pPr>
      <w:r>
        <w:rPr>
          <w:rFonts w:cs="Times New Roman"/>
        </w:rPr>
        <w:t>A Dissertation submitted in partial fulfilment of the requirements for the degree of Masters of</w:t>
      </w:r>
      <w:r>
        <w:rPr>
          <w:rFonts w:cs="Times New Roman"/>
        </w:rPr>
        <w:br/>
        <w:t>Science in Public Health and Social Care in Practice</w:t>
      </w:r>
    </w:p>
    <w:p w14:paraId="6A98C64C" w14:textId="27AFC198" w:rsidR="00597670" w:rsidRPr="00597670" w:rsidRDefault="00597670" w:rsidP="00597670">
      <w:pPr>
        <w:spacing w:before="280"/>
        <w:jc w:val="center"/>
        <w:rPr>
          <w:rFonts w:cstheme="minorBidi"/>
          <w:sz w:val="24"/>
        </w:rPr>
      </w:pPr>
      <w:r>
        <w:rPr>
          <w:rFonts w:cstheme="minorBidi"/>
          <w:sz w:val="24"/>
        </w:rPr>
        <w:t xml:space="preserve">Supervisor: </w:t>
      </w:r>
      <w:r w:rsidRPr="00597670">
        <w:rPr>
          <w:rFonts w:cstheme="minorBidi"/>
          <w:sz w:val="24"/>
        </w:rPr>
        <w:t>Oette Jack</w:t>
      </w:r>
    </w:p>
    <w:p w14:paraId="32F275E4" w14:textId="77777777" w:rsidR="00F15CFA" w:rsidRDefault="00F15CFA" w:rsidP="00F15CFA">
      <w:pPr>
        <w:jc w:val="center"/>
        <w:rPr>
          <w:rFonts w:cs="Times New Roman"/>
        </w:rPr>
      </w:pPr>
      <w:r>
        <w:rPr>
          <w:rFonts w:cs="Times New Roman"/>
          <w:b/>
          <w:sz w:val="26"/>
        </w:rPr>
        <w:t>The Institute of Inner-City Learning</w:t>
      </w:r>
    </w:p>
    <w:p w14:paraId="1AA18991" w14:textId="77777777" w:rsidR="00F15CFA" w:rsidRDefault="00F15CFA" w:rsidP="00F15CFA">
      <w:pPr>
        <w:jc w:val="center"/>
        <w:rPr>
          <w:rFonts w:cs="Times New Roman"/>
        </w:rPr>
      </w:pPr>
      <w:r>
        <w:rPr>
          <w:rFonts w:cs="Times New Roman"/>
          <w:b/>
          <w:sz w:val="26"/>
        </w:rPr>
        <w:t>University of Wales Trinity Saint David – London Campus</w:t>
      </w:r>
    </w:p>
    <w:p w14:paraId="42273C11" w14:textId="77777777" w:rsidR="00F15CFA" w:rsidRDefault="00F15CFA" w:rsidP="00F15CFA">
      <w:pPr>
        <w:spacing w:before="1080"/>
        <w:jc w:val="center"/>
        <w:rPr>
          <w:rFonts w:cs="Times New Roman"/>
        </w:rPr>
      </w:pPr>
      <w:r>
        <w:rPr>
          <w:rFonts w:cs="Times New Roman"/>
          <w:b/>
          <w:sz w:val="26"/>
        </w:rPr>
        <w:t>2026</w:t>
      </w:r>
    </w:p>
    <w:p w14:paraId="7AB1881A" w14:textId="77777777" w:rsidR="005E3E32" w:rsidRDefault="005E3E32">
      <w:pPr>
        <w:spacing w:after="200" w:line="276" w:lineRule="auto"/>
        <w:jc w:val="left"/>
      </w:pPr>
      <w:r>
        <w:br w:type="page"/>
      </w:r>
    </w:p>
    <w:p w14:paraId="632086FE" w14:textId="6D6E189E" w:rsidR="005E3E32" w:rsidRPr="005E3E32" w:rsidRDefault="005E3E32" w:rsidP="005E3E32">
      <w:pPr>
        <w:pStyle w:val="Heading1"/>
      </w:pPr>
      <w:r w:rsidRPr="005E3E32">
        <w:rPr>
          <w:lang w:val="hr-HR"/>
        </w:rPr>
        <w:lastRenderedPageBreak/>
        <w:t>DECLARATION</w:t>
      </w:r>
    </w:p>
    <w:p w14:paraId="76384172" w14:textId="65C1B3A3" w:rsidR="00F15CFA" w:rsidRPr="00CA1E37" w:rsidRDefault="005E3E32" w:rsidP="00CA1E37">
      <w:pPr>
        <w:rPr>
          <w:lang w:val="hr-HR"/>
        </w:rPr>
      </w:pPr>
      <w:r w:rsidRPr="005E3E32">
        <w:rPr>
          <w:noProof/>
          <w:lang w:val="en-GB"/>
        </w:rPr>
        <mc:AlternateContent>
          <mc:Choice Requires="wpi">
            <w:drawing>
              <wp:anchor distT="0" distB="0" distL="114300" distR="114300" simplePos="0" relativeHeight="251659264" behindDoc="0" locked="0" layoutInCell="1" allowOverlap="1" wp14:anchorId="70BB2512" wp14:editId="0084F6EB">
                <wp:simplePos x="0" y="0"/>
                <wp:positionH relativeFrom="column">
                  <wp:posOffset>-2084070</wp:posOffset>
                </wp:positionH>
                <wp:positionV relativeFrom="paragraph">
                  <wp:posOffset>-224790</wp:posOffset>
                </wp:positionV>
                <wp:extent cx="920750" cy="920750"/>
                <wp:effectExtent l="1905" t="3810" r="1270" b="0"/>
                <wp:wrapNone/>
                <wp:docPr id="10" name="Ink 10"/>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type w14:anchorId="1A4AC32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164.1pt;margin-top:-17.7pt;width:72.5pt;height: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CMSAOa4AAAAA0B&#10;AAAPAAAAZHJzL2Rvd25yZXYueG1sTI/LTsMwEEX3SPyDNUjsUqcJVEmIU/EQdAulqsTOiScPEdtR&#10;7Nbh75muYDePoztnyu2iR3bG2Q3WCFivYmBoGqsG0wk4fL5GGTDnpVFytAYF/KCDbXV9VcpC2WA+&#10;8Lz3HaMQ4wopoPd+Kjh3TY9aupWd0NCutbOWntq542qWgcL1yJM43nAtB0MXejnhc4/N9/6kBTyl&#10;L0cZsnZXq1q14e0r34X3XIjbm+XxAZjHxf/BcNEndajIqbYnoxwbBURpkiXEXqr7O2CEROsspVFN&#10;cJxvgFcl//9F9Qs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1A4OhsgEAAMEDAAAOAAAAAAAAAAAAAAAAADwCAABkcnMvZTJvRG9jLnhtbFBLAQItABQABgAI&#10;AAAAIQBVV6EohgAAAI8AAAAQAAAAAAAAAAAAAAAAABoEAABkcnMvaW5rL2luazEueG1sUEsBAi0A&#10;FAAGAAgAAAAhAIxIA5rgAAAADQEAAA8AAAAAAAAAAAAAAAAAzgQAAGRycy9kb3ducmV2LnhtbFBL&#10;AQItABQABgAIAAAAIQB5GLydvwAAACEBAAAZAAAAAAAAAAAAAAAAANsFAABkcnMvX3JlbHMvZTJv&#10;RG9jLnhtbC5yZWxzUEsFBgAAAAAGAAYAeAEAANEGAAAAAA==&#10;">
                <o:lock v:ext="edit" rotation="t" verticies="t" shapetype="t"/>
              </v:shape>
            </w:pict>
          </mc:Fallback>
        </mc:AlternateContent>
      </w:r>
      <w:r w:rsidRPr="005E3E32">
        <w:rPr>
          <w:noProof/>
          <w:lang w:val="en-GB"/>
        </w:rPr>
        <mc:AlternateContent>
          <mc:Choice Requires="wpi">
            <w:drawing>
              <wp:anchor distT="0" distB="0" distL="114300" distR="114300" simplePos="0" relativeHeight="251660288" behindDoc="0" locked="0" layoutInCell="1" allowOverlap="1" wp14:anchorId="568A21DE" wp14:editId="2FF9B281">
                <wp:simplePos x="0" y="0"/>
                <wp:positionH relativeFrom="column">
                  <wp:posOffset>-2084070</wp:posOffset>
                </wp:positionH>
                <wp:positionV relativeFrom="paragraph">
                  <wp:posOffset>233045</wp:posOffset>
                </wp:positionV>
                <wp:extent cx="920750" cy="40640"/>
                <wp:effectExtent l="1905" t="4445" r="1270" b="2540"/>
                <wp:wrapNone/>
                <wp:docPr id="9" name="Ink 9"/>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noChangeAspect="1" noEditPoints="1" noChangeArrowheads="1" noChangeShapeType="1"/>
                        </w14:cNvContentPartPr>
                      </w14:nvContentPartPr>
                      <w14:xfrm>
                        <a:off x="0" y="0"/>
                        <a:ext cx="920750" cy="40640"/>
                      </w14:xfrm>
                    </w14:contentPart>
                  </a:graphicData>
                </a:graphic>
                <wp14:sizeRelH relativeFrom="page">
                  <wp14:pctWidth>0</wp14:pctWidth>
                </wp14:sizeRelH>
                <wp14:sizeRelV relativeFrom="page">
                  <wp14:pctHeight>0</wp14:pctHeight>
                </wp14:sizeRelV>
              </wp:anchor>
            </w:drawing>
          </mc:Choice>
          <mc:Fallback>
            <w:pict>
              <v:shape w14:anchorId="74B13483" id="Ink 9" o:spid="_x0000_s1026" type="#_x0000_t75" style="position:absolute;margin-left:-164.1pt;margin-top:18.35pt;width:72.5pt;height: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7rp+2AQAAwAMAAA4AAABkcnMvZTJvRG9jLnhtbJxTy27bMBC8F+g/&#10;ELzXkgw1bQXLQRG3QIA+jDT9AIYPi4jIJZZ0ZP99V5IV23GLArksyF1hOLMzWlzvXMueNEYLvubF&#10;LOdMewnK+k3Nf99/ffeRs5iEV6IFr2u+15FfL9++WXSh0nNooFUaGYH4WHWh5k1KocqyKBvtRJxB&#10;0J6GBtCJRFfcZApFR+iuzeZ5fpV1gCogSB0jdVfjkC8HfGO0TD+NiTqxtubELQ0Vh/rQ12y5ENUG&#10;RWisPNAQr2DhhPX06DPUSiTBtmgvoJyVCBFMmklwGRhjpR40kJoif6Hm1j/2SopSbrGS4JP2aS0w&#10;TfsaBq95wrWcPXTfQZEjYpuAHxBpMf83YCS9Arl1xGd0AXUrEkUgNjZEzrCyquZ4q4ojf/90c1Sw&#10;xqOuHy8HoigrGb6BfIyTJUV5weyvmzyEY1zmYArzcAdke8HpdNMIv9GfY6BcHFpflE1rsD7F828Q&#10;oWu0UOftX40I+n4faG9Fn51sMudCxDT5l+ydQdcHhrbJdkMe98951LvEJDU/zfMP7ym1kkZlflUO&#10;cZ2AR4DpdpIOYnWWw9N7z/jkx1v+AQAA//8DAFBLAwQUAAYACAAAACEAVVehKIYAAACPAAAAEAAA&#10;AGRycy9pbmsvaW5rMS54bWyysa/IzVEoSy0qzszPs1Uy1DNQUkjNS85PycxLt1UKDXHTtVBSKC5J&#10;zEtJzMnPS7VVqkwtVrK34+WyyczLzs2xApIKQBPyikGs3BxbpYySkgIrff3y8nK9cmO9/KJ0fSMD&#10;A2N9z7xsXx8lO6iulNS0zLzMEqCVxfp2Nvpwo+wAAAAA//8DAFBLAwQUAAYACAAAACEAaLRVuOAA&#10;AAALAQAADwAAAGRycy9kb3ducmV2LnhtbEyPy07DMBBF90j8gzVI7FLngUoaMql4CLotBVXqzokn&#10;DxHbUezW4e8xK1jOzNGdc8vtokZ2odkORiMkqxgY6cbIQXcInx+vUQ7MOqGlGI0mhG+ysK2ur0pR&#10;SOP1O10OrmMhRNtCIPTOTQXntulJCbsyE+lwa82shAvj3HE5Cx/C1cjTOF5zJQYdPvRioueemq/D&#10;WSE8ZS9H4fN2V8tatv7ttNn5/Qbx9mZ5fADmaHF/MPzqB3WoglNtzlpaNiJEWZqngUXI1vfAAhEl&#10;eRY2NcJdlgCvSv6/Q/UD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HPuun7YBAADAAwAADgAAAAAAAAAAAAAAAAA8AgAAZHJzL2Uyb0RvYy54bWxQSwECLQAU&#10;AAYACAAAACEAVVehKIYAAACPAAAAEAAAAAAAAAAAAAAAAAAeBAAAZHJzL2luay9pbmsxLnhtbFBL&#10;AQItABQABgAIAAAAIQBotFW44AAAAAsBAAAPAAAAAAAAAAAAAAAAANIEAABkcnMvZG93bnJldi54&#10;bWxQSwECLQAUAAYACAAAACEAeRi8nb8AAAAhAQAAGQAAAAAAAAAAAAAAAADfBQAAZHJzL19yZWxz&#10;L2Uyb0RvYy54bWwucmVsc1BLBQYAAAAABgAGAHgBAADVBgAAAAA=&#10;">
                <o:lock v:ext="edit" rotation="t" verticies="t" shapetype="t"/>
              </v:shape>
            </w:pict>
          </mc:Fallback>
        </mc:AlternateContent>
      </w:r>
      <w:r w:rsidRPr="005E3E32">
        <w:rPr>
          <w:noProof/>
          <w:lang w:val="en-GB"/>
        </w:rPr>
        <mc:AlternateContent>
          <mc:Choice Requires="wpi">
            <w:drawing>
              <wp:anchor distT="0" distB="0" distL="114300" distR="114300" simplePos="0" relativeHeight="251661312" behindDoc="0" locked="0" layoutInCell="1" allowOverlap="1" wp14:anchorId="0C422515" wp14:editId="7BA0A265">
                <wp:simplePos x="0" y="0"/>
                <wp:positionH relativeFrom="column">
                  <wp:posOffset>-2084070</wp:posOffset>
                </wp:positionH>
                <wp:positionV relativeFrom="paragraph">
                  <wp:posOffset>-214630</wp:posOffset>
                </wp:positionV>
                <wp:extent cx="920750" cy="920750"/>
                <wp:effectExtent l="1905" t="4445" r="1270" b="0"/>
                <wp:wrapNone/>
                <wp:docPr id="8" name="Ink 8"/>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20DD2EE4" id="Ink 8" o:spid="_x0000_s1026" type="#_x0000_t75"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AoKPzh4AAAAA0B&#10;AAAPAAAAZHJzL2Rvd25yZXYueG1sTI9LT8MwEITvSPwHa5G4pc5DQmmIU/EQ9AoFIXHbxM5DxOso&#10;dpvw79me6G1359PsTLlb7ShOZvaDIwXJJgZhqHF6oE7B58dLlIPwAUnj6Mgo+DUedtX1VYmFdgu9&#10;m9MhdIJNyBeooA9hKqT0TW8s+o2bDLHWutli4HXupJ5xYXM7yjSO76TFgfhDj5N56k3zczhaBY/Z&#10;8xcuebuvda3b5fV7u1/etkrd3qwP9yCCWcM/DOf4HB0qzlS7I2kvRgVRluYps+cp4xKMREme8alm&#10;OElSkFUpL1tUf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1A4OhsgEAAMEDAAAOAAAAAAAAAAAAAAAAADwCAABkcnMvZTJvRG9jLnhtbFBLAQItABQABgAI&#10;AAAAIQBVV6EohgAAAI8AAAAQAAAAAAAAAAAAAAAAABoEAABkcnMvaW5rL2luazEueG1sUEsBAi0A&#10;FAAGAAgAAAAhACgo/OHgAAAADQEAAA8AAAAAAAAAAAAAAAAAzgQAAGRycy9kb3ducmV2LnhtbFBL&#10;AQItABQABgAIAAAAIQB5GLydvwAAACEBAAAZAAAAAAAAAAAAAAAAANsFAABkcnMvX3JlbHMvZTJv&#10;RG9jLnhtbC5yZWxzUEsFBgAAAAAGAAYAeAEAANEGAAAAAA==&#10;">
                <o:lock v:ext="edit" rotation="t" verticies="t" shapetype="t"/>
              </v:shape>
            </w:pict>
          </mc:Fallback>
        </mc:AlternateContent>
      </w:r>
      <w:r w:rsidRPr="005E3E32">
        <w:rPr>
          <w:noProof/>
          <w:lang w:val="en-GB"/>
        </w:rPr>
        <mc:AlternateContent>
          <mc:Choice Requires="wpi">
            <w:drawing>
              <wp:anchor distT="0" distB="0" distL="114300" distR="114300" simplePos="0" relativeHeight="251662336" behindDoc="0" locked="0" layoutInCell="1" allowOverlap="1" wp14:anchorId="60954B87" wp14:editId="37C1494D">
                <wp:simplePos x="0" y="0"/>
                <wp:positionH relativeFrom="column">
                  <wp:posOffset>-2395855</wp:posOffset>
                </wp:positionH>
                <wp:positionV relativeFrom="paragraph">
                  <wp:posOffset>-216535</wp:posOffset>
                </wp:positionV>
                <wp:extent cx="920750" cy="920750"/>
                <wp:effectExtent l="4445" t="2540" r="0" b="635"/>
                <wp:wrapNone/>
                <wp:docPr id="7" name="Ink 7"/>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0709EAD9" id="Ink 7" o:spid="_x0000_s1026" type="#_x0000_t75" style="position:absolute;margin-left:-188.65pt;margin-top:-17.05pt;width:72.5pt;height: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A36T8b4AAAAA0B&#10;AAAPAAAAZHJzL2Rvd25yZXYueG1sTI/JTsMwEIbvSLyDNUjcUmdBtAlxKhZBr1CqStyceLKI2I5i&#10;tw5vz/QEt1k+/fNNuV30yM44u8EaAckqBoamsWownYDD52u0Aea8NEqO1qCAH3Swra6vSlkoG8wH&#10;nve+YxRiXCEF9N5PBeeu6VFLt7ITGtq1dtbSUzt3XM0yULgeeRrH91zLwdCFXk743GPzvT9pAU/Z&#10;y1GGTburVa3a8PaV78J7LsTtzfL4AMzj4v9guOiTOlTkVNuTUY6NAqJsvc6IvVR3CTBCojRLaVQT&#10;nMQ58Krk/7+ofgE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1A4OhsgEAAMEDAAAOAAAAAAAAAAAAAAAAADwCAABkcnMvZTJvRG9jLnhtbFBLAQItABQABgAI&#10;AAAAIQBVV6EohgAAAI8AAAAQAAAAAAAAAAAAAAAAABoEAABkcnMvaW5rL2luazEueG1sUEsBAi0A&#10;FAAGAAgAAAAhADfpPxvgAAAADQEAAA8AAAAAAAAAAAAAAAAAzgQAAGRycy9kb3ducmV2LnhtbFBL&#10;AQItABQABgAIAAAAIQB5GLydvwAAACEBAAAZAAAAAAAAAAAAAAAAANsFAABkcnMvX3JlbHMvZTJv&#10;RG9jLnhtbC5yZWxzUEsFBgAAAAAGAAYAeAEAANEGAAAAAA==&#10;">
                <o:lock v:ext="edit" rotation="t" verticies="t" shapetype="t"/>
              </v:shape>
            </w:pict>
          </mc:Fallback>
        </mc:AlternateContent>
      </w:r>
      <w:r w:rsidRPr="005E3E32">
        <w:rPr>
          <w:lang w:val="hr-HR"/>
        </w:rPr>
        <w:t xml:space="preserve">I, </w:t>
      </w:r>
      <w:r w:rsidR="00794077" w:rsidRPr="00794077">
        <w:rPr>
          <w:b/>
          <w:bCs/>
          <w:i/>
          <w:iCs/>
          <w:lang w:val="hr-HR"/>
        </w:rPr>
        <w:t>Mst. Sima Begum</w:t>
      </w:r>
      <w:r w:rsidRPr="005E3E32">
        <w:rPr>
          <w:lang w:val="hr-HR"/>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00F15CFA">
        <w:br w:type="page"/>
      </w:r>
    </w:p>
    <w:p w14:paraId="6733BA7B" w14:textId="77777777" w:rsidR="00F15CFA" w:rsidRDefault="00F15CFA" w:rsidP="00F15CFA">
      <w:pPr>
        <w:pStyle w:val="Heading1"/>
      </w:pPr>
      <w:bookmarkStart w:id="0" w:name="_Toc240817142"/>
      <w:bookmarkStart w:id="1" w:name="_Toc240921630"/>
      <w:r>
        <w:lastRenderedPageBreak/>
        <w:t>Acknowledgement</w:t>
      </w:r>
      <w:bookmarkEnd w:id="0"/>
      <w:bookmarkEnd w:id="1"/>
    </w:p>
    <w:p w14:paraId="4685FB7E" w14:textId="4D705CBA" w:rsidR="00F15CFA" w:rsidRDefault="00F15CFA" w:rsidP="00F15CFA">
      <w:r>
        <w:t>I would like to thank my supervisor</w:t>
      </w:r>
      <w:r w:rsidR="002F0F04">
        <w:t xml:space="preserve"> </w:t>
      </w:r>
      <w:r w:rsidR="002F0F04" w:rsidRPr="002F0F04">
        <w:t>Oette Jack</w:t>
      </w:r>
      <w:r>
        <w:t xml:space="preserve"> for guidance, constructive feedback and encouragement during the period of writing this dissertation. I would also like to thank the staff of the Institute of Inner-City Learning and the University of Wales Trinity Saint David for their assistance during my course. Thanks to my family and friends who have been very patient, motivated and constantly encouraging me. Last but not least, I am grateful to have had the chance to carry out this research and have deepened my knowledge, critical thinking and understanding of public health practice significantly.</w:t>
      </w:r>
    </w:p>
    <w:p w14:paraId="25C8AF79" w14:textId="77777777" w:rsidR="004119F6" w:rsidRDefault="004119F6">
      <w:pPr>
        <w:spacing w:after="200" w:line="276" w:lineRule="auto"/>
        <w:jc w:val="left"/>
      </w:pPr>
      <w:r>
        <w:br w:type="page"/>
      </w:r>
    </w:p>
    <w:p w14:paraId="4E657D3F" w14:textId="590F372E" w:rsidR="004119F6" w:rsidRDefault="004119F6" w:rsidP="004119F6">
      <w:pPr>
        <w:pStyle w:val="Heading1"/>
      </w:pPr>
      <w:bookmarkStart w:id="2" w:name="_Toc240921631"/>
      <w:r>
        <w:lastRenderedPageBreak/>
        <w:t>Abstract</w:t>
      </w:r>
      <w:bookmarkEnd w:id="2"/>
    </w:p>
    <w:p w14:paraId="5B7B928C" w14:textId="77777777" w:rsidR="009C2D69" w:rsidRDefault="004119F6" w:rsidP="004119F6">
      <w:r>
        <w:t>Acute respiratory tract infections are prevalent in primary and community care settings and pose a challenge as symptoms from viruses and bacteria can be similar, and overuse of antibiotic medicines can lead to antimicrobial resistance. This systematic review compared diagnostic and management strategies for acute respiratory tract infections in adults in the UK, with patient outcomes and antibiotic stewardship as key considerations. MEDLINE</w:t>
      </w:r>
      <w:r w:rsidR="009C2D69">
        <w:t xml:space="preserve">, </w:t>
      </w:r>
      <w:r>
        <w:t>PubMed, Embase, CINAHL, Web of Science and the Cochrane Library were searched, along with additional citation checking. Sixteen primary studies were eligible. Due to the heterogeneity of the data, a meta-analysis was not performed, and data were extracted systematically, critically appraised with the design-specific tools and synthesised thematically. Three themes emerged: diagnostic uncertainty and decision support; management strategies, use of antibiotics and patient outcomes; and prescribing behaviour and implementation of antimicrobial stewardship. No consistent reductions in antibiotic prescribing were observed with the use of clinical prediction rules or point-of-care tests to help assess and communicate. The evidence presented by management showed that looking at prescription volume alone was not appropriate, as this included delayed prescribing, length of treatment, repeat prescribing of the same medicine, managing the symptom and safety-netting. Consultation mode, workflow, confidence in prescription, patient expectations and service disruption also influenced prescribing. No current clinical guideline was directly assessed in a study included. The overall evidence is in favour of a risk-sensitive, patient-focused approach to the use of selective diagnostics, clinical judgement, symptom management, appropriate antibiotic use, reassessment and clear safety-netting. Additional adult-specific work is required on safety, practice and guidelines.</w:t>
      </w:r>
    </w:p>
    <w:p w14:paraId="7BBBA809" w14:textId="77777777" w:rsidR="009C2D69" w:rsidRDefault="009C2D69">
      <w:pPr>
        <w:spacing w:after="200" w:line="276" w:lineRule="auto"/>
        <w:jc w:val="left"/>
      </w:pPr>
      <w:r>
        <w:br w:type="page"/>
      </w:r>
    </w:p>
    <w:p w14:paraId="320FC733" w14:textId="2E75BE3A" w:rsidR="009C2D69" w:rsidRPr="00BE0641" w:rsidRDefault="009C2D69" w:rsidP="00BE0641">
      <w:pPr>
        <w:pStyle w:val="Heading1"/>
      </w:pPr>
      <w:bookmarkStart w:id="3" w:name="_Toc240921632"/>
      <w:r w:rsidRPr="009C2D69">
        <w:lastRenderedPageBreak/>
        <w:t>List of Abbreviations</w:t>
      </w:r>
      <w:bookmarkEnd w:id="3"/>
    </w:p>
    <w:tbl>
      <w:tblPr>
        <w:tblStyle w:val="TableGrid"/>
        <w:tblW w:w="9467" w:type="dxa"/>
        <w:tblLook w:val="04A0" w:firstRow="1" w:lastRow="0" w:firstColumn="1" w:lastColumn="0" w:noHBand="0" w:noVBand="1"/>
      </w:tblPr>
      <w:tblGrid>
        <w:gridCol w:w="1639"/>
        <w:gridCol w:w="7828"/>
      </w:tblGrid>
      <w:tr w:rsidR="009C2D69" w:rsidRPr="009C2D69" w14:paraId="041D538D" w14:textId="77777777" w:rsidTr="001A017C">
        <w:trPr>
          <w:trHeight w:val="321"/>
        </w:trPr>
        <w:tc>
          <w:tcPr>
            <w:tcW w:w="0" w:type="auto"/>
            <w:hideMark/>
          </w:tcPr>
          <w:p w14:paraId="2259BA62" w14:textId="77777777" w:rsidR="009C2D69" w:rsidRPr="009C2D69" w:rsidRDefault="009C2D69" w:rsidP="001A017C">
            <w:pPr>
              <w:spacing w:line="240" w:lineRule="auto"/>
              <w:rPr>
                <w:b/>
                <w:bCs/>
                <w:sz w:val="18"/>
                <w:szCs w:val="18"/>
              </w:rPr>
            </w:pPr>
            <w:r w:rsidRPr="009C2D69">
              <w:rPr>
                <w:b/>
                <w:bCs/>
                <w:sz w:val="18"/>
                <w:szCs w:val="18"/>
              </w:rPr>
              <w:t>Abbreviation</w:t>
            </w:r>
          </w:p>
        </w:tc>
        <w:tc>
          <w:tcPr>
            <w:tcW w:w="0" w:type="auto"/>
            <w:hideMark/>
          </w:tcPr>
          <w:p w14:paraId="675006AF" w14:textId="77777777" w:rsidR="009C2D69" w:rsidRPr="009C2D69" w:rsidRDefault="009C2D69" w:rsidP="001A017C">
            <w:pPr>
              <w:spacing w:line="240" w:lineRule="auto"/>
              <w:rPr>
                <w:b/>
                <w:bCs/>
                <w:sz w:val="18"/>
                <w:szCs w:val="18"/>
              </w:rPr>
            </w:pPr>
            <w:r w:rsidRPr="009C2D69">
              <w:rPr>
                <w:b/>
                <w:bCs/>
                <w:sz w:val="18"/>
                <w:szCs w:val="18"/>
              </w:rPr>
              <w:t>Full Form</w:t>
            </w:r>
          </w:p>
        </w:tc>
      </w:tr>
      <w:tr w:rsidR="009C2D69" w:rsidRPr="009C2D69" w14:paraId="465C23D1" w14:textId="77777777" w:rsidTr="001A017C">
        <w:trPr>
          <w:trHeight w:val="331"/>
        </w:trPr>
        <w:tc>
          <w:tcPr>
            <w:tcW w:w="0" w:type="auto"/>
            <w:hideMark/>
          </w:tcPr>
          <w:p w14:paraId="741AF1E1" w14:textId="77777777" w:rsidR="009C2D69" w:rsidRPr="009C2D69" w:rsidRDefault="009C2D69" w:rsidP="001A017C">
            <w:pPr>
              <w:spacing w:line="240" w:lineRule="auto"/>
              <w:rPr>
                <w:sz w:val="18"/>
                <w:szCs w:val="18"/>
              </w:rPr>
            </w:pPr>
            <w:r w:rsidRPr="009C2D69">
              <w:rPr>
                <w:sz w:val="18"/>
                <w:szCs w:val="18"/>
              </w:rPr>
              <w:t>AMR</w:t>
            </w:r>
          </w:p>
        </w:tc>
        <w:tc>
          <w:tcPr>
            <w:tcW w:w="0" w:type="auto"/>
            <w:hideMark/>
          </w:tcPr>
          <w:p w14:paraId="48BE44A4" w14:textId="77777777" w:rsidR="009C2D69" w:rsidRPr="009C2D69" w:rsidRDefault="009C2D69" w:rsidP="001A017C">
            <w:pPr>
              <w:spacing w:line="240" w:lineRule="auto"/>
              <w:rPr>
                <w:sz w:val="18"/>
                <w:szCs w:val="18"/>
              </w:rPr>
            </w:pPr>
            <w:r w:rsidRPr="009C2D69">
              <w:rPr>
                <w:sz w:val="18"/>
                <w:szCs w:val="18"/>
              </w:rPr>
              <w:t>Antimicrobial Resistance</w:t>
            </w:r>
          </w:p>
        </w:tc>
      </w:tr>
      <w:tr w:rsidR="009C2D69" w:rsidRPr="009C2D69" w14:paraId="28D0812E" w14:textId="77777777" w:rsidTr="001A017C">
        <w:trPr>
          <w:trHeight w:val="331"/>
        </w:trPr>
        <w:tc>
          <w:tcPr>
            <w:tcW w:w="0" w:type="auto"/>
            <w:hideMark/>
          </w:tcPr>
          <w:p w14:paraId="57D6D367" w14:textId="77777777" w:rsidR="009C2D69" w:rsidRPr="009C2D69" w:rsidRDefault="009C2D69" w:rsidP="001A017C">
            <w:pPr>
              <w:spacing w:line="240" w:lineRule="auto"/>
              <w:rPr>
                <w:sz w:val="18"/>
                <w:szCs w:val="18"/>
              </w:rPr>
            </w:pPr>
            <w:r w:rsidRPr="009C2D69">
              <w:rPr>
                <w:sz w:val="18"/>
                <w:szCs w:val="18"/>
              </w:rPr>
              <w:t>AMS</w:t>
            </w:r>
          </w:p>
        </w:tc>
        <w:tc>
          <w:tcPr>
            <w:tcW w:w="0" w:type="auto"/>
            <w:hideMark/>
          </w:tcPr>
          <w:p w14:paraId="67790562" w14:textId="77777777" w:rsidR="009C2D69" w:rsidRPr="009C2D69" w:rsidRDefault="009C2D69" w:rsidP="001A017C">
            <w:pPr>
              <w:spacing w:line="240" w:lineRule="auto"/>
              <w:rPr>
                <w:sz w:val="18"/>
                <w:szCs w:val="18"/>
              </w:rPr>
            </w:pPr>
            <w:r w:rsidRPr="009C2D69">
              <w:rPr>
                <w:sz w:val="18"/>
                <w:szCs w:val="18"/>
              </w:rPr>
              <w:t>Antimicrobial Stewardship</w:t>
            </w:r>
          </w:p>
        </w:tc>
      </w:tr>
      <w:tr w:rsidR="009C2D69" w:rsidRPr="009C2D69" w14:paraId="692840A3" w14:textId="77777777" w:rsidTr="001A017C">
        <w:trPr>
          <w:trHeight w:val="321"/>
        </w:trPr>
        <w:tc>
          <w:tcPr>
            <w:tcW w:w="0" w:type="auto"/>
            <w:hideMark/>
          </w:tcPr>
          <w:p w14:paraId="61F88FDC" w14:textId="77777777" w:rsidR="009C2D69" w:rsidRPr="009C2D69" w:rsidRDefault="009C2D69" w:rsidP="001A017C">
            <w:pPr>
              <w:spacing w:line="240" w:lineRule="auto"/>
              <w:rPr>
                <w:sz w:val="18"/>
                <w:szCs w:val="18"/>
              </w:rPr>
            </w:pPr>
            <w:r w:rsidRPr="009C2D69">
              <w:rPr>
                <w:sz w:val="18"/>
                <w:szCs w:val="18"/>
              </w:rPr>
              <w:t>ARI</w:t>
            </w:r>
          </w:p>
        </w:tc>
        <w:tc>
          <w:tcPr>
            <w:tcW w:w="0" w:type="auto"/>
            <w:hideMark/>
          </w:tcPr>
          <w:p w14:paraId="17B3D612" w14:textId="77777777" w:rsidR="009C2D69" w:rsidRPr="009C2D69" w:rsidRDefault="009C2D69" w:rsidP="001A017C">
            <w:pPr>
              <w:spacing w:line="240" w:lineRule="auto"/>
              <w:rPr>
                <w:sz w:val="18"/>
                <w:szCs w:val="18"/>
              </w:rPr>
            </w:pPr>
            <w:r w:rsidRPr="009C2D69">
              <w:rPr>
                <w:sz w:val="18"/>
                <w:szCs w:val="18"/>
              </w:rPr>
              <w:t>Acute Respiratory Infection</w:t>
            </w:r>
          </w:p>
        </w:tc>
      </w:tr>
      <w:tr w:rsidR="009C2D69" w:rsidRPr="009C2D69" w14:paraId="0B44BD23" w14:textId="77777777" w:rsidTr="001A017C">
        <w:trPr>
          <w:trHeight w:val="331"/>
        </w:trPr>
        <w:tc>
          <w:tcPr>
            <w:tcW w:w="0" w:type="auto"/>
            <w:hideMark/>
          </w:tcPr>
          <w:p w14:paraId="48448DB9" w14:textId="77777777" w:rsidR="009C2D69" w:rsidRPr="009C2D69" w:rsidRDefault="009C2D69" w:rsidP="001A017C">
            <w:pPr>
              <w:spacing w:line="240" w:lineRule="auto"/>
              <w:rPr>
                <w:sz w:val="18"/>
                <w:szCs w:val="18"/>
              </w:rPr>
            </w:pPr>
            <w:r w:rsidRPr="009C2D69">
              <w:rPr>
                <w:sz w:val="18"/>
                <w:szCs w:val="18"/>
              </w:rPr>
              <w:t>ARTI</w:t>
            </w:r>
          </w:p>
        </w:tc>
        <w:tc>
          <w:tcPr>
            <w:tcW w:w="0" w:type="auto"/>
            <w:hideMark/>
          </w:tcPr>
          <w:p w14:paraId="08FDCA40" w14:textId="77777777" w:rsidR="009C2D69" w:rsidRPr="009C2D69" w:rsidRDefault="009C2D69" w:rsidP="001A017C">
            <w:pPr>
              <w:spacing w:line="240" w:lineRule="auto"/>
              <w:rPr>
                <w:sz w:val="18"/>
                <w:szCs w:val="18"/>
              </w:rPr>
            </w:pPr>
            <w:r w:rsidRPr="009C2D69">
              <w:rPr>
                <w:sz w:val="18"/>
                <w:szCs w:val="18"/>
              </w:rPr>
              <w:t>Acute Respiratory Tract Infection</w:t>
            </w:r>
          </w:p>
        </w:tc>
      </w:tr>
      <w:tr w:rsidR="009C2D69" w:rsidRPr="009C2D69" w14:paraId="1D0C87A4" w14:textId="77777777" w:rsidTr="001A017C">
        <w:trPr>
          <w:trHeight w:val="331"/>
        </w:trPr>
        <w:tc>
          <w:tcPr>
            <w:tcW w:w="0" w:type="auto"/>
            <w:hideMark/>
          </w:tcPr>
          <w:p w14:paraId="6718B0EB" w14:textId="77777777" w:rsidR="009C2D69" w:rsidRPr="009C2D69" w:rsidRDefault="009C2D69" w:rsidP="001A017C">
            <w:pPr>
              <w:spacing w:line="240" w:lineRule="auto"/>
              <w:rPr>
                <w:sz w:val="18"/>
                <w:szCs w:val="18"/>
              </w:rPr>
            </w:pPr>
            <w:r w:rsidRPr="009C2D69">
              <w:rPr>
                <w:sz w:val="18"/>
                <w:szCs w:val="18"/>
              </w:rPr>
              <w:t>CASP</w:t>
            </w:r>
          </w:p>
        </w:tc>
        <w:tc>
          <w:tcPr>
            <w:tcW w:w="0" w:type="auto"/>
            <w:hideMark/>
          </w:tcPr>
          <w:p w14:paraId="394812F8" w14:textId="77777777" w:rsidR="009C2D69" w:rsidRPr="009C2D69" w:rsidRDefault="009C2D69" w:rsidP="001A017C">
            <w:pPr>
              <w:spacing w:line="240" w:lineRule="auto"/>
              <w:rPr>
                <w:sz w:val="18"/>
                <w:szCs w:val="18"/>
              </w:rPr>
            </w:pPr>
            <w:r w:rsidRPr="009C2D69">
              <w:rPr>
                <w:sz w:val="18"/>
                <w:szCs w:val="18"/>
              </w:rPr>
              <w:t>Critical Appraisal Skills Programme</w:t>
            </w:r>
          </w:p>
        </w:tc>
      </w:tr>
      <w:tr w:rsidR="009C2D69" w:rsidRPr="009C2D69" w14:paraId="5141683C" w14:textId="77777777" w:rsidTr="001A017C">
        <w:trPr>
          <w:trHeight w:val="321"/>
        </w:trPr>
        <w:tc>
          <w:tcPr>
            <w:tcW w:w="0" w:type="auto"/>
            <w:hideMark/>
          </w:tcPr>
          <w:p w14:paraId="04BC665D" w14:textId="77777777" w:rsidR="009C2D69" w:rsidRPr="009C2D69" w:rsidRDefault="009C2D69" w:rsidP="001A017C">
            <w:pPr>
              <w:spacing w:line="240" w:lineRule="auto"/>
              <w:rPr>
                <w:sz w:val="18"/>
                <w:szCs w:val="18"/>
              </w:rPr>
            </w:pPr>
            <w:r w:rsidRPr="009C2D69">
              <w:rPr>
                <w:sz w:val="18"/>
                <w:szCs w:val="18"/>
              </w:rPr>
              <w:t>CI</w:t>
            </w:r>
          </w:p>
        </w:tc>
        <w:tc>
          <w:tcPr>
            <w:tcW w:w="0" w:type="auto"/>
            <w:hideMark/>
          </w:tcPr>
          <w:p w14:paraId="4AAFB1B6" w14:textId="77777777" w:rsidR="009C2D69" w:rsidRPr="009C2D69" w:rsidRDefault="009C2D69" w:rsidP="001A017C">
            <w:pPr>
              <w:spacing w:line="240" w:lineRule="auto"/>
              <w:rPr>
                <w:sz w:val="18"/>
                <w:szCs w:val="18"/>
              </w:rPr>
            </w:pPr>
            <w:r w:rsidRPr="009C2D69">
              <w:rPr>
                <w:sz w:val="18"/>
                <w:szCs w:val="18"/>
              </w:rPr>
              <w:t>Confidence Interval</w:t>
            </w:r>
          </w:p>
        </w:tc>
      </w:tr>
      <w:tr w:rsidR="009C2D69" w:rsidRPr="009C2D69" w14:paraId="03BB079D" w14:textId="77777777" w:rsidTr="001A017C">
        <w:trPr>
          <w:trHeight w:val="331"/>
        </w:trPr>
        <w:tc>
          <w:tcPr>
            <w:tcW w:w="0" w:type="auto"/>
            <w:hideMark/>
          </w:tcPr>
          <w:p w14:paraId="5548ACD3" w14:textId="77777777" w:rsidR="009C2D69" w:rsidRPr="009C2D69" w:rsidRDefault="009C2D69" w:rsidP="001A017C">
            <w:pPr>
              <w:spacing w:line="240" w:lineRule="auto"/>
              <w:rPr>
                <w:sz w:val="18"/>
                <w:szCs w:val="18"/>
              </w:rPr>
            </w:pPr>
            <w:r w:rsidRPr="009C2D69">
              <w:rPr>
                <w:sz w:val="18"/>
                <w:szCs w:val="18"/>
              </w:rPr>
              <w:t>CINAHL</w:t>
            </w:r>
          </w:p>
        </w:tc>
        <w:tc>
          <w:tcPr>
            <w:tcW w:w="0" w:type="auto"/>
            <w:hideMark/>
          </w:tcPr>
          <w:p w14:paraId="601AEB20" w14:textId="77777777" w:rsidR="009C2D69" w:rsidRPr="009C2D69" w:rsidRDefault="009C2D69" w:rsidP="001A017C">
            <w:pPr>
              <w:spacing w:line="240" w:lineRule="auto"/>
              <w:rPr>
                <w:sz w:val="18"/>
                <w:szCs w:val="18"/>
              </w:rPr>
            </w:pPr>
            <w:r w:rsidRPr="009C2D69">
              <w:rPr>
                <w:sz w:val="18"/>
                <w:szCs w:val="18"/>
              </w:rPr>
              <w:t>Cumulative Index to Nursing and Allied Health Literature</w:t>
            </w:r>
          </w:p>
        </w:tc>
      </w:tr>
      <w:tr w:rsidR="009C2D69" w:rsidRPr="009C2D69" w14:paraId="50EB7271" w14:textId="77777777" w:rsidTr="001A017C">
        <w:trPr>
          <w:trHeight w:val="331"/>
        </w:trPr>
        <w:tc>
          <w:tcPr>
            <w:tcW w:w="0" w:type="auto"/>
            <w:hideMark/>
          </w:tcPr>
          <w:p w14:paraId="391FD579" w14:textId="77777777" w:rsidR="009C2D69" w:rsidRPr="009C2D69" w:rsidRDefault="009C2D69" w:rsidP="001A017C">
            <w:pPr>
              <w:spacing w:line="240" w:lineRule="auto"/>
              <w:rPr>
                <w:sz w:val="18"/>
                <w:szCs w:val="18"/>
              </w:rPr>
            </w:pPr>
            <w:r w:rsidRPr="009C2D69">
              <w:rPr>
                <w:sz w:val="18"/>
                <w:szCs w:val="18"/>
              </w:rPr>
              <w:t>COM-B</w:t>
            </w:r>
          </w:p>
        </w:tc>
        <w:tc>
          <w:tcPr>
            <w:tcW w:w="0" w:type="auto"/>
            <w:hideMark/>
          </w:tcPr>
          <w:p w14:paraId="154D48B8" w14:textId="77777777" w:rsidR="009C2D69" w:rsidRPr="009C2D69" w:rsidRDefault="009C2D69" w:rsidP="001A017C">
            <w:pPr>
              <w:spacing w:line="240" w:lineRule="auto"/>
              <w:rPr>
                <w:sz w:val="18"/>
                <w:szCs w:val="18"/>
              </w:rPr>
            </w:pPr>
            <w:r w:rsidRPr="009C2D69">
              <w:rPr>
                <w:sz w:val="18"/>
                <w:szCs w:val="18"/>
              </w:rPr>
              <w:t>Capability, Opportunity, Motivation–Behaviour</w:t>
            </w:r>
          </w:p>
        </w:tc>
      </w:tr>
      <w:tr w:rsidR="009C2D69" w:rsidRPr="009C2D69" w14:paraId="53F1AE5A" w14:textId="77777777" w:rsidTr="001A017C">
        <w:trPr>
          <w:trHeight w:val="321"/>
        </w:trPr>
        <w:tc>
          <w:tcPr>
            <w:tcW w:w="0" w:type="auto"/>
            <w:hideMark/>
          </w:tcPr>
          <w:p w14:paraId="73922A58" w14:textId="77777777" w:rsidR="009C2D69" w:rsidRPr="009C2D69" w:rsidRDefault="009C2D69" w:rsidP="001A017C">
            <w:pPr>
              <w:spacing w:line="240" w:lineRule="auto"/>
              <w:rPr>
                <w:sz w:val="18"/>
                <w:szCs w:val="18"/>
              </w:rPr>
            </w:pPr>
            <w:r w:rsidRPr="009C2D69">
              <w:rPr>
                <w:sz w:val="18"/>
                <w:szCs w:val="18"/>
              </w:rPr>
              <w:t>CPR</w:t>
            </w:r>
          </w:p>
        </w:tc>
        <w:tc>
          <w:tcPr>
            <w:tcW w:w="0" w:type="auto"/>
            <w:hideMark/>
          </w:tcPr>
          <w:p w14:paraId="496F753E" w14:textId="77777777" w:rsidR="009C2D69" w:rsidRPr="009C2D69" w:rsidRDefault="009C2D69" w:rsidP="001A017C">
            <w:pPr>
              <w:spacing w:line="240" w:lineRule="auto"/>
              <w:rPr>
                <w:sz w:val="18"/>
                <w:szCs w:val="18"/>
              </w:rPr>
            </w:pPr>
            <w:r w:rsidRPr="009C2D69">
              <w:rPr>
                <w:sz w:val="18"/>
                <w:szCs w:val="18"/>
              </w:rPr>
              <w:t>Clinical Prediction Rule</w:t>
            </w:r>
          </w:p>
        </w:tc>
      </w:tr>
      <w:tr w:rsidR="009C2D69" w:rsidRPr="009C2D69" w14:paraId="7682B6D2" w14:textId="77777777" w:rsidTr="001A017C">
        <w:trPr>
          <w:trHeight w:val="331"/>
        </w:trPr>
        <w:tc>
          <w:tcPr>
            <w:tcW w:w="0" w:type="auto"/>
            <w:hideMark/>
          </w:tcPr>
          <w:p w14:paraId="79BAA2EF" w14:textId="77777777" w:rsidR="009C2D69" w:rsidRPr="009C2D69" w:rsidRDefault="009C2D69" w:rsidP="001A017C">
            <w:pPr>
              <w:spacing w:line="240" w:lineRule="auto"/>
              <w:rPr>
                <w:sz w:val="18"/>
                <w:szCs w:val="18"/>
              </w:rPr>
            </w:pPr>
            <w:r w:rsidRPr="009C2D69">
              <w:rPr>
                <w:sz w:val="18"/>
                <w:szCs w:val="18"/>
              </w:rPr>
              <w:t>CPRD</w:t>
            </w:r>
          </w:p>
        </w:tc>
        <w:tc>
          <w:tcPr>
            <w:tcW w:w="0" w:type="auto"/>
            <w:hideMark/>
          </w:tcPr>
          <w:p w14:paraId="0809AEC7" w14:textId="77777777" w:rsidR="009C2D69" w:rsidRPr="009C2D69" w:rsidRDefault="009C2D69" w:rsidP="001A017C">
            <w:pPr>
              <w:spacing w:line="240" w:lineRule="auto"/>
              <w:rPr>
                <w:sz w:val="18"/>
                <w:szCs w:val="18"/>
              </w:rPr>
            </w:pPr>
            <w:r w:rsidRPr="009C2D69">
              <w:rPr>
                <w:sz w:val="18"/>
                <w:szCs w:val="18"/>
              </w:rPr>
              <w:t>Clinical Practice Research Datalink</w:t>
            </w:r>
          </w:p>
        </w:tc>
      </w:tr>
      <w:tr w:rsidR="009C2D69" w:rsidRPr="009C2D69" w14:paraId="6F1F2110" w14:textId="77777777" w:rsidTr="001A017C">
        <w:trPr>
          <w:trHeight w:val="331"/>
        </w:trPr>
        <w:tc>
          <w:tcPr>
            <w:tcW w:w="0" w:type="auto"/>
            <w:hideMark/>
          </w:tcPr>
          <w:p w14:paraId="0FAC8EC7" w14:textId="77777777" w:rsidR="009C2D69" w:rsidRPr="009C2D69" w:rsidRDefault="009C2D69" w:rsidP="001A017C">
            <w:pPr>
              <w:spacing w:line="240" w:lineRule="auto"/>
              <w:rPr>
                <w:sz w:val="18"/>
                <w:szCs w:val="18"/>
              </w:rPr>
            </w:pPr>
            <w:r w:rsidRPr="009C2D69">
              <w:rPr>
                <w:sz w:val="18"/>
                <w:szCs w:val="18"/>
              </w:rPr>
              <w:t>CRP</w:t>
            </w:r>
          </w:p>
        </w:tc>
        <w:tc>
          <w:tcPr>
            <w:tcW w:w="0" w:type="auto"/>
            <w:hideMark/>
          </w:tcPr>
          <w:p w14:paraId="69EE1EC3" w14:textId="77777777" w:rsidR="009C2D69" w:rsidRPr="009C2D69" w:rsidRDefault="009C2D69" w:rsidP="001A017C">
            <w:pPr>
              <w:spacing w:line="240" w:lineRule="auto"/>
              <w:rPr>
                <w:sz w:val="18"/>
                <w:szCs w:val="18"/>
              </w:rPr>
            </w:pPr>
            <w:r w:rsidRPr="009C2D69">
              <w:rPr>
                <w:sz w:val="18"/>
                <w:szCs w:val="18"/>
              </w:rPr>
              <w:t>C-Reactive Protein</w:t>
            </w:r>
          </w:p>
        </w:tc>
      </w:tr>
      <w:tr w:rsidR="009C2D69" w:rsidRPr="009C2D69" w14:paraId="4529C429" w14:textId="77777777" w:rsidTr="001A017C">
        <w:trPr>
          <w:trHeight w:val="331"/>
        </w:trPr>
        <w:tc>
          <w:tcPr>
            <w:tcW w:w="0" w:type="auto"/>
            <w:hideMark/>
          </w:tcPr>
          <w:p w14:paraId="1844572E" w14:textId="77777777" w:rsidR="009C2D69" w:rsidRPr="009C2D69" w:rsidRDefault="009C2D69" w:rsidP="001A017C">
            <w:pPr>
              <w:spacing w:line="240" w:lineRule="auto"/>
              <w:rPr>
                <w:sz w:val="18"/>
                <w:szCs w:val="18"/>
              </w:rPr>
            </w:pPr>
            <w:r w:rsidRPr="009C2D69">
              <w:rPr>
                <w:sz w:val="18"/>
                <w:szCs w:val="18"/>
              </w:rPr>
              <w:t>CRP-POCT</w:t>
            </w:r>
          </w:p>
        </w:tc>
        <w:tc>
          <w:tcPr>
            <w:tcW w:w="0" w:type="auto"/>
            <w:hideMark/>
          </w:tcPr>
          <w:p w14:paraId="10D136A3" w14:textId="77777777" w:rsidR="009C2D69" w:rsidRPr="009C2D69" w:rsidRDefault="009C2D69" w:rsidP="001A017C">
            <w:pPr>
              <w:spacing w:line="240" w:lineRule="auto"/>
              <w:rPr>
                <w:sz w:val="18"/>
                <w:szCs w:val="18"/>
              </w:rPr>
            </w:pPr>
            <w:r w:rsidRPr="009C2D69">
              <w:rPr>
                <w:sz w:val="18"/>
                <w:szCs w:val="18"/>
              </w:rPr>
              <w:t>C-Reactive Protein Point-of-Care Testing</w:t>
            </w:r>
          </w:p>
        </w:tc>
      </w:tr>
      <w:tr w:rsidR="009C2D69" w:rsidRPr="009C2D69" w14:paraId="359E1C03" w14:textId="77777777" w:rsidTr="001A017C">
        <w:trPr>
          <w:trHeight w:val="321"/>
        </w:trPr>
        <w:tc>
          <w:tcPr>
            <w:tcW w:w="0" w:type="auto"/>
            <w:hideMark/>
          </w:tcPr>
          <w:p w14:paraId="6E573488" w14:textId="77777777" w:rsidR="009C2D69" w:rsidRPr="009C2D69" w:rsidRDefault="009C2D69" w:rsidP="001A017C">
            <w:pPr>
              <w:spacing w:line="240" w:lineRule="auto"/>
              <w:rPr>
                <w:sz w:val="18"/>
                <w:szCs w:val="18"/>
              </w:rPr>
            </w:pPr>
            <w:r w:rsidRPr="009C2D69">
              <w:rPr>
                <w:sz w:val="18"/>
                <w:szCs w:val="18"/>
              </w:rPr>
              <w:t>EHR</w:t>
            </w:r>
          </w:p>
        </w:tc>
        <w:tc>
          <w:tcPr>
            <w:tcW w:w="0" w:type="auto"/>
            <w:hideMark/>
          </w:tcPr>
          <w:p w14:paraId="228724DE" w14:textId="77777777" w:rsidR="009C2D69" w:rsidRPr="009C2D69" w:rsidRDefault="009C2D69" w:rsidP="001A017C">
            <w:pPr>
              <w:spacing w:line="240" w:lineRule="auto"/>
              <w:rPr>
                <w:sz w:val="18"/>
                <w:szCs w:val="18"/>
              </w:rPr>
            </w:pPr>
            <w:r w:rsidRPr="009C2D69">
              <w:rPr>
                <w:sz w:val="18"/>
                <w:szCs w:val="18"/>
              </w:rPr>
              <w:t>Electronic Health Record</w:t>
            </w:r>
          </w:p>
        </w:tc>
      </w:tr>
      <w:tr w:rsidR="009C2D69" w:rsidRPr="009C2D69" w14:paraId="154EE337" w14:textId="77777777" w:rsidTr="001A017C">
        <w:trPr>
          <w:trHeight w:val="331"/>
        </w:trPr>
        <w:tc>
          <w:tcPr>
            <w:tcW w:w="0" w:type="auto"/>
            <w:hideMark/>
          </w:tcPr>
          <w:p w14:paraId="0DA55DE2" w14:textId="77777777" w:rsidR="009C2D69" w:rsidRPr="009C2D69" w:rsidRDefault="009C2D69" w:rsidP="001A017C">
            <w:pPr>
              <w:spacing w:line="240" w:lineRule="auto"/>
              <w:rPr>
                <w:sz w:val="18"/>
                <w:szCs w:val="18"/>
              </w:rPr>
            </w:pPr>
            <w:r w:rsidRPr="009C2D69">
              <w:rPr>
                <w:sz w:val="18"/>
                <w:szCs w:val="18"/>
              </w:rPr>
              <w:t>ESPAUR</w:t>
            </w:r>
          </w:p>
        </w:tc>
        <w:tc>
          <w:tcPr>
            <w:tcW w:w="0" w:type="auto"/>
            <w:hideMark/>
          </w:tcPr>
          <w:p w14:paraId="1C0F62D2" w14:textId="77777777" w:rsidR="009C2D69" w:rsidRPr="009C2D69" w:rsidRDefault="009C2D69" w:rsidP="001A017C">
            <w:pPr>
              <w:spacing w:line="240" w:lineRule="auto"/>
              <w:rPr>
                <w:sz w:val="18"/>
                <w:szCs w:val="18"/>
              </w:rPr>
            </w:pPr>
            <w:r w:rsidRPr="009C2D69">
              <w:rPr>
                <w:sz w:val="18"/>
                <w:szCs w:val="18"/>
              </w:rPr>
              <w:t>English Surveillance Programme for Antimicrobial Utilisation and Resistance</w:t>
            </w:r>
          </w:p>
        </w:tc>
      </w:tr>
      <w:tr w:rsidR="009C2D69" w:rsidRPr="009C2D69" w14:paraId="0BEB581E" w14:textId="77777777" w:rsidTr="001A017C">
        <w:trPr>
          <w:trHeight w:val="331"/>
        </w:trPr>
        <w:tc>
          <w:tcPr>
            <w:tcW w:w="0" w:type="auto"/>
            <w:hideMark/>
          </w:tcPr>
          <w:p w14:paraId="0E6F6F0E" w14:textId="77777777" w:rsidR="009C2D69" w:rsidRPr="009C2D69" w:rsidRDefault="009C2D69" w:rsidP="001A017C">
            <w:pPr>
              <w:spacing w:line="240" w:lineRule="auto"/>
              <w:rPr>
                <w:sz w:val="18"/>
                <w:szCs w:val="18"/>
              </w:rPr>
            </w:pPr>
            <w:r w:rsidRPr="009C2D69">
              <w:rPr>
                <w:sz w:val="18"/>
                <w:szCs w:val="18"/>
              </w:rPr>
              <w:t>EWS</w:t>
            </w:r>
          </w:p>
        </w:tc>
        <w:tc>
          <w:tcPr>
            <w:tcW w:w="0" w:type="auto"/>
            <w:hideMark/>
          </w:tcPr>
          <w:p w14:paraId="640416CB" w14:textId="77777777" w:rsidR="009C2D69" w:rsidRPr="009C2D69" w:rsidRDefault="009C2D69" w:rsidP="001A017C">
            <w:pPr>
              <w:spacing w:line="240" w:lineRule="auto"/>
              <w:rPr>
                <w:sz w:val="18"/>
                <w:szCs w:val="18"/>
              </w:rPr>
            </w:pPr>
            <w:r w:rsidRPr="009C2D69">
              <w:rPr>
                <w:sz w:val="18"/>
                <w:szCs w:val="18"/>
              </w:rPr>
              <w:t>Early Warning Score</w:t>
            </w:r>
          </w:p>
        </w:tc>
      </w:tr>
      <w:tr w:rsidR="009C2D69" w:rsidRPr="009C2D69" w14:paraId="22E29517" w14:textId="77777777" w:rsidTr="001A017C">
        <w:trPr>
          <w:trHeight w:val="321"/>
        </w:trPr>
        <w:tc>
          <w:tcPr>
            <w:tcW w:w="0" w:type="auto"/>
            <w:hideMark/>
          </w:tcPr>
          <w:p w14:paraId="5EA03FBA" w14:textId="77777777" w:rsidR="009C2D69" w:rsidRPr="009C2D69" w:rsidRDefault="009C2D69" w:rsidP="001A017C">
            <w:pPr>
              <w:spacing w:line="240" w:lineRule="auto"/>
              <w:rPr>
                <w:sz w:val="18"/>
                <w:szCs w:val="18"/>
              </w:rPr>
            </w:pPr>
            <w:r w:rsidRPr="009C2D69">
              <w:rPr>
                <w:sz w:val="18"/>
                <w:szCs w:val="18"/>
              </w:rPr>
              <w:t>GP</w:t>
            </w:r>
          </w:p>
        </w:tc>
        <w:tc>
          <w:tcPr>
            <w:tcW w:w="0" w:type="auto"/>
            <w:hideMark/>
          </w:tcPr>
          <w:p w14:paraId="44B9B1B0" w14:textId="77777777" w:rsidR="009C2D69" w:rsidRPr="009C2D69" w:rsidRDefault="009C2D69" w:rsidP="001A017C">
            <w:pPr>
              <w:spacing w:line="240" w:lineRule="auto"/>
              <w:rPr>
                <w:sz w:val="18"/>
                <w:szCs w:val="18"/>
              </w:rPr>
            </w:pPr>
            <w:r w:rsidRPr="009C2D69">
              <w:rPr>
                <w:sz w:val="18"/>
                <w:szCs w:val="18"/>
              </w:rPr>
              <w:t>General Practitioner</w:t>
            </w:r>
          </w:p>
        </w:tc>
      </w:tr>
      <w:tr w:rsidR="009C2D69" w:rsidRPr="009C2D69" w14:paraId="5DDA2C37" w14:textId="77777777" w:rsidTr="001A017C">
        <w:trPr>
          <w:trHeight w:val="331"/>
        </w:trPr>
        <w:tc>
          <w:tcPr>
            <w:tcW w:w="0" w:type="auto"/>
            <w:hideMark/>
          </w:tcPr>
          <w:p w14:paraId="697E5943" w14:textId="77777777" w:rsidR="009C2D69" w:rsidRPr="009C2D69" w:rsidRDefault="009C2D69" w:rsidP="001A017C">
            <w:pPr>
              <w:spacing w:line="240" w:lineRule="auto"/>
              <w:rPr>
                <w:sz w:val="18"/>
                <w:szCs w:val="18"/>
              </w:rPr>
            </w:pPr>
            <w:r w:rsidRPr="009C2D69">
              <w:rPr>
                <w:sz w:val="18"/>
                <w:szCs w:val="18"/>
              </w:rPr>
              <w:t>HR</w:t>
            </w:r>
          </w:p>
        </w:tc>
        <w:tc>
          <w:tcPr>
            <w:tcW w:w="0" w:type="auto"/>
            <w:hideMark/>
          </w:tcPr>
          <w:p w14:paraId="2F334B3D" w14:textId="77777777" w:rsidR="009C2D69" w:rsidRPr="009C2D69" w:rsidRDefault="009C2D69" w:rsidP="001A017C">
            <w:pPr>
              <w:spacing w:line="240" w:lineRule="auto"/>
              <w:rPr>
                <w:sz w:val="18"/>
                <w:szCs w:val="18"/>
              </w:rPr>
            </w:pPr>
            <w:r w:rsidRPr="009C2D69">
              <w:rPr>
                <w:sz w:val="18"/>
                <w:szCs w:val="18"/>
              </w:rPr>
              <w:t>Hazard Ratio</w:t>
            </w:r>
          </w:p>
        </w:tc>
      </w:tr>
      <w:tr w:rsidR="009C2D69" w:rsidRPr="009C2D69" w14:paraId="0F523F2F" w14:textId="77777777" w:rsidTr="001A017C">
        <w:trPr>
          <w:trHeight w:val="331"/>
        </w:trPr>
        <w:tc>
          <w:tcPr>
            <w:tcW w:w="0" w:type="auto"/>
            <w:hideMark/>
          </w:tcPr>
          <w:p w14:paraId="15DF17A5" w14:textId="77777777" w:rsidR="009C2D69" w:rsidRPr="009C2D69" w:rsidRDefault="009C2D69" w:rsidP="001A017C">
            <w:pPr>
              <w:spacing w:line="240" w:lineRule="auto"/>
              <w:rPr>
                <w:sz w:val="18"/>
                <w:szCs w:val="18"/>
              </w:rPr>
            </w:pPr>
            <w:r w:rsidRPr="009C2D69">
              <w:rPr>
                <w:sz w:val="18"/>
                <w:szCs w:val="18"/>
              </w:rPr>
              <w:t>IRR</w:t>
            </w:r>
          </w:p>
        </w:tc>
        <w:tc>
          <w:tcPr>
            <w:tcW w:w="0" w:type="auto"/>
            <w:hideMark/>
          </w:tcPr>
          <w:p w14:paraId="2A9ACA5E" w14:textId="77777777" w:rsidR="009C2D69" w:rsidRPr="009C2D69" w:rsidRDefault="009C2D69" w:rsidP="001A017C">
            <w:pPr>
              <w:spacing w:line="240" w:lineRule="auto"/>
              <w:rPr>
                <w:sz w:val="18"/>
                <w:szCs w:val="18"/>
              </w:rPr>
            </w:pPr>
            <w:r w:rsidRPr="009C2D69">
              <w:rPr>
                <w:sz w:val="18"/>
                <w:szCs w:val="18"/>
              </w:rPr>
              <w:t>Incidence Rate Ratio</w:t>
            </w:r>
          </w:p>
        </w:tc>
      </w:tr>
      <w:tr w:rsidR="009C2D69" w:rsidRPr="009C2D69" w14:paraId="268ADAA6" w14:textId="77777777" w:rsidTr="001A017C">
        <w:trPr>
          <w:trHeight w:val="321"/>
        </w:trPr>
        <w:tc>
          <w:tcPr>
            <w:tcW w:w="0" w:type="auto"/>
            <w:hideMark/>
          </w:tcPr>
          <w:p w14:paraId="614EA90B" w14:textId="77777777" w:rsidR="009C2D69" w:rsidRPr="009C2D69" w:rsidRDefault="009C2D69" w:rsidP="001A017C">
            <w:pPr>
              <w:spacing w:line="240" w:lineRule="auto"/>
              <w:rPr>
                <w:sz w:val="18"/>
                <w:szCs w:val="18"/>
              </w:rPr>
            </w:pPr>
            <w:r w:rsidRPr="009C2D69">
              <w:rPr>
                <w:sz w:val="18"/>
                <w:szCs w:val="18"/>
              </w:rPr>
              <w:t>LRTI</w:t>
            </w:r>
          </w:p>
        </w:tc>
        <w:tc>
          <w:tcPr>
            <w:tcW w:w="0" w:type="auto"/>
            <w:hideMark/>
          </w:tcPr>
          <w:p w14:paraId="21B7E2F7" w14:textId="77777777" w:rsidR="009C2D69" w:rsidRPr="009C2D69" w:rsidRDefault="009C2D69" w:rsidP="001A017C">
            <w:pPr>
              <w:spacing w:line="240" w:lineRule="auto"/>
              <w:rPr>
                <w:sz w:val="18"/>
                <w:szCs w:val="18"/>
              </w:rPr>
            </w:pPr>
            <w:r w:rsidRPr="009C2D69">
              <w:rPr>
                <w:sz w:val="18"/>
                <w:szCs w:val="18"/>
              </w:rPr>
              <w:t>Lower Respiratory Tract Infection</w:t>
            </w:r>
          </w:p>
        </w:tc>
      </w:tr>
      <w:tr w:rsidR="009C2D69" w:rsidRPr="009C2D69" w14:paraId="14933330" w14:textId="77777777" w:rsidTr="001A017C">
        <w:trPr>
          <w:trHeight w:val="331"/>
        </w:trPr>
        <w:tc>
          <w:tcPr>
            <w:tcW w:w="0" w:type="auto"/>
            <w:hideMark/>
          </w:tcPr>
          <w:p w14:paraId="37F2DFA2" w14:textId="77777777" w:rsidR="009C2D69" w:rsidRPr="009C2D69" w:rsidRDefault="009C2D69" w:rsidP="001A017C">
            <w:pPr>
              <w:spacing w:line="240" w:lineRule="auto"/>
              <w:rPr>
                <w:sz w:val="18"/>
                <w:szCs w:val="18"/>
              </w:rPr>
            </w:pPr>
            <w:r w:rsidRPr="009C2D69">
              <w:rPr>
                <w:sz w:val="18"/>
                <w:szCs w:val="18"/>
              </w:rPr>
              <w:t>NHS</w:t>
            </w:r>
          </w:p>
        </w:tc>
        <w:tc>
          <w:tcPr>
            <w:tcW w:w="0" w:type="auto"/>
            <w:hideMark/>
          </w:tcPr>
          <w:p w14:paraId="7B7A0EB5" w14:textId="77777777" w:rsidR="009C2D69" w:rsidRPr="009C2D69" w:rsidRDefault="009C2D69" w:rsidP="001A017C">
            <w:pPr>
              <w:spacing w:line="240" w:lineRule="auto"/>
              <w:rPr>
                <w:sz w:val="18"/>
                <w:szCs w:val="18"/>
              </w:rPr>
            </w:pPr>
            <w:r w:rsidRPr="009C2D69">
              <w:rPr>
                <w:sz w:val="18"/>
                <w:szCs w:val="18"/>
              </w:rPr>
              <w:t>National Health Service</w:t>
            </w:r>
          </w:p>
        </w:tc>
      </w:tr>
      <w:tr w:rsidR="009C2D69" w:rsidRPr="009C2D69" w14:paraId="16A8EDD1" w14:textId="77777777" w:rsidTr="001A017C">
        <w:trPr>
          <w:trHeight w:val="331"/>
        </w:trPr>
        <w:tc>
          <w:tcPr>
            <w:tcW w:w="0" w:type="auto"/>
            <w:hideMark/>
          </w:tcPr>
          <w:p w14:paraId="6E1F6E9C" w14:textId="77777777" w:rsidR="009C2D69" w:rsidRPr="009C2D69" w:rsidRDefault="009C2D69" w:rsidP="001A017C">
            <w:pPr>
              <w:spacing w:line="240" w:lineRule="auto"/>
              <w:rPr>
                <w:sz w:val="18"/>
                <w:szCs w:val="18"/>
              </w:rPr>
            </w:pPr>
            <w:r w:rsidRPr="009C2D69">
              <w:rPr>
                <w:sz w:val="18"/>
                <w:szCs w:val="18"/>
              </w:rPr>
              <w:t>NICE</w:t>
            </w:r>
          </w:p>
        </w:tc>
        <w:tc>
          <w:tcPr>
            <w:tcW w:w="0" w:type="auto"/>
            <w:hideMark/>
          </w:tcPr>
          <w:p w14:paraId="46E33D06" w14:textId="77777777" w:rsidR="009C2D69" w:rsidRPr="009C2D69" w:rsidRDefault="009C2D69" w:rsidP="001A017C">
            <w:pPr>
              <w:spacing w:line="240" w:lineRule="auto"/>
              <w:rPr>
                <w:sz w:val="18"/>
                <w:szCs w:val="18"/>
              </w:rPr>
            </w:pPr>
            <w:r w:rsidRPr="009C2D69">
              <w:rPr>
                <w:sz w:val="18"/>
                <w:szCs w:val="18"/>
              </w:rPr>
              <w:t>National Institute for Health and Care Excellence</w:t>
            </w:r>
          </w:p>
        </w:tc>
      </w:tr>
      <w:tr w:rsidR="009C2D69" w:rsidRPr="009C2D69" w14:paraId="5BB8BDAC" w14:textId="77777777" w:rsidTr="001A017C">
        <w:trPr>
          <w:trHeight w:val="331"/>
        </w:trPr>
        <w:tc>
          <w:tcPr>
            <w:tcW w:w="0" w:type="auto"/>
            <w:hideMark/>
          </w:tcPr>
          <w:p w14:paraId="69B82E36" w14:textId="77777777" w:rsidR="009C2D69" w:rsidRPr="009C2D69" w:rsidRDefault="009C2D69" w:rsidP="001A017C">
            <w:pPr>
              <w:spacing w:line="240" w:lineRule="auto"/>
              <w:rPr>
                <w:sz w:val="18"/>
                <w:szCs w:val="18"/>
              </w:rPr>
            </w:pPr>
            <w:r w:rsidRPr="009C2D69">
              <w:rPr>
                <w:sz w:val="18"/>
                <w:szCs w:val="18"/>
              </w:rPr>
              <w:t>NNH</w:t>
            </w:r>
          </w:p>
        </w:tc>
        <w:tc>
          <w:tcPr>
            <w:tcW w:w="0" w:type="auto"/>
            <w:hideMark/>
          </w:tcPr>
          <w:p w14:paraId="59D1ABCD" w14:textId="77777777" w:rsidR="009C2D69" w:rsidRPr="009C2D69" w:rsidRDefault="009C2D69" w:rsidP="001A017C">
            <w:pPr>
              <w:spacing w:line="240" w:lineRule="auto"/>
              <w:rPr>
                <w:sz w:val="18"/>
                <w:szCs w:val="18"/>
              </w:rPr>
            </w:pPr>
            <w:r w:rsidRPr="009C2D69">
              <w:rPr>
                <w:sz w:val="18"/>
                <w:szCs w:val="18"/>
              </w:rPr>
              <w:t>Number Needed to Harm</w:t>
            </w:r>
          </w:p>
        </w:tc>
      </w:tr>
      <w:tr w:rsidR="009C2D69" w:rsidRPr="009C2D69" w14:paraId="706EE39E" w14:textId="77777777" w:rsidTr="001A017C">
        <w:trPr>
          <w:trHeight w:val="321"/>
        </w:trPr>
        <w:tc>
          <w:tcPr>
            <w:tcW w:w="0" w:type="auto"/>
            <w:hideMark/>
          </w:tcPr>
          <w:p w14:paraId="59516665" w14:textId="77777777" w:rsidR="009C2D69" w:rsidRPr="009C2D69" w:rsidRDefault="009C2D69" w:rsidP="001A017C">
            <w:pPr>
              <w:spacing w:line="240" w:lineRule="auto"/>
              <w:rPr>
                <w:sz w:val="18"/>
                <w:szCs w:val="18"/>
              </w:rPr>
            </w:pPr>
            <w:r w:rsidRPr="009C2D69">
              <w:rPr>
                <w:sz w:val="18"/>
                <w:szCs w:val="18"/>
              </w:rPr>
              <w:t>OR</w:t>
            </w:r>
          </w:p>
        </w:tc>
        <w:tc>
          <w:tcPr>
            <w:tcW w:w="0" w:type="auto"/>
            <w:hideMark/>
          </w:tcPr>
          <w:p w14:paraId="22D214A6" w14:textId="77777777" w:rsidR="009C2D69" w:rsidRPr="009C2D69" w:rsidRDefault="009C2D69" w:rsidP="001A017C">
            <w:pPr>
              <w:spacing w:line="240" w:lineRule="auto"/>
              <w:rPr>
                <w:sz w:val="18"/>
                <w:szCs w:val="18"/>
              </w:rPr>
            </w:pPr>
            <w:r w:rsidRPr="009C2D69">
              <w:rPr>
                <w:sz w:val="18"/>
                <w:szCs w:val="18"/>
              </w:rPr>
              <w:t>Odds Ratio</w:t>
            </w:r>
          </w:p>
        </w:tc>
      </w:tr>
      <w:tr w:rsidR="009C2D69" w:rsidRPr="009C2D69" w14:paraId="63DD328B" w14:textId="77777777" w:rsidTr="001A017C">
        <w:trPr>
          <w:trHeight w:val="331"/>
        </w:trPr>
        <w:tc>
          <w:tcPr>
            <w:tcW w:w="0" w:type="auto"/>
            <w:hideMark/>
          </w:tcPr>
          <w:p w14:paraId="691F10E4" w14:textId="77777777" w:rsidR="009C2D69" w:rsidRPr="009C2D69" w:rsidRDefault="009C2D69" w:rsidP="001A017C">
            <w:pPr>
              <w:spacing w:line="240" w:lineRule="auto"/>
              <w:rPr>
                <w:sz w:val="18"/>
                <w:szCs w:val="18"/>
              </w:rPr>
            </w:pPr>
            <w:r w:rsidRPr="009C2D69">
              <w:rPr>
                <w:sz w:val="18"/>
                <w:szCs w:val="18"/>
              </w:rPr>
              <w:t>POC</w:t>
            </w:r>
          </w:p>
        </w:tc>
        <w:tc>
          <w:tcPr>
            <w:tcW w:w="0" w:type="auto"/>
            <w:hideMark/>
          </w:tcPr>
          <w:p w14:paraId="67D7FBA1" w14:textId="77777777" w:rsidR="009C2D69" w:rsidRPr="009C2D69" w:rsidRDefault="009C2D69" w:rsidP="001A017C">
            <w:pPr>
              <w:spacing w:line="240" w:lineRule="auto"/>
              <w:rPr>
                <w:sz w:val="18"/>
                <w:szCs w:val="18"/>
              </w:rPr>
            </w:pPr>
            <w:r w:rsidRPr="009C2D69">
              <w:rPr>
                <w:sz w:val="18"/>
                <w:szCs w:val="18"/>
              </w:rPr>
              <w:t>Point of Care</w:t>
            </w:r>
          </w:p>
        </w:tc>
      </w:tr>
      <w:tr w:rsidR="009C2D69" w:rsidRPr="009C2D69" w14:paraId="27AF332F" w14:textId="77777777" w:rsidTr="001A017C">
        <w:trPr>
          <w:trHeight w:val="331"/>
        </w:trPr>
        <w:tc>
          <w:tcPr>
            <w:tcW w:w="0" w:type="auto"/>
            <w:hideMark/>
          </w:tcPr>
          <w:p w14:paraId="37E8DD48" w14:textId="77777777" w:rsidR="009C2D69" w:rsidRPr="009C2D69" w:rsidRDefault="009C2D69" w:rsidP="001A017C">
            <w:pPr>
              <w:spacing w:line="240" w:lineRule="auto"/>
              <w:rPr>
                <w:sz w:val="18"/>
                <w:szCs w:val="18"/>
              </w:rPr>
            </w:pPr>
            <w:r w:rsidRPr="009C2D69">
              <w:rPr>
                <w:sz w:val="18"/>
                <w:szCs w:val="18"/>
              </w:rPr>
              <w:t>POCT</w:t>
            </w:r>
          </w:p>
        </w:tc>
        <w:tc>
          <w:tcPr>
            <w:tcW w:w="0" w:type="auto"/>
            <w:hideMark/>
          </w:tcPr>
          <w:p w14:paraId="7B7DE460" w14:textId="77777777" w:rsidR="009C2D69" w:rsidRPr="009C2D69" w:rsidRDefault="009C2D69" w:rsidP="001A017C">
            <w:pPr>
              <w:spacing w:line="240" w:lineRule="auto"/>
              <w:rPr>
                <w:sz w:val="18"/>
                <w:szCs w:val="18"/>
              </w:rPr>
            </w:pPr>
            <w:r w:rsidRPr="009C2D69">
              <w:rPr>
                <w:sz w:val="18"/>
                <w:szCs w:val="18"/>
              </w:rPr>
              <w:t>Point-of-Care Testing</w:t>
            </w:r>
          </w:p>
        </w:tc>
      </w:tr>
      <w:tr w:rsidR="009C2D69" w:rsidRPr="009C2D69" w14:paraId="17E30E57" w14:textId="77777777" w:rsidTr="001A017C">
        <w:trPr>
          <w:trHeight w:val="321"/>
        </w:trPr>
        <w:tc>
          <w:tcPr>
            <w:tcW w:w="0" w:type="auto"/>
            <w:hideMark/>
          </w:tcPr>
          <w:p w14:paraId="074B52BE" w14:textId="77777777" w:rsidR="009C2D69" w:rsidRPr="009C2D69" w:rsidRDefault="009C2D69" w:rsidP="001A017C">
            <w:pPr>
              <w:spacing w:line="240" w:lineRule="auto"/>
              <w:rPr>
                <w:sz w:val="18"/>
                <w:szCs w:val="18"/>
              </w:rPr>
            </w:pPr>
            <w:r w:rsidRPr="009C2D69">
              <w:rPr>
                <w:sz w:val="18"/>
                <w:szCs w:val="18"/>
              </w:rPr>
              <w:t>PRESS</w:t>
            </w:r>
          </w:p>
        </w:tc>
        <w:tc>
          <w:tcPr>
            <w:tcW w:w="0" w:type="auto"/>
            <w:hideMark/>
          </w:tcPr>
          <w:p w14:paraId="6FB1ED21" w14:textId="77777777" w:rsidR="009C2D69" w:rsidRPr="009C2D69" w:rsidRDefault="009C2D69" w:rsidP="001A017C">
            <w:pPr>
              <w:spacing w:line="240" w:lineRule="auto"/>
              <w:rPr>
                <w:sz w:val="18"/>
                <w:szCs w:val="18"/>
              </w:rPr>
            </w:pPr>
            <w:r w:rsidRPr="009C2D69">
              <w:rPr>
                <w:sz w:val="18"/>
                <w:szCs w:val="18"/>
              </w:rPr>
              <w:t>Peer Review of Electronic Search Strategies</w:t>
            </w:r>
          </w:p>
        </w:tc>
      </w:tr>
      <w:tr w:rsidR="009C2D69" w:rsidRPr="009C2D69" w14:paraId="2C894DF7" w14:textId="77777777" w:rsidTr="001A017C">
        <w:trPr>
          <w:trHeight w:val="331"/>
        </w:trPr>
        <w:tc>
          <w:tcPr>
            <w:tcW w:w="0" w:type="auto"/>
            <w:hideMark/>
          </w:tcPr>
          <w:p w14:paraId="7CA9E31D" w14:textId="77777777" w:rsidR="009C2D69" w:rsidRPr="009C2D69" w:rsidRDefault="009C2D69" w:rsidP="001A017C">
            <w:pPr>
              <w:spacing w:line="240" w:lineRule="auto"/>
              <w:rPr>
                <w:sz w:val="18"/>
                <w:szCs w:val="18"/>
              </w:rPr>
            </w:pPr>
            <w:r w:rsidRPr="009C2D69">
              <w:rPr>
                <w:sz w:val="18"/>
                <w:szCs w:val="18"/>
              </w:rPr>
              <w:t>PRISMA</w:t>
            </w:r>
          </w:p>
        </w:tc>
        <w:tc>
          <w:tcPr>
            <w:tcW w:w="0" w:type="auto"/>
            <w:hideMark/>
          </w:tcPr>
          <w:p w14:paraId="1C7AC2A1" w14:textId="77777777" w:rsidR="009C2D69" w:rsidRPr="009C2D69" w:rsidRDefault="009C2D69" w:rsidP="001A017C">
            <w:pPr>
              <w:spacing w:line="240" w:lineRule="auto"/>
              <w:rPr>
                <w:sz w:val="18"/>
                <w:szCs w:val="18"/>
              </w:rPr>
            </w:pPr>
            <w:r w:rsidRPr="009C2D69">
              <w:rPr>
                <w:sz w:val="18"/>
                <w:szCs w:val="18"/>
              </w:rPr>
              <w:t>Preferred Reporting Items for Systematic Reviews and Meta-Analyses</w:t>
            </w:r>
          </w:p>
        </w:tc>
      </w:tr>
      <w:tr w:rsidR="009C2D69" w:rsidRPr="009C2D69" w14:paraId="5059B96C" w14:textId="77777777" w:rsidTr="001A017C">
        <w:trPr>
          <w:trHeight w:val="331"/>
        </w:trPr>
        <w:tc>
          <w:tcPr>
            <w:tcW w:w="0" w:type="auto"/>
            <w:hideMark/>
          </w:tcPr>
          <w:p w14:paraId="2A80CE67" w14:textId="77777777" w:rsidR="009C2D69" w:rsidRPr="009C2D69" w:rsidRDefault="009C2D69" w:rsidP="001A017C">
            <w:pPr>
              <w:spacing w:line="240" w:lineRule="auto"/>
              <w:rPr>
                <w:sz w:val="18"/>
                <w:szCs w:val="18"/>
              </w:rPr>
            </w:pPr>
            <w:r w:rsidRPr="009C2D69">
              <w:rPr>
                <w:sz w:val="18"/>
                <w:szCs w:val="18"/>
              </w:rPr>
              <w:t>RCT</w:t>
            </w:r>
          </w:p>
        </w:tc>
        <w:tc>
          <w:tcPr>
            <w:tcW w:w="0" w:type="auto"/>
            <w:hideMark/>
          </w:tcPr>
          <w:p w14:paraId="2A7B1ECF" w14:textId="77777777" w:rsidR="009C2D69" w:rsidRPr="009C2D69" w:rsidRDefault="009C2D69" w:rsidP="001A017C">
            <w:pPr>
              <w:spacing w:line="240" w:lineRule="auto"/>
              <w:rPr>
                <w:sz w:val="18"/>
                <w:szCs w:val="18"/>
              </w:rPr>
            </w:pPr>
            <w:r w:rsidRPr="009C2D69">
              <w:rPr>
                <w:sz w:val="18"/>
                <w:szCs w:val="18"/>
              </w:rPr>
              <w:t>Randomised Controlled Trial</w:t>
            </w:r>
          </w:p>
        </w:tc>
      </w:tr>
      <w:tr w:rsidR="009C2D69" w:rsidRPr="009C2D69" w14:paraId="69E7555D" w14:textId="77777777" w:rsidTr="001A017C">
        <w:trPr>
          <w:trHeight w:val="321"/>
        </w:trPr>
        <w:tc>
          <w:tcPr>
            <w:tcW w:w="0" w:type="auto"/>
            <w:hideMark/>
          </w:tcPr>
          <w:p w14:paraId="1D2B565A" w14:textId="77777777" w:rsidR="009C2D69" w:rsidRPr="009C2D69" w:rsidRDefault="009C2D69" w:rsidP="001A017C">
            <w:pPr>
              <w:spacing w:line="240" w:lineRule="auto"/>
              <w:rPr>
                <w:sz w:val="18"/>
                <w:szCs w:val="18"/>
              </w:rPr>
            </w:pPr>
            <w:r w:rsidRPr="009C2D69">
              <w:rPr>
                <w:sz w:val="18"/>
                <w:szCs w:val="18"/>
              </w:rPr>
              <w:t>RSV</w:t>
            </w:r>
          </w:p>
        </w:tc>
        <w:tc>
          <w:tcPr>
            <w:tcW w:w="0" w:type="auto"/>
            <w:hideMark/>
          </w:tcPr>
          <w:p w14:paraId="229C86AD" w14:textId="77777777" w:rsidR="009C2D69" w:rsidRPr="009C2D69" w:rsidRDefault="009C2D69" w:rsidP="001A017C">
            <w:pPr>
              <w:spacing w:line="240" w:lineRule="auto"/>
              <w:rPr>
                <w:sz w:val="18"/>
                <w:szCs w:val="18"/>
              </w:rPr>
            </w:pPr>
            <w:r w:rsidRPr="009C2D69">
              <w:rPr>
                <w:sz w:val="18"/>
                <w:szCs w:val="18"/>
              </w:rPr>
              <w:t>Respiratory Syncytial Virus</w:t>
            </w:r>
          </w:p>
        </w:tc>
      </w:tr>
      <w:tr w:rsidR="009C2D69" w:rsidRPr="009C2D69" w14:paraId="45510E48" w14:textId="77777777" w:rsidTr="001A017C">
        <w:trPr>
          <w:trHeight w:val="331"/>
        </w:trPr>
        <w:tc>
          <w:tcPr>
            <w:tcW w:w="0" w:type="auto"/>
            <w:hideMark/>
          </w:tcPr>
          <w:p w14:paraId="6AC2CBAA" w14:textId="77777777" w:rsidR="009C2D69" w:rsidRPr="009C2D69" w:rsidRDefault="009C2D69" w:rsidP="001A017C">
            <w:pPr>
              <w:spacing w:line="240" w:lineRule="auto"/>
              <w:rPr>
                <w:sz w:val="18"/>
                <w:szCs w:val="18"/>
              </w:rPr>
            </w:pPr>
            <w:r w:rsidRPr="009C2D69">
              <w:rPr>
                <w:sz w:val="18"/>
                <w:szCs w:val="18"/>
              </w:rPr>
              <w:t>RTI</w:t>
            </w:r>
          </w:p>
        </w:tc>
        <w:tc>
          <w:tcPr>
            <w:tcW w:w="0" w:type="auto"/>
            <w:hideMark/>
          </w:tcPr>
          <w:p w14:paraId="4E0C34C3" w14:textId="77777777" w:rsidR="009C2D69" w:rsidRPr="009C2D69" w:rsidRDefault="009C2D69" w:rsidP="001A017C">
            <w:pPr>
              <w:spacing w:line="240" w:lineRule="auto"/>
              <w:rPr>
                <w:sz w:val="18"/>
                <w:szCs w:val="18"/>
              </w:rPr>
            </w:pPr>
            <w:r w:rsidRPr="009C2D69">
              <w:rPr>
                <w:sz w:val="18"/>
                <w:szCs w:val="18"/>
              </w:rPr>
              <w:t>Respiratory Tract Infection</w:t>
            </w:r>
          </w:p>
        </w:tc>
      </w:tr>
      <w:tr w:rsidR="009C2D69" w:rsidRPr="009C2D69" w14:paraId="79CAACDE" w14:textId="77777777" w:rsidTr="001A017C">
        <w:trPr>
          <w:trHeight w:val="331"/>
        </w:trPr>
        <w:tc>
          <w:tcPr>
            <w:tcW w:w="0" w:type="auto"/>
            <w:hideMark/>
          </w:tcPr>
          <w:p w14:paraId="519DBA25" w14:textId="77777777" w:rsidR="009C2D69" w:rsidRPr="009C2D69" w:rsidRDefault="009C2D69" w:rsidP="001A017C">
            <w:pPr>
              <w:spacing w:line="240" w:lineRule="auto"/>
              <w:rPr>
                <w:sz w:val="18"/>
                <w:szCs w:val="18"/>
              </w:rPr>
            </w:pPr>
            <w:r w:rsidRPr="009C2D69">
              <w:rPr>
                <w:sz w:val="18"/>
                <w:szCs w:val="18"/>
              </w:rPr>
              <w:t>SAIL</w:t>
            </w:r>
          </w:p>
        </w:tc>
        <w:tc>
          <w:tcPr>
            <w:tcW w:w="0" w:type="auto"/>
            <w:hideMark/>
          </w:tcPr>
          <w:p w14:paraId="2AFAFD0D" w14:textId="77777777" w:rsidR="009C2D69" w:rsidRPr="009C2D69" w:rsidRDefault="009C2D69" w:rsidP="001A017C">
            <w:pPr>
              <w:spacing w:line="240" w:lineRule="auto"/>
              <w:rPr>
                <w:sz w:val="18"/>
                <w:szCs w:val="18"/>
              </w:rPr>
            </w:pPr>
            <w:r w:rsidRPr="009C2D69">
              <w:rPr>
                <w:sz w:val="18"/>
                <w:szCs w:val="18"/>
              </w:rPr>
              <w:t>Secure Anonymised Information Linkage</w:t>
            </w:r>
          </w:p>
        </w:tc>
      </w:tr>
      <w:tr w:rsidR="009C2D69" w:rsidRPr="009C2D69" w14:paraId="7C1CAFB4" w14:textId="77777777" w:rsidTr="001A017C">
        <w:trPr>
          <w:trHeight w:val="321"/>
        </w:trPr>
        <w:tc>
          <w:tcPr>
            <w:tcW w:w="0" w:type="auto"/>
            <w:hideMark/>
          </w:tcPr>
          <w:p w14:paraId="6F56B5FC" w14:textId="77777777" w:rsidR="009C2D69" w:rsidRPr="009C2D69" w:rsidRDefault="009C2D69" w:rsidP="001A017C">
            <w:pPr>
              <w:spacing w:line="240" w:lineRule="auto"/>
              <w:rPr>
                <w:sz w:val="18"/>
                <w:szCs w:val="18"/>
              </w:rPr>
            </w:pPr>
            <w:r w:rsidRPr="009C2D69">
              <w:rPr>
                <w:sz w:val="18"/>
                <w:szCs w:val="18"/>
              </w:rPr>
              <w:t>SARS-CoV-2</w:t>
            </w:r>
          </w:p>
        </w:tc>
        <w:tc>
          <w:tcPr>
            <w:tcW w:w="0" w:type="auto"/>
            <w:hideMark/>
          </w:tcPr>
          <w:p w14:paraId="6C906FC4" w14:textId="77777777" w:rsidR="009C2D69" w:rsidRPr="009C2D69" w:rsidRDefault="009C2D69" w:rsidP="001A017C">
            <w:pPr>
              <w:spacing w:line="240" w:lineRule="auto"/>
              <w:rPr>
                <w:sz w:val="18"/>
                <w:szCs w:val="18"/>
              </w:rPr>
            </w:pPr>
            <w:r w:rsidRPr="009C2D69">
              <w:rPr>
                <w:sz w:val="18"/>
                <w:szCs w:val="18"/>
              </w:rPr>
              <w:t>Severe Acute Respiratory Syndrome Coronavirus 2</w:t>
            </w:r>
          </w:p>
        </w:tc>
      </w:tr>
      <w:tr w:rsidR="009C2D69" w:rsidRPr="009C2D69" w14:paraId="1163FA2C" w14:textId="77777777" w:rsidTr="001A017C">
        <w:trPr>
          <w:trHeight w:val="331"/>
        </w:trPr>
        <w:tc>
          <w:tcPr>
            <w:tcW w:w="0" w:type="auto"/>
            <w:hideMark/>
          </w:tcPr>
          <w:p w14:paraId="738D962E" w14:textId="77777777" w:rsidR="009C2D69" w:rsidRPr="009C2D69" w:rsidRDefault="009C2D69" w:rsidP="001A017C">
            <w:pPr>
              <w:spacing w:line="240" w:lineRule="auto"/>
              <w:rPr>
                <w:sz w:val="18"/>
                <w:szCs w:val="18"/>
              </w:rPr>
            </w:pPr>
            <w:r w:rsidRPr="009C2D69">
              <w:rPr>
                <w:sz w:val="18"/>
                <w:szCs w:val="18"/>
              </w:rPr>
              <w:t>SLR</w:t>
            </w:r>
          </w:p>
        </w:tc>
        <w:tc>
          <w:tcPr>
            <w:tcW w:w="0" w:type="auto"/>
            <w:hideMark/>
          </w:tcPr>
          <w:p w14:paraId="19C7646A" w14:textId="77777777" w:rsidR="009C2D69" w:rsidRPr="009C2D69" w:rsidRDefault="009C2D69" w:rsidP="001A017C">
            <w:pPr>
              <w:spacing w:line="240" w:lineRule="auto"/>
              <w:rPr>
                <w:sz w:val="18"/>
                <w:szCs w:val="18"/>
              </w:rPr>
            </w:pPr>
            <w:r w:rsidRPr="009C2D69">
              <w:rPr>
                <w:sz w:val="18"/>
                <w:szCs w:val="18"/>
              </w:rPr>
              <w:t>Systematic Literature Review</w:t>
            </w:r>
          </w:p>
        </w:tc>
      </w:tr>
      <w:tr w:rsidR="009C2D69" w:rsidRPr="009C2D69" w14:paraId="2F055952" w14:textId="77777777" w:rsidTr="001A017C">
        <w:trPr>
          <w:trHeight w:val="331"/>
        </w:trPr>
        <w:tc>
          <w:tcPr>
            <w:tcW w:w="0" w:type="auto"/>
            <w:hideMark/>
          </w:tcPr>
          <w:p w14:paraId="43811E49" w14:textId="77777777" w:rsidR="009C2D69" w:rsidRPr="009C2D69" w:rsidRDefault="009C2D69" w:rsidP="001A017C">
            <w:pPr>
              <w:spacing w:line="240" w:lineRule="auto"/>
              <w:rPr>
                <w:sz w:val="18"/>
                <w:szCs w:val="18"/>
              </w:rPr>
            </w:pPr>
            <w:r w:rsidRPr="009C2D69">
              <w:rPr>
                <w:sz w:val="18"/>
                <w:szCs w:val="18"/>
              </w:rPr>
              <w:t>UK</w:t>
            </w:r>
          </w:p>
        </w:tc>
        <w:tc>
          <w:tcPr>
            <w:tcW w:w="0" w:type="auto"/>
            <w:hideMark/>
          </w:tcPr>
          <w:p w14:paraId="4B73A81E" w14:textId="77777777" w:rsidR="009C2D69" w:rsidRPr="009C2D69" w:rsidRDefault="009C2D69" w:rsidP="001A017C">
            <w:pPr>
              <w:spacing w:line="240" w:lineRule="auto"/>
              <w:rPr>
                <w:sz w:val="18"/>
                <w:szCs w:val="18"/>
              </w:rPr>
            </w:pPr>
            <w:r w:rsidRPr="009C2D69">
              <w:rPr>
                <w:sz w:val="18"/>
                <w:szCs w:val="18"/>
              </w:rPr>
              <w:t>United Kingdom</w:t>
            </w:r>
          </w:p>
        </w:tc>
      </w:tr>
      <w:tr w:rsidR="009C2D69" w:rsidRPr="009C2D69" w14:paraId="461FC35E" w14:textId="77777777" w:rsidTr="001A017C">
        <w:trPr>
          <w:trHeight w:val="321"/>
        </w:trPr>
        <w:tc>
          <w:tcPr>
            <w:tcW w:w="0" w:type="auto"/>
            <w:hideMark/>
          </w:tcPr>
          <w:p w14:paraId="7B407122" w14:textId="77777777" w:rsidR="009C2D69" w:rsidRPr="009C2D69" w:rsidRDefault="009C2D69" w:rsidP="001A017C">
            <w:pPr>
              <w:spacing w:line="240" w:lineRule="auto"/>
              <w:rPr>
                <w:sz w:val="18"/>
                <w:szCs w:val="18"/>
              </w:rPr>
            </w:pPr>
            <w:r w:rsidRPr="009C2D69">
              <w:rPr>
                <w:sz w:val="18"/>
                <w:szCs w:val="18"/>
              </w:rPr>
              <w:t>UKHSA</w:t>
            </w:r>
          </w:p>
        </w:tc>
        <w:tc>
          <w:tcPr>
            <w:tcW w:w="0" w:type="auto"/>
            <w:hideMark/>
          </w:tcPr>
          <w:p w14:paraId="72411717" w14:textId="77777777" w:rsidR="009C2D69" w:rsidRPr="009C2D69" w:rsidRDefault="009C2D69" w:rsidP="001A017C">
            <w:pPr>
              <w:spacing w:line="240" w:lineRule="auto"/>
              <w:rPr>
                <w:sz w:val="18"/>
                <w:szCs w:val="18"/>
              </w:rPr>
            </w:pPr>
            <w:r w:rsidRPr="009C2D69">
              <w:rPr>
                <w:sz w:val="18"/>
                <w:szCs w:val="18"/>
              </w:rPr>
              <w:t>UK Health Security Agency</w:t>
            </w:r>
          </w:p>
        </w:tc>
      </w:tr>
      <w:tr w:rsidR="009C2D69" w:rsidRPr="009C2D69" w14:paraId="5BFCC5B5" w14:textId="77777777" w:rsidTr="001A017C">
        <w:trPr>
          <w:trHeight w:val="331"/>
        </w:trPr>
        <w:tc>
          <w:tcPr>
            <w:tcW w:w="0" w:type="auto"/>
            <w:hideMark/>
          </w:tcPr>
          <w:p w14:paraId="4B96CA49" w14:textId="77777777" w:rsidR="009C2D69" w:rsidRPr="009C2D69" w:rsidRDefault="009C2D69" w:rsidP="001A017C">
            <w:pPr>
              <w:spacing w:line="240" w:lineRule="auto"/>
              <w:rPr>
                <w:sz w:val="18"/>
                <w:szCs w:val="18"/>
              </w:rPr>
            </w:pPr>
            <w:r w:rsidRPr="009C2D69">
              <w:rPr>
                <w:sz w:val="18"/>
                <w:szCs w:val="18"/>
              </w:rPr>
              <w:lastRenderedPageBreak/>
              <w:t>URTI</w:t>
            </w:r>
          </w:p>
        </w:tc>
        <w:tc>
          <w:tcPr>
            <w:tcW w:w="0" w:type="auto"/>
            <w:hideMark/>
          </w:tcPr>
          <w:p w14:paraId="72DB23E4" w14:textId="77777777" w:rsidR="009C2D69" w:rsidRPr="009C2D69" w:rsidRDefault="009C2D69" w:rsidP="001A017C">
            <w:pPr>
              <w:spacing w:line="240" w:lineRule="auto"/>
              <w:rPr>
                <w:sz w:val="18"/>
                <w:szCs w:val="18"/>
              </w:rPr>
            </w:pPr>
            <w:r w:rsidRPr="009C2D69">
              <w:rPr>
                <w:sz w:val="18"/>
                <w:szCs w:val="18"/>
              </w:rPr>
              <w:t>Upper Respiratory Tract Infection</w:t>
            </w:r>
          </w:p>
        </w:tc>
      </w:tr>
    </w:tbl>
    <w:p w14:paraId="2521806C" w14:textId="77777777" w:rsidR="009C2D69" w:rsidRDefault="009C2D69" w:rsidP="009C2D69">
      <w:pPr>
        <w:rPr>
          <w:b/>
          <w:bCs/>
        </w:rPr>
      </w:pPr>
    </w:p>
    <w:p w14:paraId="24ABA780" w14:textId="77777777" w:rsidR="009C2D69" w:rsidRDefault="009C2D69">
      <w:pPr>
        <w:spacing w:after="200" w:line="276" w:lineRule="auto"/>
        <w:jc w:val="left"/>
        <w:rPr>
          <w:b/>
          <w:bCs/>
        </w:rPr>
      </w:pPr>
      <w:r>
        <w:rPr>
          <w:b/>
          <w:bCs/>
        </w:rPr>
        <w:br w:type="page"/>
      </w:r>
    </w:p>
    <w:p w14:paraId="0B398F8B" w14:textId="6845AE04" w:rsidR="009C2D69" w:rsidRPr="009C2D69" w:rsidRDefault="009C2D69" w:rsidP="009C2D69">
      <w:pPr>
        <w:pStyle w:val="Heading1"/>
      </w:pPr>
      <w:bookmarkStart w:id="4" w:name="_Toc240921633"/>
      <w:r w:rsidRPr="009C2D69">
        <w:lastRenderedPageBreak/>
        <w:t>List of Tables</w:t>
      </w:r>
      <w:bookmarkEnd w:id="4"/>
    </w:p>
    <w:p w14:paraId="22BE141D" w14:textId="77777777" w:rsidR="009C2D69" w:rsidRPr="009C2D69" w:rsidRDefault="009C2D69" w:rsidP="009C2D69">
      <w:r w:rsidRPr="009C2D69">
        <w:t>Table 3.1: Databases Searched and Relevance to the Review</w:t>
      </w:r>
    </w:p>
    <w:p w14:paraId="0B2DC4D6" w14:textId="77777777" w:rsidR="009C2D69" w:rsidRPr="009C2D69" w:rsidRDefault="009C2D69" w:rsidP="009C2D69">
      <w:r w:rsidRPr="009C2D69">
        <w:t>Table 3.2: Search Concepts and Search Terms</w:t>
      </w:r>
    </w:p>
    <w:p w14:paraId="15342CB6" w14:textId="77777777" w:rsidR="009C2D69" w:rsidRPr="009C2D69" w:rsidRDefault="009C2D69" w:rsidP="009C2D69">
      <w:r w:rsidRPr="009C2D69">
        <w:t>Table 3.3: Examples of Electronic Search Strings</w:t>
      </w:r>
    </w:p>
    <w:p w14:paraId="2041F3E4" w14:textId="77777777" w:rsidR="009C2D69" w:rsidRPr="009C2D69" w:rsidRDefault="009C2D69" w:rsidP="009C2D69">
      <w:r w:rsidRPr="009C2D69">
        <w:t>Table 3.4: Inclusion and Exclusion Criteria</w:t>
      </w:r>
    </w:p>
    <w:p w14:paraId="52D0BD5B" w14:textId="77777777" w:rsidR="009C2D69" w:rsidRPr="009C2D69" w:rsidRDefault="009C2D69" w:rsidP="009C2D69">
      <w:r w:rsidRPr="009C2D69">
        <w:t>Table 3.5: Screening Calculations</w:t>
      </w:r>
    </w:p>
    <w:p w14:paraId="1C63C89A" w14:textId="77777777" w:rsidR="009C2D69" w:rsidRPr="009C2D69" w:rsidRDefault="009C2D69" w:rsidP="009C2D69">
      <w:r w:rsidRPr="009C2D69">
        <w:t>Table 3.6: Reasons for Full-Text Exclusion</w:t>
      </w:r>
    </w:p>
    <w:p w14:paraId="56E6AC3F" w14:textId="77777777" w:rsidR="009C2D69" w:rsidRPr="009C2D69" w:rsidRDefault="009C2D69" w:rsidP="009C2D69">
      <w:r w:rsidRPr="009C2D69">
        <w:t>Table 3.7: Data Extraction Fields</w:t>
      </w:r>
    </w:p>
    <w:p w14:paraId="6EE3E300" w14:textId="7313BA80" w:rsidR="009C2D69" w:rsidRPr="009C2D69" w:rsidRDefault="009C2D69" w:rsidP="009C2D69">
      <w:r w:rsidRPr="009C2D69">
        <w:t>Table 4.1: Themes and Subthemes</w:t>
      </w:r>
    </w:p>
    <w:p w14:paraId="0589234D" w14:textId="0DEE9ACE" w:rsidR="009C2D69" w:rsidRPr="009C2D69" w:rsidRDefault="009C2D69" w:rsidP="009C2D69">
      <w:pPr>
        <w:pStyle w:val="Heading1"/>
      </w:pPr>
      <w:bookmarkStart w:id="5" w:name="_Toc240921634"/>
      <w:r w:rsidRPr="009C2D69">
        <w:t>List of Figures</w:t>
      </w:r>
      <w:bookmarkEnd w:id="5"/>
    </w:p>
    <w:p w14:paraId="3DEB6F11" w14:textId="77777777" w:rsidR="009C2D69" w:rsidRPr="009C2D69" w:rsidRDefault="009C2D69" w:rsidP="009C2D69">
      <w:r w:rsidRPr="009C2D69">
        <w:t>Figure 3.1: PRISMA 2020 Flow of Study Selection</w:t>
      </w:r>
    </w:p>
    <w:p w14:paraId="6D6282DD" w14:textId="2EB1F2C8" w:rsidR="00146025" w:rsidRDefault="00146025" w:rsidP="004119F6">
      <w:r>
        <w:br w:type="page"/>
      </w:r>
    </w:p>
    <w:sdt>
      <w:sdtPr>
        <w:rPr>
          <w:b w:val="0"/>
          <w:bCs w:val="0"/>
          <w:sz w:val="24"/>
          <w:szCs w:val="22"/>
        </w:rPr>
        <w:id w:val="2118940893"/>
        <w:docPartObj>
          <w:docPartGallery w:val="Table of Contents"/>
          <w:docPartUnique/>
        </w:docPartObj>
      </w:sdtPr>
      <w:sdtEndPr>
        <w:rPr>
          <w:noProof/>
          <w:sz w:val="22"/>
        </w:rPr>
      </w:sdtEndPr>
      <w:sdtContent>
        <w:p w14:paraId="4F911C20" w14:textId="02F654F8" w:rsidR="00146025" w:rsidRDefault="00146025">
          <w:pPr>
            <w:pStyle w:val="TOCHeading"/>
          </w:pPr>
          <w:r>
            <w:t>Table of Contents</w:t>
          </w:r>
        </w:p>
        <w:p w14:paraId="3C80E745" w14:textId="4C35069C" w:rsidR="00202B73" w:rsidRDefault="00146025">
          <w:pPr>
            <w:pStyle w:val="TOC1"/>
            <w:tabs>
              <w:tab w:val="right" w:leader="dot" w:pos="922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40921630" w:history="1">
            <w:r w:rsidR="00202B73" w:rsidRPr="00052608">
              <w:rPr>
                <w:rStyle w:val="Hyperlink"/>
                <w:rFonts w:eastAsiaTheme="majorEastAsia"/>
                <w:noProof/>
              </w:rPr>
              <w:t>Acknowledgement</w:t>
            </w:r>
            <w:r w:rsidR="00202B73">
              <w:rPr>
                <w:noProof/>
                <w:webHidden/>
              </w:rPr>
              <w:tab/>
            </w:r>
            <w:r w:rsidR="00202B73">
              <w:rPr>
                <w:noProof/>
                <w:webHidden/>
              </w:rPr>
              <w:fldChar w:fldCharType="begin"/>
            </w:r>
            <w:r w:rsidR="00202B73">
              <w:rPr>
                <w:noProof/>
                <w:webHidden/>
              </w:rPr>
              <w:instrText xml:space="preserve"> PAGEREF _Toc240921630 \h </w:instrText>
            </w:r>
            <w:r w:rsidR="00202B73">
              <w:rPr>
                <w:noProof/>
                <w:webHidden/>
              </w:rPr>
            </w:r>
            <w:r w:rsidR="00202B73">
              <w:rPr>
                <w:noProof/>
                <w:webHidden/>
              </w:rPr>
              <w:fldChar w:fldCharType="separate"/>
            </w:r>
            <w:r w:rsidR="00202B73">
              <w:rPr>
                <w:noProof/>
                <w:webHidden/>
              </w:rPr>
              <w:t>2</w:t>
            </w:r>
            <w:r w:rsidR="00202B73">
              <w:rPr>
                <w:noProof/>
                <w:webHidden/>
              </w:rPr>
              <w:fldChar w:fldCharType="end"/>
            </w:r>
          </w:hyperlink>
        </w:p>
        <w:p w14:paraId="383524E6" w14:textId="4F8F4146" w:rsidR="00202B73" w:rsidRDefault="00807A36">
          <w:pPr>
            <w:pStyle w:val="TOC1"/>
            <w:tabs>
              <w:tab w:val="right" w:leader="dot" w:pos="9226"/>
            </w:tabs>
            <w:rPr>
              <w:rFonts w:asciiTheme="minorHAnsi" w:eastAsiaTheme="minorEastAsia" w:hAnsiTheme="minorHAnsi" w:cstheme="minorBidi"/>
              <w:noProof/>
              <w:kern w:val="2"/>
              <w:sz w:val="24"/>
              <w:szCs w:val="24"/>
              <w14:ligatures w14:val="standardContextual"/>
            </w:rPr>
          </w:pPr>
          <w:hyperlink w:anchor="_Toc240921631" w:history="1">
            <w:r w:rsidR="00202B73" w:rsidRPr="00052608">
              <w:rPr>
                <w:rStyle w:val="Hyperlink"/>
                <w:rFonts w:eastAsiaTheme="majorEastAsia"/>
                <w:noProof/>
              </w:rPr>
              <w:t>Abstract</w:t>
            </w:r>
            <w:r w:rsidR="00202B73">
              <w:rPr>
                <w:noProof/>
                <w:webHidden/>
              </w:rPr>
              <w:tab/>
            </w:r>
            <w:r w:rsidR="00202B73">
              <w:rPr>
                <w:noProof/>
                <w:webHidden/>
              </w:rPr>
              <w:fldChar w:fldCharType="begin"/>
            </w:r>
            <w:r w:rsidR="00202B73">
              <w:rPr>
                <w:noProof/>
                <w:webHidden/>
              </w:rPr>
              <w:instrText xml:space="preserve"> PAGEREF _Toc240921631 \h </w:instrText>
            </w:r>
            <w:r w:rsidR="00202B73">
              <w:rPr>
                <w:noProof/>
                <w:webHidden/>
              </w:rPr>
            </w:r>
            <w:r w:rsidR="00202B73">
              <w:rPr>
                <w:noProof/>
                <w:webHidden/>
              </w:rPr>
              <w:fldChar w:fldCharType="separate"/>
            </w:r>
            <w:r w:rsidR="00202B73">
              <w:rPr>
                <w:noProof/>
                <w:webHidden/>
              </w:rPr>
              <w:t>3</w:t>
            </w:r>
            <w:r w:rsidR="00202B73">
              <w:rPr>
                <w:noProof/>
                <w:webHidden/>
              </w:rPr>
              <w:fldChar w:fldCharType="end"/>
            </w:r>
          </w:hyperlink>
        </w:p>
        <w:p w14:paraId="69D5556F" w14:textId="5AF69BC0" w:rsidR="00202B73" w:rsidRDefault="00807A36">
          <w:pPr>
            <w:pStyle w:val="TOC1"/>
            <w:tabs>
              <w:tab w:val="right" w:leader="dot" w:pos="9226"/>
            </w:tabs>
            <w:rPr>
              <w:rFonts w:asciiTheme="minorHAnsi" w:eastAsiaTheme="minorEastAsia" w:hAnsiTheme="minorHAnsi" w:cstheme="minorBidi"/>
              <w:noProof/>
              <w:kern w:val="2"/>
              <w:sz w:val="24"/>
              <w:szCs w:val="24"/>
              <w14:ligatures w14:val="standardContextual"/>
            </w:rPr>
          </w:pPr>
          <w:hyperlink w:anchor="_Toc240921632" w:history="1">
            <w:r w:rsidR="00202B73" w:rsidRPr="00052608">
              <w:rPr>
                <w:rStyle w:val="Hyperlink"/>
                <w:rFonts w:eastAsiaTheme="majorEastAsia"/>
                <w:noProof/>
              </w:rPr>
              <w:t>List of Abbreviations</w:t>
            </w:r>
            <w:r w:rsidR="00202B73">
              <w:rPr>
                <w:noProof/>
                <w:webHidden/>
              </w:rPr>
              <w:tab/>
            </w:r>
            <w:r w:rsidR="00202B73">
              <w:rPr>
                <w:noProof/>
                <w:webHidden/>
              </w:rPr>
              <w:fldChar w:fldCharType="begin"/>
            </w:r>
            <w:r w:rsidR="00202B73">
              <w:rPr>
                <w:noProof/>
                <w:webHidden/>
              </w:rPr>
              <w:instrText xml:space="preserve"> PAGEREF _Toc240921632 \h </w:instrText>
            </w:r>
            <w:r w:rsidR="00202B73">
              <w:rPr>
                <w:noProof/>
                <w:webHidden/>
              </w:rPr>
            </w:r>
            <w:r w:rsidR="00202B73">
              <w:rPr>
                <w:noProof/>
                <w:webHidden/>
              </w:rPr>
              <w:fldChar w:fldCharType="separate"/>
            </w:r>
            <w:r w:rsidR="00202B73">
              <w:rPr>
                <w:noProof/>
                <w:webHidden/>
              </w:rPr>
              <w:t>4</w:t>
            </w:r>
            <w:r w:rsidR="00202B73">
              <w:rPr>
                <w:noProof/>
                <w:webHidden/>
              </w:rPr>
              <w:fldChar w:fldCharType="end"/>
            </w:r>
          </w:hyperlink>
        </w:p>
        <w:p w14:paraId="383B60E9" w14:textId="3F6089D2" w:rsidR="00202B73" w:rsidRDefault="00807A36">
          <w:pPr>
            <w:pStyle w:val="TOC1"/>
            <w:tabs>
              <w:tab w:val="right" w:leader="dot" w:pos="9226"/>
            </w:tabs>
            <w:rPr>
              <w:rFonts w:asciiTheme="minorHAnsi" w:eastAsiaTheme="minorEastAsia" w:hAnsiTheme="minorHAnsi" w:cstheme="minorBidi"/>
              <w:noProof/>
              <w:kern w:val="2"/>
              <w:sz w:val="24"/>
              <w:szCs w:val="24"/>
              <w14:ligatures w14:val="standardContextual"/>
            </w:rPr>
          </w:pPr>
          <w:hyperlink w:anchor="_Toc240921633" w:history="1">
            <w:r w:rsidR="00202B73" w:rsidRPr="00052608">
              <w:rPr>
                <w:rStyle w:val="Hyperlink"/>
                <w:rFonts w:eastAsiaTheme="majorEastAsia"/>
                <w:noProof/>
              </w:rPr>
              <w:t>List of Tables</w:t>
            </w:r>
            <w:r w:rsidR="00202B73">
              <w:rPr>
                <w:noProof/>
                <w:webHidden/>
              </w:rPr>
              <w:tab/>
            </w:r>
            <w:r w:rsidR="00202B73">
              <w:rPr>
                <w:noProof/>
                <w:webHidden/>
              </w:rPr>
              <w:fldChar w:fldCharType="begin"/>
            </w:r>
            <w:r w:rsidR="00202B73">
              <w:rPr>
                <w:noProof/>
                <w:webHidden/>
              </w:rPr>
              <w:instrText xml:space="preserve"> PAGEREF _Toc240921633 \h </w:instrText>
            </w:r>
            <w:r w:rsidR="00202B73">
              <w:rPr>
                <w:noProof/>
                <w:webHidden/>
              </w:rPr>
            </w:r>
            <w:r w:rsidR="00202B73">
              <w:rPr>
                <w:noProof/>
                <w:webHidden/>
              </w:rPr>
              <w:fldChar w:fldCharType="separate"/>
            </w:r>
            <w:r w:rsidR="00202B73">
              <w:rPr>
                <w:noProof/>
                <w:webHidden/>
              </w:rPr>
              <w:t>6</w:t>
            </w:r>
            <w:r w:rsidR="00202B73">
              <w:rPr>
                <w:noProof/>
                <w:webHidden/>
              </w:rPr>
              <w:fldChar w:fldCharType="end"/>
            </w:r>
          </w:hyperlink>
        </w:p>
        <w:p w14:paraId="59019F76" w14:textId="665CA0B2" w:rsidR="00202B73" w:rsidRDefault="00807A36">
          <w:pPr>
            <w:pStyle w:val="TOC1"/>
            <w:tabs>
              <w:tab w:val="right" w:leader="dot" w:pos="9226"/>
            </w:tabs>
            <w:rPr>
              <w:rFonts w:asciiTheme="minorHAnsi" w:eastAsiaTheme="minorEastAsia" w:hAnsiTheme="minorHAnsi" w:cstheme="minorBidi"/>
              <w:noProof/>
              <w:kern w:val="2"/>
              <w:sz w:val="24"/>
              <w:szCs w:val="24"/>
              <w14:ligatures w14:val="standardContextual"/>
            </w:rPr>
          </w:pPr>
          <w:hyperlink w:anchor="_Toc240921634" w:history="1">
            <w:r w:rsidR="00202B73" w:rsidRPr="00052608">
              <w:rPr>
                <w:rStyle w:val="Hyperlink"/>
                <w:rFonts w:eastAsiaTheme="majorEastAsia"/>
                <w:noProof/>
              </w:rPr>
              <w:t>List of Figures</w:t>
            </w:r>
            <w:r w:rsidR="00202B73">
              <w:rPr>
                <w:noProof/>
                <w:webHidden/>
              </w:rPr>
              <w:tab/>
            </w:r>
            <w:r w:rsidR="00202B73">
              <w:rPr>
                <w:noProof/>
                <w:webHidden/>
              </w:rPr>
              <w:fldChar w:fldCharType="begin"/>
            </w:r>
            <w:r w:rsidR="00202B73">
              <w:rPr>
                <w:noProof/>
                <w:webHidden/>
              </w:rPr>
              <w:instrText xml:space="preserve"> PAGEREF _Toc240921634 \h </w:instrText>
            </w:r>
            <w:r w:rsidR="00202B73">
              <w:rPr>
                <w:noProof/>
                <w:webHidden/>
              </w:rPr>
            </w:r>
            <w:r w:rsidR="00202B73">
              <w:rPr>
                <w:noProof/>
                <w:webHidden/>
              </w:rPr>
              <w:fldChar w:fldCharType="separate"/>
            </w:r>
            <w:r w:rsidR="00202B73">
              <w:rPr>
                <w:noProof/>
                <w:webHidden/>
              </w:rPr>
              <w:t>6</w:t>
            </w:r>
            <w:r w:rsidR="00202B73">
              <w:rPr>
                <w:noProof/>
                <w:webHidden/>
              </w:rPr>
              <w:fldChar w:fldCharType="end"/>
            </w:r>
          </w:hyperlink>
        </w:p>
        <w:p w14:paraId="2E4F6363" w14:textId="329065A8" w:rsidR="00202B73" w:rsidRDefault="00807A36">
          <w:pPr>
            <w:pStyle w:val="TOC1"/>
            <w:tabs>
              <w:tab w:val="right" w:leader="dot" w:pos="9226"/>
            </w:tabs>
            <w:rPr>
              <w:rFonts w:asciiTheme="minorHAnsi" w:eastAsiaTheme="minorEastAsia" w:hAnsiTheme="minorHAnsi" w:cstheme="minorBidi"/>
              <w:noProof/>
              <w:kern w:val="2"/>
              <w:sz w:val="24"/>
              <w:szCs w:val="24"/>
              <w14:ligatures w14:val="standardContextual"/>
            </w:rPr>
          </w:pPr>
          <w:hyperlink w:anchor="_Toc240921635" w:history="1">
            <w:r w:rsidR="00202B73" w:rsidRPr="00052608">
              <w:rPr>
                <w:rStyle w:val="Hyperlink"/>
                <w:rFonts w:eastAsiaTheme="majorEastAsia"/>
                <w:noProof/>
              </w:rPr>
              <w:t>Chapter 1: Introduction</w:t>
            </w:r>
            <w:r w:rsidR="00202B73">
              <w:rPr>
                <w:noProof/>
                <w:webHidden/>
              </w:rPr>
              <w:tab/>
            </w:r>
            <w:r w:rsidR="00202B73">
              <w:rPr>
                <w:noProof/>
                <w:webHidden/>
              </w:rPr>
              <w:fldChar w:fldCharType="begin"/>
            </w:r>
            <w:r w:rsidR="00202B73">
              <w:rPr>
                <w:noProof/>
                <w:webHidden/>
              </w:rPr>
              <w:instrText xml:space="preserve"> PAGEREF _Toc240921635 \h </w:instrText>
            </w:r>
            <w:r w:rsidR="00202B73">
              <w:rPr>
                <w:noProof/>
                <w:webHidden/>
              </w:rPr>
            </w:r>
            <w:r w:rsidR="00202B73">
              <w:rPr>
                <w:noProof/>
                <w:webHidden/>
              </w:rPr>
              <w:fldChar w:fldCharType="separate"/>
            </w:r>
            <w:r w:rsidR="00202B73">
              <w:rPr>
                <w:noProof/>
                <w:webHidden/>
              </w:rPr>
              <w:t>10</w:t>
            </w:r>
            <w:r w:rsidR="00202B73">
              <w:rPr>
                <w:noProof/>
                <w:webHidden/>
              </w:rPr>
              <w:fldChar w:fldCharType="end"/>
            </w:r>
          </w:hyperlink>
        </w:p>
        <w:p w14:paraId="36A4878F" w14:textId="16777B58"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36" w:history="1">
            <w:r w:rsidR="00202B73" w:rsidRPr="00052608">
              <w:rPr>
                <w:rStyle w:val="Hyperlink"/>
                <w:rFonts w:eastAsiaTheme="majorEastAsia"/>
                <w:noProof/>
              </w:rPr>
              <w:t>1.1 Introduction</w:t>
            </w:r>
            <w:r w:rsidR="00202B73">
              <w:rPr>
                <w:noProof/>
                <w:webHidden/>
              </w:rPr>
              <w:tab/>
            </w:r>
            <w:r w:rsidR="00202B73">
              <w:rPr>
                <w:noProof/>
                <w:webHidden/>
              </w:rPr>
              <w:fldChar w:fldCharType="begin"/>
            </w:r>
            <w:r w:rsidR="00202B73">
              <w:rPr>
                <w:noProof/>
                <w:webHidden/>
              </w:rPr>
              <w:instrText xml:space="preserve"> PAGEREF _Toc240921636 \h </w:instrText>
            </w:r>
            <w:r w:rsidR="00202B73">
              <w:rPr>
                <w:noProof/>
                <w:webHidden/>
              </w:rPr>
            </w:r>
            <w:r w:rsidR="00202B73">
              <w:rPr>
                <w:noProof/>
                <w:webHidden/>
              </w:rPr>
              <w:fldChar w:fldCharType="separate"/>
            </w:r>
            <w:r w:rsidR="00202B73">
              <w:rPr>
                <w:noProof/>
                <w:webHidden/>
              </w:rPr>
              <w:t>10</w:t>
            </w:r>
            <w:r w:rsidR="00202B73">
              <w:rPr>
                <w:noProof/>
                <w:webHidden/>
              </w:rPr>
              <w:fldChar w:fldCharType="end"/>
            </w:r>
          </w:hyperlink>
        </w:p>
        <w:p w14:paraId="60F1546F" w14:textId="3BEE3836"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37" w:history="1">
            <w:r w:rsidR="00202B73" w:rsidRPr="00052608">
              <w:rPr>
                <w:rStyle w:val="Hyperlink"/>
                <w:rFonts w:eastAsiaTheme="majorEastAsia"/>
                <w:noProof/>
              </w:rPr>
              <w:t>1.2 Background and UK Context</w:t>
            </w:r>
            <w:r w:rsidR="00202B73">
              <w:rPr>
                <w:noProof/>
                <w:webHidden/>
              </w:rPr>
              <w:tab/>
            </w:r>
            <w:r w:rsidR="00202B73">
              <w:rPr>
                <w:noProof/>
                <w:webHidden/>
              </w:rPr>
              <w:fldChar w:fldCharType="begin"/>
            </w:r>
            <w:r w:rsidR="00202B73">
              <w:rPr>
                <w:noProof/>
                <w:webHidden/>
              </w:rPr>
              <w:instrText xml:space="preserve"> PAGEREF _Toc240921637 \h </w:instrText>
            </w:r>
            <w:r w:rsidR="00202B73">
              <w:rPr>
                <w:noProof/>
                <w:webHidden/>
              </w:rPr>
            </w:r>
            <w:r w:rsidR="00202B73">
              <w:rPr>
                <w:noProof/>
                <w:webHidden/>
              </w:rPr>
              <w:fldChar w:fldCharType="separate"/>
            </w:r>
            <w:r w:rsidR="00202B73">
              <w:rPr>
                <w:noProof/>
                <w:webHidden/>
              </w:rPr>
              <w:t>11</w:t>
            </w:r>
            <w:r w:rsidR="00202B73">
              <w:rPr>
                <w:noProof/>
                <w:webHidden/>
              </w:rPr>
              <w:fldChar w:fldCharType="end"/>
            </w:r>
          </w:hyperlink>
        </w:p>
        <w:p w14:paraId="25411E36" w14:textId="2F8C6417"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38" w:history="1">
            <w:r w:rsidR="00202B73" w:rsidRPr="00052608">
              <w:rPr>
                <w:rStyle w:val="Hyperlink"/>
                <w:rFonts w:eastAsiaTheme="majorEastAsia"/>
                <w:noProof/>
              </w:rPr>
              <w:t>1.3 Statement of the Research Problem</w:t>
            </w:r>
            <w:r w:rsidR="00202B73">
              <w:rPr>
                <w:noProof/>
                <w:webHidden/>
              </w:rPr>
              <w:tab/>
            </w:r>
            <w:r w:rsidR="00202B73">
              <w:rPr>
                <w:noProof/>
                <w:webHidden/>
              </w:rPr>
              <w:fldChar w:fldCharType="begin"/>
            </w:r>
            <w:r w:rsidR="00202B73">
              <w:rPr>
                <w:noProof/>
                <w:webHidden/>
              </w:rPr>
              <w:instrText xml:space="preserve"> PAGEREF _Toc240921638 \h </w:instrText>
            </w:r>
            <w:r w:rsidR="00202B73">
              <w:rPr>
                <w:noProof/>
                <w:webHidden/>
              </w:rPr>
            </w:r>
            <w:r w:rsidR="00202B73">
              <w:rPr>
                <w:noProof/>
                <w:webHidden/>
              </w:rPr>
              <w:fldChar w:fldCharType="separate"/>
            </w:r>
            <w:r w:rsidR="00202B73">
              <w:rPr>
                <w:noProof/>
                <w:webHidden/>
              </w:rPr>
              <w:t>12</w:t>
            </w:r>
            <w:r w:rsidR="00202B73">
              <w:rPr>
                <w:noProof/>
                <w:webHidden/>
              </w:rPr>
              <w:fldChar w:fldCharType="end"/>
            </w:r>
          </w:hyperlink>
        </w:p>
        <w:p w14:paraId="4E30C912" w14:textId="14A69FE2"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39" w:history="1">
            <w:r w:rsidR="00202B73" w:rsidRPr="00052608">
              <w:rPr>
                <w:rStyle w:val="Hyperlink"/>
                <w:rFonts w:eastAsiaTheme="majorEastAsia"/>
                <w:noProof/>
              </w:rPr>
              <w:t>1.4 Research Rationale and Significance</w:t>
            </w:r>
            <w:r w:rsidR="00202B73">
              <w:rPr>
                <w:noProof/>
                <w:webHidden/>
              </w:rPr>
              <w:tab/>
            </w:r>
            <w:r w:rsidR="00202B73">
              <w:rPr>
                <w:noProof/>
                <w:webHidden/>
              </w:rPr>
              <w:fldChar w:fldCharType="begin"/>
            </w:r>
            <w:r w:rsidR="00202B73">
              <w:rPr>
                <w:noProof/>
                <w:webHidden/>
              </w:rPr>
              <w:instrText xml:space="preserve"> PAGEREF _Toc240921639 \h </w:instrText>
            </w:r>
            <w:r w:rsidR="00202B73">
              <w:rPr>
                <w:noProof/>
                <w:webHidden/>
              </w:rPr>
            </w:r>
            <w:r w:rsidR="00202B73">
              <w:rPr>
                <w:noProof/>
                <w:webHidden/>
              </w:rPr>
              <w:fldChar w:fldCharType="separate"/>
            </w:r>
            <w:r w:rsidR="00202B73">
              <w:rPr>
                <w:noProof/>
                <w:webHidden/>
              </w:rPr>
              <w:t>13</w:t>
            </w:r>
            <w:r w:rsidR="00202B73">
              <w:rPr>
                <w:noProof/>
                <w:webHidden/>
              </w:rPr>
              <w:fldChar w:fldCharType="end"/>
            </w:r>
          </w:hyperlink>
        </w:p>
        <w:p w14:paraId="409E8E02" w14:textId="713B36AE"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40" w:history="1">
            <w:r w:rsidR="00202B73" w:rsidRPr="00052608">
              <w:rPr>
                <w:rStyle w:val="Hyperlink"/>
                <w:rFonts w:eastAsiaTheme="majorEastAsia"/>
                <w:noProof/>
              </w:rPr>
              <w:t>1.5 Research Question</w:t>
            </w:r>
            <w:r w:rsidR="00202B73">
              <w:rPr>
                <w:noProof/>
                <w:webHidden/>
              </w:rPr>
              <w:tab/>
            </w:r>
            <w:r w:rsidR="00202B73">
              <w:rPr>
                <w:noProof/>
                <w:webHidden/>
              </w:rPr>
              <w:fldChar w:fldCharType="begin"/>
            </w:r>
            <w:r w:rsidR="00202B73">
              <w:rPr>
                <w:noProof/>
                <w:webHidden/>
              </w:rPr>
              <w:instrText xml:space="preserve"> PAGEREF _Toc240921640 \h </w:instrText>
            </w:r>
            <w:r w:rsidR="00202B73">
              <w:rPr>
                <w:noProof/>
                <w:webHidden/>
              </w:rPr>
            </w:r>
            <w:r w:rsidR="00202B73">
              <w:rPr>
                <w:noProof/>
                <w:webHidden/>
              </w:rPr>
              <w:fldChar w:fldCharType="separate"/>
            </w:r>
            <w:r w:rsidR="00202B73">
              <w:rPr>
                <w:noProof/>
                <w:webHidden/>
              </w:rPr>
              <w:t>13</w:t>
            </w:r>
            <w:r w:rsidR="00202B73">
              <w:rPr>
                <w:noProof/>
                <w:webHidden/>
              </w:rPr>
              <w:fldChar w:fldCharType="end"/>
            </w:r>
          </w:hyperlink>
        </w:p>
        <w:p w14:paraId="1DBAADBB" w14:textId="608159C0"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41" w:history="1">
            <w:r w:rsidR="00202B73" w:rsidRPr="00052608">
              <w:rPr>
                <w:rStyle w:val="Hyperlink"/>
                <w:rFonts w:eastAsiaTheme="majorEastAsia"/>
                <w:noProof/>
              </w:rPr>
              <w:t>1.6 Research Aim</w:t>
            </w:r>
            <w:r w:rsidR="00202B73">
              <w:rPr>
                <w:noProof/>
                <w:webHidden/>
              </w:rPr>
              <w:tab/>
            </w:r>
            <w:r w:rsidR="00202B73">
              <w:rPr>
                <w:noProof/>
                <w:webHidden/>
              </w:rPr>
              <w:fldChar w:fldCharType="begin"/>
            </w:r>
            <w:r w:rsidR="00202B73">
              <w:rPr>
                <w:noProof/>
                <w:webHidden/>
              </w:rPr>
              <w:instrText xml:space="preserve"> PAGEREF _Toc240921641 \h </w:instrText>
            </w:r>
            <w:r w:rsidR="00202B73">
              <w:rPr>
                <w:noProof/>
                <w:webHidden/>
              </w:rPr>
            </w:r>
            <w:r w:rsidR="00202B73">
              <w:rPr>
                <w:noProof/>
                <w:webHidden/>
              </w:rPr>
              <w:fldChar w:fldCharType="separate"/>
            </w:r>
            <w:r w:rsidR="00202B73">
              <w:rPr>
                <w:noProof/>
                <w:webHidden/>
              </w:rPr>
              <w:t>13</w:t>
            </w:r>
            <w:r w:rsidR="00202B73">
              <w:rPr>
                <w:noProof/>
                <w:webHidden/>
              </w:rPr>
              <w:fldChar w:fldCharType="end"/>
            </w:r>
          </w:hyperlink>
        </w:p>
        <w:p w14:paraId="1DA7B1F5" w14:textId="74841009"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42" w:history="1">
            <w:r w:rsidR="00202B73" w:rsidRPr="00052608">
              <w:rPr>
                <w:rStyle w:val="Hyperlink"/>
                <w:rFonts w:eastAsiaTheme="majorEastAsia"/>
                <w:noProof/>
              </w:rPr>
              <w:t>1.7 Research Objectives</w:t>
            </w:r>
            <w:r w:rsidR="00202B73">
              <w:rPr>
                <w:noProof/>
                <w:webHidden/>
              </w:rPr>
              <w:tab/>
            </w:r>
            <w:r w:rsidR="00202B73">
              <w:rPr>
                <w:noProof/>
                <w:webHidden/>
              </w:rPr>
              <w:fldChar w:fldCharType="begin"/>
            </w:r>
            <w:r w:rsidR="00202B73">
              <w:rPr>
                <w:noProof/>
                <w:webHidden/>
              </w:rPr>
              <w:instrText xml:space="preserve"> PAGEREF _Toc240921642 \h </w:instrText>
            </w:r>
            <w:r w:rsidR="00202B73">
              <w:rPr>
                <w:noProof/>
                <w:webHidden/>
              </w:rPr>
            </w:r>
            <w:r w:rsidR="00202B73">
              <w:rPr>
                <w:noProof/>
                <w:webHidden/>
              </w:rPr>
              <w:fldChar w:fldCharType="separate"/>
            </w:r>
            <w:r w:rsidR="00202B73">
              <w:rPr>
                <w:noProof/>
                <w:webHidden/>
              </w:rPr>
              <w:t>14</w:t>
            </w:r>
            <w:r w:rsidR="00202B73">
              <w:rPr>
                <w:noProof/>
                <w:webHidden/>
              </w:rPr>
              <w:fldChar w:fldCharType="end"/>
            </w:r>
          </w:hyperlink>
        </w:p>
        <w:p w14:paraId="4562C15F" w14:textId="44BDB088"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43" w:history="1">
            <w:r w:rsidR="00202B73" w:rsidRPr="00052608">
              <w:rPr>
                <w:rStyle w:val="Hyperlink"/>
                <w:rFonts w:eastAsiaTheme="majorEastAsia"/>
                <w:noProof/>
              </w:rPr>
              <w:t>1.8 Dissertation Outline</w:t>
            </w:r>
            <w:r w:rsidR="00202B73">
              <w:rPr>
                <w:noProof/>
                <w:webHidden/>
              </w:rPr>
              <w:tab/>
            </w:r>
            <w:r w:rsidR="00202B73">
              <w:rPr>
                <w:noProof/>
                <w:webHidden/>
              </w:rPr>
              <w:fldChar w:fldCharType="begin"/>
            </w:r>
            <w:r w:rsidR="00202B73">
              <w:rPr>
                <w:noProof/>
                <w:webHidden/>
              </w:rPr>
              <w:instrText xml:space="preserve"> PAGEREF _Toc240921643 \h </w:instrText>
            </w:r>
            <w:r w:rsidR="00202B73">
              <w:rPr>
                <w:noProof/>
                <w:webHidden/>
              </w:rPr>
            </w:r>
            <w:r w:rsidR="00202B73">
              <w:rPr>
                <w:noProof/>
                <w:webHidden/>
              </w:rPr>
              <w:fldChar w:fldCharType="separate"/>
            </w:r>
            <w:r w:rsidR="00202B73">
              <w:rPr>
                <w:noProof/>
                <w:webHidden/>
              </w:rPr>
              <w:t>14</w:t>
            </w:r>
            <w:r w:rsidR="00202B73">
              <w:rPr>
                <w:noProof/>
                <w:webHidden/>
              </w:rPr>
              <w:fldChar w:fldCharType="end"/>
            </w:r>
          </w:hyperlink>
        </w:p>
        <w:p w14:paraId="78A12A48" w14:textId="440F0DB4"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44" w:history="1">
            <w:r w:rsidR="00202B73" w:rsidRPr="00052608">
              <w:rPr>
                <w:rStyle w:val="Hyperlink"/>
                <w:rFonts w:eastAsiaTheme="majorEastAsia"/>
                <w:noProof/>
              </w:rPr>
              <w:t>1.9 Chapter Summary</w:t>
            </w:r>
            <w:r w:rsidR="00202B73">
              <w:rPr>
                <w:noProof/>
                <w:webHidden/>
              </w:rPr>
              <w:tab/>
            </w:r>
            <w:r w:rsidR="00202B73">
              <w:rPr>
                <w:noProof/>
                <w:webHidden/>
              </w:rPr>
              <w:fldChar w:fldCharType="begin"/>
            </w:r>
            <w:r w:rsidR="00202B73">
              <w:rPr>
                <w:noProof/>
                <w:webHidden/>
              </w:rPr>
              <w:instrText xml:space="preserve"> PAGEREF _Toc240921644 \h </w:instrText>
            </w:r>
            <w:r w:rsidR="00202B73">
              <w:rPr>
                <w:noProof/>
                <w:webHidden/>
              </w:rPr>
            </w:r>
            <w:r w:rsidR="00202B73">
              <w:rPr>
                <w:noProof/>
                <w:webHidden/>
              </w:rPr>
              <w:fldChar w:fldCharType="separate"/>
            </w:r>
            <w:r w:rsidR="00202B73">
              <w:rPr>
                <w:noProof/>
                <w:webHidden/>
              </w:rPr>
              <w:t>14</w:t>
            </w:r>
            <w:r w:rsidR="00202B73">
              <w:rPr>
                <w:noProof/>
                <w:webHidden/>
              </w:rPr>
              <w:fldChar w:fldCharType="end"/>
            </w:r>
          </w:hyperlink>
        </w:p>
        <w:p w14:paraId="59E00504" w14:textId="4F4DA009" w:rsidR="00202B73" w:rsidRDefault="00807A36">
          <w:pPr>
            <w:pStyle w:val="TOC1"/>
            <w:tabs>
              <w:tab w:val="right" w:leader="dot" w:pos="9226"/>
            </w:tabs>
            <w:rPr>
              <w:rFonts w:asciiTheme="minorHAnsi" w:eastAsiaTheme="minorEastAsia" w:hAnsiTheme="minorHAnsi" w:cstheme="minorBidi"/>
              <w:noProof/>
              <w:kern w:val="2"/>
              <w:sz w:val="24"/>
              <w:szCs w:val="24"/>
              <w14:ligatures w14:val="standardContextual"/>
            </w:rPr>
          </w:pPr>
          <w:hyperlink w:anchor="_Toc240921645" w:history="1">
            <w:r w:rsidR="00202B73" w:rsidRPr="00052608">
              <w:rPr>
                <w:rStyle w:val="Hyperlink"/>
                <w:rFonts w:eastAsiaTheme="majorEastAsia"/>
                <w:noProof/>
              </w:rPr>
              <w:t>Chapter 2: Literature Review and Theoretical Framework</w:t>
            </w:r>
            <w:r w:rsidR="00202B73">
              <w:rPr>
                <w:noProof/>
                <w:webHidden/>
              </w:rPr>
              <w:tab/>
            </w:r>
            <w:r w:rsidR="00202B73">
              <w:rPr>
                <w:noProof/>
                <w:webHidden/>
              </w:rPr>
              <w:fldChar w:fldCharType="begin"/>
            </w:r>
            <w:r w:rsidR="00202B73">
              <w:rPr>
                <w:noProof/>
                <w:webHidden/>
              </w:rPr>
              <w:instrText xml:space="preserve"> PAGEREF _Toc240921645 \h </w:instrText>
            </w:r>
            <w:r w:rsidR="00202B73">
              <w:rPr>
                <w:noProof/>
                <w:webHidden/>
              </w:rPr>
            </w:r>
            <w:r w:rsidR="00202B73">
              <w:rPr>
                <w:noProof/>
                <w:webHidden/>
              </w:rPr>
              <w:fldChar w:fldCharType="separate"/>
            </w:r>
            <w:r w:rsidR="00202B73">
              <w:rPr>
                <w:noProof/>
                <w:webHidden/>
              </w:rPr>
              <w:t>15</w:t>
            </w:r>
            <w:r w:rsidR="00202B73">
              <w:rPr>
                <w:noProof/>
                <w:webHidden/>
              </w:rPr>
              <w:fldChar w:fldCharType="end"/>
            </w:r>
          </w:hyperlink>
        </w:p>
        <w:p w14:paraId="022D43D9" w14:textId="6EC3DDF2"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46" w:history="1">
            <w:r w:rsidR="00202B73" w:rsidRPr="00052608">
              <w:rPr>
                <w:rStyle w:val="Hyperlink"/>
                <w:rFonts w:eastAsiaTheme="majorEastAsia"/>
                <w:noProof/>
              </w:rPr>
              <w:t>2.1 Introduction</w:t>
            </w:r>
            <w:r w:rsidR="00202B73">
              <w:rPr>
                <w:noProof/>
                <w:webHidden/>
              </w:rPr>
              <w:tab/>
            </w:r>
            <w:r w:rsidR="00202B73">
              <w:rPr>
                <w:noProof/>
                <w:webHidden/>
              </w:rPr>
              <w:fldChar w:fldCharType="begin"/>
            </w:r>
            <w:r w:rsidR="00202B73">
              <w:rPr>
                <w:noProof/>
                <w:webHidden/>
              </w:rPr>
              <w:instrText xml:space="preserve"> PAGEREF _Toc240921646 \h </w:instrText>
            </w:r>
            <w:r w:rsidR="00202B73">
              <w:rPr>
                <w:noProof/>
                <w:webHidden/>
              </w:rPr>
            </w:r>
            <w:r w:rsidR="00202B73">
              <w:rPr>
                <w:noProof/>
                <w:webHidden/>
              </w:rPr>
              <w:fldChar w:fldCharType="separate"/>
            </w:r>
            <w:r w:rsidR="00202B73">
              <w:rPr>
                <w:noProof/>
                <w:webHidden/>
              </w:rPr>
              <w:t>15</w:t>
            </w:r>
            <w:r w:rsidR="00202B73">
              <w:rPr>
                <w:noProof/>
                <w:webHidden/>
              </w:rPr>
              <w:fldChar w:fldCharType="end"/>
            </w:r>
          </w:hyperlink>
        </w:p>
        <w:p w14:paraId="1D9083B2" w14:textId="216068B0"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47" w:history="1">
            <w:r w:rsidR="00202B73" w:rsidRPr="00052608">
              <w:rPr>
                <w:rStyle w:val="Hyperlink"/>
                <w:rFonts w:eastAsiaTheme="majorEastAsia"/>
                <w:noProof/>
              </w:rPr>
              <w:t>2.2 Scoping Literature Search Strategy</w:t>
            </w:r>
            <w:r w:rsidR="00202B73">
              <w:rPr>
                <w:noProof/>
                <w:webHidden/>
              </w:rPr>
              <w:tab/>
            </w:r>
            <w:r w:rsidR="00202B73">
              <w:rPr>
                <w:noProof/>
                <w:webHidden/>
              </w:rPr>
              <w:fldChar w:fldCharType="begin"/>
            </w:r>
            <w:r w:rsidR="00202B73">
              <w:rPr>
                <w:noProof/>
                <w:webHidden/>
              </w:rPr>
              <w:instrText xml:space="preserve"> PAGEREF _Toc240921647 \h </w:instrText>
            </w:r>
            <w:r w:rsidR="00202B73">
              <w:rPr>
                <w:noProof/>
                <w:webHidden/>
              </w:rPr>
            </w:r>
            <w:r w:rsidR="00202B73">
              <w:rPr>
                <w:noProof/>
                <w:webHidden/>
              </w:rPr>
              <w:fldChar w:fldCharType="separate"/>
            </w:r>
            <w:r w:rsidR="00202B73">
              <w:rPr>
                <w:noProof/>
                <w:webHidden/>
              </w:rPr>
              <w:t>15</w:t>
            </w:r>
            <w:r w:rsidR="00202B73">
              <w:rPr>
                <w:noProof/>
                <w:webHidden/>
              </w:rPr>
              <w:fldChar w:fldCharType="end"/>
            </w:r>
          </w:hyperlink>
        </w:p>
        <w:p w14:paraId="4C190F6B" w14:textId="0D34A67A"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48" w:history="1">
            <w:r w:rsidR="00202B73" w:rsidRPr="00052608">
              <w:rPr>
                <w:rStyle w:val="Hyperlink"/>
                <w:rFonts w:eastAsiaTheme="majorEastAsia"/>
                <w:noProof/>
              </w:rPr>
              <w:t>2.3 Literature Review</w:t>
            </w:r>
            <w:r w:rsidR="00202B73">
              <w:rPr>
                <w:noProof/>
                <w:webHidden/>
              </w:rPr>
              <w:tab/>
            </w:r>
            <w:r w:rsidR="00202B73">
              <w:rPr>
                <w:noProof/>
                <w:webHidden/>
              </w:rPr>
              <w:fldChar w:fldCharType="begin"/>
            </w:r>
            <w:r w:rsidR="00202B73">
              <w:rPr>
                <w:noProof/>
                <w:webHidden/>
              </w:rPr>
              <w:instrText xml:space="preserve"> PAGEREF _Toc240921648 \h </w:instrText>
            </w:r>
            <w:r w:rsidR="00202B73">
              <w:rPr>
                <w:noProof/>
                <w:webHidden/>
              </w:rPr>
            </w:r>
            <w:r w:rsidR="00202B73">
              <w:rPr>
                <w:noProof/>
                <w:webHidden/>
              </w:rPr>
              <w:fldChar w:fldCharType="separate"/>
            </w:r>
            <w:r w:rsidR="00202B73">
              <w:rPr>
                <w:noProof/>
                <w:webHidden/>
              </w:rPr>
              <w:t>16</w:t>
            </w:r>
            <w:r w:rsidR="00202B73">
              <w:rPr>
                <w:noProof/>
                <w:webHidden/>
              </w:rPr>
              <w:fldChar w:fldCharType="end"/>
            </w:r>
          </w:hyperlink>
        </w:p>
        <w:p w14:paraId="78715ED9" w14:textId="2B927BCC" w:rsidR="00202B73" w:rsidRDefault="00807A36">
          <w:pPr>
            <w:pStyle w:val="TOC3"/>
            <w:tabs>
              <w:tab w:val="right" w:leader="dot" w:pos="9226"/>
            </w:tabs>
            <w:rPr>
              <w:rFonts w:asciiTheme="minorHAnsi" w:eastAsiaTheme="minorEastAsia" w:hAnsiTheme="minorHAnsi" w:cstheme="minorBidi"/>
              <w:noProof/>
              <w:kern w:val="2"/>
              <w:sz w:val="24"/>
              <w:szCs w:val="24"/>
              <w14:ligatures w14:val="standardContextual"/>
            </w:rPr>
          </w:pPr>
          <w:hyperlink w:anchor="_Toc240921649" w:history="1">
            <w:r w:rsidR="00202B73" w:rsidRPr="00052608">
              <w:rPr>
                <w:rStyle w:val="Hyperlink"/>
                <w:rFonts w:eastAsiaTheme="majorEastAsia"/>
                <w:noProof/>
              </w:rPr>
              <w:t>2.3.1 Diagnostic Uncertainty and Diagnostic-Support Strategies</w:t>
            </w:r>
            <w:r w:rsidR="00202B73">
              <w:rPr>
                <w:noProof/>
                <w:webHidden/>
              </w:rPr>
              <w:tab/>
            </w:r>
            <w:r w:rsidR="00202B73">
              <w:rPr>
                <w:noProof/>
                <w:webHidden/>
              </w:rPr>
              <w:fldChar w:fldCharType="begin"/>
            </w:r>
            <w:r w:rsidR="00202B73">
              <w:rPr>
                <w:noProof/>
                <w:webHidden/>
              </w:rPr>
              <w:instrText xml:space="preserve"> PAGEREF _Toc240921649 \h </w:instrText>
            </w:r>
            <w:r w:rsidR="00202B73">
              <w:rPr>
                <w:noProof/>
                <w:webHidden/>
              </w:rPr>
            </w:r>
            <w:r w:rsidR="00202B73">
              <w:rPr>
                <w:noProof/>
                <w:webHidden/>
              </w:rPr>
              <w:fldChar w:fldCharType="separate"/>
            </w:r>
            <w:r w:rsidR="00202B73">
              <w:rPr>
                <w:noProof/>
                <w:webHidden/>
              </w:rPr>
              <w:t>16</w:t>
            </w:r>
            <w:r w:rsidR="00202B73">
              <w:rPr>
                <w:noProof/>
                <w:webHidden/>
              </w:rPr>
              <w:fldChar w:fldCharType="end"/>
            </w:r>
          </w:hyperlink>
        </w:p>
        <w:p w14:paraId="3050A903" w14:textId="733CE85C" w:rsidR="00202B73" w:rsidRDefault="00807A36">
          <w:pPr>
            <w:pStyle w:val="TOC3"/>
            <w:tabs>
              <w:tab w:val="right" w:leader="dot" w:pos="9226"/>
            </w:tabs>
            <w:rPr>
              <w:rFonts w:asciiTheme="minorHAnsi" w:eastAsiaTheme="minorEastAsia" w:hAnsiTheme="minorHAnsi" w:cstheme="minorBidi"/>
              <w:noProof/>
              <w:kern w:val="2"/>
              <w:sz w:val="24"/>
              <w:szCs w:val="24"/>
              <w14:ligatures w14:val="standardContextual"/>
            </w:rPr>
          </w:pPr>
          <w:hyperlink w:anchor="_Toc240921650" w:history="1">
            <w:r w:rsidR="00202B73" w:rsidRPr="00052608">
              <w:rPr>
                <w:rStyle w:val="Hyperlink"/>
                <w:rFonts w:eastAsiaTheme="majorEastAsia"/>
                <w:noProof/>
              </w:rPr>
              <w:t>2.3.2 Management Approaches, Patient Outcomes and Antibiotic Use</w:t>
            </w:r>
            <w:r w:rsidR="00202B73">
              <w:rPr>
                <w:noProof/>
                <w:webHidden/>
              </w:rPr>
              <w:tab/>
            </w:r>
            <w:r w:rsidR="00202B73">
              <w:rPr>
                <w:noProof/>
                <w:webHidden/>
              </w:rPr>
              <w:fldChar w:fldCharType="begin"/>
            </w:r>
            <w:r w:rsidR="00202B73">
              <w:rPr>
                <w:noProof/>
                <w:webHidden/>
              </w:rPr>
              <w:instrText xml:space="preserve"> PAGEREF _Toc240921650 \h </w:instrText>
            </w:r>
            <w:r w:rsidR="00202B73">
              <w:rPr>
                <w:noProof/>
                <w:webHidden/>
              </w:rPr>
            </w:r>
            <w:r w:rsidR="00202B73">
              <w:rPr>
                <w:noProof/>
                <w:webHidden/>
              </w:rPr>
              <w:fldChar w:fldCharType="separate"/>
            </w:r>
            <w:r w:rsidR="00202B73">
              <w:rPr>
                <w:noProof/>
                <w:webHidden/>
              </w:rPr>
              <w:t>19</w:t>
            </w:r>
            <w:r w:rsidR="00202B73">
              <w:rPr>
                <w:noProof/>
                <w:webHidden/>
              </w:rPr>
              <w:fldChar w:fldCharType="end"/>
            </w:r>
          </w:hyperlink>
        </w:p>
        <w:p w14:paraId="2170AD6F" w14:textId="3060D0D5" w:rsidR="00202B73" w:rsidRDefault="00807A36">
          <w:pPr>
            <w:pStyle w:val="TOC3"/>
            <w:tabs>
              <w:tab w:val="right" w:leader="dot" w:pos="9226"/>
            </w:tabs>
            <w:rPr>
              <w:rFonts w:asciiTheme="minorHAnsi" w:eastAsiaTheme="minorEastAsia" w:hAnsiTheme="minorHAnsi" w:cstheme="minorBidi"/>
              <w:noProof/>
              <w:kern w:val="2"/>
              <w:sz w:val="24"/>
              <w:szCs w:val="24"/>
              <w14:ligatures w14:val="standardContextual"/>
            </w:rPr>
          </w:pPr>
          <w:hyperlink w:anchor="_Toc240921651" w:history="1">
            <w:r w:rsidR="00202B73" w:rsidRPr="00052608">
              <w:rPr>
                <w:rStyle w:val="Hyperlink"/>
                <w:rFonts w:eastAsiaTheme="majorEastAsia"/>
                <w:noProof/>
              </w:rPr>
              <w:t>2.3.3 UK Policy, Service Delivery and Implementation</w:t>
            </w:r>
            <w:r w:rsidR="00202B73">
              <w:rPr>
                <w:noProof/>
                <w:webHidden/>
              </w:rPr>
              <w:tab/>
            </w:r>
            <w:r w:rsidR="00202B73">
              <w:rPr>
                <w:noProof/>
                <w:webHidden/>
              </w:rPr>
              <w:fldChar w:fldCharType="begin"/>
            </w:r>
            <w:r w:rsidR="00202B73">
              <w:rPr>
                <w:noProof/>
                <w:webHidden/>
              </w:rPr>
              <w:instrText xml:space="preserve"> PAGEREF _Toc240921651 \h </w:instrText>
            </w:r>
            <w:r w:rsidR="00202B73">
              <w:rPr>
                <w:noProof/>
                <w:webHidden/>
              </w:rPr>
            </w:r>
            <w:r w:rsidR="00202B73">
              <w:rPr>
                <w:noProof/>
                <w:webHidden/>
              </w:rPr>
              <w:fldChar w:fldCharType="separate"/>
            </w:r>
            <w:r w:rsidR="00202B73">
              <w:rPr>
                <w:noProof/>
                <w:webHidden/>
              </w:rPr>
              <w:t>21</w:t>
            </w:r>
            <w:r w:rsidR="00202B73">
              <w:rPr>
                <w:noProof/>
                <w:webHidden/>
              </w:rPr>
              <w:fldChar w:fldCharType="end"/>
            </w:r>
          </w:hyperlink>
        </w:p>
        <w:p w14:paraId="7ABA50E4" w14:textId="3A890A74"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52" w:history="1">
            <w:r w:rsidR="00202B73" w:rsidRPr="00052608">
              <w:rPr>
                <w:rStyle w:val="Hyperlink"/>
                <w:rFonts w:eastAsiaTheme="majorEastAsia"/>
                <w:noProof/>
              </w:rPr>
              <w:t>2.4 Gaps in the Literature</w:t>
            </w:r>
            <w:r w:rsidR="00202B73">
              <w:rPr>
                <w:noProof/>
                <w:webHidden/>
              </w:rPr>
              <w:tab/>
            </w:r>
            <w:r w:rsidR="00202B73">
              <w:rPr>
                <w:noProof/>
                <w:webHidden/>
              </w:rPr>
              <w:fldChar w:fldCharType="begin"/>
            </w:r>
            <w:r w:rsidR="00202B73">
              <w:rPr>
                <w:noProof/>
                <w:webHidden/>
              </w:rPr>
              <w:instrText xml:space="preserve"> PAGEREF _Toc240921652 \h </w:instrText>
            </w:r>
            <w:r w:rsidR="00202B73">
              <w:rPr>
                <w:noProof/>
                <w:webHidden/>
              </w:rPr>
            </w:r>
            <w:r w:rsidR="00202B73">
              <w:rPr>
                <w:noProof/>
                <w:webHidden/>
              </w:rPr>
              <w:fldChar w:fldCharType="separate"/>
            </w:r>
            <w:r w:rsidR="00202B73">
              <w:rPr>
                <w:noProof/>
                <w:webHidden/>
              </w:rPr>
              <w:t>23</w:t>
            </w:r>
            <w:r w:rsidR="00202B73">
              <w:rPr>
                <w:noProof/>
                <w:webHidden/>
              </w:rPr>
              <w:fldChar w:fldCharType="end"/>
            </w:r>
          </w:hyperlink>
        </w:p>
        <w:p w14:paraId="58BE254D" w14:textId="3A2D5805"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53" w:history="1">
            <w:r w:rsidR="00202B73" w:rsidRPr="00052608">
              <w:rPr>
                <w:rStyle w:val="Hyperlink"/>
                <w:rFonts w:eastAsiaTheme="majorEastAsia"/>
                <w:noProof/>
              </w:rPr>
              <w:t>2.5 Theoretical Framework</w:t>
            </w:r>
            <w:r w:rsidR="00202B73">
              <w:rPr>
                <w:noProof/>
                <w:webHidden/>
              </w:rPr>
              <w:tab/>
            </w:r>
            <w:r w:rsidR="00202B73">
              <w:rPr>
                <w:noProof/>
                <w:webHidden/>
              </w:rPr>
              <w:fldChar w:fldCharType="begin"/>
            </w:r>
            <w:r w:rsidR="00202B73">
              <w:rPr>
                <w:noProof/>
                <w:webHidden/>
              </w:rPr>
              <w:instrText xml:space="preserve"> PAGEREF _Toc240921653 \h </w:instrText>
            </w:r>
            <w:r w:rsidR="00202B73">
              <w:rPr>
                <w:noProof/>
                <w:webHidden/>
              </w:rPr>
            </w:r>
            <w:r w:rsidR="00202B73">
              <w:rPr>
                <w:noProof/>
                <w:webHidden/>
              </w:rPr>
              <w:fldChar w:fldCharType="separate"/>
            </w:r>
            <w:r w:rsidR="00202B73">
              <w:rPr>
                <w:noProof/>
                <w:webHidden/>
              </w:rPr>
              <w:t>24</w:t>
            </w:r>
            <w:r w:rsidR="00202B73">
              <w:rPr>
                <w:noProof/>
                <w:webHidden/>
              </w:rPr>
              <w:fldChar w:fldCharType="end"/>
            </w:r>
          </w:hyperlink>
        </w:p>
        <w:p w14:paraId="11A9D929" w14:textId="5AC95F21"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54" w:history="1">
            <w:r w:rsidR="00202B73" w:rsidRPr="00052608">
              <w:rPr>
                <w:rStyle w:val="Hyperlink"/>
                <w:rFonts w:eastAsiaTheme="majorEastAsia"/>
                <w:noProof/>
              </w:rPr>
              <w:t>2.6 Chapter Summary</w:t>
            </w:r>
            <w:r w:rsidR="00202B73">
              <w:rPr>
                <w:noProof/>
                <w:webHidden/>
              </w:rPr>
              <w:tab/>
            </w:r>
            <w:r w:rsidR="00202B73">
              <w:rPr>
                <w:noProof/>
                <w:webHidden/>
              </w:rPr>
              <w:fldChar w:fldCharType="begin"/>
            </w:r>
            <w:r w:rsidR="00202B73">
              <w:rPr>
                <w:noProof/>
                <w:webHidden/>
              </w:rPr>
              <w:instrText xml:space="preserve"> PAGEREF _Toc240921654 \h </w:instrText>
            </w:r>
            <w:r w:rsidR="00202B73">
              <w:rPr>
                <w:noProof/>
                <w:webHidden/>
              </w:rPr>
            </w:r>
            <w:r w:rsidR="00202B73">
              <w:rPr>
                <w:noProof/>
                <w:webHidden/>
              </w:rPr>
              <w:fldChar w:fldCharType="separate"/>
            </w:r>
            <w:r w:rsidR="00202B73">
              <w:rPr>
                <w:noProof/>
                <w:webHidden/>
              </w:rPr>
              <w:t>25</w:t>
            </w:r>
            <w:r w:rsidR="00202B73">
              <w:rPr>
                <w:noProof/>
                <w:webHidden/>
              </w:rPr>
              <w:fldChar w:fldCharType="end"/>
            </w:r>
          </w:hyperlink>
        </w:p>
        <w:p w14:paraId="3BFCB9BC" w14:textId="216F3313" w:rsidR="00202B73" w:rsidRDefault="00807A36">
          <w:pPr>
            <w:pStyle w:val="TOC1"/>
            <w:tabs>
              <w:tab w:val="right" w:leader="dot" w:pos="9226"/>
            </w:tabs>
            <w:rPr>
              <w:rFonts w:asciiTheme="minorHAnsi" w:eastAsiaTheme="minorEastAsia" w:hAnsiTheme="minorHAnsi" w:cstheme="minorBidi"/>
              <w:noProof/>
              <w:kern w:val="2"/>
              <w:sz w:val="24"/>
              <w:szCs w:val="24"/>
              <w14:ligatures w14:val="standardContextual"/>
            </w:rPr>
          </w:pPr>
          <w:hyperlink w:anchor="_Toc240921655" w:history="1">
            <w:r w:rsidR="00202B73" w:rsidRPr="00052608">
              <w:rPr>
                <w:rStyle w:val="Hyperlink"/>
                <w:rFonts w:eastAsiaTheme="majorEastAsia"/>
                <w:noProof/>
              </w:rPr>
              <w:t>Chapter 3: Methodology</w:t>
            </w:r>
            <w:r w:rsidR="00202B73">
              <w:rPr>
                <w:noProof/>
                <w:webHidden/>
              </w:rPr>
              <w:tab/>
            </w:r>
            <w:r w:rsidR="00202B73">
              <w:rPr>
                <w:noProof/>
                <w:webHidden/>
              </w:rPr>
              <w:fldChar w:fldCharType="begin"/>
            </w:r>
            <w:r w:rsidR="00202B73">
              <w:rPr>
                <w:noProof/>
                <w:webHidden/>
              </w:rPr>
              <w:instrText xml:space="preserve"> PAGEREF _Toc240921655 \h </w:instrText>
            </w:r>
            <w:r w:rsidR="00202B73">
              <w:rPr>
                <w:noProof/>
                <w:webHidden/>
              </w:rPr>
            </w:r>
            <w:r w:rsidR="00202B73">
              <w:rPr>
                <w:noProof/>
                <w:webHidden/>
              </w:rPr>
              <w:fldChar w:fldCharType="separate"/>
            </w:r>
            <w:r w:rsidR="00202B73">
              <w:rPr>
                <w:noProof/>
                <w:webHidden/>
              </w:rPr>
              <w:t>26</w:t>
            </w:r>
            <w:r w:rsidR="00202B73">
              <w:rPr>
                <w:noProof/>
                <w:webHidden/>
              </w:rPr>
              <w:fldChar w:fldCharType="end"/>
            </w:r>
          </w:hyperlink>
        </w:p>
        <w:p w14:paraId="696E31D8" w14:textId="0EF6B832"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56" w:history="1">
            <w:r w:rsidR="00202B73" w:rsidRPr="00052608">
              <w:rPr>
                <w:rStyle w:val="Hyperlink"/>
                <w:rFonts w:eastAsiaTheme="majorEastAsia"/>
                <w:noProof/>
              </w:rPr>
              <w:t>3.1 Introduction</w:t>
            </w:r>
            <w:r w:rsidR="00202B73">
              <w:rPr>
                <w:noProof/>
                <w:webHidden/>
              </w:rPr>
              <w:tab/>
            </w:r>
            <w:r w:rsidR="00202B73">
              <w:rPr>
                <w:noProof/>
                <w:webHidden/>
              </w:rPr>
              <w:fldChar w:fldCharType="begin"/>
            </w:r>
            <w:r w:rsidR="00202B73">
              <w:rPr>
                <w:noProof/>
                <w:webHidden/>
              </w:rPr>
              <w:instrText xml:space="preserve"> PAGEREF _Toc240921656 \h </w:instrText>
            </w:r>
            <w:r w:rsidR="00202B73">
              <w:rPr>
                <w:noProof/>
                <w:webHidden/>
              </w:rPr>
            </w:r>
            <w:r w:rsidR="00202B73">
              <w:rPr>
                <w:noProof/>
                <w:webHidden/>
              </w:rPr>
              <w:fldChar w:fldCharType="separate"/>
            </w:r>
            <w:r w:rsidR="00202B73">
              <w:rPr>
                <w:noProof/>
                <w:webHidden/>
              </w:rPr>
              <w:t>26</w:t>
            </w:r>
            <w:r w:rsidR="00202B73">
              <w:rPr>
                <w:noProof/>
                <w:webHidden/>
              </w:rPr>
              <w:fldChar w:fldCharType="end"/>
            </w:r>
          </w:hyperlink>
        </w:p>
        <w:p w14:paraId="437B0F6C" w14:textId="7ED1A94C"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57" w:history="1">
            <w:r w:rsidR="00202B73" w:rsidRPr="00052608">
              <w:rPr>
                <w:rStyle w:val="Hyperlink"/>
                <w:rFonts w:eastAsiaTheme="majorEastAsia"/>
                <w:noProof/>
              </w:rPr>
              <w:t>3.2 Study Design</w:t>
            </w:r>
            <w:r w:rsidR="00202B73">
              <w:rPr>
                <w:noProof/>
                <w:webHidden/>
              </w:rPr>
              <w:tab/>
            </w:r>
            <w:r w:rsidR="00202B73">
              <w:rPr>
                <w:noProof/>
                <w:webHidden/>
              </w:rPr>
              <w:fldChar w:fldCharType="begin"/>
            </w:r>
            <w:r w:rsidR="00202B73">
              <w:rPr>
                <w:noProof/>
                <w:webHidden/>
              </w:rPr>
              <w:instrText xml:space="preserve"> PAGEREF _Toc240921657 \h </w:instrText>
            </w:r>
            <w:r w:rsidR="00202B73">
              <w:rPr>
                <w:noProof/>
                <w:webHidden/>
              </w:rPr>
            </w:r>
            <w:r w:rsidR="00202B73">
              <w:rPr>
                <w:noProof/>
                <w:webHidden/>
              </w:rPr>
              <w:fldChar w:fldCharType="separate"/>
            </w:r>
            <w:r w:rsidR="00202B73">
              <w:rPr>
                <w:noProof/>
                <w:webHidden/>
              </w:rPr>
              <w:t>26</w:t>
            </w:r>
            <w:r w:rsidR="00202B73">
              <w:rPr>
                <w:noProof/>
                <w:webHidden/>
              </w:rPr>
              <w:fldChar w:fldCharType="end"/>
            </w:r>
          </w:hyperlink>
        </w:p>
        <w:p w14:paraId="630B87E9" w14:textId="2953F429"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58" w:history="1">
            <w:r w:rsidR="00202B73" w:rsidRPr="00052608">
              <w:rPr>
                <w:rStyle w:val="Hyperlink"/>
                <w:rFonts w:eastAsiaTheme="majorEastAsia"/>
                <w:noProof/>
              </w:rPr>
              <w:t>3.3 Search Strategy</w:t>
            </w:r>
            <w:r w:rsidR="00202B73">
              <w:rPr>
                <w:noProof/>
                <w:webHidden/>
              </w:rPr>
              <w:tab/>
            </w:r>
            <w:r w:rsidR="00202B73">
              <w:rPr>
                <w:noProof/>
                <w:webHidden/>
              </w:rPr>
              <w:fldChar w:fldCharType="begin"/>
            </w:r>
            <w:r w:rsidR="00202B73">
              <w:rPr>
                <w:noProof/>
                <w:webHidden/>
              </w:rPr>
              <w:instrText xml:space="preserve"> PAGEREF _Toc240921658 \h </w:instrText>
            </w:r>
            <w:r w:rsidR="00202B73">
              <w:rPr>
                <w:noProof/>
                <w:webHidden/>
              </w:rPr>
            </w:r>
            <w:r w:rsidR="00202B73">
              <w:rPr>
                <w:noProof/>
                <w:webHidden/>
              </w:rPr>
              <w:fldChar w:fldCharType="separate"/>
            </w:r>
            <w:r w:rsidR="00202B73">
              <w:rPr>
                <w:noProof/>
                <w:webHidden/>
              </w:rPr>
              <w:t>27</w:t>
            </w:r>
            <w:r w:rsidR="00202B73">
              <w:rPr>
                <w:noProof/>
                <w:webHidden/>
              </w:rPr>
              <w:fldChar w:fldCharType="end"/>
            </w:r>
          </w:hyperlink>
        </w:p>
        <w:p w14:paraId="4C69E224" w14:textId="7AE366A2"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59" w:history="1">
            <w:r w:rsidR="00202B73" w:rsidRPr="00052608">
              <w:rPr>
                <w:rStyle w:val="Hyperlink"/>
                <w:rFonts w:eastAsiaTheme="majorEastAsia"/>
                <w:noProof/>
              </w:rPr>
              <w:t>3.4 Eligibility Criteria</w:t>
            </w:r>
            <w:r w:rsidR="00202B73">
              <w:rPr>
                <w:noProof/>
                <w:webHidden/>
              </w:rPr>
              <w:tab/>
            </w:r>
            <w:r w:rsidR="00202B73">
              <w:rPr>
                <w:noProof/>
                <w:webHidden/>
              </w:rPr>
              <w:fldChar w:fldCharType="begin"/>
            </w:r>
            <w:r w:rsidR="00202B73">
              <w:rPr>
                <w:noProof/>
                <w:webHidden/>
              </w:rPr>
              <w:instrText xml:space="preserve"> PAGEREF _Toc240921659 \h </w:instrText>
            </w:r>
            <w:r w:rsidR="00202B73">
              <w:rPr>
                <w:noProof/>
                <w:webHidden/>
              </w:rPr>
            </w:r>
            <w:r w:rsidR="00202B73">
              <w:rPr>
                <w:noProof/>
                <w:webHidden/>
              </w:rPr>
              <w:fldChar w:fldCharType="separate"/>
            </w:r>
            <w:r w:rsidR="00202B73">
              <w:rPr>
                <w:noProof/>
                <w:webHidden/>
              </w:rPr>
              <w:t>29</w:t>
            </w:r>
            <w:r w:rsidR="00202B73">
              <w:rPr>
                <w:noProof/>
                <w:webHidden/>
              </w:rPr>
              <w:fldChar w:fldCharType="end"/>
            </w:r>
          </w:hyperlink>
        </w:p>
        <w:p w14:paraId="15155985" w14:textId="05167E5A"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60" w:history="1">
            <w:r w:rsidR="00202B73" w:rsidRPr="00052608">
              <w:rPr>
                <w:rStyle w:val="Hyperlink"/>
                <w:rFonts w:eastAsiaTheme="majorEastAsia"/>
                <w:noProof/>
              </w:rPr>
              <w:t>3.5 Screening and Study Selection</w:t>
            </w:r>
            <w:r w:rsidR="00202B73">
              <w:rPr>
                <w:noProof/>
                <w:webHidden/>
              </w:rPr>
              <w:tab/>
            </w:r>
            <w:r w:rsidR="00202B73">
              <w:rPr>
                <w:noProof/>
                <w:webHidden/>
              </w:rPr>
              <w:fldChar w:fldCharType="begin"/>
            </w:r>
            <w:r w:rsidR="00202B73">
              <w:rPr>
                <w:noProof/>
                <w:webHidden/>
              </w:rPr>
              <w:instrText xml:space="preserve"> PAGEREF _Toc240921660 \h </w:instrText>
            </w:r>
            <w:r w:rsidR="00202B73">
              <w:rPr>
                <w:noProof/>
                <w:webHidden/>
              </w:rPr>
            </w:r>
            <w:r w:rsidR="00202B73">
              <w:rPr>
                <w:noProof/>
                <w:webHidden/>
              </w:rPr>
              <w:fldChar w:fldCharType="separate"/>
            </w:r>
            <w:r w:rsidR="00202B73">
              <w:rPr>
                <w:noProof/>
                <w:webHidden/>
              </w:rPr>
              <w:t>31</w:t>
            </w:r>
            <w:r w:rsidR="00202B73">
              <w:rPr>
                <w:noProof/>
                <w:webHidden/>
              </w:rPr>
              <w:fldChar w:fldCharType="end"/>
            </w:r>
          </w:hyperlink>
        </w:p>
        <w:p w14:paraId="6F180001" w14:textId="17F9023E"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61" w:history="1">
            <w:r w:rsidR="00202B73" w:rsidRPr="00052608">
              <w:rPr>
                <w:rStyle w:val="Hyperlink"/>
                <w:rFonts w:eastAsiaTheme="majorEastAsia"/>
                <w:noProof/>
              </w:rPr>
              <w:t>3.6 Data Extraction</w:t>
            </w:r>
            <w:r w:rsidR="00202B73">
              <w:rPr>
                <w:noProof/>
                <w:webHidden/>
              </w:rPr>
              <w:tab/>
            </w:r>
            <w:r w:rsidR="00202B73">
              <w:rPr>
                <w:noProof/>
                <w:webHidden/>
              </w:rPr>
              <w:fldChar w:fldCharType="begin"/>
            </w:r>
            <w:r w:rsidR="00202B73">
              <w:rPr>
                <w:noProof/>
                <w:webHidden/>
              </w:rPr>
              <w:instrText xml:space="preserve"> PAGEREF _Toc240921661 \h </w:instrText>
            </w:r>
            <w:r w:rsidR="00202B73">
              <w:rPr>
                <w:noProof/>
                <w:webHidden/>
              </w:rPr>
            </w:r>
            <w:r w:rsidR="00202B73">
              <w:rPr>
                <w:noProof/>
                <w:webHidden/>
              </w:rPr>
              <w:fldChar w:fldCharType="separate"/>
            </w:r>
            <w:r w:rsidR="00202B73">
              <w:rPr>
                <w:noProof/>
                <w:webHidden/>
              </w:rPr>
              <w:t>33</w:t>
            </w:r>
            <w:r w:rsidR="00202B73">
              <w:rPr>
                <w:noProof/>
                <w:webHidden/>
              </w:rPr>
              <w:fldChar w:fldCharType="end"/>
            </w:r>
          </w:hyperlink>
        </w:p>
        <w:p w14:paraId="06C52B84" w14:textId="386AFDCC"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62" w:history="1">
            <w:r w:rsidR="00202B73" w:rsidRPr="00052608">
              <w:rPr>
                <w:rStyle w:val="Hyperlink"/>
                <w:rFonts w:eastAsiaTheme="majorEastAsia"/>
                <w:noProof/>
              </w:rPr>
              <w:t>3.7 Critical Appraisal</w:t>
            </w:r>
            <w:r w:rsidR="00202B73">
              <w:rPr>
                <w:noProof/>
                <w:webHidden/>
              </w:rPr>
              <w:tab/>
            </w:r>
            <w:r w:rsidR="00202B73">
              <w:rPr>
                <w:noProof/>
                <w:webHidden/>
              </w:rPr>
              <w:fldChar w:fldCharType="begin"/>
            </w:r>
            <w:r w:rsidR="00202B73">
              <w:rPr>
                <w:noProof/>
                <w:webHidden/>
              </w:rPr>
              <w:instrText xml:space="preserve"> PAGEREF _Toc240921662 \h </w:instrText>
            </w:r>
            <w:r w:rsidR="00202B73">
              <w:rPr>
                <w:noProof/>
                <w:webHidden/>
              </w:rPr>
            </w:r>
            <w:r w:rsidR="00202B73">
              <w:rPr>
                <w:noProof/>
                <w:webHidden/>
              </w:rPr>
              <w:fldChar w:fldCharType="separate"/>
            </w:r>
            <w:r w:rsidR="00202B73">
              <w:rPr>
                <w:noProof/>
                <w:webHidden/>
              </w:rPr>
              <w:t>34</w:t>
            </w:r>
            <w:r w:rsidR="00202B73">
              <w:rPr>
                <w:noProof/>
                <w:webHidden/>
              </w:rPr>
              <w:fldChar w:fldCharType="end"/>
            </w:r>
          </w:hyperlink>
        </w:p>
        <w:p w14:paraId="552311E3" w14:textId="5B944637"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63" w:history="1">
            <w:r w:rsidR="00202B73" w:rsidRPr="00052608">
              <w:rPr>
                <w:rStyle w:val="Hyperlink"/>
                <w:rFonts w:eastAsiaTheme="majorEastAsia"/>
                <w:noProof/>
              </w:rPr>
              <w:t>3.8 Data Analysis</w:t>
            </w:r>
            <w:r w:rsidR="00202B73">
              <w:rPr>
                <w:noProof/>
                <w:webHidden/>
              </w:rPr>
              <w:tab/>
            </w:r>
            <w:r w:rsidR="00202B73">
              <w:rPr>
                <w:noProof/>
                <w:webHidden/>
              </w:rPr>
              <w:fldChar w:fldCharType="begin"/>
            </w:r>
            <w:r w:rsidR="00202B73">
              <w:rPr>
                <w:noProof/>
                <w:webHidden/>
              </w:rPr>
              <w:instrText xml:space="preserve"> PAGEREF _Toc240921663 \h </w:instrText>
            </w:r>
            <w:r w:rsidR="00202B73">
              <w:rPr>
                <w:noProof/>
                <w:webHidden/>
              </w:rPr>
            </w:r>
            <w:r w:rsidR="00202B73">
              <w:rPr>
                <w:noProof/>
                <w:webHidden/>
              </w:rPr>
              <w:fldChar w:fldCharType="separate"/>
            </w:r>
            <w:r w:rsidR="00202B73">
              <w:rPr>
                <w:noProof/>
                <w:webHidden/>
              </w:rPr>
              <w:t>35</w:t>
            </w:r>
            <w:r w:rsidR="00202B73">
              <w:rPr>
                <w:noProof/>
                <w:webHidden/>
              </w:rPr>
              <w:fldChar w:fldCharType="end"/>
            </w:r>
          </w:hyperlink>
        </w:p>
        <w:p w14:paraId="3D720E60" w14:textId="6781E2DC"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64" w:history="1">
            <w:r w:rsidR="00202B73" w:rsidRPr="00052608">
              <w:rPr>
                <w:rStyle w:val="Hyperlink"/>
                <w:rFonts w:eastAsiaTheme="majorEastAsia"/>
                <w:noProof/>
              </w:rPr>
              <w:t>3.9 Ethical Considerations</w:t>
            </w:r>
            <w:r w:rsidR="00202B73">
              <w:rPr>
                <w:noProof/>
                <w:webHidden/>
              </w:rPr>
              <w:tab/>
            </w:r>
            <w:r w:rsidR="00202B73">
              <w:rPr>
                <w:noProof/>
                <w:webHidden/>
              </w:rPr>
              <w:fldChar w:fldCharType="begin"/>
            </w:r>
            <w:r w:rsidR="00202B73">
              <w:rPr>
                <w:noProof/>
                <w:webHidden/>
              </w:rPr>
              <w:instrText xml:space="preserve"> PAGEREF _Toc240921664 \h </w:instrText>
            </w:r>
            <w:r w:rsidR="00202B73">
              <w:rPr>
                <w:noProof/>
                <w:webHidden/>
              </w:rPr>
            </w:r>
            <w:r w:rsidR="00202B73">
              <w:rPr>
                <w:noProof/>
                <w:webHidden/>
              </w:rPr>
              <w:fldChar w:fldCharType="separate"/>
            </w:r>
            <w:r w:rsidR="00202B73">
              <w:rPr>
                <w:noProof/>
                <w:webHidden/>
              </w:rPr>
              <w:t>36</w:t>
            </w:r>
            <w:r w:rsidR="00202B73">
              <w:rPr>
                <w:noProof/>
                <w:webHidden/>
              </w:rPr>
              <w:fldChar w:fldCharType="end"/>
            </w:r>
          </w:hyperlink>
        </w:p>
        <w:p w14:paraId="5B9E5BB4" w14:textId="644D157D"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65" w:history="1">
            <w:r w:rsidR="00202B73" w:rsidRPr="00052608">
              <w:rPr>
                <w:rStyle w:val="Hyperlink"/>
                <w:rFonts w:eastAsiaTheme="majorEastAsia"/>
                <w:noProof/>
              </w:rPr>
              <w:t>3.10 Chapter Summary</w:t>
            </w:r>
            <w:r w:rsidR="00202B73">
              <w:rPr>
                <w:noProof/>
                <w:webHidden/>
              </w:rPr>
              <w:tab/>
            </w:r>
            <w:r w:rsidR="00202B73">
              <w:rPr>
                <w:noProof/>
                <w:webHidden/>
              </w:rPr>
              <w:fldChar w:fldCharType="begin"/>
            </w:r>
            <w:r w:rsidR="00202B73">
              <w:rPr>
                <w:noProof/>
                <w:webHidden/>
              </w:rPr>
              <w:instrText xml:space="preserve"> PAGEREF _Toc240921665 \h </w:instrText>
            </w:r>
            <w:r w:rsidR="00202B73">
              <w:rPr>
                <w:noProof/>
                <w:webHidden/>
              </w:rPr>
            </w:r>
            <w:r w:rsidR="00202B73">
              <w:rPr>
                <w:noProof/>
                <w:webHidden/>
              </w:rPr>
              <w:fldChar w:fldCharType="separate"/>
            </w:r>
            <w:r w:rsidR="00202B73">
              <w:rPr>
                <w:noProof/>
                <w:webHidden/>
              </w:rPr>
              <w:t>36</w:t>
            </w:r>
            <w:r w:rsidR="00202B73">
              <w:rPr>
                <w:noProof/>
                <w:webHidden/>
              </w:rPr>
              <w:fldChar w:fldCharType="end"/>
            </w:r>
          </w:hyperlink>
        </w:p>
        <w:p w14:paraId="6530F8A2" w14:textId="3F2AB319" w:rsidR="00202B73" w:rsidRDefault="00807A36">
          <w:pPr>
            <w:pStyle w:val="TOC1"/>
            <w:tabs>
              <w:tab w:val="right" w:leader="dot" w:pos="9226"/>
            </w:tabs>
            <w:rPr>
              <w:rFonts w:asciiTheme="minorHAnsi" w:eastAsiaTheme="minorEastAsia" w:hAnsiTheme="minorHAnsi" w:cstheme="minorBidi"/>
              <w:noProof/>
              <w:kern w:val="2"/>
              <w:sz w:val="24"/>
              <w:szCs w:val="24"/>
              <w14:ligatures w14:val="standardContextual"/>
            </w:rPr>
          </w:pPr>
          <w:hyperlink w:anchor="_Toc240921666" w:history="1">
            <w:r w:rsidR="00202B73" w:rsidRPr="00052608">
              <w:rPr>
                <w:rStyle w:val="Hyperlink"/>
                <w:rFonts w:eastAsiaTheme="majorEastAsia"/>
                <w:noProof/>
              </w:rPr>
              <w:t>Chapter 4: Findings</w:t>
            </w:r>
            <w:r w:rsidR="00202B73">
              <w:rPr>
                <w:noProof/>
                <w:webHidden/>
              </w:rPr>
              <w:tab/>
            </w:r>
            <w:r w:rsidR="00202B73">
              <w:rPr>
                <w:noProof/>
                <w:webHidden/>
              </w:rPr>
              <w:fldChar w:fldCharType="begin"/>
            </w:r>
            <w:r w:rsidR="00202B73">
              <w:rPr>
                <w:noProof/>
                <w:webHidden/>
              </w:rPr>
              <w:instrText xml:space="preserve"> PAGEREF _Toc240921666 \h </w:instrText>
            </w:r>
            <w:r w:rsidR="00202B73">
              <w:rPr>
                <w:noProof/>
                <w:webHidden/>
              </w:rPr>
            </w:r>
            <w:r w:rsidR="00202B73">
              <w:rPr>
                <w:noProof/>
                <w:webHidden/>
              </w:rPr>
              <w:fldChar w:fldCharType="separate"/>
            </w:r>
            <w:r w:rsidR="00202B73">
              <w:rPr>
                <w:noProof/>
                <w:webHidden/>
              </w:rPr>
              <w:t>38</w:t>
            </w:r>
            <w:r w:rsidR="00202B73">
              <w:rPr>
                <w:noProof/>
                <w:webHidden/>
              </w:rPr>
              <w:fldChar w:fldCharType="end"/>
            </w:r>
          </w:hyperlink>
        </w:p>
        <w:p w14:paraId="22BF3C70" w14:textId="5287134D"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67" w:history="1">
            <w:r w:rsidR="00202B73" w:rsidRPr="00052608">
              <w:rPr>
                <w:rStyle w:val="Hyperlink"/>
                <w:rFonts w:eastAsiaTheme="majorEastAsia"/>
                <w:noProof/>
              </w:rPr>
              <w:t>4.1 Introduction</w:t>
            </w:r>
            <w:r w:rsidR="00202B73">
              <w:rPr>
                <w:noProof/>
                <w:webHidden/>
              </w:rPr>
              <w:tab/>
            </w:r>
            <w:r w:rsidR="00202B73">
              <w:rPr>
                <w:noProof/>
                <w:webHidden/>
              </w:rPr>
              <w:fldChar w:fldCharType="begin"/>
            </w:r>
            <w:r w:rsidR="00202B73">
              <w:rPr>
                <w:noProof/>
                <w:webHidden/>
              </w:rPr>
              <w:instrText xml:space="preserve"> PAGEREF _Toc240921667 \h </w:instrText>
            </w:r>
            <w:r w:rsidR="00202B73">
              <w:rPr>
                <w:noProof/>
                <w:webHidden/>
              </w:rPr>
            </w:r>
            <w:r w:rsidR="00202B73">
              <w:rPr>
                <w:noProof/>
                <w:webHidden/>
              </w:rPr>
              <w:fldChar w:fldCharType="separate"/>
            </w:r>
            <w:r w:rsidR="00202B73">
              <w:rPr>
                <w:noProof/>
                <w:webHidden/>
              </w:rPr>
              <w:t>38</w:t>
            </w:r>
            <w:r w:rsidR="00202B73">
              <w:rPr>
                <w:noProof/>
                <w:webHidden/>
              </w:rPr>
              <w:fldChar w:fldCharType="end"/>
            </w:r>
          </w:hyperlink>
        </w:p>
        <w:p w14:paraId="1D7E6982" w14:textId="63EE97C6"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68" w:history="1">
            <w:r w:rsidR="00202B73" w:rsidRPr="00052608">
              <w:rPr>
                <w:rStyle w:val="Hyperlink"/>
                <w:rFonts w:eastAsiaTheme="majorEastAsia"/>
                <w:noProof/>
              </w:rPr>
              <w:t>4.2 Theme 1: Diagnostic Uncertainty and Decision-Support Strategies</w:t>
            </w:r>
            <w:r w:rsidR="00202B73">
              <w:rPr>
                <w:noProof/>
                <w:webHidden/>
              </w:rPr>
              <w:tab/>
            </w:r>
            <w:r w:rsidR="00202B73">
              <w:rPr>
                <w:noProof/>
                <w:webHidden/>
              </w:rPr>
              <w:fldChar w:fldCharType="begin"/>
            </w:r>
            <w:r w:rsidR="00202B73">
              <w:rPr>
                <w:noProof/>
                <w:webHidden/>
              </w:rPr>
              <w:instrText xml:space="preserve"> PAGEREF _Toc240921668 \h </w:instrText>
            </w:r>
            <w:r w:rsidR="00202B73">
              <w:rPr>
                <w:noProof/>
                <w:webHidden/>
              </w:rPr>
            </w:r>
            <w:r w:rsidR="00202B73">
              <w:rPr>
                <w:noProof/>
                <w:webHidden/>
              </w:rPr>
              <w:fldChar w:fldCharType="separate"/>
            </w:r>
            <w:r w:rsidR="00202B73">
              <w:rPr>
                <w:noProof/>
                <w:webHidden/>
              </w:rPr>
              <w:t>38</w:t>
            </w:r>
            <w:r w:rsidR="00202B73">
              <w:rPr>
                <w:noProof/>
                <w:webHidden/>
              </w:rPr>
              <w:fldChar w:fldCharType="end"/>
            </w:r>
          </w:hyperlink>
        </w:p>
        <w:p w14:paraId="15A26B62" w14:textId="5E42FF69" w:rsidR="00202B73" w:rsidRDefault="00807A36">
          <w:pPr>
            <w:pStyle w:val="TOC3"/>
            <w:tabs>
              <w:tab w:val="right" w:leader="dot" w:pos="9226"/>
            </w:tabs>
            <w:rPr>
              <w:rFonts w:asciiTheme="minorHAnsi" w:eastAsiaTheme="minorEastAsia" w:hAnsiTheme="minorHAnsi" w:cstheme="minorBidi"/>
              <w:noProof/>
              <w:kern w:val="2"/>
              <w:sz w:val="24"/>
              <w:szCs w:val="24"/>
              <w14:ligatures w14:val="standardContextual"/>
            </w:rPr>
          </w:pPr>
          <w:hyperlink w:anchor="_Toc240921669" w:history="1">
            <w:r w:rsidR="00202B73" w:rsidRPr="00052608">
              <w:rPr>
                <w:rStyle w:val="Hyperlink"/>
                <w:rFonts w:eastAsiaTheme="majorEastAsia"/>
                <w:noProof/>
              </w:rPr>
              <w:t>4.2.1 Clinical Prediction and Clinical Judgement</w:t>
            </w:r>
            <w:r w:rsidR="00202B73">
              <w:rPr>
                <w:noProof/>
                <w:webHidden/>
              </w:rPr>
              <w:tab/>
            </w:r>
            <w:r w:rsidR="00202B73">
              <w:rPr>
                <w:noProof/>
                <w:webHidden/>
              </w:rPr>
              <w:fldChar w:fldCharType="begin"/>
            </w:r>
            <w:r w:rsidR="00202B73">
              <w:rPr>
                <w:noProof/>
                <w:webHidden/>
              </w:rPr>
              <w:instrText xml:space="preserve"> PAGEREF _Toc240921669 \h </w:instrText>
            </w:r>
            <w:r w:rsidR="00202B73">
              <w:rPr>
                <w:noProof/>
                <w:webHidden/>
              </w:rPr>
            </w:r>
            <w:r w:rsidR="00202B73">
              <w:rPr>
                <w:noProof/>
                <w:webHidden/>
              </w:rPr>
              <w:fldChar w:fldCharType="separate"/>
            </w:r>
            <w:r w:rsidR="00202B73">
              <w:rPr>
                <w:noProof/>
                <w:webHidden/>
              </w:rPr>
              <w:t>39</w:t>
            </w:r>
            <w:r w:rsidR="00202B73">
              <w:rPr>
                <w:noProof/>
                <w:webHidden/>
              </w:rPr>
              <w:fldChar w:fldCharType="end"/>
            </w:r>
          </w:hyperlink>
        </w:p>
        <w:p w14:paraId="12FE4933" w14:textId="30FC3BEA" w:rsidR="00202B73" w:rsidRDefault="00807A36">
          <w:pPr>
            <w:pStyle w:val="TOC3"/>
            <w:tabs>
              <w:tab w:val="right" w:leader="dot" w:pos="9226"/>
            </w:tabs>
            <w:rPr>
              <w:rFonts w:asciiTheme="minorHAnsi" w:eastAsiaTheme="minorEastAsia" w:hAnsiTheme="minorHAnsi" w:cstheme="minorBidi"/>
              <w:noProof/>
              <w:kern w:val="2"/>
              <w:sz w:val="24"/>
              <w:szCs w:val="24"/>
              <w14:ligatures w14:val="standardContextual"/>
            </w:rPr>
          </w:pPr>
          <w:hyperlink w:anchor="_Toc240921670" w:history="1">
            <w:r w:rsidR="00202B73" w:rsidRPr="00052608">
              <w:rPr>
                <w:rStyle w:val="Hyperlink"/>
                <w:rFonts w:eastAsiaTheme="majorEastAsia"/>
                <w:noProof/>
              </w:rPr>
              <w:t>4.2.2 Point-of-Care Testing</w:t>
            </w:r>
            <w:r w:rsidR="00202B73">
              <w:rPr>
                <w:noProof/>
                <w:webHidden/>
              </w:rPr>
              <w:tab/>
            </w:r>
            <w:r w:rsidR="00202B73">
              <w:rPr>
                <w:noProof/>
                <w:webHidden/>
              </w:rPr>
              <w:fldChar w:fldCharType="begin"/>
            </w:r>
            <w:r w:rsidR="00202B73">
              <w:rPr>
                <w:noProof/>
                <w:webHidden/>
              </w:rPr>
              <w:instrText xml:space="preserve"> PAGEREF _Toc240921670 \h </w:instrText>
            </w:r>
            <w:r w:rsidR="00202B73">
              <w:rPr>
                <w:noProof/>
                <w:webHidden/>
              </w:rPr>
            </w:r>
            <w:r w:rsidR="00202B73">
              <w:rPr>
                <w:noProof/>
                <w:webHidden/>
              </w:rPr>
              <w:fldChar w:fldCharType="separate"/>
            </w:r>
            <w:r w:rsidR="00202B73">
              <w:rPr>
                <w:noProof/>
                <w:webHidden/>
              </w:rPr>
              <w:t>40</w:t>
            </w:r>
            <w:r w:rsidR="00202B73">
              <w:rPr>
                <w:noProof/>
                <w:webHidden/>
              </w:rPr>
              <w:fldChar w:fldCharType="end"/>
            </w:r>
          </w:hyperlink>
        </w:p>
        <w:p w14:paraId="404ADEA7" w14:textId="33A81A11" w:rsidR="00202B73" w:rsidRDefault="00807A36">
          <w:pPr>
            <w:pStyle w:val="TOC3"/>
            <w:tabs>
              <w:tab w:val="right" w:leader="dot" w:pos="9226"/>
            </w:tabs>
            <w:rPr>
              <w:rFonts w:asciiTheme="minorHAnsi" w:eastAsiaTheme="minorEastAsia" w:hAnsiTheme="minorHAnsi" w:cstheme="minorBidi"/>
              <w:noProof/>
              <w:kern w:val="2"/>
              <w:sz w:val="24"/>
              <w:szCs w:val="24"/>
              <w14:ligatures w14:val="standardContextual"/>
            </w:rPr>
          </w:pPr>
          <w:hyperlink w:anchor="_Toc240921671" w:history="1">
            <w:r w:rsidR="00202B73" w:rsidRPr="00052608">
              <w:rPr>
                <w:rStyle w:val="Hyperlink"/>
                <w:rFonts w:eastAsiaTheme="majorEastAsia"/>
                <w:noProof/>
              </w:rPr>
              <w:t>4.2.3 Diagnostic Support and Prescribing Decisions</w:t>
            </w:r>
            <w:r w:rsidR="00202B73">
              <w:rPr>
                <w:noProof/>
                <w:webHidden/>
              </w:rPr>
              <w:tab/>
            </w:r>
            <w:r w:rsidR="00202B73">
              <w:rPr>
                <w:noProof/>
                <w:webHidden/>
              </w:rPr>
              <w:fldChar w:fldCharType="begin"/>
            </w:r>
            <w:r w:rsidR="00202B73">
              <w:rPr>
                <w:noProof/>
                <w:webHidden/>
              </w:rPr>
              <w:instrText xml:space="preserve"> PAGEREF _Toc240921671 \h </w:instrText>
            </w:r>
            <w:r w:rsidR="00202B73">
              <w:rPr>
                <w:noProof/>
                <w:webHidden/>
              </w:rPr>
            </w:r>
            <w:r w:rsidR="00202B73">
              <w:rPr>
                <w:noProof/>
                <w:webHidden/>
              </w:rPr>
              <w:fldChar w:fldCharType="separate"/>
            </w:r>
            <w:r w:rsidR="00202B73">
              <w:rPr>
                <w:noProof/>
                <w:webHidden/>
              </w:rPr>
              <w:t>41</w:t>
            </w:r>
            <w:r w:rsidR="00202B73">
              <w:rPr>
                <w:noProof/>
                <w:webHidden/>
              </w:rPr>
              <w:fldChar w:fldCharType="end"/>
            </w:r>
          </w:hyperlink>
        </w:p>
        <w:p w14:paraId="134C7E31" w14:textId="5FABFF04"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72" w:history="1">
            <w:r w:rsidR="00202B73" w:rsidRPr="00052608">
              <w:rPr>
                <w:rStyle w:val="Hyperlink"/>
                <w:rFonts w:eastAsiaTheme="majorEastAsia"/>
                <w:noProof/>
              </w:rPr>
              <w:t>4.3 Theme 2: Management Strategies, Antibiotic Use and Patient Outcomes</w:t>
            </w:r>
            <w:r w:rsidR="00202B73">
              <w:rPr>
                <w:noProof/>
                <w:webHidden/>
              </w:rPr>
              <w:tab/>
            </w:r>
            <w:r w:rsidR="00202B73">
              <w:rPr>
                <w:noProof/>
                <w:webHidden/>
              </w:rPr>
              <w:fldChar w:fldCharType="begin"/>
            </w:r>
            <w:r w:rsidR="00202B73">
              <w:rPr>
                <w:noProof/>
                <w:webHidden/>
              </w:rPr>
              <w:instrText xml:space="preserve"> PAGEREF _Toc240921672 \h </w:instrText>
            </w:r>
            <w:r w:rsidR="00202B73">
              <w:rPr>
                <w:noProof/>
                <w:webHidden/>
              </w:rPr>
            </w:r>
            <w:r w:rsidR="00202B73">
              <w:rPr>
                <w:noProof/>
                <w:webHidden/>
              </w:rPr>
              <w:fldChar w:fldCharType="separate"/>
            </w:r>
            <w:r w:rsidR="00202B73">
              <w:rPr>
                <w:noProof/>
                <w:webHidden/>
              </w:rPr>
              <w:t>41</w:t>
            </w:r>
            <w:r w:rsidR="00202B73">
              <w:rPr>
                <w:noProof/>
                <w:webHidden/>
              </w:rPr>
              <w:fldChar w:fldCharType="end"/>
            </w:r>
          </w:hyperlink>
        </w:p>
        <w:p w14:paraId="7891E940" w14:textId="28FEDECB" w:rsidR="00202B73" w:rsidRDefault="00807A36">
          <w:pPr>
            <w:pStyle w:val="TOC3"/>
            <w:tabs>
              <w:tab w:val="right" w:leader="dot" w:pos="9226"/>
            </w:tabs>
            <w:rPr>
              <w:rFonts w:asciiTheme="minorHAnsi" w:eastAsiaTheme="minorEastAsia" w:hAnsiTheme="minorHAnsi" w:cstheme="minorBidi"/>
              <w:noProof/>
              <w:kern w:val="2"/>
              <w:sz w:val="24"/>
              <w:szCs w:val="24"/>
              <w14:ligatures w14:val="standardContextual"/>
            </w:rPr>
          </w:pPr>
          <w:hyperlink w:anchor="_Toc240921673" w:history="1">
            <w:r w:rsidR="00202B73" w:rsidRPr="00052608">
              <w:rPr>
                <w:rStyle w:val="Hyperlink"/>
                <w:rFonts w:eastAsiaTheme="majorEastAsia"/>
                <w:noProof/>
              </w:rPr>
              <w:t>4.3.1 Delayed Versus Immediate Antibiotic Prescribing</w:t>
            </w:r>
            <w:r w:rsidR="00202B73">
              <w:rPr>
                <w:noProof/>
                <w:webHidden/>
              </w:rPr>
              <w:tab/>
            </w:r>
            <w:r w:rsidR="00202B73">
              <w:rPr>
                <w:noProof/>
                <w:webHidden/>
              </w:rPr>
              <w:fldChar w:fldCharType="begin"/>
            </w:r>
            <w:r w:rsidR="00202B73">
              <w:rPr>
                <w:noProof/>
                <w:webHidden/>
              </w:rPr>
              <w:instrText xml:space="preserve"> PAGEREF _Toc240921673 \h </w:instrText>
            </w:r>
            <w:r w:rsidR="00202B73">
              <w:rPr>
                <w:noProof/>
                <w:webHidden/>
              </w:rPr>
            </w:r>
            <w:r w:rsidR="00202B73">
              <w:rPr>
                <w:noProof/>
                <w:webHidden/>
              </w:rPr>
              <w:fldChar w:fldCharType="separate"/>
            </w:r>
            <w:r w:rsidR="00202B73">
              <w:rPr>
                <w:noProof/>
                <w:webHidden/>
              </w:rPr>
              <w:t>42</w:t>
            </w:r>
            <w:r w:rsidR="00202B73">
              <w:rPr>
                <w:noProof/>
                <w:webHidden/>
              </w:rPr>
              <w:fldChar w:fldCharType="end"/>
            </w:r>
          </w:hyperlink>
        </w:p>
        <w:p w14:paraId="10AE3915" w14:textId="5AA160C1" w:rsidR="00202B73" w:rsidRDefault="00807A36">
          <w:pPr>
            <w:pStyle w:val="TOC3"/>
            <w:tabs>
              <w:tab w:val="right" w:leader="dot" w:pos="9226"/>
            </w:tabs>
            <w:rPr>
              <w:rFonts w:asciiTheme="minorHAnsi" w:eastAsiaTheme="minorEastAsia" w:hAnsiTheme="minorHAnsi" w:cstheme="minorBidi"/>
              <w:noProof/>
              <w:kern w:val="2"/>
              <w:sz w:val="24"/>
              <w:szCs w:val="24"/>
              <w14:ligatures w14:val="standardContextual"/>
            </w:rPr>
          </w:pPr>
          <w:hyperlink w:anchor="_Toc240921674" w:history="1">
            <w:r w:rsidR="00202B73" w:rsidRPr="00052608">
              <w:rPr>
                <w:rStyle w:val="Hyperlink"/>
                <w:rFonts w:eastAsiaTheme="majorEastAsia"/>
                <w:noProof/>
              </w:rPr>
              <w:t>4.3.2 Antibiotic Duration and Repeat Prescribing</w:t>
            </w:r>
            <w:r w:rsidR="00202B73">
              <w:rPr>
                <w:noProof/>
                <w:webHidden/>
              </w:rPr>
              <w:tab/>
            </w:r>
            <w:r w:rsidR="00202B73">
              <w:rPr>
                <w:noProof/>
                <w:webHidden/>
              </w:rPr>
              <w:fldChar w:fldCharType="begin"/>
            </w:r>
            <w:r w:rsidR="00202B73">
              <w:rPr>
                <w:noProof/>
                <w:webHidden/>
              </w:rPr>
              <w:instrText xml:space="preserve"> PAGEREF _Toc240921674 \h </w:instrText>
            </w:r>
            <w:r w:rsidR="00202B73">
              <w:rPr>
                <w:noProof/>
                <w:webHidden/>
              </w:rPr>
            </w:r>
            <w:r w:rsidR="00202B73">
              <w:rPr>
                <w:noProof/>
                <w:webHidden/>
              </w:rPr>
              <w:fldChar w:fldCharType="separate"/>
            </w:r>
            <w:r w:rsidR="00202B73">
              <w:rPr>
                <w:noProof/>
                <w:webHidden/>
              </w:rPr>
              <w:t>42</w:t>
            </w:r>
            <w:r w:rsidR="00202B73">
              <w:rPr>
                <w:noProof/>
                <w:webHidden/>
              </w:rPr>
              <w:fldChar w:fldCharType="end"/>
            </w:r>
          </w:hyperlink>
        </w:p>
        <w:p w14:paraId="06D0A5C9" w14:textId="36C63A1B" w:rsidR="00202B73" w:rsidRDefault="00807A36">
          <w:pPr>
            <w:pStyle w:val="TOC3"/>
            <w:tabs>
              <w:tab w:val="right" w:leader="dot" w:pos="9226"/>
            </w:tabs>
            <w:rPr>
              <w:rFonts w:asciiTheme="minorHAnsi" w:eastAsiaTheme="minorEastAsia" w:hAnsiTheme="minorHAnsi" w:cstheme="minorBidi"/>
              <w:noProof/>
              <w:kern w:val="2"/>
              <w:sz w:val="24"/>
              <w:szCs w:val="24"/>
              <w14:ligatures w14:val="standardContextual"/>
            </w:rPr>
          </w:pPr>
          <w:hyperlink w:anchor="_Toc240921675" w:history="1">
            <w:r w:rsidR="00202B73" w:rsidRPr="00052608">
              <w:rPr>
                <w:rStyle w:val="Hyperlink"/>
                <w:rFonts w:eastAsiaTheme="majorEastAsia"/>
                <w:noProof/>
              </w:rPr>
              <w:t>4.3.3 Symptomatic and Non-Antibiotic Management</w:t>
            </w:r>
            <w:r w:rsidR="00202B73">
              <w:rPr>
                <w:noProof/>
                <w:webHidden/>
              </w:rPr>
              <w:tab/>
            </w:r>
            <w:r w:rsidR="00202B73">
              <w:rPr>
                <w:noProof/>
                <w:webHidden/>
              </w:rPr>
              <w:fldChar w:fldCharType="begin"/>
            </w:r>
            <w:r w:rsidR="00202B73">
              <w:rPr>
                <w:noProof/>
                <w:webHidden/>
              </w:rPr>
              <w:instrText xml:space="preserve"> PAGEREF _Toc240921675 \h </w:instrText>
            </w:r>
            <w:r w:rsidR="00202B73">
              <w:rPr>
                <w:noProof/>
                <w:webHidden/>
              </w:rPr>
            </w:r>
            <w:r w:rsidR="00202B73">
              <w:rPr>
                <w:noProof/>
                <w:webHidden/>
              </w:rPr>
              <w:fldChar w:fldCharType="separate"/>
            </w:r>
            <w:r w:rsidR="00202B73">
              <w:rPr>
                <w:noProof/>
                <w:webHidden/>
              </w:rPr>
              <w:t>43</w:t>
            </w:r>
            <w:r w:rsidR="00202B73">
              <w:rPr>
                <w:noProof/>
                <w:webHidden/>
              </w:rPr>
              <w:fldChar w:fldCharType="end"/>
            </w:r>
          </w:hyperlink>
        </w:p>
        <w:p w14:paraId="0D74CA9E" w14:textId="1B62C562" w:rsidR="00202B73" w:rsidRDefault="00807A36">
          <w:pPr>
            <w:pStyle w:val="TOC3"/>
            <w:tabs>
              <w:tab w:val="right" w:leader="dot" w:pos="9226"/>
            </w:tabs>
            <w:rPr>
              <w:rFonts w:asciiTheme="minorHAnsi" w:eastAsiaTheme="minorEastAsia" w:hAnsiTheme="minorHAnsi" w:cstheme="minorBidi"/>
              <w:noProof/>
              <w:kern w:val="2"/>
              <w:sz w:val="24"/>
              <w:szCs w:val="24"/>
              <w14:ligatures w14:val="standardContextual"/>
            </w:rPr>
          </w:pPr>
          <w:hyperlink w:anchor="_Toc240921676" w:history="1">
            <w:r w:rsidR="00202B73" w:rsidRPr="00052608">
              <w:rPr>
                <w:rStyle w:val="Hyperlink"/>
                <w:rFonts w:eastAsiaTheme="majorEastAsia"/>
                <w:noProof/>
              </w:rPr>
              <w:t>4.3.4 Patient Safety and Outcomes</w:t>
            </w:r>
            <w:r w:rsidR="00202B73">
              <w:rPr>
                <w:noProof/>
                <w:webHidden/>
              </w:rPr>
              <w:tab/>
            </w:r>
            <w:r w:rsidR="00202B73">
              <w:rPr>
                <w:noProof/>
                <w:webHidden/>
              </w:rPr>
              <w:fldChar w:fldCharType="begin"/>
            </w:r>
            <w:r w:rsidR="00202B73">
              <w:rPr>
                <w:noProof/>
                <w:webHidden/>
              </w:rPr>
              <w:instrText xml:space="preserve"> PAGEREF _Toc240921676 \h </w:instrText>
            </w:r>
            <w:r w:rsidR="00202B73">
              <w:rPr>
                <w:noProof/>
                <w:webHidden/>
              </w:rPr>
            </w:r>
            <w:r w:rsidR="00202B73">
              <w:rPr>
                <w:noProof/>
                <w:webHidden/>
              </w:rPr>
              <w:fldChar w:fldCharType="separate"/>
            </w:r>
            <w:r w:rsidR="00202B73">
              <w:rPr>
                <w:noProof/>
                <w:webHidden/>
              </w:rPr>
              <w:t>44</w:t>
            </w:r>
            <w:r w:rsidR="00202B73">
              <w:rPr>
                <w:noProof/>
                <w:webHidden/>
              </w:rPr>
              <w:fldChar w:fldCharType="end"/>
            </w:r>
          </w:hyperlink>
        </w:p>
        <w:p w14:paraId="548DC486" w14:textId="57088CEB"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77" w:history="1">
            <w:r w:rsidR="00202B73" w:rsidRPr="00052608">
              <w:rPr>
                <w:rStyle w:val="Hyperlink"/>
                <w:rFonts w:eastAsiaTheme="majorEastAsia"/>
                <w:noProof/>
              </w:rPr>
              <w:t>4.4 Theme 3: Prescribing Behaviour and Implementation of Antimicrobial Stewardship</w:t>
            </w:r>
            <w:r w:rsidR="00202B73">
              <w:rPr>
                <w:noProof/>
                <w:webHidden/>
              </w:rPr>
              <w:tab/>
            </w:r>
            <w:r w:rsidR="00202B73">
              <w:rPr>
                <w:noProof/>
                <w:webHidden/>
              </w:rPr>
              <w:fldChar w:fldCharType="begin"/>
            </w:r>
            <w:r w:rsidR="00202B73">
              <w:rPr>
                <w:noProof/>
                <w:webHidden/>
              </w:rPr>
              <w:instrText xml:space="preserve"> PAGEREF _Toc240921677 \h </w:instrText>
            </w:r>
            <w:r w:rsidR="00202B73">
              <w:rPr>
                <w:noProof/>
                <w:webHidden/>
              </w:rPr>
            </w:r>
            <w:r w:rsidR="00202B73">
              <w:rPr>
                <w:noProof/>
                <w:webHidden/>
              </w:rPr>
              <w:fldChar w:fldCharType="separate"/>
            </w:r>
            <w:r w:rsidR="00202B73">
              <w:rPr>
                <w:noProof/>
                <w:webHidden/>
              </w:rPr>
              <w:t>44</w:t>
            </w:r>
            <w:r w:rsidR="00202B73">
              <w:rPr>
                <w:noProof/>
                <w:webHidden/>
              </w:rPr>
              <w:fldChar w:fldCharType="end"/>
            </w:r>
          </w:hyperlink>
        </w:p>
        <w:p w14:paraId="5DB91A33" w14:textId="608502CE" w:rsidR="00202B73" w:rsidRDefault="00807A36">
          <w:pPr>
            <w:pStyle w:val="TOC3"/>
            <w:tabs>
              <w:tab w:val="right" w:leader="dot" w:pos="9226"/>
            </w:tabs>
            <w:rPr>
              <w:rFonts w:asciiTheme="minorHAnsi" w:eastAsiaTheme="minorEastAsia" w:hAnsiTheme="minorHAnsi" w:cstheme="minorBidi"/>
              <w:noProof/>
              <w:kern w:val="2"/>
              <w:sz w:val="24"/>
              <w:szCs w:val="24"/>
              <w14:ligatures w14:val="standardContextual"/>
            </w:rPr>
          </w:pPr>
          <w:hyperlink w:anchor="_Toc240921678" w:history="1">
            <w:r w:rsidR="00202B73" w:rsidRPr="00052608">
              <w:rPr>
                <w:rStyle w:val="Hyperlink"/>
                <w:rFonts w:eastAsiaTheme="majorEastAsia"/>
                <w:noProof/>
              </w:rPr>
              <w:t>4.4.1 Remote Versus Face-to-Face Consultation</w:t>
            </w:r>
            <w:r w:rsidR="00202B73">
              <w:rPr>
                <w:noProof/>
                <w:webHidden/>
              </w:rPr>
              <w:tab/>
            </w:r>
            <w:r w:rsidR="00202B73">
              <w:rPr>
                <w:noProof/>
                <w:webHidden/>
              </w:rPr>
              <w:fldChar w:fldCharType="begin"/>
            </w:r>
            <w:r w:rsidR="00202B73">
              <w:rPr>
                <w:noProof/>
                <w:webHidden/>
              </w:rPr>
              <w:instrText xml:space="preserve"> PAGEREF _Toc240921678 \h </w:instrText>
            </w:r>
            <w:r w:rsidR="00202B73">
              <w:rPr>
                <w:noProof/>
                <w:webHidden/>
              </w:rPr>
            </w:r>
            <w:r w:rsidR="00202B73">
              <w:rPr>
                <w:noProof/>
                <w:webHidden/>
              </w:rPr>
              <w:fldChar w:fldCharType="separate"/>
            </w:r>
            <w:r w:rsidR="00202B73">
              <w:rPr>
                <w:noProof/>
                <w:webHidden/>
              </w:rPr>
              <w:t>45</w:t>
            </w:r>
            <w:r w:rsidR="00202B73">
              <w:rPr>
                <w:noProof/>
                <w:webHidden/>
              </w:rPr>
              <w:fldChar w:fldCharType="end"/>
            </w:r>
          </w:hyperlink>
        </w:p>
        <w:p w14:paraId="212F0858" w14:textId="08AA4C32" w:rsidR="00202B73" w:rsidRDefault="00807A36">
          <w:pPr>
            <w:pStyle w:val="TOC3"/>
            <w:tabs>
              <w:tab w:val="right" w:leader="dot" w:pos="9226"/>
            </w:tabs>
            <w:rPr>
              <w:rFonts w:asciiTheme="minorHAnsi" w:eastAsiaTheme="minorEastAsia" w:hAnsiTheme="minorHAnsi" w:cstheme="minorBidi"/>
              <w:noProof/>
              <w:kern w:val="2"/>
              <w:sz w:val="24"/>
              <w:szCs w:val="24"/>
              <w14:ligatures w14:val="standardContextual"/>
            </w:rPr>
          </w:pPr>
          <w:hyperlink w:anchor="_Toc240921679" w:history="1">
            <w:r w:rsidR="00202B73" w:rsidRPr="00052608">
              <w:rPr>
                <w:rStyle w:val="Hyperlink"/>
                <w:rFonts w:eastAsiaTheme="majorEastAsia"/>
                <w:noProof/>
              </w:rPr>
              <w:t>4.4.2 Workflow, Communication and Clinician Behaviour</w:t>
            </w:r>
            <w:r w:rsidR="00202B73">
              <w:rPr>
                <w:noProof/>
                <w:webHidden/>
              </w:rPr>
              <w:tab/>
            </w:r>
            <w:r w:rsidR="00202B73">
              <w:rPr>
                <w:noProof/>
                <w:webHidden/>
              </w:rPr>
              <w:fldChar w:fldCharType="begin"/>
            </w:r>
            <w:r w:rsidR="00202B73">
              <w:rPr>
                <w:noProof/>
                <w:webHidden/>
              </w:rPr>
              <w:instrText xml:space="preserve"> PAGEREF _Toc240921679 \h </w:instrText>
            </w:r>
            <w:r w:rsidR="00202B73">
              <w:rPr>
                <w:noProof/>
                <w:webHidden/>
              </w:rPr>
            </w:r>
            <w:r w:rsidR="00202B73">
              <w:rPr>
                <w:noProof/>
                <w:webHidden/>
              </w:rPr>
              <w:fldChar w:fldCharType="separate"/>
            </w:r>
            <w:r w:rsidR="00202B73">
              <w:rPr>
                <w:noProof/>
                <w:webHidden/>
              </w:rPr>
              <w:t>45</w:t>
            </w:r>
            <w:r w:rsidR="00202B73">
              <w:rPr>
                <w:noProof/>
                <w:webHidden/>
              </w:rPr>
              <w:fldChar w:fldCharType="end"/>
            </w:r>
          </w:hyperlink>
        </w:p>
        <w:p w14:paraId="245FEE70" w14:textId="3668E807" w:rsidR="00202B73" w:rsidRDefault="00807A36">
          <w:pPr>
            <w:pStyle w:val="TOC3"/>
            <w:tabs>
              <w:tab w:val="right" w:leader="dot" w:pos="9226"/>
            </w:tabs>
            <w:rPr>
              <w:rFonts w:asciiTheme="minorHAnsi" w:eastAsiaTheme="minorEastAsia" w:hAnsiTheme="minorHAnsi" w:cstheme="minorBidi"/>
              <w:noProof/>
              <w:kern w:val="2"/>
              <w:sz w:val="24"/>
              <w:szCs w:val="24"/>
              <w14:ligatures w14:val="standardContextual"/>
            </w:rPr>
          </w:pPr>
          <w:hyperlink w:anchor="_Toc240921680" w:history="1">
            <w:r w:rsidR="00202B73" w:rsidRPr="00052608">
              <w:rPr>
                <w:rStyle w:val="Hyperlink"/>
                <w:rFonts w:eastAsiaTheme="majorEastAsia"/>
                <w:noProof/>
              </w:rPr>
              <w:t>4.4.3 Pandemic and System-Level Prescribing Changes</w:t>
            </w:r>
            <w:r w:rsidR="00202B73">
              <w:rPr>
                <w:noProof/>
                <w:webHidden/>
              </w:rPr>
              <w:tab/>
            </w:r>
            <w:r w:rsidR="00202B73">
              <w:rPr>
                <w:noProof/>
                <w:webHidden/>
              </w:rPr>
              <w:fldChar w:fldCharType="begin"/>
            </w:r>
            <w:r w:rsidR="00202B73">
              <w:rPr>
                <w:noProof/>
                <w:webHidden/>
              </w:rPr>
              <w:instrText xml:space="preserve"> PAGEREF _Toc240921680 \h </w:instrText>
            </w:r>
            <w:r w:rsidR="00202B73">
              <w:rPr>
                <w:noProof/>
                <w:webHidden/>
              </w:rPr>
            </w:r>
            <w:r w:rsidR="00202B73">
              <w:rPr>
                <w:noProof/>
                <w:webHidden/>
              </w:rPr>
              <w:fldChar w:fldCharType="separate"/>
            </w:r>
            <w:r w:rsidR="00202B73">
              <w:rPr>
                <w:noProof/>
                <w:webHidden/>
              </w:rPr>
              <w:t>46</w:t>
            </w:r>
            <w:r w:rsidR="00202B73">
              <w:rPr>
                <w:noProof/>
                <w:webHidden/>
              </w:rPr>
              <w:fldChar w:fldCharType="end"/>
            </w:r>
          </w:hyperlink>
        </w:p>
        <w:p w14:paraId="0F4B09B2" w14:textId="0734F3B7" w:rsidR="00202B73" w:rsidRDefault="00807A36">
          <w:pPr>
            <w:pStyle w:val="TOC3"/>
            <w:tabs>
              <w:tab w:val="right" w:leader="dot" w:pos="9226"/>
            </w:tabs>
            <w:rPr>
              <w:rFonts w:asciiTheme="minorHAnsi" w:eastAsiaTheme="minorEastAsia" w:hAnsiTheme="minorHAnsi" w:cstheme="minorBidi"/>
              <w:noProof/>
              <w:kern w:val="2"/>
              <w:sz w:val="24"/>
              <w:szCs w:val="24"/>
              <w14:ligatures w14:val="standardContextual"/>
            </w:rPr>
          </w:pPr>
          <w:hyperlink w:anchor="_Toc240921681" w:history="1">
            <w:r w:rsidR="00202B73" w:rsidRPr="00052608">
              <w:rPr>
                <w:rStyle w:val="Hyperlink"/>
                <w:rFonts w:eastAsiaTheme="majorEastAsia"/>
                <w:noProof/>
              </w:rPr>
              <w:t>4.4.4 Risk-Based Prescribing and Stewardship</w:t>
            </w:r>
            <w:r w:rsidR="00202B73">
              <w:rPr>
                <w:noProof/>
                <w:webHidden/>
              </w:rPr>
              <w:tab/>
            </w:r>
            <w:r w:rsidR="00202B73">
              <w:rPr>
                <w:noProof/>
                <w:webHidden/>
              </w:rPr>
              <w:fldChar w:fldCharType="begin"/>
            </w:r>
            <w:r w:rsidR="00202B73">
              <w:rPr>
                <w:noProof/>
                <w:webHidden/>
              </w:rPr>
              <w:instrText xml:space="preserve"> PAGEREF _Toc240921681 \h </w:instrText>
            </w:r>
            <w:r w:rsidR="00202B73">
              <w:rPr>
                <w:noProof/>
                <w:webHidden/>
              </w:rPr>
            </w:r>
            <w:r w:rsidR="00202B73">
              <w:rPr>
                <w:noProof/>
                <w:webHidden/>
              </w:rPr>
              <w:fldChar w:fldCharType="separate"/>
            </w:r>
            <w:r w:rsidR="00202B73">
              <w:rPr>
                <w:noProof/>
                <w:webHidden/>
              </w:rPr>
              <w:t>46</w:t>
            </w:r>
            <w:r w:rsidR="00202B73">
              <w:rPr>
                <w:noProof/>
                <w:webHidden/>
              </w:rPr>
              <w:fldChar w:fldCharType="end"/>
            </w:r>
          </w:hyperlink>
        </w:p>
        <w:p w14:paraId="4CBF9E52" w14:textId="62D32028"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82" w:history="1">
            <w:r w:rsidR="00202B73" w:rsidRPr="00052608">
              <w:rPr>
                <w:rStyle w:val="Hyperlink"/>
                <w:rFonts w:eastAsiaTheme="majorEastAsia"/>
                <w:noProof/>
              </w:rPr>
              <w:t>4.5 Chapter Summary</w:t>
            </w:r>
            <w:r w:rsidR="00202B73">
              <w:rPr>
                <w:noProof/>
                <w:webHidden/>
              </w:rPr>
              <w:tab/>
            </w:r>
            <w:r w:rsidR="00202B73">
              <w:rPr>
                <w:noProof/>
                <w:webHidden/>
              </w:rPr>
              <w:fldChar w:fldCharType="begin"/>
            </w:r>
            <w:r w:rsidR="00202B73">
              <w:rPr>
                <w:noProof/>
                <w:webHidden/>
              </w:rPr>
              <w:instrText xml:space="preserve"> PAGEREF _Toc240921682 \h </w:instrText>
            </w:r>
            <w:r w:rsidR="00202B73">
              <w:rPr>
                <w:noProof/>
                <w:webHidden/>
              </w:rPr>
            </w:r>
            <w:r w:rsidR="00202B73">
              <w:rPr>
                <w:noProof/>
                <w:webHidden/>
              </w:rPr>
              <w:fldChar w:fldCharType="separate"/>
            </w:r>
            <w:r w:rsidR="00202B73">
              <w:rPr>
                <w:noProof/>
                <w:webHidden/>
              </w:rPr>
              <w:t>47</w:t>
            </w:r>
            <w:r w:rsidR="00202B73">
              <w:rPr>
                <w:noProof/>
                <w:webHidden/>
              </w:rPr>
              <w:fldChar w:fldCharType="end"/>
            </w:r>
          </w:hyperlink>
        </w:p>
        <w:p w14:paraId="6E299384" w14:textId="3EB2290B" w:rsidR="00202B73" w:rsidRDefault="00807A36">
          <w:pPr>
            <w:pStyle w:val="TOC1"/>
            <w:tabs>
              <w:tab w:val="right" w:leader="dot" w:pos="9226"/>
            </w:tabs>
            <w:rPr>
              <w:rFonts w:asciiTheme="minorHAnsi" w:eastAsiaTheme="minorEastAsia" w:hAnsiTheme="minorHAnsi" w:cstheme="minorBidi"/>
              <w:noProof/>
              <w:kern w:val="2"/>
              <w:sz w:val="24"/>
              <w:szCs w:val="24"/>
              <w14:ligatures w14:val="standardContextual"/>
            </w:rPr>
          </w:pPr>
          <w:hyperlink w:anchor="_Toc240921683" w:history="1">
            <w:r w:rsidR="00202B73" w:rsidRPr="00052608">
              <w:rPr>
                <w:rStyle w:val="Hyperlink"/>
                <w:rFonts w:eastAsiaTheme="majorEastAsia"/>
                <w:noProof/>
              </w:rPr>
              <w:t>Chapter 5: Discussion</w:t>
            </w:r>
            <w:r w:rsidR="00202B73">
              <w:rPr>
                <w:noProof/>
                <w:webHidden/>
              </w:rPr>
              <w:tab/>
            </w:r>
            <w:r w:rsidR="00202B73">
              <w:rPr>
                <w:noProof/>
                <w:webHidden/>
              </w:rPr>
              <w:fldChar w:fldCharType="begin"/>
            </w:r>
            <w:r w:rsidR="00202B73">
              <w:rPr>
                <w:noProof/>
                <w:webHidden/>
              </w:rPr>
              <w:instrText xml:space="preserve"> PAGEREF _Toc240921683 \h </w:instrText>
            </w:r>
            <w:r w:rsidR="00202B73">
              <w:rPr>
                <w:noProof/>
                <w:webHidden/>
              </w:rPr>
            </w:r>
            <w:r w:rsidR="00202B73">
              <w:rPr>
                <w:noProof/>
                <w:webHidden/>
              </w:rPr>
              <w:fldChar w:fldCharType="separate"/>
            </w:r>
            <w:r w:rsidR="00202B73">
              <w:rPr>
                <w:noProof/>
                <w:webHidden/>
              </w:rPr>
              <w:t>49</w:t>
            </w:r>
            <w:r w:rsidR="00202B73">
              <w:rPr>
                <w:noProof/>
                <w:webHidden/>
              </w:rPr>
              <w:fldChar w:fldCharType="end"/>
            </w:r>
          </w:hyperlink>
        </w:p>
        <w:p w14:paraId="4C0D2617" w14:textId="19724AAB"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84" w:history="1">
            <w:r w:rsidR="00202B73" w:rsidRPr="00052608">
              <w:rPr>
                <w:rStyle w:val="Hyperlink"/>
                <w:rFonts w:eastAsiaTheme="majorEastAsia"/>
                <w:noProof/>
              </w:rPr>
              <w:t>5.1 Introduction</w:t>
            </w:r>
            <w:r w:rsidR="00202B73">
              <w:rPr>
                <w:noProof/>
                <w:webHidden/>
              </w:rPr>
              <w:tab/>
            </w:r>
            <w:r w:rsidR="00202B73">
              <w:rPr>
                <w:noProof/>
                <w:webHidden/>
              </w:rPr>
              <w:fldChar w:fldCharType="begin"/>
            </w:r>
            <w:r w:rsidR="00202B73">
              <w:rPr>
                <w:noProof/>
                <w:webHidden/>
              </w:rPr>
              <w:instrText xml:space="preserve"> PAGEREF _Toc240921684 \h </w:instrText>
            </w:r>
            <w:r w:rsidR="00202B73">
              <w:rPr>
                <w:noProof/>
                <w:webHidden/>
              </w:rPr>
            </w:r>
            <w:r w:rsidR="00202B73">
              <w:rPr>
                <w:noProof/>
                <w:webHidden/>
              </w:rPr>
              <w:fldChar w:fldCharType="separate"/>
            </w:r>
            <w:r w:rsidR="00202B73">
              <w:rPr>
                <w:noProof/>
                <w:webHidden/>
              </w:rPr>
              <w:t>49</w:t>
            </w:r>
            <w:r w:rsidR="00202B73">
              <w:rPr>
                <w:noProof/>
                <w:webHidden/>
              </w:rPr>
              <w:fldChar w:fldCharType="end"/>
            </w:r>
          </w:hyperlink>
        </w:p>
        <w:p w14:paraId="2F7B1301" w14:textId="72253091"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85" w:history="1">
            <w:r w:rsidR="00202B73" w:rsidRPr="00052608">
              <w:rPr>
                <w:rStyle w:val="Hyperlink"/>
                <w:rFonts w:eastAsiaTheme="majorEastAsia"/>
                <w:noProof/>
              </w:rPr>
              <w:t>5.2 Discussion of Theme 1: Diagnostic Uncertainty and Decision-Support Strategies</w:t>
            </w:r>
            <w:r w:rsidR="00202B73">
              <w:rPr>
                <w:noProof/>
                <w:webHidden/>
              </w:rPr>
              <w:tab/>
            </w:r>
            <w:r w:rsidR="00202B73">
              <w:rPr>
                <w:noProof/>
                <w:webHidden/>
              </w:rPr>
              <w:fldChar w:fldCharType="begin"/>
            </w:r>
            <w:r w:rsidR="00202B73">
              <w:rPr>
                <w:noProof/>
                <w:webHidden/>
              </w:rPr>
              <w:instrText xml:space="preserve"> PAGEREF _Toc240921685 \h </w:instrText>
            </w:r>
            <w:r w:rsidR="00202B73">
              <w:rPr>
                <w:noProof/>
                <w:webHidden/>
              </w:rPr>
            </w:r>
            <w:r w:rsidR="00202B73">
              <w:rPr>
                <w:noProof/>
                <w:webHidden/>
              </w:rPr>
              <w:fldChar w:fldCharType="separate"/>
            </w:r>
            <w:r w:rsidR="00202B73">
              <w:rPr>
                <w:noProof/>
                <w:webHidden/>
              </w:rPr>
              <w:t>49</w:t>
            </w:r>
            <w:r w:rsidR="00202B73">
              <w:rPr>
                <w:noProof/>
                <w:webHidden/>
              </w:rPr>
              <w:fldChar w:fldCharType="end"/>
            </w:r>
          </w:hyperlink>
        </w:p>
        <w:p w14:paraId="1F94CE41" w14:textId="6F3D6F4C"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86" w:history="1">
            <w:r w:rsidR="00202B73" w:rsidRPr="00052608">
              <w:rPr>
                <w:rStyle w:val="Hyperlink"/>
                <w:rFonts w:eastAsiaTheme="majorEastAsia"/>
                <w:noProof/>
              </w:rPr>
              <w:t>5.3 Discussion of Theme 2: Management Strategies, Antibiotic Use and Patient Outcomes</w:t>
            </w:r>
            <w:r w:rsidR="00202B73">
              <w:rPr>
                <w:noProof/>
                <w:webHidden/>
              </w:rPr>
              <w:tab/>
            </w:r>
            <w:r w:rsidR="00202B73">
              <w:rPr>
                <w:noProof/>
                <w:webHidden/>
              </w:rPr>
              <w:fldChar w:fldCharType="begin"/>
            </w:r>
            <w:r w:rsidR="00202B73">
              <w:rPr>
                <w:noProof/>
                <w:webHidden/>
              </w:rPr>
              <w:instrText xml:space="preserve"> PAGEREF _Toc240921686 \h </w:instrText>
            </w:r>
            <w:r w:rsidR="00202B73">
              <w:rPr>
                <w:noProof/>
                <w:webHidden/>
              </w:rPr>
            </w:r>
            <w:r w:rsidR="00202B73">
              <w:rPr>
                <w:noProof/>
                <w:webHidden/>
              </w:rPr>
              <w:fldChar w:fldCharType="separate"/>
            </w:r>
            <w:r w:rsidR="00202B73">
              <w:rPr>
                <w:noProof/>
                <w:webHidden/>
              </w:rPr>
              <w:t>50</w:t>
            </w:r>
            <w:r w:rsidR="00202B73">
              <w:rPr>
                <w:noProof/>
                <w:webHidden/>
              </w:rPr>
              <w:fldChar w:fldCharType="end"/>
            </w:r>
          </w:hyperlink>
        </w:p>
        <w:p w14:paraId="2AB952A1" w14:textId="78F68741"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87" w:history="1">
            <w:r w:rsidR="00202B73" w:rsidRPr="00052608">
              <w:rPr>
                <w:rStyle w:val="Hyperlink"/>
                <w:rFonts w:eastAsiaTheme="majorEastAsia"/>
                <w:noProof/>
              </w:rPr>
              <w:t>5.4 Discussion of Theme 3: Prescribing Behaviour and Implementation of Antimicrobial Stewardship</w:t>
            </w:r>
            <w:r w:rsidR="00202B73">
              <w:rPr>
                <w:noProof/>
                <w:webHidden/>
              </w:rPr>
              <w:tab/>
            </w:r>
            <w:r w:rsidR="00202B73">
              <w:rPr>
                <w:noProof/>
                <w:webHidden/>
              </w:rPr>
              <w:fldChar w:fldCharType="begin"/>
            </w:r>
            <w:r w:rsidR="00202B73">
              <w:rPr>
                <w:noProof/>
                <w:webHidden/>
              </w:rPr>
              <w:instrText xml:space="preserve"> PAGEREF _Toc240921687 \h </w:instrText>
            </w:r>
            <w:r w:rsidR="00202B73">
              <w:rPr>
                <w:noProof/>
                <w:webHidden/>
              </w:rPr>
            </w:r>
            <w:r w:rsidR="00202B73">
              <w:rPr>
                <w:noProof/>
                <w:webHidden/>
              </w:rPr>
              <w:fldChar w:fldCharType="separate"/>
            </w:r>
            <w:r w:rsidR="00202B73">
              <w:rPr>
                <w:noProof/>
                <w:webHidden/>
              </w:rPr>
              <w:t>51</w:t>
            </w:r>
            <w:r w:rsidR="00202B73">
              <w:rPr>
                <w:noProof/>
                <w:webHidden/>
              </w:rPr>
              <w:fldChar w:fldCharType="end"/>
            </w:r>
          </w:hyperlink>
        </w:p>
        <w:p w14:paraId="22A3BB1D" w14:textId="2CCC717F"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88" w:history="1">
            <w:r w:rsidR="00202B73" w:rsidRPr="00052608">
              <w:rPr>
                <w:rStyle w:val="Hyperlink"/>
                <w:rFonts w:eastAsiaTheme="majorEastAsia"/>
                <w:noProof/>
              </w:rPr>
              <w:t>5.5 Overall Strengths and Limitations of the Evidence</w:t>
            </w:r>
            <w:r w:rsidR="00202B73">
              <w:rPr>
                <w:noProof/>
                <w:webHidden/>
              </w:rPr>
              <w:tab/>
            </w:r>
            <w:r w:rsidR="00202B73">
              <w:rPr>
                <w:noProof/>
                <w:webHidden/>
              </w:rPr>
              <w:fldChar w:fldCharType="begin"/>
            </w:r>
            <w:r w:rsidR="00202B73">
              <w:rPr>
                <w:noProof/>
                <w:webHidden/>
              </w:rPr>
              <w:instrText xml:space="preserve"> PAGEREF _Toc240921688 \h </w:instrText>
            </w:r>
            <w:r w:rsidR="00202B73">
              <w:rPr>
                <w:noProof/>
                <w:webHidden/>
              </w:rPr>
            </w:r>
            <w:r w:rsidR="00202B73">
              <w:rPr>
                <w:noProof/>
                <w:webHidden/>
              </w:rPr>
              <w:fldChar w:fldCharType="separate"/>
            </w:r>
            <w:r w:rsidR="00202B73">
              <w:rPr>
                <w:noProof/>
                <w:webHidden/>
              </w:rPr>
              <w:t>53</w:t>
            </w:r>
            <w:r w:rsidR="00202B73">
              <w:rPr>
                <w:noProof/>
                <w:webHidden/>
              </w:rPr>
              <w:fldChar w:fldCharType="end"/>
            </w:r>
          </w:hyperlink>
        </w:p>
        <w:p w14:paraId="7E4E0C17" w14:textId="354AE669"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89" w:history="1">
            <w:r w:rsidR="00202B73" w:rsidRPr="00052608">
              <w:rPr>
                <w:rStyle w:val="Hyperlink"/>
                <w:rFonts w:eastAsiaTheme="majorEastAsia"/>
                <w:noProof/>
              </w:rPr>
              <w:t>5.6 Implications for Practice, Policy and Future Research</w:t>
            </w:r>
            <w:r w:rsidR="00202B73">
              <w:rPr>
                <w:noProof/>
                <w:webHidden/>
              </w:rPr>
              <w:tab/>
            </w:r>
            <w:r w:rsidR="00202B73">
              <w:rPr>
                <w:noProof/>
                <w:webHidden/>
              </w:rPr>
              <w:fldChar w:fldCharType="begin"/>
            </w:r>
            <w:r w:rsidR="00202B73">
              <w:rPr>
                <w:noProof/>
                <w:webHidden/>
              </w:rPr>
              <w:instrText xml:space="preserve"> PAGEREF _Toc240921689 \h </w:instrText>
            </w:r>
            <w:r w:rsidR="00202B73">
              <w:rPr>
                <w:noProof/>
                <w:webHidden/>
              </w:rPr>
            </w:r>
            <w:r w:rsidR="00202B73">
              <w:rPr>
                <w:noProof/>
                <w:webHidden/>
              </w:rPr>
              <w:fldChar w:fldCharType="separate"/>
            </w:r>
            <w:r w:rsidR="00202B73">
              <w:rPr>
                <w:noProof/>
                <w:webHidden/>
              </w:rPr>
              <w:t>54</w:t>
            </w:r>
            <w:r w:rsidR="00202B73">
              <w:rPr>
                <w:noProof/>
                <w:webHidden/>
              </w:rPr>
              <w:fldChar w:fldCharType="end"/>
            </w:r>
          </w:hyperlink>
        </w:p>
        <w:p w14:paraId="1332D647" w14:textId="135A3EF2"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90" w:history="1">
            <w:r w:rsidR="00202B73" w:rsidRPr="00052608">
              <w:rPr>
                <w:rStyle w:val="Hyperlink"/>
                <w:rFonts w:eastAsiaTheme="majorEastAsia"/>
                <w:noProof/>
              </w:rPr>
              <w:t>5.7 Chapter Summary</w:t>
            </w:r>
            <w:r w:rsidR="00202B73">
              <w:rPr>
                <w:noProof/>
                <w:webHidden/>
              </w:rPr>
              <w:tab/>
            </w:r>
            <w:r w:rsidR="00202B73">
              <w:rPr>
                <w:noProof/>
                <w:webHidden/>
              </w:rPr>
              <w:fldChar w:fldCharType="begin"/>
            </w:r>
            <w:r w:rsidR="00202B73">
              <w:rPr>
                <w:noProof/>
                <w:webHidden/>
              </w:rPr>
              <w:instrText xml:space="preserve"> PAGEREF _Toc240921690 \h </w:instrText>
            </w:r>
            <w:r w:rsidR="00202B73">
              <w:rPr>
                <w:noProof/>
                <w:webHidden/>
              </w:rPr>
            </w:r>
            <w:r w:rsidR="00202B73">
              <w:rPr>
                <w:noProof/>
                <w:webHidden/>
              </w:rPr>
              <w:fldChar w:fldCharType="separate"/>
            </w:r>
            <w:r w:rsidR="00202B73">
              <w:rPr>
                <w:noProof/>
                <w:webHidden/>
              </w:rPr>
              <w:t>54</w:t>
            </w:r>
            <w:r w:rsidR="00202B73">
              <w:rPr>
                <w:noProof/>
                <w:webHidden/>
              </w:rPr>
              <w:fldChar w:fldCharType="end"/>
            </w:r>
          </w:hyperlink>
        </w:p>
        <w:p w14:paraId="20532874" w14:textId="62B9BD22" w:rsidR="00202B73" w:rsidRDefault="00807A36">
          <w:pPr>
            <w:pStyle w:val="TOC1"/>
            <w:tabs>
              <w:tab w:val="right" w:leader="dot" w:pos="9226"/>
            </w:tabs>
            <w:rPr>
              <w:rFonts w:asciiTheme="minorHAnsi" w:eastAsiaTheme="minorEastAsia" w:hAnsiTheme="minorHAnsi" w:cstheme="minorBidi"/>
              <w:noProof/>
              <w:kern w:val="2"/>
              <w:sz w:val="24"/>
              <w:szCs w:val="24"/>
              <w14:ligatures w14:val="standardContextual"/>
            </w:rPr>
          </w:pPr>
          <w:hyperlink w:anchor="_Toc240921691" w:history="1">
            <w:r w:rsidR="00202B73" w:rsidRPr="00052608">
              <w:rPr>
                <w:rStyle w:val="Hyperlink"/>
                <w:rFonts w:eastAsiaTheme="majorEastAsia"/>
                <w:noProof/>
              </w:rPr>
              <w:t>Chapter 6: Conclusion and Recommendations</w:t>
            </w:r>
            <w:r w:rsidR="00202B73">
              <w:rPr>
                <w:noProof/>
                <w:webHidden/>
              </w:rPr>
              <w:tab/>
            </w:r>
            <w:r w:rsidR="00202B73">
              <w:rPr>
                <w:noProof/>
                <w:webHidden/>
              </w:rPr>
              <w:fldChar w:fldCharType="begin"/>
            </w:r>
            <w:r w:rsidR="00202B73">
              <w:rPr>
                <w:noProof/>
                <w:webHidden/>
              </w:rPr>
              <w:instrText xml:space="preserve"> PAGEREF _Toc240921691 \h </w:instrText>
            </w:r>
            <w:r w:rsidR="00202B73">
              <w:rPr>
                <w:noProof/>
                <w:webHidden/>
              </w:rPr>
            </w:r>
            <w:r w:rsidR="00202B73">
              <w:rPr>
                <w:noProof/>
                <w:webHidden/>
              </w:rPr>
              <w:fldChar w:fldCharType="separate"/>
            </w:r>
            <w:r w:rsidR="00202B73">
              <w:rPr>
                <w:noProof/>
                <w:webHidden/>
              </w:rPr>
              <w:t>55</w:t>
            </w:r>
            <w:r w:rsidR="00202B73">
              <w:rPr>
                <w:noProof/>
                <w:webHidden/>
              </w:rPr>
              <w:fldChar w:fldCharType="end"/>
            </w:r>
          </w:hyperlink>
        </w:p>
        <w:p w14:paraId="3143A8A2" w14:textId="55919211"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92" w:history="1">
            <w:r w:rsidR="00202B73" w:rsidRPr="00052608">
              <w:rPr>
                <w:rStyle w:val="Hyperlink"/>
                <w:rFonts w:eastAsiaTheme="majorEastAsia"/>
                <w:noProof/>
              </w:rPr>
              <w:t>6.1 Conclusion</w:t>
            </w:r>
            <w:r w:rsidR="00202B73">
              <w:rPr>
                <w:noProof/>
                <w:webHidden/>
              </w:rPr>
              <w:tab/>
            </w:r>
            <w:r w:rsidR="00202B73">
              <w:rPr>
                <w:noProof/>
                <w:webHidden/>
              </w:rPr>
              <w:fldChar w:fldCharType="begin"/>
            </w:r>
            <w:r w:rsidR="00202B73">
              <w:rPr>
                <w:noProof/>
                <w:webHidden/>
              </w:rPr>
              <w:instrText xml:space="preserve"> PAGEREF _Toc240921692 \h </w:instrText>
            </w:r>
            <w:r w:rsidR="00202B73">
              <w:rPr>
                <w:noProof/>
                <w:webHidden/>
              </w:rPr>
            </w:r>
            <w:r w:rsidR="00202B73">
              <w:rPr>
                <w:noProof/>
                <w:webHidden/>
              </w:rPr>
              <w:fldChar w:fldCharType="separate"/>
            </w:r>
            <w:r w:rsidR="00202B73">
              <w:rPr>
                <w:noProof/>
                <w:webHidden/>
              </w:rPr>
              <w:t>55</w:t>
            </w:r>
            <w:r w:rsidR="00202B73">
              <w:rPr>
                <w:noProof/>
                <w:webHidden/>
              </w:rPr>
              <w:fldChar w:fldCharType="end"/>
            </w:r>
          </w:hyperlink>
        </w:p>
        <w:p w14:paraId="0BA91510" w14:textId="0B2F307E"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93" w:history="1">
            <w:r w:rsidR="00202B73" w:rsidRPr="00052608">
              <w:rPr>
                <w:rStyle w:val="Hyperlink"/>
                <w:rFonts w:eastAsiaTheme="majorEastAsia"/>
                <w:noProof/>
              </w:rPr>
              <w:t>6.2 Recommendations</w:t>
            </w:r>
            <w:r w:rsidR="00202B73">
              <w:rPr>
                <w:noProof/>
                <w:webHidden/>
              </w:rPr>
              <w:tab/>
            </w:r>
            <w:r w:rsidR="00202B73">
              <w:rPr>
                <w:noProof/>
                <w:webHidden/>
              </w:rPr>
              <w:fldChar w:fldCharType="begin"/>
            </w:r>
            <w:r w:rsidR="00202B73">
              <w:rPr>
                <w:noProof/>
                <w:webHidden/>
              </w:rPr>
              <w:instrText xml:space="preserve"> PAGEREF _Toc240921693 \h </w:instrText>
            </w:r>
            <w:r w:rsidR="00202B73">
              <w:rPr>
                <w:noProof/>
                <w:webHidden/>
              </w:rPr>
            </w:r>
            <w:r w:rsidR="00202B73">
              <w:rPr>
                <w:noProof/>
                <w:webHidden/>
              </w:rPr>
              <w:fldChar w:fldCharType="separate"/>
            </w:r>
            <w:r w:rsidR="00202B73">
              <w:rPr>
                <w:noProof/>
                <w:webHidden/>
              </w:rPr>
              <w:t>56</w:t>
            </w:r>
            <w:r w:rsidR="00202B73">
              <w:rPr>
                <w:noProof/>
                <w:webHidden/>
              </w:rPr>
              <w:fldChar w:fldCharType="end"/>
            </w:r>
          </w:hyperlink>
        </w:p>
        <w:p w14:paraId="7099C1DA" w14:textId="38D0B56C" w:rsidR="00202B73" w:rsidRDefault="00807A36">
          <w:pPr>
            <w:pStyle w:val="TOC3"/>
            <w:tabs>
              <w:tab w:val="right" w:leader="dot" w:pos="9226"/>
            </w:tabs>
            <w:rPr>
              <w:rFonts w:asciiTheme="minorHAnsi" w:eastAsiaTheme="minorEastAsia" w:hAnsiTheme="minorHAnsi" w:cstheme="minorBidi"/>
              <w:noProof/>
              <w:kern w:val="2"/>
              <w:sz w:val="24"/>
              <w:szCs w:val="24"/>
              <w14:ligatures w14:val="standardContextual"/>
            </w:rPr>
          </w:pPr>
          <w:hyperlink w:anchor="_Toc240921694" w:history="1">
            <w:r w:rsidR="00202B73" w:rsidRPr="00052608">
              <w:rPr>
                <w:rStyle w:val="Hyperlink"/>
                <w:rFonts w:eastAsiaTheme="majorEastAsia"/>
                <w:noProof/>
              </w:rPr>
              <w:t>6.2.1 Use diagnostic tools in conjunction with clinical judgement</w:t>
            </w:r>
            <w:r w:rsidR="00202B73">
              <w:rPr>
                <w:noProof/>
                <w:webHidden/>
              </w:rPr>
              <w:tab/>
            </w:r>
            <w:r w:rsidR="00202B73">
              <w:rPr>
                <w:noProof/>
                <w:webHidden/>
              </w:rPr>
              <w:fldChar w:fldCharType="begin"/>
            </w:r>
            <w:r w:rsidR="00202B73">
              <w:rPr>
                <w:noProof/>
                <w:webHidden/>
              </w:rPr>
              <w:instrText xml:space="preserve"> PAGEREF _Toc240921694 \h </w:instrText>
            </w:r>
            <w:r w:rsidR="00202B73">
              <w:rPr>
                <w:noProof/>
                <w:webHidden/>
              </w:rPr>
            </w:r>
            <w:r w:rsidR="00202B73">
              <w:rPr>
                <w:noProof/>
                <w:webHidden/>
              </w:rPr>
              <w:fldChar w:fldCharType="separate"/>
            </w:r>
            <w:r w:rsidR="00202B73">
              <w:rPr>
                <w:noProof/>
                <w:webHidden/>
              </w:rPr>
              <w:t>56</w:t>
            </w:r>
            <w:r w:rsidR="00202B73">
              <w:rPr>
                <w:noProof/>
                <w:webHidden/>
              </w:rPr>
              <w:fldChar w:fldCharType="end"/>
            </w:r>
          </w:hyperlink>
        </w:p>
        <w:p w14:paraId="55AECD7E" w14:textId="647D0E3B" w:rsidR="00202B73" w:rsidRDefault="00807A36">
          <w:pPr>
            <w:pStyle w:val="TOC3"/>
            <w:tabs>
              <w:tab w:val="right" w:leader="dot" w:pos="9226"/>
            </w:tabs>
            <w:rPr>
              <w:rFonts w:asciiTheme="minorHAnsi" w:eastAsiaTheme="minorEastAsia" w:hAnsiTheme="minorHAnsi" w:cstheme="minorBidi"/>
              <w:noProof/>
              <w:kern w:val="2"/>
              <w:sz w:val="24"/>
              <w:szCs w:val="24"/>
              <w14:ligatures w14:val="standardContextual"/>
            </w:rPr>
          </w:pPr>
          <w:hyperlink w:anchor="_Toc240921695" w:history="1">
            <w:r w:rsidR="00202B73" w:rsidRPr="00052608">
              <w:rPr>
                <w:rStyle w:val="Hyperlink"/>
                <w:rFonts w:eastAsiaTheme="majorEastAsia"/>
                <w:noProof/>
              </w:rPr>
              <w:t>6.2.2 Selectively use Delayed Prescribing and enhance safety netting</w:t>
            </w:r>
            <w:r w:rsidR="00202B73">
              <w:rPr>
                <w:noProof/>
                <w:webHidden/>
              </w:rPr>
              <w:tab/>
            </w:r>
            <w:r w:rsidR="00202B73">
              <w:rPr>
                <w:noProof/>
                <w:webHidden/>
              </w:rPr>
              <w:fldChar w:fldCharType="begin"/>
            </w:r>
            <w:r w:rsidR="00202B73">
              <w:rPr>
                <w:noProof/>
                <w:webHidden/>
              </w:rPr>
              <w:instrText xml:space="preserve"> PAGEREF _Toc240921695 \h </w:instrText>
            </w:r>
            <w:r w:rsidR="00202B73">
              <w:rPr>
                <w:noProof/>
                <w:webHidden/>
              </w:rPr>
            </w:r>
            <w:r w:rsidR="00202B73">
              <w:rPr>
                <w:noProof/>
                <w:webHidden/>
              </w:rPr>
              <w:fldChar w:fldCharType="separate"/>
            </w:r>
            <w:r w:rsidR="00202B73">
              <w:rPr>
                <w:noProof/>
                <w:webHidden/>
              </w:rPr>
              <w:t>56</w:t>
            </w:r>
            <w:r w:rsidR="00202B73">
              <w:rPr>
                <w:noProof/>
                <w:webHidden/>
              </w:rPr>
              <w:fldChar w:fldCharType="end"/>
            </w:r>
          </w:hyperlink>
        </w:p>
        <w:p w14:paraId="2E0E3A02" w14:textId="69F27731" w:rsidR="00202B73" w:rsidRDefault="00807A36">
          <w:pPr>
            <w:pStyle w:val="TOC3"/>
            <w:tabs>
              <w:tab w:val="right" w:leader="dot" w:pos="9226"/>
            </w:tabs>
            <w:rPr>
              <w:rFonts w:asciiTheme="minorHAnsi" w:eastAsiaTheme="minorEastAsia" w:hAnsiTheme="minorHAnsi" w:cstheme="minorBidi"/>
              <w:noProof/>
              <w:kern w:val="2"/>
              <w:sz w:val="24"/>
              <w:szCs w:val="24"/>
              <w14:ligatures w14:val="standardContextual"/>
            </w:rPr>
          </w:pPr>
          <w:hyperlink w:anchor="_Toc240921696" w:history="1">
            <w:r w:rsidR="00202B73" w:rsidRPr="00052608">
              <w:rPr>
                <w:rStyle w:val="Hyperlink"/>
                <w:rFonts w:eastAsiaTheme="majorEastAsia"/>
                <w:noProof/>
              </w:rPr>
              <w:t>6.2.3 Improve monitoring of Service-Level Support and Stewardship</w:t>
            </w:r>
            <w:r w:rsidR="00202B73">
              <w:rPr>
                <w:noProof/>
                <w:webHidden/>
              </w:rPr>
              <w:tab/>
            </w:r>
            <w:r w:rsidR="00202B73">
              <w:rPr>
                <w:noProof/>
                <w:webHidden/>
              </w:rPr>
              <w:fldChar w:fldCharType="begin"/>
            </w:r>
            <w:r w:rsidR="00202B73">
              <w:rPr>
                <w:noProof/>
                <w:webHidden/>
              </w:rPr>
              <w:instrText xml:space="preserve"> PAGEREF _Toc240921696 \h </w:instrText>
            </w:r>
            <w:r w:rsidR="00202B73">
              <w:rPr>
                <w:noProof/>
                <w:webHidden/>
              </w:rPr>
            </w:r>
            <w:r w:rsidR="00202B73">
              <w:rPr>
                <w:noProof/>
                <w:webHidden/>
              </w:rPr>
              <w:fldChar w:fldCharType="separate"/>
            </w:r>
            <w:r w:rsidR="00202B73">
              <w:rPr>
                <w:noProof/>
                <w:webHidden/>
              </w:rPr>
              <w:t>56</w:t>
            </w:r>
            <w:r w:rsidR="00202B73">
              <w:rPr>
                <w:noProof/>
                <w:webHidden/>
              </w:rPr>
              <w:fldChar w:fldCharType="end"/>
            </w:r>
          </w:hyperlink>
        </w:p>
        <w:p w14:paraId="72D43365" w14:textId="4BD775B3" w:rsidR="00202B73" w:rsidRDefault="00807A36">
          <w:pPr>
            <w:pStyle w:val="TOC1"/>
            <w:tabs>
              <w:tab w:val="right" w:leader="dot" w:pos="9226"/>
            </w:tabs>
            <w:rPr>
              <w:rFonts w:asciiTheme="minorHAnsi" w:eastAsiaTheme="minorEastAsia" w:hAnsiTheme="minorHAnsi" w:cstheme="minorBidi"/>
              <w:noProof/>
              <w:kern w:val="2"/>
              <w:sz w:val="24"/>
              <w:szCs w:val="24"/>
              <w14:ligatures w14:val="standardContextual"/>
            </w:rPr>
          </w:pPr>
          <w:hyperlink w:anchor="_Toc240921697" w:history="1">
            <w:r w:rsidR="00202B73" w:rsidRPr="00052608">
              <w:rPr>
                <w:rStyle w:val="Hyperlink"/>
                <w:rFonts w:eastAsiaTheme="majorEastAsia"/>
                <w:noProof/>
              </w:rPr>
              <w:t>Reference List</w:t>
            </w:r>
            <w:r w:rsidR="00202B73">
              <w:rPr>
                <w:noProof/>
                <w:webHidden/>
              </w:rPr>
              <w:tab/>
            </w:r>
            <w:r w:rsidR="00202B73">
              <w:rPr>
                <w:noProof/>
                <w:webHidden/>
              </w:rPr>
              <w:fldChar w:fldCharType="begin"/>
            </w:r>
            <w:r w:rsidR="00202B73">
              <w:rPr>
                <w:noProof/>
                <w:webHidden/>
              </w:rPr>
              <w:instrText xml:space="preserve"> PAGEREF _Toc240921697 \h </w:instrText>
            </w:r>
            <w:r w:rsidR="00202B73">
              <w:rPr>
                <w:noProof/>
                <w:webHidden/>
              </w:rPr>
            </w:r>
            <w:r w:rsidR="00202B73">
              <w:rPr>
                <w:noProof/>
                <w:webHidden/>
              </w:rPr>
              <w:fldChar w:fldCharType="separate"/>
            </w:r>
            <w:r w:rsidR="00202B73">
              <w:rPr>
                <w:noProof/>
                <w:webHidden/>
              </w:rPr>
              <w:t>58</w:t>
            </w:r>
            <w:r w:rsidR="00202B73">
              <w:rPr>
                <w:noProof/>
                <w:webHidden/>
              </w:rPr>
              <w:fldChar w:fldCharType="end"/>
            </w:r>
          </w:hyperlink>
        </w:p>
        <w:p w14:paraId="51C48D45" w14:textId="73F4A95D" w:rsidR="00202B73" w:rsidRDefault="00807A36">
          <w:pPr>
            <w:pStyle w:val="TOC1"/>
            <w:tabs>
              <w:tab w:val="right" w:leader="dot" w:pos="9226"/>
            </w:tabs>
            <w:rPr>
              <w:rFonts w:asciiTheme="minorHAnsi" w:eastAsiaTheme="minorEastAsia" w:hAnsiTheme="minorHAnsi" w:cstheme="minorBidi"/>
              <w:noProof/>
              <w:kern w:val="2"/>
              <w:sz w:val="24"/>
              <w:szCs w:val="24"/>
              <w14:ligatures w14:val="standardContextual"/>
            </w:rPr>
          </w:pPr>
          <w:hyperlink w:anchor="_Toc240921698" w:history="1">
            <w:r w:rsidR="00202B73" w:rsidRPr="00052608">
              <w:rPr>
                <w:rStyle w:val="Hyperlink"/>
                <w:rFonts w:eastAsiaTheme="majorEastAsia"/>
                <w:noProof/>
              </w:rPr>
              <w:t>Appendices</w:t>
            </w:r>
            <w:r w:rsidR="00202B73">
              <w:rPr>
                <w:noProof/>
                <w:webHidden/>
              </w:rPr>
              <w:tab/>
            </w:r>
            <w:r w:rsidR="00202B73">
              <w:rPr>
                <w:noProof/>
                <w:webHidden/>
              </w:rPr>
              <w:fldChar w:fldCharType="begin"/>
            </w:r>
            <w:r w:rsidR="00202B73">
              <w:rPr>
                <w:noProof/>
                <w:webHidden/>
              </w:rPr>
              <w:instrText xml:space="preserve"> PAGEREF _Toc240921698 \h </w:instrText>
            </w:r>
            <w:r w:rsidR="00202B73">
              <w:rPr>
                <w:noProof/>
                <w:webHidden/>
              </w:rPr>
            </w:r>
            <w:r w:rsidR="00202B73">
              <w:rPr>
                <w:noProof/>
                <w:webHidden/>
              </w:rPr>
              <w:fldChar w:fldCharType="separate"/>
            </w:r>
            <w:r w:rsidR="00202B73">
              <w:rPr>
                <w:noProof/>
                <w:webHidden/>
              </w:rPr>
              <w:t>72</w:t>
            </w:r>
            <w:r w:rsidR="00202B73">
              <w:rPr>
                <w:noProof/>
                <w:webHidden/>
              </w:rPr>
              <w:fldChar w:fldCharType="end"/>
            </w:r>
          </w:hyperlink>
        </w:p>
        <w:p w14:paraId="7C6C7956" w14:textId="329BF36A"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699" w:history="1">
            <w:r w:rsidR="00202B73" w:rsidRPr="00052608">
              <w:rPr>
                <w:rStyle w:val="Hyperlink"/>
                <w:rFonts w:eastAsiaTheme="majorEastAsia"/>
                <w:noProof/>
              </w:rPr>
              <w:t>Appendix A - Data Extraction Table</w:t>
            </w:r>
            <w:r w:rsidR="00202B73">
              <w:rPr>
                <w:noProof/>
                <w:webHidden/>
              </w:rPr>
              <w:tab/>
            </w:r>
            <w:r w:rsidR="00202B73">
              <w:rPr>
                <w:noProof/>
                <w:webHidden/>
              </w:rPr>
              <w:fldChar w:fldCharType="begin"/>
            </w:r>
            <w:r w:rsidR="00202B73">
              <w:rPr>
                <w:noProof/>
                <w:webHidden/>
              </w:rPr>
              <w:instrText xml:space="preserve"> PAGEREF _Toc240921699 \h </w:instrText>
            </w:r>
            <w:r w:rsidR="00202B73">
              <w:rPr>
                <w:noProof/>
                <w:webHidden/>
              </w:rPr>
            </w:r>
            <w:r w:rsidR="00202B73">
              <w:rPr>
                <w:noProof/>
                <w:webHidden/>
              </w:rPr>
              <w:fldChar w:fldCharType="separate"/>
            </w:r>
            <w:r w:rsidR="00202B73">
              <w:rPr>
                <w:noProof/>
                <w:webHidden/>
              </w:rPr>
              <w:t>72</w:t>
            </w:r>
            <w:r w:rsidR="00202B73">
              <w:rPr>
                <w:noProof/>
                <w:webHidden/>
              </w:rPr>
              <w:fldChar w:fldCharType="end"/>
            </w:r>
          </w:hyperlink>
        </w:p>
        <w:p w14:paraId="6877E04F" w14:textId="63AB6C25" w:rsidR="00202B73" w:rsidRDefault="00807A36">
          <w:pPr>
            <w:pStyle w:val="TOC2"/>
            <w:tabs>
              <w:tab w:val="right" w:leader="dot" w:pos="9226"/>
            </w:tabs>
            <w:rPr>
              <w:rFonts w:asciiTheme="minorHAnsi" w:eastAsiaTheme="minorEastAsia" w:hAnsiTheme="minorHAnsi" w:cstheme="minorBidi"/>
              <w:noProof/>
              <w:kern w:val="2"/>
              <w:sz w:val="24"/>
              <w:szCs w:val="24"/>
              <w14:ligatures w14:val="standardContextual"/>
            </w:rPr>
          </w:pPr>
          <w:hyperlink w:anchor="_Toc240921700" w:history="1">
            <w:r w:rsidR="00202B73" w:rsidRPr="00052608">
              <w:rPr>
                <w:rStyle w:val="Hyperlink"/>
                <w:rFonts w:eastAsiaTheme="majorEastAsia"/>
                <w:noProof/>
              </w:rPr>
              <w:t>Appendix B - Critical Appraisals</w:t>
            </w:r>
            <w:r w:rsidR="00202B73">
              <w:rPr>
                <w:noProof/>
                <w:webHidden/>
              </w:rPr>
              <w:tab/>
            </w:r>
            <w:r w:rsidR="00202B73">
              <w:rPr>
                <w:noProof/>
                <w:webHidden/>
              </w:rPr>
              <w:fldChar w:fldCharType="begin"/>
            </w:r>
            <w:r w:rsidR="00202B73">
              <w:rPr>
                <w:noProof/>
                <w:webHidden/>
              </w:rPr>
              <w:instrText xml:space="preserve"> PAGEREF _Toc240921700 \h </w:instrText>
            </w:r>
            <w:r w:rsidR="00202B73">
              <w:rPr>
                <w:noProof/>
                <w:webHidden/>
              </w:rPr>
            </w:r>
            <w:r w:rsidR="00202B73">
              <w:rPr>
                <w:noProof/>
                <w:webHidden/>
              </w:rPr>
              <w:fldChar w:fldCharType="separate"/>
            </w:r>
            <w:r w:rsidR="00202B73">
              <w:rPr>
                <w:noProof/>
                <w:webHidden/>
              </w:rPr>
              <w:t>75</w:t>
            </w:r>
            <w:r w:rsidR="00202B73">
              <w:rPr>
                <w:noProof/>
                <w:webHidden/>
              </w:rPr>
              <w:fldChar w:fldCharType="end"/>
            </w:r>
          </w:hyperlink>
        </w:p>
        <w:p w14:paraId="0CF0C494" w14:textId="59E53181" w:rsidR="00146025" w:rsidRDefault="00146025">
          <w:r>
            <w:rPr>
              <w:b/>
              <w:bCs/>
              <w:noProof/>
            </w:rPr>
            <w:fldChar w:fldCharType="end"/>
          </w:r>
        </w:p>
      </w:sdtContent>
    </w:sdt>
    <w:p w14:paraId="4571FF1D" w14:textId="4154CDA8" w:rsidR="00146025" w:rsidRDefault="00146025">
      <w:pPr>
        <w:spacing w:after="200" w:line="276" w:lineRule="auto"/>
        <w:jc w:val="left"/>
        <w:rPr>
          <w:b/>
          <w:bCs/>
          <w:sz w:val="32"/>
          <w:szCs w:val="28"/>
        </w:rPr>
      </w:pPr>
      <w:r>
        <w:br w:type="page"/>
      </w:r>
    </w:p>
    <w:p w14:paraId="0CCEBD05" w14:textId="77777777" w:rsidR="00AE220F" w:rsidRPr="00AE220F" w:rsidRDefault="00AE220F" w:rsidP="00E32907">
      <w:pPr>
        <w:pStyle w:val="Heading1"/>
      </w:pPr>
      <w:bookmarkStart w:id="6" w:name="_Toc237220336"/>
      <w:bookmarkStart w:id="7" w:name="_Toc240921635"/>
      <w:r w:rsidRPr="00AE220F">
        <w:lastRenderedPageBreak/>
        <w:t>Chapter 1: Introduction</w:t>
      </w:r>
      <w:bookmarkEnd w:id="6"/>
      <w:bookmarkEnd w:id="7"/>
    </w:p>
    <w:p w14:paraId="72362548" w14:textId="77777777" w:rsidR="00AE220F" w:rsidRPr="00AE220F" w:rsidRDefault="00AE220F" w:rsidP="00E32907">
      <w:pPr>
        <w:pStyle w:val="Heading2"/>
      </w:pPr>
      <w:bookmarkStart w:id="8" w:name="_Toc237220337"/>
      <w:bookmarkStart w:id="9" w:name="_Toc240921636"/>
      <w:r w:rsidRPr="00AE220F">
        <w:t>1.1 Introduction</w:t>
      </w:r>
      <w:bookmarkEnd w:id="8"/>
      <w:bookmarkEnd w:id="9"/>
    </w:p>
    <w:p w14:paraId="22412B67" w14:textId="5775E3F6" w:rsidR="00AE220F" w:rsidRPr="00AE220F" w:rsidRDefault="00AE220F" w:rsidP="00AE220F">
      <w:pPr>
        <w:rPr>
          <w:rFonts w:cs="Times New Roman"/>
        </w:rPr>
      </w:pPr>
      <w:r w:rsidRPr="00AE220F">
        <w:rPr>
          <w:rFonts w:cs="Times New Roman"/>
        </w:rPr>
        <w:t>Acute respiratory tract infections (ARTIs) are among the most common reasons for adult GP consultations and presentations to community pharmacies and other primary-care services. Acute infections of the upper or lower respiratory tract include acute cough, sore throat, influenza-like illness and lower respiratory tract infection. Many episodes are viral in nature and do not require antibiotics; however, symptoms from viral and bacterial infection can overlap. Therefore, it is important for clinicians to identify adults who may require antibiotic treatment and prevent unnecessary antibiotic exposure of adults with self-limiting illness (NICE, 2019; NICE, 2023</w:t>
      </w:r>
      <w:r w:rsidR="009A134E">
        <w:rPr>
          <w:rFonts w:cs="Times New Roman"/>
        </w:rPr>
        <w:t>d</w:t>
      </w:r>
      <w:r w:rsidRPr="00AE220F">
        <w:rPr>
          <w:rFonts w:cs="Times New Roman"/>
        </w:rPr>
        <w:t>).</w:t>
      </w:r>
    </w:p>
    <w:p w14:paraId="392AC5CA" w14:textId="711158E8" w:rsidR="00AE220F" w:rsidRPr="00AE220F" w:rsidRDefault="00AE220F" w:rsidP="00AE220F">
      <w:pPr>
        <w:rPr>
          <w:rFonts w:cs="Times New Roman"/>
        </w:rPr>
      </w:pPr>
      <w:r w:rsidRPr="00AE220F">
        <w:rPr>
          <w:rFonts w:cs="Times New Roman"/>
        </w:rPr>
        <w:t>This is a very important public health concern as unnecessary antibiotic use leads to AMR, increased risk of adverse effects to patients and the development of unnecessary expectations of receiving antibiotics to treat future respiratory symptoms</w:t>
      </w:r>
      <w:r w:rsidR="00A866FE">
        <w:rPr>
          <w:rFonts w:cs="Times New Roman"/>
        </w:rPr>
        <w:t xml:space="preserve"> </w:t>
      </w:r>
      <w:r w:rsidR="00A866FE" w:rsidRPr="00A866FE">
        <w:rPr>
          <w:rFonts w:cs="Times New Roman"/>
        </w:rPr>
        <w:t>(Dolk et al., 2018; Pouwels et al., 2018a; Smieszek et al., 2018)</w:t>
      </w:r>
      <w:r w:rsidRPr="00AE220F">
        <w:rPr>
          <w:rFonts w:cs="Times New Roman"/>
        </w:rPr>
        <w:t>. The decision to prescribe antibiotics for respiratory tract infection (RTI) has implications for post-RTI consultations; antibiotic prescribing for RTIs may influence on future consultation behaviour, according to a systematic review and meta-analysis (Adamu et al., 2025). But too stringent prescription practices can create a delay in treatment for serious bacterial disease. The management of ARTI in adults, therefore, requires a balance of minimising patient risk, promoting symptom relief, and ensuring patient access to antibiotics when necessary and the right choice.</w:t>
      </w:r>
    </w:p>
    <w:p w14:paraId="38F2B924" w14:textId="77777777" w:rsidR="00AE220F" w:rsidRPr="00AE220F" w:rsidRDefault="00AE220F" w:rsidP="00AE220F">
      <w:pPr>
        <w:rPr>
          <w:rFonts w:cs="Times New Roman"/>
        </w:rPr>
      </w:pPr>
      <w:r w:rsidRPr="00AE220F">
        <w:rPr>
          <w:rFonts w:cs="Times New Roman"/>
        </w:rPr>
        <w:t>Through clinical guidance, surveillance and the national AMR action plan (Department of Health and Social Care, 2024), the United Kingdom has made antimicrobial stewardship a national priority. However, resistant infections continue to be a problem. Antibiotic-resistant bloodstream infections have become increasingly common in England, highlighting the continuing public health challenge posed by antimicrobial resistance (UK Health Security Agency, 2024).These are not only confined to the realm of respiratory infections but are rather indicative of the broader setting in which decisions about ARTIs are made. This chapter shifts focus from the national context to the clinical problem of concern to adults in the UK, details the evidence gap and justification of the review and introduces the research question, aim, objectives and dissertation layout.</w:t>
      </w:r>
    </w:p>
    <w:p w14:paraId="52B55CFD" w14:textId="77777777" w:rsidR="00AE220F" w:rsidRPr="00AE220F" w:rsidRDefault="00AE220F" w:rsidP="00E32907">
      <w:pPr>
        <w:pStyle w:val="Heading2"/>
      </w:pPr>
      <w:bookmarkStart w:id="10" w:name="_Toc237220338"/>
      <w:bookmarkStart w:id="11" w:name="_Toc240921637"/>
      <w:r w:rsidRPr="00AE220F">
        <w:lastRenderedPageBreak/>
        <w:t>1.2 Background and UK Context</w:t>
      </w:r>
      <w:bookmarkEnd w:id="10"/>
      <w:bookmarkEnd w:id="11"/>
    </w:p>
    <w:p w14:paraId="12BD379F" w14:textId="2B459DFC" w:rsidR="00AE220F" w:rsidRPr="00AE220F" w:rsidRDefault="00AE220F" w:rsidP="00AE220F">
      <w:pPr>
        <w:rPr>
          <w:rFonts w:cs="Times New Roman"/>
        </w:rPr>
      </w:pPr>
      <w:r w:rsidRPr="00AE220F">
        <w:rPr>
          <w:rFonts w:cs="Times New Roman"/>
        </w:rPr>
        <w:t>Acute respiratory tract infections (ARTIs) are one of the main reasons for adults to visit their GP practice and community pharmacies in the UK (NICE, 2019). Usually, these infections involve acute coughs and sore throats, influenza-like illnesses and lower respiratory tract infections (NICE, 2023</w:t>
      </w:r>
      <w:r w:rsidR="009D5098">
        <w:rPr>
          <w:rFonts w:cs="Times New Roman"/>
        </w:rPr>
        <w:t>d</w:t>
      </w:r>
      <w:r w:rsidRPr="00AE220F">
        <w:rPr>
          <w:rFonts w:cs="Times New Roman"/>
        </w:rPr>
        <w:t>). Diagnosis of the cause, whether viral or bacterial, is a great challenge, given the clinical similarities between the two infections. This diagnostic complexity poses an emergency health problem to the public. Antimicrobial resistance is a serious threat to national health, as unnecessary antibiotic use for viral, self-limited illnesses is a driver of antimicrobial resistance (Department of Health and Social Care, 2024). Moreover, inappropriate antibiotic use also makes patients more vulnerable to drug reactions due to their future exposure to the drug and leads to high expectations of antibiotics in future care (Adamu et al., 2025). Thus, good diagnostic evaluation and appropriate clinical management are absolutely critical to ensure the safety of patients, relieve symptoms and maintain the utility of important antimicrobial drugs.</w:t>
      </w:r>
    </w:p>
    <w:p w14:paraId="000B7CD9" w14:textId="3ECAD58C" w:rsidR="00AE220F" w:rsidRPr="00AE220F" w:rsidRDefault="00723C57" w:rsidP="00AE220F">
      <w:pPr>
        <w:rPr>
          <w:rFonts w:cs="Times New Roman"/>
        </w:rPr>
      </w:pPr>
      <w:r w:rsidRPr="00723C57">
        <w:rPr>
          <w:rFonts w:cs="Times New Roman"/>
        </w:rPr>
        <w:t>Acknowledging antimicrobial resistance as a national priority is a priority in the United Kingdom (Department of Health and Social Care, 2019b). This commitment is evident in a wide range of clinical guidance, national monitoring and surveillance systems and action plans aimed at improving prescribing (Department of Health and Social Care, 2019a; Department of Health and Social Care and Department for Environment, Food &amp; Rural Affairs, 2022; Department of Health and Social Care, 2024)</w:t>
      </w:r>
      <w:r w:rsidR="00AE220F" w:rsidRPr="00AE220F">
        <w:rPr>
          <w:rFonts w:cs="Times New Roman"/>
        </w:rPr>
        <w:t>. Yet, despite these focused actions, the threat of antibiotic-resistant infections remains significant across the country, and there is a clear need for continued antibacterial surveillance and improvements in clinical practices (UK Health Security Agency, 2024). Restricting prescriptions for antimicrobials is not the only part of antimicrobial stewardship in primary care. Requires a multi-faceted approach and should focus on careful clinical assessment, careful safety netting and accurate identification of patients who are truly at risk for the development of serious complications and who actually need antibiotic treatment (NICE, 2023</w:t>
      </w:r>
      <w:r w:rsidR="009D5098">
        <w:rPr>
          <w:rFonts w:cs="Times New Roman"/>
        </w:rPr>
        <w:t>d</w:t>
      </w:r>
      <w:r w:rsidR="00AE220F" w:rsidRPr="00AE220F">
        <w:rPr>
          <w:rFonts w:cs="Times New Roman"/>
        </w:rPr>
        <w:t>). These key decisions take place in a complex health environment in the UK, subject to national standards and local prescribing norms as well as changing patient demands.</w:t>
      </w:r>
    </w:p>
    <w:p w14:paraId="53C13924" w14:textId="036EC814" w:rsidR="00AE220F" w:rsidRPr="00AE220F" w:rsidRDefault="00AE220F" w:rsidP="00AE220F">
      <w:pPr>
        <w:rPr>
          <w:rFonts w:cs="Times New Roman"/>
        </w:rPr>
      </w:pPr>
      <w:r w:rsidRPr="00AE220F">
        <w:rPr>
          <w:rFonts w:cs="Times New Roman"/>
        </w:rPr>
        <w:t>The unique complexities of dealing with acute respiratory infection (ARI) management and being actively involved in antimicrobial stewardship have led to a wide range of diagnostic and management approaches being incorporated into primary care. There are a number of diagnostic support tools that are now commonly used to assist the clinician in determining the likelihood of bacterial infection when clinical symptoms are not obvious, such as the point-of-care C-reactive protein test (</w:t>
      </w:r>
      <w:r w:rsidR="007F5125" w:rsidRPr="007F5125">
        <w:rPr>
          <w:rFonts w:cs="Times New Roman"/>
        </w:rPr>
        <w:t>van Hecke et al., 2023</w:t>
      </w:r>
      <w:r w:rsidRPr="00AE220F">
        <w:rPr>
          <w:rFonts w:cs="Times New Roman"/>
        </w:rPr>
        <w:t xml:space="preserve">; Llor et al., 2024). In addition to these </w:t>
      </w:r>
      <w:r w:rsidRPr="00AE220F">
        <w:rPr>
          <w:rFonts w:cs="Times New Roman"/>
        </w:rPr>
        <w:lastRenderedPageBreak/>
        <w:t xml:space="preserve">diagnostic tools, different strategies are used when prescribing to reduce the use of antibiotics in the short term. These include delayed prescription, holding onto a prescription but strongly encouraging patients to wait before taking it, and targeted symptomatic relief and giving patients structured, self-care advice </w:t>
      </w:r>
      <w:r w:rsidR="000F0E2B" w:rsidRPr="000F0E2B">
        <w:rPr>
          <w:rFonts w:cs="Times New Roman"/>
        </w:rPr>
        <w:t>(Stuart et al., 2021; McLeod et al., 2024</w:t>
      </w:r>
      <w:r w:rsidRPr="00AE220F">
        <w:rPr>
          <w:rFonts w:cs="Times New Roman"/>
        </w:rPr>
        <w:t xml:space="preserve">). Furthermore, the nature of primary care has also undergone significant change in the UK, which in turn has affected access to and experiences of primary care. Traditional in-person consultations, remote telehealth (Vestesson et al., 2023) and growing community pharmacy structures, such as the Pharmacy First scheme (NHS England, 2024), are all methods used to support consultations. </w:t>
      </w:r>
      <w:r w:rsidR="00BC020F" w:rsidRPr="00BC020F">
        <w:rPr>
          <w:rFonts w:cs="Times New Roman"/>
        </w:rPr>
        <w:t>All these care pathways form a full care program for the care of acute respiratory illnesses. This is achieved through the implementation of antibiotic stewardship and effective antibiotic therapy at all levels. This deliberate balance can be utilized by the clinician to provide quality, evidence-based care and can also be used to prevent antibiotic resistance proactively.</w:t>
      </w:r>
    </w:p>
    <w:p w14:paraId="36BA0FA5" w14:textId="77777777" w:rsidR="00AE220F" w:rsidRPr="00AE220F" w:rsidRDefault="00AE220F" w:rsidP="00E32907">
      <w:pPr>
        <w:pStyle w:val="Heading2"/>
      </w:pPr>
      <w:bookmarkStart w:id="12" w:name="_Toc237220339"/>
      <w:bookmarkStart w:id="13" w:name="_Toc240921638"/>
      <w:r w:rsidRPr="00AE220F">
        <w:t>1.3 Statement of the Research Problem</w:t>
      </w:r>
      <w:bookmarkEnd w:id="12"/>
      <w:bookmarkEnd w:id="13"/>
    </w:p>
    <w:p w14:paraId="1AF6EDD5" w14:textId="6E941AA2" w:rsidR="00AE220F" w:rsidRPr="00AE220F" w:rsidRDefault="00AE220F" w:rsidP="00AE220F">
      <w:pPr>
        <w:rPr>
          <w:rFonts w:cs="Times New Roman"/>
        </w:rPr>
      </w:pPr>
      <w:r w:rsidRPr="00AE220F">
        <w:rPr>
          <w:rFonts w:cs="Times New Roman"/>
        </w:rPr>
        <w:t>The optimal approach to the diagnosis and management of acute respiratory tract infections and antimicrobial stewardship and patient safety remains unclear. This uncertainty is at the basis of two factors: the overlap in symptoms between viruses and bacteria and the lack of routine microbiological testing in primary care (NICE, 2019). The decisions made by clinicians are often very complex, precarious and heavily dependent on subjective judgement and severity prediction rules (NICE, 2023</w:t>
      </w:r>
      <w:r w:rsidR="009D5098">
        <w:rPr>
          <w:rFonts w:cs="Times New Roman"/>
        </w:rPr>
        <w:t>d</w:t>
      </w:r>
      <w:r w:rsidRPr="00AE220F">
        <w:rPr>
          <w:rFonts w:cs="Times New Roman"/>
        </w:rPr>
        <w:t>). The challenge is compounded by high implementation pressures</w:t>
      </w:r>
      <w:r w:rsidR="00664A48">
        <w:rPr>
          <w:rFonts w:cs="Times New Roman"/>
        </w:rPr>
        <w:t xml:space="preserve"> </w:t>
      </w:r>
      <w:r w:rsidR="00664A48" w:rsidRPr="00664A48">
        <w:rPr>
          <w:rFonts w:cs="Times New Roman"/>
        </w:rPr>
        <w:t>(Williams et al., 2018; Boiko et al., 2020; Borek et al., 2020)</w:t>
      </w:r>
      <w:r w:rsidRPr="00AE220F">
        <w:rPr>
          <w:rFonts w:cs="Times New Roman"/>
        </w:rPr>
        <w:t>. Prescribed interventions for antimicrobial stewardship are significantly shaped by the local prescribing norms, strong expectations for patients, and very limited time spent with patients during routine consultations (Borek et al., 2021a). In addition, there is variation in organisations' financial incentives and financial behaviours, which means national guidelines are not consistently adopted in all general practices (Anyanwu et al., 2020; Tonkin-Crine et al., 202</w:t>
      </w:r>
      <w:r w:rsidR="00391271">
        <w:rPr>
          <w:rFonts w:cs="Times New Roman"/>
        </w:rPr>
        <w:t>3</w:t>
      </w:r>
      <w:r w:rsidRPr="00AE220F">
        <w:rPr>
          <w:rFonts w:cs="Times New Roman"/>
        </w:rPr>
        <w:t>). This means there's a basic conflict between minimising prescriptions and keeping patients safe. That extremely restrictive approach to prescribing may also mean that serious bacterial infections are not identified and diagnosed in a timely manner, resulting in serious complications (Stimson et al., 2024). On the other hand, a prolonged dependence on antimicrobials and an active invitation to consult in the future for the same but less severe viral symptoms are created by precautionary prescribing (Adamu et al., 2025). The challenges are the daily clinical dilemmas of ensuring that diagnostic, symptom management, and effective communication are integrated together in a way that consistently prevents overprescribing, while maintaining patient safety (Miller et al., 2025).</w:t>
      </w:r>
    </w:p>
    <w:p w14:paraId="0E0EC366" w14:textId="77777777" w:rsidR="00AE220F" w:rsidRPr="00AE220F" w:rsidRDefault="00AE220F" w:rsidP="00E32907">
      <w:pPr>
        <w:pStyle w:val="Heading2"/>
      </w:pPr>
      <w:bookmarkStart w:id="14" w:name="_Toc237220340"/>
      <w:bookmarkStart w:id="15" w:name="_Toc240921639"/>
      <w:r w:rsidRPr="00AE220F">
        <w:lastRenderedPageBreak/>
        <w:t>1.4 Research Rationale and Significance</w:t>
      </w:r>
      <w:bookmarkEnd w:id="14"/>
      <w:bookmarkEnd w:id="15"/>
    </w:p>
    <w:p w14:paraId="676ACA50" w14:textId="05B18462" w:rsidR="00AE220F" w:rsidRDefault="00AE220F" w:rsidP="00AE220F">
      <w:pPr>
        <w:rPr>
          <w:rFonts w:cs="Times New Roman"/>
        </w:rPr>
      </w:pPr>
      <w:r w:rsidRPr="00AE220F">
        <w:rPr>
          <w:rFonts w:cs="Times New Roman"/>
        </w:rPr>
        <w:t>There is a clear lack of evidence in terms of how to tackle this issue in a holistic way. Although there are a range of individual strategies being explored, such as delayed prescriptions (Stuart et al., 2021), remote consultations (Vestesson et al., 2023) and rapid testing (Scandrett et al., 2025), the evidence base is disjointed. Usually, studies assess interventions in isolation and in very limited clinical settings</w:t>
      </w:r>
      <w:r w:rsidR="00872DE4">
        <w:rPr>
          <w:rFonts w:cs="Times New Roman"/>
        </w:rPr>
        <w:t xml:space="preserve"> </w:t>
      </w:r>
      <w:r w:rsidR="00872DE4" w:rsidRPr="00872DE4">
        <w:rPr>
          <w:rFonts w:cs="Times New Roman"/>
        </w:rPr>
        <w:t>(Gulliford et al., 2019; Stuart et al., 2020; Gulliford et al., 2021)</w:t>
      </w:r>
      <w:r w:rsidRPr="00AE220F">
        <w:rPr>
          <w:rFonts w:cs="Times New Roman"/>
        </w:rPr>
        <w:t>. This silo mentality does not reflect the complexity of primary care provision in the United Kingdom, particularly as primary care moves across general practice and wider community pharmacy pathways (NHS England, 2024). A systematic literature review is probably the most suitable method to synthesise this fragmented evidence. Synthesising this data is important as the only way to assess the effectiveness of a stewardship strategy would be to count the number of prescriptions avoided. A thorough assessment should include all factors, ranging from the recovery of the symptoms over time, patient education, and feasibility of implementation in busy primary care premises (McLeod et al., 2024). This systematic review will compare and contrast the various fragmented studies and identify strategies with consistent and actionable results for adults. The importance of this research is that it makes the immediate impact of treating acute respiratory infections part of the larger picture of antimicrobial resistance (AMR) (Department of Health and Social Care, 2024). The findings will help inform clinical practice, adding evidence-based strategies for GPs and pharmacists. Further, the synthesis will help to inform public health policy, clearly outlining safe service pathways. Finally, it will identify key gaps for future research, which will help the national health care system continue to safeguard patient health while maintaining the vital effectiveness of life-saving antibiotics (UK Health Security Agency, 2024).</w:t>
      </w:r>
    </w:p>
    <w:p w14:paraId="7C931201" w14:textId="77777777" w:rsidR="00BB24A9" w:rsidRPr="00BB24A9" w:rsidRDefault="00BB24A9" w:rsidP="00BB24A9">
      <w:pPr>
        <w:pStyle w:val="Heading2"/>
      </w:pPr>
      <w:bookmarkStart w:id="16" w:name="_Toc235630566"/>
      <w:bookmarkStart w:id="17" w:name="_Toc240921640"/>
      <w:r>
        <w:t>1.5 Research Question</w:t>
      </w:r>
      <w:bookmarkEnd w:id="16"/>
      <w:bookmarkEnd w:id="17"/>
    </w:p>
    <w:p w14:paraId="31269BE3" w14:textId="77777777" w:rsidR="00BB24A9" w:rsidRDefault="00BB24A9" w:rsidP="00BB24A9">
      <w:r>
        <w:t>What diagnostic and management strategies are effective in improving outcomes and reducing unnecessary antibiotic prescribing for acute respiratory tract infections among adults in the UK?</w:t>
      </w:r>
    </w:p>
    <w:p w14:paraId="6F35C352" w14:textId="77777777" w:rsidR="00BB24A9" w:rsidRPr="00AE220F" w:rsidRDefault="00BB24A9" w:rsidP="00AE220F">
      <w:pPr>
        <w:rPr>
          <w:rFonts w:cs="Times New Roman"/>
        </w:rPr>
      </w:pPr>
    </w:p>
    <w:p w14:paraId="06E049FD" w14:textId="77777777" w:rsidR="00AE220F" w:rsidRPr="00AE220F" w:rsidRDefault="00AE220F" w:rsidP="00E32907">
      <w:pPr>
        <w:pStyle w:val="Heading2"/>
      </w:pPr>
      <w:bookmarkStart w:id="18" w:name="_Toc237220341"/>
      <w:bookmarkStart w:id="19" w:name="_Toc240921641"/>
      <w:r w:rsidRPr="00AE220F">
        <w:t>1.6 Research Aim</w:t>
      </w:r>
      <w:bookmarkEnd w:id="18"/>
      <w:bookmarkEnd w:id="19"/>
    </w:p>
    <w:p w14:paraId="65832A1A" w14:textId="77777777" w:rsidR="00AE220F" w:rsidRPr="00AE220F" w:rsidRDefault="00AE220F" w:rsidP="00AE220F">
      <w:pPr>
        <w:rPr>
          <w:rFonts w:cs="Times New Roman"/>
        </w:rPr>
      </w:pPr>
      <w:r w:rsidRPr="00AE220F">
        <w:rPr>
          <w:rFonts w:cs="Times New Roman"/>
        </w:rPr>
        <w:t>To systematically review and synthesise evidence on diagnostic and management strategies used for acute respiratory tract infections among adults in the UK, with a focus on patient outcomes and antibiotic stewardship.</w:t>
      </w:r>
    </w:p>
    <w:p w14:paraId="73F31450" w14:textId="77777777" w:rsidR="00AE220F" w:rsidRPr="00AE220F" w:rsidRDefault="00AE220F" w:rsidP="00E32907">
      <w:pPr>
        <w:pStyle w:val="Heading2"/>
      </w:pPr>
      <w:bookmarkStart w:id="20" w:name="_Toc237220342"/>
      <w:bookmarkStart w:id="21" w:name="_Toc240921642"/>
      <w:r w:rsidRPr="00AE220F">
        <w:lastRenderedPageBreak/>
        <w:t>1.7 Research Objectives</w:t>
      </w:r>
      <w:bookmarkEnd w:id="20"/>
      <w:bookmarkEnd w:id="21"/>
    </w:p>
    <w:p w14:paraId="4F5F3E58" w14:textId="77777777" w:rsidR="00AE220F" w:rsidRPr="00AE220F" w:rsidRDefault="00AE220F" w:rsidP="00AE220F">
      <w:pPr>
        <w:pStyle w:val="ListParagraph"/>
        <w:numPr>
          <w:ilvl w:val="0"/>
          <w:numId w:val="11"/>
        </w:numPr>
        <w:tabs>
          <w:tab w:val="num" w:pos="360"/>
        </w:tabs>
        <w:spacing w:after="60"/>
        <w:rPr>
          <w:rFonts w:cs="Times New Roman"/>
        </w:rPr>
      </w:pPr>
      <w:r w:rsidRPr="00AE220F">
        <w:rPr>
          <w:rFonts w:cs="Times New Roman"/>
        </w:rPr>
        <w:t>To identify diagnostic approaches used to differentiate viral and bacterial respiratory tract infections in adults within UK healthcare settings.</w:t>
      </w:r>
    </w:p>
    <w:p w14:paraId="13E7846C" w14:textId="77777777" w:rsidR="00AE220F" w:rsidRPr="00AE220F" w:rsidRDefault="00AE220F" w:rsidP="00AE220F">
      <w:pPr>
        <w:pStyle w:val="ListParagraph"/>
        <w:numPr>
          <w:ilvl w:val="0"/>
          <w:numId w:val="11"/>
        </w:numPr>
        <w:tabs>
          <w:tab w:val="num" w:pos="360"/>
        </w:tabs>
        <w:spacing w:after="60"/>
        <w:rPr>
          <w:rFonts w:cs="Times New Roman"/>
        </w:rPr>
      </w:pPr>
      <w:r w:rsidRPr="00AE220F">
        <w:rPr>
          <w:rFonts w:cs="Times New Roman"/>
        </w:rPr>
        <w:t>To examine the effectiveness of different management strategies (e.g., delayed prescribing, symptomatic treatment) on patient outcomes.</w:t>
      </w:r>
    </w:p>
    <w:p w14:paraId="33CFDD88" w14:textId="77777777" w:rsidR="00AE220F" w:rsidRPr="00AE220F" w:rsidRDefault="00AE220F" w:rsidP="00AE220F">
      <w:pPr>
        <w:pStyle w:val="ListParagraph"/>
        <w:numPr>
          <w:ilvl w:val="0"/>
          <w:numId w:val="11"/>
        </w:numPr>
        <w:tabs>
          <w:tab w:val="num" w:pos="360"/>
        </w:tabs>
        <w:spacing w:after="60"/>
        <w:rPr>
          <w:rFonts w:cs="Times New Roman"/>
        </w:rPr>
      </w:pPr>
      <w:r w:rsidRPr="00AE220F">
        <w:rPr>
          <w:rFonts w:cs="Times New Roman"/>
        </w:rPr>
        <w:t>To explore how current UK clinical guidelines influence antibiotic prescribing practices for respiratory tract infections.</w:t>
      </w:r>
    </w:p>
    <w:p w14:paraId="48726A05" w14:textId="77777777" w:rsidR="00AE220F" w:rsidRPr="00AE220F" w:rsidRDefault="00AE220F" w:rsidP="00AE220F">
      <w:pPr>
        <w:pStyle w:val="ListParagraph"/>
        <w:numPr>
          <w:ilvl w:val="0"/>
          <w:numId w:val="11"/>
        </w:numPr>
        <w:tabs>
          <w:tab w:val="num" w:pos="360"/>
        </w:tabs>
        <w:spacing w:after="60"/>
        <w:rPr>
          <w:rFonts w:cs="Times New Roman"/>
        </w:rPr>
      </w:pPr>
      <w:r w:rsidRPr="00AE220F">
        <w:rPr>
          <w:rFonts w:cs="Times New Roman"/>
        </w:rPr>
        <w:t>To provide recommendations of these strategies for antibiotic stewardship and antimicrobial resistance.</w:t>
      </w:r>
    </w:p>
    <w:p w14:paraId="685A23D2" w14:textId="77777777" w:rsidR="00AE220F" w:rsidRDefault="00AE220F" w:rsidP="00E32907">
      <w:pPr>
        <w:pStyle w:val="Heading2"/>
      </w:pPr>
      <w:bookmarkStart w:id="22" w:name="_Toc237220343"/>
      <w:bookmarkStart w:id="23" w:name="_Toc240921643"/>
      <w:r w:rsidRPr="00AE220F">
        <w:t>1.8 Dissertation Outline</w:t>
      </w:r>
      <w:bookmarkEnd w:id="22"/>
      <w:bookmarkEnd w:id="23"/>
    </w:p>
    <w:p w14:paraId="660507B6" w14:textId="5331577B" w:rsidR="008064B7" w:rsidRPr="008064B7" w:rsidRDefault="008064B7" w:rsidP="008064B7">
      <w:r w:rsidRPr="008064B7">
        <w:t>The UK public health context, research problem, research rationale, research question, research aims and research objectives are introduced in Chapter 1. Chapter 2 critically reviews the evidence for the issue of diagnostic uncertainty, management strategies, antimicrobial stewardship, service delivery and the theoretical framework. The methodology for a systematic review is described in Chapter 3 and covered the following aspects of the review: search strategy, definition of eligibility criteria, screening, extraction, appraisal and thematic analysis. The results of the 16 studies included are reported by theme in Chapter 4. These findings are explored in relation to wider literature, theory, practice and policy in Chapter 5. The dissertation is closed in Chapter 6 with recommendations for practice, policy and future research.</w:t>
      </w:r>
    </w:p>
    <w:p w14:paraId="295261DD" w14:textId="77777777" w:rsidR="00AE220F" w:rsidRPr="00AE220F" w:rsidRDefault="00AE220F" w:rsidP="00E32907">
      <w:pPr>
        <w:pStyle w:val="Heading2"/>
      </w:pPr>
      <w:bookmarkStart w:id="24" w:name="_Toc237220344"/>
      <w:bookmarkStart w:id="25" w:name="_Toc240921644"/>
      <w:r w:rsidRPr="00AE220F">
        <w:t>1.9 Chapter Summary</w:t>
      </w:r>
      <w:bookmarkEnd w:id="24"/>
      <w:bookmarkEnd w:id="25"/>
    </w:p>
    <w:p w14:paraId="58812BFB" w14:textId="77777777" w:rsidR="00AE220F" w:rsidRPr="00AE220F" w:rsidRDefault="00AE220F" w:rsidP="00AE220F">
      <w:r w:rsidRPr="00AE220F">
        <w:t>This chapter has identified adult ARTIs as a significant public health problem in the UK, as the majority are common respiratory presentations, and there often is diagnostic uncertainty and numerous antibiotic decisions. It discussed how outcomes and stewardship could be affected by point-of-care testing, delayed prescriptions, symptomatic management, the communication process, and changes to service pathways. The chapter provided evidence of a lack of a coherent evidence base, and argued for the need for a systematic review combining effectiveness, safety and implementation. It also restated the research question, aim and objectives and explained the remaining chapters of the dissertation.</w:t>
      </w:r>
    </w:p>
    <w:p w14:paraId="476CB770" w14:textId="77777777" w:rsidR="00AE220F" w:rsidRDefault="00AE220F">
      <w:pPr>
        <w:spacing w:after="200" w:line="276" w:lineRule="auto"/>
        <w:jc w:val="left"/>
        <w:rPr>
          <w:b/>
          <w:bCs/>
          <w:sz w:val="32"/>
          <w:szCs w:val="28"/>
        </w:rPr>
      </w:pPr>
      <w:r>
        <w:br w:type="page"/>
      </w:r>
    </w:p>
    <w:p w14:paraId="18227631" w14:textId="77777777" w:rsidR="00247132" w:rsidRDefault="00247132" w:rsidP="00247132">
      <w:pPr>
        <w:pStyle w:val="Heading1"/>
      </w:pPr>
      <w:bookmarkStart w:id="26" w:name="_Toc240921645"/>
      <w:r>
        <w:lastRenderedPageBreak/>
        <w:t>Chapter 2: Literature Review and Theoretical Framework</w:t>
      </w:r>
      <w:bookmarkEnd w:id="26"/>
    </w:p>
    <w:p w14:paraId="7D1CFA82" w14:textId="77777777" w:rsidR="00247132" w:rsidRDefault="00247132" w:rsidP="00247132">
      <w:pPr>
        <w:pStyle w:val="Heading2"/>
      </w:pPr>
      <w:bookmarkStart w:id="27" w:name="_Toc240921646"/>
      <w:r>
        <w:t>2.1 Introduction</w:t>
      </w:r>
      <w:bookmarkEnd w:id="27"/>
    </w:p>
    <w:p w14:paraId="5BC33CB8" w14:textId="486FF60A" w:rsidR="00247132" w:rsidRDefault="00247132" w:rsidP="00247132">
      <w:r>
        <w:t xml:space="preserve">ARTIs are acute conditions that affect the upper (or lower) respiratory tract and are typically </w:t>
      </w:r>
      <w:r w:rsidR="008E6D39" w:rsidRPr="008E6D39">
        <w:t>characterised</w:t>
      </w:r>
      <w:r w:rsidR="008E6D39">
        <w:t xml:space="preserve"> </w:t>
      </w:r>
      <w:r>
        <w:t>by cough, sore throat, fever, sputum production, breathlessness, wheeze or chest discomfort. While many of the cases are viral and self-limiting, there are many overlapping presentations with bacterial infections, as well as with more severe infections. The public health problem is not just one of decreasing antibiotic use; it's about timely recognition of deterioration, but without too much antibiotic use or inducing antimicrobial resistance (AMR). NICE guidance will offer the main UK clinical context, as it is applicable to adults (age 16 years and over) at first contact (either remote or face-to-face); and emphasises documented assessment, appropriate care pathways and antimicrobial stewardship (NICE, 2023a; NICE, 2023d).</w:t>
      </w:r>
    </w:p>
    <w:p w14:paraId="6BFD4378" w14:textId="77777777" w:rsidR="00247132" w:rsidRDefault="00247132" w:rsidP="00247132">
      <w:r>
        <w:t xml:space="preserve">The review will first briefly outline the scoping search undertaken to build the evidence base. It will then explore three interrelated themes: diagnostic uncertainty and diagnostic-support strategies, management approaches, patient outcomes and antibiotic use, and UK policy, service delivery and implementation. With these themes, the clinical effectiveness will be taken into account along with safety, communication, feasibility of the organisation and equity. The chapter will then examine gaps in knowledge and offer an integrated theoretical perspective on how knowledge and diagnostic stewardship are connected with implementation in terms of behaviour and services. This chapter synthesises the broader literature than Chapter 4, which will report themes that emerge from the systematically included studies.  </w:t>
      </w:r>
    </w:p>
    <w:p w14:paraId="6E12509F" w14:textId="77777777" w:rsidR="00247132" w:rsidRDefault="00247132" w:rsidP="00247132">
      <w:pPr>
        <w:pStyle w:val="Heading2"/>
      </w:pPr>
      <w:bookmarkStart w:id="28" w:name="_Toc240921647"/>
      <w:r>
        <w:t>2.2 Scoping Literature Search Strategy</w:t>
      </w:r>
      <w:bookmarkEnd w:id="28"/>
    </w:p>
    <w:p w14:paraId="4FABD1AE" w14:textId="790A4007" w:rsidR="00247132" w:rsidRDefault="00247132" w:rsidP="00247132">
      <w:r>
        <w:t>This initial search was different from the search that was carried out by the reproducible database search and formal study-selection process, which will be described in Chapter 3. A literature search was conducted on MEDLINE/PubMed, Embase, CINAHL, Cochrane Library, Web of Science and Google Scholar from January 2021 to July 2026. Search concepts included searching for terms such as acute respiratory infection, respiratory tract infection, acute cough, sore throat, lower respiratory tract infection, with terms around diagnosis, clinical prediction, point-of-care, C-reactive protein, rapid testing, antibiotics, delayed prescribing, safety-netting, antimicrobial stewardship, remote consultation, community pharmacy and primary care, and influenza-like illness and respiratory viruses. Evidence applicable to the NHS was prioritised using the terms UK, England, Scotland, Wales and Northern Ireland.</w:t>
      </w:r>
    </w:p>
    <w:p w14:paraId="0D97EC09" w14:textId="77777777" w:rsidR="00247132" w:rsidRDefault="00247132" w:rsidP="00247132">
      <w:r>
        <w:lastRenderedPageBreak/>
        <w:t>Grey literature was explored using NICE, NHS England, Department of Health and Social Care and the UK Health Security Agency (UKHSA). Peer-reviewed systematic reviews and randomised trials, linked electronic-health-record studies, mixed-methods research and national guidance for the care of adults in UK primary/community care settings were considered and prioritised. Evidence from other countries that does not contain UK data or directly inform technologies and strategies in the UK was dropped where possible. Studies which were only undertaken for hospital-acquired infections, paediatric populations or long-term respiratory disease management were not used to formulate the main argument. Additional studies were identified through citation chasing from high-relevance reviews and guideline evidence reports. The resulting literature was presented in terms of diagnosis, management and implementation and methodological limitations, population fit, and transferability were evaluated throughout.</w:t>
      </w:r>
    </w:p>
    <w:p w14:paraId="1846D75C" w14:textId="77777777" w:rsidR="00247132" w:rsidRDefault="00247132" w:rsidP="00247132">
      <w:r>
        <w:t>The scoping process also systematically separated evidence type from evidence strength. Current policy, service pathways and prescribing trend data were established nationally through guidance and surveillance, while causal claims were largely based on trials, systematic reviews and strong linked-record analysis. Qualitative and mixed-methods studies were included as they provided explanation of why apparently effective interventions were adopted or not in practice. Population, setting, intervention, comparator, outcome definition, follow-up and risk of bias were compared. Specific focus was placed on whether there was an intervention that influenced patient-centred outcomes as well as antibiotic prescribing. This method did not take a reduction in the number of prescriptions as being enough evidence of benefit and helped identify any side-by-side contradiction between efficacy and safety or with implementation. Before adding reference details and digital object identifiers to the chapter, reference checking and validation against journals and/or official publishers were done.</w:t>
      </w:r>
    </w:p>
    <w:p w14:paraId="70C09FD6" w14:textId="77777777" w:rsidR="00247132" w:rsidRDefault="00247132" w:rsidP="00247132">
      <w:pPr>
        <w:pStyle w:val="Heading2"/>
      </w:pPr>
      <w:bookmarkStart w:id="29" w:name="_Toc240921648"/>
      <w:r>
        <w:t>2.3 Literature Review</w:t>
      </w:r>
      <w:bookmarkEnd w:id="29"/>
    </w:p>
    <w:p w14:paraId="28C0D685" w14:textId="77777777" w:rsidR="00247132" w:rsidRDefault="00247132" w:rsidP="00247132">
      <w:pPr>
        <w:pStyle w:val="Heading3"/>
      </w:pPr>
      <w:bookmarkStart w:id="30" w:name="_Toc240921649"/>
      <w:r>
        <w:t>2.3.1 Diagnostic Uncertainty and Diagnostic-Support Strategies</w:t>
      </w:r>
      <w:bookmarkEnd w:id="30"/>
    </w:p>
    <w:p w14:paraId="08F276E0" w14:textId="77777777" w:rsidR="00247132" w:rsidRDefault="00247132" w:rsidP="00247132">
      <w:r>
        <w:t xml:space="preserve">The essential challenge of managing ARTI in adults is the diagnostic uncertainty, as there are often symptoms that are similar to other viral and bacterial diseases, and little microbiological confirmation is available at home visits. NICE identified an acute respiratory illness (defined as 21 days or less) as an ARI, and suggested that assessment should also take account of sepsis, other diagnoses, comorbidities, frailty and the ability to reconsult (NICE, 2023a). Rijk et al. (2024) identified that there was wide variation across the models in their predictors and performance for adults with LRTI, which means that there was not a great deal of confidence in transferring </w:t>
      </w:r>
      <w:r>
        <w:lastRenderedPageBreak/>
        <w:t>these to different settings. Insufficient evidence of early-warning scores (EWS) (including NEWS2 and CRB65) for remote or community pathways was also noted in NICE's own recommendations for research (NICE, 2023a).</w:t>
      </w:r>
    </w:p>
    <w:p w14:paraId="58C71896" w14:textId="77777777" w:rsidR="00247132" w:rsidRDefault="00247132" w:rsidP="00247132">
      <w:r>
        <w:t>Clinical prediction rules can contribute to consistency; however, they are of value only when used and not when they are available. For the general practitioner stakeholders in the UK, prediction rules were sometimes seen as helpful prompts but, clinicians questioned, were not always suitable for complex patients and could potentially supplant clinical judgement (Hounkpatin et al., 2021). By contrast, remote consultations with patients for acute respiratory infections in England had an increased likelihood of prescribing antibiotic treatment compared to face-to-face consultations after adjusting for other factors, leading to an increased likelihood of "precautionary" antibiotic prescribing (Vestesson et al., 2023). NICE therefore recommended that antimicrobials cannot be routinely prescribed based on a remote assessment and face-to-face review should be used where severity cannot be confirmed (NICE, 2023d).</w:t>
      </w:r>
    </w:p>
    <w:p w14:paraId="69070895" w14:textId="41C906F2" w:rsidR="00247132" w:rsidRDefault="00247132" w:rsidP="00247132">
      <w:r>
        <w:t>C-reactive protein point-of-care-testing (CRP-POCT) has been touted as an adjunct when lower R.L.I. (lower respiratory tract infection) diagnosis is uncertain following clinical assessment</w:t>
      </w:r>
      <w:r w:rsidR="0081144E">
        <w:t xml:space="preserve"> </w:t>
      </w:r>
      <w:r w:rsidR="0081144E" w:rsidRPr="0081144E">
        <w:t>(Ward, 2018; Holmes et al., 2018; Eley et al., 2020)</w:t>
      </w:r>
      <w:r>
        <w:t>. The results of the audit of EU evidence demonstrated that there were significant differences between the two countries in terms of POCT use, prescribing and clinician confidence, suggesting that the effects of the use of the same test are different based on the different prescribing cultures in the two countries (van der Velden et al., 2022). An out-of-hours evaluation in the UK said that CRP could alter antibiotic prescribing, but the training, workflow and availability of the test, along with how the clinician interpreted its intermediate results, influenced its use (Dixon et al., 2022). As a result, a focus was proposed on the link between CRP and history, clinical examination, and safety netting rather than on replacing clinical reasoning (</w:t>
      </w:r>
      <w:r w:rsidR="007F5125" w:rsidRPr="007F5125">
        <w:t>van Hecke et al., 2023</w:t>
      </w:r>
      <w:r>
        <w:t>).</w:t>
      </w:r>
    </w:p>
    <w:p w14:paraId="4DE13104" w14:textId="77777777" w:rsidR="00247132" w:rsidRDefault="00247132" w:rsidP="00247132">
      <w:r>
        <w:t xml:space="preserve">Evidence of recent implementation has supported this restrained take. Llor et al. (2024) suggested that the widespread implementation of CRP-POCT would only benefit stewardship if thresholds are integrated within established pathways for routine activities, and if quality assurance and communication are made routine. Patient selection and contextual interpretation were also highlighted in the PREDICTORS Delphi guidance (O'Shea et al., 2025). Qualitative research with stakeholders identified that perceived usefulness, test accuracy, consultation time, funding, maintenance and accountability all had an impact on the adoption of new ARTI diagnostics (Hoste et al., 2023). A later systematic qualitative synthesis also revealed that </w:t>
      </w:r>
      <w:r>
        <w:lastRenderedPageBreak/>
        <w:t>patients and clinicians appreciate reassurance and support in decision-making, but are worried about over-reliance on results and waiting time, as well as false reassurance (Hoste et al., 2025).</w:t>
      </w:r>
    </w:p>
    <w:p w14:paraId="53224E14" w14:textId="16941A40" w:rsidR="00247132" w:rsidRDefault="00247132" w:rsidP="00247132">
      <w:r>
        <w:t>Multiplex and viral microbiological tests provide another type of information by identifying pathogens. Webster et al. (2024) conducted a systematic review of point-of-care diagnostic accuracy, noting significant variations in the performance of different tests and for different target infections, with superior sensitivity for some viral assays, compared with tests aimed at distinguishing bacterial from viral illnesses</w:t>
      </w:r>
      <w:r w:rsidR="00CA30F4">
        <w:t xml:space="preserve"> </w:t>
      </w:r>
      <w:r w:rsidR="00F64F57" w:rsidRPr="00F64F57">
        <w:t>(Khalid et al., 2021; Mantzourani et al., 2022; Bustamante et al., 2026)</w:t>
      </w:r>
      <w:r>
        <w:t>. Similar results were found by meta-analysis, which showed that the accuracy of the tests varied by test and reference standard (Gentilotti et al., 2022). NICE evidence reviews found that the evidence was not adequate to conclude that using rapid tests reliably improves the triage or antibiotic decisions, and considered diagnostics' accuracy alongside clinical-effectiveness outcomes (NICE, 2023b; NICE, 2023c). Like Scandrett et al. (2025) found, there were encouraging tests available, but some evidence of downstream clinical effectiveness and cost utility was still variable.</w:t>
      </w:r>
    </w:p>
    <w:p w14:paraId="661A371F" w14:textId="77777777" w:rsidR="00247132" w:rsidRDefault="00247132" w:rsidP="00247132">
      <w:r>
        <w:t>Some examples of the difference between identifying a pathogen and changing behaviour are provided by the UK trials. Due to the limited ability to assess impact based on accuracy alone, the RAPID-TEST protocol examined microbiological, behavioural and antibiotic mechanisms (Abbs et al., 2024). Overall, the completed randomised trial revealed no difference between rapid multiplex testing and usual care in the number of antibiotics prescribed the same day, and did not adversely impact the outcomes of symptoms (Hay et al., 2026), although there did appear to be a difference in those with a detected virus. A primary-care diagnostic evaluation in the UK also demonstrated the potential of combined antigen tests for SARS-CoV-2 and influenza to offer clinically useful information, but that this would rely on test performance and prevalence (Fanshawe et al., 2025).</w:t>
      </w:r>
    </w:p>
    <w:p w14:paraId="16C182A5" w14:textId="77777777" w:rsidR="00247132" w:rsidRDefault="00247132" w:rsidP="00247132">
      <w:r>
        <w:t xml:space="preserve">The act of safety-netting is therefore a diagnostic process, in addition to a communication process. A realist review showed the need for clearly communicated information with regard to expected course, uncertainty, warning symptoms, and when and how they would seek and receive further help to be useful for safety-netting (Friedemann Smith et al., 2022). Electronic prompts/follow up functions valued by UK staff when tools fit workflow (Friedemann Smith et al., 2023). Out-of-hours records were analysed, and it was found that safety-netting advice was not always recorded, meaning it was unclear whether it had been given and would be limiting continuity of care (Edwards et al., 2025). Diagnostic tools can be used to assist stewardship, but effects will relate to clinician confidence, test performance, and workflow and safety-netting. </w:t>
      </w:r>
      <w:r>
        <w:lastRenderedPageBreak/>
        <w:t>There is more consistency with regard to changes in prescribing than in patient outcomes; and variation in test type, setting, and study design reduces direct comparisons.</w:t>
      </w:r>
    </w:p>
    <w:p w14:paraId="18BDBA60" w14:textId="77777777" w:rsidR="00247132" w:rsidRDefault="00247132" w:rsidP="00247132">
      <w:pPr>
        <w:pStyle w:val="Heading3"/>
      </w:pPr>
      <w:bookmarkStart w:id="31" w:name="_Toc240921650"/>
      <w:r>
        <w:t>2.3.2 Management Approaches, Patient Outcomes and Antibiotic Use</w:t>
      </w:r>
      <w:bookmarkEnd w:id="31"/>
    </w:p>
    <w:p w14:paraId="41A3C4D3" w14:textId="1349F909" w:rsidR="00247132" w:rsidRDefault="00247132" w:rsidP="00247132">
      <w:r>
        <w:t>After serious illness has been ruled out, management should take into account the relief of symptoms, the patient's expectations, and antibiotic stewardship. The key strategies for uncomplicated ARTIs are: no antibiotic, immediate antibiotic or delayed (back-up) prescribing, safety-netting and self-care advice</w:t>
      </w:r>
      <w:r w:rsidR="00A10E8A">
        <w:t xml:space="preserve"> </w:t>
      </w:r>
      <w:r w:rsidR="00D34B6C" w:rsidRPr="00D34B6C">
        <w:t>(NICE, 2018; Edwards et al., 2019; All Wales Therapeutics and Toxicology Centre, 2024a)</w:t>
      </w:r>
      <w:r>
        <w:t>. The best recent comparative evidence was provided by a single-patient data meta-analysis of 55,682 patients. Delayed prescribing showed similar severity of symptoms at follow-up compared with IM or no ABs, and less reconsult rates and higher satisfaction when ABs were not prescribed at first consultation compared to no prescription (Stuart et al., 2021). They suggest, however, that this is not the case for all adults or diagnostic groups.</w:t>
      </w:r>
    </w:p>
    <w:p w14:paraId="42C2A539" w14:textId="77777777" w:rsidR="00247132" w:rsidRDefault="00247132" w:rsidP="00247132">
      <w:r>
        <w:t>The overall evidence of safety is inconclusive due to changing study designs and what can be concluded. In a large 'English and Welsh' cohort, the absolute number of hospital admissions for infection was low, but the relative risk of admission was greater when the upper respiratory infection was delayed compared to immediate treatment, although not all the significant confounding variables were avoided (van Staa et al., 2021). In contrast, the bottom-line prescribing in English general practices showed no clear downward trend in the number of severe adverse outcomes, but there was a change in consultation patterns, highlighting that any effects more than prescription levels were also seen and monitored (Stimson et al., 2024). The stewardship goal of fewer prescriptions might mask unnecessary delay in a high-risk minority.</w:t>
      </w:r>
    </w:p>
    <w:p w14:paraId="40495BFD" w14:textId="77777777" w:rsidR="00247132" w:rsidRDefault="00247132" w:rsidP="00247132">
      <w:r>
        <w:t>Delayed prescribing is also a behavioural process. A realist review revealed mixed evidence on their meaning and that they were used to help address uncertainty, maintain relationships with clients/patients and as contingency treatment (McLeod et al., 2024). It might assist with self-management if it is accompanied by a warning sign and a definite delay period and the symptom duration is expected. Adamu et al. (2025) also found that future consultation in cases of respiratory infection was higher if the patient had been prescribed antibiotics, suggesting that prescription may also influence expectation and help-seeking during the subsequent interaction.</w:t>
      </w:r>
    </w:p>
    <w:p w14:paraId="595AE268" w14:textId="74661C85" w:rsidR="00247132" w:rsidRDefault="00247132" w:rsidP="00247132">
      <w:r>
        <w:t xml:space="preserve">Symptomatic treatment is critical as an antibiotic-free plan is not likely to be credible if it does not provide any evidence of care. A UK randomised trial showed that interventions using a behavioural website and nasal sprays led to a decrease in the duration or recurrence of </w:t>
      </w:r>
      <w:r>
        <w:lastRenderedPageBreak/>
        <w:t>respiratory illness and less use of antibiotics in some groups of interventions, but simply generalising the results was limited by poor adherence to interventions and the variability in response (Little et al., 2024). They can take on issues that are important to the patient, such as fluid or pain management, sleep, and how long it will take, and what will make the patient colder. The leaflets from NHS England's TARGET ‘Treating Your Infection' have been developed for this purpose testing of these leaflets in community pharmacy demonstrated that the leaflets could help structure advice and support the management of many respiratory presentations without referral (NHS England, 2023</w:t>
      </w:r>
      <w:r w:rsidR="001A1572">
        <w:t>c</w:t>
      </w:r>
      <w:r>
        <w:t>).</w:t>
      </w:r>
    </w:p>
    <w:p w14:paraId="0EACA665" w14:textId="77777777" w:rsidR="00247132" w:rsidRDefault="00247132" w:rsidP="00247132">
      <w:r>
        <w:t>The example of sore throat pathways illustrates the potential and challenges of targeted intervention. A pilot study of a pharmacy-based test and treat service indicated that clinical assessment with testing could help to target antibiotics for patients more likely to have streptococcal infection, and could provide convenient access (Mantzourani et al., 2024). It is their stewardship value that relies on the validated criteria of eligibility, competency, audit, and lack of consumer demand for referral and avoidance of treatment of validated eligibility. English ecological analysis estimated a substantial volume of antibiotic prescribing in general practice due to activity of respiratory syncytial virus, especially in older groups, indicating viral disease can indirectly lead to antibiotic exposure due to diagnostic uncertainty (Miller et al., 2025). Prospective adult surveillance in England also highlighted the evolving role of RSV and the importance of using the notion of symptoms and testing in the context of current circulating levels (Ordóñez-Mena et al., 2026).</w:t>
      </w:r>
    </w:p>
    <w:p w14:paraId="107838C7" w14:textId="31EA8D8D" w:rsidR="00247132" w:rsidRDefault="00247132" w:rsidP="00247132">
      <w:r>
        <w:t>The choice of antibiotic and the length of treatment are also proper prescribing considerations, in addition to the starting treatment</w:t>
      </w:r>
      <w:r w:rsidR="00D34B6C">
        <w:t xml:space="preserve"> </w:t>
      </w:r>
      <w:r w:rsidR="00D34B6C" w:rsidRPr="00D34B6C">
        <w:t>(Pouwels et al., 2019; Nowakowska et al., 2019; Scottish Government, 2024)</w:t>
      </w:r>
      <w:r>
        <w:t>. The NICE quality standards suggested a minimum 5-day treatment course, typically for adult ARI, and indicated the need for reassessment should symptoms worsen or not improve (NICE, 2023d). The UK-AWaRe classification aids surveillance and stewardship by categorising antibiotics based on preferred access, watch and reserve status, which will enable services to judge if there is a need for broad-spectrum exposure (UKHSA, 2025). However, the trend for reductions was found in primary care, with the difference still remaining in antibiotic classes and setting (McCloskey et al., 2023). Changes in the breadth of prescriptions were identified during the pandemic in OpenSAFELY analysis and need to be considered alongside changes in the types of cases in the consultation (Zhong et al., 2023).</w:t>
      </w:r>
    </w:p>
    <w:p w14:paraId="6F26D3BA" w14:textId="0A70AEBF" w:rsidR="00247132" w:rsidRDefault="00247132" w:rsidP="00247132">
      <w:r>
        <w:t xml:space="preserve">Prescribing alone should not be used to measure management success; rather, it should be combined with other factors such as recovery, adverse effects, complications, reconsultation, </w:t>
      </w:r>
      <w:r>
        <w:lastRenderedPageBreak/>
        <w:t>satisfaction, and antibiotic exposure. Consumption of antibiotics is a crucial stewardship measure, but is not a good enough proxy for quality. The national action plan associated with appropriate use included an emphasis on diagnostics and professional capability and public engagement (</w:t>
      </w:r>
      <w:r w:rsidR="00EE436B">
        <w:t>Department of Health and Social Care</w:t>
      </w:r>
      <w:r>
        <w:t>, 2024). Delayed prescription or CRP testing and rapid diagnostics are not intrinsically effective or ineffective, but are dependent upon patient selection, interpretation, communication and follow-up. A good quality care episode is, therefore, generated by a holistic clinical interaction rather than by one choice of prescription.</w:t>
      </w:r>
    </w:p>
    <w:p w14:paraId="3F957191" w14:textId="77777777" w:rsidR="00247132" w:rsidRDefault="00247132" w:rsidP="00247132">
      <w:pPr>
        <w:pStyle w:val="Heading3"/>
      </w:pPr>
      <w:bookmarkStart w:id="32" w:name="_Toc240921651"/>
      <w:r>
        <w:t>2.3.3 UK Policy, Service Delivery and Implementation</w:t>
      </w:r>
      <w:bookmarkEnd w:id="32"/>
    </w:p>
    <w:p w14:paraId="6332B033" w14:textId="2C18AC0A" w:rsidR="00247132" w:rsidRDefault="00247132" w:rsidP="00247132">
      <w:r>
        <w:t>Policy and stewardship by national bodies, local service organisations and evolving methods of access influence the management agenda for UK ARTI</w:t>
      </w:r>
      <w:r w:rsidR="00D73643">
        <w:t xml:space="preserve"> </w:t>
      </w:r>
      <w:r w:rsidR="00D73643" w:rsidRPr="00D73643">
        <w:t>(Malcolm et al., 2020; Zhu et al., 2021; NHS England, 2023d)</w:t>
      </w:r>
      <w:r>
        <w:t>. Prior to the pandemic, respiratory infections made up a significant proportion of primary-care use of antibiotics. Antibacterial prescribing for respiratory infections in England decreased significantly, as circulating and consulting for common respiratory infections declined during the winter of 2020-21 (Andrews et al., 2022). Similarly, a population-level analysis revealed initial increases then large decreases in antibiotic prescribing during the pandemic "restrictions," largely the result of changes in overall number of consultations, and not a consistent improvement in the quality of antibiotic decisions (Rezel-Potts et al., 2021). Between March 2020 and April 2021, there were rising proportions of patients prescribed medications outside of guidelines, with treatment patterns shifting during COVID-19 allowing for policy and epidemiological shocks to influence recorded practice in the absence of guidelines (Yang et al., 2023).</w:t>
      </w:r>
    </w:p>
    <w:p w14:paraId="2A9E7D47" w14:textId="77777777" w:rsidR="00247132" w:rsidRDefault="00247132" w:rsidP="00247132">
      <w:r>
        <w:t>The impact of the pandemic also changed the way clinical activity was conducted. The interviews with English GPs indicated that antibiotic thresholds were lowered, face-to-face assessments decreased, workload competing and reduced attention to routine stewardship activity early in the pandemic (Borek et al., 2021b). The remote care brought continuity and convenience, but it was not without the possibility of transferring doubts to a prescription for precautions or re-contact. Further analysis of the observations later confirmed the relationship between consultation mode and prescribing for acute respiratory infection (Vestesson et al., 2023). It requires a specification of service design to indicate when the client needs remote assessment, the requirement for observations/examination to be performed and how deterioration will be detected. NICE's adult ARI pathway sought to codify these decisions from the point of first contact through to remote assessment, to in-person care and virtual wards (NICE, 2023a).</w:t>
      </w:r>
    </w:p>
    <w:p w14:paraId="1D38E416" w14:textId="77777777" w:rsidR="00247132" w:rsidRDefault="00247132" w:rsidP="00247132">
      <w:r>
        <w:lastRenderedPageBreak/>
        <w:t>There is variation across practices as to how they are implemented, which demonstrates that the implementation goes beyond knowledge of guidance. Settling and advising on the best time to exactly prescribe or not prescribe, and on whether or not to order CRP tests (Borek et al., 2021a), were seen as more helpful by staff in high-prescribing practices for negotiating and providing reassurance rather than routinely as a clinical resource. A second study using a mixed-methods design identified that the leadership, team engagement, data feedback and local norms/perceived legitimacy of stewardship interventions were associated with drug reduction (Tonkin-Crine et al., 2023). These studies provide an understanding of why guidance might not make much impact if clinicians are time-poor, do not have access to testing, or lack feedback or confidence in non-antibiotic treatment.</w:t>
      </w:r>
    </w:p>
    <w:p w14:paraId="2A92EAEC" w14:textId="77777777" w:rsidR="00247132" w:rsidRDefault="00247132" w:rsidP="00247132">
      <w:r>
        <w:t>Surveillance is used to get feedback on progress so that variation can be identified at a local level. The UKHSA's ESPAUR programme brought together indicators related to antimicrobial consumption, resistance and stewardship, making the following observations: the antimicrobial prescribing and consumption of most antibiotics remained predominantly in GP, and the antimicrobial prescribing via community pharmacy had grown, with new pathways (UKHSA, 2026). Prescribing indicators must be connected to diagnoses, risk and outcomes and inequalities in order to not penalise services taking care of more highly moribund populations or populations with less follow-up.</w:t>
      </w:r>
    </w:p>
    <w:p w14:paraId="614B2BC9" w14:textId="3B3B3AFA" w:rsidR="00247132" w:rsidRDefault="00247132" w:rsidP="00247132">
      <w:r>
        <w:t>Pharmacy First has otherwise reallocated ARTI assessment</w:t>
      </w:r>
      <w:r w:rsidR="00D73643">
        <w:t xml:space="preserve"> </w:t>
      </w:r>
      <w:r w:rsidR="00D73643" w:rsidRPr="00D73643">
        <w:t>(NHS England, 2023a; NHS England, 2023b; Hayes et al., 2023)</w:t>
      </w:r>
      <w:r>
        <w:t>. Community pharmacists in England can prescribe; NHS England (2024) defines clinical pathways as time-bound care packages that are consistently applied to the same conditions by an individual pharmacist or their team. They can manage defined clinical pathways such as for sinusitis and sore throat and can provide advice, safety-netting and, if criteria are met, prescription-only medicines. Structured assessment appears to support targeted treatment for sore throats based on evidence from Pharmacy settings (Mantzourani et al., 2024). However, expansion leads to issues of uniformity in diagnosis, sharing of data, return precautions, repeat attendance and antibiotic audit. That's why it's significant that these newer pathways do not have long-term outcome evaluation.</w:t>
      </w:r>
    </w:p>
    <w:p w14:paraId="1BDBA5DF" w14:textId="1AAB97CE" w:rsidR="00247132" w:rsidRDefault="00247132" w:rsidP="00247132">
      <w:r>
        <w:t>Implementation entails resource and equity issues</w:t>
      </w:r>
      <w:r w:rsidR="00751A98">
        <w:t xml:space="preserve"> </w:t>
      </w:r>
      <w:r w:rsidR="00751A98" w:rsidRPr="00751A98">
        <w:t>(Thomson et al., 2020; All Wales Therapeutics and Toxicology Centre, 2024b; NHS England, 2025)</w:t>
      </w:r>
      <w:r>
        <w:t xml:space="preserve">. The benefits of POCT can be blunted by the lack of availability of tests in times of uncertainty, as well as by the need for equipment, consumables, quality control, training of staff, adequate consultation time, etc. (Hoste et al., 2023; Llor et al., 2024). Digital and remote pathways might be beneficial for some </w:t>
      </w:r>
      <w:r>
        <w:lastRenderedPageBreak/>
        <w:t>adults and negatively impact those with reduced access to digital technology, limited language proficiency, hearing impairment, and complex multimorbidity. Safety-netting materials might not be as effective when not considering health literacy. The national AMR plan adopted a more holistic approach to stewardship as a system-wide responsibility (</w:t>
      </w:r>
      <w:r w:rsidR="00EE436B">
        <w:t>Department of Health and Social Care</w:t>
      </w:r>
      <w:r>
        <w:t>, 2024). Therefore, implementation outcomes must cover reach, acceptability, fidelity, sustainability, as well as inequalization, rather than only average changes in prescribing.</w:t>
      </w:r>
    </w:p>
    <w:p w14:paraId="54772C69" w14:textId="77777777" w:rsidR="00247132" w:rsidRDefault="00247132" w:rsidP="00247132">
      <w:r>
        <w:t>Coordinated, the policy of the UK is one of support for directionality: assessment should reveal severity, antibiotics should only be given where likely benefit; courses should be short, and only the patient should be given self-assurance and escalation advice. Overall, the literature suggests a long-standing discrepancy between policy and practice. Workload, consultation mode, local norms, access to diagnostics and communication are highlighted through qualitative and observational evidence, and the desired standard of care is defined through policy and surveillance sources. While there is variation in the types of evidence collected, and therefore cannot be expected to prove the effectiveness of interventions on the same level, they do collectively substantiate that fidelity of implementation and service capacity are an integral part of establishing routine ARTI management from the national stewardship policy.</w:t>
      </w:r>
    </w:p>
    <w:p w14:paraId="7AEF8E29" w14:textId="77777777" w:rsidR="00247132" w:rsidRDefault="00247132" w:rsidP="00247132">
      <w:pPr>
        <w:pStyle w:val="Heading2"/>
      </w:pPr>
      <w:bookmarkStart w:id="33" w:name="_Toc240921652"/>
      <w:r>
        <w:t>2.4 Gaps in the Literature</w:t>
      </w:r>
      <w:bookmarkEnd w:id="33"/>
    </w:p>
    <w:p w14:paraId="532DA8D0" w14:textId="77777777" w:rsidR="00247132" w:rsidRDefault="00247132" w:rsidP="00247132">
      <w:r>
        <w:t>There are some gaps that led them to consider the proposed systematic review. First, the evidence is disjointed, covering diagnostic accuracy, prescribing behaviour, symptom outcomes, implementation and service redesign. Rapid tests have been found to be technically varied, with multiple technologies, and reference standards were other varied technologies (Webster et al., 2024; Scandrett et al., 2025; Hay et al., 2026) - that better pathogen info did not automatically lead to reduced use of antibiotics. Comparisons of the use of CRP testing versus microbiological testing, clinical prediction, and delayed prescribing and communication packages are therefore not directly possible. Secondly, the number of studies includes adults and children, multiple respiratory diagnoses and/or several countries. This increases the amount of statistical power but decreases certainty of adults managed in UK pathways in all four UK nations.</w:t>
      </w:r>
    </w:p>
    <w:p w14:paraId="19B21F63" w14:textId="77777777" w:rsidR="00247132" w:rsidRDefault="00247132" w:rsidP="00247132">
      <w:r>
        <w:t xml:space="preserve">Third, safety and equity outcomes are undeveloped. The overwhelming majority of the body of evidence in support of delayed prescribing was for symptom safety, but some linked-record studies highlighted concerns about hospital admission in certain groups, with few studies focusing on whether effects vary with frailty, multimorbidity, deprivation, ethnicity, health literacy or access to follow-up (van Staa et al., 2021; Stimson et al., 2024). Fourth, although barriers to </w:t>
      </w:r>
      <w:r>
        <w:lastRenderedPageBreak/>
        <w:t>implementation were identified in implementation studies, there was a lack of concurrent measurement of sustained adoption, cost and patient outcomes. The evidence base for Remote Assessment, Virtual wards and Pharmacy First is particularly immature given the pace of service change. NICE specifically asked for more research to be conducted with risk scores in remote and face-to-face settings (NICE, 2023a).</w:t>
      </w:r>
    </w:p>
    <w:p w14:paraId="616ADB0D" w14:textId="77777777" w:rsidR="00247132" w:rsidRDefault="00247132" w:rsidP="00247132">
      <w:r>
        <w:t>Lastly, outcomes tend to be very focused. There may be a reduction in prescribing rates that seem to be effective and successful, but there may also be more reconsultations, confusion, or delayed escalation or substitution to more effective and broad-spectrum agents. On the other hand, a strategy might decrease the amount of same-day prescribing of a drug in total, though it might increase prescribing in clinically relevant sub-groups. A systematic synthesis is required to review effectiveness, safety and implementation in a single analysis, to critically evaluate study quality and to uncover which strategies are effective for whom and under what conditions of UK service.</w:t>
      </w:r>
    </w:p>
    <w:p w14:paraId="5B626381" w14:textId="77777777" w:rsidR="00247132" w:rsidRDefault="00247132" w:rsidP="00247132">
      <w:pPr>
        <w:pStyle w:val="Heading2"/>
      </w:pPr>
      <w:bookmarkStart w:id="34" w:name="_Toc240921653"/>
      <w:r>
        <w:t>2.5 Theoretical Framework</w:t>
      </w:r>
      <w:bookmarkEnd w:id="34"/>
    </w:p>
    <w:p w14:paraId="68902746" w14:textId="77777777" w:rsidR="00247132" w:rsidRDefault="00247132" w:rsidP="00247132">
      <w:r>
        <w:t>Guidance for interpretation will be provided by an integrated diagnostic-stewardship and behavioural-implementation pathway. The clinical pathway starts with the assessment of the severity and consideration of possible alternate diagnoses, then moves to estimating the likelihood of an infection, to using selected prediction rules or tests, to making a management decision, to communicating and to providing a safety-netted follow-up. There are reducing and amplifying stages in each phase. Test-accuracy evidence is only useful if it is reliable, current, and actionable i.e. it should lead to changes in action which is why this should not be used as a proxy for clinical effectiveness (NICE, 2023b; Hay et al., 2026).</w:t>
      </w:r>
    </w:p>
    <w:p w14:paraId="7D3F9958" w14:textId="77777777" w:rsidR="00247132" w:rsidRDefault="00247132" w:rsidP="00247132">
      <w:r>
        <w:t xml:space="preserve">AMS can be best understood through a relevant behavioural lens, using the COM-B framework, as it views prescribing and implementation behaviours as being shaped by clinicians' capacity, opportunities in the healthcare service, and motivations of both the clinicians and the patients (Whitehorne et al., 2026). The capability to communicate uncertainty, to interpret scores and tests, to examine skillfully and interpret clinically, and to have clinical knowledge. Opportunity is time, equipment, funds, roles, in-person review, information systems, and information referral. Perceived patient expectations, fear of missing serious illness, self-care strategies, professional norms and commitment to stewardship, are all included in motivation. Empirical UK studies found that all three conditions were true: that clinicians understood stewardship but were less convinced of the usefulness of the test; that workflows prevented uptake of the test; and that test </w:t>
      </w:r>
      <w:r>
        <w:lastRenderedPageBreak/>
        <w:t>prescribing was a way for clinicians to manage social as well as clinical uncertainty (Borek et al., 2021a; Tonkin-Crine et al., 2023; McLeod et al., 2024).</w:t>
      </w:r>
    </w:p>
    <w:p w14:paraId="0BEABAE9" w14:textId="2D43E5A7" w:rsidR="00247132" w:rsidRDefault="00247132" w:rsidP="00247132">
      <w:r>
        <w:t>The framework suggests that multi-component strategies will have greater success than single tools. As well as explicit symptom management, there should be honest dialogue with patients, documented safety netting, audit and readily available reassessment using selective diagnostics. Outcomes to include: Patient recovery and safety, initiation of antibiotics, antibiotic spectra and duration, reconsultation, acceptability, cost and equity</w:t>
      </w:r>
      <w:r w:rsidR="00E821EB">
        <w:t xml:space="preserve"> </w:t>
      </w:r>
      <w:r w:rsidR="00E821EB" w:rsidRPr="00E821EB">
        <w:t>(</w:t>
      </w:r>
      <w:r w:rsidR="001B2DEC" w:rsidRPr="001B2DEC">
        <w:t>McNulty et al., 2018; Ratajczak et al., 2019; Gold et al., 2022</w:t>
      </w:r>
      <w:r w:rsidR="00E821EB" w:rsidRPr="00E821EB">
        <w:t>)</w:t>
      </w:r>
      <w:r>
        <w:t>. This theoretical approach is congruent with the aims and objectives of the research question as it helps to explain not only if strategies improve outcomes but also why they can be successful or unsuccessful when implemented in practice.</w:t>
      </w:r>
    </w:p>
    <w:p w14:paraId="47112C86" w14:textId="77777777" w:rsidR="00247132" w:rsidRDefault="00247132" w:rsidP="00247132">
      <w:pPr>
        <w:pStyle w:val="Heading2"/>
      </w:pPr>
      <w:bookmarkStart w:id="35" w:name="_Toc240921654"/>
      <w:r>
        <w:t>2.6 Chapter Summary</w:t>
      </w:r>
      <w:bookmarkEnd w:id="35"/>
    </w:p>
    <w:p w14:paraId="392E6F52" w14:textId="78E5ED23" w:rsidR="00AE220F" w:rsidRDefault="00247132" w:rsidP="00247132">
      <w:pPr>
        <w:rPr>
          <w:b/>
          <w:bCs/>
          <w:sz w:val="32"/>
          <w:szCs w:val="28"/>
        </w:rPr>
      </w:pPr>
      <w:r>
        <w:t>A literature review of the latest evidence for diagnosis and management of adult ARTI in the UK has been undertaken. In the context of patient selection, interpretation and workflow, the impact of diagnostic scores was seen as well as CRP-POCT and rapid microbiological tests. There was a potential to improve outcomes while decreasing the need for antibiotics (and other medically unnecessary treatments) through delayed prescribing, symptom management advice and safety-netting for high-risk patients; however, careful intervention and follow-up were required. Policy, surveillance, remote care and Pharmacy First had transformed delivery, but implementation and evidence for equity were incomplete. The identified gaps were justified for a systematic review based on effectiveness, safety and service context from a diagnostic-stewardship and behavioural-implementation programme.</w:t>
      </w:r>
      <w:r w:rsidR="00AE220F">
        <w:br w:type="page"/>
      </w:r>
    </w:p>
    <w:p w14:paraId="2244E497" w14:textId="30C60EB1" w:rsidR="00FA668A" w:rsidRPr="00255301" w:rsidRDefault="00CA19D9" w:rsidP="00F5008C">
      <w:pPr>
        <w:pStyle w:val="Heading1"/>
      </w:pPr>
      <w:bookmarkStart w:id="36" w:name="_Toc240921655"/>
      <w:r w:rsidRPr="00255301">
        <w:lastRenderedPageBreak/>
        <w:t>Chapter 3: Methodology</w:t>
      </w:r>
      <w:bookmarkEnd w:id="36"/>
    </w:p>
    <w:p w14:paraId="51986A8F" w14:textId="77777777" w:rsidR="00B251C4" w:rsidRPr="00B251C4" w:rsidRDefault="00B251C4" w:rsidP="003A1966">
      <w:pPr>
        <w:pStyle w:val="Heading2"/>
      </w:pPr>
      <w:bookmarkStart w:id="37" w:name="_Toc240921656"/>
      <w:r w:rsidRPr="00B251C4">
        <w:t>3.1 Introduction</w:t>
      </w:r>
      <w:bookmarkEnd w:id="37"/>
    </w:p>
    <w:p w14:paraId="5F3CDC85" w14:textId="32692CF5" w:rsidR="00B251C4" w:rsidRPr="00B251C4" w:rsidRDefault="00922A4B" w:rsidP="00B251C4">
      <w:r w:rsidRPr="00922A4B">
        <w:t xml:space="preserve">This chapter outlines the methodology employed in the identification, selection, appraisal and analysis of the evidence relating to diagnostic and management strategies for acute respiratory tract infections (ARTIs) for adults in the United Kingdom. A systematic literature search was conducted in order to ensure that evidence synthesis was conducted in a systematic, transparent, and structured manner. The content of the reporting was guided by PRISMA 2020, which aids in conveying the study identification, screening, eligibility and inclusion (Page et al., 2021). </w:t>
      </w:r>
      <w:r w:rsidR="00183F70" w:rsidRPr="00183F70">
        <w:t>This chapter</w:t>
      </w:r>
      <w:r w:rsidR="00183F70">
        <w:t xml:space="preserve"> </w:t>
      </w:r>
      <w:r w:rsidRPr="00922A4B">
        <w:t>provides a description of the study design, search strategy, eligibility criteria, screening, data extraction, critical appraisal, thematic analysis and ethical considerations.</w:t>
      </w:r>
    </w:p>
    <w:p w14:paraId="3CE4BBB9" w14:textId="77777777" w:rsidR="00B251C4" w:rsidRPr="00B251C4" w:rsidRDefault="00B251C4" w:rsidP="003A1966">
      <w:pPr>
        <w:pStyle w:val="Heading2"/>
      </w:pPr>
      <w:bookmarkStart w:id="38" w:name="_Toc240921657"/>
      <w:r w:rsidRPr="00B251C4">
        <w:t>3.2 Study Design</w:t>
      </w:r>
      <w:bookmarkEnd w:id="38"/>
    </w:p>
    <w:p w14:paraId="1375828F" w14:textId="77777777" w:rsidR="00867FF7" w:rsidRDefault="00867FF7" w:rsidP="00867FF7">
      <w:r>
        <w:t>The research question called for evidence from various parts of the care for adults with ARTI, such as diagnosis, prescribing, symptom management, patient safety and service delivery, which led to the choice of a systematic literature review (SLR). The procedures for searching, selecting, appraising and synthesising the evidence of an SLR are predetermined and transparent, such that the basis of the conclusions drawn from the evidence can be revisited and reproduced (Aromataris et al., 2024). It was an appropriate design as adult ARTI management encompasses many interrelated decisions, rather than a single intervention such as assessment of diagnostic uncertainty, using point-of-care tests, consultation mode, antibiotic initiation or delay, treatment duration, symptom management and safety netting.</w:t>
      </w:r>
    </w:p>
    <w:p w14:paraId="1E1E5343" w14:textId="77777777" w:rsidR="00867FF7" w:rsidRDefault="00867FF7" w:rsidP="00867FF7">
      <w:r>
        <w:t>The methodological transparency was the major advantage of the SLR approach. Structured critical appraisal and predefined eligibility criteria minimised the risk of choosing evidence due to a desired outcome. But systematic reviews are still susceptible to publication bias, failure to index, differences in terminology and errors in screening by a single reviewer. The review may have limited the evidence to that available in English and relevant to care provision in the UK, thereby missing out important international evidence. These constraints were not perceived to be totally removed. Rather, they were minimised by the general "synonym search", adaptation of the search by the database, citation checking, explicit eligibility criteria, and explicit reporting of methodological weaknesses and exclusion decisions.</w:t>
      </w:r>
    </w:p>
    <w:p w14:paraId="0C6CE45F" w14:textId="77777777" w:rsidR="00867FF7" w:rsidRDefault="00867FF7" w:rsidP="00867FF7">
      <w:r>
        <w:t xml:space="preserve">The study identification and selection were reported using PRISMA 2020 (Page et al., 2021) for transparent reporting of numbers of records identified, duplicates excluded, records screened, </w:t>
      </w:r>
      <w:r>
        <w:lastRenderedPageBreak/>
        <w:t>reports assessed, and studies finally included. PRISMA was not employed to determine eligibility but rather as a reporting tool.</w:t>
      </w:r>
    </w:p>
    <w:p w14:paraId="51FC739F" w14:textId="4881B860" w:rsidR="00B251C4" w:rsidRPr="00B251C4" w:rsidRDefault="00867FF7" w:rsidP="00867FF7">
      <w:r>
        <w:t>Since there was enough heterogeneity in the evidence included, a meta-analysis was not deemed appropriate. Research designs included in the qualitative studies were related to decision making and implementation, observational studies to prescribing and safety, diagnostic studies to test performance, and randomised trials to intervention evaluation. The combination of these disparate findings into one pooled statistical estimate may suggest comparability, which was not warranted. Thus, an integrative thematic synthesis method was applied to highlight similarities, differences and contradictions in the evidence and to preserve the context of the studies.</w:t>
      </w:r>
    </w:p>
    <w:p w14:paraId="5CEC8396" w14:textId="77777777" w:rsidR="00B251C4" w:rsidRPr="00B251C4" w:rsidRDefault="00B251C4" w:rsidP="003A1966">
      <w:pPr>
        <w:pStyle w:val="Heading2"/>
      </w:pPr>
      <w:bookmarkStart w:id="39" w:name="_Toc240921658"/>
      <w:r w:rsidRPr="00B251C4">
        <w:t>3.3 Search Strategy</w:t>
      </w:r>
      <w:bookmarkEnd w:id="39"/>
    </w:p>
    <w:p w14:paraId="136B4028" w14:textId="77777777" w:rsidR="008B558F" w:rsidRDefault="008B558F" w:rsidP="008B558F">
      <w:r>
        <w:t>Four related concepts were used to structure the search: acute respiratory tract infection, adults in UK primary or community care, diagnostic strategies and management or antimicrobial-stewardship strategies. OR and AND logical operators were used to combine synonyms within each concept and between concepts, respectively. Where supported, truncation was applied, such as prescrib* to return results for prescribe, prescribed and prescribing. Terms such as “acute respiratory tract infection,” “point-of-care testing” and “antimicrobial stewardship” were used for phrase searching. The NOT was eliminated as it may exclude important data. The search syntax was customised to the controlled vocabulary and field tags and truncation needs of each database.</w:t>
      </w:r>
    </w:p>
    <w:p w14:paraId="14890232" w14:textId="77777777" w:rsidR="008B558F" w:rsidRDefault="008B558F" w:rsidP="008B558F">
      <w:r>
        <w:t>The databases searched included MEDLINE/PubMed, Embase, CINAHL, Web of Science and Cochrane Library. These sources covered complementary biomedical, pharmacological, nursing, community-care, multidisciplinary and intervention research and minimised the reliance on any one index (Bramer et al., 2017). For purposes of citation checking, only Google Scholar and other reference lists of pertinent papers were used as supplements.</w:t>
      </w:r>
    </w:p>
    <w:p w14:paraId="12C1D500" w14:textId="0AE2D8F3" w:rsidR="00FA668A" w:rsidRPr="00255301" w:rsidRDefault="008B558F" w:rsidP="008B558F">
      <w:r>
        <w:t xml:space="preserve">Limitations were set for English-language records, formal database searches (January 2016 through August 2026), and human studies. Other eligibility criteria, such as UK relevance, adult population, primary or community-care setting, eligible study design and relevance to ARTI diagnosis, management, or antimicrobial stewardship were applied during the title, abstract, and full-text screening process, but were not used as database filters. Where possible, controlled vocabulary and free-text terms were mixed together, and the search strategy was tested for conceptual completeness using the PRESS principles (McGowan et al., 2016), which include </w:t>
      </w:r>
      <w:r>
        <w:lastRenderedPageBreak/>
        <w:t xml:space="preserve">Boolean structure, spelling, syntax and limits. In addition, the </w:t>
      </w:r>
      <w:r w:rsidR="005F40B9" w:rsidRPr="005F40B9">
        <w:t>principles of PRISMA-S</w:t>
      </w:r>
      <w:r w:rsidR="005F40B9">
        <w:t xml:space="preserve"> </w:t>
      </w:r>
      <w:r>
        <w:t xml:space="preserve">were followed for reproducible reporting of databases and search concepts as well as </w:t>
      </w:r>
      <w:r w:rsidRPr="002C6880">
        <w:t>search logic</w:t>
      </w:r>
      <w:r w:rsidR="002C6880" w:rsidRPr="002C6880">
        <w:t xml:space="preserve"> (Rethlefsen et al., 2021)</w:t>
      </w:r>
      <w:r w:rsidRPr="002C6880">
        <w:t>.</w:t>
      </w:r>
    </w:p>
    <w:p w14:paraId="3115293B" w14:textId="77777777" w:rsidR="00FA668A" w:rsidRPr="00744052" w:rsidRDefault="00CA19D9" w:rsidP="00744052">
      <w:pPr>
        <w:rPr>
          <w:szCs w:val="20"/>
        </w:rPr>
      </w:pPr>
      <w:r w:rsidRPr="00744052">
        <w:rPr>
          <w:szCs w:val="20"/>
        </w:rPr>
        <w:t>Table 3.1: Databases searched and relevance to the review</w:t>
      </w:r>
    </w:p>
    <w:tbl>
      <w:tblPr>
        <w:tblStyle w:val="TableGrid"/>
        <w:tblW w:w="0" w:type="auto"/>
        <w:tblLook w:val="04A0" w:firstRow="1" w:lastRow="0" w:firstColumn="1" w:lastColumn="0" w:noHBand="0" w:noVBand="1"/>
      </w:tblPr>
      <w:tblGrid>
        <w:gridCol w:w="2780"/>
        <w:gridCol w:w="6446"/>
      </w:tblGrid>
      <w:tr w:rsidR="00FA668A" w:rsidRPr="00870F0C" w14:paraId="6DB6BA26" w14:textId="77777777" w:rsidTr="00870F0C">
        <w:tc>
          <w:tcPr>
            <w:tcW w:w="2835" w:type="dxa"/>
          </w:tcPr>
          <w:p w14:paraId="13DB9A2C" w14:textId="77777777" w:rsidR="00FA668A" w:rsidRPr="00870F0C" w:rsidRDefault="00CA19D9" w:rsidP="00F5008C">
            <w:pPr>
              <w:rPr>
                <w:b/>
                <w:bCs/>
              </w:rPr>
            </w:pPr>
            <w:r w:rsidRPr="00870F0C">
              <w:rPr>
                <w:b/>
                <w:bCs/>
              </w:rPr>
              <w:t>Database</w:t>
            </w:r>
          </w:p>
        </w:tc>
        <w:tc>
          <w:tcPr>
            <w:tcW w:w="6803" w:type="dxa"/>
          </w:tcPr>
          <w:p w14:paraId="6AB64660" w14:textId="77777777" w:rsidR="00FA668A" w:rsidRPr="00870F0C" w:rsidRDefault="00CA19D9" w:rsidP="00F5008C">
            <w:pPr>
              <w:rPr>
                <w:b/>
                <w:bCs/>
              </w:rPr>
            </w:pPr>
            <w:r w:rsidRPr="00870F0C">
              <w:rPr>
                <w:b/>
                <w:bCs/>
              </w:rPr>
              <w:t>Relevance to the ARTI review</w:t>
            </w:r>
          </w:p>
        </w:tc>
      </w:tr>
      <w:tr w:rsidR="00FA668A" w:rsidRPr="00744052" w14:paraId="205B12F2" w14:textId="77777777" w:rsidTr="00870F0C">
        <w:tc>
          <w:tcPr>
            <w:tcW w:w="2835" w:type="dxa"/>
          </w:tcPr>
          <w:p w14:paraId="16102584" w14:textId="77777777" w:rsidR="00FA668A" w:rsidRPr="00744052" w:rsidRDefault="00CA19D9" w:rsidP="00F5008C">
            <w:pPr>
              <w:rPr>
                <w:szCs w:val="20"/>
              </w:rPr>
            </w:pPr>
            <w:r w:rsidRPr="00744052">
              <w:rPr>
                <w:szCs w:val="20"/>
              </w:rPr>
              <w:t>MEDLINE/PubMed</w:t>
            </w:r>
          </w:p>
        </w:tc>
        <w:tc>
          <w:tcPr>
            <w:tcW w:w="6803" w:type="dxa"/>
          </w:tcPr>
          <w:p w14:paraId="047BE70A" w14:textId="77777777" w:rsidR="00FA668A" w:rsidRPr="00744052" w:rsidRDefault="00CA19D9" w:rsidP="00F5008C">
            <w:pPr>
              <w:rPr>
                <w:szCs w:val="20"/>
              </w:rPr>
            </w:pPr>
            <w:r w:rsidRPr="00744052">
              <w:rPr>
                <w:szCs w:val="20"/>
              </w:rPr>
              <w:t>Core biomedical and clinical literature; strong coverage of primary care, respiratory infection and antimicrobial research.</w:t>
            </w:r>
          </w:p>
        </w:tc>
      </w:tr>
      <w:tr w:rsidR="00FA668A" w:rsidRPr="00744052" w14:paraId="5D2403EF" w14:textId="77777777" w:rsidTr="00870F0C">
        <w:tc>
          <w:tcPr>
            <w:tcW w:w="2835" w:type="dxa"/>
          </w:tcPr>
          <w:p w14:paraId="60F29D1D" w14:textId="77777777" w:rsidR="00FA668A" w:rsidRPr="00744052" w:rsidRDefault="00CA19D9" w:rsidP="00F5008C">
            <w:pPr>
              <w:rPr>
                <w:szCs w:val="20"/>
              </w:rPr>
            </w:pPr>
            <w:r w:rsidRPr="00744052">
              <w:rPr>
                <w:szCs w:val="20"/>
              </w:rPr>
              <w:t>Embase</w:t>
            </w:r>
          </w:p>
        </w:tc>
        <w:tc>
          <w:tcPr>
            <w:tcW w:w="6803" w:type="dxa"/>
          </w:tcPr>
          <w:p w14:paraId="56823B26" w14:textId="77777777" w:rsidR="00FA668A" w:rsidRPr="00744052" w:rsidRDefault="00CA19D9" w:rsidP="00F5008C">
            <w:pPr>
              <w:rPr>
                <w:szCs w:val="20"/>
              </w:rPr>
            </w:pPr>
            <w:r w:rsidRPr="00744052">
              <w:rPr>
                <w:szCs w:val="20"/>
              </w:rPr>
              <w:t>Broad biomedical and pharmacological indexing; complements MEDLINE and improves retrieval of European evidence.</w:t>
            </w:r>
          </w:p>
        </w:tc>
      </w:tr>
      <w:tr w:rsidR="00FA668A" w:rsidRPr="00744052" w14:paraId="2EA7E1F8" w14:textId="77777777" w:rsidTr="00870F0C">
        <w:tc>
          <w:tcPr>
            <w:tcW w:w="2835" w:type="dxa"/>
          </w:tcPr>
          <w:p w14:paraId="49B7CD94" w14:textId="77777777" w:rsidR="00FA668A" w:rsidRPr="00744052" w:rsidRDefault="00CA19D9" w:rsidP="00F5008C">
            <w:pPr>
              <w:rPr>
                <w:szCs w:val="20"/>
              </w:rPr>
            </w:pPr>
            <w:r w:rsidRPr="00744052">
              <w:rPr>
                <w:szCs w:val="20"/>
              </w:rPr>
              <w:t>CINAHL</w:t>
            </w:r>
          </w:p>
        </w:tc>
        <w:tc>
          <w:tcPr>
            <w:tcW w:w="6803" w:type="dxa"/>
          </w:tcPr>
          <w:p w14:paraId="2B5673DE" w14:textId="77777777" w:rsidR="00FA668A" w:rsidRPr="00744052" w:rsidRDefault="00CA19D9" w:rsidP="00F5008C">
            <w:pPr>
              <w:rPr>
                <w:szCs w:val="20"/>
              </w:rPr>
            </w:pPr>
            <w:r w:rsidRPr="00744052">
              <w:rPr>
                <w:szCs w:val="20"/>
              </w:rPr>
              <w:t>Nursing, allied-health, community-care and patient-management literature relevant to primary and community services.</w:t>
            </w:r>
          </w:p>
        </w:tc>
      </w:tr>
      <w:tr w:rsidR="00FA668A" w:rsidRPr="00744052" w14:paraId="51C2A5A9" w14:textId="77777777" w:rsidTr="00870F0C">
        <w:tc>
          <w:tcPr>
            <w:tcW w:w="2835" w:type="dxa"/>
          </w:tcPr>
          <w:p w14:paraId="7994A428" w14:textId="77777777" w:rsidR="00FA668A" w:rsidRPr="00744052" w:rsidRDefault="00CA19D9" w:rsidP="00F5008C">
            <w:pPr>
              <w:rPr>
                <w:szCs w:val="20"/>
              </w:rPr>
            </w:pPr>
            <w:r w:rsidRPr="00744052">
              <w:rPr>
                <w:szCs w:val="20"/>
              </w:rPr>
              <w:t>Web of Science</w:t>
            </w:r>
          </w:p>
        </w:tc>
        <w:tc>
          <w:tcPr>
            <w:tcW w:w="6803" w:type="dxa"/>
          </w:tcPr>
          <w:p w14:paraId="566A9428" w14:textId="77777777" w:rsidR="00FA668A" w:rsidRPr="00744052" w:rsidRDefault="00CA19D9" w:rsidP="00F5008C">
            <w:pPr>
              <w:rPr>
                <w:szCs w:val="20"/>
              </w:rPr>
            </w:pPr>
            <w:r w:rsidRPr="00744052">
              <w:rPr>
                <w:szCs w:val="20"/>
              </w:rPr>
              <w:t>Multidisciplinary coverage and citation indexing useful for implementation, public-health and service-delivery studies.</w:t>
            </w:r>
          </w:p>
        </w:tc>
      </w:tr>
      <w:tr w:rsidR="00FA668A" w:rsidRPr="00744052" w14:paraId="68685A99" w14:textId="77777777" w:rsidTr="00870F0C">
        <w:tc>
          <w:tcPr>
            <w:tcW w:w="2835" w:type="dxa"/>
          </w:tcPr>
          <w:p w14:paraId="335A2A26" w14:textId="77777777" w:rsidR="00FA668A" w:rsidRPr="00744052" w:rsidRDefault="00CA19D9" w:rsidP="00F5008C">
            <w:pPr>
              <w:rPr>
                <w:szCs w:val="20"/>
              </w:rPr>
            </w:pPr>
            <w:r w:rsidRPr="00744052">
              <w:rPr>
                <w:szCs w:val="20"/>
              </w:rPr>
              <w:t>Cochrane Library</w:t>
            </w:r>
          </w:p>
        </w:tc>
        <w:tc>
          <w:tcPr>
            <w:tcW w:w="6803" w:type="dxa"/>
          </w:tcPr>
          <w:p w14:paraId="250FC0E8" w14:textId="77777777" w:rsidR="00FA668A" w:rsidRPr="00744052" w:rsidRDefault="00CA19D9" w:rsidP="00F5008C">
            <w:pPr>
              <w:rPr>
                <w:szCs w:val="20"/>
              </w:rPr>
            </w:pPr>
            <w:r w:rsidRPr="00744052">
              <w:rPr>
                <w:szCs w:val="20"/>
              </w:rPr>
              <w:t>Trial and intervention records relevant to diagnostic and management effectiveness; used to identify potentially eligible primary studies.</w:t>
            </w:r>
          </w:p>
        </w:tc>
      </w:tr>
    </w:tbl>
    <w:p w14:paraId="06688304" w14:textId="77777777" w:rsidR="00FA668A" w:rsidRDefault="00FA668A" w:rsidP="00F5008C"/>
    <w:p w14:paraId="7276E55A" w14:textId="77777777" w:rsidR="00FA668A" w:rsidRDefault="00CA19D9" w:rsidP="00744052">
      <w:pPr>
        <w:rPr>
          <w:szCs w:val="20"/>
        </w:rPr>
      </w:pPr>
      <w:r w:rsidRPr="00744052">
        <w:rPr>
          <w:szCs w:val="20"/>
        </w:rPr>
        <w:t>Table 3.2: Search concepts and search terms</w:t>
      </w:r>
    </w:p>
    <w:tbl>
      <w:tblPr>
        <w:tblStyle w:val="TableGrid"/>
        <w:tblW w:w="0" w:type="auto"/>
        <w:tblLook w:val="04A0" w:firstRow="1" w:lastRow="0" w:firstColumn="1" w:lastColumn="0" w:noHBand="0" w:noVBand="1"/>
      </w:tblPr>
      <w:tblGrid>
        <w:gridCol w:w="2371"/>
        <w:gridCol w:w="6855"/>
      </w:tblGrid>
      <w:tr w:rsidR="00B251C4" w:rsidRPr="00B251C4" w14:paraId="1A4F1E61" w14:textId="77777777" w:rsidTr="00B251C4">
        <w:tc>
          <w:tcPr>
            <w:tcW w:w="0" w:type="auto"/>
            <w:hideMark/>
          </w:tcPr>
          <w:p w14:paraId="398F31BF" w14:textId="77777777" w:rsidR="00B251C4" w:rsidRPr="00B251C4" w:rsidRDefault="00B251C4" w:rsidP="00B251C4">
            <w:pPr>
              <w:rPr>
                <w:b/>
                <w:bCs/>
                <w:szCs w:val="20"/>
              </w:rPr>
            </w:pPr>
            <w:r w:rsidRPr="00B251C4">
              <w:rPr>
                <w:b/>
                <w:bCs/>
                <w:szCs w:val="20"/>
              </w:rPr>
              <w:t>Concept</w:t>
            </w:r>
          </w:p>
        </w:tc>
        <w:tc>
          <w:tcPr>
            <w:tcW w:w="0" w:type="auto"/>
            <w:hideMark/>
          </w:tcPr>
          <w:p w14:paraId="457450DE" w14:textId="77777777" w:rsidR="00B251C4" w:rsidRPr="00B251C4" w:rsidRDefault="00B251C4" w:rsidP="00B251C4">
            <w:pPr>
              <w:rPr>
                <w:b/>
                <w:bCs/>
                <w:szCs w:val="20"/>
              </w:rPr>
            </w:pPr>
            <w:r w:rsidRPr="00B251C4">
              <w:rPr>
                <w:b/>
                <w:bCs/>
                <w:szCs w:val="20"/>
              </w:rPr>
              <w:t>Keywords and synonyms</w:t>
            </w:r>
          </w:p>
        </w:tc>
      </w:tr>
      <w:tr w:rsidR="00B251C4" w:rsidRPr="00B251C4" w14:paraId="1DFA7073" w14:textId="77777777" w:rsidTr="00B251C4">
        <w:tc>
          <w:tcPr>
            <w:tcW w:w="0" w:type="auto"/>
            <w:hideMark/>
          </w:tcPr>
          <w:p w14:paraId="684D3EE3" w14:textId="77777777" w:rsidR="00B251C4" w:rsidRPr="00B251C4" w:rsidRDefault="00B251C4" w:rsidP="00B251C4">
            <w:pPr>
              <w:rPr>
                <w:szCs w:val="20"/>
              </w:rPr>
            </w:pPr>
            <w:r w:rsidRPr="00B251C4">
              <w:rPr>
                <w:b/>
                <w:bCs/>
                <w:szCs w:val="20"/>
              </w:rPr>
              <w:t>Condition</w:t>
            </w:r>
          </w:p>
        </w:tc>
        <w:tc>
          <w:tcPr>
            <w:tcW w:w="0" w:type="auto"/>
            <w:hideMark/>
          </w:tcPr>
          <w:p w14:paraId="76726786" w14:textId="77777777" w:rsidR="00B251C4" w:rsidRPr="00B251C4" w:rsidRDefault="00B251C4" w:rsidP="00B251C4">
            <w:pPr>
              <w:rPr>
                <w:szCs w:val="20"/>
              </w:rPr>
            </w:pPr>
            <w:r w:rsidRPr="00B251C4">
              <w:rPr>
                <w:szCs w:val="20"/>
              </w:rPr>
              <w:t>“acute respiratory tract infection*” OR ARTI OR URTI OR LRTI OR “acute cough” OR “sore throat” OR sinusitis OR pneumonia OR “respiratory infection*”</w:t>
            </w:r>
          </w:p>
        </w:tc>
      </w:tr>
      <w:tr w:rsidR="00B251C4" w:rsidRPr="00B251C4" w14:paraId="661E2B22" w14:textId="77777777" w:rsidTr="00B251C4">
        <w:tc>
          <w:tcPr>
            <w:tcW w:w="0" w:type="auto"/>
            <w:hideMark/>
          </w:tcPr>
          <w:p w14:paraId="2BB8AD7E" w14:textId="77777777" w:rsidR="00B251C4" w:rsidRPr="00B251C4" w:rsidRDefault="00B251C4" w:rsidP="00B251C4">
            <w:pPr>
              <w:rPr>
                <w:szCs w:val="20"/>
              </w:rPr>
            </w:pPr>
            <w:r w:rsidRPr="00B251C4">
              <w:rPr>
                <w:b/>
                <w:bCs/>
                <w:szCs w:val="20"/>
              </w:rPr>
              <w:t>Population / Setting</w:t>
            </w:r>
          </w:p>
        </w:tc>
        <w:tc>
          <w:tcPr>
            <w:tcW w:w="0" w:type="auto"/>
            <w:hideMark/>
          </w:tcPr>
          <w:p w14:paraId="66E479B6" w14:textId="77777777" w:rsidR="00B251C4" w:rsidRPr="00B251C4" w:rsidRDefault="00B251C4" w:rsidP="00B251C4">
            <w:pPr>
              <w:rPr>
                <w:szCs w:val="20"/>
              </w:rPr>
            </w:pPr>
            <w:r w:rsidRPr="00B251C4">
              <w:rPr>
                <w:szCs w:val="20"/>
              </w:rPr>
              <w:t>adult* OR “primary care” OR “general practice” OR “community pharmacy” OR GP OR “United Kingdom” OR UK OR England OR Scotland OR Wales OR “Northern Ireland”</w:t>
            </w:r>
          </w:p>
        </w:tc>
      </w:tr>
      <w:tr w:rsidR="00B251C4" w:rsidRPr="00B251C4" w14:paraId="674EC867" w14:textId="77777777" w:rsidTr="00B251C4">
        <w:tc>
          <w:tcPr>
            <w:tcW w:w="0" w:type="auto"/>
            <w:hideMark/>
          </w:tcPr>
          <w:p w14:paraId="2E69A666" w14:textId="77777777" w:rsidR="00B251C4" w:rsidRPr="00B251C4" w:rsidRDefault="00B251C4" w:rsidP="00B251C4">
            <w:pPr>
              <w:rPr>
                <w:szCs w:val="20"/>
              </w:rPr>
            </w:pPr>
            <w:r w:rsidRPr="00B251C4">
              <w:rPr>
                <w:b/>
                <w:bCs/>
                <w:szCs w:val="20"/>
              </w:rPr>
              <w:t>Diagnostic strategies</w:t>
            </w:r>
          </w:p>
        </w:tc>
        <w:tc>
          <w:tcPr>
            <w:tcW w:w="0" w:type="auto"/>
            <w:hideMark/>
          </w:tcPr>
          <w:p w14:paraId="262151E0" w14:textId="77777777" w:rsidR="00B251C4" w:rsidRPr="00B251C4" w:rsidRDefault="00B251C4" w:rsidP="00B251C4">
            <w:pPr>
              <w:rPr>
                <w:szCs w:val="20"/>
              </w:rPr>
            </w:pPr>
            <w:r w:rsidRPr="00B251C4">
              <w:rPr>
                <w:szCs w:val="20"/>
              </w:rPr>
              <w:t>“clinical prediction rule*” OR CRP OR “C-reactive protein” OR POCT OR “point-of-care test*” OR “rapid diagnostic*” OR antigen OR “diagnostic accuracy”</w:t>
            </w:r>
          </w:p>
        </w:tc>
      </w:tr>
      <w:tr w:rsidR="00B251C4" w:rsidRPr="00B251C4" w14:paraId="051151E5" w14:textId="77777777" w:rsidTr="00B251C4">
        <w:tc>
          <w:tcPr>
            <w:tcW w:w="0" w:type="auto"/>
            <w:hideMark/>
          </w:tcPr>
          <w:p w14:paraId="546B02F0" w14:textId="77777777" w:rsidR="00B251C4" w:rsidRPr="00B251C4" w:rsidRDefault="00B251C4" w:rsidP="00B251C4">
            <w:pPr>
              <w:rPr>
                <w:szCs w:val="20"/>
              </w:rPr>
            </w:pPr>
            <w:r w:rsidRPr="00B251C4">
              <w:rPr>
                <w:b/>
                <w:bCs/>
                <w:szCs w:val="20"/>
              </w:rPr>
              <w:lastRenderedPageBreak/>
              <w:t>Management / antimicrobial stewardship / outcomes</w:t>
            </w:r>
          </w:p>
        </w:tc>
        <w:tc>
          <w:tcPr>
            <w:tcW w:w="0" w:type="auto"/>
            <w:hideMark/>
          </w:tcPr>
          <w:p w14:paraId="285CA421" w14:textId="77777777" w:rsidR="00B251C4" w:rsidRPr="00B251C4" w:rsidRDefault="00B251C4" w:rsidP="00B251C4">
            <w:pPr>
              <w:rPr>
                <w:szCs w:val="20"/>
              </w:rPr>
            </w:pPr>
            <w:r w:rsidRPr="00B251C4">
              <w:rPr>
                <w:szCs w:val="20"/>
              </w:rPr>
              <w:t>“antibiotic prescrib*” OR “delayed prescrib*” OR “immediate antibiotic*” OR “symptomatic treatment” OR self-care OR “safety-net*” OR “remote consultation*” OR “antimicrobial stewardship” OR AMR OR “antibiotic use” OR reconsult* OR hospitali* OR “patient outcome*” OR recovery OR satisfaction</w:t>
            </w:r>
          </w:p>
        </w:tc>
      </w:tr>
    </w:tbl>
    <w:p w14:paraId="265BA3DF" w14:textId="77777777" w:rsidR="00B251C4" w:rsidRPr="00744052" w:rsidRDefault="00B251C4" w:rsidP="00744052">
      <w:pPr>
        <w:rPr>
          <w:szCs w:val="20"/>
        </w:rPr>
      </w:pPr>
    </w:p>
    <w:p w14:paraId="4961ED53" w14:textId="77777777" w:rsidR="00FA668A" w:rsidRPr="00744052" w:rsidRDefault="00CA19D9" w:rsidP="00744052">
      <w:pPr>
        <w:rPr>
          <w:szCs w:val="20"/>
        </w:rPr>
      </w:pPr>
      <w:r w:rsidRPr="00744052">
        <w:rPr>
          <w:szCs w:val="20"/>
        </w:rPr>
        <w:t>Table 3.3: Examples of electronic search strings</w:t>
      </w:r>
    </w:p>
    <w:tbl>
      <w:tblPr>
        <w:tblStyle w:val="TableGrid"/>
        <w:tblW w:w="0" w:type="auto"/>
        <w:tblLook w:val="04A0" w:firstRow="1" w:lastRow="0" w:firstColumn="1" w:lastColumn="0" w:noHBand="0" w:noVBand="1"/>
      </w:tblPr>
      <w:tblGrid>
        <w:gridCol w:w="2255"/>
        <w:gridCol w:w="6971"/>
      </w:tblGrid>
      <w:tr w:rsidR="00FA668A" w:rsidRPr="00870F0C" w14:paraId="3FF5CFD1" w14:textId="77777777" w:rsidTr="004545FE">
        <w:tc>
          <w:tcPr>
            <w:tcW w:w="2255" w:type="dxa"/>
          </w:tcPr>
          <w:p w14:paraId="4CDA5C79" w14:textId="77777777" w:rsidR="00FA668A" w:rsidRPr="00870F0C" w:rsidRDefault="00CA19D9" w:rsidP="00F5008C">
            <w:pPr>
              <w:rPr>
                <w:b/>
                <w:bCs/>
              </w:rPr>
            </w:pPr>
            <w:r w:rsidRPr="00870F0C">
              <w:rPr>
                <w:b/>
                <w:bCs/>
              </w:rPr>
              <w:t>Search</w:t>
            </w:r>
          </w:p>
        </w:tc>
        <w:tc>
          <w:tcPr>
            <w:tcW w:w="6971" w:type="dxa"/>
          </w:tcPr>
          <w:p w14:paraId="701A6732" w14:textId="77777777" w:rsidR="00FA668A" w:rsidRPr="00870F0C" w:rsidRDefault="00CA19D9" w:rsidP="00F5008C">
            <w:pPr>
              <w:rPr>
                <w:b/>
                <w:bCs/>
              </w:rPr>
            </w:pPr>
            <w:r w:rsidRPr="00870F0C">
              <w:rPr>
                <w:b/>
                <w:bCs/>
              </w:rPr>
              <w:t>Example string</w:t>
            </w:r>
          </w:p>
        </w:tc>
      </w:tr>
      <w:tr w:rsidR="00FA668A" w:rsidRPr="00744052" w14:paraId="6CAC3912" w14:textId="77777777" w:rsidTr="004545FE">
        <w:tc>
          <w:tcPr>
            <w:tcW w:w="2255" w:type="dxa"/>
          </w:tcPr>
          <w:p w14:paraId="54325912" w14:textId="77777777" w:rsidR="00FA668A" w:rsidRPr="00744052" w:rsidRDefault="00CA19D9" w:rsidP="00F5008C">
            <w:pPr>
              <w:rPr>
                <w:szCs w:val="20"/>
              </w:rPr>
            </w:pPr>
            <w:r w:rsidRPr="00744052">
              <w:rPr>
                <w:szCs w:val="20"/>
              </w:rPr>
              <w:t>MEDLINE/PubMed example</w:t>
            </w:r>
          </w:p>
        </w:tc>
        <w:tc>
          <w:tcPr>
            <w:tcW w:w="6971" w:type="dxa"/>
          </w:tcPr>
          <w:p w14:paraId="2A8FE0B5" w14:textId="77777777" w:rsidR="00FA668A" w:rsidRPr="00744052" w:rsidRDefault="00CA19D9" w:rsidP="00F5008C">
            <w:pPr>
              <w:rPr>
                <w:szCs w:val="20"/>
              </w:rPr>
            </w:pPr>
            <w:r w:rsidRPr="00744052">
              <w:rPr>
                <w:szCs w:val="20"/>
              </w:rPr>
              <w:t>("acute respiratory tract infection*" OR URTI OR LRTI OR "acute cough") AND (adult* OR "primary care") AND ("antibiotic prescrib*" OR "antimicrobial stewardship" OR "delayed prescrib*")</w:t>
            </w:r>
          </w:p>
        </w:tc>
      </w:tr>
      <w:tr w:rsidR="00FA668A" w:rsidRPr="00744052" w14:paraId="7C71C391" w14:textId="77777777" w:rsidTr="004545FE">
        <w:tc>
          <w:tcPr>
            <w:tcW w:w="2255" w:type="dxa"/>
          </w:tcPr>
          <w:p w14:paraId="26166605" w14:textId="77777777" w:rsidR="00FA668A" w:rsidRPr="00744052" w:rsidRDefault="00CA19D9" w:rsidP="00F5008C">
            <w:pPr>
              <w:rPr>
                <w:szCs w:val="20"/>
              </w:rPr>
            </w:pPr>
            <w:r w:rsidRPr="00744052">
              <w:rPr>
                <w:szCs w:val="20"/>
              </w:rPr>
              <w:t>Diagnostic example</w:t>
            </w:r>
          </w:p>
        </w:tc>
        <w:tc>
          <w:tcPr>
            <w:tcW w:w="6971" w:type="dxa"/>
          </w:tcPr>
          <w:p w14:paraId="445498AB" w14:textId="77777777" w:rsidR="00FA668A" w:rsidRPr="00744052" w:rsidRDefault="00CA19D9" w:rsidP="00F5008C">
            <w:pPr>
              <w:rPr>
                <w:szCs w:val="20"/>
              </w:rPr>
            </w:pPr>
            <w:r w:rsidRPr="00744052">
              <w:rPr>
                <w:szCs w:val="20"/>
              </w:rPr>
              <w:t>("respiratory infection*" OR LRTI) AND ("point-of-care test*" OR POCT OR CRP OR "rapid diagnostic*") AND ("United Kingdom" OR England OR Wales OR Scotland)</w:t>
            </w:r>
          </w:p>
        </w:tc>
      </w:tr>
      <w:tr w:rsidR="00FA668A" w:rsidRPr="00744052" w14:paraId="544064ED" w14:textId="77777777" w:rsidTr="004545FE">
        <w:tc>
          <w:tcPr>
            <w:tcW w:w="2255" w:type="dxa"/>
          </w:tcPr>
          <w:p w14:paraId="33687DA6" w14:textId="77777777" w:rsidR="00FA668A" w:rsidRPr="00744052" w:rsidRDefault="00CA19D9" w:rsidP="00F5008C">
            <w:pPr>
              <w:rPr>
                <w:szCs w:val="20"/>
              </w:rPr>
            </w:pPr>
            <w:r w:rsidRPr="00744052">
              <w:rPr>
                <w:szCs w:val="20"/>
              </w:rPr>
              <w:t>Management example</w:t>
            </w:r>
          </w:p>
        </w:tc>
        <w:tc>
          <w:tcPr>
            <w:tcW w:w="6971" w:type="dxa"/>
          </w:tcPr>
          <w:p w14:paraId="4AA91967" w14:textId="77777777" w:rsidR="00FA668A" w:rsidRPr="00744052" w:rsidRDefault="00CA19D9" w:rsidP="00F5008C">
            <w:pPr>
              <w:rPr>
                <w:szCs w:val="20"/>
              </w:rPr>
            </w:pPr>
            <w:r w:rsidRPr="00744052">
              <w:rPr>
                <w:szCs w:val="20"/>
              </w:rPr>
              <w:t>("acute respiratory infection*" OR "sore throat") AND ("remote consultation*" OR self-care OR "safety-net*" OR "symptomatic treatment") AND (adult* AND "primary care")</w:t>
            </w:r>
          </w:p>
        </w:tc>
      </w:tr>
    </w:tbl>
    <w:p w14:paraId="456CB023" w14:textId="7F7D8DA6" w:rsidR="00FA668A" w:rsidRDefault="004545FE" w:rsidP="004545FE">
      <w:pPr>
        <w:pStyle w:val="Heading2"/>
      </w:pPr>
      <w:bookmarkStart w:id="40" w:name="_Toc240921659"/>
      <w:r w:rsidRPr="004545FE">
        <w:t>3.4 Eligibility Criteria</w:t>
      </w:r>
      <w:bookmarkEnd w:id="40"/>
    </w:p>
    <w:p w14:paraId="5D8CD4BD" w14:textId="333EF7C1" w:rsidR="00A92C18" w:rsidRPr="00E83FF7" w:rsidRDefault="002A2D22" w:rsidP="00A92C18">
      <w:pPr>
        <w:rPr>
          <w:b/>
          <w:bCs/>
        </w:rPr>
      </w:pPr>
      <w:r w:rsidRPr="002A2D22">
        <w:t>Eligibility criteria were established before screening to ensure consistency in the selection of studies. Studies were considered for inclusion if they researched diagnosis, management, antimicrobial prescribing or stewardship for acute respiratory tract infections (ARTIs) in adults in the UK primary or community care setting. Qualitative, analytical cross-sectional, diagnostic, cohort or other observational studies and randomised controlled trials were eligible for inclusion in the designs. Mixed age studies were considered only if adult findings were reported separately, and studies of healthcare professionals were included if they directly related to adult ARTI pathways. Reviews, protocols, editorials and opinion pieces and conference abstracts were excluded from the final synthesis, but may be included if relevant in secondary sources for citation checking. Studies that had no relation to the UK, or were on paediatric or hospital-only samples, were also excluded. These are summarised in the table below (Table 3.4).</w:t>
      </w:r>
      <w:r w:rsidR="00E83FF7">
        <w:t xml:space="preserve"> </w:t>
      </w:r>
      <w:r w:rsidR="00E83FF7" w:rsidRPr="00E83FF7">
        <w:t>A mixed-age RCT (Hay et al.</w:t>
      </w:r>
      <w:r w:rsidR="000F0E2B">
        <w:t>,</w:t>
      </w:r>
      <w:r w:rsidR="00E83FF7" w:rsidRPr="00E83FF7">
        <w:t xml:space="preserve"> 2026) was included as a protocol deviation as this study reported on prespecified age-stratified analysis and 86% of participants were age ≥16 years. The results of </w:t>
      </w:r>
      <w:r w:rsidR="00E83FF7" w:rsidRPr="00E83FF7">
        <w:lastRenderedPageBreak/>
        <w:t>a strictly ≥ 18 year old sub-group were not reported separately and should be interpreted with caution and are not considered evidence from adults ≥ 18 years old alone.</w:t>
      </w:r>
    </w:p>
    <w:p w14:paraId="7ECA2BC6" w14:textId="77777777" w:rsidR="00A92C18" w:rsidRPr="00A92C18" w:rsidRDefault="00A92C18" w:rsidP="00A92C18">
      <w:r w:rsidRPr="00A92C18">
        <w:t>Table 3.4: Inclusion and Exclusion Criteria</w:t>
      </w:r>
    </w:p>
    <w:tbl>
      <w:tblPr>
        <w:tblStyle w:val="TableGrid"/>
        <w:tblW w:w="0" w:type="auto"/>
        <w:tblLook w:val="04A0" w:firstRow="1" w:lastRow="0" w:firstColumn="1" w:lastColumn="0" w:noHBand="0" w:noVBand="1"/>
      </w:tblPr>
      <w:tblGrid>
        <w:gridCol w:w="1491"/>
        <w:gridCol w:w="4587"/>
        <w:gridCol w:w="3148"/>
      </w:tblGrid>
      <w:tr w:rsidR="00A92C18" w:rsidRPr="00A92C18" w14:paraId="199AD0D8" w14:textId="77777777" w:rsidTr="00A92C18">
        <w:tc>
          <w:tcPr>
            <w:tcW w:w="0" w:type="auto"/>
            <w:hideMark/>
          </w:tcPr>
          <w:p w14:paraId="2CFE5852" w14:textId="77777777" w:rsidR="00A92C18" w:rsidRPr="00A92C18" w:rsidRDefault="00A92C18" w:rsidP="00A92C18">
            <w:pPr>
              <w:rPr>
                <w:b/>
                <w:bCs/>
              </w:rPr>
            </w:pPr>
            <w:r w:rsidRPr="00A92C18">
              <w:rPr>
                <w:b/>
                <w:bCs/>
              </w:rPr>
              <w:t>Criterion</w:t>
            </w:r>
          </w:p>
        </w:tc>
        <w:tc>
          <w:tcPr>
            <w:tcW w:w="0" w:type="auto"/>
            <w:hideMark/>
          </w:tcPr>
          <w:p w14:paraId="348F1257" w14:textId="77777777" w:rsidR="00A92C18" w:rsidRPr="00A92C18" w:rsidRDefault="00A92C18" w:rsidP="00A92C18">
            <w:pPr>
              <w:rPr>
                <w:b/>
                <w:bCs/>
              </w:rPr>
            </w:pPr>
            <w:r w:rsidRPr="00A92C18">
              <w:rPr>
                <w:b/>
                <w:bCs/>
              </w:rPr>
              <w:t>Inclusion criteria</w:t>
            </w:r>
          </w:p>
        </w:tc>
        <w:tc>
          <w:tcPr>
            <w:tcW w:w="0" w:type="auto"/>
            <w:hideMark/>
          </w:tcPr>
          <w:p w14:paraId="6FBF5132" w14:textId="77777777" w:rsidR="00A92C18" w:rsidRPr="00A92C18" w:rsidRDefault="00A92C18" w:rsidP="00A92C18">
            <w:pPr>
              <w:rPr>
                <w:b/>
                <w:bCs/>
              </w:rPr>
            </w:pPr>
            <w:r w:rsidRPr="00A92C18">
              <w:rPr>
                <w:b/>
                <w:bCs/>
              </w:rPr>
              <w:t>Exclusion criteria</w:t>
            </w:r>
          </w:p>
        </w:tc>
      </w:tr>
      <w:tr w:rsidR="00A92C18" w:rsidRPr="00A92C18" w14:paraId="2023C805" w14:textId="77777777" w:rsidTr="00A92C18">
        <w:tc>
          <w:tcPr>
            <w:tcW w:w="0" w:type="auto"/>
            <w:hideMark/>
          </w:tcPr>
          <w:p w14:paraId="634AB4AD" w14:textId="77777777" w:rsidR="00A92C18" w:rsidRPr="00A92C18" w:rsidRDefault="00A92C18" w:rsidP="00A92C18">
            <w:r w:rsidRPr="00A92C18">
              <w:rPr>
                <w:b/>
                <w:bCs/>
              </w:rPr>
              <w:t>Population</w:t>
            </w:r>
          </w:p>
        </w:tc>
        <w:tc>
          <w:tcPr>
            <w:tcW w:w="0" w:type="auto"/>
            <w:hideMark/>
          </w:tcPr>
          <w:p w14:paraId="44023241" w14:textId="77777777" w:rsidR="00A92C18" w:rsidRPr="00A92C18" w:rsidRDefault="00A92C18" w:rsidP="00A92C18">
            <w:r w:rsidRPr="00A92C18">
              <w:t>Adults aged ≥18 years; mixed-age studies with separately reported adult findings; healthcare professionals involved in adult ARTI pathways</w:t>
            </w:r>
          </w:p>
        </w:tc>
        <w:tc>
          <w:tcPr>
            <w:tcW w:w="0" w:type="auto"/>
            <w:hideMark/>
          </w:tcPr>
          <w:p w14:paraId="234EC68D" w14:textId="77777777" w:rsidR="00A92C18" w:rsidRPr="00A92C18" w:rsidRDefault="00A92C18" w:rsidP="00A92C18">
            <w:r w:rsidRPr="00A92C18">
              <w:t>Paediatric-only populations; mixed-age studies without separable adult findings</w:t>
            </w:r>
          </w:p>
        </w:tc>
      </w:tr>
      <w:tr w:rsidR="00A92C18" w:rsidRPr="00A92C18" w14:paraId="0F580309" w14:textId="77777777" w:rsidTr="00A92C18">
        <w:tc>
          <w:tcPr>
            <w:tcW w:w="0" w:type="auto"/>
            <w:hideMark/>
          </w:tcPr>
          <w:p w14:paraId="17BD3585" w14:textId="77777777" w:rsidR="00A92C18" w:rsidRPr="00A92C18" w:rsidRDefault="00A92C18" w:rsidP="00A92C18">
            <w:r w:rsidRPr="00A92C18">
              <w:rPr>
                <w:b/>
                <w:bCs/>
              </w:rPr>
              <w:t>Setting</w:t>
            </w:r>
          </w:p>
        </w:tc>
        <w:tc>
          <w:tcPr>
            <w:tcW w:w="0" w:type="auto"/>
            <w:hideMark/>
          </w:tcPr>
          <w:p w14:paraId="50BAF0A7" w14:textId="77777777" w:rsidR="00A92C18" w:rsidRPr="00A92C18" w:rsidRDefault="00A92C18" w:rsidP="00A92C18">
            <w:r w:rsidRPr="00A92C18">
              <w:t>UK general practice, primary care, community pharmacy or other community-care pathways</w:t>
            </w:r>
          </w:p>
        </w:tc>
        <w:tc>
          <w:tcPr>
            <w:tcW w:w="0" w:type="auto"/>
            <w:hideMark/>
          </w:tcPr>
          <w:p w14:paraId="2EAF1F7E" w14:textId="77777777" w:rsidR="00A92C18" w:rsidRPr="00A92C18" w:rsidRDefault="00A92C18" w:rsidP="00A92C18">
            <w:r w:rsidRPr="00A92C18">
              <w:t>Non-UK settings; hospital-only settings without direct primary/community-care relevance</w:t>
            </w:r>
          </w:p>
        </w:tc>
      </w:tr>
      <w:tr w:rsidR="00A92C18" w:rsidRPr="00A92C18" w14:paraId="6FCDFAA4" w14:textId="77777777" w:rsidTr="00A92C18">
        <w:tc>
          <w:tcPr>
            <w:tcW w:w="0" w:type="auto"/>
            <w:hideMark/>
          </w:tcPr>
          <w:p w14:paraId="3E793714" w14:textId="77777777" w:rsidR="00A92C18" w:rsidRPr="00A92C18" w:rsidRDefault="00A92C18" w:rsidP="00A92C18">
            <w:r w:rsidRPr="00A92C18">
              <w:rPr>
                <w:b/>
                <w:bCs/>
              </w:rPr>
              <w:t>Condition</w:t>
            </w:r>
          </w:p>
        </w:tc>
        <w:tc>
          <w:tcPr>
            <w:tcW w:w="0" w:type="auto"/>
            <w:hideMark/>
          </w:tcPr>
          <w:p w14:paraId="4B42C6B1" w14:textId="77777777" w:rsidR="00A92C18" w:rsidRPr="00A92C18" w:rsidRDefault="00A92C18" w:rsidP="00A92C18">
            <w:r w:rsidRPr="00A92C18">
              <w:t>Acute upper or lower respiratory tract infection, acute cough, sore throat, sinusitis, pneumonia or closely related acute respiratory presentations</w:t>
            </w:r>
          </w:p>
        </w:tc>
        <w:tc>
          <w:tcPr>
            <w:tcW w:w="0" w:type="auto"/>
            <w:hideMark/>
          </w:tcPr>
          <w:p w14:paraId="5BCD58A1" w14:textId="77777777" w:rsidR="00A92C18" w:rsidRPr="00A92C18" w:rsidRDefault="00A92C18" w:rsidP="00A92C18">
            <w:r w:rsidRPr="00A92C18">
              <w:t>Chronic respiratory disease without an acute infection focus; unrelated infections</w:t>
            </w:r>
          </w:p>
        </w:tc>
      </w:tr>
      <w:tr w:rsidR="00A92C18" w:rsidRPr="00A92C18" w14:paraId="667ABD20" w14:textId="77777777" w:rsidTr="00A92C18">
        <w:tc>
          <w:tcPr>
            <w:tcW w:w="0" w:type="auto"/>
            <w:hideMark/>
          </w:tcPr>
          <w:p w14:paraId="4C1563D5" w14:textId="77777777" w:rsidR="00A92C18" w:rsidRPr="00A92C18" w:rsidRDefault="00A92C18" w:rsidP="00A92C18">
            <w:r w:rsidRPr="00A92C18">
              <w:rPr>
                <w:b/>
                <w:bCs/>
              </w:rPr>
              <w:t>Focus</w:t>
            </w:r>
          </w:p>
        </w:tc>
        <w:tc>
          <w:tcPr>
            <w:tcW w:w="0" w:type="auto"/>
            <w:hideMark/>
          </w:tcPr>
          <w:p w14:paraId="6BA3BEC3" w14:textId="77777777" w:rsidR="00A92C18" w:rsidRPr="00A92C18" w:rsidRDefault="00A92C18" w:rsidP="00A92C18">
            <w:r w:rsidRPr="00A92C18">
              <w:t>Diagnosis, clinical prediction rules, point-of-care/rapid testing, antibiotic prescribing, delayed/immediate prescribing, treatment duration, symptom management, consultation mode, safety-netting or antimicrobial stewardship</w:t>
            </w:r>
          </w:p>
        </w:tc>
        <w:tc>
          <w:tcPr>
            <w:tcW w:w="0" w:type="auto"/>
            <w:hideMark/>
          </w:tcPr>
          <w:p w14:paraId="03DA3D9F" w14:textId="77777777" w:rsidR="00A92C18" w:rsidRPr="00A92C18" w:rsidRDefault="00A92C18" w:rsidP="00A92C18">
            <w:r w:rsidRPr="00A92C18">
              <w:t>Studies without relevant diagnostic, management, prescribing, stewardship or patient-outcome evidence</w:t>
            </w:r>
          </w:p>
        </w:tc>
      </w:tr>
      <w:tr w:rsidR="00A92C18" w:rsidRPr="00A92C18" w14:paraId="79976EF6" w14:textId="77777777" w:rsidTr="00A92C18">
        <w:tc>
          <w:tcPr>
            <w:tcW w:w="0" w:type="auto"/>
            <w:hideMark/>
          </w:tcPr>
          <w:p w14:paraId="0DB64F97" w14:textId="77777777" w:rsidR="00A92C18" w:rsidRPr="00A92C18" w:rsidRDefault="00A92C18" w:rsidP="00A92C18">
            <w:r w:rsidRPr="00A92C18">
              <w:rPr>
                <w:b/>
                <w:bCs/>
              </w:rPr>
              <w:t>Study design</w:t>
            </w:r>
          </w:p>
        </w:tc>
        <w:tc>
          <w:tcPr>
            <w:tcW w:w="0" w:type="auto"/>
            <w:hideMark/>
          </w:tcPr>
          <w:p w14:paraId="26181AF7" w14:textId="77777777" w:rsidR="00A92C18" w:rsidRPr="00A92C18" w:rsidRDefault="00A92C18" w:rsidP="00A92C18">
            <w:r w:rsidRPr="00A92C18">
              <w:t>Primary qualitative, analytical cross-sectional, diagnostic, cohort/observational and randomised controlled studies</w:t>
            </w:r>
          </w:p>
        </w:tc>
        <w:tc>
          <w:tcPr>
            <w:tcW w:w="0" w:type="auto"/>
            <w:hideMark/>
          </w:tcPr>
          <w:p w14:paraId="05CF37AC" w14:textId="77777777" w:rsidR="00A92C18" w:rsidRPr="00A92C18" w:rsidRDefault="00A92C18" w:rsidP="00A92C18">
            <w:r w:rsidRPr="00A92C18">
              <w:t>Systematic or narrative reviews, protocols, editorials, opinion pieces and conference abstracts</w:t>
            </w:r>
          </w:p>
        </w:tc>
      </w:tr>
      <w:tr w:rsidR="00A92C18" w:rsidRPr="00A92C18" w14:paraId="49134BCC" w14:textId="77777777" w:rsidTr="00A92C18">
        <w:tc>
          <w:tcPr>
            <w:tcW w:w="0" w:type="auto"/>
            <w:hideMark/>
          </w:tcPr>
          <w:p w14:paraId="4188DD63" w14:textId="77777777" w:rsidR="00A92C18" w:rsidRPr="00A92C18" w:rsidRDefault="00A92C18" w:rsidP="00A92C18">
            <w:r w:rsidRPr="00A92C18">
              <w:rPr>
                <w:b/>
                <w:bCs/>
              </w:rPr>
              <w:t>Publication period</w:t>
            </w:r>
          </w:p>
        </w:tc>
        <w:tc>
          <w:tcPr>
            <w:tcW w:w="0" w:type="auto"/>
            <w:hideMark/>
          </w:tcPr>
          <w:p w14:paraId="3AA1E8EB" w14:textId="77777777" w:rsidR="00A92C18" w:rsidRPr="00A92C18" w:rsidRDefault="00A92C18" w:rsidP="00A92C18">
            <w:r w:rsidRPr="00A92C18">
              <w:t>January 2016–August 2026</w:t>
            </w:r>
          </w:p>
        </w:tc>
        <w:tc>
          <w:tcPr>
            <w:tcW w:w="0" w:type="auto"/>
            <w:hideMark/>
          </w:tcPr>
          <w:p w14:paraId="707163EC" w14:textId="77777777" w:rsidR="00A92C18" w:rsidRPr="00A92C18" w:rsidRDefault="00A92C18" w:rsidP="00A92C18">
            <w:r w:rsidRPr="00A92C18">
              <w:t>Published outside the specified period</w:t>
            </w:r>
          </w:p>
        </w:tc>
      </w:tr>
      <w:tr w:rsidR="00A92C18" w:rsidRPr="00A92C18" w14:paraId="00EEE3E6" w14:textId="77777777" w:rsidTr="00A92C18">
        <w:tc>
          <w:tcPr>
            <w:tcW w:w="0" w:type="auto"/>
            <w:hideMark/>
          </w:tcPr>
          <w:p w14:paraId="044F9CB7" w14:textId="77777777" w:rsidR="00A92C18" w:rsidRPr="00A92C18" w:rsidRDefault="00A92C18" w:rsidP="00A92C18">
            <w:r w:rsidRPr="00A92C18">
              <w:rPr>
                <w:b/>
                <w:bCs/>
              </w:rPr>
              <w:t>Language</w:t>
            </w:r>
          </w:p>
        </w:tc>
        <w:tc>
          <w:tcPr>
            <w:tcW w:w="0" w:type="auto"/>
            <w:hideMark/>
          </w:tcPr>
          <w:p w14:paraId="7D3BD685" w14:textId="77777777" w:rsidR="00A92C18" w:rsidRPr="00A92C18" w:rsidRDefault="00A92C18" w:rsidP="00A92C18">
            <w:r w:rsidRPr="00A92C18">
              <w:t>English language</w:t>
            </w:r>
          </w:p>
        </w:tc>
        <w:tc>
          <w:tcPr>
            <w:tcW w:w="0" w:type="auto"/>
            <w:hideMark/>
          </w:tcPr>
          <w:p w14:paraId="7BA19570" w14:textId="77777777" w:rsidR="00A92C18" w:rsidRPr="00A92C18" w:rsidRDefault="00A92C18" w:rsidP="00A92C18">
            <w:r w:rsidRPr="00A92C18">
              <w:t>Non-English publications</w:t>
            </w:r>
          </w:p>
        </w:tc>
      </w:tr>
    </w:tbl>
    <w:p w14:paraId="0D8240EE" w14:textId="77777777" w:rsidR="00FA668A" w:rsidRDefault="00FA668A" w:rsidP="00A92C18"/>
    <w:p w14:paraId="7489C916" w14:textId="77777777" w:rsidR="00A92C18" w:rsidRPr="00A92C18" w:rsidRDefault="00A92C18" w:rsidP="00A92C18">
      <w:pPr>
        <w:pStyle w:val="Heading2"/>
      </w:pPr>
      <w:bookmarkStart w:id="41" w:name="_Toc240921660"/>
      <w:r w:rsidRPr="00A92C18">
        <w:lastRenderedPageBreak/>
        <w:t>3.5 Screening and Study Selection</w:t>
      </w:r>
      <w:bookmarkEnd w:id="41"/>
    </w:p>
    <w:p w14:paraId="64F44EDF" w14:textId="08D6D21B" w:rsidR="00A92C18" w:rsidRPr="00C63BBE" w:rsidRDefault="00C63BBE" w:rsidP="00A92C18">
      <w:r w:rsidRPr="00C63BBE">
        <w:t>There were 370 records identified by searching the database. After 72 duplicate records were removed, 298 records were screened by title and abstract and then assessed for full text against the pre-defined eligibility criteria. The number of reports sought for full-text review was 58, and 2 were not retrieved. So, fifty-six reports were thus considered for eligibility, but 40 reports were discarded for the reasons summarised in Table 3.6 below. Sixteen primary studies were found to meet the criteria and selected for synthesis. The entire numerical selection process is shown in the PRISMA 2020 flow diagram (Figure 3.1).</w:t>
      </w:r>
    </w:p>
    <w:p w14:paraId="074E118A" w14:textId="77777777" w:rsidR="002A48BB" w:rsidRDefault="002A48BB" w:rsidP="002A48BB">
      <w:r>
        <w:t>Two reports were not retrieved, and 56 full-text articles were assessed for eligibility of the 58 reports requested. All full texts were examined more closely to confirm inclusion/exclusion criteria such as the relevance of the adult population, UK setting, adequate ARTI focus, eligible outcomes and primary-study design. Forty full-text reports were not included because they did not meet one or more of these criteria. This left 16 primary studies to be extracted, critically appraised and thematically synthesised.</w:t>
      </w:r>
    </w:p>
    <w:p w14:paraId="2C1AE89F" w14:textId="59038996" w:rsidR="00FA668A" w:rsidRDefault="002A48BB" w:rsidP="002A48BB">
      <w:r>
        <w:t>The study-selection process was documented following the PRISMA 2020 framework for transparent reporting of identification, screening, eligibility and final inclusion (Page et al., 2021). The screening summary should be read in conjunction with the numerical flow of records, as shown in Figure 3.1. Full text exclusion reasons were documented to ensure that the selection process is transparent.</w:t>
      </w:r>
    </w:p>
    <w:p w14:paraId="1F5AF18F" w14:textId="77777777" w:rsidR="00FA668A" w:rsidRDefault="00CA19D9" w:rsidP="00665FA3">
      <w:r>
        <w:t>Table 3.5: Screening calculations</w:t>
      </w:r>
    </w:p>
    <w:tbl>
      <w:tblPr>
        <w:tblStyle w:val="TableGrid"/>
        <w:tblW w:w="9477" w:type="dxa"/>
        <w:tblLook w:val="04A0" w:firstRow="1" w:lastRow="0" w:firstColumn="1" w:lastColumn="0" w:noHBand="0" w:noVBand="1"/>
      </w:tblPr>
      <w:tblGrid>
        <w:gridCol w:w="7337"/>
        <w:gridCol w:w="2140"/>
      </w:tblGrid>
      <w:tr w:rsidR="00A92C18" w:rsidRPr="00A92C18" w14:paraId="574E7B72" w14:textId="77777777" w:rsidTr="00A92C18">
        <w:trPr>
          <w:trHeight w:val="530"/>
        </w:trPr>
        <w:tc>
          <w:tcPr>
            <w:tcW w:w="0" w:type="auto"/>
            <w:hideMark/>
          </w:tcPr>
          <w:p w14:paraId="75D72692" w14:textId="77777777" w:rsidR="00A92C18" w:rsidRPr="00A92C18" w:rsidRDefault="00A92C18" w:rsidP="00A92C18">
            <w:pPr>
              <w:rPr>
                <w:b/>
                <w:bCs/>
              </w:rPr>
            </w:pPr>
            <w:r w:rsidRPr="00A92C18">
              <w:rPr>
                <w:b/>
                <w:bCs/>
              </w:rPr>
              <w:t>Screening stage</w:t>
            </w:r>
          </w:p>
        </w:tc>
        <w:tc>
          <w:tcPr>
            <w:tcW w:w="0" w:type="auto"/>
            <w:hideMark/>
          </w:tcPr>
          <w:p w14:paraId="59EF95B1" w14:textId="77777777" w:rsidR="00A92C18" w:rsidRPr="00A92C18" w:rsidRDefault="00A92C18" w:rsidP="00A92C18">
            <w:pPr>
              <w:rPr>
                <w:b/>
                <w:bCs/>
              </w:rPr>
            </w:pPr>
            <w:r w:rsidRPr="00A92C18">
              <w:rPr>
                <w:b/>
                <w:bCs/>
              </w:rPr>
              <w:t>Number (n)</w:t>
            </w:r>
          </w:p>
        </w:tc>
      </w:tr>
      <w:tr w:rsidR="00A92C18" w:rsidRPr="00A92C18" w14:paraId="059E11F9" w14:textId="77777777" w:rsidTr="00A92C18">
        <w:trPr>
          <w:trHeight w:val="540"/>
        </w:trPr>
        <w:tc>
          <w:tcPr>
            <w:tcW w:w="0" w:type="auto"/>
            <w:hideMark/>
          </w:tcPr>
          <w:p w14:paraId="78E29D93" w14:textId="77777777" w:rsidR="00A92C18" w:rsidRPr="00A92C18" w:rsidRDefault="00A92C18" w:rsidP="00A92C18">
            <w:r w:rsidRPr="00A92C18">
              <w:t>Records identified through database searching</w:t>
            </w:r>
          </w:p>
        </w:tc>
        <w:tc>
          <w:tcPr>
            <w:tcW w:w="0" w:type="auto"/>
            <w:hideMark/>
          </w:tcPr>
          <w:p w14:paraId="28C41673" w14:textId="77777777" w:rsidR="00A92C18" w:rsidRPr="00A92C18" w:rsidRDefault="00A92C18" w:rsidP="00A92C18">
            <w:r w:rsidRPr="00A92C18">
              <w:t>370</w:t>
            </w:r>
          </w:p>
        </w:tc>
      </w:tr>
      <w:tr w:rsidR="00A92C18" w:rsidRPr="00A92C18" w14:paraId="3C42293A" w14:textId="77777777" w:rsidTr="00A92C18">
        <w:trPr>
          <w:trHeight w:val="530"/>
        </w:trPr>
        <w:tc>
          <w:tcPr>
            <w:tcW w:w="0" w:type="auto"/>
            <w:hideMark/>
          </w:tcPr>
          <w:p w14:paraId="1C2428EB" w14:textId="77777777" w:rsidR="00A92C18" w:rsidRPr="00A92C18" w:rsidRDefault="00A92C18" w:rsidP="00A92C18">
            <w:r w:rsidRPr="00A92C18">
              <w:t>Duplicates removed</w:t>
            </w:r>
          </w:p>
        </w:tc>
        <w:tc>
          <w:tcPr>
            <w:tcW w:w="0" w:type="auto"/>
            <w:hideMark/>
          </w:tcPr>
          <w:p w14:paraId="32428056" w14:textId="77777777" w:rsidR="00A92C18" w:rsidRPr="00A92C18" w:rsidRDefault="00A92C18" w:rsidP="00A92C18">
            <w:r w:rsidRPr="00A92C18">
              <w:t>72</w:t>
            </w:r>
          </w:p>
        </w:tc>
      </w:tr>
      <w:tr w:rsidR="00A92C18" w:rsidRPr="00A92C18" w14:paraId="2D80CF47" w14:textId="77777777" w:rsidTr="00A92C18">
        <w:trPr>
          <w:trHeight w:val="540"/>
        </w:trPr>
        <w:tc>
          <w:tcPr>
            <w:tcW w:w="0" w:type="auto"/>
            <w:hideMark/>
          </w:tcPr>
          <w:p w14:paraId="51346292" w14:textId="77777777" w:rsidR="00A92C18" w:rsidRPr="00A92C18" w:rsidRDefault="00A92C18" w:rsidP="00A92C18">
            <w:r w:rsidRPr="00A92C18">
              <w:t>Unique records screened by title</w:t>
            </w:r>
          </w:p>
        </w:tc>
        <w:tc>
          <w:tcPr>
            <w:tcW w:w="0" w:type="auto"/>
            <w:hideMark/>
          </w:tcPr>
          <w:p w14:paraId="61B66656" w14:textId="77777777" w:rsidR="00A92C18" w:rsidRPr="00A92C18" w:rsidRDefault="00A92C18" w:rsidP="00A92C18">
            <w:r w:rsidRPr="00A92C18">
              <w:t>298</w:t>
            </w:r>
          </w:p>
        </w:tc>
      </w:tr>
      <w:tr w:rsidR="00A92C18" w:rsidRPr="00A92C18" w14:paraId="6F5A265D" w14:textId="77777777" w:rsidTr="00A92C18">
        <w:trPr>
          <w:trHeight w:val="530"/>
        </w:trPr>
        <w:tc>
          <w:tcPr>
            <w:tcW w:w="0" w:type="auto"/>
            <w:hideMark/>
          </w:tcPr>
          <w:p w14:paraId="419CAF0F" w14:textId="77777777" w:rsidR="00A92C18" w:rsidRPr="00A92C18" w:rsidRDefault="00A92C18" w:rsidP="00A92C18">
            <w:r w:rsidRPr="00A92C18">
              <w:t>Records excluded at title stage</w:t>
            </w:r>
          </w:p>
        </w:tc>
        <w:tc>
          <w:tcPr>
            <w:tcW w:w="0" w:type="auto"/>
            <w:hideMark/>
          </w:tcPr>
          <w:p w14:paraId="32F4AB3E" w14:textId="77777777" w:rsidR="00A92C18" w:rsidRPr="00A92C18" w:rsidRDefault="00A92C18" w:rsidP="00A92C18">
            <w:r w:rsidRPr="00A92C18">
              <w:t>152</w:t>
            </w:r>
          </w:p>
        </w:tc>
      </w:tr>
      <w:tr w:rsidR="00A92C18" w:rsidRPr="00A92C18" w14:paraId="6CDDD5E4" w14:textId="77777777" w:rsidTr="00A92C18">
        <w:trPr>
          <w:trHeight w:val="530"/>
        </w:trPr>
        <w:tc>
          <w:tcPr>
            <w:tcW w:w="0" w:type="auto"/>
            <w:hideMark/>
          </w:tcPr>
          <w:p w14:paraId="707EAA81" w14:textId="77777777" w:rsidR="00A92C18" w:rsidRPr="00A92C18" w:rsidRDefault="00A92C18" w:rsidP="00A92C18">
            <w:r w:rsidRPr="00A92C18">
              <w:t>Abstracts screened</w:t>
            </w:r>
          </w:p>
        </w:tc>
        <w:tc>
          <w:tcPr>
            <w:tcW w:w="0" w:type="auto"/>
            <w:hideMark/>
          </w:tcPr>
          <w:p w14:paraId="46600648" w14:textId="77777777" w:rsidR="00A92C18" w:rsidRPr="00A92C18" w:rsidRDefault="00A92C18" w:rsidP="00A92C18">
            <w:r w:rsidRPr="00A92C18">
              <w:t>146</w:t>
            </w:r>
          </w:p>
        </w:tc>
      </w:tr>
      <w:tr w:rsidR="00A92C18" w:rsidRPr="00A92C18" w14:paraId="774497DD" w14:textId="77777777" w:rsidTr="00A92C18">
        <w:trPr>
          <w:trHeight w:val="540"/>
        </w:trPr>
        <w:tc>
          <w:tcPr>
            <w:tcW w:w="0" w:type="auto"/>
            <w:hideMark/>
          </w:tcPr>
          <w:p w14:paraId="15636E96" w14:textId="77777777" w:rsidR="00A92C18" w:rsidRPr="00A92C18" w:rsidRDefault="00A92C18" w:rsidP="00A92C18">
            <w:r w:rsidRPr="00A92C18">
              <w:t>Records excluded after abstract screening</w:t>
            </w:r>
          </w:p>
        </w:tc>
        <w:tc>
          <w:tcPr>
            <w:tcW w:w="0" w:type="auto"/>
            <w:hideMark/>
          </w:tcPr>
          <w:p w14:paraId="2296338E" w14:textId="77777777" w:rsidR="00A92C18" w:rsidRPr="00A92C18" w:rsidRDefault="00A92C18" w:rsidP="00A92C18">
            <w:r w:rsidRPr="00A92C18">
              <w:t>88</w:t>
            </w:r>
          </w:p>
        </w:tc>
      </w:tr>
      <w:tr w:rsidR="00A92C18" w:rsidRPr="00A92C18" w14:paraId="631250C9" w14:textId="77777777" w:rsidTr="00A92C18">
        <w:trPr>
          <w:trHeight w:val="530"/>
        </w:trPr>
        <w:tc>
          <w:tcPr>
            <w:tcW w:w="0" w:type="auto"/>
            <w:hideMark/>
          </w:tcPr>
          <w:p w14:paraId="1D82EBDA" w14:textId="77777777" w:rsidR="00A92C18" w:rsidRPr="00A92C18" w:rsidRDefault="00A92C18" w:rsidP="00A92C18">
            <w:r w:rsidRPr="00A92C18">
              <w:t>Full-text reports sought</w:t>
            </w:r>
          </w:p>
        </w:tc>
        <w:tc>
          <w:tcPr>
            <w:tcW w:w="0" w:type="auto"/>
            <w:hideMark/>
          </w:tcPr>
          <w:p w14:paraId="429ED9B2" w14:textId="77777777" w:rsidR="00A92C18" w:rsidRPr="00A92C18" w:rsidRDefault="00A92C18" w:rsidP="00A92C18">
            <w:r w:rsidRPr="00A92C18">
              <w:t>58</w:t>
            </w:r>
          </w:p>
        </w:tc>
      </w:tr>
      <w:tr w:rsidR="00A92C18" w:rsidRPr="00A92C18" w14:paraId="3CB80020" w14:textId="77777777" w:rsidTr="00A92C18">
        <w:trPr>
          <w:trHeight w:val="540"/>
        </w:trPr>
        <w:tc>
          <w:tcPr>
            <w:tcW w:w="0" w:type="auto"/>
            <w:hideMark/>
          </w:tcPr>
          <w:p w14:paraId="50B22807" w14:textId="77777777" w:rsidR="00A92C18" w:rsidRPr="00A92C18" w:rsidRDefault="00A92C18" w:rsidP="00A92C18">
            <w:r w:rsidRPr="00A92C18">
              <w:lastRenderedPageBreak/>
              <w:t>Reports not retrieved</w:t>
            </w:r>
          </w:p>
        </w:tc>
        <w:tc>
          <w:tcPr>
            <w:tcW w:w="0" w:type="auto"/>
            <w:hideMark/>
          </w:tcPr>
          <w:p w14:paraId="5DB67BCB" w14:textId="77777777" w:rsidR="00A92C18" w:rsidRPr="00A92C18" w:rsidRDefault="00A92C18" w:rsidP="00A92C18">
            <w:r w:rsidRPr="00A92C18">
              <w:t>2</w:t>
            </w:r>
          </w:p>
        </w:tc>
      </w:tr>
      <w:tr w:rsidR="00A92C18" w:rsidRPr="00A92C18" w14:paraId="586471D4" w14:textId="77777777" w:rsidTr="00A92C18">
        <w:trPr>
          <w:trHeight w:val="530"/>
        </w:trPr>
        <w:tc>
          <w:tcPr>
            <w:tcW w:w="0" w:type="auto"/>
            <w:hideMark/>
          </w:tcPr>
          <w:p w14:paraId="79E99C3F" w14:textId="77777777" w:rsidR="00A92C18" w:rsidRPr="00A92C18" w:rsidRDefault="00A92C18" w:rsidP="00A92C18">
            <w:r w:rsidRPr="00A92C18">
              <w:t>Full-text reports assessed for eligibility</w:t>
            </w:r>
          </w:p>
        </w:tc>
        <w:tc>
          <w:tcPr>
            <w:tcW w:w="0" w:type="auto"/>
            <w:hideMark/>
          </w:tcPr>
          <w:p w14:paraId="121C07D0" w14:textId="77777777" w:rsidR="00A92C18" w:rsidRPr="00A92C18" w:rsidRDefault="00A92C18" w:rsidP="00A92C18">
            <w:r w:rsidRPr="00A92C18">
              <w:t>56</w:t>
            </w:r>
          </w:p>
        </w:tc>
      </w:tr>
      <w:tr w:rsidR="00A92C18" w:rsidRPr="00A92C18" w14:paraId="3839B2E2" w14:textId="77777777" w:rsidTr="00A92C18">
        <w:trPr>
          <w:trHeight w:val="530"/>
        </w:trPr>
        <w:tc>
          <w:tcPr>
            <w:tcW w:w="0" w:type="auto"/>
            <w:hideMark/>
          </w:tcPr>
          <w:p w14:paraId="206FC5DB" w14:textId="77777777" w:rsidR="00A92C18" w:rsidRPr="00A92C18" w:rsidRDefault="00A92C18" w:rsidP="00A92C18">
            <w:r w:rsidRPr="00A92C18">
              <w:t>Full-text reports excluded</w:t>
            </w:r>
          </w:p>
        </w:tc>
        <w:tc>
          <w:tcPr>
            <w:tcW w:w="0" w:type="auto"/>
            <w:hideMark/>
          </w:tcPr>
          <w:p w14:paraId="7B06355A" w14:textId="77777777" w:rsidR="00A92C18" w:rsidRPr="00A92C18" w:rsidRDefault="00A92C18" w:rsidP="00A92C18">
            <w:r w:rsidRPr="00A92C18">
              <w:t>40</w:t>
            </w:r>
          </w:p>
        </w:tc>
      </w:tr>
      <w:tr w:rsidR="00A92C18" w:rsidRPr="00A92C18" w14:paraId="73699348" w14:textId="77777777" w:rsidTr="00A92C18">
        <w:trPr>
          <w:trHeight w:val="540"/>
        </w:trPr>
        <w:tc>
          <w:tcPr>
            <w:tcW w:w="0" w:type="auto"/>
            <w:hideMark/>
          </w:tcPr>
          <w:p w14:paraId="1890653D" w14:textId="77777777" w:rsidR="00A92C18" w:rsidRPr="00A92C18" w:rsidRDefault="00A92C18" w:rsidP="00A92C18">
            <w:r w:rsidRPr="00A92C18">
              <w:t>Studies included in final synthesis</w:t>
            </w:r>
          </w:p>
        </w:tc>
        <w:tc>
          <w:tcPr>
            <w:tcW w:w="0" w:type="auto"/>
            <w:hideMark/>
          </w:tcPr>
          <w:p w14:paraId="7688A687" w14:textId="77777777" w:rsidR="00A92C18" w:rsidRPr="00A92C18" w:rsidRDefault="00A92C18" w:rsidP="00A92C18">
            <w:r w:rsidRPr="00A92C18">
              <w:t>16</w:t>
            </w:r>
          </w:p>
        </w:tc>
      </w:tr>
    </w:tbl>
    <w:p w14:paraId="214C6E97" w14:textId="77777777" w:rsidR="00FA668A" w:rsidRDefault="00CA19D9" w:rsidP="00665FA3">
      <w:r>
        <w:t>Table 3.6: Reasons for full-text exclusion</w:t>
      </w:r>
    </w:p>
    <w:tbl>
      <w:tblPr>
        <w:tblStyle w:val="TableGrid"/>
        <w:tblW w:w="9549" w:type="dxa"/>
        <w:tblLook w:val="04A0" w:firstRow="1" w:lastRow="0" w:firstColumn="1" w:lastColumn="0" w:noHBand="0" w:noVBand="1"/>
      </w:tblPr>
      <w:tblGrid>
        <w:gridCol w:w="8739"/>
        <w:gridCol w:w="810"/>
      </w:tblGrid>
      <w:tr w:rsidR="00FC576E" w:rsidRPr="00FC576E" w14:paraId="356244E5" w14:textId="77777777" w:rsidTr="00FC576E">
        <w:trPr>
          <w:trHeight w:val="379"/>
        </w:trPr>
        <w:tc>
          <w:tcPr>
            <w:tcW w:w="0" w:type="auto"/>
            <w:hideMark/>
          </w:tcPr>
          <w:p w14:paraId="4C93AE97" w14:textId="77777777" w:rsidR="00FC576E" w:rsidRPr="00FC576E" w:rsidRDefault="00FC576E" w:rsidP="00FC576E">
            <w:pPr>
              <w:jc w:val="center"/>
              <w:rPr>
                <w:b/>
                <w:bCs/>
              </w:rPr>
            </w:pPr>
            <w:r w:rsidRPr="00FC576E">
              <w:rPr>
                <w:b/>
                <w:bCs/>
              </w:rPr>
              <w:t>Reason</w:t>
            </w:r>
          </w:p>
        </w:tc>
        <w:tc>
          <w:tcPr>
            <w:tcW w:w="0" w:type="auto"/>
            <w:hideMark/>
          </w:tcPr>
          <w:p w14:paraId="589DB62A" w14:textId="77777777" w:rsidR="00FC576E" w:rsidRPr="00FC576E" w:rsidRDefault="00FC576E" w:rsidP="00FC576E">
            <w:pPr>
              <w:jc w:val="center"/>
              <w:rPr>
                <w:b/>
                <w:bCs/>
              </w:rPr>
            </w:pPr>
            <w:r w:rsidRPr="00FC576E">
              <w:rPr>
                <w:b/>
                <w:bCs/>
              </w:rPr>
              <w:t>n</w:t>
            </w:r>
          </w:p>
        </w:tc>
      </w:tr>
      <w:tr w:rsidR="00FC576E" w:rsidRPr="00FC576E" w14:paraId="6E4697F4" w14:textId="77777777" w:rsidTr="00FC576E">
        <w:trPr>
          <w:trHeight w:val="386"/>
        </w:trPr>
        <w:tc>
          <w:tcPr>
            <w:tcW w:w="0" w:type="auto"/>
            <w:hideMark/>
          </w:tcPr>
          <w:p w14:paraId="15F9E4A7" w14:textId="77777777" w:rsidR="00FC576E" w:rsidRPr="00FC576E" w:rsidRDefault="00FC576E" w:rsidP="00FC576E">
            <w:pPr>
              <w:jc w:val="center"/>
            </w:pPr>
            <w:r w:rsidRPr="00FC576E">
              <w:t>Non-UK setting</w:t>
            </w:r>
          </w:p>
        </w:tc>
        <w:tc>
          <w:tcPr>
            <w:tcW w:w="0" w:type="auto"/>
            <w:hideMark/>
          </w:tcPr>
          <w:p w14:paraId="2EC59DE1" w14:textId="77777777" w:rsidR="00FC576E" w:rsidRPr="00FC576E" w:rsidRDefault="00FC576E" w:rsidP="00FC576E">
            <w:pPr>
              <w:jc w:val="center"/>
            </w:pPr>
            <w:r w:rsidRPr="00FC576E">
              <w:t>12</w:t>
            </w:r>
          </w:p>
        </w:tc>
      </w:tr>
      <w:tr w:rsidR="00FC576E" w:rsidRPr="00FC576E" w14:paraId="0AE1C945" w14:textId="77777777" w:rsidTr="00FC576E">
        <w:trPr>
          <w:trHeight w:val="379"/>
        </w:trPr>
        <w:tc>
          <w:tcPr>
            <w:tcW w:w="0" w:type="auto"/>
            <w:hideMark/>
          </w:tcPr>
          <w:p w14:paraId="254055F7" w14:textId="77777777" w:rsidR="00FC576E" w:rsidRPr="00FC576E" w:rsidRDefault="00FC576E" w:rsidP="00FC576E">
            <w:pPr>
              <w:jc w:val="center"/>
            </w:pPr>
            <w:r w:rsidRPr="00FC576E">
              <w:t>Ineligible population/no separable adult evidence</w:t>
            </w:r>
          </w:p>
        </w:tc>
        <w:tc>
          <w:tcPr>
            <w:tcW w:w="0" w:type="auto"/>
            <w:hideMark/>
          </w:tcPr>
          <w:p w14:paraId="302EB4FB" w14:textId="77777777" w:rsidR="00FC576E" w:rsidRPr="00FC576E" w:rsidRDefault="00FC576E" w:rsidP="00FC576E">
            <w:pPr>
              <w:jc w:val="center"/>
            </w:pPr>
            <w:r w:rsidRPr="00FC576E">
              <w:t>8</w:t>
            </w:r>
          </w:p>
        </w:tc>
      </w:tr>
      <w:tr w:rsidR="00FC576E" w:rsidRPr="00FC576E" w14:paraId="3FFEF2A9" w14:textId="77777777" w:rsidTr="00FC576E">
        <w:trPr>
          <w:trHeight w:val="386"/>
        </w:trPr>
        <w:tc>
          <w:tcPr>
            <w:tcW w:w="0" w:type="auto"/>
            <w:hideMark/>
          </w:tcPr>
          <w:p w14:paraId="12F30581" w14:textId="77777777" w:rsidR="00FC576E" w:rsidRPr="00FC576E" w:rsidRDefault="00FC576E" w:rsidP="00FC576E">
            <w:pPr>
              <w:jc w:val="center"/>
            </w:pPr>
            <w:r w:rsidRPr="00FC576E">
              <w:t>Wrong intervention/focus</w:t>
            </w:r>
          </w:p>
        </w:tc>
        <w:tc>
          <w:tcPr>
            <w:tcW w:w="0" w:type="auto"/>
            <w:hideMark/>
          </w:tcPr>
          <w:p w14:paraId="1026EA80" w14:textId="77777777" w:rsidR="00FC576E" w:rsidRPr="00FC576E" w:rsidRDefault="00FC576E" w:rsidP="00FC576E">
            <w:pPr>
              <w:jc w:val="center"/>
            </w:pPr>
            <w:r w:rsidRPr="00FC576E">
              <w:t>9</w:t>
            </w:r>
          </w:p>
        </w:tc>
      </w:tr>
      <w:tr w:rsidR="00FC576E" w:rsidRPr="00FC576E" w14:paraId="5DBE6739" w14:textId="77777777" w:rsidTr="00FC576E">
        <w:trPr>
          <w:trHeight w:val="379"/>
        </w:trPr>
        <w:tc>
          <w:tcPr>
            <w:tcW w:w="0" w:type="auto"/>
            <w:hideMark/>
          </w:tcPr>
          <w:p w14:paraId="32B02625" w14:textId="77777777" w:rsidR="00FC576E" w:rsidRPr="00FC576E" w:rsidRDefault="00FC576E" w:rsidP="00FC576E">
            <w:pPr>
              <w:jc w:val="center"/>
            </w:pPr>
            <w:r w:rsidRPr="00FC576E">
              <w:t>Ineligible study design</w:t>
            </w:r>
          </w:p>
        </w:tc>
        <w:tc>
          <w:tcPr>
            <w:tcW w:w="0" w:type="auto"/>
            <w:hideMark/>
          </w:tcPr>
          <w:p w14:paraId="2AB430BC" w14:textId="77777777" w:rsidR="00FC576E" w:rsidRPr="00FC576E" w:rsidRDefault="00FC576E" w:rsidP="00FC576E">
            <w:pPr>
              <w:jc w:val="center"/>
            </w:pPr>
            <w:r w:rsidRPr="00FC576E">
              <w:t>7</w:t>
            </w:r>
          </w:p>
        </w:tc>
      </w:tr>
      <w:tr w:rsidR="00FC576E" w:rsidRPr="00FC576E" w14:paraId="69B78A15" w14:textId="77777777" w:rsidTr="00FC576E">
        <w:trPr>
          <w:trHeight w:val="379"/>
        </w:trPr>
        <w:tc>
          <w:tcPr>
            <w:tcW w:w="0" w:type="auto"/>
            <w:hideMark/>
          </w:tcPr>
          <w:p w14:paraId="6C8AE81F" w14:textId="77777777" w:rsidR="00FC576E" w:rsidRPr="00FC576E" w:rsidRDefault="00FC576E" w:rsidP="00FC576E">
            <w:pPr>
              <w:jc w:val="center"/>
            </w:pPr>
            <w:r w:rsidRPr="00FC576E">
              <w:t>Insufficient outcome relevance</w:t>
            </w:r>
          </w:p>
        </w:tc>
        <w:tc>
          <w:tcPr>
            <w:tcW w:w="0" w:type="auto"/>
            <w:hideMark/>
          </w:tcPr>
          <w:p w14:paraId="27F7D51D" w14:textId="77777777" w:rsidR="00FC576E" w:rsidRPr="00FC576E" w:rsidRDefault="00FC576E" w:rsidP="00FC576E">
            <w:pPr>
              <w:jc w:val="center"/>
            </w:pPr>
            <w:r w:rsidRPr="00FC576E">
              <w:t>4</w:t>
            </w:r>
          </w:p>
        </w:tc>
      </w:tr>
      <w:tr w:rsidR="00FC576E" w:rsidRPr="00FC576E" w14:paraId="310F4355" w14:textId="77777777" w:rsidTr="00FC576E">
        <w:trPr>
          <w:trHeight w:val="386"/>
        </w:trPr>
        <w:tc>
          <w:tcPr>
            <w:tcW w:w="0" w:type="auto"/>
            <w:hideMark/>
          </w:tcPr>
          <w:p w14:paraId="41392B95" w14:textId="77777777" w:rsidR="00FC576E" w:rsidRPr="00FC576E" w:rsidRDefault="00FC576E" w:rsidP="00FC576E">
            <w:pPr>
              <w:jc w:val="center"/>
            </w:pPr>
            <w:r w:rsidRPr="00FC576E">
              <w:rPr>
                <w:b/>
                <w:bCs/>
              </w:rPr>
              <w:t>Total full-text exclusions</w:t>
            </w:r>
          </w:p>
        </w:tc>
        <w:tc>
          <w:tcPr>
            <w:tcW w:w="0" w:type="auto"/>
            <w:hideMark/>
          </w:tcPr>
          <w:p w14:paraId="4949D8CE" w14:textId="77777777" w:rsidR="00FC576E" w:rsidRPr="00FC576E" w:rsidRDefault="00FC576E" w:rsidP="00FC576E">
            <w:pPr>
              <w:jc w:val="center"/>
            </w:pPr>
            <w:r w:rsidRPr="00FC576E">
              <w:rPr>
                <w:b/>
                <w:bCs/>
              </w:rPr>
              <w:t>40</w:t>
            </w:r>
          </w:p>
        </w:tc>
      </w:tr>
    </w:tbl>
    <w:p w14:paraId="2D2A0559" w14:textId="600A1BEE" w:rsidR="00FB289B" w:rsidRPr="00FB289B" w:rsidRDefault="00FB289B" w:rsidP="00FB289B">
      <w:pPr>
        <w:jc w:val="center"/>
      </w:pPr>
      <w:r w:rsidRPr="00FB289B">
        <w:rPr>
          <w:noProof/>
        </w:rPr>
        <w:lastRenderedPageBreak/>
        <w:drawing>
          <wp:inline distT="0" distB="0" distL="0" distR="0" wp14:anchorId="40AFA3C1" wp14:editId="287E6682">
            <wp:extent cx="4924292" cy="65659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26255" cy="6568518"/>
                    </a:xfrm>
                    <a:prstGeom prst="rect">
                      <a:avLst/>
                    </a:prstGeom>
                    <a:noFill/>
                    <a:ln>
                      <a:noFill/>
                    </a:ln>
                  </pic:spPr>
                </pic:pic>
              </a:graphicData>
            </a:graphic>
          </wp:inline>
        </w:drawing>
      </w:r>
    </w:p>
    <w:p w14:paraId="409DA78F" w14:textId="36EE4A70" w:rsidR="00FA668A" w:rsidRDefault="00CA19D9" w:rsidP="00FB289B">
      <w:pPr>
        <w:jc w:val="center"/>
      </w:pPr>
      <w:r>
        <w:t>Figure 3.1: PRISMA 2020 flow of study selection</w:t>
      </w:r>
    </w:p>
    <w:p w14:paraId="5CA6D352" w14:textId="37174D3F" w:rsidR="00FA668A" w:rsidRDefault="00FA668A" w:rsidP="00F72477"/>
    <w:p w14:paraId="39353356" w14:textId="77777777" w:rsidR="00F72477" w:rsidRPr="00F72477" w:rsidRDefault="00F72477" w:rsidP="002A48BB">
      <w:pPr>
        <w:pStyle w:val="Heading2"/>
      </w:pPr>
      <w:bookmarkStart w:id="42" w:name="_Toc240921661"/>
      <w:r w:rsidRPr="00F72477">
        <w:t>3.6 Data Extraction</w:t>
      </w:r>
      <w:bookmarkEnd w:id="42"/>
    </w:p>
    <w:p w14:paraId="48FF4A26" w14:textId="4D3BAF30" w:rsidR="00F72477" w:rsidRPr="00F72477" w:rsidRDefault="002A48BB" w:rsidP="00F72477">
      <w:r w:rsidRPr="002A48BB">
        <w:t xml:space="preserve">Prior to thematic interpretation, a standardised approach to data extraction was used for all 16 included studies. The same extraction </w:t>
      </w:r>
      <w:r w:rsidR="0017316D" w:rsidRPr="002A48BB">
        <w:t>forms</w:t>
      </w:r>
      <w:r w:rsidRPr="002A48BB">
        <w:t xml:space="preserve"> minimised variation and ensured evidence was </w:t>
      </w:r>
      <w:r w:rsidRPr="002A48BB">
        <w:lastRenderedPageBreak/>
        <w:t>gathered to answer the review question instead of being chosen because of the development of a theme. Objective, study design, study population or sample, UK setting, analytical approach, relevant findings, methodological strengths and limitations were extracted for each study and author/year. Data on diagnostic accuracy, antibiotic prescribing, patient safety and outcome, consultation and implementation of antimicrobial-stewardship interventions were also collected. Adult information was extracted from the mixed-age samples, if reported. The country was not used as a comparative variable as UK location was an eligibility criterion, but the specific primary-care/community-care setting was indicated for applicability assessment. A set of completed extraction records is provided in Appendix A.</w:t>
      </w:r>
    </w:p>
    <w:p w14:paraId="04CC80D4" w14:textId="77777777" w:rsidR="00F72477" w:rsidRPr="00F72477" w:rsidRDefault="00F72477" w:rsidP="00F72477">
      <w:r w:rsidRPr="00F72477">
        <w:t>Table 3.7: Data Extraction Fields</w:t>
      </w:r>
    </w:p>
    <w:tbl>
      <w:tblPr>
        <w:tblStyle w:val="TableGrid"/>
        <w:tblW w:w="0" w:type="auto"/>
        <w:tblLook w:val="04A0" w:firstRow="1" w:lastRow="0" w:firstColumn="1" w:lastColumn="0" w:noHBand="0" w:noVBand="1"/>
      </w:tblPr>
      <w:tblGrid>
        <w:gridCol w:w="2027"/>
        <w:gridCol w:w="7199"/>
      </w:tblGrid>
      <w:tr w:rsidR="00F72477" w:rsidRPr="00F72477" w14:paraId="0B237BBC" w14:textId="77777777" w:rsidTr="00F72477">
        <w:tc>
          <w:tcPr>
            <w:tcW w:w="0" w:type="auto"/>
            <w:hideMark/>
          </w:tcPr>
          <w:p w14:paraId="34770382" w14:textId="77777777" w:rsidR="00F72477" w:rsidRPr="00F72477" w:rsidRDefault="00F72477" w:rsidP="00F72477">
            <w:pPr>
              <w:rPr>
                <w:b/>
                <w:bCs/>
              </w:rPr>
            </w:pPr>
            <w:r w:rsidRPr="00F72477">
              <w:rPr>
                <w:b/>
                <w:bCs/>
              </w:rPr>
              <w:t>Field</w:t>
            </w:r>
          </w:p>
        </w:tc>
        <w:tc>
          <w:tcPr>
            <w:tcW w:w="0" w:type="auto"/>
            <w:hideMark/>
          </w:tcPr>
          <w:p w14:paraId="54CE586F" w14:textId="77777777" w:rsidR="00F72477" w:rsidRPr="00F72477" w:rsidRDefault="00F72477" w:rsidP="00F72477">
            <w:pPr>
              <w:rPr>
                <w:b/>
                <w:bCs/>
              </w:rPr>
            </w:pPr>
            <w:r w:rsidRPr="00F72477">
              <w:rPr>
                <w:b/>
                <w:bCs/>
              </w:rPr>
              <w:t>Purpose</w:t>
            </w:r>
          </w:p>
        </w:tc>
      </w:tr>
      <w:tr w:rsidR="00F72477" w:rsidRPr="00F72477" w14:paraId="4458F50D" w14:textId="77777777" w:rsidTr="00F72477">
        <w:tc>
          <w:tcPr>
            <w:tcW w:w="0" w:type="auto"/>
            <w:hideMark/>
          </w:tcPr>
          <w:p w14:paraId="6B4E93DE" w14:textId="77777777" w:rsidR="00F72477" w:rsidRPr="00F72477" w:rsidRDefault="00F72477" w:rsidP="00F72477">
            <w:r w:rsidRPr="00F72477">
              <w:t>Author and year</w:t>
            </w:r>
          </w:p>
        </w:tc>
        <w:tc>
          <w:tcPr>
            <w:tcW w:w="0" w:type="auto"/>
            <w:hideMark/>
          </w:tcPr>
          <w:p w14:paraId="408B8ACF" w14:textId="77777777" w:rsidR="00F72477" w:rsidRPr="00F72477" w:rsidRDefault="00F72477" w:rsidP="00F72477">
            <w:r w:rsidRPr="00F72477">
              <w:t>Study identification and chronological context.</w:t>
            </w:r>
          </w:p>
        </w:tc>
      </w:tr>
      <w:tr w:rsidR="00F72477" w:rsidRPr="00F72477" w14:paraId="7845F05A" w14:textId="77777777" w:rsidTr="00F72477">
        <w:tc>
          <w:tcPr>
            <w:tcW w:w="0" w:type="auto"/>
            <w:hideMark/>
          </w:tcPr>
          <w:p w14:paraId="23BDC300" w14:textId="77777777" w:rsidR="00F72477" w:rsidRPr="00F72477" w:rsidRDefault="00F72477" w:rsidP="00F72477">
            <w:r w:rsidRPr="00F72477">
              <w:t>Objective</w:t>
            </w:r>
          </w:p>
        </w:tc>
        <w:tc>
          <w:tcPr>
            <w:tcW w:w="0" w:type="auto"/>
            <w:hideMark/>
          </w:tcPr>
          <w:p w14:paraId="41EE9138" w14:textId="77777777" w:rsidR="00F72477" w:rsidRPr="00F72477" w:rsidRDefault="00F72477" w:rsidP="00F72477">
            <w:r w:rsidRPr="00F72477">
              <w:t>Purpose relevant to ARTI diagnosis, management or stewardship.</w:t>
            </w:r>
          </w:p>
        </w:tc>
      </w:tr>
      <w:tr w:rsidR="00F72477" w:rsidRPr="00F72477" w14:paraId="3E990961" w14:textId="77777777" w:rsidTr="00F72477">
        <w:tc>
          <w:tcPr>
            <w:tcW w:w="0" w:type="auto"/>
            <w:hideMark/>
          </w:tcPr>
          <w:p w14:paraId="2E2292D3" w14:textId="77777777" w:rsidR="00F72477" w:rsidRPr="00F72477" w:rsidRDefault="00F72477" w:rsidP="00F72477">
            <w:r w:rsidRPr="00F72477">
              <w:t>Study design</w:t>
            </w:r>
          </w:p>
        </w:tc>
        <w:tc>
          <w:tcPr>
            <w:tcW w:w="0" w:type="auto"/>
            <w:hideMark/>
          </w:tcPr>
          <w:p w14:paraId="7F67724E" w14:textId="77777777" w:rsidR="00F72477" w:rsidRPr="00F72477" w:rsidRDefault="00F72477" w:rsidP="00F72477">
            <w:r w:rsidRPr="00F72477">
              <w:t>Methodological design used in the primary study.</w:t>
            </w:r>
          </w:p>
        </w:tc>
      </w:tr>
      <w:tr w:rsidR="00F72477" w:rsidRPr="00F72477" w14:paraId="6CEDA5A4" w14:textId="77777777" w:rsidTr="00F72477">
        <w:tc>
          <w:tcPr>
            <w:tcW w:w="0" w:type="auto"/>
            <w:hideMark/>
          </w:tcPr>
          <w:p w14:paraId="1009AF93" w14:textId="77777777" w:rsidR="00F72477" w:rsidRPr="00F72477" w:rsidRDefault="00F72477" w:rsidP="00F72477">
            <w:r w:rsidRPr="00F72477">
              <w:t>Population/sample</w:t>
            </w:r>
          </w:p>
        </w:tc>
        <w:tc>
          <w:tcPr>
            <w:tcW w:w="0" w:type="auto"/>
            <w:hideMark/>
          </w:tcPr>
          <w:p w14:paraId="5EA14C01" w14:textId="77777777" w:rsidR="00F72477" w:rsidRPr="00F72477" w:rsidRDefault="00F72477" w:rsidP="00F72477">
            <w:r w:rsidRPr="00F72477">
              <w:t>Participant group, sample size or data source.</w:t>
            </w:r>
          </w:p>
        </w:tc>
      </w:tr>
      <w:tr w:rsidR="00F72477" w:rsidRPr="00F72477" w14:paraId="6745623D" w14:textId="77777777" w:rsidTr="00F72477">
        <w:tc>
          <w:tcPr>
            <w:tcW w:w="0" w:type="auto"/>
            <w:hideMark/>
          </w:tcPr>
          <w:p w14:paraId="73F87844" w14:textId="77777777" w:rsidR="00F72477" w:rsidRPr="00F72477" w:rsidRDefault="00F72477" w:rsidP="00F72477">
            <w:r w:rsidRPr="00F72477">
              <w:t>Setting</w:t>
            </w:r>
          </w:p>
        </w:tc>
        <w:tc>
          <w:tcPr>
            <w:tcW w:w="0" w:type="auto"/>
            <w:hideMark/>
          </w:tcPr>
          <w:p w14:paraId="1E2AB3EE" w14:textId="77777777" w:rsidR="00F72477" w:rsidRPr="00F72477" w:rsidRDefault="00F72477" w:rsidP="00F72477">
            <w:r w:rsidRPr="00F72477">
              <w:t>UK primary-care, general-practice or community-care context.</w:t>
            </w:r>
          </w:p>
        </w:tc>
      </w:tr>
      <w:tr w:rsidR="00F72477" w:rsidRPr="00F72477" w14:paraId="0C786D11" w14:textId="77777777" w:rsidTr="00F72477">
        <w:tc>
          <w:tcPr>
            <w:tcW w:w="0" w:type="auto"/>
            <w:hideMark/>
          </w:tcPr>
          <w:p w14:paraId="6BD6A183" w14:textId="77777777" w:rsidR="00F72477" w:rsidRPr="00F72477" w:rsidRDefault="00F72477" w:rsidP="00F72477">
            <w:r w:rsidRPr="00F72477">
              <w:t>Methods/analysis</w:t>
            </w:r>
          </w:p>
        </w:tc>
        <w:tc>
          <w:tcPr>
            <w:tcW w:w="0" w:type="auto"/>
            <w:hideMark/>
          </w:tcPr>
          <w:p w14:paraId="23FF1940" w14:textId="77777777" w:rsidR="00F72477" w:rsidRPr="00F72477" w:rsidRDefault="00F72477" w:rsidP="00F72477">
            <w:r w:rsidRPr="00F72477">
              <w:t>Data collection and analytical approach.</w:t>
            </w:r>
          </w:p>
        </w:tc>
      </w:tr>
      <w:tr w:rsidR="00F72477" w:rsidRPr="00F72477" w14:paraId="08AE2E55" w14:textId="77777777" w:rsidTr="00F72477">
        <w:tc>
          <w:tcPr>
            <w:tcW w:w="0" w:type="auto"/>
            <w:hideMark/>
          </w:tcPr>
          <w:p w14:paraId="02FCDD3A" w14:textId="77777777" w:rsidR="00F72477" w:rsidRPr="00F72477" w:rsidRDefault="00F72477" w:rsidP="00F72477">
            <w:r w:rsidRPr="00F72477">
              <w:t>Findings</w:t>
            </w:r>
          </w:p>
        </w:tc>
        <w:tc>
          <w:tcPr>
            <w:tcW w:w="0" w:type="auto"/>
            <w:hideMark/>
          </w:tcPr>
          <w:p w14:paraId="39BFA874" w14:textId="77777777" w:rsidR="00F72477" w:rsidRPr="00F72477" w:rsidRDefault="00F72477" w:rsidP="00F72477">
            <w:r w:rsidRPr="00F72477">
              <w:t>Results relevant to the review question and objectives.</w:t>
            </w:r>
          </w:p>
        </w:tc>
      </w:tr>
      <w:tr w:rsidR="00F72477" w:rsidRPr="00F72477" w14:paraId="77DC1955" w14:textId="77777777" w:rsidTr="00F72477">
        <w:tc>
          <w:tcPr>
            <w:tcW w:w="0" w:type="auto"/>
            <w:hideMark/>
          </w:tcPr>
          <w:p w14:paraId="1D34223C" w14:textId="77777777" w:rsidR="00F72477" w:rsidRPr="00F72477" w:rsidRDefault="00F72477" w:rsidP="00F72477">
            <w:r w:rsidRPr="00F72477">
              <w:t>Strengths</w:t>
            </w:r>
          </w:p>
        </w:tc>
        <w:tc>
          <w:tcPr>
            <w:tcW w:w="0" w:type="auto"/>
            <w:hideMark/>
          </w:tcPr>
          <w:p w14:paraId="741229D7" w14:textId="77777777" w:rsidR="00F72477" w:rsidRPr="00F72477" w:rsidRDefault="00F72477" w:rsidP="00F72477">
            <w:r w:rsidRPr="00F72477">
              <w:t>Features supporting credibility, validity or applicability.</w:t>
            </w:r>
          </w:p>
        </w:tc>
      </w:tr>
      <w:tr w:rsidR="00F72477" w:rsidRPr="00F72477" w14:paraId="2E3F9F0D" w14:textId="77777777" w:rsidTr="00F72477">
        <w:tc>
          <w:tcPr>
            <w:tcW w:w="0" w:type="auto"/>
            <w:hideMark/>
          </w:tcPr>
          <w:p w14:paraId="51C4D860" w14:textId="77777777" w:rsidR="00F72477" w:rsidRPr="00F72477" w:rsidRDefault="00F72477" w:rsidP="00F72477">
            <w:r w:rsidRPr="00F72477">
              <w:t>Weaknesses</w:t>
            </w:r>
          </w:p>
        </w:tc>
        <w:tc>
          <w:tcPr>
            <w:tcW w:w="0" w:type="auto"/>
            <w:hideMark/>
          </w:tcPr>
          <w:p w14:paraId="07ADB684" w14:textId="77777777" w:rsidR="00F72477" w:rsidRPr="00F72477" w:rsidRDefault="00F72477" w:rsidP="00F72477">
            <w:r w:rsidRPr="00F72477">
              <w:t>Potential bias, confounding, measurement, sampling or transferability limitations.</w:t>
            </w:r>
          </w:p>
        </w:tc>
      </w:tr>
    </w:tbl>
    <w:p w14:paraId="59C578EF" w14:textId="77777777" w:rsidR="00F72477" w:rsidRPr="00F72477" w:rsidRDefault="00F72477" w:rsidP="003A1966">
      <w:pPr>
        <w:pStyle w:val="Heading2"/>
      </w:pPr>
      <w:bookmarkStart w:id="43" w:name="_Toc240921662"/>
      <w:r w:rsidRPr="00F72477">
        <w:t>3.7 Critical Appraisal</w:t>
      </w:r>
      <w:bookmarkEnd w:id="43"/>
    </w:p>
    <w:p w14:paraId="1EDAEC2E" w14:textId="4C420BED" w:rsidR="00F72477" w:rsidRDefault="00983087" w:rsidP="00F72477">
      <w:r w:rsidRPr="00983087">
        <w:t>The four qualitative studies were evaluated using the CASP Qualitative Studies Checklist</w:t>
      </w:r>
      <w:r w:rsidR="002E4D0A">
        <w:t xml:space="preserve"> </w:t>
      </w:r>
      <w:r w:rsidR="002E4D0A" w:rsidRPr="002E4D0A">
        <w:t>(</w:t>
      </w:r>
      <w:r w:rsidR="001A74ED">
        <w:t>CASP</w:t>
      </w:r>
      <w:r w:rsidR="002E4D0A" w:rsidRPr="002E4D0A">
        <w:t>, 2024a)</w:t>
      </w:r>
      <w:r w:rsidRPr="00983087">
        <w:t>, and the two RCTs were evaluated with the CASP Randomised Controlled Trial Checklist</w:t>
      </w:r>
      <w:r w:rsidR="00686015">
        <w:t xml:space="preserve"> </w:t>
      </w:r>
      <w:r w:rsidR="00686015" w:rsidRPr="00686015">
        <w:t>(</w:t>
      </w:r>
      <w:r w:rsidR="001A74ED">
        <w:t>CASP</w:t>
      </w:r>
      <w:r w:rsidR="00686015" w:rsidRPr="00686015">
        <w:t>, 2024b</w:t>
      </w:r>
      <w:r w:rsidR="00686015">
        <w:t>)</w:t>
      </w:r>
      <w:r w:rsidRPr="00983087">
        <w:t xml:space="preserve">. The </w:t>
      </w:r>
      <w:r w:rsidR="00086D4C" w:rsidRPr="00086D4C">
        <w:t>one diagnostic-accuracy study</w:t>
      </w:r>
      <w:r w:rsidR="00086D4C">
        <w:t xml:space="preserve"> </w:t>
      </w:r>
      <w:r w:rsidR="000614B8" w:rsidRPr="00983087">
        <w:t>was</w:t>
      </w:r>
      <w:r w:rsidRPr="00983087">
        <w:t xml:space="preserve"> evaluated with the CASP Diagnostic Study Checklist</w:t>
      </w:r>
      <w:r w:rsidR="00D6490A">
        <w:t xml:space="preserve"> </w:t>
      </w:r>
      <w:r w:rsidR="00D6490A" w:rsidRPr="00D6490A">
        <w:t>(</w:t>
      </w:r>
      <w:r w:rsidR="001A74ED">
        <w:t>CASP</w:t>
      </w:r>
      <w:r w:rsidR="00D6490A" w:rsidRPr="00D6490A">
        <w:t>, 2024c)</w:t>
      </w:r>
      <w:r w:rsidRPr="00983087">
        <w:t xml:space="preserve">, which includes the following: patient spectrum, index test, reference standard, diagnostic performance, and diagnostic applicability. The </w:t>
      </w:r>
      <w:r w:rsidR="00C4026A" w:rsidRPr="00C4026A">
        <w:t>remaining nine observational, mixed-method and time-series studies</w:t>
      </w:r>
      <w:r w:rsidRPr="00983087">
        <w:t xml:space="preserve"> were rated by employing the CASP Cohort Study Checklist</w:t>
      </w:r>
      <w:r w:rsidR="009D3B16">
        <w:t xml:space="preserve"> </w:t>
      </w:r>
      <w:r w:rsidR="009D3B16" w:rsidRPr="009D3B16">
        <w:t>(</w:t>
      </w:r>
      <w:r w:rsidR="001A74ED">
        <w:t>CASP</w:t>
      </w:r>
      <w:r w:rsidR="009D3B16" w:rsidRPr="009D3B16">
        <w:t>, 2024d)</w:t>
      </w:r>
      <w:r w:rsidRPr="00983087">
        <w:t xml:space="preserve">. If for some reason particular criteria were not directly </w:t>
      </w:r>
      <w:r w:rsidRPr="00983087">
        <w:lastRenderedPageBreak/>
        <w:t>applicable to ecological or time-series designs, these were not listed as applicable but omitted, rather than being forced to make an inappropriate judgement. Differences between study designs were accounted for while assessing methodological quality, through the use of design-specific CASP tools.</w:t>
      </w:r>
    </w:p>
    <w:p w14:paraId="5A4024EB" w14:textId="3A141C37" w:rsidR="00E321E3" w:rsidRPr="00F72477" w:rsidRDefault="00E321E3" w:rsidP="00F72477">
      <w:r w:rsidRPr="00E321E3">
        <w:t>Critical appraisal did not act as an exclusion criterion but provided information on how much weight to give to individual findings when synthesising the results. Study results that were impacted by residual confounding, ecological exposure measurement, low intervention uptake, and/or small regional samples or limited population applicability were considered lower-confidence evidence and were utilised primarily to provide associative or contextual evidence. The effects of interventions were considered more strongly by taking into account randomised evidence, and where there was convergence between studies of different designs, this was also taken into account to increase confidence in the recurring patterns without discounting the methodological limitations of the individual studies.</w:t>
      </w:r>
    </w:p>
    <w:p w14:paraId="4FA361D3" w14:textId="77777777" w:rsidR="00F72477" w:rsidRPr="00F72477" w:rsidRDefault="00F72477" w:rsidP="003A1966">
      <w:pPr>
        <w:pStyle w:val="Heading2"/>
      </w:pPr>
      <w:bookmarkStart w:id="44" w:name="_Toc240921663"/>
      <w:r w:rsidRPr="00F72477">
        <w:t>3.8 Data Analysis</w:t>
      </w:r>
      <w:bookmarkEnd w:id="44"/>
    </w:p>
    <w:p w14:paraId="1B2BDA0F" w14:textId="77777777" w:rsidR="00983087" w:rsidRDefault="00983087" w:rsidP="00983087">
      <w:r>
        <w:t>The goal of the review was to explore the nature of diagnostic and management strategies as they functioned across varied evidence, not to determine a pooled effect. To synthesise the 16 studies, reflexive thematic analysis was used. This was appropriate as themes were created as patterns of analysis, not topic headings (Braun and Clarke, 2021). The process was guided through the six phases.</w:t>
      </w:r>
    </w:p>
    <w:p w14:paraId="7C594345" w14:textId="0A6892DA" w:rsidR="00983087" w:rsidRDefault="00983087" w:rsidP="00983087">
      <w:r>
        <w:t>In phase one, findings were read repeatedly to ensure familiarity with the concepts of diagnostic uncertainty, clinical prediction, point of care testing, out of hospital consultation, antibiotic initiation or delay, antibiotic duration, symptom management, communication and safety. The data for Phase two were coded using brief labels such as precautionary prescribing under uncertainty, testing as reassurance, workflow barriers, remote assessment and prescribing, risk-prescribing mismatch, antibiotic-course duration and non-antibiotic management. There were no restrictions on identifying findings that contradicted expected stewardship intervention benefits.</w:t>
      </w:r>
    </w:p>
    <w:p w14:paraId="0776A3C8" w14:textId="77777777" w:rsidR="00983087" w:rsidRDefault="00983087" w:rsidP="00983087">
      <w:r>
        <w:t>In phase three, codes were clustered into themes related to the codes. Uncertainty and testing, clinical judgement; risk, delayed or immediate treatment, duration of treatment; communication, consultation mode, workflow, patient expectations were organised around diagnostic-support codes, prescribing codes and implementation codes respectively. In stage four, themes were compared to the full extracted data set and combined, split or modified as appropriate to ensure themes were coherent and distinct.</w:t>
      </w:r>
    </w:p>
    <w:p w14:paraId="6D75F0EB" w14:textId="77777777" w:rsidR="00983087" w:rsidRDefault="00983087" w:rsidP="00983087">
      <w:r>
        <w:lastRenderedPageBreak/>
        <w:t>Findings that differed with an evolving interpretation were not excluded as contradictory, divergent, or negative case findings. Rather, they were kept and studied for effectiveness, safety or implementation differences. For instance, evidence to show that there may be differential risks for certain groups of patients for delayed prescribing was taken into account alongside evidence of stewardship benefits. This minimised the chances of selective synthesis.</w:t>
      </w:r>
    </w:p>
    <w:p w14:paraId="5D99FCB2" w14:textId="077E1777" w:rsidR="00F72477" w:rsidRPr="00F72477" w:rsidRDefault="00983087" w:rsidP="00983087">
      <w:r>
        <w:t xml:space="preserve">In phase five, a definition of each theme was developed, and it was related to the research objectives, with a focus on mechanisms, contextual influences and trade-offs. The analytical narrative in phase six was generated by comparing the findings within and across themes and by reflecting on the methodological quality in interpreting the findings with regard to the strength of the evidence. Reflexive thematic analysis allows for the recognition of interpretation as a dynamic, active analytical process, not merely a neutral process (Braun and Clarke, 2021). To ensure transparency, a structured coding trail was </w:t>
      </w:r>
      <w:r w:rsidRPr="00112592">
        <w:t xml:space="preserve">kept which connected the extracted findings with </w:t>
      </w:r>
      <w:r w:rsidR="00112592" w:rsidRPr="00112592">
        <w:t>initial codes, candidate themes and final themes</w:t>
      </w:r>
      <w:r w:rsidRPr="00112592">
        <w:t>.</w:t>
      </w:r>
    </w:p>
    <w:p w14:paraId="77801952" w14:textId="77777777" w:rsidR="00F72477" w:rsidRPr="00F72477" w:rsidRDefault="00F72477" w:rsidP="003A1966">
      <w:pPr>
        <w:pStyle w:val="Heading2"/>
      </w:pPr>
      <w:bookmarkStart w:id="45" w:name="_Toc240921664"/>
      <w:r w:rsidRPr="00F72477">
        <w:t>3.9 Ethical Considerations</w:t>
      </w:r>
      <w:bookmarkEnd w:id="45"/>
    </w:p>
    <w:p w14:paraId="085844C5" w14:textId="58BA67E4" w:rsidR="00F72477" w:rsidRPr="00F72477" w:rsidRDefault="00983087" w:rsidP="00F72477">
      <w:r w:rsidRPr="00983087">
        <w:t xml:space="preserve">No interviews, questionnaires, primary recruitment, biological samples or identifiable participant data were used. This systematic review was based on secondary published evidence. The research was preceded by the application of the University's ethics procedures. Ethical action relating to the representation of evidence, the use of the Harvard referencing system, clear selection and appraisal processes, and the avoidance of fabricating evidence and selective reporting were upheld. Differing results were not altered, and methodological limitations were mentioned when evaluating the evidence. </w:t>
      </w:r>
      <w:r w:rsidR="00384E0E" w:rsidRPr="00384E0E">
        <w:t>These practices upheld academic honesty and transparent evidence synthesis (Aromataris et al., 2024).</w:t>
      </w:r>
    </w:p>
    <w:p w14:paraId="3D52F549" w14:textId="77777777" w:rsidR="00F72477" w:rsidRPr="00F72477" w:rsidRDefault="00F72477" w:rsidP="003A1966">
      <w:pPr>
        <w:pStyle w:val="Heading2"/>
      </w:pPr>
      <w:bookmarkStart w:id="46" w:name="_Toc240921665"/>
      <w:r w:rsidRPr="00F72477">
        <w:t>3.10 Chapter Summary</w:t>
      </w:r>
      <w:bookmarkEnd w:id="46"/>
    </w:p>
    <w:p w14:paraId="3298C271" w14:textId="1345ED78" w:rsidR="00B67318" w:rsidRDefault="006D4724" w:rsidP="00F72477">
      <w:r w:rsidRPr="006D4724">
        <w:t xml:space="preserve">In this chapter, the systematic methodology for exploring diagnostic and management approaches to adult ARTIs in primary and community care settings in the UK was described. Sixteen main studies were selected using a structured search and PRISMA 2020 selection process. Study design, population, setting, findings, strengths and limitations were standardised in the processes of extraction. Appraisal methods that were appropriate to the design of the study </w:t>
      </w:r>
      <w:r w:rsidR="00735692" w:rsidRPr="00735692">
        <w:t>were used across all included evidence</w:t>
      </w:r>
      <w:r w:rsidRPr="006D4724">
        <w:t xml:space="preserve">, and weaker studies were interpreted with caution and not automatically discounted. Convergent and contradictory results were kept during the development of themes in the reflexive thematic analysis. Ethical procedures focused on making </w:t>
      </w:r>
      <w:r w:rsidRPr="006D4724">
        <w:lastRenderedPageBreak/>
        <w:t>accurate attributions, providing transparency in reporting and avoiding selective interpretation. The included studies and their characteristics and thematic findings are presented in Chapter 4.</w:t>
      </w:r>
    </w:p>
    <w:p w14:paraId="40CC98DF" w14:textId="77777777" w:rsidR="00B67318" w:rsidRDefault="00B67318">
      <w:pPr>
        <w:spacing w:after="200" w:line="276" w:lineRule="auto"/>
        <w:jc w:val="left"/>
      </w:pPr>
      <w:r>
        <w:br w:type="page"/>
      </w:r>
    </w:p>
    <w:p w14:paraId="1C8C0E97" w14:textId="77777777" w:rsidR="00527F8A" w:rsidRPr="00527F8A" w:rsidRDefault="00527F8A" w:rsidP="00BA0FEA">
      <w:pPr>
        <w:pStyle w:val="Heading1"/>
      </w:pPr>
      <w:bookmarkStart w:id="47" w:name="_Toc240921666"/>
      <w:r w:rsidRPr="00527F8A">
        <w:lastRenderedPageBreak/>
        <w:t>Chapter 4: Findings</w:t>
      </w:r>
      <w:bookmarkEnd w:id="47"/>
    </w:p>
    <w:p w14:paraId="441885AE" w14:textId="77777777" w:rsidR="00527F8A" w:rsidRPr="00527F8A" w:rsidRDefault="00527F8A" w:rsidP="00BA0FEA">
      <w:pPr>
        <w:pStyle w:val="Heading2"/>
      </w:pPr>
      <w:bookmarkStart w:id="48" w:name="_Toc240921667"/>
      <w:r w:rsidRPr="00527F8A">
        <w:t>4.1 Introduction</w:t>
      </w:r>
      <w:bookmarkEnd w:id="48"/>
    </w:p>
    <w:p w14:paraId="7BCD4158" w14:textId="0A59E63C" w:rsidR="00527F8A" w:rsidRPr="00527F8A" w:rsidRDefault="006D4724" w:rsidP="00527F8A">
      <w:r w:rsidRPr="006D4724">
        <w:t>The findings of the 16 primary studies that were included in the systematic literature review of the diagnostic approaches and management strategies for acute respiratory tract infections (ARTIs) in adults in UK primary and community care are presented in this chapter. The evidence was synthesised thematically (not study by study) as per the methodology outlined in Chapter 3. Three themes were found: diagnostic uncertainty and use of decision-support strategies; management strategies, antibiotic use and patient outcomes; and antibiotic prescribing behaviour and implementation of antimicrobial stewardship. Findings are presented quantitatively in terms of sample sizes and effect estimates and qualitatively as clinician and patient experience of diagnostic and stewardship strategies. In cases where findings coincided, conflicted or contradicted, these are emphasised. Methodological limitations are taken into account only if they jeopardise the trustworthiness of the findings.</w:t>
      </w:r>
    </w:p>
    <w:p w14:paraId="0C50C4B5" w14:textId="77777777" w:rsidR="00527F8A" w:rsidRPr="00527F8A" w:rsidRDefault="00527F8A" w:rsidP="00527F8A">
      <w:pPr>
        <w:rPr>
          <w:i/>
          <w:iCs/>
          <w:szCs w:val="20"/>
        </w:rPr>
      </w:pPr>
      <w:r w:rsidRPr="00527F8A">
        <w:rPr>
          <w:i/>
          <w:iCs/>
          <w:szCs w:val="20"/>
        </w:rPr>
        <w:t>Table 4.1: Themes and Subthemes</w:t>
      </w:r>
    </w:p>
    <w:tbl>
      <w:tblPr>
        <w:tblStyle w:val="TableGrid"/>
        <w:tblW w:w="0" w:type="auto"/>
        <w:tblLook w:val="04A0" w:firstRow="1" w:lastRow="0" w:firstColumn="1" w:lastColumn="0" w:noHBand="0" w:noVBand="1"/>
      </w:tblPr>
      <w:tblGrid>
        <w:gridCol w:w="3654"/>
        <w:gridCol w:w="2324"/>
        <w:gridCol w:w="3248"/>
      </w:tblGrid>
      <w:tr w:rsidR="00527F8A" w:rsidRPr="00527F8A" w14:paraId="25F21368" w14:textId="77777777" w:rsidTr="00527F8A">
        <w:tc>
          <w:tcPr>
            <w:tcW w:w="0" w:type="auto"/>
            <w:hideMark/>
          </w:tcPr>
          <w:p w14:paraId="1197116C" w14:textId="77777777" w:rsidR="00527F8A" w:rsidRPr="00460059" w:rsidRDefault="00527F8A" w:rsidP="00460059">
            <w:pPr>
              <w:spacing w:line="240" w:lineRule="auto"/>
              <w:jc w:val="center"/>
              <w:rPr>
                <w:b/>
                <w:bCs/>
                <w:szCs w:val="20"/>
              </w:rPr>
            </w:pPr>
            <w:r w:rsidRPr="00460059">
              <w:rPr>
                <w:b/>
                <w:bCs/>
                <w:szCs w:val="20"/>
              </w:rPr>
              <w:t>Research objective</w:t>
            </w:r>
          </w:p>
        </w:tc>
        <w:tc>
          <w:tcPr>
            <w:tcW w:w="0" w:type="auto"/>
            <w:hideMark/>
          </w:tcPr>
          <w:p w14:paraId="6B842284" w14:textId="77777777" w:rsidR="00527F8A" w:rsidRPr="00460059" w:rsidRDefault="00527F8A" w:rsidP="00460059">
            <w:pPr>
              <w:spacing w:line="240" w:lineRule="auto"/>
              <w:jc w:val="center"/>
              <w:rPr>
                <w:b/>
                <w:bCs/>
                <w:szCs w:val="20"/>
              </w:rPr>
            </w:pPr>
            <w:r w:rsidRPr="00460059">
              <w:rPr>
                <w:b/>
                <w:bCs/>
                <w:szCs w:val="20"/>
              </w:rPr>
              <w:t>Main theme</w:t>
            </w:r>
          </w:p>
        </w:tc>
        <w:tc>
          <w:tcPr>
            <w:tcW w:w="0" w:type="auto"/>
            <w:hideMark/>
          </w:tcPr>
          <w:p w14:paraId="472D0A54" w14:textId="77777777" w:rsidR="00527F8A" w:rsidRPr="00460059" w:rsidRDefault="00527F8A" w:rsidP="00460059">
            <w:pPr>
              <w:spacing w:line="240" w:lineRule="auto"/>
              <w:jc w:val="center"/>
              <w:rPr>
                <w:b/>
                <w:bCs/>
                <w:szCs w:val="20"/>
              </w:rPr>
            </w:pPr>
            <w:r w:rsidRPr="00460059">
              <w:rPr>
                <w:b/>
                <w:bCs/>
                <w:szCs w:val="20"/>
              </w:rPr>
              <w:t>Subthemes</w:t>
            </w:r>
          </w:p>
        </w:tc>
      </w:tr>
      <w:tr w:rsidR="00527F8A" w:rsidRPr="00527F8A" w14:paraId="5E03AF28" w14:textId="77777777" w:rsidTr="00527F8A">
        <w:tc>
          <w:tcPr>
            <w:tcW w:w="0" w:type="auto"/>
            <w:hideMark/>
          </w:tcPr>
          <w:p w14:paraId="52DF3CEB" w14:textId="77777777" w:rsidR="00527F8A" w:rsidRPr="00460059" w:rsidRDefault="00527F8A" w:rsidP="00460059">
            <w:pPr>
              <w:spacing w:line="240" w:lineRule="auto"/>
              <w:jc w:val="center"/>
              <w:rPr>
                <w:i/>
                <w:iCs/>
                <w:szCs w:val="20"/>
              </w:rPr>
            </w:pPr>
            <w:r w:rsidRPr="00460059">
              <w:rPr>
                <w:i/>
                <w:iCs/>
                <w:szCs w:val="20"/>
              </w:rPr>
              <w:t>Objective 1: Identify diagnostic approaches used to differentiate viral and bacterial RTIs in adults</w:t>
            </w:r>
          </w:p>
        </w:tc>
        <w:tc>
          <w:tcPr>
            <w:tcW w:w="0" w:type="auto"/>
            <w:hideMark/>
          </w:tcPr>
          <w:p w14:paraId="5930EFCB" w14:textId="77777777" w:rsidR="00527F8A" w:rsidRPr="00460059" w:rsidRDefault="00527F8A" w:rsidP="00460059">
            <w:pPr>
              <w:spacing w:line="240" w:lineRule="auto"/>
              <w:jc w:val="center"/>
              <w:rPr>
                <w:i/>
                <w:iCs/>
                <w:szCs w:val="20"/>
              </w:rPr>
            </w:pPr>
            <w:r w:rsidRPr="00460059">
              <w:rPr>
                <w:i/>
                <w:iCs/>
                <w:szCs w:val="20"/>
              </w:rPr>
              <w:t>Theme 1: Diagnostic uncertainty and decision-support strategies</w:t>
            </w:r>
          </w:p>
        </w:tc>
        <w:tc>
          <w:tcPr>
            <w:tcW w:w="0" w:type="auto"/>
            <w:hideMark/>
          </w:tcPr>
          <w:p w14:paraId="456C1237" w14:textId="77777777" w:rsidR="00527F8A" w:rsidRPr="00460059" w:rsidRDefault="00527F8A" w:rsidP="00460059">
            <w:pPr>
              <w:spacing w:line="240" w:lineRule="auto"/>
              <w:jc w:val="center"/>
              <w:rPr>
                <w:i/>
                <w:iCs/>
                <w:szCs w:val="20"/>
              </w:rPr>
            </w:pPr>
            <w:r w:rsidRPr="00460059">
              <w:rPr>
                <w:i/>
                <w:iCs/>
                <w:szCs w:val="20"/>
              </w:rPr>
              <w:t>Clinical prediction and clinical judgement; point-of-care testing; diagnostic information and prescribing decisions</w:t>
            </w:r>
          </w:p>
        </w:tc>
      </w:tr>
      <w:tr w:rsidR="00527F8A" w:rsidRPr="00527F8A" w14:paraId="467CA8D3" w14:textId="77777777" w:rsidTr="00527F8A">
        <w:tc>
          <w:tcPr>
            <w:tcW w:w="0" w:type="auto"/>
            <w:hideMark/>
          </w:tcPr>
          <w:p w14:paraId="4E636FF1" w14:textId="77777777" w:rsidR="00527F8A" w:rsidRPr="00460059" w:rsidRDefault="00527F8A" w:rsidP="00460059">
            <w:pPr>
              <w:spacing w:line="240" w:lineRule="auto"/>
              <w:jc w:val="center"/>
              <w:rPr>
                <w:i/>
                <w:iCs/>
                <w:szCs w:val="20"/>
              </w:rPr>
            </w:pPr>
            <w:r w:rsidRPr="00460059">
              <w:rPr>
                <w:i/>
                <w:iCs/>
                <w:szCs w:val="20"/>
              </w:rPr>
              <w:t>Objective 2: Examine the effectiveness of management strategies on patient outcomes</w:t>
            </w:r>
          </w:p>
        </w:tc>
        <w:tc>
          <w:tcPr>
            <w:tcW w:w="0" w:type="auto"/>
            <w:hideMark/>
          </w:tcPr>
          <w:p w14:paraId="57CA454B" w14:textId="77777777" w:rsidR="00527F8A" w:rsidRPr="00460059" w:rsidRDefault="00527F8A" w:rsidP="00460059">
            <w:pPr>
              <w:spacing w:line="240" w:lineRule="auto"/>
              <w:jc w:val="center"/>
              <w:rPr>
                <w:i/>
                <w:iCs/>
                <w:szCs w:val="20"/>
              </w:rPr>
            </w:pPr>
            <w:r w:rsidRPr="00460059">
              <w:rPr>
                <w:i/>
                <w:iCs/>
                <w:szCs w:val="20"/>
              </w:rPr>
              <w:t>Theme 2: Management strategies, antibiotic use and patient outcomes</w:t>
            </w:r>
          </w:p>
        </w:tc>
        <w:tc>
          <w:tcPr>
            <w:tcW w:w="0" w:type="auto"/>
            <w:hideMark/>
          </w:tcPr>
          <w:p w14:paraId="05D138CC" w14:textId="77777777" w:rsidR="00527F8A" w:rsidRPr="00460059" w:rsidRDefault="00527F8A" w:rsidP="00460059">
            <w:pPr>
              <w:spacing w:line="240" w:lineRule="auto"/>
              <w:jc w:val="center"/>
              <w:rPr>
                <w:i/>
                <w:iCs/>
                <w:szCs w:val="20"/>
              </w:rPr>
            </w:pPr>
            <w:r w:rsidRPr="00460059">
              <w:rPr>
                <w:i/>
                <w:iCs/>
                <w:szCs w:val="20"/>
              </w:rPr>
              <w:t>Delayed versus immediate prescribing; antibiotic duration and repeat prescribing; symptomatic and non-antibiotic management; patient safety and outcomes</w:t>
            </w:r>
          </w:p>
        </w:tc>
      </w:tr>
      <w:tr w:rsidR="00527F8A" w:rsidRPr="00527F8A" w14:paraId="3F768182" w14:textId="77777777" w:rsidTr="00527F8A">
        <w:tc>
          <w:tcPr>
            <w:tcW w:w="0" w:type="auto"/>
            <w:hideMark/>
          </w:tcPr>
          <w:p w14:paraId="376581C4" w14:textId="77777777" w:rsidR="00527F8A" w:rsidRPr="00460059" w:rsidRDefault="00527F8A" w:rsidP="00460059">
            <w:pPr>
              <w:spacing w:line="240" w:lineRule="auto"/>
              <w:jc w:val="center"/>
              <w:rPr>
                <w:i/>
                <w:iCs/>
                <w:szCs w:val="20"/>
              </w:rPr>
            </w:pPr>
            <w:r w:rsidRPr="00460059">
              <w:rPr>
                <w:i/>
                <w:iCs/>
                <w:szCs w:val="20"/>
              </w:rPr>
              <w:t>Objective 3: Explore how current UK clinical guidelines influence antibiotic prescribing practices for RTIs; Objective 4: provide recommendations for antibiotic stewardship and antimicrobial resistance</w:t>
            </w:r>
          </w:p>
        </w:tc>
        <w:tc>
          <w:tcPr>
            <w:tcW w:w="0" w:type="auto"/>
            <w:hideMark/>
          </w:tcPr>
          <w:p w14:paraId="4C30113F" w14:textId="77777777" w:rsidR="00527F8A" w:rsidRPr="00460059" w:rsidRDefault="00527F8A" w:rsidP="00460059">
            <w:pPr>
              <w:spacing w:line="240" w:lineRule="auto"/>
              <w:jc w:val="center"/>
              <w:rPr>
                <w:i/>
                <w:iCs/>
                <w:szCs w:val="20"/>
              </w:rPr>
            </w:pPr>
            <w:r w:rsidRPr="00460059">
              <w:rPr>
                <w:i/>
                <w:iCs/>
                <w:szCs w:val="20"/>
              </w:rPr>
              <w:t>Theme 3: Prescribing behaviour and implementation of antimicrobial stewardship</w:t>
            </w:r>
          </w:p>
        </w:tc>
        <w:tc>
          <w:tcPr>
            <w:tcW w:w="0" w:type="auto"/>
            <w:hideMark/>
          </w:tcPr>
          <w:p w14:paraId="6B127DF1" w14:textId="77777777" w:rsidR="00527F8A" w:rsidRPr="00460059" w:rsidRDefault="00527F8A" w:rsidP="00460059">
            <w:pPr>
              <w:spacing w:line="240" w:lineRule="auto"/>
              <w:jc w:val="center"/>
              <w:rPr>
                <w:i/>
                <w:iCs/>
                <w:szCs w:val="20"/>
              </w:rPr>
            </w:pPr>
            <w:r w:rsidRPr="00460059">
              <w:rPr>
                <w:i/>
                <w:iCs/>
                <w:szCs w:val="20"/>
              </w:rPr>
              <w:t>Remote versus face-to-face consultation; workflow, communication and clinician behaviour; pandemic and system-level prescribing changes; risk-based prescribing and stewardship</w:t>
            </w:r>
          </w:p>
        </w:tc>
      </w:tr>
    </w:tbl>
    <w:p w14:paraId="405334EA" w14:textId="77777777" w:rsidR="00527F8A" w:rsidRPr="00527F8A" w:rsidRDefault="00527F8A" w:rsidP="00BA0FEA">
      <w:pPr>
        <w:pStyle w:val="Heading2"/>
      </w:pPr>
      <w:bookmarkStart w:id="49" w:name="_Toc240921668"/>
      <w:r w:rsidRPr="00527F8A">
        <w:t>4.2 Theme 1: Diagnostic Uncertainty and Decision-Support Strategies</w:t>
      </w:r>
      <w:bookmarkEnd w:id="49"/>
    </w:p>
    <w:p w14:paraId="5321C2EF" w14:textId="7D6213C8" w:rsidR="00527F8A" w:rsidRPr="00527F8A" w:rsidRDefault="00835B07" w:rsidP="00835B07">
      <w:r>
        <w:t xml:space="preserve">The theme focused on the way clinicians decreased uncertainty prior to antibiotic decision-making. Clinical prediction rules and point-of-care tests added information but were useful in the included studies depending on diagnostic performance, clinician confidence and the ease with </w:t>
      </w:r>
      <w:r>
        <w:lastRenderedPageBreak/>
        <w:t>which they were integrated into routine practice. The evidence separated acceptability and measurable prescribing effects.</w:t>
      </w:r>
    </w:p>
    <w:p w14:paraId="51402111" w14:textId="77777777" w:rsidR="00527F8A" w:rsidRPr="00BA0FEA" w:rsidRDefault="00527F8A" w:rsidP="00BA0FEA">
      <w:pPr>
        <w:pStyle w:val="Heading3"/>
      </w:pPr>
      <w:bookmarkStart w:id="50" w:name="_Toc240921669"/>
      <w:r w:rsidRPr="00BA0FEA">
        <w:t>4.2.1 Clinical Prediction and Clinical Judgement</w:t>
      </w:r>
      <w:bookmarkEnd w:id="50"/>
    </w:p>
    <w:p w14:paraId="016BDDAA" w14:textId="43FC3C9F" w:rsidR="00835B07" w:rsidRDefault="00835B07" w:rsidP="00835B07">
      <w:r>
        <w:t xml:space="preserve">Hounkpatin et al. (2021) conducted interviews with 32 GPs in the South and South-West of England to determine how they utilise clinical prediction rules for respiratory infections. GPs reported that prediction rules were helpful in confirming or supporting the decision, the documentation and discussion with the patient. Their use, however, was not consistent. Time pressure, complexity of the patient, lack of awareness of some of the rules, and having trouble using the rules in </w:t>
      </w:r>
      <w:r w:rsidR="00B33D17" w:rsidRPr="00B33D17">
        <w:t>remote consultations</w:t>
      </w:r>
      <w:r w:rsidR="00B33D17">
        <w:t xml:space="preserve"> </w:t>
      </w:r>
      <w:r>
        <w:t xml:space="preserve">were identified as barriers. When a patient was not a fit for a rule, clinical judgement stayed in the foreground, indicating that CPRs were </w:t>
      </w:r>
      <w:r w:rsidR="00591FD2" w:rsidRPr="00591FD2">
        <w:t>not used as replacements for reasoning</w:t>
      </w:r>
      <w:r>
        <w:t xml:space="preserve">, but merely as support for reasoning. </w:t>
      </w:r>
    </w:p>
    <w:p w14:paraId="22238140" w14:textId="69BF4692" w:rsidR="00835B07" w:rsidRDefault="00835B07" w:rsidP="00835B07">
      <w:r>
        <w:t xml:space="preserve">This is a prudent use of prediction rules that was supported by the diagnostic evidence provided by Seeley et al. (2021). Of the 565 adults presenting with sore throat to primary care in the UK, </w:t>
      </w:r>
      <w:r w:rsidR="00591FD2" w:rsidRPr="00591FD2">
        <w:t>502 had a throat culture result</w:t>
      </w:r>
      <w:r>
        <w:t xml:space="preserve">. Of these, 81 (16.1%) were positive for group A, C and G streptococci. In this relatively low-prevalence population, FeverPAIN and Centor were both found to be poorly discriminatory. Of the 74 patients with Centor scores of ≥3, only 19 were culture positive, whereas 48 of 240 patients with FeverPAIN scores of 2-3 were culture positive. The 223 participants who were given a delayed prescription for antibiotics accounted for 39.5% of the sample recruited (Seeley et al., 2021). These findings suggest that clinical scores were positively associated with the risk of bacterial infection, but were not predictive of bacterial versus non-bacterial illness. </w:t>
      </w:r>
    </w:p>
    <w:p w14:paraId="1AE1B931" w14:textId="47223A75" w:rsidR="00527F8A" w:rsidRPr="00527F8A" w:rsidRDefault="00835B07" w:rsidP="00835B07">
      <w:r>
        <w:t>Combined, Hounkpatin et al. (2021) and Seeley et al. (2021) demonstrated their consensus in different methodological approaches. The diagnostic study showed low discrimination, and the qualitative study provided an explanation of why there is a reluctance to rely on rules instead of clinical assessment. The use of a microbiological reference standard in an objective manner in Seeley et al. (2021) and the detailed clinician accounts in Hounkpatin et al. (2021) reinforce confidence in this pattern. The prediction scores in Seeley et al., however, were made post-hoc, and the qualitative results do not allow for conclusions to be drawn about the frequency with which GPs applied rules in their daily work. The evidence therefore supports prediction rules as adjuncts to, but not definitive diagnostic mechanisms.</w:t>
      </w:r>
    </w:p>
    <w:p w14:paraId="608A41C6" w14:textId="77777777" w:rsidR="00527F8A" w:rsidRPr="00527F8A" w:rsidRDefault="00527F8A" w:rsidP="00BA0FEA">
      <w:pPr>
        <w:pStyle w:val="Heading3"/>
      </w:pPr>
      <w:bookmarkStart w:id="51" w:name="_Toc240921670"/>
      <w:r w:rsidRPr="00527F8A">
        <w:lastRenderedPageBreak/>
        <w:t>4.2.2 Point-of-Care Testing</w:t>
      </w:r>
      <w:bookmarkEnd w:id="51"/>
    </w:p>
    <w:p w14:paraId="3EAC69AB" w14:textId="13AC280F" w:rsidR="00B61F6A" w:rsidRDefault="00860E7F" w:rsidP="00B61F6A">
      <w:r w:rsidRPr="00860E7F">
        <w:t>Evidence on the use of point-of-care testing</w:t>
      </w:r>
      <w:r>
        <w:t xml:space="preserve"> </w:t>
      </w:r>
      <w:r w:rsidR="00B61F6A">
        <w:t xml:space="preserve">also revealed the same conflict between usefulness and observed prescribing outcomes. Dixon et al. (2022) explored the use of C-reactive protein (CRP) point-of-care testing in out-of-hours primary care in England. Three intervention bases were equipped with CRP machines and four control bases. Only 248 tests were conducted, with 217 conducted at one intervention base. There was no clear difference between services with and without CRP machines in the interrupted time-series analysis during follow-up, when antibiotic prescribing decreased. The low and uneven uptake limits confidence in the absence of an effect, as the uptake is not sufficiently consistent to provide a robust test of routine impact, and this </w:t>
      </w:r>
      <w:r w:rsidRPr="00860E7F">
        <w:t>limits conclusions about the effectiveness of CRP testing</w:t>
      </w:r>
      <w:r w:rsidR="00B61F6A">
        <w:t xml:space="preserve">. </w:t>
      </w:r>
    </w:p>
    <w:p w14:paraId="775EAC38" w14:textId="77777777" w:rsidR="00B61F6A" w:rsidRDefault="00B61F6A" w:rsidP="00B61F6A">
      <w:r>
        <w:t xml:space="preserve">The qualitative aspect of Dixon et al. (2022), however, highlighted that clinicians appreciated the objective CRP data as part of clarifying the rationale behind not prescribing and when dealing with diagnostic uncertainty. This was comparable to Borek et al. (2021a), which used focus groups with 50 professionals from nine high-prescribing English general practices. Overall, the participants did not feel that delayed prescriptions or CRP testing are routinely required as a clinical tool, but they felt that in some ambiguous scenarios, these are useful and that in social/communication scenarios, where patients expected antibiotics, these are useful. Ambiguities regarding when to use the strategies, worries about workload and resources, and whether the intervention was suitably placed within the clinician's role were some of the barriers. </w:t>
      </w:r>
    </w:p>
    <w:p w14:paraId="0601DE27" w14:textId="77777777" w:rsidR="00B61F6A" w:rsidRDefault="00B61F6A" w:rsidP="00B61F6A">
      <w:r>
        <w:t xml:space="preserve">Rutter et al. (2024) found that these implementation findings also applied to FebriDx; they conducted interviews with 12 patients and 10 healthcare professionals in the South of England. The test was seen as useful for prescribing and shared decision-making, and practical challenges mentioned included issues of blood availability, result interpretation and communicating negative results. The study was not designed to determine if perceived reassurance led to less antibiotic use, and therefore cannot establish efficacy. There is also a potential limitation of transferability as this is a small regional sample, but the fact that there was agreement with the larger professional sample in Borek et al. (2021a) supports the finding that testing plays an important communication role. </w:t>
      </w:r>
    </w:p>
    <w:p w14:paraId="6A002D0A" w14:textId="77456E9B" w:rsidR="00527F8A" w:rsidRPr="00527F8A" w:rsidRDefault="00B61F6A" w:rsidP="00B61F6A">
      <w:pPr>
        <w:rPr>
          <w:color w:val="FF0000"/>
        </w:rPr>
      </w:pPr>
      <w:r>
        <w:t xml:space="preserve">Hay et al. (2026) provided the strongest evidence relating to intervention. A randomised clinical trial of 552 patients in 16 UK general practices randomised 276 patients to rapid respiratory microbiological POC tests and 276 to usual care. </w:t>
      </w:r>
      <w:r w:rsidR="00804572" w:rsidRPr="00804572">
        <w:t>The general finding is derived from a mixed-age sample</w:t>
      </w:r>
      <w:r w:rsidR="00F0020B" w:rsidRPr="00F0020B">
        <w:t>, but 86% of all participants were ≥16 years of age, so caution was warranted in interpreting these results as 86% did not report separately for a ≥18-year sub-group.</w:t>
      </w:r>
      <w:r w:rsidR="00F0020B">
        <w:t xml:space="preserve"> </w:t>
      </w:r>
      <w:r>
        <w:t xml:space="preserve">The </w:t>
      </w:r>
      <w:r>
        <w:lastRenderedPageBreak/>
        <w:t xml:space="preserve">proportions prescribed same-day antibiotics were identical in both groups (45% and 45%, respectively with an odds ratio of 1.00 (95% CI 0.71–1.41; p&gt;0.99). Overall, there was no reduction in same-day prescribing. But in those who tested positive for a virus, utilisation of antibiotics was lower with testing (OR 0.35, 95% CI 0.20–0.63), suggesting that in specific patients, test positivity for a virus may influence decision-making regarding antibiotic use. The general finding is </w:t>
      </w:r>
      <w:r w:rsidR="00087012" w:rsidRPr="00087012">
        <w:t>derived from a mixed-age sample</w:t>
      </w:r>
      <w:r>
        <w:t xml:space="preserve">, but the overall sample is mixed-age, </w:t>
      </w:r>
      <w:r w:rsidR="00087012" w:rsidRPr="00087012">
        <w:t>although randomisation strengthens causal confidence</w:t>
      </w:r>
      <w:r w:rsidR="00087012">
        <w:t xml:space="preserve"> </w:t>
      </w:r>
      <w:r>
        <w:t>from the use of a randomised design.</w:t>
      </w:r>
      <w:r w:rsidR="00527F8A" w:rsidRPr="00527F8A">
        <w:rPr>
          <w:color w:val="FF0000"/>
        </w:rPr>
        <w:t xml:space="preserve"> </w:t>
      </w:r>
    </w:p>
    <w:p w14:paraId="23CCD4DE" w14:textId="165402B5" w:rsidR="00527F8A" w:rsidRPr="00527F8A" w:rsidRDefault="00B61F6A" w:rsidP="00527F8A">
      <w:r w:rsidRPr="00B61F6A">
        <w:t xml:space="preserve">Overall, this evidence was consistent on some points and inconsistent on others across the four texts: Dixon et al. (2022), Borek et al. (2021a), Rutter et al. (2024) and Hay et al. (2026). Reassurance, communication and structured decision-making were all values cited by clinicians and patients, and also showed some evidence of a reduction in prescribing in the quantitative studies, but this was not consistent across all studies. </w:t>
      </w:r>
      <w:r w:rsidR="00193E78" w:rsidRPr="00193E78">
        <w:t>Diagnostic information might thus be beneficial</w:t>
      </w:r>
      <w:r w:rsidR="00193E78">
        <w:t xml:space="preserve"> </w:t>
      </w:r>
      <w:r w:rsidRPr="00B61F6A">
        <w:t>without influencing the final antibiotic selection in UK primary care.</w:t>
      </w:r>
    </w:p>
    <w:p w14:paraId="040F0246" w14:textId="77777777" w:rsidR="00527F8A" w:rsidRPr="00527F8A" w:rsidRDefault="00527F8A" w:rsidP="00BA0FEA">
      <w:pPr>
        <w:pStyle w:val="Heading3"/>
      </w:pPr>
      <w:bookmarkStart w:id="52" w:name="_Toc240921671"/>
      <w:r w:rsidRPr="00527F8A">
        <w:t>4.2.3 Diagnostic Support and Prescribing Decisions</w:t>
      </w:r>
      <w:bookmarkEnd w:id="52"/>
    </w:p>
    <w:p w14:paraId="2085B5E2" w14:textId="77777777" w:rsidR="006D184C" w:rsidRDefault="006D184C" w:rsidP="006D184C">
      <w:r>
        <w:t>The overall results of the diagnosis revealed that clinical decision support was not independent of judgement and context. A similar use of rules to support decisions already in consideration arose in Hounkpatin et al. (2021), and Borek et al. (2021a) reported similar application of CRP testing as a tool for negotiating uncertainty and expectations. Dixon et al. (2022) found that there was no evidence of a difference in service-level prescribing and that clinicians valued numerical CRP results, while Hay et al. (2026) found that much more detailed microbiological information did not affect the overall same-day prescribing rate.</w:t>
      </w:r>
    </w:p>
    <w:p w14:paraId="242A0D09" w14:textId="449F6E4D" w:rsidR="00527F8A" w:rsidRPr="00527F8A" w:rsidRDefault="006D184C" w:rsidP="006D184C">
      <w:r>
        <w:t>A key exception, however, was the virus-positive group in Hay et al. (2026), which had much lower prescribing rates. This implies that diagnostic information has a positive effect on behaviour when the result is specific enough and understandable enough to solve uncertainty. However, subgroup findings are less robust than the overall trial result, and do not invalidate the overall null effect. The feedback from the studies suggests a possible contribution of decision support for increasing confidence and communication, but not a guaranteed one to the use of antibiotics.</w:t>
      </w:r>
    </w:p>
    <w:p w14:paraId="7C42D8D9" w14:textId="77777777" w:rsidR="00527F8A" w:rsidRPr="00527F8A" w:rsidRDefault="00527F8A" w:rsidP="00BA0FEA">
      <w:pPr>
        <w:pStyle w:val="Heading2"/>
      </w:pPr>
      <w:bookmarkStart w:id="53" w:name="_Toc240921672"/>
      <w:r w:rsidRPr="00527F8A">
        <w:t>4.3 Theme 2: Management Strategies, Antibiotic Use and Patient Outcomes</w:t>
      </w:r>
      <w:bookmarkEnd w:id="53"/>
    </w:p>
    <w:p w14:paraId="2B860115" w14:textId="23877D47" w:rsidR="00527F8A" w:rsidRPr="00527F8A" w:rsidRDefault="006D184C" w:rsidP="00527F8A">
      <w:r w:rsidRPr="006D184C">
        <w:t xml:space="preserve">The second theme focused on delayed prescribing, length of treatment, prior exposure, symptom management and safety. Evaluation of stewardship was not just based on antibiotic </w:t>
      </w:r>
      <w:r w:rsidRPr="006D184C">
        <w:lastRenderedPageBreak/>
        <w:t>prescribing, but included factors such as the timing, duration, repeat courses, recovery, reconsultation and hospitalisation.</w:t>
      </w:r>
    </w:p>
    <w:p w14:paraId="4EE44D08" w14:textId="77777777" w:rsidR="00527F8A" w:rsidRPr="00527F8A" w:rsidRDefault="00527F8A" w:rsidP="00BA0FEA">
      <w:pPr>
        <w:pStyle w:val="Heading3"/>
      </w:pPr>
      <w:bookmarkStart w:id="54" w:name="_Toc240921673"/>
      <w:r w:rsidRPr="00527F8A">
        <w:t>4.3.1 Delayed Versus Immediate Antibiotic Prescribing</w:t>
      </w:r>
      <w:bookmarkEnd w:id="54"/>
    </w:p>
    <w:p w14:paraId="6F2590E4" w14:textId="67357B2F" w:rsidR="006D184C" w:rsidRDefault="00235004" w:rsidP="006D184C">
      <w:r w:rsidRPr="00235004">
        <w:t>Evidence on delayed prescribing was overall mixed, with stewardship aspects being seen, but concern over potential safety issues in certain patient populations.</w:t>
      </w:r>
      <w:r>
        <w:t xml:space="preserve"> </w:t>
      </w:r>
      <w:r w:rsidR="006D184C">
        <w:t xml:space="preserve">The largest direct safety comparison of delayed versus immediate prescribing was from van Staa et al. (2021). In the linked cohorts of English and Welsh prescriptions, there were 1.82 million patients with a URTI and an antibiotic prescription. Of these, 91.7% had an antibiotic prescribed on the date of the diagnosis of URTI, and 8.3% were considered delayed prescribing, with the URTI diagnosis made 1–30 days prior to the antibiotic prescription. Delayed prescribing was linked to a 52% increased adjusted risk of infection-related hospital admission in the 30 days following the </w:t>
      </w:r>
      <w:r w:rsidR="00193E78" w:rsidRPr="00193E78">
        <w:t xml:space="preserve">antibiotic prescription </w:t>
      </w:r>
      <w:r w:rsidR="00193E78">
        <w:t xml:space="preserve"> </w:t>
      </w:r>
      <w:r w:rsidR="006D184C">
        <w:t xml:space="preserve">(adjusted HR 1.52, 95% CI 1.43–1.62). Absolute risk varied widely, with a median of </w:t>
      </w:r>
      <w:r w:rsidR="00E51DA4" w:rsidRPr="00E51DA4">
        <w:t>1,357 NNH</w:t>
      </w:r>
      <w:r w:rsidR="006D184C">
        <w:t xml:space="preserve">. </w:t>
      </w:r>
    </w:p>
    <w:p w14:paraId="7844899D" w14:textId="558C1151" w:rsidR="00527F8A" w:rsidRPr="00527F8A" w:rsidRDefault="006D184C" w:rsidP="006D184C">
      <w:r>
        <w:t xml:space="preserve">This discovery raises a significant safety signal, but the interpretation of this finding is constrained by the </w:t>
      </w:r>
      <w:r w:rsidR="00E51DA4" w:rsidRPr="00E51DA4">
        <w:t>definition of the observational exposure</w:t>
      </w:r>
      <w:r>
        <w:t>. If a prescription is issued after the date of diagnosis, it is not necessarily an intentionally delayed or back-up prescription agreed on during the consultation. These patients may also differ in severity of condition, deterioration or comorbidity, which routine data do not fully reflect in later treatment patients. Therefore, it cannot be shown that the association is responsible for the admission of the patient, as a result of planned delayed prescribing. Borek et al. (2021a) offer some qualitative perspective practitioners saw delayed prescription as helpful in some cases of doubt and in discussions about treatment decisions but not as a one-size-fits-all solution for all respiratory presentations.</w:t>
      </w:r>
    </w:p>
    <w:p w14:paraId="7860402C" w14:textId="77777777" w:rsidR="00527F8A" w:rsidRPr="00527F8A" w:rsidRDefault="00527F8A" w:rsidP="00BA0FEA">
      <w:pPr>
        <w:pStyle w:val="Heading3"/>
      </w:pPr>
      <w:bookmarkStart w:id="55" w:name="_Toc240921674"/>
      <w:r w:rsidRPr="00527F8A">
        <w:t>4.3.2 Antibiotic Duration and Repeat Prescribing</w:t>
      </w:r>
      <w:bookmarkEnd w:id="55"/>
    </w:p>
    <w:p w14:paraId="37811720" w14:textId="45AE9431" w:rsidR="006F6A5D" w:rsidRDefault="00704547" w:rsidP="006F6A5D">
      <w:r w:rsidRPr="00704547">
        <w:t>Overall, there was no clear evidence of additional benefits of longer courses of antibiotic therapy and there was an increase in antibiotic exposure as a result of repeat prescribing.</w:t>
      </w:r>
      <w:r>
        <w:t xml:space="preserve"> </w:t>
      </w:r>
      <w:r w:rsidR="006F6A5D">
        <w:t xml:space="preserve">Palin et al. (2021) analysed </w:t>
      </w:r>
      <w:r w:rsidR="00460138" w:rsidRPr="00460138">
        <w:t>approximately four million</w:t>
      </w:r>
      <w:r w:rsidR="00460138">
        <w:t xml:space="preserve"> </w:t>
      </w:r>
      <w:r w:rsidR="006F6A5D">
        <w:t xml:space="preserve">acute infection episodes managed by antibiotic treatment in English primary care. The majority of prescriptions (66.9%) were for 6-7 days. Those who received eight- to fifteen-day courses were most likely to be hospitalised for infection; </w:t>
      </w:r>
      <w:r w:rsidR="00460138" w:rsidRPr="00460138">
        <w:t xml:space="preserve">greater risk compared with short prescriptions </w:t>
      </w:r>
      <w:r w:rsidR="006F6A5D">
        <w:t xml:space="preserve">(HR 1.75, 95% CI 1.54–2.00). When comparing hazard ratios in early and later follow-up, however, there was no statistically significant difference between longer and shorter courses of treatment when considering reduction in complications: HR 1.02 (95% CI 0.90–1.16) in early and HR 0.92 (95% CI 0.75–1.12) in later follow-up. The </w:t>
      </w:r>
      <w:r w:rsidR="006F6A5D">
        <w:lastRenderedPageBreak/>
        <w:t xml:space="preserve">large sample size increases precision, but confounding by indication is still significant, as that is the direction of the indication, which may result in longer courses being prescribed to patients who are judged to be sicker. </w:t>
      </w:r>
    </w:p>
    <w:p w14:paraId="6E60EBDB" w14:textId="26274860" w:rsidR="006F6A5D" w:rsidRDefault="006F6A5D" w:rsidP="006F6A5D">
      <w:r>
        <w:t xml:space="preserve">Lalmohamed et al. (2024) brought the focus from the number of days to repeated exposure. The re-prescribing of antibiotics within 28 days for a repeat episode of an antibiotic treatment for an RTI was 12.7% (95% CI 12.5–12.9%) across all 905,964 antibiotic-treated RTI cases in 530 practices in England. Among adults, repeat prescribing occurred in 19.9% of LRTI episodes (95% CI 19.3–20.5%) and 10.5% of URTI episodes (95% CI 10.3–10.8%). The median time for repeat prescriptions was 10 days after the first prescription, and 48.3% were the same class of antibiotic. Some groups had a higher risk of being </w:t>
      </w:r>
      <w:r w:rsidR="00460138" w:rsidRPr="00460138">
        <w:t>receive repeat prescriptions</w:t>
      </w:r>
      <w:r>
        <w:t xml:space="preserve">: adults aged 65 years and over. These results suggest that antibiotic exposure may be compounded over the course of an illness. </w:t>
      </w:r>
    </w:p>
    <w:p w14:paraId="6776A3CC" w14:textId="3F513C84" w:rsidR="00527F8A" w:rsidRPr="00527F8A" w:rsidRDefault="006F6A5D" w:rsidP="006F6A5D">
      <w:r>
        <w:t xml:space="preserve">Accordingly, both </w:t>
      </w:r>
      <w:r w:rsidR="00421378" w:rsidRPr="00421378">
        <w:t>Palin et al. (2021) and Lalmohamed et al. (2024)</w:t>
      </w:r>
      <w:r>
        <w:t xml:space="preserve"> highlight the need to consider factors beyond the initial prescription decision. No evidence of further protection from hospitalisation with longer treatment, and repeat prescribing was a significant extra contributor to antibiotic use. Both depend on routine notes and adherence and clinician rationale, and notes-to-date severity are unknown, but the scale justifies the targets of duration and repeat prescribing of these drugs.</w:t>
      </w:r>
    </w:p>
    <w:p w14:paraId="4D76AF63" w14:textId="77777777" w:rsidR="00527F8A" w:rsidRPr="00527F8A" w:rsidRDefault="00527F8A" w:rsidP="00BA0FEA">
      <w:pPr>
        <w:pStyle w:val="Heading3"/>
      </w:pPr>
      <w:bookmarkStart w:id="56" w:name="_Toc240921675"/>
      <w:r w:rsidRPr="00527F8A">
        <w:t>4.3.3 Symptomatic and Non-Antibiotic Management</w:t>
      </w:r>
      <w:bookmarkEnd w:id="56"/>
    </w:p>
    <w:p w14:paraId="28720DE4" w14:textId="5E0F1FEC" w:rsidR="006F6A5D" w:rsidRDefault="00276825" w:rsidP="006F6A5D">
      <w:r w:rsidRPr="00276825">
        <w:t>Overall, the COVID-19 pandemic has affected antibiotic use and stewardship activity in primary care in the UK</w:t>
      </w:r>
      <w:r>
        <w:t xml:space="preserve">. </w:t>
      </w:r>
      <w:r w:rsidR="006F6A5D">
        <w:t xml:space="preserve">Little et al. (2024) offered randomised evidence which comprised active, symptom-focused treatment in the absence of antibiotics. In total, 13,799 adults from 332 GP practices were recruited for usual care, a gel-based nasal spray, a saline nasal spray or a behavioural website designed to encourage physical activity and stress reduction. For those who did provide complete primary-outcome information, usual care resulted in a mean of 8.2 illness days in the 6 months. This fell to 6.5 days with the gel spray (adjusted IRR 0.82, 99% CI 0.76–0.90; p&lt;0.0001) and 6.4 days with saline spray (IRR 0.81, 99% CI 0.74–0.88; p&lt;0.0001). The behavioural website had no significant impact on the number of illness days. </w:t>
      </w:r>
    </w:p>
    <w:p w14:paraId="123D8E85" w14:textId="00459837" w:rsidR="00527F8A" w:rsidRPr="00527F8A" w:rsidRDefault="006F6A5D" w:rsidP="006F6A5D">
      <w:pPr>
        <w:rPr>
          <w:color w:val="FF0000"/>
        </w:rPr>
      </w:pPr>
      <w:r>
        <w:t xml:space="preserve">The use of antibiotics did, however, decline in all three intervention groups. Relative to usual care, antibiotic-use IRRs were 0.65 (95% CI 0.50–0.84) for gel spray, 0.69 (95% CI 0.45–0.88) for saline spray and 0.74 (95% CI 0.57–0.94) for the behavioural intervention. This indicates that less use of these antibiotics is possible even while an alternative management plan is in place. </w:t>
      </w:r>
      <w:r>
        <w:lastRenderedPageBreak/>
        <w:t>The study was, however, open-label, with some endpoints self-reported, and there were differences in adherence between groups. The large sample of adults and random allocation to treatment conditions give relatively strong evidence, which has been affected by these limitations.</w:t>
      </w:r>
    </w:p>
    <w:p w14:paraId="5E914401" w14:textId="77777777" w:rsidR="00527F8A" w:rsidRPr="00527F8A" w:rsidRDefault="00527F8A" w:rsidP="00BA0FEA">
      <w:pPr>
        <w:pStyle w:val="Heading3"/>
      </w:pPr>
      <w:bookmarkStart w:id="57" w:name="_Toc240921676"/>
      <w:r w:rsidRPr="00527F8A">
        <w:t>4.3.4 Patient Safety and Outcomes</w:t>
      </w:r>
      <w:bookmarkEnd w:id="57"/>
    </w:p>
    <w:p w14:paraId="6A7999DE" w14:textId="77777777" w:rsidR="00847C8F" w:rsidRDefault="00847C8F" w:rsidP="00847C8F">
      <w:r>
        <w:t xml:space="preserve">van Staa et al. (2021) reported a greater adjusted admission risk in patients treated with delayed as opposed to immediate antibiotics, while Stimson et al. (2024) did not find any association between overall reduced respiratory antibiotic prescribing in practices and increased hospitalisation. Stimson et al. looked at 1,471 English general practices between 2005 and 2019. The prescribing quintile with the lowest and highest prescriptions per 1,000 RTI consultations was 52 and 139 prescriptions. There was no significant difference in the hospitalisation risk between the lowest and highest prescribing practices (adjusted OR 0.99, 95% CI 0.96–1.02). However, 30-day reconsultation was higher (adjusted OR 1.209, 95% CI 1.206–1.212), while additional antibiotic prescribing was lower (OR 0.317, 95% CI 0.314–0.321). </w:t>
      </w:r>
    </w:p>
    <w:p w14:paraId="5610C6F8" w14:textId="77777777" w:rsidR="00847C8F" w:rsidRDefault="00847C8F" w:rsidP="00847C8F">
      <w:r>
        <w:t>The findings in these studies are not necessarily conflicting, as they looked at different exposures: van Staa et al. (2021) focused on the timing of antibiotic prescribing for patients who went on to receive antibiotics and Stimson et al. (2024) compared practice-level prescribing intensity for all RTI consultations. The latter is also at risk of ecological bias, as there is no way to discriminate between whether or not a specific high-risk patient was treated appropriately. The studies combined suggest that the reduction in antibiotic prescribing is not necessarily linked to increased hospitalisation, but can result in altered reconsulting patterns and may have varying risks for specific patients.</w:t>
      </w:r>
    </w:p>
    <w:p w14:paraId="5CADF275" w14:textId="77777777" w:rsidR="00847C8F" w:rsidRDefault="00847C8F" w:rsidP="00847C8F">
      <w:r>
        <w:t>Little et al. (2024) support evidence that symptom-based interventions can reduce antibiotic usage without increasing the time antibiotics are used, and Palin et al. (2021) suggest that there is not compelling evidence that a longer duration of antibiotics reduces complications. In total, successful ARTI management involves taking into account antibiotic exposure, as well as symptoms and serious outcomes.</w:t>
      </w:r>
    </w:p>
    <w:p w14:paraId="619EA993" w14:textId="77777777" w:rsidR="00527F8A" w:rsidRPr="00527F8A" w:rsidRDefault="00527F8A" w:rsidP="00BA0FEA">
      <w:pPr>
        <w:pStyle w:val="Heading2"/>
      </w:pPr>
      <w:bookmarkStart w:id="58" w:name="_Toc240921677"/>
      <w:r w:rsidRPr="00527F8A">
        <w:t>4.4 Theme 3: Prescribing Behaviour and Implementation of Antimicrobial Stewardship</w:t>
      </w:r>
      <w:bookmarkEnd w:id="58"/>
    </w:p>
    <w:p w14:paraId="1EDC49B1" w14:textId="6F8CAB0A" w:rsidR="00527F8A" w:rsidRPr="00527F8A" w:rsidRDefault="00847C8F" w:rsidP="00527F8A">
      <w:r>
        <w:t xml:space="preserve">The third theme was related to the clinical and service context where prescribing decisions were undertaken. </w:t>
      </w:r>
      <w:r w:rsidR="00737F77" w:rsidRPr="00737F77">
        <w:t>None of the 16 studies directly evaluated</w:t>
      </w:r>
      <w:r w:rsidR="00737F77">
        <w:t xml:space="preserve"> </w:t>
      </w:r>
      <w:r>
        <w:t xml:space="preserve">a current national guideline as an intervention, so this theme provides evidence for guideline-related influences instead of direct </w:t>
      </w:r>
      <w:r>
        <w:lastRenderedPageBreak/>
        <w:t>measures of guideline influence. Stewardship was impacted by remote consultation, workflow, communication, disruptions, pandemics, viral circulation and prescribing risk.</w:t>
      </w:r>
    </w:p>
    <w:p w14:paraId="0403C440" w14:textId="77777777" w:rsidR="00527F8A" w:rsidRPr="00527F8A" w:rsidRDefault="00527F8A" w:rsidP="00BA0FEA">
      <w:pPr>
        <w:pStyle w:val="Heading3"/>
      </w:pPr>
      <w:bookmarkStart w:id="59" w:name="_Toc240921678"/>
      <w:r w:rsidRPr="00527F8A">
        <w:t>4.4.1 Remote Versus Face-to-Face Consultation</w:t>
      </w:r>
      <w:bookmarkEnd w:id="59"/>
    </w:p>
    <w:p w14:paraId="19765009" w14:textId="428A6703" w:rsidR="00D73F66" w:rsidRDefault="00D73F66" w:rsidP="00D73F66">
      <w:r>
        <w:t xml:space="preserve">Vestesson et al. (2023) analysed 45,997 consultations for acute respiratory illness (ARI) by 34,555 individual patients in English primary care between April 2021 and March 2022. There were 28,127 </w:t>
      </w:r>
      <w:r w:rsidR="00737F77" w:rsidRPr="00737F77">
        <w:t>remote consultations</w:t>
      </w:r>
      <w:r w:rsidR="00737F77">
        <w:t xml:space="preserve"> </w:t>
      </w:r>
      <w:r>
        <w:t xml:space="preserve">and 17,870 consultations face-to-face. 66% of consultations taken were done remotely among adults. Antibiotics were prescribed during 52% of the adult remote consultations compared with 42% of face-to-face consultations. For adults, antibiotic prescribing was 23% more likely with remote consultation, after adjusting for patient and clinician, and practice and infection characteristics (OR 1.23, 95% CI 1.18–1.29). </w:t>
      </w:r>
    </w:p>
    <w:p w14:paraId="6C2B7423" w14:textId="463FCB04" w:rsidR="00527F8A" w:rsidRPr="00527F8A" w:rsidRDefault="00D73F66" w:rsidP="00D73F66">
      <w:r>
        <w:t xml:space="preserve">This is supported by the qualitative evidence provided by Borek et al. (2021b). A total of 24 interviews were carried out with 18 English GPs at two time periods during the pandemic. GPs reported that they were more likely to prescribe antibiotics for respiratory infections early in the pandemic, when they were seeing fewer patients in person, and uncertainty regarding diagnosis was greater. The more participants were able to do face-to-face assessment, the more they seemed to be returning to more normal prescribing. </w:t>
      </w:r>
      <w:r w:rsidR="004232E0">
        <w:t>T</w:t>
      </w:r>
      <w:r w:rsidR="004232E0" w:rsidRPr="004232E0">
        <w:t>he qualitative study cannot quantify</w:t>
      </w:r>
      <w:r w:rsidR="004232E0">
        <w:t xml:space="preserve"> </w:t>
      </w:r>
      <w:r>
        <w:t xml:space="preserve">the causal effect of consultation mode, and the observational analysis by Vestesson et al. (2023) will have the potential for residual confounding due to the fact that patients selected for the remote consultation and face-to-face assessment may differ. Despite this, there is still consensus on the designs, which helps validate the link between consultation mode and the prescribing of adults. </w:t>
      </w:r>
      <w:r w:rsidR="00527F8A" w:rsidRPr="00527F8A">
        <w:t xml:space="preserve"> </w:t>
      </w:r>
    </w:p>
    <w:p w14:paraId="5A134C4A" w14:textId="77777777" w:rsidR="00527F8A" w:rsidRPr="00527F8A" w:rsidRDefault="00527F8A" w:rsidP="00BA0FEA">
      <w:pPr>
        <w:pStyle w:val="Heading3"/>
      </w:pPr>
      <w:bookmarkStart w:id="60" w:name="_Toc240921679"/>
      <w:r w:rsidRPr="00527F8A">
        <w:t>4.4.2 Workflow, Communication and Clinician Behaviour</w:t>
      </w:r>
      <w:bookmarkEnd w:id="60"/>
    </w:p>
    <w:p w14:paraId="55F4A1E6" w14:textId="75706E32" w:rsidR="00555B2F" w:rsidRDefault="00555B2F" w:rsidP="00555B2F">
      <w:r>
        <w:t xml:space="preserve">Recurrently across qualitative and mixed-method evidence, implementation barriers were present. Borek et al. (2021a) concluded that delayed prescribing and CRP testing were both seen as being compatible with professional roles and experience and consultation routines. Strategies might help guide discussions with </w:t>
      </w:r>
      <w:r w:rsidR="004232E0" w:rsidRPr="004232E0">
        <w:t>patients who are expecting antibiotics</w:t>
      </w:r>
      <w:r>
        <w:t>, but when should these be used, and should practical resources be routinely used to do so? In a similar study, Hounkpatin et al. (2021) reported that prediction rules were less likely to be used when they disrupted the consultation process, did not capture the complexity of the patient or were hard to apply remotely.</w:t>
      </w:r>
    </w:p>
    <w:p w14:paraId="24F3D238" w14:textId="705C05E8" w:rsidR="00555B2F" w:rsidRDefault="00555B2F" w:rsidP="00555B2F">
      <w:r>
        <w:t xml:space="preserve">Dixon et al. (2022) showed the real-world implications of these obstacles. The uptake of CRP machines was very unevenly distributed, with one site taking 217 of 248 tests, although there </w:t>
      </w:r>
      <w:r>
        <w:lastRenderedPageBreak/>
        <w:t xml:space="preserve">were three out-of-hours sites. Training of the fluctuating staff and operating the equipment were the implementation issues described by the clinicians. Rutter et al. (2024) also found practical issues in relation to collection of finger-prick blood samples and communicating or interpreting FebriDx results. In all of these studies, </w:t>
      </w:r>
      <w:r w:rsidR="00E73521" w:rsidRPr="00E73521">
        <w:t>availability did not ensure consistent use</w:t>
      </w:r>
      <w:r>
        <w:t>.</w:t>
      </w:r>
    </w:p>
    <w:p w14:paraId="53C68ED8" w14:textId="290B90CE" w:rsidR="00527F8A" w:rsidRPr="00527F8A" w:rsidRDefault="00555B2F" w:rsidP="00555B2F">
      <w:r>
        <w:t xml:space="preserve">Communication was also mentioned frequently as a component of stewardship and not a stand-alone. Borek et al. (2021a) discovered that professionals negotiated treatment decisions using the CRP results and delayed prescribing. Hounkpatin et al. (2021) defined prediction rules as a way of supporting the patient-clinician discussion, whilst </w:t>
      </w:r>
      <w:r w:rsidR="00E73521" w:rsidRPr="00E73521">
        <w:t>Rutter et al. (2024) suggested</w:t>
      </w:r>
      <w:r>
        <w:t xml:space="preserve"> that point of care testing may aid in shared decision-making. They are consistent, indicating that there is some relationship to the implementation of a strategy that aids the explanation of uncertainty and of a non-antibiotic plan.</w:t>
      </w:r>
    </w:p>
    <w:p w14:paraId="0362DC53" w14:textId="77777777" w:rsidR="00527F8A" w:rsidRPr="00527F8A" w:rsidRDefault="00527F8A" w:rsidP="00BA0FEA">
      <w:pPr>
        <w:pStyle w:val="Heading3"/>
      </w:pPr>
      <w:bookmarkStart w:id="61" w:name="_Toc240921680"/>
      <w:r w:rsidRPr="00527F8A">
        <w:t>4.4.3 Pandemic and System-Level Prescribing Changes</w:t>
      </w:r>
      <w:bookmarkEnd w:id="61"/>
    </w:p>
    <w:p w14:paraId="48D97CAD" w14:textId="77777777" w:rsidR="00555B2F" w:rsidRDefault="00555B2F" w:rsidP="00555B2F">
      <w:r>
        <w:t xml:space="preserve">Zhong et al. (2023) analysed over 32 million antibiotic prescriptions at the system level from around 2,530 English practices from 2019 to 2021. In total, 8.7% of prescriptions were broad-spectrum. There was a higher likelihood of broad-spectrum prescribing during the immediate pandemic period (OR 1.37, 95% CI 1.36–1.38) with a gradual monthly decrease in this likelihood as patterns returned to more pre-pandemic levels of 1.1–1.2%. The largest increase was observed for LRTI, with an OR of 2.33 (95% CI 2.10–2.50). This trend was seen in all demographic and regional subgroups. </w:t>
      </w:r>
    </w:p>
    <w:p w14:paraId="76193574" w14:textId="61BD1272" w:rsidR="00527F8A" w:rsidRPr="00527F8A" w:rsidRDefault="00555B2F" w:rsidP="00555B2F">
      <w:pPr>
        <w:rPr>
          <w:color w:val="FF0000"/>
        </w:rPr>
      </w:pPr>
      <w:r>
        <w:t xml:space="preserve">At the same time, Borek et al. (2021b) provide a context. GPs reported remote consultations, presentation changes, workload changes, and a decrease in the time they spend on routine stewardship activity. The qualitative story is consistent with the finding from a population-level study by Zhong et al. (2023) of an abrupt change in prescribing followed by a slow recovery. Both studies, however, cannot isolate one mechanism responsible for the change, as COVID-19 at the same time changed respiratory epidemiology, access to healthcare, consultation behaviour and clinical uncertainty. The </w:t>
      </w:r>
      <w:r w:rsidR="00E73521" w:rsidRPr="00E73521">
        <w:t>clinician accounts and national data</w:t>
      </w:r>
      <w:r w:rsidR="00E73521">
        <w:t xml:space="preserve"> </w:t>
      </w:r>
      <w:r>
        <w:t xml:space="preserve">show there was sensitivity to significant service disruption </w:t>
      </w:r>
      <w:r w:rsidR="00C667EB" w:rsidRPr="00C667EB">
        <w:t>in antimicrobial stewardship practice</w:t>
      </w:r>
      <w:r>
        <w:t>.</w:t>
      </w:r>
    </w:p>
    <w:p w14:paraId="40249110" w14:textId="77777777" w:rsidR="00527F8A" w:rsidRPr="00527F8A" w:rsidRDefault="00527F8A" w:rsidP="00BA0FEA">
      <w:pPr>
        <w:pStyle w:val="Heading3"/>
      </w:pPr>
      <w:bookmarkStart w:id="62" w:name="_Toc240921681"/>
      <w:r w:rsidRPr="00527F8A">
        <w:t>4.4.4 Risk-Based Prescribing and Stewardship</w:t>
      </w:r>
      <w:bookmarkEnd w:id="62"/>
    </w:p>
    <w:p w14:paraId="301A1E3E" w14:textId="4F33081B" w:rsidR="00B96EB1" w:rsidRDefault="00B96EB1" w:rsidP="00B96EB1">
      <w:r>
        <w:t xml:space="preserve">Fahmi et al. (2025) looked at the </w:t>
      </w:r>
      <w:r w:rsidR="00C667EB" w:rsidRPr="00C667EB">
        <w:t>alignment of antibiotic prescribing with prognosis</w:t>
      </w:r>
      <w:r>
        <w:t xml:space="preserve"> in over 15.7 million diagnoses of common infections in adults for primary care in England from 2019 to 2023. Overall, </w:t>
      </w:r>
      <w:r w:rsidR="00085A9D" w:rsidRPr="00085A9D">
        <w:t>66.34% of infection diagnoses received antibiotics</w:t>
      </w:r>
      <w:r>
        <w:t xml:space="preserve">, and 2.86% of infections were hospitalised. There was a large gradient of hospital admission risk between low- and high-risk </w:t>
      </w:r>
      <w:r>
        <w:lastRenderedPageBreak/>
        <w:t xml:space="preserve">groups, with a risk gradient of approximately 25-fold for URTI, but the </w:t>
      </w:r>
      <w:r w:rsidR="00085A9D" w:rsidRPr="00085A9D">
        <w:t>antibiotic prescribing for LRTI was unrelated to hospital-admission risk</w:t>
      </w:r>
      <w:r>
        <w:t xml:space="preserve">, and the </w:t>
      </w:r>
      <w:r w:rsidR="00085A9D" w:rsidRPr="00085A9D">
        <w:t>antibiotic prescribing for URTI was only weakly related to hospital-admission risk</w:t>
      </w:r>
      <w:r>
        <w:t xml:space="preserve">. </w:t>
      </w:r>
      <w:r w:rsidR="00927403" w:rsidRPr="00927403">
        <w:t>The pandemic further weakened</w:t>
      </w:r>
      <w:r>
        <w:t xml:space="preserve"> risk-based targeting either. Overall prescribing volume was thus not an indicator of the effectiveness of targeting treatment to patients at higher risk. </w:t>
      </w:r>
    </w:p>
    <w:p w14:paraId="750701F8" w14:textId="10AC4B91" w:rsidR="00B96EB1" w:rsidRDefault="00B96EB1" w:rsidP="00B96EB1">
      <w:r>
        <w:t xml:space="preserve">This is supported by Stimson et al. (2024), who found that there was no higher risk for hospitalisation with low prescribing; there was a greater risk of reconsultation. It does not prove that all decisions to use less were appropriate, but it does indicate that a reduction in the </w:t>
      </w:r>
      <w:r w:rsidR="00927403" w:rsidRPr="00927403">
        <w:t>overall antibiotic use</w:t>
      </w:r>
      <w:r w:rsidR="00927403">
        <w:t xml:space="preserve"> </w:t>
      </w:r>
      <w:r>
        <w:t xml:space="preserve">could be achieved without any significant increase in the number of serious harms at the population level. The risk-targeting approach of </w:t>
      </w:r>
      <w:r w:rsidR="00882AAB" w:rsidRPr="00882AAB">
        <w:t>Fahmi et al. (2025)</w:t>
      </w:r>
      <w:r w:rsidR="00882AAB">
        <w:t xml:space="preserve"> </w:t>
      </w:r>
      <w:r>
        <w:t>is therefore relevant and important to differentiate between reducing prescriptions and optimising the use of antibiotics in clinical settings.</w:t>
      </w:r>
    </w:p>
    <w:p w14:paraId="28E371F1" w14:textId="77777777" w:rsidR="00B96EB1" w:rsidRDefault="00B96EB1" w:rsidP="00B96EB1">
      <w:r>
        <w:t xml:space="preserve">Miller et al. (2025) also demonstrated the possibility of a contribution of burden of viral disease to antibiotic exposure. Data from CPRD prescribing and national respiratory surveillance from 2015 to 2018 were used to analyse 27,969,054 antibiotic prescriptions from 17,505,438 registered patients. It is estimated that around 640,000 (2.1% of all GP antibiotic prescriptions) of these prescriptions were due to RSV. The largest annual quantity (estimated at 149,078 prescriptions, 95% credible interval 93,733–206,045) was among adults aged 75 years and over. The ecological design does not capture individual causation or inappropriateness, but demonstrates that viral circulation can happen with a significant amount of antibiotic use. </w:t>
      </w:r>
    </w:p>
    <w:p w14:paraId="362CF9C2" w14:textId="3897054A" w:rsidR="00527F8A" w:rsidRPr="00527F8A" w:rsidRDefault="00B96EB1" w:rsidP="00B96EB1">
      <w:r>
        <w:t>In the three articles Fahmi et al. (2025), Stimson et al. (2024), and Miller et al. (2025) the stewardship seemed to rely not just on volume, but on targeting. There was no evidence of higher hospitalisation in practices with lower prescribing, but antibiotics were not entirely focused on the highest risk patients, and there was a strong association between viral respiratory activity and high antibiotic use rates, especially among older people.</w:t>
      </w:r>
    </w:p>
    <w:p w14:paraId="76764E95" w14:textId="77777777" w:rsidR="00527F8A" w:rsidRPr="00527F8A" w:rsidRDefault="00527F8A" w:rsidP="00BA0FEA">
      <w:pPr>
        <w:pStyle w:val="Heading2"/>
      </w:pPr>
      <w:bookmarkStart w:id="63" w:name="_Toc240921682"/>
      <w:r w:rsidRPr="00527F8A">
        <w:t>4.5 Chapter Summary</w:t>
      </w:r>
      <w:bookmarkEnd w:id="63"/>
    </w:p>
    <w:p w14:paraId="33B1926E" w14:textId="7F2D51B2" w:rsidR="00527F8A" w:rsidRPr="00527F8A" w:rsidRDefault="00B96EB1" w:rsidP="00527F8A">
      <w:r w:rsidRPr="00B96EB1">
        <w:t xml:space="preserve">Three interrelated patterns emerged from the findings in the 16 included studies. First, the use of clinical prediction rules and point-of-care tests helped with diagnostic reasoning, to reassure patients, and to communicate, but did not always reduce antibiotic prescribing. Second, management evidence indicated that there was a need to examine the impact of delayed prescribing, the length of treatment and the </w:t>
      </w:r>
      <w:r w:rsidR="00480EC7" w:rsidRPr="00480EC7">
        <w:t>repeat prescribing</w:t>
      </w:r>
      <w:r w:rsidRPr="00B96EB1">
        <w:t xml:space="preserve"> and symptom-driven management versus antibiotic exposure and patient outcomes. In the large observational </w:t>
      </w:r>
      <w:r w:rsidRPr="00B96EB1">
        <w:lastRenderedPageBreak/>
        <w:t xml:space="preserve">analysis, shorter courses did not appear to be less effective than longer courses, repeat prescribing was a large additional exposure and randomised symptom-management interventions were associated with lower antibiotic use. Findings from safety evidence showed that reduced prescriptions were not consistently linked to greater hospitalisation rates, while results of the reconsultation and delayed treatment evidence suggested that patient risk still remained significant. </w:t>
      </w:r>
      <w:r w:rsidR="008469C1" w:rsidRPr="008469C1">
        <w:t>Objective 3 was not evaluated explicitly, as none of the 16 studies that were included had a clinical guideline that currently exists in the UK and was explicitly evaluated as an intervention. The results, therefore, do not show that the antibiotics guidelines themselves influenced antibiotic prescribing, but rather identify factors that might facilitate or impede antibiotic prescribing in line with the guidelines.</w:t>
      </w:r>
    </w:p>
    <w:p w14:paraId="4DE6690C" w14:textId="77777777" w:rsidR="00527F8A" w:rsidRDefault="00527F8A">
      <w:pPr>
        <w:spacing w:after="200" w:line="276" w:lineRule="auto"/>
        <w:jc w:val="left"/>
        <w:rPr>
          <w:b/>
          <w:bCs/>
        </w:rPr>
      </w:pPr>
      <w:r>
        <w:rPr>
          <w:b/>
          <w:bCs/>
        </w:rPr>
        <w:br w:type="page"/>
      </w:r>
    </w:p>
    <w:p w14:paraId="3E4B59CE" w14:textId="66C926E7" w:rsidR="00527F8A" w:rsidRPr="00527F8A" w:rsidRDefault="00527F8A" w:rsidP="00BA0FEA">
      <w:pPr>
        <w:pStyle w:val="Heading1"/>
      </w:pPr>
      <w:bookmarkStart w:id="64" w:name="_Toc240921683"/>
      <w:r w:rsidRPr="00527F8A">
        <w:lastRenderedPageBreak/>
        <w:t>Chapter 5: Discussion</w:t>
      </w:r>
      <w:bookmarkEnd w:id="64"/>
    </w:p>
    <w:p w14:paraId="6BC1177D" w14:textId="77777777" w:rsidR="00527F8A" w:rsidRPr="00527F8A" w:rsidRDefault="00527F8A" w:rsidP="00BA0FEA">
      <w:pPr>
        <w:pStyle w:val="Heading2"/>
      </w:pPr>
      <w:bookmarkStart w:id="65" w:name="_Toc240921684"/>
      <w:r w:rsidRPr="00527F8A">
        <w:t>5.1 Introduction</w:t>
      </w:r>
      <w:bookmarkEnd w:id="65"/>
    </w:p>
    <w:p w14:paraId="69AF0693" w14:textId="30BB7D46" w:rsidR="00527F8A" w:rsidRPr="00527F8A" w:rsidRDefault="00884F2C" w:rsidP="00527F8A">
      <w:r w:rsidRPr="00884F2C">
        <w:t xml:space="preserve">The results from the systematic literature review are explained in terms of the research question and research objectives in this chapter. The discussion explores the implications of the three themes for diagnosis, management and antimicrobial stewardship for ARTIs in adults in primary and community care in the UK. Results are compared to the evidence in Chapter 2, and the implementation is explained using </w:t>
      </w:r>
      <w:r w:rsidR="00480EC7" w:rsidRPr="00480EC7">
        <w:t>the COM-B model and diagnostic stewardship framework</w:t>
      </w:r>
      <w:r w:rsidRPr="00884F2C">
        <w:t>. The quality of evidence and implications for practice, policy and research are also taken into account.</w:t>
      </w:r>
    </w:p>
    <w:p w14:paraId="7A9C3274" w14:textId="77777777" w:rsidR="00527F8A" w:rsidRPr="00527F8A" w:rsidRDefault="00527F8A" w:rsidP="00BA0FEA">
      <w:pPr>
        <w:pStyle w:val="Heading2"/>
      </w:pPr>
      <w:bookmarkStart w:id="66" w:name="_Toc240921685"/>
      <w:r w:rsidRPr="00527F8A">
        <w:t>5.2 Discussion of Theme 1: Diagnostic Uncertainty and Decision-Support Strategies</w:t>
      </w:r>
      <w:bookmarkEnd w:id="66"/>
    </w:p>
    <w:p w14:paraId="1E4C849B" w14:textId="77777777" w:rsidR="00884F2C" w:rsidRDefault="00884F2C" w:rsidP="00884F2C">
      <w:r>
        <w:t>The first theme demonstrated that prediction rules and point-of-care tests were seen as tools for reasoning and communicating but were not seen as necessarily decreasing prescribing. Hounkpatin et al. (2021) and Seeley et al. (2021) proposed that clinical prediction rules be used in addition to judgement, not in place of it. In the same vein, Dixon et al. (2022), Rutter et al. (2024) and Borek et al. (2021a) found that using tests for reassurance and explanation was valued by clinicians, and Hay et al. (2026) reported no overall decrease in the use of same-day prescribing despite microbiological testing.</w:t>
      </w:r>
    </w:p>
    <w:p w14:paraId="7887E813" w14:textId="269D1E7A" w:rsidR="00884F2C" w:rsidRDefault="00884F2C" w:rsidP="00884F2C">
      <w:r>
        <w:t xml:space="preserve">This is consistent with Chapter 2, where </w:t>
      </w:r>
      <w:r w:rsidR="00577111" w:rsidRPr="00577111">
        <w:t>van der Velden et al. (2022) show</w:t>
      </w:r>
      <w:r w:rsidR="00577111">
        <w:t xml:space="preserve"> </w:t>
      </w:r>
      <w:r>
        <w:t xml:space="preserve">significant differences between countries for point of care testing, prescription and clinician confidence, and </w:t>
      </w:r>
      <w:r w:rsidR="00577111" w:rsidRPr="00577111">
        <w:t>van Hecke et al. (2023) suggest</w:t>
      </w:r>
      <w:r w:rsidR="00577111">
        <w:t xml:space="preserve"> </w:t>
      </w:r>
      <w:r>
        <w:t xml:space="preserve">that interpretation of CRP should be used in conjunction with clinical assessment and safety-netting instead of </w:t>
      </w:r>
      <w:r w:rsidR="00FF4979" w:rsidRPr="00FF4979">
        <w:t>standalone use. Factors</w:t>
      </w:r>
      <w:r w:rsidR="00FF4979">
        <w:t xml:space="preserve"> </w:t>
      </w:r>
      <w:r>
        <w:t xml:space="preserve">influencing implementation were identified by Hoste et al. (2023) as perceived accuracy, consultation time, funding and accountability. </w:t>
      </w:r>
      <w:r w:rsidR="00FF4979" w:rsidRPr="00FF4979">
        <w:t>NICE (2023b, 2023c)</w:t>
      </w:r>
      <w:r>
        <w:t xml:space="preserve"> also asked these separately, with diagnostic accuracy being a distinct question from clinical effectiveness, because an accurate test does not necessarily count as an effective stewardship intervention. </w:t>
      </w:r>
    </w:p>
    <w:p w14:paraId="2D57371D" w14:textId="3C8B3791" w:rsidR="00527F8A" w:rsidRDefault="00884F2C" w:rsidP="00884F2C">
      <w:r>
        <w:t xml:space="preserve">The pathway is not just “test then prescribe” from a diagnostic-stewardship point of view. Prior to diagnostic information influencing management, patient selection, result interpretation, severity assessment, communication and follow-up are required. The Hay et al. (2026) virus-positive subgroup shows this: When the information directly lowered uncertainty, it was more influential. Diagnostic tools should then be used in tandem with assessment and facilitated by </w:t>
      </w:r>
      <w:r>
        <w:lastRenderedPageBreak/>
        <w:t xml:space="preserve">training, workflow and clear response pathways. Chapter 2 also placed diagnostic stewardship in the context of a pathway between information and clinical action, and did not equate accuracy of the test with effectiveness. </w:t>
      </w:r>
    </w:p>
    <w:p w14:paraId="745A980F" w14:textId="52887421" w:rsidR="007F6EC1" w:rsidRPr="00527F8A" w:rsidRDefault="007F6EC1" w:rsidP="00884F2C">
      <w:r w:rsidRPr="007F6EC1">
        <w:t>The evidence for diagnosis</w:t>
      </w:r>
      <w:r w:rsidRPr="00897427">
        <w:t xml:space="preserve"> also indicates that the utility of a decision support instrument will vary depending on the level of uncertainty the clinician has that can be reduced by using the instrument and that impacts the management plan. The use of prediction rules was found to support rather than replace clinician judgement (Hounkpatin et al., 2021), and even where CRP testing was available there was low uptake, which meant it did not have a measurable impact on antibiotic prescribing (Dixon et al., 2022). This distinction is reinforced by the overall trial, which did not show any reductions in the same day of antibiotic prescribing, but which did show a more pronounced impact among participants who had a detected virus, as in Hay et al. (2026). This means that diagnostic information can be most useful when it comes up with a result that the clinician believes is actionable and clear. The implication is that implementation should not only be considered on the basis of the availability of a test or the accuracy of the test. Its role in stewardship also relies on its interpretation, how it can be conveyed to patients with confidence and if it is left ambiguous, and the pathway for reassessment if there is any doubt. This is especially relevant when the clinician has to select between reassurance and further investigation and/or urgent treatment where there is uncertainty.</w:t>
      </w:r>
    </w:p>
    <w:p w14:paraId="05EA19BF" w14:textId="77777777" w:rsidR="00527F8A" w:rsidRPr="00527F8A" w:rsidRDefault="00527F8A" w:rsidP="00BA0FEA">
      <w:pPr>
        <w:pStyle w:val="Heading2"/>
      </w:pPr>
      <w:bookmarkStart w:id="67" w:name="_Toc240921686"/>
      <w:r w:rsidRPr="00527F8A">
        <w:t>5.3 Discussion of Theme 2: Management Strategies, Antibiotic Use and Patient Outcomes</w:t>
      </w:r>
      <w:bookmarkEnd w:id="67"/>
    </w:p>
    <w:p w14:paraId="6FBA7BEA" w14:textId="6FCEAEF6" w:rsidR="00984844" w:rsidRDefault="00984844" w:rsidP="00984844">
      <w:r>
        <w:t xml:space="preserve">The second theme underscores that stewardship should not be limited to avoiding prescriptions, with van Staa et al. (2021) </w:t>
      </w:r>
      <w:r w:rsidR="00846852" w:rsidRPr="00846852">
        <w:t>raising concerns about increased hospitalisation risk</w:t>
      </w:r>
      <w:r>
        <w:t xml:space="preserve"> in certain patient groups </w:t>
      </w:r>
      <w:r w:rsidR="00846852" w:rsidRPr="00846852">
        <w:t>with delayed prescribing</w:t>
      </w:r>
      <w:r w:rsidR="00846852">
        <w:t xml:space="preserve"> </w:t>
      </w:r>
      <w:r>
        <w:t>and Stimson et al. (2024) finding no such increased hospitalisation rates. The additional benefits of extended courses of antibiotics were not found in Palin et al. (2021); a high proportion of repeat prescriptions were identified in Lalmohamed et al. (2024); and the benefits of active management of symptoms on reducing antibiotic use and on some illness outcomes were identified in Little et al. (2024).</w:t>
      </w:r>
    </w:p>
    <w:p w14:paraId="6030A22A" w14:textId="0577206C" w:rsidR="00984844" w:rsidRDefault="00984844" w:rsidP="00984844">
      <w:r>
        <w:t xml:space="preserve">This more tempered view is corroborated by the broader literature. According to McLeod et al. (2024), delayed prescriptions are not just about not prescribing; they are a way of dealing with uncertainty and a contingency plan. Friedemann Smith et al. (2022) noted the importance of providing clear information on the expected course of illness, warning signs and pathways to reconsultation in safety-netting. </w:t>
      </w:r>
      <w:r w:rsidR="00A87D3E" w:rsidRPr="00A87D3E">
        <w:t>NICE (2023a)</w:t>
      </w:r>
      <w:r>
        <w:t xml:space="preserve"> guidance also considers severity, comorbidity, </w:t>
      </w:r>
      <w:r>
        <w:lastRenderedPageBreak/>
        <w:t xml:space="preserve">frailty and ability to reconsult as part of the adult ARI assessment. Delayed prescribing is, therefore, most justifiable if it can be targeted appropriately and followed up with explicit advice. </w:t>
      </w:r>
    </w:p>
    <w:p w14:paraId="44C9FD4C" w14:textId="5D9197B0" w:rsidR="00984844" w:rsidRDefault="00984844" w:rsidP="00984844">
      <w:r>
        <w:t xml:space="preserve">The entire exposure to antibiotics should be considered in stewardship. Despite good initial prescribing rates, course length and repeat prescriptions can make for high exposure. Meanwhile, Little et al. (2024) show the significance of providing patients with a realistic alternative treatment strategy. </w:t>
      </w:r>
      <w:r w:rsidR="00A87D3E" w:rsidRPr="00A87D3E">
        <w:t>Practice should combine</w:t>
      </w:r>
      <w:r>
        <w:t xml:space="preserve"> risk assessment, the shortest course of treatment, review of repeat prescriptions, symptom management and safety netting. Volume-based measures may fail to capture whether </w:t>
      </w:r>
      <w:r w:rsidR="00A87D3E" w:rsidRPr="00A87D3E">
        <w:t>antibiotics are appropriately targeted to high-risk patients</w:t>
      </w:r>
      <w:r>
        <w:t xml:space="preserve"> and whether outcomes are acceptable</w:t>
      </w:r>
      <w:r w:rsidR="001511AE">
        <w:t xml:space="preserve"> </w:t>
      </w:r>
      <w:r w:rsidR="001511AE" w:rsidRPr="001511AE">
        <w:t>(Smith et al., 2018; Palin et al., 2019; Bou-Antoun et al., 2018)</w:t>
      </w:r>
      <w:r>
        <w:t>.</w:t>
      </w:r>
    </w:p>
    <w:p w14:paraId="39F53516" w14:textId="0DB0CEB8" w:rsidR="002F477C" w:rsidRDefault="002F477C" w:rsidP="00984844">
      <w:r w:rsidRPr="002F477C">
        <w:t xml:space="preserve">This is also seen in the management evidence, with a higher adjusted admission risk for patients prescribed delayed as opposed to immediate antibiotics (van Staa et al., 2021); and for practices with lower prescribing as a whole, no higher risk of hospitalisation (Stimson et al., 2024). Results cannot be considered directly contradictory as they are different levels of analysis and different exposures to the prescription. The first looks at the intra-individual timing of antibiotic use, and the second at the intensity of antibiotic prescribing at the practice level. This is relevant as it is possible that there are clinically meaningful differences between the lower-risk and higher-risk adult populations, but these differences may have been masked by a stewardship policy focused on reducing the amount of medicines that adults are prescribed. Lalmohamed et al. (2024) also reveal that repeated prescriptions may account for a significant proportion of exposure, and </w:t>
      </w:r>
      <w:r w:rsidR="00CE7B81" w:rsidRPr="00CE7B81">
        <w:t>Little et al. (2024) show that</w:t>
      </w:r>
      <w:r w:rsidRPr="002F477C">
        <w:t xml:space="preserve"> a plausible alternative to the antibiotic, for managing a symptom, can decrease antibiotic consumption. The evidence suggests a more selective approach to antibiotics, which takes into account antibiotic avoidance, timing, duration, repeat exposure and patient safety.</w:t>
      </w:r>
    </w:p>
    <w:p w14:paraId="46593243" w14:textId="233B7F31" w:rsidR="00966952" w:rsidRDefault="00966952" w:rsidP="00984844"/>
    <w:p w14:paraId="40289ADC" w14:textId="77777777" w:rsidR="00527F8A" w:rsidRPr="00527F8A" w:rsidRDefault="00527F8A" w:rsidP="00BA0FEA">
      <w:pPr>
        <w:pStyle w:val="Heading2"/>
      </w:pPr>
      <w:bookmarkStart w:id="68" w:name="_Toc240921687"/>
      <w:r w:rsidRPr="00527F8A">
        <w:t>5.4 Discussion of Theme 3: Prescribing Behaviour and Implementation of Antimicrobial Stewardship</w:t>
      </w:r>
      <w:bookmarkEnd w:id="68"/>
    </w:p>
    <w:p w14:paraId="70C9C9C1" w14:textId="64D4AF74" w:rsidR="00527F8A" w:rsidRPr="00527F8A" w:rsidRDefault="00984844" w:rsidP="00527F8A">
      <w:r>
        <w:t>In the third theme, prescribing is demonstrated to be influenced by service organisation as well as clinical evidence. Vestesson et al. (2023</w:t>
      </w:r>
      <w:r w:rsidR="002E6188">
        <w:t xml:space="preserve">) </w:t>
      </w:r>
      <w:r w:rsidR="002E6188" w:rsidRPr="002E6188">
        <w:t>linked remote adult consultations with higher antibiotic prescribing</w:t>
      </w:r>
      <w:r>
        <w:t xml:space="preserve">, and Borek et al. (2021b) characterised the lower access to examination, workload and uncertainty as a driver of antibiotic prescribing thresholds early in the pandemic. Zhong et al. (2023) demonstrated a parallel change at the population level to broad-spectrum </w:t>
      </w:r>
      <w:r>
        <w:lastRenderedPageBreak/>
        <w:t>antibiotics. Additionally, Fahmi et al. (2025) showed that prescribing was not always related to predicted risk, meaning that there was a distinction between reducing overall prescribing and prescribing quality.</w:t>
      </w:r>
    </w:p>
    <w:p w14:paraId="1C42025A" w14:textId="1EC8D59F" w:rsidR="00573292" w:rsidRDefault="00130041" w:rsidP="00573292">
      <w:r w:rsidRPr="00130041">
        <w:t>The results as a group indicate that capability, opportunity and motivation are not distinct. Insufficient consultation time, limited access to diagnostic testing, or the fact that the patient can't be seen in person can contribute to diagnostic uncertainty. This could then affect motivation, leading to either an increased concern for missing deterioration or an increased willingness to prescribe precautions. Meanwhile, tests that are performed could be analysed or explained to a patient in a clinical context, but not in an organisational context, leading to a lack of stewardship behaviours. COM-B therefore offers a helpful understanding of how implementation fails when combined with professional competence and service conditions (and behavioural pressures). It is important to note that the accuracy of the diagnosis is not fully explained by COM-B, and that other factors, including patient risk and significant external factors such as COVID-19, are not included; hence, this is best used with the diagnostic-stewardship pathway outlined in this review.</w:t>
      </w:r>
      <w:r w:rsidR="00573292">
        <w:t xml:space="preserve"> </w:t>
      </w:r>
    </w:p>
    <w:p w14:paraId="2D444F62" w14:textId="589EDFB9" w:rsidR="00527F8A" w:rsidRDefault="00573292" w:rsidP="00573292">
      <w:r>
        <w:t>This is consistent with the policy context. Access to diagnostics and professional capability are highlighted in the antimicrobial-resistance action plan in the UK (</w:t>
      </w:r>
      <w:r w:rsidR="00EE436B">
        <w:t>Department of Health and Social Care</w:t>
      </w:r>
      <w:r>
        <w:t xml:space="preserve">, 2024). </w:t>
      </w:r>
      <w:r w:rsidR="002E6188" w:rsidRPr="002E6188">
        <w:t>These goals require appropriate implementation and guidance</w:t>
      </w:r>
      <w:r>
        <w:t xml:space="preserve">. There should be clear escalation pathways, accessible workflows for diagnostic tools, and patient risk should be factored into prescribing feedback, </w:t>
      </w:r>
      <w:r w:rsidR="000D6759" w:rsidRPr="000D6759">
        <w:t>rather than indiscriminate reduction</w:t>
      </w:r>
      <w:r>
        <w:t xml:space="preserve">. As responsibility for ARTI management grows, there is a need for consistent assessment, communication and safety-netting </w:t>
      </w:r>
      <w:r w:rsidR="000D6759" w:rsidRPr="000D6759">
        <w:t>across pharmacy and other community pathways</w:t>
      </w:r>
      <w:r w:rsidR="001D1C1E">
        <w:t xml:space="preserve"> </w:t>
      </w:r>
      <w:r w:rsidR="001D1C1E" w:rsidRPr="001D1C1E">
        <w:t>(Mantzourani et al., 2019; Mantzourani et al., 2020; Mantzourani et al., 2021)</w:t>
      </w:r>
      <w:r>
        <w:t>. These service and policy considerations are already identified in chapter 2, such as changes in the pathways of remote care and community pharmacy</w:t>
      </w:r>
      <w:r w:rsidR="001D1C1E">
        <w:t xml:space="preserve"> </w:t>
      </w:r>
      <w:r w:rsidR="001D1C1E" w:rsidRPr="001D1C1E">
        <w:t>(Mantzourani et al., 2023; Mantzourani et al., 2025; Matuluko et al., 2025)</w:t>
      </w:r>
      <w:r>
        <w:t xml:space="preserve">. </w:t>
      </w:r>
      <w:r w:rsidR="00527F8A" w:rsidRPr="00527F8A">
        <w:t xml:space="preserve"> </w:t>
      </w:r>
    </w:p>
    <w:p w14:paraId="5307C596" w14:textId="68BB4B22" w:rsidR="00BD285C" w:rsidRPr="00527F8A" w:rsidRDefault="00BD285C" w:rsidP="00573292">
      <w:r w:rsidRPr="00BD285C">
        <w:t xml:space="preserve">The finding of implementation also reiterates that national guidance alone can have an influence on practice only if the services are able to put it into practice. The COM-B interpretation is helpful because the studies included identify barriers to the COM-B components. Capability can be limited if there is uncertainty about the interpretation of tests or risk assessments; opportunity may be limited by time, equipment, staffing or inability to examine the patient face to face; and motivation can be impacted by fear of deterioration, patient expectations and confidence in non-antibiotic management. However, as Borek et al. (2021b) and Vestesson et al. (2023) show, </w:t>
      </w:r>
      <w:r w:rsidRPr="00BD285C">
        <w:lastRenderedPageBreak/>
        <w:t>these conditions can be changed by altering the way that a consultation takes place, and Whitehorne et al. (2026) highlight stewardship's behavioural and organisational aspects. Implementing policy should not only involve communicating prescribing guidance but also providing resources, feedback, diagnostic support and escalation plans for clinicians to use safely and consistently between primary care and the community</w:t>
      </w:r>
      <w:r w:rsidR="004D5A54">
        <w:t xml:space="preserve"> </w:t>
      </w:r>
      <w:r w:rsidR="004D5A54" w:rsidRPr="004D5A54">
        <w:t>(Bradley et al., 2019; Parekh et al., 2023; Pouwels et al., 2018b)</w:t>
      </w:r>
      <w:r w:rsidRPr="00BD285C">
        <w:t>.</w:t>
      </w:r>
    </w:p>
    <w:p w14:paraId="30A6365F" w14:textId="77777777" w:rsidR="00527F8A" w:rsidRPr="00527F8A" w:rsidRDefault="00527F8A" w:rsidP="00BA0FEA">
      <w:pPr>
        <w:pStyle w:val="Heading2"/>
      </w:pPr>
      <w:bookmarkStart w:id="69" w:name="_Toc240921688"/>
      <w:r w:rsidRPr="00527F8A">
        <w:t>5.5 Overall Strengths and Limitations of the Evidence</w:t>
      </w:r>
      <w:bookmarkEnd w:id="69"/>
    </w:p>
    <w:p w14:paraId="22B5BA68" w14:textId="542ECC5B" w:rsidR="00573292" w:rsidRDefault="00573292" w:rsidP="00573292">
      <w:r>
        <w:t xml:space="preserve">The diversity of methods </w:t>
      </w:r>
      <w:r w:rsidR="000D6759" w:rsidRPr="000D6759">
        <w:t>increases confidence</w:t>
      </w:r>
      <w:r>
        <w:t xml:space="preserve"> in the results of the review. Large national or CPRD-based studies gave </w:t>
      </w:r>
      <w:r w:rsidR="00CE3DEC" w:rsidRPr="00CE3DEC">
        <w:t>precise estimates</w:t>
      </w:r>
      <w:r w:rsidR="00CE3DEC">
        <w:t xml:space="preserve"> </w:t>
      </w:r>
      <w:r>
        <w:t xml:space="preserve">of prescriptions, hospitalisation rates and service use, and randomised trials gave more robust evidence of the effects of interventions. Qualitative studies were used to report mechanisms which could not be captured in routine datasets, such as uncertainty, expectations and workflow barriers. When designs converge, the confidence in various themes </w:t>
      </w:r>
      <w:r w:rsidR="00CE3DEC" w:rsidRPr="00CE3DEC">
        <w:t>is increased</w:t>
      </w:r>
      <w:r>
        <w:t>.</w:t>
      </w:r>
    </w:p>
    <w:p w14:paraId="2C00ED74" w14:textId="5B7F3033" w:rsidR="00527F8A" w:rsidRDefault="00573292" w:rsidP="00573292">
      <w:r>
        <w:t xml:space="preserve">But there was limited causal interpretation because observational evidence predominated when it came to questions regarding safety and the risks of remote care and prescribing. The practice-level and ecological analyses do not allow for conclusions on the appropriateness of individual prescribing decisions. Some qualitative evidence emerged from a geographically narrow sample and/or from self-report, and some came from unique circumstances related to COVID-19. The research also tended to be mainly English, which restricted conclusions to all UK nations. Direct pooling of interventions and outcomes was not possible due to heterogeneity. </w:t>
      </w:r>
      <w:r w:rsidR="00DA0355" w:rsidRPr="00DA0355">
        <w:t>These limitations support conclusions</w:t>
      </w:r>
      <w:r>
        <w:t xml:space="preserve"> that are conditional and dependent upon the risks involved, rather than one best practice. This is especially relevant as a number of the studies in the appendices used a more direct measure of prescribing behaviour than of appropriateness, thus raising doubts regarding the quality of specific prescriptions given.</w:t>
      </w:r>
    </w:p>
    <w:p w14:paraId="2B1A4911" w14:textId="647721E3" w:rsidR="00E714EC" w:rsidRDefault="00E714EC" w:rsidP="00573292">
      <w:r w:rsidRPr="00E714EC">
        <w:t xml:space="preserve">In addition to the limitations of the evidence used, there are limitations of methodology in this systematic review. Limiting the inclusion to English-language publications could have led to an English-language bias, and the eligibility criteria are specific to the UK, which could have restricted the transferability of results to the international context. A single reviewer screened, extracted, and critically appraised the data, which could lead to selection and/or interpretive error compared with independent duplicate review. Furthermore, the large differences across studies in the populations studied, interventions, exposures and outcomes prevented meta-analysis. </w:t>
      </w:r>
      <w:r w:rsidRPr="00E714EC">
        <w:lastRenderedPageBreak/>
        <w:t>Thus, the synthesis looks for commonalities and common trends and does not offer a single overall measure of effectiveness.</w:t>
      </w:r>
    </w:p>
    <w:p w14:paraId="68B33A8F" w14:textId="1674E543" w:rsidR="00E714EC" w:rsidRPr="00527F8A" w:rsidRDefault="00E714EC" w:rsidP="00573292">
      <w:r w:rsidRPr="00E714EC">
        <w:t xml:space="preserve">Overall, the review suggests that there is no consistent solution in terms of the diagnostic or management approach for all adults with ARTI. The use of clinical prediction rules and point-of-care tests seems to be most helpful in situations where there is meaningful diagnostic uncertainty, and not as a substitute for clinical judgement. When combined with symptom management, appropriate length of treatment, monitoring repeat exposure and clear safety-netting, management appears to be best. </w:t>
      </w:r>
      <w:r w:rsidR="00CE7B81" w:rsidRPr="00CE7B81">
        <w:t>These approaches may support stewardship</w:t>
      </w:r>
      <w:r w:rsidRPr="00E714EC">
        <w:t xml:space="preserve"> when services offer sufficient time, diagnostic access, communication and reassessment options. But there is still doubt about the role of high-risk adults, delayed prescribing, remote consultation and the direct impact of existing UK guidelines.</w:t>
      </w:r>
    </w:p>
    <w:p w14:paraId="3AA25162" w14:textId="77777777" w:rsidR="00527F8A" w:rsidRPr="00527F8A" w:rsidRDefault="00527F8A" w:rsidP="00BA0FEA">
      <w:pPr>
        <w:pStyle w:val="Heading2"/>
      </w:pPr>
      <w:bookmarkStart w:id="70" w:name="_Toc240921689"/>
      <w:r w:rsidRPr="00527F8A">
        <w:t>5.6 Implications for Practice, Policy and Future Research</w:t>
      </w:r>
      <w:bookmarkEnd w:id="70"/>
    </w:p>
    <w:p w14:paraId="7A7BEC3E" w14:textId="77C368EC" w:rsidR="00573292" w:rsidRDefault="00573292" w:rsidP="00573292">
      <w:r>
        <w:t>For adults, the stewardship of ARTIs should be a combination of assessment, selective diagnostics, symptom management, appropriate duration, and safety netting and review of repeat exposure</w:t>
      </w:r>
      <w:r w:rsidR="004D5A54">
        <w:t xml:space="preserve"> </w:t>
      </w:r>
      <w:r w:rsidR="004D5A54" w:rsidRPr="004D5A54">
        <w:t>(All Wales Therapeutics and Toxicology Centre, 2022; NICE, 2025)</w:t>
      </w:r>
      <w:r>
        <w:t>. When severity cannot be determined, there should be a low threshold for face-to-face review. Prescribing should be linked to diagnosis and risk and outcomes, not volume, in order to implement policy measures. Services also require time, training and infrastructure if they are to lead to diagnostic or behavioural interventions that can be expected to be effective on a regular basis.</w:t>
      </w:r>
    </w:p>
    <w:p w14:paraId="5917BA32" w14:textId="051DC1B1" w:rsidR="00527F8A" w:rsidRPr="00527F8A" w:rsidRDefault="00434472" w:rsidP="00573292">
      <w:r w:rsidRPr="00434472">
        <w:t xml:space="preserve">Future studies need to link diagnostic accuracy with adult outcomes, identify safe delayed-prescribing groups, and </w:t>
      </w:r>
      <w:r w:rsidR="00874752" w:rsidRPr="00874752">
        <w:t>evaluate post-pandemic remote and community-prescribing pathways</w:t>
      </w:r>
      <w:r w:rsidR="00573292">
        <w:t>. Also, there is a need for implementation and cost-effectiveness studies.</w:t>
      </w:r>
    </w:p>
    <w:p w14:paraId="7E4EF2C5" w14:textId="77777777" w:rsidR="00527F8A" w:rsidRPr="00527F8A" w:rsidRDefault="00527F8A" w:rsidP="00BA0FEA">
      <w:pPr>
        <w:pStyle w:val="Heading2"/>
      </w:pPr>
      <w:bookmarkStart w:id="71" w:name="_Toc240921690"/>
      <w:r w:rsidRPr="00527F8A">
        <w:t>5.7 Chapter Summary</w:t>
      </w:r>
      <w:bookmarkEnd w:id="71"/>
    </w:p>
    <w:p w14:paraId="594DA521" w14:textId="7B45409E" w:rsidR="00724351" w:rsidRDefault="00AF4311" w:rsidP="004217A5">
      <w:r w:rsidRPr="00AF4311">
        <w:t xml:space="preserve">A pathway is necessary, overall, for safe reduction of unnecessary antibiotics for adult ARTIs. Diagnostic tools can help to handle uncertainty, but they require interpretation and implementation to have an effect. Safety, symptom outcomes and reconsultation should be considered, </w:t>
      </w:r>
      <w:r w:rsidR="00D65AD3" w:rsidRPr="00D65AD3">
        <w:t>while avoiding excessive antibiotic exposure</w:t>
      </w:r>
      <w:r w:rsidR="00D65AD3">
        <w:t xml:space="preserve"> </w:t>
      </w:r>
      <w:r w:rsidRPr="00AF4311">
        <w:t>in management strategies. In addition, prescribing behaviour is influenced by the availability of services and the capability and motivation of the clinicians. The results align with the concept of a risk-sensitive, patient-centred approach to antimicrobial stewardship in primary and community care in the UK.</w:t>
      </w:r>
    </w:p>
    <w:p w14:paraId="38757AA8" w14:textId="77777777" w:rsidR="00724351" w:rsidRDefault="00724351" w:rsidP="00724351">
      <w:pPr>
        <w:pStyle w:val="Heading1"/>
      </w:pPr>
      <w:bookmarkStart w:id="72" w:name="_Toc240921691"/>
      <w:r>
        <w:lastRenderedPageBreak/>
        <w:t>Chapter 6: Conclusion and Recommendations</w:t>
      </w:r>
      <w:bookmarkEnd w:id="72"/>
    </w:p>
    <w:p w14:paraId="0DEF5414" w14:textId="77777777" w:rsidR="00724351" w:rsidRDefault="00724351" w:rsidP="00724351">
      <w:pPr>
        <w:pStyle w:val="Heading2"/>
      </w:pPr>
      <w:bookmarkStart w:id="73" w:name="_Toc240921692"/>
      <w:r>
        <w:t>6.1 Conclusion</w:t>
      </w:r>
      <w:bookmarkEnd w:id="73"/>
    </w:p>
    <w:p w14:paraId="31793CF6" w14:textId="4A1815C2" w:rsidR="00724351" w:rsidRDefault="00724351" w:rsidP="00724351">
      <w:r>
        <w:t xml:space="preserve">This systematic review aimed to identify interventions that are effective in improving outcomes and decreasing unwanted antibiotic prescribing for adults with acute respiratory tract infection (ARTI) in the UK. In the 16 studies included, there was no consistent pattern of clinically successful interventions and reduction in antibiotic use. Rather, it was </w:t>
      </w:r>
      <w:r w:rsidR="00893651" w:rsidRPr="00893651">
        <w:t>the way diagnostic support, prescribing decision-making, symptom management, safety-netting and service conditions were integrated into routine primary and community care appeared to influence effectiveness.</w:t>
      </w:r>
    </w:p>
    <w:p w14:paraId="13247DF7" w14:textId="673B56C0" w:rsidR="00724351" w:rsidRDefault="00202855" w:rsidP="00724351">
      <w:r w:rsidRPr="00202855">
        <w:t>Decision-support tools helped clinicians to organise their assessment, communicated uncertainty, and were linked to diagnostic decisions, though there was not a consistent relationship with reduced antibiotic use from the findings of the diagnostics</w:t>
      </w:r>
      <w:r w:rsidR="00724351">
        <w:t>. They were most useful when results could be used clinically and when they could be incorporated into examination, risk assessment and follow-up. Diagnostic accuracy should not be considered as an indicator of stewardship effectiveness. The use of diagnostic tools seems to be most effective when used in conjunction with clinical judgment and not in lieu of it.</w:t>
      </w:r>
    </w:p>
    <w:p w14:paraId="7A0122FA" w14:textId="77777777" w:rsidR="00724351" w:rsidRDefault="00724351" w:rsidP="00724351">
      <w:r>
        <w:t>Management findings indicated that stewardship needs to go beyond the primary antibiotic prescription and to the entire antibiotic pathway. This could lead to a decrease in the use of antibiotics in the acute phase, but might be detrimental in the case of more vulnerable patients, as treatment may be delayed. There is evidence relating to treatment length and repeat prescribing that suggests that patients can be unnecessarily exposed after their first consultation. Meanwhile, the adoption of alternatives to the antibiotic can help decrease the use of antibiotics without the patient missing their treatment. So, safe stewardship must be balanced to minimise unnecessary risks of exposure and to keep adults who could deteriorate from being under treatment.</w:t>
      </w:r>
    </w:p>
    <w:p w14:paraId="18A7BE25" w14:textId="77777777" w:rsidR="00724351" w:rsidRDefault="00724351" w:rsidP="00724351">
      <w:r>
        <w:t xml:space="preserve">It was also revealed that the context of the service has a significant effect on prescribing behaviour. Prescribing was impacted by remote consultation, workload, access to diagnostic tools, professional confidence, patient expectations and disruption by COVID-19. The COM-B framework has been developed to account for these results and factors as to the sustainability of the stewardship interventions: Capability, opportunity and motivation influence whether the stewardship interventions are sustained or not. Overall, the review addresses the research question by demonstrating a risk-sensitive pathway of care, with a focus on selecting appropriate </w:t>
      </w:r>
      <w:r>
        <w:lastRenderedPageBreak/>
        <w:t>diagnostic and/or prescribing interventions, managing symptoms when necessary, communicating, reassessing and safety-netting as the key elements of the pathway.</w:t>
      </w:r>
    </w:p>
    <w:p w14:paraId="76364583" w14:textId="77777777" w:rsidR="00724351" w:rsidRDefault="00724351" w:rsidP="00724351">
      <w:pPr>
        <w:pStyle w:val="Heading2"/>
      </w:pPr>
      <w:bookmarkStart w:id="74" w:name="_Toc240921693"/>
      <w:r>
        <w:t>6.2 Recommendations</w:t>
      </w:r>
      <w:bookmarkEnd w:id="74"/>
    </w:p>
    <w:p w14:paraId="219B2420" w14:textId="77777777" w:rsidR="008052BF" w:rsidRDefault="008052BF" w:rsidP="008052BF">
      <w:r>
        <w:t>The systematic review found three main recommendations to be put forward to improve the management of adult ARTI and antimicrobial stewardship in the UK.</w:t>
      </w:r>
    </w:p>
    <w:p w14:paraId="57C5A336" w14:textId="4F9946F4" w:rsidR="008052BF" w:rsidRDefault="008052BF" w:rsidP="008052BF">
      <w:pPr>
        <w:pStyle w:val="Heading3"/>
      </w:pPr>
      <w:bookmarkStart w:id="75" w:name="_Toc240921694"/>
      <w:r>
        <w:t>6.2.1 Use diagnostic tools in conjunction with clinical judgement</w:t>
      </w:r>
      <w:bookmarkEnd w:id="75"/>
    </w:p>
    <w:p w14:paraId="54132250" w14:textId="77777777" w:rsidR="008052BF" w:rsidRDefault="008052BF" w:rsidP="008052BF">
      <w:r>
        <w:t>The use of clinical prediction rules and point-of-care tests should be judicious and not replace clinical judgement. Diagnostic tools should be used when they can eliminate meaningful diagnostic uncertainty and be useful in decision-making. They should be used alongside clinical assessment, risk assessment, talking to the patient and appropriate follow-up. This is because in the review, the use of diagnostic tools alone failed to consistently lead to a reduction in antibiotic use.</w:t>
      </w:r>
    </w:p>
    <w:p w14:paraId="7D182CC7" w14:textId="77777777" w:rsidR="008052BF" w:rsidRDefault="008052BF" w:rsidP="008052BF">
      <w:pPr>
        <w:pStyle w:val="Heading3"/>
      </w:pPr>
      <w:bookmarkStart w:id="76" w:name="_Toc240921695"/>
      <w:r>
        <w:t>6.2.2 Selectively use Delayed Prescribing and enhance safety netting</w:t>
      </w:r>
      <w:bookmarkEnd w:id="76"/>
    </w:p>
    <w:p w14:paraId="237AC6B4" w14:textId="77777777" w:rsidR="008052BF" w:rsidRDefault="008052BF" w:rsidP="008052BF">
      <w:r>
        <w:t>There is a need to consider delayed prescription in individual adults rather than routinely for all ARTI patients. Before withholding antibiotic treatment, the clinician should take into account the patient's age, their comorbidities, their frailty, the severity of their symptoms and their clinical risk and likelihood of deterioration. If a delayed or no-antibiotic course is taken, patients should be provided with clear information regarding safety netting: how long the illness is likely to last and warning signs/safety netting to suggest that reassessment should be taken. Such an approach is supported by the findings in the review that any reduction in antibiotics needs to be weighed against the risk of under-treatment, especially for potentially vulnerable patients.</w:t>
      </w:r>
    </w:p>
    <w:p w14:paraId="3825BD56" w14:textId="77777777" w:rsidR="008052BF" w:rsidRDefault="008052BF" w:rsidP="008052BF">
      <w:pPr>
        <w:pStyle w:val="Heading3"/>
      </w:pPr>
      <w:bookmarkStart w:id="77" w:name="_Toc240921696"/>
      <w:r>
        <w:t>6.2.3 Improve monitoring of Service-Level Support and Stewardship</w:t>
      </w:r>
      <w:bookmarkEnd w:id="77"/>
    </w:p>
    <w:p w14:paraId="00C0C1A2" w14:textId="1ADD4CD5" w:rsidR="00527F8A" w:rsidRPr="00527F8A" w:rsidRDefault="008052BF" w:rsidP="008052BF">
      <w:r>
        <w:t xml:space="preserve">Consultation time and diagnostic availability, staff training and antimicrobial prescribing feedback should be available to primary-care services and commissioners to support antimicrobial stewardship. Stewardship should also be assessed in other terms than just prescribing volume, such as treatment length, re-prescribing, use of antibiotics across the whole spectrum, re-consultation, hospital admission and patient outcomes. All pathways should be reviewed on a regular basis, including those for remote sites and community pharmacists, to ensure that patients are safe and that diagnostics are of good quality. Face-to-face assessment should be provided when there is a need to assess severity that cannot be done remotely. The following measures are included as a result of the review identifying factors impacting the </w:t>
      </w:r>
      <w:r>
        <w:lastRenderedPageBreak/>
        <w:t>effectiveness and implementation of stewardship strategies, such as workload, resources, professional capability and patients' expectations and context for the services.</w:t>
      </w:r>
    </w:p>
    <w:p w14:paraId="0378C1E1" w14:textId="77777777" w:rsidR="00F72477" w:rsidRPr="00F72477" w:rsidRDefault="00F72477" w:rsidP="00F72477"/>
    <w:p w14:paraId="54294932" w14:textId="77777777" w:rsidR="00FA668A" w:rsidRDefault="00CA19D9" w:rsidP="00F72477">
      <w:r>
        <w:br w:type="page"/>
      </w:r>
    </w:p>
    <w:p w14:paraId="4EE9DEBA" w14:textId="77777777" w:rsidR="00FA668A" w:rsidRDefault="00CA19D9" w:rsidP="00F5008C">
      <w:pPr>
        <w:pStyle w:val="Heading1"/>
      </w:pPr>
      <w:bookmarkStart w:id="78" w:name="_Toc240921697"/>
      <w:r>
        <w:lastRenderedPageBreak/>
        <w:t>Reference List</w:t>
      </w:r>
      <w:bookmarkEnd w:id="78"/>
    </w:p>
    <w:p w14:paraId="7B3BAD05" w14:textId="77777777" w:rsidR="002277DE" w:rsidRDefault="002277DE" w:rsidP="009859E2">
      <w:r>
        <w:t>Abbs, S.E., Armstrong-Buisseret, L., Eastwood, K., Granier, S., Lane, J.A., Lui, M., Metcalfe, C., Mitchell, P., Muir, P., Ridd, M., Taylor, J., Yardley, L., Young, G. and Hay, A.D. (2024) ‘Rapid respiratory microbiological point-of-care-testing and antibiotic prescribing in primary care: protocol for the RAPID-TEST randomised controlled trial’, PLOS ONE, 19(5), e0302302. doi:10.1371/journal.pone.0302302.</w:t>
      </w:r>
    </w:p>
    <w:p w14:paraId="3B69943A" w14:textId="77777777" w:rsidR="002277DE" w:rsidRPr="00476113" w:rsidRDefault="002277DE" w:rsidP="009859E2">
      <w:r w:rsidRPr="00476113">
        <w:t>Adamu, I., Lambert, A., Bello, S., Abdulmalik, F.A. and Marshall, T. (2025). Effects of antibiotic prescribing for respiratory tract infection on future consultations in primary care: a systematic review and meta-analysis. BMJ Open, [online] 15(7), p.e099357. doi:https://doi.org/10.1136/bmjopen-2025-099357.</w:t>
      </w:r>
    </w:p>
    <w:p w14:paraId="5C683A61" w14:textId="77777777" w:rsidR="002277DE" w:rsidRPr="00BE1726" w:rsidRDefault="002277DE" w:rsidP="00BE1726">
      <w:r w:rsidRPr="00BE1726">
        <w:t>All Wales Therapeutics and Toxicology Centre (2022) Primary care antimicrobial guidelines. Cardiff: AWTTC. Available at: https://awttc.nhs.wales/medicines-optimisation-and-safety/medicines-optimisation-guidance-resources-and-data/prescribing-guidance/primary-care-antimicrobial-guidelines/ (Accessed: 11 September 2026).</w:t>
      </w:r>
    </w:p>
    <w:p w14:paraId="259475C1" w14:textId="77777777" w:rsidR="002277DE" w:rsidRPr="00BE1726" w:rsidRDefault="002277DE" w:rsidP="00BE1726">
      <w:r w:rsidRPr="00BE1726">
        <w:t>All Wales Therapeutics and Toxicology Centre (2024a) Back-up antibiotic prescribing: Good practice guide. Cardiff: AWTTC. Available at: https://awttc.nhs.wales/medicines-optimisation-and-safety/medicines-optimisation-guidance-resources-and-data/prescribing-guidance/back-up-antibiotic-prescribing-good-practice-guide/ (Accessed: 11 September 2026).</w:t>
      </w:r>
    </w:p>
    <w:p w14:paraId="4B7630C6" w14:textId="77777777" w:rsidR="002277DE" w:rsidRPr="00BE1726" w:rsidRDefault="002277DE" w:rsidP="00BE1726">
      <w:r w:rsidRPr="00BE1726">
        <w:t>All Wales Therapeutics and Toxicology Centre (2024b) National Prescribing Indicators 2025–2028. Cardiff: AWTTC. Available at: https://awttc.nhs.wales/medicines-optimisation-and-safety/medicines-optimisation-guidance-resources-and-data/national-prescribing-indicators/national-prescribing-indicators-2025-2028/ (Accessed: 11 September 2026).</w:t>
      </w:r>
    </w:p>
    <w:p w14:paraId="1039F699" w14:textId="77777777" w:rsidR="002277DE" w:rsidRDefault="002277DE" w:rsidP="009859E2">
      <w:r>
        <w:t>Andrews, A., Bou-Antoun, S., Guy, R., Brown, C.S., Hopkins, S. and Gerver, S. (2022) ‘Respiratory antibacterial prescribing in primary care and the COVID-19 pandemic in England, winter season 2020-21’, Journal of Antimicrobial Chemotherapy, 77(3), pp. 799-802. doi:10.1093/jac/dkab443.</w:t>
      </w:r>
    </w:p>
    <w:p w14:paraId="1AB5F6D1" w14:textId="77777777" w:rsidR="002277DE" w:rsidRPr="00476113" w:rsidRDefault="002277DE" w:rsidP="009859E2">
      <w:r w:rsidRPr="00476113">
        <w:t>Anyanwu, P.E., Pouwels, K., Walker, A., Moore, M., Majeed, A., Hayhoe, B.W.J., Tonkin-Crine, S., Borek, A., Hopkins, S., Mc</w:t>
      </w:r>
      <w:r>
        <w:t>L</w:t>
      </w:r>
      <w:r w:rsidRPr="00476113">
        <w:t>eod, M. and Costelloe, C. (2020). Investigating the mechanism of impact and differential effect of the Quality Premium scheme on antibiotic prescribing in England: a longitudinal study. BJGP Open, p.bjgpopen20X101052. doi:https://doi.org/10.3399/bjgpopen20x101052.</w:t>
      </w:r>
    </w:p>
    <w:p w14:paraId="51CA8259" w14:textId="77777777" w:rsidR="002277DE" w:rsidRPr="00883972" w:rsidRDefault="002277DE" w:rsidP="009859E2">
      <w:r w:rsidRPr="00883972">
        <w:lastRenderedPageBreak/>
        <w:t>Aromataris, E., Lockwood, C., Porritt, K., Pilla, B. and Jordan, Z. (eds) (2024) JBI Manual for Evidence Synthesis. Adelaide: JBI. doi:10.46658/JBIMES-24-01.</w:t>
      </w:r>
    </w:p>
    <w:p w14:paraId="60F762AD" w14:textId="77777777" w:rsidR="002277DE" w:rsidRPr="00BE1726" w:rsidRDefault="002277DE" w:rsidP="00BE1726">
      <w:r w:rsidRPr="00BE1726">
        <w:t>Boiko, O., Gulliford, M.C. and Burgess, C. (2020) ‘Revisiting patient expectations and experiences of antibiotics in an era of antimicrobial resistance: qualitative study’, Health Expectations, 23(5), pp. 1250–1258. https://doi.org/10.1111/hex.13102.</w:t>
      </w:r>
    </w:p>
    <w:p w14:paraId="0D917898" w14:textId="77777777" w:rsidR="002277DE" w:rsidRPr="00476113" w:rsidRDefault="002277DE" w:rsidP="009859E2">
      <w:r w:rsidRPr="00476113">
        <w:t>Borek, A.J., Campbell, A., Dent, E., Butler, C.C., Holmes, A., Moore, M., Walker, A.S., McLeod, M. and Tonkin-Crine, S. (2021a). Implementing interventions to reduce antibiotic use: a qualitative study in high-prescribing practices. BMC Family Practice, 22(1). doi:https://doi.org/10.1186/s12875-021-01371-6.</w:t>
      </w:r>
    </w:p>
    <w:p w14:paraId="20CC085B" w14:textId="77777777" w:rsidR="002277DE" w:rsidRPr="00B171D4" w:rsidRDefault="002277DE" w:rsidP="009859E2">
      <w:r w:rsidRPr="00B171D4">
        <w:t>Borek, A.J., Maitland, K., McLeod, M., Campbell, A., Hayhoe, B., Butler, C.C., Morrell, L., Roope, L.S.J., Holmes, A., Walker, A.S. and Tonkin-Crine, S. (2021b) ‘Impact of the COVID-19 pandemic on community antibiotic prescribing and stewardship: a qualitative interview study with general practitioners in England’, Antibiotics, 10(12), 1531. doi:10.3390/antibiotics10121531.</w:t>
      </w:r>
    </w:p>
    <w:p w14:paraId="4E695A2F" w14:textId="77777777" w:rsidR="002277DE" w:rsidRPr="00BE1726" w:rsidRDefault="002277DE" w:rsidP="00BE1726">
      <w:r w:rsidRPr="00BE1726">
        <w:t>Borek, A.J., Wanat, M., Atkins, L. et al. (2020) ‘Optimising antimicrobial stewardship interventions in English primary care: a behavioural analysis of qualitative and intervention studies’, BMJ Open, 10(12), e039284. https://doi.org/10.1136/bmjopen-2020-039284.</w:t>
      </w:r>
    </w:p>
    <w:p w14:paraId="3AB58FB9" w14:textId="77777777" w:rsidR="002277DE" w:rsidRPr="00BE1726" w:rsidRDefault="002277DE" w:rsidP="00BE1726">
      <w:r w:rsidRPr="00BE1726">
        <w:t>Bou-Antoun, S., Costelloe, C., Honeyford, K. et al. (2018) ‘Age-related decline in antibiotic prescribing for uncomplicated respiratory tract infections in primary care in England following the introduction of a national financial incentive (the Quality Premium) for health commissioners to reduce use of antibiotics in the community: an interrupted time series analysis’, Journal of Antimicrobial Chemotherapy, 73(10), pp. 2883–2892. https://doi.org/10.1093/jac/dky237.</w:t>
      </w:r>
    </w:p>
    <w:p w14:paraId="62576D18" w14:textId="77777777" w:rsidR="002277DE" w:rsidRPr="00BE1726" w:rsidRDefault="002277DE" w:rsidP="00BE1726">
      <w:r w:rsidRPr="00BE1726">
        <w:t>Bradley, D.T., Allen, S.E., Quinn, H., Bradley, B. and Dolan, M. (2019) ‘Social norm feedback reduces primary care antibiotic prescribing in a regression discontinuity study’, Journal of Antimicrobial Chemotherapy, 74(9), pp. 2797–2802. https://doi.org/10.1093/jac/dkz222.</w:t>
      </w:r>
    </w:p>
    <w:p w14:paraId="4F011719" w14:textId="77777777" w:rsidR="002277DE" w:rsidRPr="00883972" w:rsidRDefault="002277DE" w:rsidP="009859E2">
      <w:r w:rsidRPr="00883972">
        <w:t>Bramer, W.M., Rethlefsen, M.L., Kleijnen, J. and Franco, O.H. (2017) ‘Optimal database combinations for literature searches in systematic reviews: a prospective exploratory study’, Systematic Reviews, 6, 245. doi:10.1186/s13643-017-0644-y.</w:t>
      </w:r>
    </w:p>
    <w:p w14:paraId="77DFEAB4" w14:textId="77777777" w:rsidR="002277DE" w:rsidRPr="00883972" w:rsidRDefault="002277DE" w:rsidP="009859E2">
      <w:r w:rsidRPr="00883972">
        <w:t>Braun, V. and Clarke, V. (2021) ‘One size fits all? What counts as quality practice in (reflexive) thematic analysis?’, Qualitative Research in Psychology, 18(3), pp. 328–352. doi:10.1080/14780887.2020.1769238.</w:t>
      </w:r>
    </w:p>
    <w:p w14:paraId="643BE650" w14:textId="77777777" w:rsidR="002277DE" w:rsidRPr="00BE1726" w:rsidRDefault="002277DE" w:rsidP="00BE1726">
      <w:r w:rsidRPr="00BE1726">
        <w:lastRenderedPageBreak/>
        <w:t>Bustamante, Q., Thornton, H., Lawson, G. et al. (2026) ‘Added value of point-of-care testing for Group A Streptococcus in community pharmacy sore throat pathways: analysis of the Wales Sore Throat Test and Treat service’, Clinical Microbiology and Infection, advance online publication. https://doi.org/10.1016/j.cmi.2026.06.017.</w:t>
      </w:r>
    </w:p>
    <w:p w14:paraId="68FF6CB1" w14:textId="77777777" w:rsidR="002277DE" w:rsidRPr="00883972" w:rsidRDefault="002277DE" w:rsidP="009859E2">
      <w:r>
        <w:t>CASP</w:t>
      </w:r>
      <w:r w:rsidRPr="00883972">
        <w:t xml:space="preserve"> (2024a) CASP checklist: for qualitative research. Oxford: CASP UK. Available at: https://casp-uk.net/casp-tools-checklists/qualitative-studies-checklist/ (Accessed: 13 August 2026).</w:t>
      </w:r>
    </w:p>
    <w:p w14:paraId="29F9B624" w14:textId="77777777" w:rsidR="002277DE" w:rsidRDefault="002277DE" w:rsidP="009859E2">
      <w:r>
        <w:t>CASP</w:t>
      </w:r>
      <w:r w:rsidRPr="00883972">
        <w:t xml:space="preserve"> (2024b) CASP checklist: for randomised controlled trials (RCTs). Oxford: CASP UK. Available at: https://casp-uk.net/casp-tools-checklists/randomised-controlled-trial-rct-checklist/ (Accessed: 13 August 2026).</w:t>
      </w:r>
    </w:p>
    <w:p w14:paraId="6BCD55DF" w14:textId="77777777" w:rsidR="002277DE" w:rsidRPr="00304E13" w:rsidRDefault="002277DE" w:rsidP="009859E2">
      <w:r>
        <w:t>CASP</w:t>
      </w:r>
      <w:r w:rsidRPr="00304E13">
        <w:t xml:space="preserve"> (2024c) </w:t>
      </w:r>
      <w:r w:rsidRPr="00304E13">
        <w:rPr>
          <w:i/>
          <w:iCs/>
        </w:rPr>
        <w:t>CASP checklist: for diagnostic test studies</w:t>
      </w:r>
      <w:r w:rsidRPr="00304E13">
        <w:t xml:space="preserve">. [online] Available at: </w:t>
      </w:r>
      <w:r w:rsidRPr="005905A2">
        <w:t xml:space="preserve">https://casp-uk.net/casp-checklists/CASP-checklist-diagnostic-test-2024.pdf </w:t>
      </w:r>
      <w:r w:rsidRPr="00304E13">
        <w:t xml:space="preserve">(Accessed: 27 August 2026). </w:t>
      </w:r>
    </w:p>
    <w:p w14:paraId="3F644133" w14:textId="77777777" w:rsidR="002277DE" w:rsidRPr="00883972" w:rsidRDefault="002277DE" w:rsidP="009859E2">
      <w:r>
        <w:t>CASP</w:t>
      </w:r>
      <w:r w:rsidRPr="00304E13">
        <w:t xml:space="preserve"> (2024d) </w:t>
      </w:r>
      <w:r w:rsidRPr="00304E13">
        <w:rPr>
          <w:i/>
          <w:iCs/>
        </w:rPr>
        <w:t>CASP checklist: for cohort studies</w:t>
      </w:r>
      <w:r w:rsidRPr="00304E13">
        <w:t xml:space="preserve">. [online] Available at: </w:t>
      </w:r>
      <w:r w:rsidRPr="005905A2">
        <w:t>https://casp-uk.net/casp-checklists/CASP-checklist-cohort-study-2024.pdf</w:t>
      </w:r>
      <w:r w:rsidRPr="00304E13">
        <w:t xml:space="preserve"> (Accessed: 27 August 2026). </w:t>
      </w:r>
    </w:p>
    <w:p w14:paraId="04261EAB" w14:textId="77777777" w:rsidR="002277DE" w:rsidRPr="00BE1726" w:rsidRDefault="002277DE" w:rsidP="00BE1726">
      <w:r w:rsidRPr="00BE1726">
        <w:t>Department of Health and Social Care (2019a) Tackling antimicrobial resistance 2019 to 2024: the UK’s 5-year national action plan. London: DHSC. Available at: https://www.gov.uk/government/publications/uk-5-year-action-plan-for-antimicrobial-resistance-2019-to-2024 (Accessed: 11 September 2026).</w:t>
      </w:r>
    </w:p>
    <w:p w14:paraId="45733121" w14:textId="77777777" w:rsidR="002277DE" w:rsidRPr="00BE1726" w:rsidRDefault="002277DE" w:rsidP="00BE1726">
      <w:r w:rsidRPr="00BE1726">
        <w:t>Department of Health and Social Care (2019b) UK 20-year vision for antimicrobial resistance. London: DHSC. Available at: https://www.gov.uk/government/publications/uk-20-year-vision-for-antimicrobial-resistance (Accessed: 11 September 2026).</w:t>
      </w:r>
    </w:p>
    <w:p w14:paraId="6F30A2DD" w14:textId="77777777" w:rsidR="002277DE" w:rsidRPr="00476113" w:rsidRDefault="002277DE" w:rsidP="009859E2">
      <w:r w:rsidRPr="00476113">
        <w:t>Department of Health and Social Care (2024). Confronting antimicrobial resistance 2024 to 2029. [online] GOV.UK. Available at: https://www.gov.uk/government/publications/uk-5-year-action-plan-for-antimicrobial-resistance-2024-to-2029/confronting-antimicrobial-resistance-2024-to-2029 [Accessed 28 Jun. 2026].</w:t>
      </w:r>
    </w:p>
    <w:p w14:paraId="37E4FD5C" w14:textId="77777777" w:rsidR="002277DE" w:rsidRPr="00BE1726" w:rsidRDefault="002277DE" w:rsidP="00BE1726">
      <w:r w:rsidRPr="00BE1726">
        <w:t>Department of Health and Social Care and Department for Environment, Food &amp; Rural Affairs (2022) Tackling antimicrobial resistance 2019 to 2024: addendum to the UK’s 5-year national action plan. London: DHSC and DEFRA. Available at: https://www.gov.uk/government/publications/addendum-to-the-uk-5-year-action-plan-for-antimicrobial-resistance-2019-to-2024 (Accessed: 11 September 2026).</w:t>
      </w:r>
    </w:p>
    <w:p w14:paraId="66D87CAC" w14:textId="77777777" w:rsidR="002277DE" w:rsidRPr="00B171D4" w:rsidRDefault="002277DE" w:rsidP="009859E2">
      <w:r w:rsidRPr="00B171D4">
        <w:lastRenderedPageBreak/>
        <w:t>Dixon, S., Fanshawe, T.R., Mwandigha, L., Edwards, G., Turner, P.J., Glogowska, M., Gillespie, M.M., Blair, D. and Hayward, G.N. (2022) ‘The impact of point-of-care blood C-reactive protein testing on prescribing antibiotics in out-of-hours primary care: a mixed methods evaluation’, Antibiotics, 11(8), 1008. doi:10.3390/antibiotics11081008.</w:t>
      </w:r>
    </w:p>
    <w:p w14:paraId="1A33D2EA" w14:textId="77777777" w:rsidR="002277DE" w:rsidRPr="00BE1726" w:rsidRDefault="002277DE" w:rsidP="00BE1726">
      <w:r w:rsidRPr="00BE1726">
        <w:t>Dolk, F.C.K., Pouwels, K.B., Smith, D.R.M., Robotham, J.V. and Smieszek, T. (2018) ‘Antibiotics in primary care in England: which antibiotics are prescribed and for which conditions?’, Journal of Antimicrobial Chemotherapy, 73(Suppl. 2), pp. ii2–ii10. https://doi.org/10.1093/jac/dkx504.</w:t>
      </w:r>
    </w:p>
    <w:p w14:paraId="512F1B38" w14:textId="77777777" w:rsidR="002277DE" w:rsidRDefault="002277DE" w:rsidP="009859E2">
      <w:r>
        <w:t>Edwards, P.J., et al. (2025) ‘Safety-netting advice documentation in out-of-hours primary care’, British Journal of General Practice, 75(751), pp. e80-e89. doi:10.3399/BJGP.2024.0057.</w:t>
      </w:r>
    </w:p>
    <w:p w14:paraId="173426BC" w14:textId="77777777" w:rsidR="002277DE" w:rsidRPr="00BE1726" w:rsidRDefault="002277DE" w:rsidP="00BE1726">
      <w:r w:rsidRPr="00BE1726">
        <w:t>Edwards, P.J., Ridd, M.J., Sanderson, E. and Barnes, R.K. (2019) ‘Safety-netting in routine primary care consultations: an observational study using video-recorded UK consultations’, British Journal of General Practice, 69(689), pp. e878–e886. https://doi.org/10.3399/bjgp19X706601.</w:t>
      </w:r>
    </w:p>
    <w:p w14:paraId="46BEC9A5" w14:textId="77777777" w:rsidR="002277DE" w:rsidRPr="00BE1726" w:rsidRDefault="002277DE" w:rsidP="00BE1726">
      <w:r w:rsidRPr="00BE1726">
        <w:t>Eley, C.V., Sharma, A., Lee, H., Charlett, A., Owens, R. and McNulty, C.A.M. (2020) ‘Effects of primary care C-reactive protein point-of-care testing on antibiotic prescribing by general practice staff: pragmatic randomised controlled trial, England, 2016 and 2017’, Eurosurveillance, 25(44), 1900408. https://doi.org/10.2807/1560-7917.ES.2020.25.44.1900408.</w:t>
      </w:r>
    </w:p>
    <w:p w14:paraId="204AA67F" w14:textId="77777777" w:rsidR="002277DE" w:rsidRPr="00B171D4" w:rsidRDefault="002277DE" w:rsidP="009859E2">
      <w:r w:rsidRPr="00B171D4">
        <w:t>Fahmi, A., Yang, Y.-T., Zhong, X., Pate, A., Sharma, A., Watts, S., Ashcroft, D.M., Goldacre, B., MacKenna, B., Massey, J., Mehrkar, A., Bacon, S., McMillan, B., Dark, P., Hand, K., Palin, V. and van Staa, T.P. (2025) ‘Antibiotics for common infections in primary care before, during and after the COVID-19 pandemic: cohort study of extent of prescribing based on risks of infection-related hospital admissions’, Journal of the Royal Society of Medicine, 118(4), pp. 126–137. doi:10.1177/01410768251328997.</w:t>
      </w:r>
    </w:p>
    <w:p w14:paraId="6AE20AA9" w14:textId="77777777" w:rsidR="002277DE" w:rsidRDefault="002277DE" w:rsidP="009859E2">
      <w:r>
        <w:t>Fanshawe, T.R., et al. (2025) ‘Diagnostic accuracy evaluation of a point-of-care antigen test for SARS-CoV-2 and influenza in UK primary care (RAPTOR-C19)’, PLOS ONE, 20(8), e0329611. doi:10.1371/journal.pone.0329611.</w:t>
      </w:r>
    </w:p>
    <w:p w14:paraId="7CBFDBE5" w14:textId="77777777" w:rsidR="002277DE" w:rsidRPr="00B171D4" w:rsidRDefault="002277DE" w:rsidP="009859E2">
      <w:r w:rsidRPr="00B171D4">
        <w:t>Friedemann Smith, C., et al. (2022) ‘Optimising general practitioners’ communication of advice to facilitate patients’ self-care and prompt follow-up when the diagnosis is uncertain: a realist review of safety-netting in primary care’, BMJ Quality &amp; Safety, 31(7), pp. 541–554. doi:10.1136/bmjqs-2021-014529.</w:t>
      </w:r>
    </w:p>
    <w:p w14:paraId="6763CC9C" w14:textId="77777777" w:rsidR="002277DE" w:rsidRDefault="002277DE" w:rsidP="009859E2">
      <w:r>
        <w:lastRenderedPageBreak/>
        <w:t>Friedemann Smith, C., et al. (2023) ‘Electronic safety-netting tool features considered important by UK general practice staff: an interview and Delphi study’, BJGP Open, 7(3), BJGPO.2022.0163. doi:10.3399/BJGPO.2022.0163.</w:t>
      </w:r>
    </w:p>
    <w:p w14:paraId="7AAD7694" w14:textId="77777777" w:rsidR="002277DE" w:rsidRDefault="002277DE" w:rsidP="009859E2">
      <w:r>
        <w:t>Gentilotti, E., et al. (2022) ‘Diagnostic accuracy of point-of-care tests in acute community-acquired lower respiratory tract infections: a systematic review and meta-analysis’, Clinical Microbiology and Infection, 28(1), pp. 13-22. doi:10.1016/j.cmi.2021.09.025.</w:t>
      </w:r>
    </w:p>
    <w:p w14:paraId="6BAAF9E8" w14:textId="77777777" w:rsidR="002277DE" w:rsidRPr="00BE1726" w:rsidRDefault="002277DE" w:rsidP="00BE1726">
      <w:r w:rsidRPr="00BE1726">
        <w:t>Gold, N., Sallis, A., Saei, A. et al. (2022) ‘Using text and charts to provide social norm feedback to general practices with high overall and high broad-spectrum antibiotic prescribing: a series of national randomised controlled trials’, Trials, 23(1), 511. https://doi.org/10.1186/s13063-022-06373-y.</w:t>
      </w:r>
    </w:p>
    <w:p w14:paraId="19423A16" w14:textId="77777777" w:rsidR="002277DE" w:rsidRPr="00BE1726" w:rsidRDefault="002277DE" w:rsidP="00BE1726">
      <w:r w:rsidRPr="00BE1726">
        <w:t>Gulliford, M.C., Charlton, J., Boiko, O. et al. (2021) Safety of reducing antibiotic prescribing in primary care: a mixed-methods study. Health Services and Delivery Research, 9(9). Southampton: NIHR Journals Library. https://doi.org/10.3310/hsdr09090.</w:t>
      </w:r>
    </w:p>
    <w:p w14:paraId="1CBB1AC3" w14:textId="77777777" w:rsidR="002277DE" w:rsidRPr="00BE1726" w:rsidRDefault="002277DE" w:rsidP="00BE1726">
      <w:r w:rsidRPr="00BE1726">
        <w:t>Gulliford, M.C., Juszczyk, D., Prevost, A.T. et al. (2019) ‘Electronically delivered interventions to reduce antibiotic prescribing for respiratory infections in primary care: cluster RCT using electronic health records and cohort study’, Health Technology Assessment, 23(11), pp. 1–70. https://doi.org/10.3310/hta23110.</w:t>
      </w:r>
    </w:p>
    <w:p w14:paraId="50FE6A3A" w14:textId="77777777" w:rsidR="002277DE" w:rsidRDefault="002277DE" w:rsidP="009859E2">
      <w:r>
        <w:t>Hay, A.D., Abbs, S., Ridd, M., Granier, S., Lane, J.A., Muir, P., Taylor, J., Young, G., Eastwood, K., Dash, H., Bradshaw, L., Clarke, R., Lui, M., Bridgeman, E., Brierley, R.C.M., Brown, E., Thornton, H.V., Mitchell, P.M., Zhu, L., Yardley, L. and Metcalfe, C. (2026) ‘Rapid respiratory microbiological point-of-care testing and antibiotic use in primary care: a randomized clinical trial’, JAMA Internal Medicine, 186(7), pp. 817-826. doi:10.1001/jamainternmed.2026.1426.</w:t>
      </w:r>
    </w:p>
    <w:p w14:paraId="4B3E2689" w14:textId="77777777" w:rsidR="002277DE" w:rsidRPr="00BE1726" w:rsidRDefault="002277DE" w:rsidP="00BE1726">
      <w:r w:rsidRPr="00BE1726">
        <w:t>Hayes, C.V., Parekh, S., Loader, J. et al. (2023) ‘The national implementation of a community pharmacy antimicrobial stewardship intervention (PAMSI) through the English Pharmacy Quality Scheme 2020 to 2022’, Antibiotics, 12(4), 793. https://doi.org/10.3390/antibiotics12040793.</w:t>
      </w:r>
    </w:p>
    <w:p w14:paraId="2A592C17" w14:textId="77777777" w:rsidR="002277DE" w:rsidRPr="00BE1726" w:rsidRDefault="002277DE" w:rsidP="00BE1726">
      <w:r w:rsidRPr="00BE1726">
        <w:t>Holmes, E.A.F., Harris, S.D., Hughes, A., Craine, N. and Hughes, D.A. (2018) ‘Cost-effectiveness analysis of the use of point-of-care C-reactive protein testing to reduce antibiotic prescribing in primary care’, Antibiotics, 7(4), 106. https://doi.org/10.3390/antibiotics7040106.</w:t>
      </w:r>
    </w:p>
    <w:p w14:paraId="39FD2B6C" w14:textId="77777777" w:rsidR="002277DE" w:rsidRPr="00B171D4" w:rsidRDefault="002277DE" w:rsidP="009859E2">
      <w:r w:rsidRPr="009247AE">
        <w:t xml:space="preserve">Hoste, M.E., Colman, E., Wanat, M., Hayward, G., Tissier, J.-L., Postma, M., Goossens, H., Anthierens, S. and Tonkin-Crine, S. (2023) ‘Stakeholders’ views and experiences on implementing new diagnostics in primary care to support management of community-acquired </w:t>
      </w:r>
      <w:r w:rsidRPr="009247AE">
        <w:lastRenderedPageBreak/>
        <w:t>acute respiratory tract infections: a qualitative study’, Frontiers in Public Health, 11, 1216940. doi:10.3389/fpubh.2023.1216940.</w:t>
      </w:r>
    </w:p>
    <w:p w14:paraId="4077A97F" w14:textId="77777777" w:rsidR="002277DE" w:rsidRDefault="002277DE" w:rsidP="009859E2">
      <w:r>
        <w:t>Hoste, M.E., et al. (2025) ‘Point-of-care tests to manage acute respiratory tract infections in primary care: a systematic review and qualitative synthesis of healthcare professional and patient views’, Journal of Antimicrobial Chemotherapy, 80(1), pp. 29-46. doi:10.1093/jac/dkae349.</w:t>
      </w:r>
    </w:p>
    <w:p w14:paraId="49AE501E" w14:textId="77777777" w:rsidR="002277DE" w:rsidRDefault="002277DE" w:rsidP="009859E2">
      <w:r>
        <w:t>Hounkpatin, H.O., et al. (2021) ‘Understanding general practitioners’ views and experiences of using clinical prediction rules in respiratory infections’, BJGP Open, 5(5), BJGPO.2021.0096. doi:10.3399/BJGPO.2021.0096.</w:t>
      </w:r>
    </w:p>
    <w:p w14:paraId="3F4466B7" w14:textId="77777777" w:rsidR="002277DE" w:rsidRPr="00BE1726" w:rsidRDefault="002277DE" w:rsidP="00BE1726">
      <w:r w:rsidRPr="00BE1726">
        <w:t>Khalid, T.Y., Duncan, L.J., Thornton, H.V., Lasseter, G., Muir, P., Toney, Z.A. and Hay, A.D. (2021) ‘Novel multi-virus rapid respiratory microbiological point-of-care testing in primary care: a mixed-methods feasibility evaluation’, Family Practice, 38(5), pp. 598–605. https://doi.org/10.1093/fampra/cmab002.</w:t>
      </w:r>
    </w:p>
    <w:p w14:paraId="3E254FD3" w14:textId="77777777" w:rsidR="002277DE" w:rsidRPr="00B171D4" w:rsidRDefault="002277DE" w:rsidP="009859E2">
      <w:r w:rsidRPr="00B171D4">
        <w:t>Lalmohamed, A., Venekamp, R.P., Bolhuis, A., Souverein, P.C., van de Wijgert, J.H.H.M., Gulliford, M.C. and Hay, A.D. (2024) ‘Within-episode repeat antibiotic prescriptions in patients with respiratory tract infections: a population-based cohort study’, Journal of Infection, 88(4), 106135. doi:10.1016/j.jinf.2024.106135.</w:t>
      </w:r>
    </w:p>
    <w:p w14:paraId="38742739" w14:textId="77777777" w:rsidR="002277DE" w:rsidRDefault="002277DE" w:rsidP="009859E2">
      <w:r>
        <w:t>Little, P., et al. (2024) ‘Nasal sprays and behavioural interventions compared with usual care for acute respiratory illness in primary care: a randomised controlled trial’, The Lancet Respiratory Medicine, 12(8), pp. 619-632. doi:10.1016/S2213-2600(24)00140-1.</w:t>
      </w:r>
    </w:p>
    <w:p w14:paraId="5B1179D1" w14:textId="77777777" w:rsidR="002277DE" w:rsidRDefault="002277DE" w:rsidP="009859E2">
      <w:r>
        <w:t>Llor, C., Plate, A., Bjerrum, L., Gentile, I., Melbye, H., Staiano, A., van Hecke, O., Verbakel, J.Y. and Hopstaken, R. (2024) ‘C-reactive protein point-of-care testing in primary care: broader implementation needed to combat antimicrobial resistance’, Frontiers in Public Health, 12, 1397096. doi:10.3389/fpubh.2024.1397096.</w:t>
      </w:r>
    </w:p>
    <w:p w14:paraId="487B2509" w14:textId="77777777" w:rsidR="002277DE" w:rsidRPr="00BE1726" w:rsidRDefault="002277DE" w:rsidP="00BE1726">
      <w:r w:rsidRPr="00BE1726">
        <w:t>Malcolm, W., Seaton, R.A., Haddock, G. et al. (2020) ‘Impact of the COVID-19 pandemic on community antibiotic prescribing in Scotland’, JAC-Antimicrobial Resistance, 2(4), dlaa105. https://doi.org/10.1093/jacamr/dlaa105.</w:t>
      </w:r>
    </w:p>
    <w:p w14:paraId="3748A981" w14:textId="77777777" w:rsidR="002277DE" w:rsidRPr="00BE1726" w:rsidRDefault="002277DE" w:rsidP="00BE1726">
      <w:r w:rsidRPr="00BE1726">
        <w:t>Mantzourani, E., Ahmed, H., Bethel, J. et al. (2025) ‘Clinical outcomes following acute sore throat assessment at community pharmacy versus general practice: a retrospective, longitudinal, data linkage study’, Journal of Antimicrobial Chemotherapy, 80(1), pp. 227–237. https://doi.org/10.1093/jac/dkae400.</w:t>
      </w:r>
    </w:p>
    <w:p w14:paraId="799B8E87" w14:textId="77777777" w:rsidR="002277DE" w:rsidRDefault="002277DE" w:rsidP="009859E2">
      <w:r>
        <w:lastRenderedPageBreak/>
        <w:t>Mantzourani, E., Ahmed, H., Evans, A., Gunnarsson, R. and Cannings-John, R. (2024) ‘Evaluation of a pharmacy-led sore throat test-and-treat service’, Journal of Antimicrobial Chemotherapy, 79(2), pp. 354-359. doi:10.1093/jac/dkad388.</w:t>
      </w:r>
    </w:p>
    <w:p w14:paraId="5FB7DAFC" w14:textId="77777777" w:rsidR="002277DE" w:rsidRPr="00BE1726" w:rsidRDefault="002277DE" w:rsidP="00BE1726">
      <w:r w:rsidRPr="00BE1726">
        <w:t>Mantzourani, E., Cannings-John, R., Evans, A. and Ahmed, H. (2022) ‘To swab or not to swab? Using point-of-care tests to detect Group A Streptococcus infections as part of a Sore Throat Test and Treat service in community pharmacy’, Journal of Antimicrobial Chemotherapy, 77(3), pp. 803–806. https://doi.org/10.1093/jac/dkab470.</w:t>
      </w:r>
    </w:p>
    <w:p w14:paraId="2B58DED3" w14:textId="77777777" w:rsidR="002277DE" w:rsidRPr="00BE1726" w:rsidRDefault="002277DE" w:rsidP="00BE1726">
      <w:r w:rsidRPr="00BE1726">
        <w:t>Mantzourani, E., Cannings-John, R., Evans, A. et al. (2021) ‘Understanding the impact of a new pharmacy sore throat test and treat service on patient experience: a survey study’, Research in Social and Administrative Pharmacy, 17(5), pp. 969–977. https://doi.org/10.1016/j.sapharm.2020.07.034.</w:t>
      </w:r>
    </w:p>
    <w:p w14:paraId="0B690000" w14:textId="77777777" w:rsidR="002277DE" w:rsidRPr="00BE1726" w:rsidRDefault="002277DE" w:rsidP="00BE1726">
      <w:r w:rsidRPr="00BE1726">
        <w:t>Mantzourani, E., Evans, A., Cannings-John, R. et al. (2020) ‘Impact of a pilot NHS-funded sore throat test and treat service in community pharmacies on provision and quality of patient care’, BMJ Open Quality, 9(1), e000833. https://doi.org/10.1136/bmjoq-2019-000833.</w:t>
      </w:r>
    </w:p>
    <w:p w14:paraId="5631AE14" w14:textId="77777777" w:rsidR="002277DE" w:rsidRPr="00BE1726" w:rsidRDefault="002277DE" w:rsidP="00BE1726">
      <w:r w:rsidRPr="00BE1726">
        <w:t>Mantzourani, E., Hicks, R., Evans, A., Williams, E., Way, C. and Deslandes, R. (2019) ‘Community pharmacist views on the early stages of implementation of a Pathfinder Sore Throat Test and Treat Service in Wales: an exploratory study’, Integrated Pharmacy Research and Practice, 8, pp. 105–113. https://doi.org/10.2147/IPRP.S225333.</w:t>
      </w:r>
    </w:p>
    <w:p w14:paraId="4AF02A4E" w14:textId="77777777" w:rsidR="002277DE" w:rsidRPr="00BE1726" w:rsidRDefault="002277DE" w:rsidP="00BE1726">
      <w:r w:rsidRPr="00BE1726">
        <w:t>Mantzourani, E., Wasag, D., Cannings-John, R. et al. (2023) ‘Characteristics of the sore throat test and treat service in community pharmacies (STREP) in Wales: cross-sectional analysis of 11,304 consultations using anonymized electronic pharmacy records’, Journal of Antimicrobial Chemotherapy, 78(1), pp. 84–92. https://doi.org/10.1093/jac/dkac358.</w:t>
      </w:r>
    </w:p>
    <w:p w14:paraId="7A93C188" w14:textId="77777777" w:rsidR="002277DE" w:rsidRPr="00BE1726" w:rsidRDefault="002277DE" w:rsidP="00BE1726">
      <w:r w:rsidRPr="00BE1726">
        <w:t>Matuluko, A., Mantzourani, E., Ahmed, H. et al. (2025) ‘Comparison of antibiotic provision associated with acute sore throat symptom management in community pharmacies in Wales and England: a natural policy experiment’, Journal of Antimicrobial Chemotherapy, 80(5), pp. 1256–1260. https://doi.org/10.1093/jac/dkaf057.</w:t>
      </w:r>
    </w:p>
    <w:p w14:paraId="11747E63" w14:textId="77777777" w:rsidR="002277DE" w:rsidRDefault="002277DE" w:rsidP="009859E2">
      <w:r>
        <w:t>McCloskey, A.P., Malabar, L., McCabe, P.G., Gitsham, A. and Jarman, I. (2023) ‘Antibiotic prescribing trends in primary care, 2014-2022’, Research in Social and Administrative Pharmacy, 19(8), pp. 1193-1201. doi:10.1016/j.sapharm.2023.05.001.</w:t>
      </w:r>
    </w:p>
    <w:p w14:paraId="3D2158BB" w14:textId="77777777" w:rsidR="002277DE" w:rsidRPr="00883972" w:rsidRDefault="002277DE" w:rsidP="009859E2">
      <w:r w:rsidRPr="00883972">
        <w:lastRenderedPageBreak/>
        <w:t>McGowan, J., Sampson, M., Salzwedel, D.M., Cogo, E., Foerster, V. and Lefebvre, C. (2016) ‘PRESS peer review of electronic search strategies: 2015 guideline statement’, Journal of Clinical Epidemiology, 75, pp. 40–46. doi:10.1016/j.jclinepi.2016.01.021.</w:t>
      </w:r>
    </w:p>
    <w:p w14:paraId="4355E3B0" w14:textId="77777777" w:rsidR="002277DE" w:rsidRPr="00476113" w:rsidRDefault="002277DE" w:rsidP="009859E2">
      <w:r w:rsidRPr="00476113">
        <w:t>Mc</w:t>
      </w:r>
      <w:r>
        <w:t>L</w:t>
      </w:r>
      <w:r w:rsidRPr="00476113">
        <w:t>eod, M., Campbell, A., Hayhoe, B., Borek, A.J., Tonkin-Crine, S., Moore, M.V., Butler, C.C., Walker, A.S., Holmes, A., Wong, G., Anyanwu, P.E., Bright, N., Buchanan, J., Costelloe, C., Hopkins, S., Majeed, A., Morrell, L., Pouwels, K.B., Robotham, J.V. and Roope, L.S.J. (2024). How, why and when are delayed (back-up) antibiotic prescriptions used in primary care? A realist review integrating concepts of uncertainty in healthcare. BMC Public Health, 24(1). doi:https://doi.org/10.1186/s12889-024-20248-8.</w:t>
      </w:r>
    </w:p>
    <w:p w14:paraId="510CA40A" w14:textId="77777777" w:rsidR="002277DE" w:rsidRPr="00BE1726" w:rsidRDefault="002277DE" w:rsidP="00BE1726">
      <w:r w:rsidRPr="00BE1726">
        <w:t>McNulty, C., Hawking, M., Lecky, D. et al. (2018) ‘Effects of primary care antimicrobial stewardship outreach on antibiotic use by general practice staff: pragmatic randomized controlled trial of the TARGET antibiotics workshop’, Journal of Antimicrobial Chemotherapy, 73(5), pp. 1423–1432. https://doi.org/10.1093/jac/dky004.</w:t>
      </w:r>
    </w:p>
    <w:p w14:paraId="6CFDE9F3" w14:textId="77777777" w:rsidR="002277DE" w:rsidRPr="00476113" w:rsidRDefault="002277DE" w:rsidP="009859E2">
      <w:r w:rsidRPr="00476113">
        <w:t>Miller, L., Beaney, T., Hope, R., Cunningham, M., Robotham, J.V., Pouwels, K.B. and Costelloe, C.E. (2025). General practice antibiotic prescriptions attributable to respiratory syncytial virus by age and antibiotic class: an ecological analysis of the English population. Journal of Antimicrobial Chemotherapy, [online] 80(4), pp.1116–1126. doi:https://doi.org/10.1093/jac/dkaf043.</w:t>
      </w:r>
    </w:p>
    <w:p w14:paraId="6404F2B5" w14:textId="77777777" w:rsidR="002277DE" w:rsidRPr="00BE1726" w:rsidRDefault="002277DE" w:rsidP="00BE1726">
      <w:r w:rsidRPr="00BE1726">
        <w:t>National Institute for Health and Care Excellence (NICE) (2018) Sore throat (acute): antimicrobial prescribing. NICE guideline NG84. London: NICE. Available at: https://www.nice.org.uk/guidance/ng84 (Accessed: 11 September 2026).</w:t>
      </w:r>
    </w:p>
    <w:p w14:paraId="2CDFE518" w14:textId="77777777" w:rsidR="002277DE" w:rsidRDefault="002277DE" w:rsidP="009859E2">
      <w:r>
        <w:t>National Institute for Health and Care Excellence (NICE) (2023a) Suspected acute respiratory infection in over 16s: assessment at first presentation and initial management. NICE guideline NG237. London: NICE. Available at: https://www.nice.org.uk/guidance/ng237 (Accessed: 29 July 2026).</w:t>
      </w:r>
    </w:p>
    <w:p w14:paraId="24648D4E" w14:textId="77777777" w:rsidR="002277DE" w:rsidRDefault="002277DE" w:rsidP="009859E2">
      <w:r>
        <w:t>National Institute for Health and Care Excellence (NICE) (2023b) Evidence review B: rapid tests to inform triage and antibiotic prescribing decisions. Evidence review for NICE guideline NG237. London: NICE.</w:t>
      </w:r>
    </w:p>
    <w:p w14:paraId="408DBD08" w14:textId="77777777" w:rsidR="002277DE" w:rsidRDefault="002277DE" w:rsidP="009859E2">
      <w:r>
        <w:t>National Institute for Health and Care Excellence (NICE) (2023c) Evidence review C: diagnostic accuracy of point-of-care tests for viral versus bacterial infection. Evidence review for NICE guideline NG237. London: NICE.</w:t>
      </w:r>
    </w:p>
    <w:p w14:paraId="1899B1A0" w14:textId="77777777" w:rsidR="002277DE" w:rsidRDefault="002277DE" w:rsidP="009859E2">
      <w:r>
        <w:lastRenderedPageBreak/>
        <w:t>National Institute for Health and Care Excellence (NICE) (2023d) Acute respiratory infection in over 16s: initial assessment and management. Quality standard QS210. London: NICE. Available at: https://www.nice.org.uk/guidance/qs210 (Accessed: 29 July 2026).</w:t>
      </w:r>
    </w:p>
    <w:p w14:paraId="5B40192C" w14:textId="77777777" w:rsidR="002277DE" w:rsidRPr="00BE1726" w:rsidRDefault="002277DE" w:rsidP="00BE1726">
      <w:r w:rsidRPr="00BE1726">
        <w:t>National Institute for Health and Care Excellence (NICE) (2025) Pneumonia: diagnosis and management. NICE guideline NG250. London: NICE. Available at: https://www.nice.org.uk/guidance/ng250 (Accessed: 11 September 2026).</w:t>
      </w:r>
    </w:p>
    <w:p w14:paraId="451282DA" w14:textId="77777777" w:rsidR="002277DE" w:rsidRPr="00BE1726" w:rsidRDefault="002277DE" w:rsidP="00BE1726">
      <w:r w:rsidRPr="00BE1726">
        <w:t>NHS England (2023a) Community pharmacy advanced service specification: NHS Pharmacy First Service. London: NHS England. Available at: https://www.england.nhs.uk/publication/community-pharmacy-advanced-service-specification-nhs-pharmacy-first-service/ (Accessed: 11 September 2026).</w:t>
      </w:r>
    </w:p>
    <w:p w14:paraId="7232C52D" w14:textId="77777777" w:rsidR="002277DE" w:rsidRPr="00BE1726" w:rsidRDefault="002277DE" w:rsidP="00BE1726">
      <w:r w:rsidRPr="00BE1726">
        <w:t>NHS England (2023b) Community pharmacy quality scheme 2020–22: findings and recommendations from the antimicrobial stewardship initiatives. London: NHS England. Available at: https://www.england.nhs.uk/long-read/community-pharmacy-quality-scheme-2020-22-findings-and-recommendations-from-the-antimicrobial-stewardship-initiatives/ (Accessed: 11 September 2026).</w:t>
      </w:r>
    </w:p>
    <w:p w14:paraId="20C34357" w14:textId="77777777" w:rsidR="002277DE" w:rsidRDefault="002277DE" w:rsidP="009859E2">
      <w:r>
        <w:t>NHS England (2023c) Community pharmacy quality scheme 2022-23: findings and recommendations from the TARGET Treating Your Infection leaflets initiatives. London: NHS England. Available at: https://www.england.nhs.uk/long-read/findings-and-recommendations-from-the-target-treating-your-infection-leaflets-initiatives/ (Accessed: 29 July 2026).</w:t>
      </w:r>
    </w:p>
    <w:p w14:paraId="7DFB1AF9" w14:textId="77777777" w:rsidR="002277DE" w:rsidRPr="00BE1726" w:rsidRDefault="002277DE" w:rsidP="00BE1726">
      <w:r w:rsidRPr="00BE1726">
        <w:t>NHS England (2023d) Delivery plan for recovering access to primary care. London: NHS England. Available at: https://www.england.nhs.uk/long-read/delivery-plan-for-recovering-access-to-primary-care/ (Accessed: 11 September 2026).</w:t>
      </w:r>
    </w:p>
    <w:p w14:paraId="2546AF68" w14:textId="77777777" w:rsidR="002277DE" w:rsidRDefault="002277DE" w:rsidP="009859E2">
      <w:r>
        <w:t>NHS England (2024) Pharmacy First. London: NHS England. Available at: https://www.england.nhs.uk/primary-care/pharmacy/pharmacy-services/pharmacy-first/ (Accessed: 29 July 2026).</w:t>
      </w:r>
    </w:p>
    <w:p w14:paraId="23C3E074" w14:textId="77777777" w:rsidR="002277DE" w:rsidRPr="00BE1726" w:rsidRDefault="002277DE" w:rsidP="00BE1726">
      <w:r w:rsidRPr="00BE1726">
        <w:t>NHS England (2025) Pharmacy Quality Scheme 2025/26: antimicrobial stewardship clinical audit – sore throat consultations. London: NHS England. Available at: https://www.england.nhs.uk/publication/pharmacy-quality-scheme-2025-26-antimicrobial-stewardship-clinical-audit-sore-throat-consultations/ (Accessed: 11 September 2026).</w:t>
      </w:r>
    </w:p>
    <w:p w14:paraId="2C869A68" w14:textId="77777777" w:rsidR="002277DE" w:rsidRPr="00476113" w:rsidRDefault="002277DE" w:rsidP="009859E2">
      <w:r w:rsidRPr="00476113">
        <w:t>NICE (2019). Overview | Cough (acute): antimicrobial prescribing | Guidance | NICE. [online] Nice.org.uk. Available at: https://www.nice.org.uk/guidance/ng120 [Accessed 28 Jun. 2026].</w:t>
      </w:r>
    </w:p>
    <w:p w14:paraId="42DE6092" w14:textId="77777777" w:rsidR="002277DE" w:rsidRPr="00BE1726" w:rsidRDefault="002277DE" w:rsidP="00BE1726">
      <w:r w:rsidRPr="00BE1726">
        <w:lastRenderedPageBreak/>
        <w:t>Nowakowska, M., van Staa, T., Mölter, A. et al. (2019) ‘Antibiotic choice in UK general practice: rates and drivers of potentially inappropriate antibiotic prescribing’, Journal of Antimicrobial Chemotherapy, 74(11), pp. 3371–3378. https://doi.org/10.1093/jac/dkz345.</w:t>
      </w:r>
    </w:p>
    <w:p w14:paraId="682BA43E" w14:textId="77777777" w:rsidR="002277DE" w:rsidRDefault="002277DE" w:rsidP="009859E2">
      <w:r>
        <w:t>O’Shea, J., Hughes, C., Molloy, G.J., Cadogan, C., Vellinga, A., Fahey, T. and Ryan, C. (2025) ‘Point-of-caRE DiagnostICs for respiraTOry tRact infectionS (PREDICTORS) study: developing guidance for using C-reactive protein point-of-care tests in the management of lower respiratory tract infections in primary care using a Delphi consensus technique’, BMJ Open, 15(5), e101438. doi:10.1136/bmjopen-2025-101438.</w:t>
      </w:r>
    </w:p>
    <w:p w14:paraId="6D48CB3E" w14:textId="77777777" w:rsidR="002277DE" w:rsidRDefault="002277DE" w:rsidP="009859E2">
      <w:r>
        <w:t>Ordóñez-Mena, J.M., et al. (2026) ‘Epidemiology of virologically confirmed respiratory syncytial virus, influenza and COVID-19 in adults in England, 2023-24: the ObservatARI study’, Journal of Infection, 92(3), 106714. doi:10.1016/j.jinf.2026.106714.</w:t>
      </w:r>
    </w:p>
    <w:p w14:paraId="1CA9F8DF" w14:textId="77777777" w:rsidR="002277DE" w:rsidRPr="00883972" w:rsidRDefault="002277DE" w:rsidP="009859E2">
      <w:r w:rsidRPr="00883972">
        <w:t>Page, M.J., McKenzie, J.E., Bossuyt, P.M., Boutron, I., Hoffmann, T.C., Mulrow, C.D. et al. (2021) ‘The PRISMA 2020 statement: an updated guideline for reporting systematic reviews’, BMJ, 372, n71. doi:10.1136/bmj.n71.</w:t>
      </w:r>
    </w:p>
    <w:p w14:paraId="3FBD337E" w14:textId="77777777" w:rsidR="002277DE" w:rsidRPr="00BE1726" w:rsidRDefault="002277DE" w:rsidP="00BE1726">
      <w:r w:rsidRPr="00BE1726">
        <w:t>Palin, V., Mölter, A., Belmonte, M. et al. (2019) ‘Antibiotic prescribing for common infections in UK general practice: variability and drivers’, Journal of Antimicrobial Chemotherapy, 74(8), pp. 2440–2450. https://doi.org/10.1093/jac/dkz163.</w:t>
      </w:r>
    </w:p>
    <w:p w14:paraId="586D3041" w14:textId="77777777" w:rsidR="002277DE" w:rsidRPr="00B171D4" w:rsidRDefault="002277DE" w:rsidP="009859E2">
      <w:r w:rsidRPr="00B171D4">
        <w:t>Palin, V., Welfare, W., Ashcroft, D.M. and van Staa, T.P. (2021) ‘Shorter and longer courses of antibiotics for common infections and the association with reductions of infection-related complications including hospital admissions’, Clinical Infectious Diseases, 73(10), pp. 1805–1812. doi:10.1093/cid/ciab159.</w:t>
      </w:r>
    </w:p>
    <w:p w14:paraId="6FE11264" w14:textId="77777777" w:rsidR="002277DE" w:rsidRPr="00BE1726" w:rsidRDefault="002277DE" w:rsidP="00BE1726">
      <w:r w:rsidRPr="00BE1726">
        <w:t>Parekh, S., Hayes, C.V., Loader, J. et al. (2023) ‘The use of the TARGET Antibiotic Checklist to support antimicrobial stewardship in England’s community pharmacies’, Antibiotics, 12(4), 647. https://doi.org/10.3390/antibiotics12040647.</w:t>
      </w:r>
    </w:p>
    <w:p w14:paraId="288B6BEF" w14:textId="77777777" w:rsidR="002277DE" w:rsidRPr="00BE1726" w:rsidRDefault="002277DE" w:rsidP="00BE1726">
      <w:r w:rsidRPr="00BE1726">
        <w:t>Pouwels, K.B., Dolk, F.C.K., Smith, D.R.M., Robotham, J.V. and Smieszek, T. (2018a) ‘Actual versus “ideal” antibiotic prescribing for common conditions in English primary care’, Journal of Antimicrobial Chemotherapy, 73(Suppl. 2), pp. ii19–ii26. https://doi.org/10.1093/jac/dkx502.</w:t>
      </w:r>
    </w:p>
    <w:p w14:paraId="07B86EFE" w14:textId="77777777" w:rsidR="002277DE" w:rsidRPr="00BE1726" w:rsidRDefault="002277DE" w:rsidP="00BE1726">
      <w:r w:rsidRPr="00BE1726">
        <w:t>Pouwels, K.B., Dolk, F.C.K., Smith, D.R.M., Smieszek, T. and Robotham, J.V. (2018b) ‘Explaining variation in antibiotic prescribing between general practices in the UK’, Journal of Antimicrobial Chemotherapy, 73(Suppl. 2), pp. ii27–ii35. https://doi.org/10.1093/jac/dkx501.</w:t>
      </w:r>
    </w:p>
    <w:p w14:paraId="4986BE78" w14:textId="77777777" w:rsidR="002277DE" w:rsidRPr="00BE1726" w:rsidRDefault="002277DE" w:rsidP="00BE1726">
      <w:r w:rsidRPr="00BE1726">
        <w:lastRenderedPageBreak/>
        <w:t>Pouwels, K.B., Hopkins, S., Llewelyn, M.J., Walker, A.S., McNulty, C.A. and Robotham, J.V. (2019) ‘Duration of antibiotic treatment for common infections in English primary care: cross sectional analysis and comparison with guidelines’, BMJ, 364, l440. https://doi.org/10.1136/bmj.l440.</w:t>
      </w:r>
    </w:p>
    <w:p w14:paraId="5145E446" w14:textId="77777777" w:rsidR="002277DE" w:rsidRPr="00BE1726" w:rsidRDefault="002277DE" w:rsidP="00BE1726">
      <w:r w:rsidRPr="00BE1726">
        <w:t>Ratajczak, M., Gold, N., Hailstone, S. and Chadborn, T. (2019) ‘The effectiveness of repeating a social norm feedback intervention to high prescribers of antibiotics in general practice: a national regression discontinuity design’, Journal of Antimicrobial Chemotherapy, 74(12), pp. 3603–3610. https://doi.org/10.1093/jac/dkz392.</w:t>
      </w:r>
    </w:p>
    <w:p w14:paraId="015333BD" w14:textId="77777777" w:rsidR="002277DE" w:rsidRDefault="002277DE" w:rsidP="00BE1726">
      <w:r w:rsidRPr="00A236AD">
        <w:t xml:space="preserve">Rethlefsen, M.L., Kirtley, S., Waffenschmidt, S., Ayala, A.P., Moher, D., Page, M.J. and Koffel, J.B. (2021) ‘PRISMA-S: an extension to the PRISMA Statement for Reporting Literature Searches in Systematic Reviews’, </w:t>
      </w:r>
      <w:r w:rsidRPr="00A236AD">
        <w:rPr>
          <w:i/>
          <w:iCs/>
        </w:rPr>
        <w:t>Systematic Reviews</w:t>
      </w:r>
      <w:r w:rsidRPr="00A236AD">
        <w:t>, 10, 39. doi:10.1186/s13643-020-01542-z</w:t>
      </w:r>
    </w:p>
    <w:p w14:paraId="6FF4991F" w14:textId="77777777" w:rsidR="002277DE" w:rsidRDefault="002277DE" w:rsidP="009859E2">
      <w:r>
        <w:t>Rezel-Potts, E., L’Esperance, V. and Gulliford, M.C. (2021) ‘Antimicrobial stewardship in the UK during the COVID-19 pandemic: a population-based cohort study and interrupted time-series analysis’, British Journal of General Practice, 71(706), pp. e331-e338. doi:10.3399/BJGP.2020.1051.</w:t>
      </w:r>
    </w:p>
    <w:p w14:paraId="15A334B3" w14:textId="77777777" w:rsidR="002277DE" w:rsidRDefault="002277DE" w:rsidP="009859E2">
      <w:r>
        <w:t>Rijk, M.H., et al. (2024) ‘Prognostic factors and prediction models for hospitalisation and mortality in adults with lower respiratory tract infection in primary care: a systematic review’, BMJ Open, 14, e075475. doi:10.1136/bmjopen-2023-075475.</w:t>
      </w:r>
    </w:p>
    <w:p w14:paraId="31296E67" w14:textId="77777777" w:rsidR="002277DE" w:rsidRPr="00B171D4" w:rsidRDefault="002277DE" w:rsidP="009859E2">
      <w:r w:rsidRPr="00B171D4">
        <w:t>Rutter, J., Wilcox, C.R., Odeh, N., Muller, I., Clark, T.W., Little, P., Davies, F., McGavin, J. and Francis, N. (2024) ‘Use of the FebriDx point-of-care test for lower respiratory tract infections in primary care: a qualitative interview study’, BJGP Open, 8(3), BJGPO.2024.0024. doi:10.3399/BJGPO.2024.0024.</w:t>
      </w:r>
    </w:p>
    <w:p w14:paraId="1D7D21D0" w14:textId="77777777" w:rsidR="002277DE" w:rsidRDefault="002277DE" w:rsidP="009859E2">
      <w:r>
        <w:t>Scandrett, K., Colquitt, J., Court, R., Whiter, F., Shinkins, B., Takwoingi, Y., Loveman, E., Todkill, D., Gill, P., Lasserson, D., Al-Khudairy, L., Grove, A. and Chen, Y.-F. (2025) ‘Rapid tests to inform triage and antibiotic prescribing decisions for adults presenting with suspected acute respiratory infection: a rapid evidence synthesis of clinical effectiveness and cost-utility studies’, Health Technology Assessment, 29(13), pp. 1-114. doi:10.3310/KHGP7129.</w:t>
      </w:r>
    </w:p>
    <w:p w14:paraId="6486EB79" w14:textId="77777777" w:rsidR="002277DE" w:rsidRPr="00BE1726" w:rsidRDefault="002277DE" w:rsidP="00BE1726">
      <w:r w:rsidRPr="00BE1726">
        <w:t>Scottish Government (2024) Medicines – achieving value and sustainability in prescribing: guidance. Edinburgh: Scottish Government. Available at: https://www.gov.scot/publications/achieving-value-sustainability-prescribing/ (Accessed: 11 September 2026).</w:t>
      </w:r>
    </w:p>
    <w:p w14:paraId="270462AA" w14:textId="77777777" w:rsidR="002277DE" w:rsidRPr="00B171D4" w:rsidRDefault="002277DE" w:rsidP="009859E2">
      <w:r w:rsidRPr="00B171D4">
        <w:lastRenderedPageBreak/>
        <w:t>Seeley, A., Fanshawe, T., Voysey, M., Hay, A., Moore, M. and Hayward, G. (2021) ‘Diagnostic accuracy of Fever-PAIN and Centor criteria for bacterial throat infection in adults with sore throat: a secondary analysis of a randomised controlled trial’, BJGP Open, 5(6), BJGPO.2021.0122. doi:10.3399/BJGPO.2021.0122.</w:t>
      </w:r>
    </w:p>
    <w:p w14:paraId="6E49E833" w14:textId="77777777" w:rsidR="002277DE" w:rsidRPr="00BE1726" w:rsidRDefault="002277DE" w:rsidP="00BE1726">
      <w:r w:rsidRPr="00BE1726">
        <w:t>Smieszek, T., Pouwels, K.B., Dolk, F.C.K. et al. (2018) ‘Potential for reducing inappropriate antibiotic prescribing in English primary care’, Journal of Antimicrobial Chemotherapy, 73(Suppl. 2), pp. ii36–ii43. https://doi.org/10.1093/jac/dkx500.</w:t>
      </w:r>
    </w:p>
    <w:p w14:paraId="245DE191" w14:textId="77777777" w:rsidR="002277DE" w:rsidRPr="00BE1726" w:rsidRDefault="002277DE" w:rsidP="00BE1726">
      <w:r w:rsidRPr="00BE1726">
        <w:t>Smith, D.R.M., Dolk, F.C.K., Pouwels, K.B., Christie, M., Robotham, J.V. and Smieszek, T. (2018) ‘Defining the appropriateness and inappropriateness of antibiotic prescribing in primary care’, Journal of Antimicrobial Chemotherapy, 73(Suppl. 2), pp. ii11–ii18. https://doi.org/10.1093/jac/dkx503.</w:t>
      </w:r>
    </w:p>
    <w:p w14:paraId="40A34706" w14:textId="77777777" w:rsidR="002277DE" w:rsidRDefault="002277DE" w:rsidP="009859E2">
      <w:r>
        <w:t>Stimson, J., McKeever, T.M., Agnew, E., Lim, W.S., Royal, S., Myles, P., Evans, S. and Robotham, J.V. (2024) ‘Risk of unintended consequences from lower antibiotic prescribing for respiratory tract infections in primary care’, Journal of Infection, 89(4), 106255. doi:10.1016/j.jinf.2024.106255.</w:t>
      </w:r>
    </w:p>
    <w:p w14:paraId="52E898BB" w14:textId="77777777" w:rsidR="002277DE" w:rsidRPr="00BE1726" w:rsidRDefault="002277DE" w:rsidP="00BE1726">
      <w:r w:rsidRPr="00BE1726">
        <w:t>Stuart, B., Brotherwood, H., Van’t Hoff, C. et al. (2020) ‘Exploring the appropriateness of antibiotic prescribing for common respiratory tract infections in UK primary care’, Journal of Antimicrobial Chemotherapy, 75(1), pp. 236–242. https://doi.org/10.1093/jac/dkz410.</w:t>
      </w:r>
    </w:p>
    <w:p w14:paraId="403818D2" w14:textId="77777777" w:rsidR="002277DE" w:rsidRPr="00476113" w:rsidRDefault="002277DE" w:rsidP="009859E2">
      <w:r w:rsidRPr="00476113">
        <w:t>Stuart, B., Hounkpatin, H., Becque, T., Yao, G., Zhu, S., Alonso-Coello, P., Altiner, A., Arroll, B., Böhning, D., Bostock, J., Bucher, H.C., Chao, J., de la Poza, M., Francis, N., Gillespie, D., Hay, A.D., Kenealy, T., Löffler, C., McCormick, D.P. and Mas-Dalmau, G. (2021). Delayed antibiotic prescribing for respiratory tract infections: individual patient data meta-analysis. BMJ, 373(373), p.n808. doi:https://doi.org/10.1136/bmj.n808.</w:t>
      </w:r>
    </w:p>
    <w:p w14:paraId="431D16CB" w14:textId="77777777" w:rsidR="002277DE" w:rsidRPr="00BE1726" w:rsidRDefault="002277DE" w:rsidP="00BE1726">
      <w:r w:rsidRPr="00BE1726">
        <w:t>Thomson, K., Berry, R., Robinson, T., Brown, H., Bambra, C. and Todd, A. (2020) ‘An examination of trends in antibiotic prescribing in primary care and the association with area-level deprivation in England’, BMC Public Health, 20, 1148. https://doi.org/10.1186/s12889-020-09227-x.</w:t>
      </w:r>
    </w:p>
    <w:p w14:paraId="4E002FCE" w14:textId="77777777" w:rsidR="002277DE" w:rsidRDefault="002277DE" w:rsidP="009859E2">
      <w:r>
        <w:t>Tonkin-Crine, S., et al. (2023) ‘Implementing antibiotic stewardship in high-prescribing English general practices: a mixed-methods study’, British Journal of General Practice, 73(728), pp. e164-e175. doi:10.3399/BJGP.2022.0298.</w:t>
      </w:r>
    </w:p>
    <w:p w14:paraId="7836C54E" w14:textId="77777777" w:rsidR="002277DE" w:rsidRPr="00476113" w:rsidRDefault="002277DE" w:rsidP="009859E2">
      <w:r w:rsidRPr="00476113">
        <w:lastRenderedPageBreak/>
        <w:t>UK Health Security Agency (2024). ESPAUR report 2024 to 2025: lay summary. [online] GOV.UK. Available at: https://www.gov.uk/government/publications/english-surveillance-programme-for-antimicrobial-utilisation-and-resistance-espaur-report/espaur-report-2022-to-2023-lay-summary [Accessed 28 Jun. 2026].</w:t>
      </w:r>
    </w:p>
    <w:p w14:paraId="683C2883" w14:textId="77777777" w:rsidR="002277DE" w:rsidRDefault="002277DE" w:rsidP="009859E2">
      <w:r>
        <w:t>UK Health Security Agency (UKHSA) (2025) UK-AWaRe antibiotic classification. London: UKHSA. Available at: https://www.gov.uk/government/publications/uk-aware-antibiotic-classification (Accessed: 29 July 2026).</w:t>
      </w:r>
    </w:p>
    <w:p w14:paraId="66EB0813" w14:textId="77777777" w:rsidR="002277DE" w:rsidRDefault="002277DE" w:rsidP="009859E2">
      <w:r>
        <w:t>UK Health Security Agency (UKHSA) (2026) English surveillance programme for antimicrobial utilisation and resistance (ESPAUR) 2024 to 2025 report. London: UKHSA. Available at: https://www.gov.uk/government/publications/english-surveillance-programme-for-antimicrobial-utilisation-and-resistance-espaur-2024-to-2025-report (Accessed: 29 July 2026).</w:t>
      </w:r>
    </w:p>
    <w:p w14:paraId="61A19C9D" w14:textId="77777777" w:rsidR="002277DE" w:rsidRPr="00B171D4" w:rsidRDefault="002277DE" w:rsidP="009859E2">
      <w:r w:rsidRPr="00B171D4">
        <w:t>van Hecke, O., Bjerrum, L., Gentile, I., Hopstaken, R., Melbye, H., Plate, A., Verbakel, J.Y., Llor, C. and Staiano, A. (2023) ‘Guidance on C-reactive protein point-of-care testing and complementary strategies to improve antibiotic prescribing for adults with lower respiratory tract infections in primary care’, Frontiers in Medicine, 10, 1166742. doi:10.3389/fmed.2023.1166742.</w:t>
      </w:r>
    </w:p>
    <w:p w14:paraId="10021977" w14:textId="77777777" w:rsidR="002277DE" w:rsidRPr="00B171D4" w:rsidRDefault="002277DE" w:rsidP="009859E2">
      <w:r w:rsidRPr="00B171D4">
        <w:t>van Staa, T.P., Palin, V., Brown, B., Welfare, W., Li, Y. and Ashcroft, D.M. (2021) ‘The safety of delayed versus immediate antibiotic prescribing for upper respiratory tract infections’, Clinical Infectious Diseases, 73(2), pp. e394–e401. doi:10.1093/cid/ciaa890.</w:t>
      </w:r>
    </w:p>
    <w:p w14:paraId="3B97A952" w14:textId="243BCF58" w:rsidR="002277DE" w:rsidRPr="00476113" w:rsidRDefault="00E1338D" w:rsidP="009859E2">
      <w:r w:rsidRPr="00E1338D">
        <w:t>van der Velden, A.W. et al. (2022)</w:t>
      </w:r>
      <w:r w:rsidR="002277DE" w:rsidRPr="00476113">
        <w:t>. Point-of-care testing, antibiotic prescribing, and prescribing confidence for respiratory tract infections in primary care: a prospective audit in 18 European countries. BJGP Open, [online] 6(2). doi:https://doi.org/10.3399/BJGPO.2021.0212.</w:t>
      </w:r>
    </w:p>
    <w:p w14:paraId="44478661" w14:textId="77777777" w:rsidR="002277DE" w:rsidRPr="00476113" w:rsidRDefault="002277DE" w:rsidP="009859E2">
      <w:r w:rsidRPr="00476113">
        <w:t>Vestesson, E., Corte, K.D., Chappell, P., Crellin, E. and Clarke, G.M. (2023). Antibiotic prescribing in remote versus face-to-face consultations for acute respiratory infections in primary care in England: an observational study using target maximum likelihood estimation. EClinicalMedicine, 64(64), pp.102245–102245. doi:https://doi.org/10.1016/j.eclinm.2023.102245.</w:t>
      </w:r>
    </w:p>
    <w:p w14:paraId="06FB1E0B" w14:textId="77777777" w:rsidR="002277DE" w:rsidRPr="00BE1726" w:rsidRDefault="002277DE" w:rsidP="00BE1726">
      <w:r w:rsidRPr="00BE1726">
        <w:t>Ward, C. (2018) ‘Point-of-care C-reactive protein testing to optimise antibiotic use in a primary care urgent care centre setting’, BMJ Open Quality, 7(4), e000391. https://doi.org/10.1136/bmjoq-2018-000391.</w:t>
      </w:r>
    </w:p>
    <w:p w14:paraId="6ABC4790" w14:textId="77777777" w:rsidR="002277DE" w:rsidRDefault="002277DE" w:rsidP="009859E2">
      <w:r>
        <w:lastRenderedPageBreak/>
        <w:t>Webster, K.E., et al. (2024) ‘Diagnostic accuracy of point-of-care tests for acute respiratory infection: a systematic review of reviews’, Health Technology Assessment. doi:10.3310/JLCP4570.</w:t>
      </w:r>
    </w:p>
    <w:p w14:paraId="541248A9" w14:textId="77777777" w:rsidR="002277DE" w:rsidRPr="00B171D4" w:rsidRDefault="002277DE" w:rsidP="009859E2">
      <w:r w:rsidRPr="00B171D4">
        <w:t>Whitehorne, E.A., Cooper, E., Hayes, C.V., Strettle, L. and Lecky, D.M. (2026) ‘Implementing a cycle of antimicrobial stewardship in primary care: a qualitative study’, JAC-Antimicrobial Resistance, 8(2), dlag062. doi:10.1093/jacamr/dlag062.</w:t>
      </w:r>
    </w:p>
    <w:p w14:paraId="5C7A6411" w14:textId="77777777" w:rsidR="002277DE" w:rsidRPr="00BE1726" w:rsidRDefault="002277DE" w:rsidP="00BE1726">
      <w:r w:rsidRPr="00BE1726">
        <w:t>Williams, S.J. et al. (2018) ‘General practitioner and nurse prescriber experiences of prescribing antibiotics for respiratory tract infections in UK primary care out-of-hours services (the UNITE study)’, Journal of Antimicrobial Chemotherapy, 73(3), pp. 795–803. https://doi.org/10.1093/jac/dkx429.</w:t>
      </w:r>
    </w:p>
    <w:p w14:paraId="5E5DD6DC" w14:textId="77777777" w:rsidR="002277DE" w:rsidRDefault="002277DE" w:rsidP="009859E2">
      <w:r>
        <w:t>Yang, Y.-T., et al. (2023) ‘Impact of COVID-19 on the treatment of common infections and antibiotic prescribing in England’, Antimicrobial Resistance &amp; Infection Control, 12, 102. doi:10.1186/s13756-023-01280-6.</w:t>
      </w:r>
    </w:p>
    <w:p w14:paraId="5108AB55" w14:textId="77777777" w:rsidR="002277DE" w:rsidRDefault="002277DE" w:rsidP="009859E2">
      <w:r w:rsidRPr="00B171D4">
        <w:t>Zhong, X., Pate, A., Yang, Y.-T., Fahmi, A., Ashcroft, D.M., Goldacre, B., MacKenna, B., Mehrkar, A., Bacon, S.C., Massey, J., Fisher, L., Inglesby, P., Hand, K., van Staa, T. and Palin, V. (2023) ‘Impact of COVID-19 on broad-spectrum antibiotic prescribing for common infections in primary care in England: a time-series analyses using OpenSAFELY and effects of predictors including deprivation’, The Lancet Regional Health – Europe, 30, 100653. doi:10.1016/j.lanepe.2023.100653.</w:t>
      </w:r>
    </w:p>
    <w:p w14:paraId="54A1CDEB" w14:textId="77777777" w:rsidR="002277DE" w:rsidRDefault="002277DE" w:rsidP="00BE1726">
      <w:r w:rsidRPr="00BE1726">
        <w:t>Zhu, N.J., McLeod, M., McNulty, C.A.M., Lecky, D.M., Holmes, A.H. and Ahmad, R. (2021) ‘Trends in antibiotic prescribing in out-of-hours primary care in England from January 2016 to June 2020 to understand behaviours during the first wave of COVID-19’, Antibiotics, 10(1), 32. https://doi.org/10.3390/antibiotics10010032.</w:t>
      </w:r>
    </w:p>
    <w:p w14:paraId="48E65D1C" w14:textId="77777777" w:rsidR="004F40CE" w:rsidRDefault="004F40CE" w:rsidP="009859E2"/>
    <w:p w14:paraId="64267CEE" w14:textId="0C693476" w:rsidR="00FA668A" w:rsidRDefault="00FA668A" w:rsidP="00F5008C"/>
    <w:p w14:paraId="3393A31C" w14:textId="77777777" w:rsidR="00FA668A" w:rsidRDefault="00FA668A" w:rsidP="00F5008C">
      <w:pPr>
        <w:sectPr w:rsidR="00FA668A">
          <w:footerReference w:type="default" r:id="rId14"/>
          <w:pgSz w:w="12240" w:h="15840"/>
          <w:pgMar w:top="1440" w:right="1417" w:bottom="1440" w:left="1587" w:header="720" w:footer="720" w:gutter="0"/>
          <w:cols w:space="720"/>
          <w:docGrid w:linePitch="360"/>
        </w:sectPr>
      </w:pPr>
    </w:p>
    <w:p w14:paraId="41E52B2F" w14:textId="449BCF07" w:rsidR="00FA668A" w:rsidRPr="008424F4" w:rsidRDefault="00CA19D9" w:rsidP="008424F4">
      <w:pPr>
        <w:pStyle w:val="Heading1"/>
      </w:pPr>
      <w:bookmarkStart w:id="79" w:name="_Toc240921698"/>
      <w:r>
        <w:lastRenderedPageBreak/>
        <w:t>Appendi</w:t>
      </w:r>
      <w:r w:rsidR="008424F4">
        <w:t>ces</w:t>
      </w:r>
      <w:bookmarkEnd w:id="79"/>
    </w:p>
    <w:p w14:paraId="1DD92949" w14:textId="690F15CD" w:rsidR="008424F4" w:rsidRPr="00EF6710" w:rsidRDefault="008424F4" w:rsidP="00EF6710">
      <w:pPr>
        <w:pStyle w:val="Heading2"/>
      </w:pPr>
      <w:bookmarkStart w:id="80" w:name="_Toc240921699"/>
      <w:r w:rsidRPr="008424F4">
        <w:t xml:space="preserve">Appendix A </w:t>
      </w:r>
      <w:r>
        <w:t xml:space="preserve">- </w:t>
      </w:r>
      <w:r w:rsidRPr="008424F4">
        <w:t>Data Extraction Table</w:t>
      </w:r>
      <w:bookmarkEnd w:id="80"/>
    </w:p>
    <w:tbl>
      <w:tblPr>
        <w:tblStyle w:val="TableGrid"/>
        <w:tblW w:w="0" w:type="auto"/>
        <w:tblLook w:val="04A0" w:firstRow="1" w:lastRow="0" w:firstColumn="1" w:lastColumn="0" w:noHBand="0" w:noVBand="1"/>
      </w:tblPr>
      <w:tblGrid>
        <w:gridCol w:w="1643"/>
        <w:gridCol w:w="1886"/>
        <w:gridCol w:w="2315"/>
        <w:gridCol w:w="2368"/>
        <w:gridCol w:w="2544"/>
      </w:tblGrid>
      <w:tr w:rsidR="00EF6710" w:rsidRPr="008424F4" w14:paraId="39653506" w14:textId="77777777" w:rsidTr="008424F4">
        <w:tc>
          <w:tcPr>
            <w:tcW w:w="0" w:type="auto"/>
            <w:hideMark/>
          </w:tcPr>
          <w:p w14:paraId="2F119A3B" w14:textId="77777777" w:rsidR="008424F4" w:rsidRPr="003530E1" w:rsidRDefault="008424F4" w:rsidP="008424F4">
            <w:pPr>
              <w:rPr>
                <w:b/>
                <w:bCs/>
                <w:u w:val="single"/>
              </w:rPr>
            </w:pPr>
            <w:r w:rsidRPr="003530E1">
              <w:rPr>
                <w:b/>
                <w:bCs/>
                <w:u w:val="single"/>
              </w:rPr>
              <w:t>Author(s)</w:t>
            </w:r>
          </w:p>
        </w:tc>
        <w:tc>
          <w:tcPr>
            <w:tcW w:w="0" w:type="auto"/>
            <w:hideMark/>
          </w:tcPr>
          <w:p w14:paraId="51569290" w14:textId="77777777" w:rsidR="008424F4" w:rsidRPr="003530E1" w:rsidRDefault="008424F4" w:rsidP="008424F4">
            <w:pPr>
              <w:rPr>
                <w:b/>
                <w:bCs/>
                <w:u w:val="single"/>
              </w:rPr>
            </w:pPr>
            <w:r w:rsidRPr="003530E1">
              <w:rPr>
                <w:b/>
                <w:bCs/>
                <w:u w:val="single"/>
              </w:rPr>
              <w:t>Objective</w:t>
            </w:r>
          </w:p>
        </w:tc>
        <w:tc>
          <w:tcPr>
            <w:tcW w:w="0" w:type="auto"/>
            <w:hideMark/>
          </w:tcPr>
          <w:p w14:paraId="014182F2" w14:textId="77777777" w:rsidR="008424F4" w:rsidRPr="003530E1" w:rsidRDefault="008424F4" w:rsidP="008424F4">
            <w:pPr>
              <w:rPr>
                <w:b/>
                <w:bCs/>
                <w:u w:val="single"/>
              </w:rPr>
            </w:pPr>
            <w:r w:rsidRPr="003530E1">
              <w:rPr>
                <w:b/>
                <w:bCs/>
                <w:u w:val="single"/>
              </w:rPr>
              <w:t>Methods</w:t>
            </w:r>
          </w:p>
        </w:tc>
        <w:tc>
          <w:tcPr>
            <w:tcW w:w="0" w:type="auto"/>
            <w:hideMark/>
          </w:tcPr>
          <w:p w14:paraId="49492F37" w14:textId="77777777" w:rsidR="008424F4" w:rsidRPr="003530E1" w:rsidRDefault="008424F4" w:rsidP="008424F4">
            <w:pPr>
              <w:rPr>
                <w:b/>
                <w:bCs/>
                <w:u w:val="single"/>
              </w:rPr>
            </w:pPr>
            <w:r w:rsidRPr="003530E1">
              <w:rPr>
                <w:b/>
                <w:bCs/>
                <w:u w:val="single"/>
              </w:rPr>
              <w:t>Findings</w:t>
            </w:r>
          </w:p>
        </w:tc>
        <w:tc>
          <w:tcPr>
            <w:tcW w:w="0" w:type="auto"/>
            <w:hideMark/>
          </w:tcPr>
          <w:p w14:paraId="17A53EC1" w14:textId="77777777" w:rsidR="008424F4" w:rsidRPr="003530E1" w:rsidRDefault="008424F4" w:rsidP="008424F4">
            <w:pPr>
              <w:rPr>
                <w:b/>
                <w:bCs/>
                <w:u w:val="single"/>
              </w:rPr>
            </w:pPr>
            <w:r w:rsidRPr="003530E1">
              <w:rPr>
                <w:b/>
                <w:bCs/>
                <w:u w:val="single"/>
              </w:rPr>
              <w:t>Strengths &amp; Weaknesses</w:t>
            </w:r>
          </w:p>
        </w:tc>
      </w:tr>
      <w:tr w:rsidR="00EF6710" w:rsidRPr="008424F4" w14:paraId="5EB05403" w14:textId="77777777" w:rsidTr="008424F4">
        <w:tc>
          <w:tcPr>
            <w:tcW w:w="0" w:type="auto"/>
            <w:hideMark/>
          </w:tcPr>
          <w:p w14:paraId="7AB008E2" w14:textId="77777777" w:rsidR="008424F4" w:rsidRPr="008424F4" w:rsidRDefault="008424F4" w:rsidP="008424F4">
            <w:r w:rsidRPr="008424F4">
              <w:rPr>
                <w:b/>
                <w:bCs/>
              </w:rPr>
              <w:t>Borek et al. (2021a)</w:t>
            </w:r>
          </w:p>
        </w:tc>
        <w:tc>
          <w:tcPr>
            <w:tcW w:w="0" w:type="auto"/>
            <w:hideMark/>
          </w:tcPr>
          <w:p w14:paraId="4E51C0E9" w14:textId="77777777" w:rsidR="008424F4" w:rsidRPr="003530E1" w:rsidRDefault="008424F4" w:rsidP="008424F4">
            <w:pPr>
              <w:rPr>
                <w:sz w:val="18"/>
                <w:szCs w:val="18"/>
              </w:rPr>
            </w:pPr>
            <w:r w:rsidRPr="003530E1">
              <w:rPr>
                <w:sz w:val="18"/>
                <w:szCs w:val="18"/>
              </w:rPr>
              <w:t>To explore how high-prescribing English general practices implemented interventions intended to reduce antibiotic use.</w:t>
            </w:r>
          </w:p>
        </w:tc>
        <w:tc>
          <w:tcPr>
            <w:tcW w:w="0" w:type="auto"/>
            <w:hideMark/>
          </w:tcPr>
          <w:p w14:paraId="31627965" w14:textId="77777777" w:rsidR="008424F4" w:rsidRPr="003530E1" w:rsidRDefault="008424F4" w:rsidP="008424F4">
            <w:pPr>
              <w:rPr>
                <w:sz w:val="18"/>
                <w:szCs w:val="18"/>
              </w:rPr>
            </w:pPr>
            <w:r w:rsidRPr="003530E1">
              <w:rPr>
                <w:sz w:val="18"/>
                <w:szCs w:val="18"/>
              </w:rPr>
              <w:t>Qualitative study across nine high-prescribing general practices; focus groups/interviews with 50 healthcare professionals; thematic analysis.</w:t>
            </w:r>
          </w:p>
        </w:tc>
        <w:tc>
          <w:tcPr>
            <w:tcW w:w="0" w:type="auto"/>
            <w:hideMark/>
          </w:tcPr>
          <w:p w14:paraId="29D7EDDC" w14:textId="77777777" w:rsidR="008424F4" w:rsidRPr="003530E1" w:rsidRDefault="008424F4" w:rsidP="008424F4">
            <w:pPr>
              <w:rPr>
                <w:sz w:val="18"/>
                <w:szCs w:val="18"/>
              </w:rPr>
            </w:pPr>
            <w:r w:rsidRPr="003530E1">
              <w:rPr>
                <w:sz w:val="18"/>
                <w:szCs w:val="18"/>
              </w:rPr>
              <w:t>Delayed prescriptions and CRP point-of-care testing were valued as reassurance and communication tools. Uptake was affected by workflow, resources and local prescribing norms.</w:t>
            </w:r>
          </w:p>
        </w:tc>
        <w:tc>
          <w:tcPr>
            <w:tcW w:w="0" w:type="auto"/>
            <w:hideMark/>
          </w:tcPr>
          <w:p w14:paraId="0B887CAB" w14:textId="77777777" w:rsidR="00EF6710" w:rsidRPr="003530E1" w:rsidRDefault="008424F4" w:rsidP="008424F4">
            <w:pPr>
              <w:rPr>
                <w:sz w:val="18"/>
                <w:szCs w:val="18"/>
              </w:rPr>
            </w:pPr>
            <w:r w:rsidRPr="003530E1">
              <w:rPr>
                <w:b/>
                <w:bCs/>
                <w:sz w:val="18"/>
                <w:szCs w:val="18"/>
              </w:rPr>
              <w:t>Strengths:</w:t>
            </w:r>
            <w:r w:rsidRPr="003530E1">
              <w:rPr>
                <w:sz w:val="18"/>
                <w:szCs w:val="18"/>
              </w:rPr>
              <w:t xml:space="preserve"> Multi-practice, multidisciplinary, real-world implementation evidence.</w:t>
            </w:r>
          </w:p>
          <w:p w14:paraId="5BCCE66A" w14:textId="0DA845C0" w:rsidR="008424F4" w:rsidRPr="003530E1" w:rsidRDefault="008424F4" w:rsidP="008424F4">
            <w:pPr>
              <w:rPr>
                <w:sz w:val="18"/>
                <w:szCs w:val="18"/>
              </w:rPr>
            </w:pPr>
            <w:r w:rsidRPr="003530E1">
              <w:rPr>
                <w:b/>
                <w:bCs/>
                <w:sz w:val="18"/>
                <w:szCs w:val="18"/>
              </w:rPr>
              <w:t>Weaknesses:</w:t>
            </w:r>
            <w:r w:rsidRPr="003530E1">
              <w:rPr>
                <w:sz w:val="18"/>
                <w:szCs w:val="18"/>
              </w:rPr>
              <w:t xml:space="preserve"> Purposive high-prescribing sample and self-reported experiences limit transferability.</w:t>
            </w:r>
          </w:p>
        </w:tc>
      </w:tr>
      <w:tr w:rsidR="00EF6710" w:rsidRPr="008424F4" w14:paraId="39246EDD" w14:textId="77777777" w:rsidTr="008424F4">
        <w:tc>
          <w:tcPr>
            <w:tcW w:w="0" w:type="auto"/>
            <w:hideMark/>
          </w:tcPr>
          <w:p w14:paraId="2D93D953" w14:textId="77777777" w:rsidR="008424F4" w:rsidRPr="008424F4" w:rsidRDefault="008424F4" w:rsidP="008424F4">
            <w:r w:rsidRPr="008424F4">
              <w:rPr>
                <w:b/>
                <w:bCs/>
              </w:rPr>
              <w:t>Borek et al. (2021b)</w:t>
            </w:r>
          </w:p>
        </w:tc>
        <w:tc>
          <w:tcPr>
            <w:tcW w:w="0" w:type="auto"/>
            <w:hideMark/>
          </w:tcPr>
          <w:p w14:paraId="1C04FDA7" w14:textId="77777777" w:rsidR="008424F4" w:rsidRPr="003530E1" w:rsidRDefault="008424F4" w:rsidP="008424F4">
            <w:pPr>
              <w:rPr>
                <w:sz w:val="18"/>
                <w:szCs w:val="18"/>
              </w:rPr>
            </w:pPr>
            <w:r w:rsidRPr="003530E1">
              <w:rPr>
                <w:sz w:val="18"/>
                <w:szCs w:val="18"/>
              </w:rPr>
              <w:t>To examine GPs’ experiences of how COVID-19 affected community antibiotic prescribing and stewardship.</w:t>
            </w:r>
          </w:p>
        </w:tc>
        <w:tc>
          <w:tcPr>
            <w:tcW w:w="0" w:type="auto"/>
            <w:hideMark/>
          </w:tcPr>
          <w:p w14:paraId="0683A180" w14:textId="77777777" w:rsidR="008424F4" w:rsidRPr="003530E1" w:rsidRDefault="008424F4" w:rsidP="008424F4">
            <w:pPr>
              <w:rPr>
                <w:sz w:val="18"/>
                <w:szCs w:val="18"/>
              </w:rPr>
            </w:pPr>
            <w:r w:rsidRPr="003530E1">
              <w:rPr>
                <w:sz w:val="18"/>
                <w:szCs w:val="18"/>
              </w:rPr>
              <w:t>Longitudinal qualitative study; 24 interviews with 18 GPs at two time points in England; thematic analysis.</w:t>
            </w:r>
          </w:p>
        </w:tc>
        <w:tc>
          <w:tcPr>
            <w:tcW w:w="0" w:type="auto"/>
            <w:hideMark/>
          </w:tcPr>
          <w:p w14:paraId="02D756F6" w14:textId="77777777" w:rsidR="008424F4" w:rsidRPr="003530E1" w:rsidRDefault="008424F4" w:rsidP="008424F4">
            <w:pPr>
              <w:rPr>
                <w:sz w:val="18"/>
                <w:szCs w:val="18"/>
              </w:rPr>
            </w:pPr>
            <w:r w:rsidRPr="003530E1">
              <w:rPr>
                <w:sz w:val="18"/>
                <w:szCs w:val="18"/>
              </w:rPr>
              <w:t>Early pandemic conditions reduced face-to-face assessment and lowered prescribing thresholds. Stewardship activity subsequently moved closer to pre-pandemic practice.</w:t>
            </w:r>
          </w:p>
        </w:tc>
        <w:tc>
          <w:tcPr>
            <w:tcW w:w="0" w:type="auto"/>
            <w:hideMark/>
          </w:tcPr>
          <w:p w14:paraId="70B5B586" w14:textId="77777777" w:rsidR="00EF6710" w:rsidRPr="003530E1" w:rsidRDefault="008424F4" w:rsidP="008424F4">
            <w:pPr>
              <w:rPr>
                <w:sz w:val="18"/>
                <w:szCs w:val="18"/>
              </w:rPr>
            </w:pPr>
            <w:r w:rsidRPr="003530E1">
              <w:rPr>
                <w:b/>
                <w:bCs/>
                <w:sz w:val="18"/>
                <w:szCs w:val="18"/>
              </w:rPr>
              <w:t>Strengths:</w:t>
            </w:r>
            <w:r w:rsidRPr="003530E1">
              <w:rPr>
                <w:sz w:val="18"/>
                <w:szCs w:val="18"/>
              </w:rPr>
              <w:t xml:space="preserve"> Longitudinal design captured change over time.</w:t>
            </w:r>
          </w:p>
          <w:p w14:paraId="1A2FDC55" w14:textId="416C3EE5" w:rsidR="008424F4" w:rsidRPr="003530E1" w:rsidRDefault="008424F4" w:rsidP="008424F4">
            <w:pPr>
              <w:rPr>
                <w:sz w:val="18"/>
                <w:szCs w:val="18"/>
              </w:rPr>
            </w:pPr>
            <w:r w:rsidRPr="003530E1">
              <w:rPr>
                <w:b/>
                <w:bCs/>
                <w:sz w:val="18"/>
                <w:szCs w:val="18"/>
              </w:rPr>
              <w:t>Weaknesses:</w:t>
            </w:r>
            <w:r w:rsidRPr="003530E1">
              <w:rPr>
                <w:sz w:val="18"/>
                <w:szCs w:val="18"/>
              </w:rPr>
              <w:t xml:space="preserve"> Small purposive sample and pandemic-specific context restrict wider transferability.</w:t>
            </w:r>
          </w:p>
        </w:tc>
      </w:tr>
      <w:tr w:rsidR="00EF6710" w:rsidRPr="008424F4" w14:paraId="5E589F90" w14:textId="77777777" w:rsidTr="008424F4">
        <w:tc>
          <w:tcPr>
            <w:tcW w:w="0" w:type="auto"/>
            <w:hideMark/>
          </w:tcPr>
          <w:p w14:paraId="45BDF7CA" w14:textId="77777777" w:rsidR="008424F4" w:rsidRPr="008424F4" w:rsidRDefault="008424F4" w:rsidP="008424F4">
            <w:r w:rsidRPr="008424F4">
              <w:rPr>
                <w:b/>
                <w:bCs/>
              </w:rPr>
              <w:t>Hounkpatin et al. (2021)</w:t>
            </w:r>
          </w:p>
        </w:tc>
        <w:tc>
          <w:tcPr>
            <w:tcW w:w="0" w:type="auto"/>
            <w:hideMark/>
          </w:tcPr>
          <w:p w14:paraId="23D7E29E" w14:textId="77777777" w:rsidR="008424F4" w:rsidRPr="003530E1" w:rsidRDefault="008424F4" w:rsidP="008424F4">
            <w:pPr>
              <w:rPr>
                <w:sz w:val="18"/>
                <w:szCs w:val="18"/>
              </w:rPr>
            </w:pPr>
            <w:r w:rsidRPr="003530E1">
              <w:rPr>
                <w:sz w:val="18"/>
                <w:szCs w:val="18"/>
              </w:rPr>
              <w:t>To understand GPs’ views and experiences of using clinical prediction rules for respiratory infections.</w:t>
            </w:r>
          </w:p>
        </w:tc>
        <w:tc>
          <w:tcPr>
            <w:tcW w:w="0" w:type="auto"/>
            <w:hideMark/>
          </w:tcPr>
          <w:p w14:paraId="2C1D7FE5" w14:textId="77777777" w:rsidR="008424F4" w:rsidRPr="003530E1" w:rsidRDefault="008424F4" w:rsidP="008424F4">
            <w:pPr>
              <w:rPr>
                <w:sz w:val="18"/>
                <w:szCs w:val="18"/>
              </w:rPr>
            </w:pPr>
            <w:r w:rsidRPr="003530E1">
              <w:rPr>
                <w:sz w:val="18"/>
                <w:szCs w:val="18"/>
              </w:rPr>
              <w:t>Semi-structured qualitative interviews with 32 GPs in England; thematic analysis.</w:t>
            </w:r>
          </w:p>
        </w:tc>
        <w:tc>
          <w:tcPr>
            <w:tcW w:w="0" w:type="auto"/>
            <w:hideMark/>
          </w:tcPr>
          <w:p w14:paraId="02C04C63" w14:textId="77777777" w:rsidR="008424F4" w:rsidRPr="003530E1" w:rsidRDefault="008424F4" w:rsidP="008424F4">
            <w:pPr>
              <w:rPr>
                <w:sz w:val="18"/>
                <w:szCs w:val="18"/>
              </w:rPr>
            </w:pPr>
            <w:r w:rsidRPr="003530E1">
              <w:rPr>
                <w:sz w:val="18"/>
                <w:szCs w:val="18"/>
              </w:rPr>
              <w:t>Prediction rules were considered useful prompts, but time, patient complexity, familiarity and remote consultation affected their use; clinical judgement remained central.</w:t>
            </w:r>
          </w:p>
        </w:tc>
        <w:tc>
          <w:tcPr>
            <w:tcW w:w="0" w:type="auto"/>
            <w:hideMark/>
          </w:tcPr>
          <w:p w14:paraId="25ED8EAA" w14:textId="77777777" w:rsidR="00EF6710" w:rsidRPr="003530E1" w:rsidRDefault="008424F4" w:rsidP="008424F4">
            <w:pPr>
              <w:rPr>
                <w:sz w:val="18"/>
                <w:szCs w:val="18"/>
              </w:rPr>
            </w:pPr>
            <w:r w:rsidRPr="003530E1">
              <w:rPr>
                <w:b/>
                <w:bCs/>
                <w:sz w:val="18"/>
                <w:szCs w:val="18"/>
              </w:rPr>
              <w:t>Strengths:</w:t>
            </w:r>
            <w:r w:rsidRPr="003530E1">
              <w:rPr>
                <w:sz w:val="18"/>
                <w:szCs w:val="18"/>
              </w:rPr>
              <w:t xml:space="preserve"> Direct evidence concerning respiratory decision support.</w:t>
            </w:r>
          </w:p>
          <w:p w14:paraId="263F1D6D" w14:textId="3D69FBCC" w:rsidR="008424F4" w:rsidRPr="003530E1" w:rsidRDefault="008424F4" w:rsidP="008424F4">
            <w:pPr>
              <w:rPr>
                <w:sz w:val="18"/>
                <w:szCs w:val="18"/>
              </w:rPr>
            </w:pPr>
            <w:r w:rsidRPr="003530E1">
              <w:rPr>
                <w:b/>
                <w:bCs/>
                <w:sz w:val="18"/>
                <w:szCs w:val="18"/>
              </w:rPr>
              <w:t>Weaknesses:</w:t>
            </w:r>
            <w:r w:rsidRPr="003530E1">
              <w:rPr>
                <w:sz w:val="18"/>
                <w:szCs w:val="18"/>
              </w:rPr>
              <w:t xml:space="preserve"> Self-reported behaviour may differ from practice; qualitative design cannot estimate frequency of use.</w:t>
            </w:r>
          </w:p>
        </w:tc>
      </w:tr>
      <w:tr w:rsidR="00EF6710" w:rsidRPr="008424F4" w14:paraId="3E411442" w14:textId="77777777" w:rsidTr="008424F4">
        <w:tc>
          <w:tcPr>
            <w:tcW w:w="0" w:type="auto"/>
            <w:hideMark/>
          </w:tcPr>
          <w:p w14:paraId="08EE344D" w14:textId="77777777" w:rsidR="008424F4" w:rsidRPr="008424F4" w:rsidRDefault="008424F4" w:rsidP="008424F4">
            <w:r w:rsidRPr="008424F4">
              <w:rPr>
                <w:b/>
                <w:bCs/>
              </w:rPr>
              <w:t>Rutter et al. (2024)</w:t>
            </w:r>
          </w:p>
        </w:tc>
        <w:tc>
          <w:tcPr>
            <w:tcW w:w="0" w:type="auto"/>
            <w:hideMark/>
          </w:tcPr>
          <w:p w14:paraId="35593169" w14:textId="77777777" w:rsidR="008424F4" w:rsidRPr="003530E1" w:rsidRDefault="008424F4" w:rsidP="008424F4">
            <w:pPr>
              <w:rPr>
                <w:sz w:val="18"/>
                <w:szCs w:val="18"/>
              </w:rPr>
            </w:pPr>
            <w:r w:rsidRPr="003530E1">
              <w:rPr>
                <w:sz w:val="18"/>
                <w:szCs w:val="18"/>
              </w:rPr>
              <w:t>To explore patient and healthcare-professional experiences of using FebriDx for LRTI in primary care.</w:t>
            </w:r>
          </w:p>
        </w:tc>
        <w:tc>
          <w:tcPr>
            <w:tcW w:w="0" w:type="auto"/>
            <w:hideMark/>
          </w:tcPr>
          <w:p w14:paraId="39C94EE7" w14:textId="77777777" w:rsidR="008424F4" w:rsidRPr="003530E1" w:rsidRDefault="008424F4" w:rsidP="008424F4">
            <w:pPr>
              <w:rPr>
                <w:sz w:val="18"/>
                <w:szCs w:val="18"/>
              </w:rPr>
            </w:pPr>
            <w:r w:rsidRPr="003530E1">
              <w:rPr>
                <w:sz w:val="18"/>
                <w:szCs w:val="18"/>
              </w:rPr>
              <w:t>Remote semi-structured interviews with 12 patients and 10 healthcare professionals in southern England; thematic analysis.</w:t>
            </w:r>
          </w:p>
        </w:tc>
        <w:tc>
          <w:tcPr>
            <w:tcW w:w="0" w:type="auto"/>
            <w:hideMark/>
          </w:tcPr>
          <w:p w14:paraId="7AE4D1E0" w14:textId="77777777" w:rsidR="008424F4" w:rsidRPr="003530E1" w:rsidRDefault="008424F4" w:rsidP="008424F4">
            <w:pPr>
              <w:rPr>
                <w:sz w:val="18"/>
                <w:szCs w:val="18"/>
              </w:rPr>
            </w:pPr>
            <w:r w:rsidRPr="003530E1">
              <w:rPr>
                <w:sz w:val="18"/>
                <w:szCs w:val="18"/>
              </w:rPr>
              <w:t>FebriDx supported prescribing decisions and communication, but blood collection, result interpretation and communication of negative results created barriers.</w:t>
            </w:r>
          </w:p>
        </w:tc>
        <w:tc>
          <w:tcPr>
            <w:tcW w:w="0" w:type="auto"/>
            <w:hideMark/>
          </w:tcPr>
          <w:p w14:paraId="37547609" w14:textId="77777777" w:rsidR="008424F4" w:rsidRPr="003530E1" w:rsidRDefault="008424F4" w:rsidP="008424F4">
            <w:pPr>
              <w:rPr>
                <w:sz w:val="18"/>
                <w:szCs w:val="18"/>
              </w:rPr>
            </w:pPr>
            <w:r w:rsidRPr="003530E1">
              <w:rPr>
                <w:b/>
                <w:bCs/>
                <w:sz w:val="18"/>
                <w:szCs w:val="18"/>
              </w:rPr>
              <w:t>Strengths:</w:t>
            </w:r>
            <w:r w:rsidRPr="003530E1">
              <w:rPr>
                <w:sz w:val="18"/>
                <w:szCs w:val="18"/>
              </w:rPr>
              <w:t xml:space="preserve"> Includes patient and professional perspectives. </w:t>
            </w:r>
            <w:r w:rsidRPr="003530E1">
              <w:rPr>
                <w:b/>
                <w:bCs/>
                <w:sz w:val="18"/>
                <w:szCs w:val="18"/>
              </w:rPr>
              <w:t>Weaknesses:</w:t>
            </w:r>
            <w:r w:rsidRPr="003530E1">
              <w:rPr>
                <w:sz w:val="18"/>
                <w:szCs w:val="18"/>
              </w:rPr>
              <w:t xml:space="preserve"> Small regional sample; acceptability does not establish clinical effectiveness.</w:t>
            </w:r>
          </w:p>
        </w:tc>
      </w:tr>
      <w:tr w:rsidR="00EF6710" w:rsidRPr="008424F4" w14:paraId="0307FA79" w14:textId="77777777" w:rsidTr="008424F4">
        <w:tc>
          <w:tcPr>
            <w:tcW w:w="0" w:type="auto"/>
            <w:hideMark/>
          </w:tcPr>
          <w:p w14:paraId="61B2EB69" w14:textId="77777777" w:rsidR="008424F4" w:rsidRPr="008424F4" w:rsidRDefault="008424F4" w:rsidP="008424F4">
            <w:r w:rsidRPr="008424F4">
              <w:rPr>
                <w:b/>
                <w:bCs/>
              </w:rPr>
              <w:t>Seeley et al. (2021)</w:t>
            </w:r>
          </w:p>
        </w:tc>
        <w:tc>
          <w:tcPr>
            <w:tcW w:w="0" w:type="auto"/>
            <w:hideMark/>
          </w:tcPr>
          <w:p w14:paraId="27FE0745" w14:textId="77777777" w:rsidR="008424F4" w:rsidRPr="003530E1" w:rsidRDefault="008424F4" w:rsidP="008424F4">
            <w:pPr>
              <w:rPr>
                <w:sz w:val="18"/>
                <w:szCs w:val="18"/>
              </w:rPr>
            </w:pPr>
            <w:r w:rsidRPr="003530E1">
              <w:rPr>
                <w:sz w:val="18"/>
                <w:szCs w:val="18"/>
              </w:rPr>
              <w:t xml:space="preserve">To assess the diagnostic accuracy of FeverPAIN and Centor criteria for </w:t>
            </w:r>
            <w:r w:rsidRPr="003530E1">
              <w:rPr>
                <w:sz w:val="18"/>
                <w:szCs w:val="18"/>
              </w:rPr>
              <w:lastRenderedPageBreak/>
              <w:t>bacterial throat infection in adults.</w:t>
            </w:r>
          </w:p>
        </w:tc>
        <w:tc>
          <w:tcPr>
            <w:tcW w:w="0" w:type="auto"/>
            <w:hideMark/>
          </w:tcPr>
          <w:p w14:paraId="576999A9" w14:textId="77777777" w:rsidR="008424F4" w:rsidRPr="003530E1" w:rsidRDefault="008424F4" w:rsidP="008424F4">
            <w:pPr>
              <w:rPr>
                <w:sz w:val="18"/>
                <w:szCs w:val="18"/>
              </w:rPr>
            </w:pPr>
            <w:r w:rsidRPr="003530E1">
              <w:rPr>
                <w:sz w:val="18"/>
                <w:szCs w:val="18"/>
              </w:rPr>
              <w:lastRenderedPageBreak/>
              <w:t xml:space="preserve">Secondary diagnostic analysis of the TOAST trial; 565 adults aged ≥18 years in UK primary care; </w:t>
            </w:r>
            <w:r w:rsidRPr="003530E1">
              <w:rPr>
                <w:sz w:val="18"/>
                <w:szCs w:val="18"/>
              </w:rPr>
              <w:lastRenderedPageBreak/>
              <w:t>CPR scores compared with throat-swab culture.</w:t>
            </w:r>
          </w:p>
        </w:tc>
        <w:tc>
          <w:tcPr>
            <w:tcW w:w="0" w:type="auto"/>
            <w:hideMark/>
          </w:tcPr>
          <w:p w14:paraId="0938E00F" w14:textId="77777777" w:rsidR="008424F4" w:rsidRPr="003530E1" w:rsidRDefault="008424F4" w:rsidP="008424F4">
            <w:pPr>
              <w:rPr>
                <w:sz w:val="18"/>
                <w:szCs w:val="18"/>
              </w:rPr>
            </w:pPr>
            <w:r w:rsidRPr="003530E1">
              <w:rPr>
                <w:sz w:val="18"/>
                <w:szCs w:val="18"/>
              </w:rPr>
              <w:lastRenderedPageBreak/>
              <w:t xml:space="preserve">Diagnostic discrimination was limited for both scores; higher scores were nevertheless associated </w:t>
            </w:r>
            <w:r w:rsidRPr="003530E1">
              <w:rPr>
                <w:sz w:val="18"/>
                <w:szCs w:val="18"/>
              </w:rPr>
              <w:lastRenderedPageBreak/>
              <w:t>with greater use of delayed antibiotic prescriptions.</w:t>
            </w:r>
          </w:p>
        </w:tc>
        <w:tc>
          <w:tcPr>
            <w:tcW w:w="0" w:type="auto"/>
            <w:hideMark/>
          </w:tcPr>
          <w:p w14:paraId="0CAE8A09" w14:textId="77777777" w:rsidR="00EF6710" w:rsidRPr="003530E1" w:rsidRDefault="008424F4" w:rsidP="008424F4">
            <w:pPr>
              <w:rPr>
                <w:sz w:val="18"/>
                <w:szCs w:val="18"/>
              </w:rPr>
            </w:pPr>
            <w:r w:rsidRPr="003530E1">
              <w:rPr>
                <w:b/>
                <w:bCs/>
                <w:sz w:val="18"/>
                <w:szCs w:val="18"/>
              </w:rPr>
              <w:lastRenderedPageBreak/>
              <w:t>Strengths:</w:t>
            </w:r>
            <w:r w:rsidRPr="003530E1">
              <w:rPr>
                <w:sz w:val="18"/>
                <w:szCs w:val="18"/>
              </w:rPr>
              <w:t xml:space="preserve"> Adult-only UK primary-care population and </w:t>
            </w:r>
            <w:r w:rsidRPr="003530E1">
              <w:rPr>
                <w:sz w:val="18"/>
                <w:szCs w:val="18"/>
              </w:rPr>
              <w:lastRenderedPageBreak/>
              <w:t>microbiological reference standard.</w:t>
            </w:r>
          </w:p>
          <w:p w14:paraId="65F855FF" w14:textId="7D930833" w:rsidR="008424F4" w:rsidRPr="003530E1" w:rsidRDefault="008424F4" w:rsidP="008424F4">
            <w:pPr>
              <w:rPr>
                <w:sz w:val="18"/>
                <w:szCs w:val="18"/>
              </w:rPr>
            </w:pPr>
            <w:r w:rsidRPr="003530E1">
              <w:rPr>
                <w:b/>
                <w:bCs/>
                <w:sz w:val="18"/>
                <w:szCs w:val="18"/>
              </w:rPr>
              <w:t>Weaknesses:</w:t>
            </w:r>
            <w:r w:rsidRPr="003530E1">
              <w:rPr>
                <w:sz w:val="18"/>
                <w:szCs w:val="18"/>
              </w:rPr>
              <w:t xml:space="preserve"> CPR scores calculated post hoc; culture results were not available for every participant. </w:t>
            </w:r>
          </w:p>
        </w:tc>
      </w:tr>
      <w:tr w:rsidR="00EF6710" w:rsidRPr="008424F4" w14:paraId="3E6CFDF2" w14:textId="77777777" w:rsidTr="008424F4">
        <w:tc>
          <w:tcPr>
            <w:tcW w:w="0" w:type="auto"/>
            <w:hideMark/>
          </w:tcPr>
          <w:p w14:paraId="64209779" w14:textId="77777777" w:rsidR="008424F4" w:rsidRPr="008424F4" w:rsidRDefault="008424F4" w:rsidP="008424F4">
            <w:r w:rsidRPr="008424F4">
              <w:rPr>
                <w:b/>
                <w:bCs/>
              </w:rPr>
              <w:lastRenderedPageBreak/>
              <w:t>Dixon et al. (2022)</w:t>
            </w:r>
          </w:p>
        </w:tc>
        <w:tc>
          <w:tcPr>
            <w:tcW w:w="0" w:type="auto"/>
            <w:hideMark/>
          </w:tcPr>
          <w:p w14:paraId="515FDA8B" w14:textId="77777777" w:rsidR="008424F4" w:rsidRPr="003530E1" w:rsidRDefault="008424F4" w:rsidP="008424F4">
            <w:pPr>
              <w:rPr>
                <w:sz w:val="18"/>
                <w:szCs w:val="18"/>
              </w:rPr>
            </w:pPr>
            <w:r w:rsidRPr="003530E1">
              <w:rPr>
                <w:sz w:val="18"/>
                <w:szCs w:val="18"/>
              </w:rPr>
              <w:t>To evaluate whether CRP point-of-care testing influenced antibiotic prescribing in out-of-hours primary care.</w:t>
            </w:r>
          </w:p>
        </w:tc>
        <w:tc>
          <w:tcPr>
            <w:tcW w:w="0" w:type="auto"/>
            <w:hideMark/>
          </w:tcPr>
          <w:p w14:paraId="654FF251" w14:textId="77777777" w:rsidR="008424F4" w:rsidRPr="003530E1" w:rsidRDefault="008424F4" w:rsidP="008424F4">
            <w:pPr>
              <w:rPr>
                <w:sz w:val="18"/>
                <w:szCs w:val="18"/>
              </w:rPr>
            </w:pPr>
            <w:r w:rsidRPr="003530E1">
              <w:rPr>
                <w:sz w:val="18"/>
                <w:szCs w:val="18"/>
              </w:rPr>
              <w:t>Mixed-methods evaluation in England; comparative interrupted time-series analysis, test-use data and qualitative clinician interviews; three intervention and four control bases.</w:t>
            </w:r>
          </w:p>
        </w:tc>
        <w:tc>
          <w:tcPr>
            <w:tcW w:w="0" w:type="auto"/>
            <w:hideMark/>
          </w:tcPr>
          <w:p w14:paraId="470FF5E0" w14:textId="77777777" w:rsidR="008424F4" w:rsidRPr="003530E1" w:rsidRDefault="008424F4" w:rsidP="008424F4">
            <w:pPr>
              <w:rPr>
                <w:sz w:val="18"/>
                <w:szCs w:val="18"/>
              </w:rPr>
            </w:pPr>
            <w:r w:rsidRPr="003530E1">
              <w:rPr>
                <w:sz w:val="18"/>
                <w:szCs w:val="18"/>
              </w:rPr>
              <w:t>Prescribing declined over time but without a clear difference between intervention and control bases. Clinicians reported that CRP testing assisted uncertainty management and communication around non-prescribing.</w:t>
            </w:r>
          </w:p>
        </w:tc>
        <w:tc>
          <w:tcPr>
            <w:tcW w:w="0" w:type="auto"/>
            <w:hideMark/>
          </w:tcPr>
          <w:p w14:paraId="2D3435D8" w14:textId="77777777" w:rsidR="00EF6710" w:rsidRPr="003530E1" w:rsidRDefault="008424F4" w:rsidP="008424F4">
            <w:pPr>
              <w:rPr>
                <w:sz w:val="18"/>
                <w:szCs w:val="18"/>
              </w:rPr>
            </w:pPr>
            <w:r w:rsidRPr="003530E1">
              <w:rPr>
                <w:b/>
                <w:bCs/>
                <w:sz w:val="18"/>
                <w:szCs w:val="18"/>
              </w:rPr>
              <w:t>Strengths:</w:t>
            </w:r>
            <w:r w:rsidRPr="003530E1">
              <w:rPr>
                <w:sz w:val="18"/>
                <w:szCs w:val="18"/>
              </w:rPr>
              <w:t xml:space="preserve"> Integrates quantitative prescribing and implementation evidence.</w:t>
            </w:r>
          </w:p>
          <w:p w14:paraId="4A587428" w14:textId="4D681681" w:rsidR="008424F4" w:rsidRPr="003530E1" w:rsidRDefault="008424F4" w:rsidP="008424F4">
            <w:pPr>
              <w:rPr>
                <w:sz w:val="18"/>
                <w:szCs w:val="18"/>
              </w:rPr>
            </w:pPr>
            <w:r w:rsidRPr="003530E1">
              <w:rPr>
                <w:b/>
                <w:bCs/>
                <w:sz w:val="18"/>
                <w:szCs w:val="18"/>
              </w:rPr>
              <w:t>Weaknesses:</w:t>
            </w:r>
            <w:r w:rsidRPr="003530E1">
              <w:rPr>
                <w:sz w:val="18"/>
                <w:szCs w:val="18"/>
              </w:rPr>
              <w:t xml:space="preserve"> Low test uptake, substantial concentration of testing at one site and non-randomised implementation. </w:t>
            </w:r>
          </w:p>
        </w:tc>
      </w:tr>
      <w:tr w:rsidR="00EF6710" w:rsidRPr="008424F4" w14:paraId="43E6ED42" w14:textId="77777777" w:rsidTr="008424F4">
        <w:tc>
          <w:tcPr>
            <w:tcW w:w="0" w:type="auto"/>
            <w:hideMark/>
          </w:tcPr>
          <w:p w14:paraId="7656F777" w14:textId="77777777" w:rsidR="008424F4" w:rsidRPr="008424F4" w:rsidRDefault="008424F4" w:rsidP="008424F4">
            <w:r w:rsidRPr="008424F4">
              <w:rPr>
                <w:b/>
                <w:bCs/>
              </w:rPr>
              <w:t>Little et al. (2024)</w:t>
            </w:r>
          </w:p>
        </w:tc>
        <w:tc>
          <w:tcPr>
            <w:tcW w:w="0" w:type="auto"/>
            <w:hideMark/>
          </w:tcPr>
          <w:p w14:paraId="0160862C" w14:textId="77777777" w:rsidR="008424F4" w:rsidRPr="003530E1" w:rsidRDefault="008424F4" w:rsidP="008424F4">
            <w:pPr>
              <w:rPr>
                <w:sz w:val="18"/>
                <w:szCs w:val="18"/>
              </w:rPr>
            </w:pPr>
            <w:r w:rsidRPr="003530E1">
              <w:rPr>
                <w:sz w:val="18"/>
                <w:szCs w:val="18"/>
              </w:rPr>
              <w:t>To assess nasal-spray and behavioural interventions for acute respiratory illness.</w:t>
            </w:r>
          </w:p>
        </w:tc>
        <w:tc>
          <w:tcPr>
            <w:tcW w:w="0" w:type="auto"/>
            <w:hideMark/>
          </w:tcPr>
          <w:p w14:paraId="6F07F5DC" w14:textId="77777777" w:rsidR="008424F4" w:rsidRPr="003530E1" w:rsidRDefault="008424F4" w:rsidP="008424F4">
            <w:pPr>
              <w:rPr>
                <w:sz w:val="18"/>
                <w:szCs w:val="18"/>
              </w:rPr>
            </w:pPr>
            <w:r w:rsidRPr="003530E1">
              <w:rPr>
                <w:sz w:val="18"/>
                <w:szCs w:val="18"/>
              </w:rPr>
              <w:t>Large open-label, randomised, controlled parallel-group trial involving 13,799 adults in 332 UK general practices.</w:t>
            </w:r>
          </w:p>
        </w:tc>
        <w:tc>
          <w:tcPr>
            <w:tcW w:w="0" w:type="auto"/>
            <w:hideMark/>
          </w:tcPr>
          <w:p w14:paraId="1F6FFBC0" w14:textId="77777777" w:rsidR="008424F4" w:rsidRPr="003530E1" w:rsidRDefault="008424F4" w:rsidP="008424F4">
            <w:pPr>
              <w:rPr>
                <w:sz w:val="18"/>
                <w:szCs w:val="18"/>
              </w:rPr>
            </w:pPr>
            <w:r w:rsidRPr="003530E1">
              <w:rPr>
                <w:sz w:val="18"/>
                <w:szCs w:val="18"/>
              </w:rPr>
              <w:t>Nasal-spray interventions reduced illness duration, while several intervention groups showed lower antibiotic use than usual care.</w:t>
            </w:r>
          </w:p>
        </w:tc>
        <w:tc>
          <w:tcPr>
            <w:tcW w:w="0" w:type="auto"/>
            <w:hideMark/>
          </w:tcPr>
          <w:p w14:paraId="55D8F3DA" w14:textId="77777777" w:rsidR="00EF6710" w:rsidRPr="003530E1" w:rsidRDefault="008424F4" w:rsidP="008424F4">
            <w:pPr>
              <w:rPr>
                <w:sz w:val="18"/>
                <w:szCs w:val="18"/>
              </w:rPr>
            </w:pPr>
            <w:r w:rsidRPr="003530E1">
              <w:rPr>
                <w:b/>
                <w:bCs/>
                <w:sz w:val="18"/>
                <w:szCs w:val="18"/>
              </w:rPr>
              <w:t>Strengths:</w:t>
            </w:r>
            <w:r w:rsidRPr="003530E1">
              <w:rPr>
                <w:sz w:val="18"/>
                <w:szCs w:val="18"/>
              </w:rPr>
              <w:t xml:space="preserve"> Large multicentre adult RCT with clinically relevant outcomes.</w:t>
            </w:r>
          </w:p>
          <w:p w14:paraId="2619B950" w14:textId="44A700DD" w:rsidR="008424F4" w:rsidRPr="003530E1" w:rsidRDefault="008424F4" w:rsidP="008424F4">
            <w:pPr>
              <w:rPr>
                <w:sz w:val="18"/>
                <w:szCs w:val="18"/>
              </w:rPr>
            </w:pPr>
            <w:r w:rsidRPr="003530E1">
              <w:rPr>
                <w:b/>
                <w:bCs/>
                <w:sz w:val="18"/>
                <w:szCs w:val="18"/>
              </w:rPr>
              <w:t>Weaknesses:</w:t>
            </w:r>
            <w:r w:rsidRPr="003530E1">
              <w:rPr>
                <w:sz w:val="18"/>
                <w:szCs w:val="18"/>
              </w:rPr>
              <w:t xml:space="preserve"> Open-label design, self-reported outcomes and variable adherence.</w:t>
            </w:r>
          </w:p>
        </w:tc>
      </w:tr>
      <w:tr w:rsidR="00EF6710" w:rsidRPr="008424F4" w14:paraId="14314C86" w14:textId="77777777" w:rsidTr="008424F4">
        <w:tc>
          <w:tcPr>
            <w:tcW w:w="0" w:type="auto"/>
            <w:hideMark/>
          </w:tcPr>
          <w:p w14:paraId="0D28C37D" w14:textId="77777777" w:rsidR="008424F4" w:rsidRPr="008424F4" w:rsidRDefault="008424F4" w:rsidP="008424F4">
            <w:r w:rsidRPr="008424F4">
              <w:rPr>
                <w:b/>
                <w:bCs/>
              </w:rPr>
              <w:t>Hay et al. (2026)</w:t>
            </w:r>
          </w:p>
        </w:tc>
        <w:tc>
          <w:tcPr>
            <w:tcW w:w="0" w:type="auto"/>
            <w:hideMark/>
          </w:tcPr>
          <w:p w14:paraId="6FE042F6" w14:textId="77777777" w:rsidR="008424F4" w:rsidRPr="003530E1" w:rsidRDefault="008424F4" w:rsidP="008424F4">
            <w:pPr>
              <w:rPr>
                <w:sz w:val="18"/>
                <w:szCs w:val="18"/>
              </w:rPr>
            </w:pPr>
            <w:r w:rsidRPr="003530E1">
              <w:rPr>
                <w:sz w:val="18"/>
                <w:szCs w:val="18"/>
              </w:rPr>
              <w:t>To determine whether rapid respiratory microbiological POCT could safely reduce same-day antibiotic prescribing.</w:t>
            </w:r>
          </w:p>
        </w:tc>
        <w:tc>
          <w:tcPr>
            <w:tcW w:w="0" w:type="auto"/>
            <w:hideMark/>
          </w:tcPr>
          <w:p w14:paraId="0975CC2F" w14:textId="77777777" w:rsidR="008424F4" w:rsidRPr="003530E1" w:rsidRDefault="008424F4" w:rsidP="008424F4">
            <w:pPr>
              <w:rPr>
                <w:sz w:val="18"/>
                <w:szCs w:val="18"/>
              </w:rPr>
            </w:pPr>
            <w:r w:rsidRPr="003530E1">
              <w:rPr>
                <w:sz w:val="18"/>
                <w:szCs w:val="18"/>
              </w:rPr>
              <w:t>Parallel-group RCT in 16 general practices in South-West England; 552 participants randomised to multiplex POCT or usual care.</w:t>
            </w:r>
          </w:p>
        </w:tc>
        <w:tc>
          <w:tcPr>
            <w:tcW w:w="0" w:type="auto"/>
            <w:hideMark/>
          </w:tcPr>
          <w:p w14:paraId="0726E172" w14:textId="77777777" w:rsidR="008424F4" w:rsidRPr="003530E1" w:rsidRDefault="008424F4" w:rsidP="008424F4">
            <w:pPr>
              <w:rPr>
                <w:sz w:val="18"/>
                <w:szCs w:val="18"/>
              </w:rPr>
            </w:pPr>
            <w:r w:rsidRPr="003530E1">
              <w:rPr>
                <w:sz w:val="18"/>
                <w:szCs w:val="18"/>
              </w:rPr>
              <w:t>Same-day antibiotic prescribing was 45% in both groups. No significant difference in early symptom severity was identified, although some subgroups showed different effects.</w:t>
            </w:r>
          </w:p>
        </w:tc>
        <w:tc>
          <w:tcPr>
            <w:tcW w:w="0" w:type="auto"/>
            <w:hideMark/>
          </w:tcPr>
          <w:p w14:paraId="4BA538AB" w14:textId="77777777" w:rsidR="00EF6710" w:rsidRPr="003530E1" w:rsidRDefault="008424F4" w:rsidP="008424F4">
            <w:pPr>
              <w:rPr>
                <w:sz w:val="18"/>
                <w:szCs w:val="18"/>
              </w:rPr>
            </w:pPr>
            <w:r w:rsidRPr="003530E1">
              <w:rPr>
                <w:b/>
                <w:bCs/>
                <w:sz w:val="18"/>
                <w:szCs w:val="18"/>
              </w:rPr>
              <w:t>Strengths:</w:t>
            </w:r>
            <w:r w:rsidRPr="003530E1">
              <w:rPr>
                <w:sz w:val="18"/>
                <w:szCs w:val="18"/>
              </w:rPr>
              <w:t xml:space="preserve"> Randomisation, prespecified clinical and safety outcomes, blinded research/statistical team.</w:t>
            </w:r>
          </w:p>
          <w:p w14:paraId="79A398FE" w14:textId="1E916A3C" w:rsidR="008424F4" w:rsidRPr="003530E1" w:rsidRDefault="008424F4" w:rsidP="008424F4">
            <w:pPr>
              <w:rPr>
                <w:sz w:val="18"/>
                <w:szCs w:val="18"/>
              </w:rPr>
            </w:pPr>
            <w:r w:rsidRPr="003530E1">
              <w:rPr>
                <w:b/>
                <w:bCs/>
                <w:sz w:val="18"/>
                <w:szCs w:val="18"/>
              </w:rPr>
              <w:t>Weaknesses:</w:t>
            </w:r>
            <w:r w:rsidRPr="003530E1">
              <w:rPr>
                <w:sz w:val="18"/>
                <w:szCs w:val="18"/>
              </w:rPr>
              <w:t xml:space="preserve"> </w:t>
            </w:r>
            <w:r w:rsidR="000A08AC" w:rsidRPr="003530E1">
              <w:rPr>
                <w:sz w:val="18"/>
                <w:szCs w:val="18"/>
              </w:rPr>
              <w:t>Mixed-age population; 86% were aged ≥16 years, but outcomes for a strictly ≥18-year subgroup were not separately reported, reducing direct alignment with the review’s ≥18 eligibility criterion.</w:t>
            </w:r>
          </w:p>
        </w:tc>
      </w:tr>
      <w:tr w:rsidR="00EF6710" w:rsidRPr="008424F4" w14:paraId="4DAF0768" w14:textId="77777777" w:rsidTr="008424F4">
        <w:tc>
          <w:tcPr>
            <w:tcW w:w="0" w:type="auto"/>
            <w:hideMark/>
          </w:tcPr>
          <w:p w14:paraId="42517B15" w14:textId="77777777" w:rsidR="008424F4" w:rsidRPr="008424F4" w:rsidRDefault="008424F4" w:rsidP="008424F4">
            <w:r w:rsidRPr="008424F4">
              <w:rPr>
                <w:b/>
                <w:bCs/>
              </w:rPr>
              <w:t>van Staa et al. (2021)</w:t>
            </w:r>
          </w:p>
        </w:tc>
        <w:tc>
          <w:tcPr>
            <w:tcW w:w="0" w:type="auto"/>
            <w:hideMark/>
          </w:tcPr>
          <w:p w14:paraId="4AEBBCA1" w14:textId="77777777" w:rsidR="008424F4" w:rsidRPr="003530E1" w:rsidRDefault="008424F4" w:rsidP="008424F4">
            <w:pPr>
              <w:rPr>
                <w:sz w:val="18"/>
                <w:szCs w:val="18"/>
              </w:rPr>
            </w:pPr>
            <w:r w:rsidRPr="003530E1">
              <w:rPr>
                <w:sz w:val="18"/>
                <w:szCs w:val="18"/>
              </w:rPr>
              <w:t>To evaluate the safety of delayed compared with immediate antibiotic prescribing for URTIs.</w:t>
            </w:r>
          </w:p>
        </w:tc>
        <w:tc>
          <w:tcPr>
            <w:tcW w:w="0" w:type="auto"/>
            <w:hideMark/>
          </w:tcPr>
          <w:p w14:paraId="50B04AD3" w14:textId="77777777" w:rsidR="008424F4" w:rsidRPr="003530E1" w:rsidRDefault="008424F4" w:rsidP="008424F4">
            <w:pPr>
              <w:rPr>
                <w:sz w:val="18"/>
                <w:szCs w:val="18"/>
              </w:rPr>
            </w:pPr>
            <w:r w:rsidRPr="003530E1">
              <w:rPr>
                <w:sz w:val="18"/>
                <w:szCs w:val="18"/>
              </w:rPr>
              <w:t>Population-based linked-record cohort using CPRD England and SAIL Wales; approximately 1.82 million patients.</w:t>
            </w:r>
          </w:p>
        </w:tc>
        <w:tc>
          <w:tcPr>
            <w:tcW w:w="0" w:type="auto"/>
            <w:hideMark/>
          </w:tcPr>
          <w:p w14:paraId="16334E6E" w14:textId="77777777" w:rsidR="008424F4" w:rsidRPr="003530E1" w:rsidRDefault="008424F4" w:rsidP="008424F4">
            <w:pPr>
              <w:rPr>
                <w:sz w:val="18"/>
                <w:szCs w:val="18"/>
              </w:rPr>
            </w:pPr>
            <w:r w:rsidRPr="003530E1">
              <w:rPr>
                <w:sz w:val="18"/>
                <w:szCs w:val="18"/>
              </w:rPr>
              <w:t>Delayed prescribing was associated with higher 30-day infection-related hospital-admission risk in some patient groups.</w:t>
            </w:r>
          </w:p>
        </w:tc>
        <w:tc>
          <w:tcPr>
            <w:tcW w:w="0" w:type="auto"/>
            <w:hideMark/>
          </w:tcPr>
          <w:p w14:paraId="589E7A91" w14:textId="77777777" w:rsidR="00EF6710" w:rsidRPr="003530E1" w:rsidRDefault="008424F4" w:rsidP="008424F4">
            <w:pPr>
              <w:rPr>
                <w:sz w:val="18"/>
                <w:szCs w:val="18"/>
              </w:rPr>
            </w:pPr>
            <w:r w:rsidRPr="003530E1">
              <w:rPr>
                <w:b/>
                <w:bCs/>
                <w:sz w:val="18"/>
                <w:szCs w:val="18"/>
              </w:rPr>
              <w:t>Strengths:</w:t>
            </w:r>
            <w:r w:rsidRPr="003530E1">
              <w:rPr>
                <w:sz w:val="18"/>
                <w:szCs w:val="18"/>
              </w:rPr>
              <w:t xml:space="preserve"> Very large linked datasets and clinically important safety outcome.</w:t>
            </w:r>
          </w:p>
          <w:p w14:paraId="49549A44" w14:textId="546C44F6" w:rsidR="008424F4" w:rsidRPr="003530E1" w:rsidRDefault="008424F4" w:rsidP="008424F4">
            <w:pPr>
              <w:rPr>
                <w:sz w:val="18"/>
                <w:szCs w:val="18"/>
              </w:rPr>
            </w:pPr>
            <w:r w:rsidRPr="003530E1">
              <w:rPr>
                <w:b/>
                <w:bCs/>
                <w:sz w:val="18"/>
                <w:szCs w:val="18"/>
              </w:rPr>
              <w:t>Weaknesses:</w:t>
            </w:r>
            <w:r w:rsidRPr="003530E1">
              <w:rPr>
                <w:sz w:val="18"/>
                <w:szCs w:val="18"/>
              </w:rPr>
              <w:t xml:space="preserve"> Recorded exposure may not equal deliberate delayed prescribing; residual </w:t>
            </w:r>
            <w:r w:rsidRPr="003530E1">
              <w:rPr>
                <w:sz w:val="18"/>
                <w:szCs w:val="18"/>
              </w:rPr>
              <w:lastRenderedPageBreak/>
              <w:t>confounding by severity is possible.</w:t>
            </w:r>
          </w:p>
        </w:tc>
      </w:tr>
      <w:tr w:rsidR="00EF6710" w:rsidRPr="008424F4" w14:paraId="1E127838" w14:textId="77777777" w:rsidTr="008424F4">
        <w:tc>
          <w:tcPr>
            <w:tcW w:w="0" w:type="auto"/>
            <w:hideMark/>
          </w:tcPr>
          <w:p w14:paraId="4EBBFF6A" w14:textId="77777777" w:rsidR="008424F4" w:rsidRPr="008424F4" w:rsidRDefault="008424F4" w:rsidP="008424F4">
            <w:r w:rsidRPr="008424F4">
              <w:rPr>
                <w:b/>
                <w:bCs/>
              </w:rPr>
              <w:lastRenderedPageBreak/>
              <w:t>Palin et al. (2021)</w:t>
            </w:r>
          </w:p>
        </w:tc>
        <w:tc>
          <w:tcPr>
            <w:tcW w:w="0" w:type="auto"/>
            <w:hideMark/>
          </w:tcPr>
          <w:p w14:paraId="1D426F29" w14:textId="77777777" w:rsidR="008424F4" w:rsidRPr="003530E1" w:rsidRDefault="008424F4" w:rsidP="008424F4">
            <w:pPr>
              <w:rPr>
                <w:sz w:val="18"/>
                <w:szCs w:val="18"/>
              </w:rPr>
            </w:pPr>
            <w:r w:rsidRPr="003530E1">
              <w:rPr>
                <w:sz w:val="18"/>
                <w:szCs w:val="18"/>
              </w:rPr>
              <w:t>To examine whether longer antibiotic courses reduced infection-related complications compared with shorter courses.</w:t>
            </w:r>
          </w:p>
        </w:tc>
        <w:tc>
          <w:tcPr>
            <w:tcW w:w="0" w:type="auto"/>
            <w:hideMark/>
          </w:tcPr>
          <w:p w14:paraId="18AF2FB8" w14:textId="77777777" w:rsidR="008424F4" w:rsidRPr="003530E1" w:rsidRDefault="008424F4" w:rsidP="008424F4">
            <w:pPr>
              <w:rPr>
                <w:sz w:val="18"/>
                <w:szCs w:val="18"/>
              </w:rPr>
            </w:pPr>
            <w:r w:rsidRPr="003530E1">
              <w:rPr>
                <w:sz w:val="18"/>
                <w:szCs w:val="18"/>
              </w:rPr>
              <w:t>Retrospective CPRD cohort analysis of approximately four million acute infection episodes in English primary care.</w:t>
            </w:r>
          </w:p>
        </w:tc>
        <w:tc>
          <w:tcPr>
            <w:tcW w:w="0" w:type="auto"/>
            <w:hideMark/>
          </w:tcPr>
          <w:p w14:paraId="13C665B0" w14:textId="77777777" w:rsidR="008424F4" w:rsidRPr="003530E1" w:rsidRDefault="008424F4" w:rsidP="008424F4">
            <w:pPr>
              <w:rPr>
                <w:sz w:val="18"/>
                <w:szCs w:val="18"/>
              </w:rPr>
            </w:pPr>
            <w:r w:rsidRPr="003530E1">
              <w:rPr>
                <w:sz w:val="18"/>
                <w:szCs w:val="18"/>
              </w:rPr>
              <w:t>Longer courses were not more effective than shorter courses in reducing infection-related hospitalisation.</w:t>
            </w:r>
          </w:p>
        </w:tc>
        <w:tc>
          <w:tcPr>
            <w:tcW w:w="0" w:type="auto"/>
            <w:hideMark/>
          </w:tcPr>
          <w:p w14:paraId="51D1F534" w14:textId="77777777" w:rsidR="00EF6710" w:rsidRPr="003530E1" w:rsidRDefault="008424F4" w:rsidP="008424F4">
            <w:pPr>
              <w:rPr>
                <w:sz w:val="18"/>
                <w:szCs w:val="18"/>
              </w:rPr>
            </w:pPr>
            <w:r w:rsidRPr="003530E1">
              <w:rPr>
                <w:b/>
                <w:bCs/>
                <w:sz w:val="18"/>
                <w:szCs w:val="18"/>
              </w:rPr>
              <w:t>Strengths:</w:t>
            </w:r>
            <w:r w:rsidRPr="003530E1">
              <w:rPr>
                <w:sz w:val="18"/>
                <w:szCs w:val="18"/>
              </w:rPr>
              <w:t xml:space="preserve"> Very large routine-care dataset and clinically relevant duration comparison.</w:t>
            </w:r>
          </w:p>
          <w:p w14:paraId="3D37BB1F" w14:textId="334AA613" w:rsidR="008424F4" w:rsidRPr="003530E1" w:rsidRDefault="008424F4" w:rsidP="008424F4">
            <w:pPr>
              <w:rPr>
                <w:sz w:val="18"/>
                <w:szCs w:val="18"/>
              </w:rPr>
            </w:pPr>
            <w:r w:rsidRPr="003530E1">
              <w:rPr>
                <w:b/>
                <w:bCs/>
                <w:sz w:val="18"/>
                <w:szCs w:val="18"/>
              </w:rPr>
              <w:t>Weaknesses:</w:t>
            </w:r>
            <w:r w:rsidRPr="003530E1">
              <w:rPr>
                <w:sz w:val="18"/>
                <w:szCs w:val="18"/>
              </w:rPr>
              <w:t xml:space="preserve"> Confounding by indication, uncertain adherence and inclusion of several infection types.</w:t>
            </w:r>
          </w:p>
        </w:tc>
      </w:tr>
      <w:tr w:rsidR="00EF6710" w:rsidRPr="008424F4" w14:paraId="68883DA2" w14:textId="77777777" w:rsidTr="008424F4">
        <w:tc>
          <w:tcPr>
            <w:tcW w:w="0" w:type="auto"/>
            <w:hideMark/>
          </w:tcPr>
          <w:p w14:paraId="459ABBA8" w14:textId="77777777" w:rsidR="008424F4" w:rsidRPr="008424F4" w:rsidRDefault="008424F4" w:rsidP="008424F4">
            <w:r w:rsidRPr="008424F4">
              <w:rPr>
                <w:b/>
                <w:bCs/>
              </w:rPr>
              <w:t>Lalmohamed et al. (2024)</w:t>
            </w:r>
          </w:p>
        </w:tc>
        <w:tc>
          <w:tcPr>
            <w:tcW w:w="0" w:type="auto"/>
            <w:hideMark/>
          </w:tcPr>
          <w:p w14:paraId="5C1E0887" w14:textId="77777777" w:rsidR="008424F4" w:rsidRPr="003530E1" w:rsidRDefault="008424F4" w:rsidP="008424F4">
            <w:pPr>
              <w:rPr>
                <w:sz w:val="18"/>
                <w:szCs w:val="18"/>
              </w:rPr>
            </w:pPr>
            <w:r w:rsidRPr="003530E1">
              <w:rPr>
                <w:sz w:val="18"/>
                <w:szCs w:val="18"/>
              </w:rPr>
              <w:t>To investigate within-episode repeat antibiotic prescribing following RTI consultations.</w:t>
            </w:r>
          </w:p>
        </w:tc>
        <w:tc>
          <w:tcPr>
            <w:tcW w:w="0" w:type="auto"/>
            <w:hideMark/>
          </w:tcPr>
          <w:p w14:paraId="0739FD7C" w14:textId="77777777" w:rsidR="008424F4" w:rsidRPr="003530E1" w:rsidRDefault="008424F4" w:rsidP="008424F4">
            <w:pPr>
              <w:rPr>
                <w:sz w:val="18"/>
                <w:szCs w:val="18"/>
              </w:rPr>
            </w:pPr>
            <w:r w:rsidRPr="003530E1">
              <w:rPr>
                <w:sz w:val="18"/>
                <w:szCs w:val="18"/>
              </w:rPr>
              <w:t>Population-based cohort study of 905,964 antibiotic-treated RTI episodes; adult and child findings analysed separately.</w:t>
            </w:r>
          </w:p>
        </w:tc>
        <w:tc>
          <w:tcPr>
            <w:tcW w:w="0" w:type="auto"/>
            <w:hideMark/>
          </w:tcPr>
          <w:p w14:paraId="56BE3ABD" w14:textId="77777777" w:rsidR="008424F4" w:rsidRPr="003530E1" w:rsidRDefault="008424F4" w:rsidP="008424F4">
            <w:pPr>
              <w:rPr>
                <w:sz w:val="18"/>
                <w:szCs w:val="18"/>
              </w:rPr>
            </w:pPr>
            <w:r w:rsidRPr="003530E1">
              <w:rPr>
                <w:sz w:val="18"/>
                <w:szCs w:val="18"/>
              </w:rPr>
              <w:t>Among adults, repeat prescriptions occurred in 19.9% of LRTI episodes and 10.5% of URTI episodes, indicating an important stewardship opportunity.</w:t>
            </w:r>
          </w:p>
        </w:tc>
        <w:tc>
          <w:tcPr>
            <w:tcW w:w="0" w:type="auto"/>
            <w:hideMark/>
          </w:tcPr>
          <w:p w14:paraId="088D702A" w14:textId="77777777" w:rsidR="00EF6710" w:rsidRPr="003530E1" w:rsidRDefault="008424F4" w:rsidP="008424F4">
            <w:pPr>
              <w:rPr>
                <w:sz w:val="18"/>
                <w:szCs w:val="18"/>
              </w:rPr>
            </w:pPr>
            <w:r w:rsidRPr="003530E1">
              <w:rPr>
                <w:b/>
                <w:bCs/>
                <w:sz w:val="18"/>
                <w:szCs w:val="18"/>
              </w:rPr>
              <w:t>Strengths:</w:t>
            </w:r>
            <w:r w:rsidRPr="003530E1">
              <w:rPr>
                <w:sz w:val="18"/>
                <w:szCs w:val="18"/>
              </w:rPr>
              <w:t xml:space="preserve"> Large primary-care cohort and separately reported adult findings.</w:t>
            </w:r>
          </w:p>
          <w:p w14:paraId="5AE04371" w14:textId="0BA9B4E5" w:rsidR="008424F4" w:rsidRPr="003530E1" w:rsidRDefault="008424F4" w:rsidP="008424F4">
            <w:pPr>
              <w:rPr>
                <w:sz w:val="18"/>
                <w:szCs w:val="18"/>
              </w:rPr>
            </w:pPr>
            <w:r w:rsidRPr="003530E1">
              <w:rPr>
                <w:b/>
                <w:bCs/>
                <w:sz w:val="18"/>
                <w:szCs w:val="18"/>
              </w:rPr>
              <w:t>Weaknesses:</w:t>
            </w:r>
            <w:r w:rsidRPr="003530E1">
              <w:rPr>
                <w:sz w:val="18"/>
                <w:szCs w:val="18"/>
              </w:rPr>
              <w:t xml:space="preserve"> Observational data cannot establish that every repeat prescription was clinically unnecessary. </w:t>
            </w:r>
          </w:p>
        </w:tc>
      </w:tr>
      <w:tr w:rsidR="00EF6710" w:rsidRPr="008424F4" w14:paraId="1BA962D5" w14:textId="77777777" w:rsidTr="008424F4">
        <w:tc>
          <w:tcPr>
            <w:tcW w:w="0" w:type="auto"/>
            <w:hideMark/>
          </w:tcPr>
          <w:p w14:paraId="4DB16C28" w14:textId="77777777" w:rsidR="008424F4" w:rsidRPr="008424F4" w:rsidRDefault="008424F4" w:rsidP="008424F4">
            <w:r w:rsidRPr="008424F4">
              <w:rPr>
                <w:b/>
                <w:bCs/>
              </w:rPr>
              <w:t>Vestesson et al. (2023)</w:t>
            </w:r>
          </w:p>
        </w:tc>
        <w:tc>
          <w:tcPr>
            <w:tcW w:w="0" w:type="auto"/>
            <w:hideMark/>
          </w:tcPr>
          <w:p w14:paraId="2A8F217C" w14:textId="77777777" w:rsidR="008424F4" w:rsidRPr="003530E1" w:rsidRDefault="008424F4" w:rsidP="008424F4">
            <w:pPr>
              <w:rPr>
                <w:sz w:val="18"/>
                <w:szCs w:val="18"/>
              </w:rPr>
            </w:pPr>
            <w:r w:rsidRPr="003530E1">
              <w:rPr>
                <w:sz w:val="18"/>
                <w:szCs w:val="18"/>
              </w:rPr>
              <w:t>To assess the relationship between remote versus face-to-face ARI consultations and antibiotic prescribing.</w:t>
            </w:r>
          </w:p>
        </w:tc>
        <w:tc>
          <w:tcPr>
            <w:tcW w:w="0" w:type="auto"/>
            <w:hideMark/>
          </w:tcPr>
          <w:p w14:paraId="50045B8D" w14:textId="77777777" w:rsidR="008424F4" w:rsidRPr="003530E1" w:rsidRDefault="008424F4" w:rsidP="008424F4">
            <w:pPr>
              <w:rPr>
                <w:sz w:val="18"/>
                <w:szCs w:val="18"/>
              </w:rPr>
            </w:pPr>
            <w:r w:rsidRPr="003530E1">
              <w:rPr>
                <w:sz w:val="18"/>
                <w:szCs w:val="18"/>
              </w:rPr>
              <w:t>Observational CPRD Aurum analysis of 45,997 ARI consultations in England; adult and child analyses separated.</w:t>
            </w:r>
          </w:p>
        </w:tc>
        <w:tc>
          <w:tcPr>
            <w:tcW w:w="0" w:type="auto"/>
            <w:hideMark/>
          </w:tcPr>
          <w:p w14:paraId="52391154" w14:textId="77777777" w:rsidR="008424F4" w:rsidRPr="003530E1" w:rsidRDefault="008424F4" w:rsidP="008424F4">
            <w:pPr>
              <w:rPr>
                <w:sz w:val="18"/>
                <w:szCs w:val="18"/>
              </w:rPr>
            </w:pPr>
            <w:r w:rsidRPr="003530E1">
              <w:rPr>
                <w:sz w:val="18"/>
                <w:szCs w:val="18"/>
              </w:rPr>
              <w:t>Adults consulting remotely had higher adjusted odds of receiving antibiotics than adults assessed face to face.</w:t>
            </w:r>
          </w:p>
        </w:tc>
        <w:tc>
          <w:tcPr>
            <w:tcW w:w="0" w:type="auto"/>
            <w:hideMark/>
          </w:tcPr>
          <w:p w14:paraId="0D763338" w14:textId="77777777" w:rsidR="00EF6710" w:rsidRPr="003530E1" w:rsidRDefault="008424F4" w:rsidP="008424F4">
            <w:pPr>
              <w:rPr>
                <w:sz w:val="18"/>
                <w:szCs w:val="18"/>
              </w:rPr>
            </w:pPr>
            <w:r w:rsidRPr="003530E1">
              <w:rPr>
                <w:b/>
                <w:bCs/>
                <w:sz w:val="18"/>
                <w:szCs w:val="18"/>
              </w:rPr>
              <w:t>Strengths:</w:t>
            </w:r>
            <w:r w:rsidRPr="003530E1">
              <w:rPr>
                <w:sz w:val="18"/>
                <w:szCs w:val="18"/>
              </w:rPr>
              <w:t xml:space="preserve"> Large representative sample and adult-specific estimate.</w:t>
            </w:r>
          </w:p>
          <w:p w14:paraId="725AACF0" w14:textId="75385733" w:rsidR="008424F4" w:rsidRPr="003530E1" w:rsidRDefault="008424F4" w:rsidP="008424F4">
            <w:pPr>
              <w:rPr>
                <w:sz w:val="18"/>
                <w:szCs w:val="18"/>
              </w:rPr>
            </w:pPr>
            <w:r w:rsidRPr="003530E1">
              <w:rPr>
                <w:b/>
                <w:bCs/>
                <w:sz w:val="18"/>
                <w:szCs w:val="18"/>
              </w:rPr>
              <w:t>Weaknesses:</w:t>
            </w:r>
            <w:r w:rsidRPr="003530E1">
              <w:rPr>
                <w:sz w:val="18"/>
                <w:szCs w:val="18"/>
              </w:rPr>
              <w:t xml:space="preserve"> Residual confounding and possible consultation-mode misclassification.</w:t>
            </w:r>
          </w:p>
        </w:tc>
      </w:tr>
      <w:tr w:rsidR="00EF6710" w:rsidRPr="008424F4" w14:paraId="01B06CD7" w14:textId="77777777" w:rsidTr="008424F4">
        <w:tc>
          <w:tcPr>
            <w:tcW w:w="0" w:type="auto"/>
            <w:hideMark/>
          </w:tcPr>
          <w:p w14:paraId="4C4151BB" w14:textId="77777777" w:rsidR="008424F4" w:rsidRPr="008424F4" w:rsidRDefault="008424F4" w:rsidP="008424F4">
            <w:r w:rsidRPr="008424F4">
              <w:rPr>
                <w:b/>
                <w:bCs/>
              </w:rPr>
              <w:t>Zhong et al. (2023)</w:t>
            </w:r>
          </w:p>
        </w:tc>
        <w:tc>
          <w:tcPr>
            <w:tcW w:w="0" w:type="auto"/>
            <w:hideMark/>
          </w:tcPr>
          <w:p w14:paraId="00E9504C" w14:textId="77777777" w:rsidR="008424F4" w:rsidRPr="003530E1" w:rsidRDefault="008424F4" w:rsidP="008424F4">
            <w:pPr>
              <w:rPr>
                <w:sz w:val="18"/>
                <w:szCs w:val="18"/>
              </w:rPr>
            </w:pPr>
            <w:r w:rsidRPr="003530E1">
              <w:rPr>
                <w:sz w:val="18"/>
                <w:szCs w:val="18"/>
              </w:rPr>
              <w:t>To evaluate changes in broad-spectrum antibiotic prescribing during COVID-19.</w:t>
            </w:r>
          </w:p>
        </w:tc>
        <w:tc>
          <w:tcPr>
            <w:tcW w:w="0" w:type="auto"/>
            <w:hideMark/>
          </w:tcPr>
          <w:p w14:paraId="11BA3387" w14:textId="77777777" w:rsidR="008424F4" w:rsidRPr="003530E1" w:rsidRDefault="008424F4" w:rsidP="008424F4">
            <w:pPr>
              <w:rPr>
                <w:sz w:val="18"/>
                <w:szCs w:val="18"/>
              </w:rPr>
            </w:pPr>
            <w:r w:rsidRPr="003530E1">
              <w:rPr>
                <w:sz w:val="18"/>
                <w:szCs w:val="18"/>
              </w:rPr>
              <w:t>OpenSAFELY interrupted time-series analysis of more than 32 million prescriptions in English primary care.</w:t>
            </w:r>
          </w:p>
        </w:tc>
        <w:tc>
          <w:tcPr>
            <w:tcW w:w="0" w:type="auto"/>
            <w:hideMark/>
          </w:tcPr>
          <w:p w14:paraId="2F577333" w14:textId="77777777" w:rsidR="008424F4" w:rsidRPr="003530E1" w:rsidRDefault="008424F4" w:rsidP="008424F4">
            <w:pPr>
              <w:rPr>
                <w:sz w:val="18"/>
                <w:szCs w:val="18"/>
              </w:rPr>
            </w:pPr>
            <w:r w:rsidRPr="003530E1">
              <w:rPr>
                <w:sz w:val="18"/>
                <w:szCs w:val="18"/>
              </w:rPr>
              <w:t>Broad-spectrum prescribing increased immediately during the pandemic, particularly for LRTI, before moving towards previous levels.</w:t>
            </w:r>
          </w:p>
        </w:tc>
        <w:tc>
          <w:tcPr>
            <w:tcW w:w="0" w:type="auto"/>
            <w:hideMark/>
          </w:tcPr>
          <w:p w14:paraId="1F9F4065" w14:textId="77777777" w:rsidR="00EF6710" w:rsidRPr="003530E1" w:rsidRDefault="008424F4" w:rsidP="008424F4">
            <w:pPr>
              <w:rPr>
                <w:sz w:val="18"/>
                <w:szCs w:val="18"/>
              </w:rPr>
            </w:pPr>
            <w:r w:rsidRPr="003530E1">
              <w:rPr>
                <w:b/>
                <w:bCs/>
                <w:sz w:val="18"/>
                <w:szCs w:val="18"/>
              </w:rPr>
              <w:t>Strengths:</w:t>
            </w:r>
            <w:r w:rsidRPr="003530E1">
              <w:rPr>
                <w:sz w:val="18"/>
                <w:szCs w:val="18"/>
              </w:rPr>
              <w:t xml:space="preserve"> Very large national dataset and explicit time-series analysis.</w:t>
            </w:r>
          </w:p>
          <w:p w14:paraId="48EB3080" w14:textId="784F91F4" w:rsidR="008424F4" w:rsidRPr="003530E1" w:rsidRDefault="008424F4" w:rsidP="008424F4">
            <w:pPr>
              <w:rPr>
                <w:sz w:val="18"/>
                <w:szCs w:val="18"/>
              </w:rPr>
            </w:pPr>
            <w:r w:rsidRPr="003530E1">
              <w:rPr>
                <w:b/>
                <w:bCs/>
                <w:sz w:val="18"/>
                <w:szCs w:val="18"/>
              </w:rPr>
              <w:t>Weaknesses:</w:t>
            </w:r>
            <w:r w:rsidRPr="003530E1">
              <w:rPr>
                <w:sz w:val="18"/>
                <w:szCs w:val="18"/>
              </w:rPr>
              <w:t xml:space="preserve"> Pandemic-related system changes and routine coding complicate causal interpretation.</w:t>
            </w:r>
          </w:p>
        </w:tc>
      </w:tr>
      <w:tr w:rsidR="00EF6710" w:rsidRPr="008424F4" w14:paraId="14684DD5" w14:textId="77777777" w:rsidTr="008424F4">
        <w:tc>
          <w:tcPr>
            <w:tcW w:w="0" w:type="auto"/>
            <w:hideMark/>
          </w:tcPr>
          <w:p w14:paraId="684C3717" w14:textId="77777777" w:rsidR="008424F4" w:rsidRPr="008424F4" w:rsidRDefault="008424F4" w:rsidP="008424F4">
            <w:r w:rsidRPr="008424F4">
              <w:rPr>
                <w:b/>
                <w:bCs/>
              </w:rPr>
              <w:t>Stimson et al. (2024)</w:t>
            </w:r>
          </w:p>
        </w:tc>
        <w:tc>
          <w:tcPr>
            <w:tcW w:w="0" w:type="auto"/>
            <w:hideMark/>
          </w:tcPr>
          <w:p w14:paraId="4EEA5608" w14:textId="77777777" w:rsidR="008424F4" w:rsidRPr="003530E1" w:rsidRDefault="008424F4" w:rsidP="008424F4">
            <w:pPr>
              <w:rPr>
                <w:sz w:val="18"/>
                <w:szCs w:val="18"/>
              </w:rPr>
            </w:pPr>
            <w:r w:rsidRPr="003530E1">
              <w:rPr>
                <w:sz w:val="18"/>
                <w:szCs w:val="18"/>
              </w:rPr>
              <w:t>To determine whether lower RTI antibiotic prescribing was associated with unintended adverse outcomes.</w:t>
            </w:r>
          </w:p>
        </w:tc>
        <w:tc>
          <w:tcPr>
            <w:tcW w:w="0" w:type="auto"/>
            <w:hideMark/>
          </w:tcPr>
          <w:p w14:paraId="0EF3583C" w14:textId="77777777" w:rsidR="008424F4" w:rsidRPr="003530E1" w:rsidRDefault="008424F4" w:rsidP="008424F4">
            <w:pPr>
              <w:rPr>
                <w:sz w:val="18"/>
                <w:szCs w:val="18"/>
              </w:rPr>
            </w:pPr>
            <w:r w:rsidRPr="003530E1">
              <w:rPr>
                <w:sz w:val="18"/>
                <w:szCs w:val="18"/>
              </w:rPr>
              <w:t>Observational linked-data analysis involving 1,471 English general practices; hospitalisation, reconsultation and further prescribing assessed.</w:t>
            </w:r>
          </w:p>
        </w:tc>
        <w:tc>
          <w:tcPr>
            <w:tcW w:w="0" w:type="auto"/>
            <w:hideMark/>
          </w:tcPr>
          <w:p w14:paraId="288CBBC8" w14:textId="77777777" w:rsidR="008424F4" w:rsidRPr="003530E1" w:rsidRDefault="008424F4" w:rsidP="008424F4">
            <w:pPr>
              <w:rPr>
                <w:sz w:val="18"/>
                <w:szCs w:val="18"/>
              </w:rPr>
            </w:pPr>
            <w:r w:rsidRPr="003530E1">
              <w:rPr>
                <w:sz w:val="18"/>
                <w:szCs w:val="18"/>
              </w:rPr>
              <w:t>Lower-prescribing practices did not have increased pneumonia hospitalisation, although differences in reconsultation and subsequent prescribing were observed.</w:t>
            </w:r>
          </w:p>
        </w:tc>
        <w:tc>
          <w:tcPr>
            <w:tcW w:w="0" w:type="auto"/>
            <w:hideMark/>
          </w:tcPr>
          <w:p w14:paraId="540B419A" w14:textId="77777777" w:rsidR="00EF6710" w:rsidRPr="003530E1" w:rsidRDefault="008424F4" w:rsidP="008424F4">
            <w:pPr>
              <w:rPr>
                <w:sz w:val="18"/>
                <w:szCs w:val="18"/>
              </w:rPr>
            </w:pPr>
            <w:r w:rsidRPr="003530E1">
              <w:rPr>
                <w:b/>
                <w:bCs/>
                <w:sz w:val="18"/>
                <w:szCs w:val="18"/>
              </w:rPr>
              <w:t>Strengths:</w:t>
            </w:r>
            <w:r w:rsidRPr="003530E1">
              <w:rPr>
                <w:sz w:val="18"/>
                <w:szCs w:val="18"/>
              </w:rPr>
              <w:t xml:space="preserve"> Large longitudinal dataset and multiple safety outcomes.</w:t>
            </w:r>
          </w:p>
          <w:p w14:paraId="3A0CB429" w14:textId="3C09839F" w:rsidR="008424F4" w:rsidRPr="003530E1" w:rsidRDefault="008424F4" w:rsidP="008424F4">
            <w:pPr>
              <w:rPr>
                <w:sz w:val="18"/>
                <w:szCs w:val="18"/>
              </w:rPr>
            </w:pPr>
            <w:r w:rsidRPr="003530E1">
              <w:rPr>
                <w:b/>
                <w:bCs/>
                <w:sz w:val="18"/>
                <w:szCs w:val="18"/>
              </w:rPr>
              <w:t>Weaknesses:</w:t>
            </w:r>
            <w:r w:rsidRPr="003530E1">
              <w:rPr>
                <w:sz w:val="18"/>
                <w:szCs w:val="18"/>
              </w:rPr>
              <w:t xml:space="preserve"> Practice-level exposure may produce ecological bias; residual confounding remains.</w:t>
            </w:r>
          </w:p>
        </w:tc>
      </w:tr>
      <w:tr w:rsidR="00EF6710" w:rsidRPr="008424F4" w14:paraId="11830FCC" w14:textId="77777777" w:rsidTr="008424F4">
        <w:tc>
          <w:tcPr>
            <w:tcW w:w="0" w:type="auto"/>
            <w:hideMark/>
          </w:tcPr>
          <w:p w14:paraId="007E9C0E" w14:textId="77777777" w:rsidR="008424F4" w:rsidRPr="008424F4" w:rsidRDefault="008424F4" w:rsidP="008424F4">
            <w:r w:rsidRPr="008424F4">
              <w:rPr>
                <w:b/>
                <w:bCs/>
              </w:rPr>
              <w:lastRenderedPageBreak/>
              <w:t>Miller et al. (2025)</w:t>
            </w:r>
          </w:p>
        </w:tc>
        <w:tc>
          <w:tcPr>
            <w:tcW w:w="0" w:type="auto"/>
            <w:hideMark/>
          </w:tcPr>
          <w:p w14:paraId="143576FE" w14:textId="77777777" w:rsidR="008424F4" w:rsidRPr="003530E1" w:rsidRDefault="008424F4" w:rsidP="008424F4">
            <w:pPr>
              <w:rPr>
                <w:sz w:val="18"/>
                <w:szCs w:val="18"/>
              </w:rPr>
            </w:pPr>
            <w:r w:rsidRPr="003530E1">
              <w:rPr>
                <w:sz w:val="18"/>
                <w:szCs w:val="18"/>
              </w:rPr>
              <w:t>To estimate the volume of general-practice antibiotic prescribing attributable to RSV by age and antibiotic class.</w:t>
            </w:r>
          </w:p>
        </w:tc>
        <w:tc>
          <w:tcPr>
            <w:tcW w:w="0" w:type="auto"/>
            <w:hideMark/>
          </w:tcPr>
          <w:p w14:paraId="6222A0B3" w14:textId="77777777" w:rsidR="008424F4" w:rsidRPr="003530E1" w:rsidRDefault="008424F4" w:rsidP="008424F4">
            <w:pPr>
              <w:rPr>
                <w:sz w:val="18"/>
                <w:szCs w:val="18"/>
              </w:rPr>
            </w:pPr>
            <w:r w:rsidRPr="003530E1">
              <w:rPr>
                <w:sz w:val="18"/>
                <w:szCs w:val="18"/>
              </w:rPr>
              <w:t>Ecological time-series modelling combining CPRD prescribing and respiratory-surveillance data in England.</w:t>
            </w:r>
          </w:p>
        </w:tc>
        <w:tc>
          <w:tcPr>
            <w:tcW w:w="0" w:type="auto"/>
            <w:hideMark/>
          </w:tcPr>
          <w:p w14:paraId="657BE1BB" w14:textId="77777777" w:rsidR="008424F4" w:rsidRPr="003530E1" w:rsidRDefault="008424F4" w:rsidP="008424F4">
            <w:pPr>
              <w:rPr>
                <w:sz w:val="18"/>
                <w:szCs w:val="18"/>
              </w:rPr>
            </w:pPr>
            <w:r w:rsidRPr="003530E1">
              <w:rPr>
                <w:sz w:val="18"/>
                <w:szCs w:val="18"/>
              </w:rPr>
              <w:t>Approximately 2.1% of GP antibiotic prescriptions were estimated to be attributable to RSV, with particularly important burden among older adults.</w:t>
            </w:r>
          </w:p>
        </w:tc>
        <w:tc>
          <w:tcPr>
            <w:tcW w:w="0" w:type="auto"/>
            <w:hideMark/>
          </w:tcPr>
          <w:p w14:paraId="06FF5A80" w14:textId="77777777" w:rsidR="00EF6710" w:rsidRPr="003530E1" w:rsidRDefault="008424F4" w:rsidP="008424F4">
            <w:pPr>
              <w:rPr>
                <w:sz w:val="18"/>
                <w:szCs w:val="18"/>
              </w:rPr>
            </w:pPr>
            <w:r w:rsidRPr="003530E1">
              <w:rPr>
                <w:b/>
                <w:bCs/>
                <w:sz w:val="18"/>
                <w:szCs w:val="18"/>
              </w:rPr>
              <w:t>Strengths:</w:t>
            </w:r>
            <w:r w:rsidRPr="003530E1">
              <w:rPr>
                <w:sz w:val="18"/>
                <w:szCs w:val="18"/>
              </w:rPr>
              <w:t xml:space="preserve"> Large nationally relevant datasets and age-specific modelling.</w:t>
            </w:r>
          </w:p>
          <w:p w14:paraId="5C8FBE44" w14:textId="1A38902A" w:rsidR="008424F4" w:rsidRPr="003530E1" w:rsidRDefault="008424F4" w:rsidP="008424F4">
            <w:pPr>
              <w:rPr>
                <w:sz w:val="18"/>
                <w:szCs w:val="18"/>
              </w:rPr>
            </w:pPr>
            <w:r w:rsidRPr="003530E1">
              <w:rPr>
                <w:b/>
                <w:bCs/>
                <w:sz w:val="18"/>
                <w:szCs w:val="18"/>
              </w:rPr>
              <w:t>Weaknesses:</w:t>
            </w:r>
            <w:r w:rsidRPr="003530E1">
              <w:rPr>
                <w:sz w:val="18"/>
                <w:szCs w:val="18"/>
              </w:rPr>
              <w:t xml:space="preserve"> Ecological attribution cannot establish individual causality; historical data may not reflect newer pathways.</w:t>
            </w:r>
          </w:p>
        </w:tc>
      </w:tr>
      <w:tr w:rsidR="00EF6710" w:rsidRPr="008424F4" w14:paraId="6FC4647A" w14:textId="77777777" w:rsidTr="008424F4">
        <w:tc>
          <w:tcPr>
            <w:tcW w:w="0" w:type="auto"/>
            <w:hideMark/>
          </w:tcPr>
          <w:p w14:paraId="6C01B775" w14:textId="77777777" w:rsidR="008424F4" w:rsidRPr="008424F4" w:rsidRDefault="008424F4" w:rsidP="008424F4">
            <w:r w:rsidRPr="008424F4">
              <w:rPr>
                <w:b/>
                <w:bCs/>
              </w:rPr>
              <w:t>Fahmi et al. (2025)</w:t>
            </w:r>
          </w:p>
        </w:tc>
        <w:tc>
          <w:tcPr>
            <w:tcW w:w="0" w:type="auto"/>
            <w:hideMark/>
          </w:tcPr>
          <w:p w14:paraId="18E8061B" w14:textId="77777777" w:rsidR="008424F4" w:rsidRPr="003530E1" w:rsidRDefault="008424F4" w:rsidP="008424F4">
            <w:pPr>
              <w:rPr>
                <w:sz w:val="18"/>
                <w:szCs w:val="18"/>
              </w:rPr>
            </w:pPr>
            <w:r w:rsidRPr="003530E1">
              <w:rPr>
                <w:sz w:val="18"/>
                <w:szCs w:val="18"/>
              </w:rPr>
              <w:t>To assess whether antibiotics for common infections were prescribed in accordance with predicted hospital-admission risk.</w:t>
            </w:r>
          </w:p>
        </w:tc>
        <w:tc>
          <w:tcPr>
            <w:tcW w:w="0" w:type="auto"/>
            <w:hideMark/>
          </w:tcPr>
          <w:p w14:paraId="183F045D" w14:textId="77777777" w:rsidR="008424F4" w:rsidRPr="003530E1" w:rsidRDefault="008424F4" w:rsidP="008424F4">
            <w:pPr>
              <w:rPr>
                <w:sz w:val="18"/>
                <w:szCs w:val="18"/>
              </w:rPr>
            </w:pPr>
            <w:r w:rsidRPr="003530E1">
              <w:rPr>
                <w:sz w:val="18"/>
                <w:szCs w:val="18"/>
              </w:rPr>
              <w:t>OpenSAFELY cohort of adults in England, 2019–2023; approximately 15.7 million diagnoses including URTI and LRTI.</w:t>
            </w:r>
          </w:p>
        </w:tc>
        <w:tc>
          <w:tcPr>
            <w:tcW w:w="0" w:type="auto"/>
            <w:hideMark/>
          </w:tcPr>
          <w:p w14:paraId="4497335C" w14:textId="77777777" w:rsidR="008424F4" w:rsidRPr="003530E1" w:rsidRDefault="008424F4" w:rsidP="008424F4">
            <w:pPr>
              <w:rPr>
                <w:sz w:val="18"/>
                <w:szCs w:val="18"/>
              </w:rPr>
            </w:pPr>
            <w:r w:rsidRPr="003530E1">
              <w:rPr>
                <w:sz w:val="18"/>
                <w:szCs w:val="18"/>
              </w:rPr>
              <w:t>Antibiotic prescribing showed weak alignment with predicted admission risk, with poorer alignment during pandemic disruption.</w:t>
            </w:r>
          </w:p>
        </w:tc>
        <w:tc>
          <w:tcPr>
            <w:tcW w:w="0" w:type="auto"/>
            <w:hideMark/>
          </w:tcPr>
          <w:p w14:paraId="296DD51C" w14:textId="77777777" w:rsidR="00EF6710" w:rsidRPr="003530E1" w:rsidRDefault="008424F4" w:rsidP="008424F4">
            <w:pPr>
              <w:rPr>
                <w:sz w:val="18"/>
                <w:szCs w:val="18"/>
              </w:rPr>
            </w:pPr>
            <w:r w:rsidRPr="003530E1">
              <w:rPr>
                <w:b/>
                <w:bCs/>
                <w:sz w:val="18"/>
                <w:szCs w:val="18"/>
              </w:rPr>
              <w:t>Strengths:</w:t>
            </w:r>
            <w:r w:rsidRPr="003530E1">
              <w:rPr>
                <w:sz w:val="18"/>
                <w:szCs w:val="18"/>
              </w:rPr>
              <w:t xml:space="preserve"> Very large contemporary adult dataset.</w:t>
            </w:r>
          </w:p>
          <w:p w14:paraId="779A2683" w14:textId="5CDD1B51" w:rsidR="008424F4" w:rsidRPr="003530E1" w:rsidRDefault="008424F4" w:rsidP="008424F4">
            <w:pPr>
              <w:rPr>
                <w:sz w:val="18"/>
                <w:szCs w:val="18"/>
              </w:rPr>
            </w:pPr>
            <w:r w:rsidRPr="003530E1">
              <w:rPr>
                <w:b/>
                <w:bCs/>
                <w:sz w:val="18"/>
                <w:szCs w:val="18"/>
              </w:rPr>
              <w:t>Weaknesses:</w:t>
            </w:r>
            <w:r w:rsidRPr="003530E1">
              <w:rPr>
                <w:sz w:val="18"/>
                <w:szCs w:val="18"/>
              </w:rPr>
              <w:t xml:space="preserve"> EHR coding and risk models cannot fully represent clinical reasoning; non-respiratory infections were also included.</w:t>
            </w:r>
          </w:p>
        </w:tc>
      </w:tr>
    </w:tbl>
    <w:p w14:paraId="7185BCD8" w14:textId="4619D0F3" w:rsidR="008424F4" w:rsidRPr="008424F4" w:rsidRDefault="008424F4" w:rsidP="008424F4"/>
    <w:p w14:paraId="32AA93D2" w14:textId="26527D01" w:rsidR="008424F4" w:rsidRPr="008424F4" w:rsidRDefault="008424F4" w:rsidP="00E41523">
      <w:pPr>
        <w:pStyle w:val="Heading2"/>
      </w:pPr>
      <w:bookmarkStart w:id="81" w:name="_Toc240921700"/>
      <w:r w:rsidRPr="008424F4">
        <w:t xml:space="preserve">Appendix </w:t>
      </w:r>
      <w:r w:rsidR="00E41523">
        <w:t>B</w:t>
      </w:r>
      <w:r w:rsidRPr="008424F4">
        <w:t xml:space="preserve"> </w:t>
      </w:r>
      <w:r w:rsidR="00E41523">
        <w:t>-</w:t>
      </w:r>
      <w:r w:rsidRPr="008424F4">
        <w:t xml:space="preserve"> Critical Appraisals</w:t>
      </w:r>
      <w:bookmarkEnd w:id="81"/>
    </w:p>
    <w:p w14:paraId="54F5A1C0" w14:textId="77777777" w:rsidR="008424F4" w:rsidRPr="008424F4" w:rsidRDefault="008424F4" w:rsidP="008424F4">
      <w:r w:rsidRPr="008424F4">
        <w:rPr>
          <w:b/>
          <w:bCs/>
        </w:rPr>
        <w:t>Judgements:</w:t>
      </w:r>
      <w:r w:rsidRPr="008424F4">
        <w:t xml:space="preserve"> </w:t>
      </w:r>
      <w:r w:rsidRPr="008424F4">
        <w:rPr>
          <w:b/>
          <w:bCs/>
        </w:rPr>
        <w:t>Y = Yes; N = No; CT = Can’t tell; N/A = Not applicable.</w:t>
      </w:r>
    </w:p>
    <w:p w14:paraId="6E4B2102" w14:textId="77777777" w:rsidR="008424F4" w:rsidRPr="008424F4" w:rsidRDefault="008424F4" w:rsidP="008424F4">
      <w:r w:rsidRPr="008424F4">
        <w:t>Critical appraisal is used to support interpretation rather than to produce a numerical quality score or automatically exclude a study.</w:t>
      </w:r>
    </w:p>
    <w:p w14:paraId="533E36E5" w14:textId="7119503C" w:rsidR="008424F4" w:rsidRPr="008424F4" w:rsidRDefault="008424F4" w:rsidP="008424F4">
      <w:pPr>
        <w:rPr>
          <w:b/>
          <w:bCs/>
        </w:rPr>
      </w:pPr>
      <w:r w:rsidRPr="008424F4">
        <w:rPr>
          <w:b/>
          <w:bCs/>
        </w:rPr>
        <w:t>CASP (2024</w:t>
      </w:r>
      <w:r w:rsidR="00E033D7">
        <w:rPr>
          <w:b/>
          <w:bCs/>
        </w:rPr>
        <w:t>a</w:t>
      </w:r>
      <w:r w:rsidRPr="008424F4">
        <w:rPr>
          <w:b/>
          <w:bCs/>
        </w:rPr>
        <w:t>) Critical Appraisal Tool for Qualitative Research</w:t>
      </w:r>
    </w:p>
    <w:tbl>
      <w:tblPr>
        <w:tblStyle w:val="TableGrid"/>
        <w:tblW w:w="0" w:type="auto"/>
        <w:tblLook w:val="04A0" w:firstRow="1" w:lastRow="0" w:firstColumn="1" w:lastColumn="0" w:noHBand="0" w:noVBand="1"/>
      </w:tblPr>
      <w:tblGrid>
        <w:gridCol w:w="4490"/>
        <w:gridCol w:w="1476"/>
        <w:gridCol w:w="1488"/>
        <w:gridCol w:w="1932"/>
        <w:gridCol w:w="1370"/>
      </w:tblGrid>
      <w:tr w:rsidR="008424F4" w:rsidRPr="008424F4" w14:paraId="236F3C2A" w14:textId="77777777" w:rsidTr="008424F4">
        <w:tc>
          <w:tcPr>
            <w:tcW w:w="0" w:type="auto"/>
            <w:hideMark/>
          </w:tcPr>
          <w:p w14:paraId="14CCE20F" w14:textId="77777777" w:rsidR="008424F4" w:rsidRPr="008424F4" w:rsidRDefault="008424F4" w:rsidP="008424F4">
            <w:pPr>
              <w:rPr>
                <w:b/>
                <w:bCs/>
              </w:rPr>
            </w:pPr>
            <w:r w:rsidRPr="008424F4">
              <w:rPr>
                <w:b/>
                <w:bCs/>
              </w:rPr>
              <w:t>Question</w:t>
            </w:r>
          </w:p>
        </w:tc>
        <w:tc>
          <w:tcPr>
            <w:tcW w:w="0" w:type="auto"/>
            <w:hideMark/>
          </w:tcPr>
          <w:p w14:paraId="13091E63" w14:textId="77777777" w:rsidR="008424F4" w:rsidRPr="008424F4" w:rsidRDefault="008424F4" w:rsidP="008424F4">
            <w:pPr>
              <w:rPr>
                <w:b/>
                <w:bCs/>
              </w:rPr>
            </w:pPr>
            <w:r w:rsidRPr="008424F4">
              <w:rPr>
                <w:b/>
                <w:bCs/>
              </w:rPr>
              <w:t>Borek et al. (2021a)</w:t>
            </w:r>
          </w:p>
        </w:tc>
        <w:tc>
          <w:tcPr>
            <w:tcW w:w="0" w:type="auto"/>
            <w:hideMark/>
          </w:tcPr>
          <w:p w14:paraId="5FDF73A3" w14:textId="77777777" w:rsidR="008424F4" w:rsidRPr="008424F4" w:rsidRDefault="008424F4" w:rsidP="008424F4">
            <w:pPr>
              <w:rPr>
                <w:b/>
                <w:bCs/>
              </w:rPr>
            </w:pPr>
            <w:r w:rsidRPr="008424F4">
              <w:rPr>
                <w:b/>
                <w:bCs/>
              </w:rPr>
              <w:t>Borek et al. (2021b)</w:t>
            </w:r>
          </w:p>
        </w:tc>
        <w:tc>
          <w:tcPr>
            <w:tcW w:w="0" w:type="auto"/>
            <w:hideMark/>
          </w:tcPr>
          <w:p w14:paraId="1A640C7C" w14:textId="77777777" w:rsidR="008424F4" w:rsidRPr="008424F4" w:rsidRDefault="008424F4" w:rsidP="008424F4">
            <w:pPr>
              <w:rPr>
                <w:b/>
                <w:bCs/>
              </w:rPr>
            </w:pPr>
            <w:r w:rsidRPr="008424F4">
              <w:rPr>
                <w:b/>
                <w:bCs/>
              </w:rPr>
              <w:t>Hounkpatin et al. (2021)</w:t>
            </w:r>
          </w:p>
        </w:tc>
        <w:tc>
          <w:tcPr>
            <w:tcW w:w="0" w:type="auto"/>
            <w:hideMark/>
          </w:tcPr>
          <w:p w14:paraId="0B3FA37A" w14:textId="77777777" w:rsidR="008424F4" w:rsidRPr="008424F4" w:rsidRDefault="008424F4" w:rsidP="008424F4">
            <w:pPr>
              <w:rPr>
                <w:b/>
                <w:bCs/>
              </w:rPr>
            </w:pPr>
            <w:r w:rsidRPr="008424F4">
              <w:rPr>
                <w:b/>
                <w:bCs/>
              </w:rPr>
              <w:t>Rutter et al. (2024)</w:t>
            </w:r>
          </w:p>
        </w:tc>
      </w:tr>
      <w:tr w:rsidR="008424F4" w:rsidRPr="008424F4" w14:paraId="7CF47BA3" w14:textId="77777777" w:rsidTr="008424F4">
        <w:tc>
          <w:tcPr>
            <w:tcW w:w="0" w:type="auto"/>
            <w:hideMark/>
          </w:tcPr>
          <w:p w14:paraId="7D63DD9D" w14:textId="77777777" w:rsidR="008424F4" w:rsidRPr="008424F4" w:rsidRDefault="008424F4" w:rsidP="008424F4">
            <w:r w:rsidRPr="008424F4">
              <w:t>Was there a clear statement of the aim of the research?</w:t>
            </w:r>
          </w:p>
        </w:tc>
        <w:tc>
          <w:tcPr>
            <w:tcW w:w="0" w:type="auto"/>
            <w:hideMark/>
          </w:tcPr>
          <w:p w14:paraId="7B39BF60" w14:textId="77777777" w:rsidR="008424F4" w:rsidRPr="008424F4" w:rsidRDefault="008424F4" w:rsidP="008424F4">
            <w:r w:rsidRPr="008424F4">
              <w:t>Y</w:t>
            </w:r>
          </w:p>
        </w:tc>
        <w:tc>
          <w:tcPr>
            <w:tcW w:w="0" w:type="auto"/>
            <w:hideMark/>
          </w:tcPr>
          <w:p w14:paraId="716FC314" w14:textId="77777777" w:rsidR="008424F4" w:rsidRPr="008424F4" w:rsidRDefault="008424F4" w:rsidP="008424F4">
            <w:r w:rsidRPr="008424F4">
              <w:t>Y</w:t>
            </w:r>
          </w:p>
        </w:tc>
        <w:tc>
          <w:tcPr>
            <w:tcW w:w="0" w:type="auto"/>
            <w:hideMark/>
          </w:tcPr>
          <w:p w14:paraId="679BC42F" w14:textId="77777777" w:rsidR="008424F4" w:rsidRPr="008424F4" w:rsidRDefault="008424F4" w:rsidP="008424F4">
            <w:r w:rsidRPr="008424F4">
              <w:t>Y</w:t>
            </w:r>
          </w:p>
        </w:tc>
        <w:tc>
          <w:tcPr>
            <w:tcW w:w="0" w:type="auto"/>
            <w:hideMark/>
          </w:tcPr>
          <w:p w14:paraId="5DC22AE5" w14:textId="77777777" w:rsidR="008424F4" w:rsidRPr="008424F4" w:rsidRDefault="008424F4" w:rsidP="008424F4">
            <w:r w:rsidRPr="008424F4">
              <w:t>Y</w:t>
            </w:r>
          </w:p>
        </w:tc>
      </w:tr>
      <w:tr w:rsidR="008424F4" w:rsidRPr="008424F4" w14:paraId="44E24363" w14:textId="77777777" w:rsidTr="008424F4">
        <w:tc>
          <w:tcPr>
            <w:tcW w:w="0" w:type="auto"/>
            <w:hideMark/>
          </w:tcPr>
          <w:p w14:paraId="4A38245C" w14:textId="77777777" w:rsidR="008424F4" w:rsidRPr="008424F4" w:rsidRDefault="008424F4" w:rsidP="008424F4">
            <w:r w:rsidRPr="008424F4">
              <w:t>Is qualitative methodology appropriate?</w:t>
            </w:r>
          </w:p>
        </w:tc>
        <w:tc>
          <w:tcPr>
            <w:tcW w:w="0" w:type="auto"/>
            <w:hideMark/>
          </w:tcPr>
          <w:p w14:paraId="66D7B8E8" w14:textId="77777777" w:rsidR="008424F4" w:rsidRPr="008424F4" w:rsidRDefault="008424F4" w:rsidP="008424F4">
            <w:r w:rsidRPr="008424F4">
              <w:t>Y</w:t>
            </w:r>
          </w:p>
        </w:tc>
        <w:tc>
          <w:tcPr>
            <w:tcW w:w="0" w:type="auto"/>
            <w:hideMark/>
          </w:tcPr>
          <w:p w14:paraId="7CDD942A" w14:textId="77777777" w:rsidR="008424F4" w:rsidRPr="008424F4" w:rsidRDefault="008424F4" w:rsidP="008424F4">
            <w:r w:rsidRPr="008424F4">
              <w:t>Y</w:t>
            </w:r>
          </w:p>
        </w:tc>
        <w:tc>
          <w:tcPr>
            <w:tcW w:w="0" w:type="auto"/>
            <w:hideMark/>
          </w:tcPr>
          <w:p w14:paraId="5B8A0113" w14:textId="77777777" w:rsidR="008424F4" w:rsidRPr="008424F4" w:rsidRDefault="008424F4" w:rsidP="008424F4">
            <w:r w:rsidRPr="008424F4">
              <w:t>Y</w:t>
            </w:r>
          </w:p>
        </w:tc>
        <w:tc>
          <w:tcPr>
            <w:tcW w:w="0" w:type="auto"/>
            <w:hideMark/>
          </w:tcPr>
          <w:p w14:paraId="58580C72" w14:textId="77777777" w:rsidR="008424F4" w:rsidRPr="008424F4" w:rsidRDefault="008424F4" w:rsidP="008424F4">
            <w:r w:rsidRPr="008424F4">
              <w:t>Y</w:t>
            </w:r>
          </w:p>
        </w:tc>
      </w:tr>
      <w:tr w:rsidR="008424F4" w:rsidRPr="008424F4" w14:paraId="2C536160" w14:textId="77777777" w:rsidTr="008424F4">
        <w:tc>
          <w:tcPr>
            <w:tcW w:w="0" w:type="auto"/>
            <w:hideMark/>
          </w:tcPr>
          <w:p w14:paraId="373FFBDD" w14:textId="77777777" w:rsidR="008424F4" w:rsidRPr="008424F4" w:rsidRDefault="008424F4" w:rsidP="008424F4">
            <w:r w:rsidRPr="008424F4">
              <w:t>Was the research design appropriate to address the aims of the research?</w:t>
            </w:r>
          </w:p>
        </w:tc>
        <w:tc>
          <w:tcPr>
            <w:tcW w:w="0" w:type="auto"/>
            <w:hideMark/>
          </w:tcPr>
          <w:p w14:paraId="2CAE3164" w14:textId="77777777" w:rsidR="008424F4" w:rsidRPr="008424F4" w:rsidRDefault="008424F4" w:rsidP="008424F4">
            <w:r w:rsidRPr="008424F4">
              <w:t>Y</w:t>
            </w:r>
          </w:p>
        </w:tc>
        <w:tc>
          <w:tcPr>
            <w:tcW w:w="0" w:type="auto"/>
            <w:hideMark/>
          </w:tcPr>
          <w:p w14:paraId="31A99695" w14:textId="77777777" w:rsidR="008424F4" w:rsidRPr="008424F4" w:rsidRDefault="008424F4" w:rsidP="008424F4">
            <w:r w:rsidRPr="008424F4">
              <w:t>Y</w:t>
            </w:r>
          </w:p>
        </w:tc>
        <w:tc>
          <w:tcPr>
            <w:tcW w:w="0" w:type="auto"/>
            <w:hideMark/>
          </w:tcPr>
          <w:p w14:paraId="52029005" w14:textId="77777777" w:rsidR="008424F4" w:rsidRPr="008424F4" w:rsidRDefault="008424F4" w:rsidP="008424F4">
            <w:r w:rsidRPr="008424F4">
              <w:t>Y</w:t>
            </w:r>
          </w:p>
        </w:tc>
        <w:tc>
          <w:tcPr>
            <w:tcW w:w="0" w:type="auto"/>
            <w:hideMark/>
          </w:tcPr>
          <w:p w14:paraId="475BEB01" w14:textId="77777777" w:rsidR="008424F4" w:rsidRPr="008424F4" w:rsidRDefault="008424F4" w:rsidP="008424F4">
            <w:r w:rsidRPr="008424F4">
              <w:t>Y</w:t>
            </w:r>
          </w:p>
        </w:tc>
      </w:tr>
      <w:tr w:rsidR="008424F4" w:rsidRPr="008424F4" w14:paraId="14AF58E1" w14:textId="77777777" w:rsidTr="008424F4">
        <w:tc>
          <w:tcPr>
            <w:tcW w:w="0" w:type="auto"/>
            <w:hideMark/>
          </w:tcPr>
          <w:p w14:paraId="15CB7BD1" w14:textId="77777777" w:rsidR="008424F4" w:rsidRPr="008424F4" w:rsidRDefault="008424F4" w:rsidP="008424F4">
            <w:r w:rsidRPr="008424F4">
              <w:t>Was the recruitment strategy appropriate to the aims of the research?</w:t>
            </w:r>
          </w:p>
        </w:tc>
        <w:tc>
          <w:tcPr>
            <w:tcW w:w="0" w:type="auto"/>
            <w:hideMark/>
          </w:tcPr>
          <w:p w14:paraId="3A59AF88" w14:textId="77777777" w:rsidR="008424F4" w:rsidRPr="008424F4" w:rsidRDefault="008424F4" w:rsidP="008424F4">
            <w:r w:rsidRPr="008424F4">
              <w:t>Y</w:t>
            </w:r>
          </w:p>
        </w:tc>
        <w:tc>
          <w:tcPr>
            <w:tcW w:w="0" w:type="auto"/>
            <w:hideMark/>
          </w:tcPr>
          <w:p w14:paraId="1DAFCD80" w14:textId="77777777" w:rsidR="008424F4" w:rsidRPr="008424F4" w:rsidRDefault="008424F4" w:rsidP="008424F4">
            <w:r w:rsidRPr="008424F4">
              <w:t>Y</w:t>
            </w:r>
          </w:p>
        </w:tc>
        <w:tc>
          <w:tcPr>
            <w:tcW w:w="0" w:type="auto"/>
            <w:hideMark/>
          </w:tcPr>
          <w:p w14:paraId="7C6B59D9" w14:textId="77777777" w:rsidR="008424F4" w:rsidRPr="008424F4" w:rsidRDefault="008424F4" w:rsidP="008424F4">
            <w:r w:rsidRPr="008424F4">
              <w:t>Y</w:t>
            </w:r>
          </w:p>
        </w:tc>
        <w:tc>
          <w:tcPr>
            <w:tcW w:w="0" w:type="auto"/>
            <w:hideMark/>
          </w:tcPr>
          <w:p w14:paraId="3D62DC6F" w14:textId="77777777" w:rsidR="008424F4" w:rsidRPr="008424F4" w:rsidRDefault="008424F4" w:rsidP="008424F4">
            <w:r w:rsidRPr="008424F4">
              <w:t>Y</w:t>
            </w:r>
          </w:p>
        </w:tc>
      </w:tr>
      <w:tr w:rsidR="008424F4" w:rsidRPr="008424F4" w14:paraId="36E214B6" w14:textId="77777777" w:rsidTr="008424F4">
        <w:tc>
          <w:tcPr>
            <w:tcW w:w="0" w:type="auto"/>
            <w:hideMark/>
          </w:tcPr>
          <w:p w14:paraId="25F17F50" w14:textId="77777777" w:rsidR="008424F4" w:rsidRPr="008424F4" w:rsidRDefault="008424F4" w:rsidP="008424F4">
            <w:r w:rsidRPr="008424F4">
              <w:t>Was the data collected in a way that addressed the research issue?</w:t>
            </w:r>
          </w:p>
        </w:tc>
        <w:tc>
          <w:tcPr>
            <w:tcW w:w="0" w:type="auto"/>
            <w:hideMark/>
          </w:tcPr>
          <w:p w14:paraId="3CADF628" w14:textId="77777777" w:rsidR="008424F4" w:rsidRPr="008424F4" w:rsidRDefault="008424F4" w:rsidP="008424F4">
            <w:r w:rsidRPr="008424F4">
              <w:t>Y</w:t>
            </w:r>
          </w:p>
        </w:tc>
        <w:tc>
          <w:tcPr>
            <w:tcW w:w="0" w:type="auto"/>
            <w:hideMark/>
          </w:tcPr>
          <w:p w14:paraId="78C92B0E" w14:textId="77777777" w:rsidR="008424F4" w:rsidRPr="008424F4" w:rsidRDefault="008424F4" w:rsidP="008424F4">
            <w:r w:rsidRPr="008424F4">
              <w:t>Y</w:t>
            </w:r>
          </w:p>
        </w:tc>
        <w:tc>
          <w:tcPr>
            <w:tcW w:w="0" w:type="auto"/>
            <w:hideMark/>
          </w:tcPr>
          <w:p w14:paraId="58859FB6" w14:textId="77777777" w:rsidR="008424F4" w:rsidRPr="008424F4" w:rsidRDefault="008424F4" w:rsidP="008424F4">
            <w:r w:rsidRPr="008424F4">
              <w:t>Y</w:t>
            </w:r>
          </w:p>
        </w:tc>
        <w:tc>
          <w:tcPr>
            <w:tcW w:w="0" w:type="auto"/>
            <w:hideMark/>
          </w:tcPr>
          <w:p w14:paraId="194CEB0D" w14:textId="77777777" w:rsidR="008424F4" w:rsidRPr="008424F4" w:rsidRDefault="008424F4" w:rsidP="008424F4">
            <w:r w:rsidRPr="008424F4">
              <w:t>Y</w:t>
            </w:r>
          </w:p>
        </w:tc>
      </w:tr>
      <w:tr w:rsidR="008424F4" w:rsidRPr="008424F4" w14:paraId="09655A34" w14:textId="77777777" w:rsidTr="008424F4">
        <w:tc>
          <w:tcPr>
            <w:tcW w:w="0" w:type="auto"/>
            <w:hideMark/>
          </w:tcPr>
          <w:p w14:paraId="1A414C6E" w14:textId="77777777" w:rsidR="008424F4" w:rsidRPr="008424F4" w:rsidRDefault="008424F4" w:rsidP="008424F4">
            <w:r w:rsidRPr="008424F4">
              <w:lastRenderedPageBreak/>
              <w:t>Has the relationship between researcher and participants been adequately considered?</w:t>
            </w:r>
          </w:p>
        </w:tc>
        <w:tc>
          <w:tcPr>
            <w:tcW w:w="0" w:type="auto"/>
            <w:hideMark/>
          </w:tcPr>
          <w:p w14:paraId="561DE848" w14:textId="77777777" w:rsidR="008424F4" w:rsidRPr="008424F4" w:rsidRDefault="008424F4" w:rsidP="008424F4">
            <w:r w:rsidRPr="008424F4">
              <w:t>CT</w:t>
            </w:r>
          </w:p>
        </w:tc>
        <w:tc>
          <w:tcPr>
            <w:tcW w:w="0" w:type="auto"/>
            <w:hideMark/>
          </w:tcPr>
          <w:p w14:paraId="54650791" w14:textId="77777777" w:rsidR="008424F4" w:rsidRPr="008424F4" w:rsidRDefault="008424F4" w:rsidP="008424F4">
            <w:r w:rsidRPr="008424F4">
              <w:t>Y</w:t>
            </w:r>
          </w:p>
        </w:tc>
        <w:tc>
          <w:tcPr>
            <w:tcW w:w="0" w:type="auto"/>
            <w:hideMark/>
          </w:tcPr>
          <w:p w14:paraId="42E037B7" w14:textId="77777777" w:rsidR="008424F4" w:rsidRPr="008424F4" w:rsidRDefault="008424F4" w:rsidP="008424F4">
            <w:r w:rsidRPr="008424F4">
              <w:t>CT</w:t>
            </w:r>
          </w:p>
        </w:tc>
        <w:tc>
          <w:tcPr>
            <w:tcW w:w="0" w:type="auto"/>
            <w:hideMark/>
          </w:tcPr>
          <w:p w14:paraId="2EC652DB" w14:textId="77777777" w:rsidR="008424F4" w:rsidRPr="008424F4" w:rsidRDefault="008424F4" w:rsidP="008424F4">
            <w:r w:rsidRPr="008424F4">
              <w:t>CT</w:t>
            </w:r>
          </w:p>
        </w:tc>
      </w:tr>
      <w:tr w:rsidR="008424F4" w:rsidRPr="008424F4" w14:paraId="45AFE723" w14:textId="77777777" w:rsidTr="008424F4">
        <w:tc>
          <w:tcPr>
            <w:tcW w:w="0" w:type="auto"/>
            <w:hideMark/>
          </w:tcPr>
          <w:p w14:paraId="10422AAD" w14:textId="77777777" w:rsidR="008424F4" w:rsidRPr="008424F4" w:rsidRDefault="008424F4" w:rsidP="008424F4">
            <w:r w:rsidRPr="008424F4">
              <w:t>Have ethical issues been taken into consideration?</w:t>
            </w:r>
          </w:p>
        </w:tc>
        <w:tc>
          <w:tcPr>
            <w:tcW w:w="0" w:type="auto"/>
            <w:hideMark/>
          </w:tcPr>
          <w:p w14:paraId="556BE1A6" w14:textId="77777777" w:rsidR="008424F4" w:rsidRPr="008424F4" w:rsidRDefault="008424F4" w:rsidP="008424F4">
            <w:r w:rsidRPr="008424F4">
              <w:t>Y</w:t>
            </w:r>
          </w:p>
        </w:tc>
        <w:tc>
          <w:tcPr>
            <w:tcW w:w="0" w:type="auto"/>
            <w:hideMark/>
          </w:tcPr>
          <w:p w14:paraId="26BC7CFD" w14:textId="77777777" w:rsidR="008424F4" w:rsidRPr="008424F4" w:rsidRDefault="008424F4" w:rsidP="008424F4">
            <w:r w:rsidRPr="008424F4">
              <w:t>Y</w:t>
            </w:r>
          </w:p>
        </w:tc>
        <w:tc>
          <w:tcPr>
            <w:tcW w:w="0" w:type="auto"/>
            <w:hideMark/>
          </w:tcPr>
          <w:p w14:paraId="2813CE07" w14:textId="77777777" w:rsidR="008424F4" w:rsidRPr="008424F4" w:rsidRDefault="008424F4" w:rsidP="008424F4">
            <w:r w:rsidRPr="008424F4">
              <w:t>Y</w:t>
            </w:r>
          </w:p>
        </w:tc>
        <w:tc>
          <w:tcPr>
            <w:tcW w:w="0" w:type="auto"/>
            <w:hideMark/>
          </w:tcPr>
          <w:p w14:paraId="1AD3AD66" w14:textId="77777777" w:rsidR="008424F4" w:rsidRPr="008424F4" w:rsidRDefault="008424F4" w:rsidP="008424F4">
            <w:r w:rsidRPr="008424F4">
              <w:t>Y</w:t>
            </w:r>
          </w:p>
        </w:tc>
      </w:tr>
      <w:tr w:rsidR="008424F4" w:rsidRPr="008424F4" w14:paraId="23378691" w14:textId="77777777" w:rsidTr="008424F4">
        <w:tc>
          <w:tcPr>
            <w:tcW w:w="0" w:type="auto"/>
            <w:hideMark/>
          </w:tcPr>
          <w:p w14:paraId="084315B1" w14:textId="77777777" w:rsidR="008424F4" w:rsidRPr="008424F4" w:rsidRDefault="008424F4" w:rsidP="008424F4">
            <w:r w:rsidRPr="008424F4">
              <w:t>Was the data analysis sufficiently rigorous?</w:t>
            </w:r>
          </w:p>
        </w:tc>
        <w:tc>
          <w:tcPr>
            <w:tcW w:w="0" w:type="auto"/>
            <w:hideMark/>
          </w:tcPr>
          <w:p w14:paraId="10A3D0F7" w14:textId="77777777" w:rsidR="008424F4" w:rsidRPr="008424F4" w:rsidRDefault="008424F4" w:rsidP="008424F4">
            <w:r w:rsidRPr="008424F4">
              <w:t>Y</w:t>
            </w:r>
          </w:p>
        </w:tc>
        <w:tc>
          <w:tcPr>
            <w:tcW w:w="0" w:type="auto"/>
            <w:hideMark/>
          </w:tcPr>
          <w:p w14:paraId="779446E7" w14:textId="77777777" w:rsidR="008424F4" w:rsidRPr="008424F4" w:rsidRDefault="008424F4" w:rsidP="008424F4">
            <w:r w:rsidRPr="008424F4">
              <w:t>Y</w:t>
            </w:r>
          </w:p>
        </w:tc>
        <w:tc>
          <w:tcPr>
            <w:tcW w:w="0" w:type="auto"/>
            <w:hideMark/>
          </w:tcPr>
          <w:p w14:paraId="0E710E72" w14:textId="77777777" w:rsidR="008424F4" w:rsidRPr="008424F4" w:rsidRDefault="008424F4" w:rsidP="008424F4">
            <w:r w:rsidRPr="008424F4">
              <w:t>Y</w:t>
            </w:r>
          </w:p>
        </w:tc>
        <w:tc>
          <w:tcPr>
            <w:tcW w:w="0" w:type="auto"/>
            <w:hideMark/>
          </w:tcPr>
          <w:p w14:paraId="2243EF14" w14:textId="77777777" w:rsidR="008424F4" w:rsidRPr="008424F4" w:rsidRDefault="008424F4" w:rsidP="008424F4">
            <w:r w:rsidRPr="008424F4">
              <w:t>Y</w:t>
            </w:r>
          </w:p>
        </w:tc>
      </w:tr>
      <w:tr w:rsidR="008424F4" w:rsidRPr="008424F4" w14:paraId="6683B97F" w14:textId="77777777" w:rsidTr="008424F4">
        <w:tc>
          <w:tcPr>
            <w:tcW w:w="0" w:type="auto"/>
            <w:hideMark/>
          </w:tcPr>
          <w:p w14:paraId="24323A46" w14:textId="77777777" w:rsidR="008424F4" w:rsidRPr="008424F4" w:rsidRDefault="008424F4" w:rsidP="008424F4">
            <w:r w:rsidRPr="008424F4">
              <w:t>Is there a clear statement of findings?</w:t>
            </w:r>
          </w:p>
        </w:tc>
        <w:tc>
          <w:tcPr>
            <w:tcW w:w="0" w:type="auto"/>
            <w:hideMark/>
          </w:tcPr>
          <w:p w14:paraId="35F261DA" w14:textId="77777777" w:rsidR="008424F4" w:rsidRPr="008424F4" w:rsidRDefault="008424F4" w:rsidP="008424F4">
            <w:r w:rsidRPr="008424F4">
              <w:t>Y</w:t>
            </w:r>
          </w:p>
        </w:tc>
        <w:tc>
          <w:tcPr>
            <w:tcW w:w="0" w:type="auto"/>
            <w:hideMark/>
          </w:tcPr>
          <w:p w14:paraId="2EA0BA8B" w14:textId="77777777" w:rsidR="008424F4" w:rsidRPr="008424F4" w:rsidRDefault="008424F4" w:rsidP="008424F4">
            <w:r w:rsidRPr="008424F4">
              <w:t>Y</w:t>
            </w:r>
          </w:p>
        </w:tc>
        <w:tc>
          <w:tcPr>
            <w:tcW w:w="0" w:type="auto"/>
            <w:hideMark/>
          </w:tcPr>
          <w:p w14:paraId="672131DF" w14:textId="77777777" w:rsidR="008424F4" w:rsidRPr="008424F4" w:rsidRDefault="008424F4" w:rsidP="008424F4">
            <w:r w:rsidRPr="008424F4">
              <w:t>Y</w:t>
            </w:r>
          </w:p>
        </w:tc>
        <w:tc>
          <w:tcPr>
            <w:tcW w:w="0" w:type="auto"/>
            <w:hideMark/>
          </w:tcPr>
          <w:p w14:paraId="7F832DDF" w14:textId="77777777" w:rsidR="008424F4" w:rsidRPr="008424F4" w:rsidRDefault="008424F4" w:rsidP="008424F4">
            <w:r w:rsidRPr="008424F4">
              <w:t>Y</w:t>
            </w:r>
          </w:p>
        </w:tc>
      </w:tr>
      <w:tr w:rsidR="008424F4" w:rsidRPr="008424F4" w14:paraId="305FF56C" w14:textId="77777777" w:rsidTr="008424F4">
        <w:tc>
          <w:tcPr>
            <w:tcW w:w="0" w:type="auto"/>
            <w:hideMark/>
          </w:tcPr>
          <w:p w14:paraId="66703625" w14:textId="77777777" w:rsidR="008424F4" w:rsidRPr="008424F4" w:rsidRDefault="008424F4" w:rsidP="008424F4">
            <w:r w:rsidRPr="008424F4">
              <w:t>How valuable is the research?</w:t>
            </w:r>
          </w:p>
        </w:tc>
        <w:tc>
          <w:tcPr>
            <w:tcW w:w="0" w:type="auto"/>
            <w:hideMark/>
          </w:tcPr>
          <w:p w14:paraId="79DA10B0" w14:textId="77777777" w:rsidR="008424F4" w:rsidRPr="008424F4" w:rsidRDefault="008424F4" w:rsidP="008424F4">
            <w:r w:rsidRPr="008424F4">
              <w:t>Y</w:t>
            </w:r>
          </w:p>
        </w:tc>
        <w:tc>
          <w:tcPr>
            <w:tcW w:w="0" w:type="auto"/>
            <w:hideMark/>
          </w:tcPr>
          <w:p w14:paraId="3DBF3BAE" w14:textId="77777777" w:rsidR="008424F4" w:rsidRPr="008424F4" w:rsidRDefault="008424F4" w:rsidP="008424F4">
            <w:r w:rsidRPr="008424F4">
              <w:t>Y</w:t>
            </w:r>
          </w:p>
        </w:tc>
        <w:tc>
          <w:tcPr>
            <w:tcW w:w="0" w:type="auto"/>
            <w:hideMark/>
          </w:tcPr>
          <w:p w14:paraId="6C6152E8" w14:textId="77777777" w:rsidR="008424F4" w:rsidRPr="008424F4" w:rsidRDefault="008424F4" w:rsidP="008424F4">
            <w:r w:rsidRPr="008424F4">
              <w:t>Y</w:t>
            </w:r>
          </w:p>
        </w:tc>
        <w:tc>
          <w:tcPr>
            <w:tcW w:w="0" w:type="auto"/>
            <w:hideMark/>
          </w:tcPr>
          <w:p w14:paraId="6CB6802B" w14:textId="77777777" w:rsidR="008424F4" w:rsidRPr="008424F4" w:rsidRDefault="008424F4" w:rsidP="008424F4">
            <w:r w:rsidRPr="008424F4">
              <w:t>Y</w:t>
            </w:r>
          </w:p>
        </w:tc>
      </w:tr>
    </w:tbl>
    <w:p w14:paraId="5F55ED2A" w14:textId="15FDD67A" w:rsidR="008424F4" w:rsidRPr="008424F4" w:rsidRDefault="008424F4" w:rsidP="008424F4"/>
    <w:p w14:paraId="7E78407E" w14:textId="0069EC75" w:rsidR="008424F4" w:rsidRPr="00DE51E2" w:rsidRDefault="008424F4" w:rsidP="008424F4">
      <w:pPr>
        <w:rPr>
          <w:b/>
          <w:bCs/>
          <w:u w:val="single"/>
        </w:rPr>
      </w:pPr>
      <w:r w:rsidRPr="00DE51E2">
        <w:rPr>
          <w:b/>
          <w:bCs/>
          <w:u w:val="single"/>
        </w:rPr>
        <w:t>CASP (2024</w:t>
      </w:r>
      <w:r w:rsidR="00F62A9A">
        <w:rPr>
          <w:b/>
          <w:bCs/>
          <w:u w:val="single"/>
        </w:rPr>
        <w:t>c</w:t>
      </w:r>
      <w:r w:rsidRPr="00DE51E2">
        <w:rPr>
          <w:b/>
          <w:bCs/>
          <w:u w:val="single"/>
        </w:rPr>
        <w:t>) Critical Appraisal Tool for Diagnostic Test Studies</w:t>
      </w:r>
    </w:p>
    <w:p w14:paraId="664F129D" w14:textId="77777777" w:rsidR="008424F4" w:rsidRPr="008424F4" w:rsidRDefault="008424F4" w:rsidP="008424F4">
      <w:pPr>
        <w:rPr>
          <w:b/>
          <w:bCs/>
        </w:rPr>
      </w:pPr>
      <w:r w:rsidRPr="008424F4">
        <w:rPr>
          <w:b/>
          <w:bCs/>
        </w:rPr>
        <w:t>Seeley et al. (2021)</w:t>
      </w:r>
    </w:p>
    <w:tbl>
      <w:tblPr>
        <w:tblStyle w:val="TableGrid"/>
        <w:tblW w:w="0" w:type="auto"/>
        <w:tblLook w:val="04A0" w:firstRow="1" w:lastRow="0" w:firstColumn="1" w:lastColumn="0" w:noHBand="0" w:noVBand="1"/>
      </w:tblPr>
      <w:tblGrid>
        <w:gridCol w:w="8605"/>
        <w:gridCol w:w="2151"/>
      </w:tblGrid>
      <w:tr w:rsidR="008424F4" w:rsidRPr="008424F4" w14:paraId="19C2CFB4" w14:textId="77777777" w:rsidTr="008424F4">
        <w:tc>
          <w:tcPr>
            <w:tcW w:w="0" w:type="auto"/>
            <w:hideMark/>
          </w:tcPr>
          <w:p w14:paraId="028A0028" w14:textId="77777777" w:rsidR="008424F4" w:rsidRPr="008424F4" w:rsidRDefault="008424F4" w:rsidP="008424F4">
            <w:pPr>
              <w:rPr>
                <w:b/>
                <w:bCs/>
              </w:rPr>
            </w:pPr>
            <w:r w:rsidRPr="008424F4">
              <w:rPr>
                <w:b/>
                <w:bCs/>
              </w:rPr>
              <w:t>Question</w:t>
            </w:r>
          </w:p>
        </w:tc>
        <w:tc>
          <w:tcPr>
            <w:tcW w:w="0" w:type="auto"/>
            <w:hideMark/>
          </w:tcPr>
          <w:p w14:paraId="0334C053" w14:textId="77777777" w:rsidR="008424F4" w:rsidRPr="008424F4" w:rsidRDefault="008424F4" w:rsidP="008424F4">
            <w:pPr>
              <w:rPr>
                <w:b/>
                <w:bCs/>
              </w:rPr>
            </w:pPr>
            <w:r w:rsidRPr="008424F4">
              <w:rPr>
                <w:b/>
                <w:bCs/>
              </w:rPr>
              <w:t>Seeley et al. (2021)</w:t>
            </w:r>
          </w:p>
        </w:tc>
      </w:tr>
      <w:tr w:rsidR="008424F4" w:rsidRPr="008424F4" w14:paraId="0CC5E39A" w14:textId="77777777" w:rsidTr="008424F4">
        <w:tc>
          <w:tcPr>
            <w:tcW w:w="0" w:type="auto"/>
            <w:hideMark/>
          </w:tcPr>
          <w:p w14:paraId="61A6E28F" w14:textId="77777777" w:rsidR="008424F4" w:rsidRPr="008424F4" w:rsidRDefault="008424F4" w:rsidP="008424F4">
            <w:r w:rsidRPr="008424F4">
              <w:t>Was the diagnostic research question clearly formulated?</w:t>
            </w:r>
          </w:p>
        </w:tc>
        <w:tc>
          <w:tcPr>
            <w:tcW w:w="0" w:type="auto"/>
            <w:hideMark/>
          </w:tcPr>
          <w:p w14:paraId="5A4E66AD" w14:textId="77777777" w:rsidR="008424F4" w:rsidRPr="008424F4" w:rsidRDefault="008424F4" w:rsidP="008424F4">
            <w:r w:rsidRPr="008424F4">
              <w:t>Y</w:t>
            </w:r>
          </w:p>
        </w:tc>
      </w:tr>
      <w:tr w:rsidR="008424F4" w:rsidRPr="008424F4" w14:paraId="41963B63" w14:textId="77777777" w:rsidTr="008424F4">
        <w:tc>
          <w:tcPr>
            <w:tcW w:w="0" w:type="auto"/>
            <w:hideMark/>
          </w:tcPr>
          <w:p w14:paraId="1EB93BE0" w14:textId="77777777" w:rsidR="008424F4" w:rsidRPr="008424F4" w:rsidRDefault="008424F4" w:rsidP="008424F4">
            <w:r w:rsidRPr="008424F4">
              <w:t>Was an appropriate reference standard used?</w:t>
            </w:r>
          </w:p>
        </w:tc>
        <w:tc>
          <w:tcPr>
            <w:tcW w:w="0" w:type="auto"/>
            <w:hideMark/>
          </w:tcPr>
          <w:p w14:paraId="433ACB4E" w14:textId="77777777" w:rsidR="008424F4" w:rsidRPr="008424F4" w:rsidRDefault="008424F4" w:rsidP="008424F4">
            <w:r w:rsidRPr="008424F4">
              <w:t>Y</w:t>
            </w:r>
          </w:p>
        </w:tc>
      </w:tr>
      <w:tr w:rsidR="008424F4" w:rsidRPr="008424F4" w14:paraId="14852C2C" w14:textId="77777777" w:rsidTr="008424F4">
        <w:tc>
          <w:tcPr>
            <w:tcW w:w="0" w:type="auto"/>
            <w:hideMark/>
          </w:tcPr>
          <w:p w14:paraId="3B712CD1" w14:textId="77777777" w:rsidR="008424F4" w:rsidRPr="008424F4" w:rsidRDefault="008424F4" w:rsidP="008424F4">
            <w:r w:rsidRPr="008424F4">
              <w:t>Did participants receive both the evaluated approach and reference standard?</w:t>
            </w:r>
          </w:p>
        </w:tc>
        <w:tc>
          <w:tcPr>
            <w:tcW w:w="0" w:type="auto"/>
            <w:hideMark/>
          </w:tcPr>
          <w:p w14:paraId="7FD11E52" w14:textId="77777777" w:rsidR="008424F4" w:rsidRPr="008424F4" w:rsidRDefault="008424F4" w:rsidP="008424F4">
            <w:r w:rsidRPr="008424F4">
              <w:t>CT</w:t>
            </w:r>
          </w:p>
        </w:tc>
      </w:tr>
      <w:tr w:rsidR="008424F4" w:rsidRPr="008424F4" w14:paraId="186BA139" w14:textId="77777777" w:rsidTr="008424F4">
        <w:tc>
          <w:tcPr>
            <w:tcW w:w="0" w:type="auto"/>
            <w:hideMark/>
          </w:tcPr>
          <w:p w14:paraId="53FC5B8A" w14:textId="77777777" w:rsidR="008424F4" w:rsidRPr="008424F4" w:rsidRDefault="008424F4" w:rsidP="008424F4">
            <w:r w:rsidRPr="008424F4">
              <w:t>Were the evaluated test and reference-standard assessments sufficiently independent?</w:t>
            </w:r>
          </w:p>
        </w:tc>
        <w:tc>
          <w:tcPr>
            <w:tcW w:w="0" w:type="auto"/>
            <w:hideMark/>
          </w:tcPr>
          <w:p w14:paraId="1350A8E2" w14:textId="77777777" w:rsidR="008424F4" w:rsidRPr="008424F4" w:rsidRDefault="008424F4" w:rsidP="008424F4">
            <w:r w:rsidRPr="008424F4">
              <w:t>Y</w:t>
            </w:r>
          </w:p>
        </w:tc>
      </w:tr>
      <w:tr w:rsidR="008424F4" w:rsidRPr="008424F4" w14:paraId="35A6D040" w14:textId="77777777" w:rsidTr="008424F4">
        <w:tc>
          <w:tcPr>
            <w:tcW w:w="0" w:type="auto"/>
            <w:hideMark/>
          </w:tcPr>
          <w:p w14:paraId="7414C73E" w14:textId="77777777" w:rsidR="008424F4" w:rsidRPr="008424F4" w:rsidRDefault="008424F4" w:rsidP="008424F4">
            <w:r w:rsidRPr="008424F4">
              <w:t>Was the clinical/disease spectrum of participants clearly described?</w:t>
            </w:r>
          </w:p>
        </w:tc>
        <w:tc>
          <w:tcPr>
            <w:tcW w:w="0" w:type="auto"/>
            <w:hideMark/>
          </w:tcPr>
          <w:p w14:paraId="5C2C96EC" w14:textId="77777777" w:rsidR="008424F4" w:rsidRPr="008424F4" w:rsidRDefault="008424F4" w:rsidP="008424F4">
            <w:r w:rsidRPr="008424F4">
              <w:t>Y</w:t>
            </w:r>
          </w:p>
        </w:tc>
      </w:tr>
      <w:tr w:rsidR="008424F4" w:rsidRPr="008424F4" w14:paraId="429227A8" w14:textId="77777777" w:rsidTr="008424F4">
        <w:tc>
          <w:tcPr>
            <w:tcW w:w="0" w:type="auto"/>
            <w:hideMark/>
          </w:tcPr>
          <w:p w14:paraId="5B8FEC08" w14:textId="77777777" w:rsidR="008424F4" w:rsidRPr="008424F4" w:rsidRDefault="008424F4" w:rsidP="008424F4">
            <w:r w:rsidRPr="008424F4">
              <w:t>Were test procedures described adequately?</w:t>
            </w:r>
          </w:p>
        </w:tc>
        <w:tc>
          <w:tcPr>
            <w:tcW w:w="0" w:type="auto"/>
            <w:hideMark/>
          </w:tcPr>
          <w:p w14:paraId="3B5EE55E" w14:textId="77777777" w:rsidR="008424F4" w:rsidRPr="008424F4" w:rsidRDefault="008424F4" w:rsidP="008424F4">
            <w:r w:rsidRPr="008424F4">
              <w:t>Y</w:t>
            </w:r>
          </w:p>
        </w:tc>
      </w:tr>
      <w:tr w:rsidR="008424F4" w:rsidRPr="008424F4" w14:paraId="7EDC6ABC" w14:textId="77777777" w:rsidTr="008424F4">
        <w:tc>
          <w:tcPr>
            <w:tcW w:w="0" w:type="auto"/>
            <w:hideMark/>
          </w:tcPr>
          <w:p w14:paraId="7C083012" w14:textId="77777777" w:rsidR="008424F4" w:rsidRPr="008424F4" w:rsidRDefault="008424F4" w:rsidP="008424F4">
            <w:r w:rsidRPr="008424F4">
              <w:t>Were diagnostic-performance results clearly presented?</w:t>
            </w:r>
          </w:p>
        </w:tc>
        <w:tc>
          <w:tcPr>
            <w:tcW w:w="0" w:type="auto"/>
            <w:hideMark/>
          </w:tcPr>
          <w:p w14:paraId="61290CC9" w14:textId="77777777" w:rsidR="008424F4" w:rsidRPr="008424F4" w:rsidRDefault="008424F4" w:rsidP="008424F4">
            <w:r w:rsidRPr="008424F4">
              <w:t>Y</w:t>
            </w:r>
          </w:p>
        </w:tc>
      </w:tr>
      <w:tr w:rsidR="008424F4" w:rsidRPr="008424F4" w14:paraId="772BFED8" w14:textId="77777777" w:rsidTr="008424F4">
        <w:tc>
          <w:tcPr>
            <w:tcW w:w="0" w:type="auto"/>
            <w:hideMark/>
          </w:tcPr>
          <w:p w14:paraId="68F7A7D4" w14:textId="77777777" w:rsidR="008424F4" w:rsidRPr="008424F4" w:rsidRDefault="008424F4" w:rsidP="008424F4">
            <w:r w:rsidRPr="008424F4">
              <w:t>Was uncertainty/precision around the results reported?</w:t>
            </w:r>
          </w:p>
        </w:tc>
        <w:tc>
          <w:tcPr>
            <w:tcW w:w="0" w:type="auto"/>
            <w:hideMark/>
          </w:tcPr>
          <w:p w14:paraId="7FEE61D4" w14:textId="77777777" w:rsidR="008424F4" w:rsidRPr="008424F4" w:rsidRDefault="008424F4" w:rsidP="008424F4">
            <w:r w:rsidRPr="008424F4">
              <w:t>Y</w:t>
            </w:r>
          </w:p>
        </w:tc>
      </w:tr>
      <w:tr w:rsidR="008424F4" w:rsidRPr="008424F4" w14:paraId="4812A14C" w14:textId="77777777" w:rsidTr="008424F4">
        <w:tc>
          <w:tcPr>
            <w:tcW w:w="0" w:type="auto"/>
            <w:hideMark/>
          </w:tcPr>
          <w:p w14:paraId="6DDC95FC" w14:textId="77777777" w:rsidR="008424F4" w:rsidRPr="008424F4" w:rsidRDefault="008424F4" w:rsidP="008424F4">
            <w:r w:rsidRPr="008424F4">
              <w:t>Are the findings applicable to adults in UK primary care?</w:t>
            </w:r>
          </w:p>
        </w:tc>
        <w:tc>
          <w:tcPr>
            <w:tcW w:w="0" w:type="auto"/>
            <w:hideMark/>
          </w:tcPr>
          <w:p w14:paraId="4272C594" w14:textId="77777777" w:rsidR="008424F4" w:rsidRPr="008424F4" w:rsidRDefault="008424F4" w:rsidP="008424F4">
            <w:r w:rsidRPr="008424F4">
              <w:t>Y</w:t>
            </w:r>
          </w:p>
        </w:tc>
      </w:tr>
      <w:tr w:rsidR="008424F4" w:rsidRPr="008424F4" w14:paraId="5018A626" w14:textId="77777777" w:rsidTr="008424F4">
        <w:tc>
          <w:tcPr>
            <w:tcW w:w="0" w:type="auto"/>
            <w:hideMark/>
          </w:tcPr>
          <w:p w14:paraId="0DC2B4FB" w14:textId="77777777" w:rsidR="008424F4" w:rsidRPr="008424F4" w:rsidRDefault="008424F4" w:rsidP="008424F4">
            <w:r w:rsidRPr="008424F4">
              <w:t>Could the approach realistically be used in this population?</w:t>
            </w:r>
          </w:p>
        </w:tc>
        <w:tc>
          <w:tcPr>
            <w:tcW w:w="0" w:type="auto"/>
            <w:hideMark/>
          </w:tcPr>
          <w:p w14:paraId="01A5C8E5" w14:textId="77777777" w:rsidR="008424F4" w:rsidRPr="008424F4" w:rsidRDefault="008424F4" w:rsidP="008424F4">
            <w:r w:rsidRPr="008424F4">
              <w:t>Y</w:t>
            </w:r>
          </w:p>
        </w:tc>
      </w:tr>
      <w:tr w:rsidR="008424F4" w:rsidRPr="008424F4" w14:paraId="6547BD83" w14:textId="77777777" w:rsidTr="008424F4">
        <w:tc>
          <w:tcPr>
            <w:tcW w:w="0" w:type="auto"/>
            <w:hideMark/>
          </w:tcPr>
          <w:p w14:paraId="5CAAD90B" w14:textId="77777777" w:rsidR="008424F4" w:rsidRPr="008424F4" w:rsidRDefault="008424F4" w:rsidP="008424F4">
            <w:r w:rsidRPr="008424F4">
              <w:t>Were all clinically important consequences considered?</w:t>
            </w:r>
          </w:p>
        </w:tc>
        <w:tc>
          <w:tcPr>
            <w:tcW w:w="0" w:type="auto"/>
            <w:hideMark/>
          </w:tcPr>
          <w:p w14:paraId="21556D1D" w14:textId="77777777" w:rsidR="008424F4" w:rsidRPr="008424F4" w:rsidRDefault="008424F4" w:rsidP="008424F4">
            <w:r w:rsidRPr="008424F4">
              <w:t>CT</w:t>
            </w:r>
          </w:p>
        </w:tc>
      </w:tr>
      <w:tr w:rsidR="008424F4" w:rsidRPr="008424F4" w14:paraId="25713EF7" w14:textId="77777777" w:rsidTr="008424F4">
        <w:tc>
          <w:tcPr>
            <w:tcW w:w="0" w:type="auto"/>
            <w:hideMark/>
          </w:tcPr>
          <w:p w14:paraId="0C3E2B7A" w14:textId="77777777" w:rsidR="008424F4" w:rsidRPr="008424F4" w:rsidRDefault="008424F4" w:rsidP="008424F4">
            <w:r w:rsidRPr="008424F4">
              <w:t>Is the likely impact on patient management adequately established?</w:t>
            </w:r>
          </w:p>
        </w:tc>
        <w:tc>
          <w:tcPr>
            <w:tcW w:w="0" w:type="auto"/>
            <w:hideMark/>
          </w:tcPr>
          <w:p w14:paraId="4816957A" w14:textId="77777777" w:rsidR="008424F4" w:rsidRPr="008424F4" w:rsidRDefault="008424F4" w:rsidP="008424F4">
            <w:r w:rsidRPr="008424F4">
              <w:t>CT</w:t>
            </w:r>
          </w:p>
        </w:tc>
      </w:tr>
    </w:tbl>
    <w:p w14:paraId="7A84338A" w14:textId="77777777" w:rsidR="00DE51E2" w:rsidRDefault="00DE51E2" w:rsidP="008424F4">
      <w:pPr>
        <w:rPr>
          <w:b/>
          <w:bCs/>
        </w:rPr>
      </w:pPr>
    </w:p>
    <w:p w14:paraId="22428582" w14:textId="0271C794" w:rsidR="008424F4" w:rsidRPr="00DE51E2" w:rsidRDefault="008424F4" w:rsidP="008424F4">
      <w:pPr>
        <w:rPr>
          <w:b/>
          <w:bCs/>
          <w:u w:val="single"/>
        </w:rPr>
      </w:pPr>
      <w:r w:rsidRPr="00DE51E2">
        <w:rPr>
          <w:b/>
          <w:bCs/>
          <w:u w:val="single"/>
        </w:rPr>
        <w:t>CASP (2024</w:t>
      </w:r>
      <w:r w:rsidR="009C6352">
        <w:rPr>
          <w:b/>
          <w:bCs/>
          <w:u w:val="single"/>
        </w:rPr>
        <w:t>d</w:t>
      </w:r>
      <w:r w:rsidRPr="00DE51E2">
        <w:rPr>
          <w:b/>
          <w:bCs/>
          <w:u w:val="single"/>
        </w:rPr>
        <w:t>) Critical Appraisal Tool for Cohort Studies</w:t>
      </w:r>
    </w:p>
    <w:tbl>
      <w:tblPr>
        <w:tblStyle w:val="TableGrid"/>
        <w:tblW w:w="0" w:type="auto"/>
        <w:tblLook w:val="04A0" w:firstRow="1" w:lastRow="0" w:firstColumn="1" w:lastColumn="0" w:noHBand="0" w:noVBand="1"/>
      </w:tblPr>
      <w:tblGrid>
        <w:gridCol w:w="2474"/>
        <w:gridCol w:w="1197"/>
        <w:gridCol w:w="1111"/>
        <w:gridCol w:w="1857"/>
        <w:gridCol w:w="1601"/>
        <w:gridCol w:w="1368"/>
        <w:gridCol w:w="1148"/>
      </w:tblGrid>
      <w:tr w:rsidR="008424F4" w:rsidRPr="008424F4" w14:paraId="038B343B" w14:textId="77777777" w:rsidTr="008424F4">
        <w:tc>
          <w:tcPr>
            <w:tcW w:w="0" w:type="auto"/>
            <w:hideMark/>
          </w:tcPr>
          <w:p w14:paraId="6D089B33" w14:textId="77777777" w:rsidR="008424F4" w:rsidRPr="008424F4" w:rsidRDefault="008424F4" w:rsidP="008424F4">
            <w:pPr>
              <w:rPr>
                <w:b/>
                <w:bCs/>
              </w:rPr>
            </w:pPr>
            <w:r w:rsidRPr="008424F4">
              <w:rPr>
                <w:b/>
                <w:bCs/>
              </w:rPr>
              <w:lastRenderedPageBreak/>
              <w:t>Question</w:t>
            </w:r>
          </w:p>
        </w:tc>
        <w:tc>
          <w:tcPr>
            <w:tcW w:w="0" w:type="auto"/>
            <w:hideMark/>
          </w:tcPr>
          <w:p w14:paraId="7E36DE99" w14:textId="66EA4C6F" w:rsidR="008424F4" w:rsidRPr="008424F4" w:rsidRDefault="00DF5FC8" w:rsidP="008424F4">
            <w:pPr>
              <w:rPr>
                <w:b/>
                <w:bCs/>
              </w:rPr>
            </w:pPr>
            <w:r w:rsidRPr="00DF5FC8">
              <w:rPr>
                <w:b/>
                <w:bCs/>
              </w:rPr>
              <w:t>van Staa et al. (2021</w:t>
            </w:r>
            <w:r>
              <w:rPr>
                <w:b/>
                <w:bCs/>
              </w:rPr>
              <w:t>)</w:t>
            </w:r>
          </w:p>
        </w:tc>
        <w:tc>
          <w:tcPr>
            <w:tcW w:w="0" w:type="auto"/>
            <w:hideMark/>
          </w:tcPr>
          <w:p w14:paraId="1A068327" w14:textId="25DFCF25" w:rsidR="008424F4" w:rsidRPr="008424F4" w:rsidRDefault="00DF5FC8" w:rsidP="008424F4">
            <w:pPr>
              <w:rPr>
                <w:b/>
                <w:bCs/>
              </w:rPr>
            </w:pPr>
            <w:r w:rsidRPr="00DF5FC8">
              <w:rPr>
                <w:b/>
                <w:bCs/>
              </w:rPr>
              <w:t>Palin et al. (2021)</w:t>
            </w:r>
          </w:p>
        </w:tc>
        <w:tc>
          <w:tcPr>
            <w:tcW w:w="0" w:type="auto"/>
            <w:hideMark/>
          </w:tcPr>
          <w:p w14:paraId="06E2347B" w14:textId="65765E97" w:rsidR="008424F4" w:rsidRPr="008424F4" w:rsidRDefault="00D14F83" w:rsidP="008424F4">
            <w:pPr>
              <w:rPr>
                <w:b/>
                <w:bCs/>
              </w:rPr>
            </w:pPr>
            <w:r w:rsidRPr="008424F4">
              <w:rPr>
                <w:b/>
                <w:bCs/>
              </w:rPr>
              <w:t>Lalmohamed et al. (2024)</w:t>
            </w:r>
          </w:p>
        </w:tc>
        <w:tc>
          <w:tcPr>
            <w:tcW w:w="0" w:type="auto"/>
            <w:hideMark/>
          </w:tcPr>
          <w:p w14:paraId="2F0406D6" w14:textId="15CDB6EC" w:rsidR="008424F4" w:rsidRPr="008424F4" w:rsidRDefault="00D14F83" w:rsidP="008424F4">
            <w:pPr>
              <w:rPr>
                <w:b/>
                <w:bCs/>
              </w:rPr>
            </w:pPr>
            <w:r w:rsidRPr="00D14F83">
              <w:rPr>
                <w:b/>
                <w:bCs/>
              </w:rPr>
              <w:t>Vestesson et al. (2023)</w:t>
            </w:r>
          </w:p>
        </w:tc>
        <w:tc>
          <w:tcPr>
            <w:tcW w:w="0" w:type="auto"/>
            <w:hideMark/>
          </w:tcPr>
          <w:p w14:paraId="48870367" w14:textId="0FF301BB" w:rsidR="008424F4" w:rsidRPr="008424F4" w:rsidRDefault="00D14F83" w:rsidP="008424F4">
            <w:pPr>
              <w:rPr>
                <w:b/>
                <w:bCs/>
              </w:rPr>
            </w:pPr>
            <w:r w:rsidRPr="00D14F83">
              <w:rPr>
                <w:b/>
                <w:bCs/>
              </w:rPr>
              <w:t>Stimson et al. (2024)</w:t>
            </w:r>
          </w:p>
        </w:tc>
        <w:tc>
          <w:tcPr>
            <w:tcW w:w="0" w:type="auto"/>
            <w:hideMark/>
          </w:tcPr>
          <w:p w14:paraId="7E9A6114" w14:textId="53DC5FB9" w:rsidR="008424F4" w:rsidRPr="008424F4" w:rsidRDefault="00D14F83" w:rsidP="008424F4">
            <w:pPr>
              <w:rPr>
                <w:b/>
                <w:bCs/>
              </w:rPr>
            </w:pPr>
            <w:r w:rsidRPr="00D14F83">
              <w:rPr>
                <w:b/>
                <w:bCs/>
              </w:rPr>
              <w:t>Fahmi et al. (2025)</w:t>
            </w:r>
          </w:p>
        </w:tc>
      </w:tr>
      <w:tr w:rsidR="008424F4" w:rsidRPr="008424F4" w14:paraId="0B1ED26D" w14:textId="77777777" w:rsidTr="008424F4">
        <w:tc>
          <w:tcPr>
            <w:tcW w:w="0" w:type="auto"/>
            <w:hideMark/>
          </w:tcPr>
          <w:p w14:paraId="0E5F6792" w14:textId="77777777" w:rsidR="008424F4" w:rsidRPr="008424F4" w:rsidRDefault="008424F4" w:rsidP="008424F4">
            <w:r w:rsidRPr="008424F4">
              <w:t>Was the study issue clearly focused?</w:t>
            </w:r>
          </w:p>
        </w:tc>
        <w:tc>
          <w:tcPr>
            <w:tcW w:w="0" w:type="auto"/>
            <w:hideMark/>
          </w:tcPr>
          <w:p w14:paraId="7D14FEFD" w14:textId="77777777" w:rsidR="008424F4" w:rsidRPr="008424F4" w:rsidRDefault="008424F4" w:rsidP="008424F4">
            <w:r w:rsidRPr="008424F4">
              <w:t>Y</w:t>
            </w:r>
          </w:p>
        </w:tc>
        <w:tc>
          <w:tcPr>
            <w:tcW w:w="0" w:type="auto"/>
            <w:hideMark/>
          </w:tcPr>
          <w:p w14:paraId="29871D88" w14:textId="77777777" w:rsidR="008424F4" w:rsidRPr="008424F4" w:rsidRDefault="008424F4" w:rsidP="008424F4">
            <w:r w:rsidRPr="008424F4">
              <w:t>Y</w:t>
            </w:r>
          </w:p>
        </w:tc>
        <w:tc>
          <w:tcPr>
            <w:tcW w:w="0" w:type="auto"/>
            <w:hideMark/>
          </w:tcPr>
          <w:p w14:paraId="3F84BA5B" w14:textId="77777777" w:rsidR="008424F4" w:rsidRPr="008424F4" w:rsidRDefault="008424F4" w:rsidP="008424F4">
            <w:r w:rsidRPr="008424F4">
              <w:t>Y</w:t>
            </w:r>
          </w:p>
        </w:tc>
        <w:tc>
          <w:tcPr>
            <w:tcW w:w="0" w:type="auto"/>
            <w:hideMark/>
          </w:tcPr>
          <w:p w14:paraId="61EE07A1" w14:textId="77777777" w:rsidR="008424F4" w:rsidRPr="008424F4" w:rsidRDefault="008424F4" w:rsidP="008424F4">
            <w:r w:rsidRPr="008424F4">
              <w:t>Y</w:t>
            </w:r>
          </w:p>
        </w:tc>
        <w:tc>
          <w:tcPr>
            <w:tcW w:w="0" w:type="auto"/>
            <w:hideMark/>
          </w:tcPr>
          <w:p w14:paraId="03A78BC6" w14:textId="77777777" w:rsidR="008424F4" w:rsidRPr="008424F4" w:rsidRDefault="008424F4" w:rsidP="008424F4">
            <w:r w:rsidRPr="008424F4">
              <w:t>Y</w:t>
            </w:r>
          </w:p>
        </w:tc>
        <w:tc>
          <w:tcPr>
            <w:tcW w:w="0" w:type="auto"/>
            <w:hideMark/>
          </w:tcPr>
          <w:p w14:paraId="4DA9EE11" w14:textId="77777777" w:rsidR="008424F4" w:rsidRPr="008424F4" w:rsidRDefault="008424F4" w:rsidP="008424F4">
            <w:r w:rsidRPr="008424F4">
              <w:t>Y</w:t>
            </w:r>
          </w:p>
        </w:tc>
      </w:tr>
      <w:tr w:rsidR="008424F4" w:rsidRPr="008424F4" w14:paraId="41079CD1" w14:textId="77777777" w:rsidTr="008424F4">
        <w:tc>
          <w:tcPr>
            <w:tcW w:w="0" w:type="auto"/>
            <w:hideMark/>
          </w:tcPr>
          <w:p w14:paraId="387B67AE" w14:textId="77777777" w:rsidR="008424F4" w:rsidRPr="008424F4" w:rsidRDefault="008424F4" w:rsidP="008424F4">
            <w:r w:rsidRPr="008424F4">
              <w:t>Was the study population recruited appropriately?</w:t>
            </w:r>
          </w:p>
        </w:tc>
        <w:tc>
          <w:tcPr>
            <w:tcW w:w="0" w:type="auto"/>
            <w:hideMark/>
          </w:tcPr>
          <w:p w14:paraId="71454E02" w14:textId="77777777" w:rsidR="008424F4" w:rsidRPr="008424F4" w:rsidRDefault="008424F4" w:rsidP="008424F4">
            <w:r w:rsidRPr="008424F4">
              <w:t>Y</w:t>
            </w:r>
          </w:p>
        </w:tc>
        <w:tc>
          <w:tcPr>
            <w:tcW w:w="0" w:type="auto"/>
            <w:hideMark/>
          </w:tcPr>
          <w:p w14:paraId="0ACE8DBA" w14:textId="77777777" w:rsidR="008424F4" w:rsidRPr="008424F4" w:rsidRDefault="008424F4" w:rsidP="008424F4">
            <w:r w:rsidRPr="008424F4">
              <w:t>Y</w:t>
            </w:r>
          </w:p>
        </w:tc>
        <w:tc>
          <w:tcPr>
            <w:tcW w:w="0" w:type="auto"/>
            <w:hideMark/>
          </w:tcPr>
          <w:p w14:paraId="311FDABC" w14:textId="77777777" w:rsidR="008424F4" w:rsidRPr="008424F4" w:rsidRDefault="008424F4" w:rsidP="008424F4">
            <w:r w:rsidRPr="008424F4">
              <w:t>Y</w:t>
            </w:r>
          </w:p>
        </w:tc>
        <w:tc>
          <w:tcPr>
            <w:tcW w:w="0" w:type="auto"/>
            <w:hideMark/>
          </w:tcPr>
          <w:p w14:paraId="2E1720AF" w14:textId="77777777" w:rsidR="008424F4" w:rsidRPr="008424F4" w:rsidRDefault="008424F4" w:rsidP="008424F4">
            <w:r w:rsidRPr="008424F4">
              <w:t>Y</w:t>
            </w:r>
          </w:p>
        </w:tc>
        <w:tc>
          <w:tcPr>
            <w:tcW w:w="0" w:type="auto"/>
            <w:hideMark/>
          </w:tcPr>
          <w:p w14:paraId="484DB0DE" w14:textId="77777777" w:rsidR="008424F4" w:rsidRPr="008424F4" w:rsidRDefault="008424F4" w:rsidP="008424F4">
            <w:r w:rsidRPr="008424F4">
              <w:t>Y</w:t>
            </w:r>
          </w:p>
        </w:tc>
        <w:tc>
          <w:tcPr>
            <w:tcW w:w="0" w:type="auto"/>
            <w:hideMark/>
          </w:tcPr>
          <w:p w14:paraId="6786FF93" w14:textId="77777777" w:rsidR="008424F4" w:rsidRPr="008424F4" w:rsidRDefault="008424F4" w:rsidP="008424F4">
            <w:r w:rsidRPr="008424F4">
              <w:t>Y</w:t>
            </w:r>
          </w:p>
        </w:tc>
      </w:tr>
      <w:tr w:rsidR="008424F4" w:rsidRPr="008424F4" w14:paraId="5DF08D0C" w14:textId="77777777" w:rsidTr="008424F4">
        <w:tc>
          <w:tcPr>
            <w:tcW w:w="0" w:type="auto"/>
            <w:hideMark/>
          </w:tcPr>
          <w:p w14:paraId="5C17E5C6" w14:textId="77777777" w:rsidR="008424F4" w:rsidRPr="008424F4" w:rsidRDefault="008424F4" w:rsidP="008424F4">
            <w:r w:rsidRPr="008424F4">
              <w:t>Was exposure measured adequately?</w:t>
            </w:r>
          </w:p>
        </w:tc>
        <w:tc>
          <w:tcPr>
            <w:tcW w:w="0" w:type="auto"/>
            <w:hideMark/>
          </w:tcPr>
          <w:p w14:paraId="1BD6D3B2" w14:textId="77777777" w:rsidR="008424F4" w:rsidRPr="008424F4" w:rsidRDefault="008424F4" w:rsidP="008424F4">
            <w:r w:rsidRPr="008424F4">
              <w:t>CT</w:t>
            </w:r>
          </w:p>
        </w:tc>
        <w:tc>
          <w:tcPr>
            <w:tcW w:w="0" w:type="auto"/>
            <w:hideMark/>
          </w:tcPr>
          <w:p w14:paraId="1B840352" w14:textId="77777777" w:rsidR="008424F4" w:rsidRPr="008424F4" w:rsidRDefault="008424F4" w:rsidP="008424F4">
            <w:r w:rsidRPr="008424F4">
              <w:t>Y</w:t>
            </w:r>
          </w:p>
        </w:tc>
        <w:tc>
          <w:tcPr>
            <w:tcW w:w="0" w:type="auto"/>
            <w:hideMark/>
          </w:tcPr>
          <w:p w14:paraId="32802859" w14:textId="77777777" w:rsidR="008424F4" w:rsidRPr="008424F4" w:rsidRDefault="008424F4" w:rsidP="008424F4">
            <w:r w:rsidRPr="008424F4">
              <w:t>Y</w:t>
            </w:r>
          </w:p>
        </w:tc>
        <w:tc>
          <w:tcPr>
            <w:tcW w:w="0" w:type="auto"/>
            <w:hideMark/>
          </w:tcPr>
          <w:p w14:paraId="7998A3B6" w14:textId="77777777" w:rsidR="008424F4" w:rsidRPr="008424F4" w:rsidRDefault="008424F4" w:rsidP="008424F4">
            <w:r w:rsidRPr="008424F4">
              <w:t>CT</w:t>
            </w:r>
          </w:p>
        </w:tc>
        <w:tc>
          <w:tcPr>
            <w:tcW w:w="0" w:type="auto"/>
            <w:hideMark/>
          </w:tcPr>
          <w:p w14:paraId="6FCD84F6" w14:textId="77777777" w:rsidR="008424F4" w:rsidRPr="008424F4" w:rsidRDefault="008424F4" w:rsidP="008424F4">
            <w:r w:rsidRPr="008424F4">
              <w:t>Y</w:t>
            </w:r>
          </w:p>
        </w:tc>
        <w:tc>
          <w:tcPr>
            <w:tcW w:w="0" w:type="auto"/>
            <w:hideMark/>
          </w:tcPr>
          <w:p w14:paraId="3A72B758" w14:textId="77777777" w:rsidR="008424F4" w:rsidRPr="008424F4" w:rsidRDefault="008424F4" w:rsidP="008424F4">
            <w:r w:rsidRPr="008424F4">
              <w:t>Y</w:t>
            </w:r>
          </w:p>
        </w:tc>
      </w:tr>
      <w:tr w:rsidR="008424F4" w:rsidRPr="008424F4" w14:paraId="6FA4F346" w14:textId="77777777" w:rsidTr="008424F4">
        <w:tc>
          <w:tcPr>
            <w:tcW w:w="0" w:type="auto"/>
            <w:hideMark/>
          </w:tcPr>
          <w:p w14:paraId="705FFCA5" w14:textId="77777777" w:rsidR="008424F4" w:rsidRPr="008424F4" w:rsidRDefault="008424F4" w:rsidP="008424F4">
            <w:r w:rsidRPr="008424F4">
              <w:t>Were outcomes measured adequately?</w:t>
            </w:r>
          </w:p>
        </w:tc>
        <w:tc>
          <w:tcPr>
            <w:tcW w:w="0" w:type="auto"/>
            <w:hideMark/>
          </w:tcPr>
          <w:p w14:paraId="2D6C2660" w14:textId="77777777" w:rsidR="008424F4" w:rsidRPr="008424F4" w:rsidRDefault="008424F4" w:rsidP="008424F4">
            <w:r w:rsidRPr="008424F4">
              <w:t>Y</w:t>
            </w:r>
          </w:p>
        </w:tc>
        <w:tc>
          <w:tcPr>
            <w:tcW w:w="0" w:type="auto"/>
            <w:hideMark/>
          </w:tcPr>
          <w:p w14:paraId="29090206" w14:textId="77777777" w:rsidR="008424F4" w:rsidRPr="008424F4" w:rsidRDefault="008424F4" w:rsidP="008424F4">
            <w:r w:rsidRPr="008424F4">
              <w:t>Y</w:t>
            </w:r>
          </w:p>
        </w:tc>
        <w:tc>
          <w:tcPr>
            <w:tcW w:w="0" w:type="auto"/>
            <w:hideMark/>
          </w:tcPr>
          <w:p w14:paraId="599F6F27" w14:textId="77777777" w:rsidR="008424F4" w:rsidRPr="008424F4" w:rsidRDefault="008424F4" w:rsidP="008424F4">
            <w:r w:rsidRPr="008424F4">
              <w:t>Y</w:t>
            </w:r>
          </w:p>
        </w:tc>
        <w:tc>
          <w:tcPr>
            <w:tcW w:w="0" w:type="auto"/>
            <w:hideMark/>
          </w:tcPr>
          <w:p w14:paraId="5478163D" w14:textId="77777777" w:rsidR="008424F4" w:rsidRPr="008424F4" w:rsidRDefault="008424F4" w:rsidP="008424F4">
            <w:r w:rsidRPr="008424F4">
              <w:t>Y</w:t>
            </w:r>
          </w:p>
        </w:tc>
        <w:tc>
          <w:tcPr>
            <w:tcW w:w="0" w:type="auto"/>
            <w:hideMark/>
          </w:tcPr>
          <w:p w14:paraId="1DFA11A8" w14:textId="77777777" w:rsidR="008424F4" w:rsidRPr="008424F4" w:rsidRDefault="008424F4" w:rsidP="008424F4">
            <w:r w:rsidRPr="008424F4">
              <w:t>Y</w:t>
            </w:r>
          </w:p>
        </w:tc>
        <w:tc>
          <w:tcPr>
            <w:tcW w:w="0" w:type="auto"/>
            <w:hideMark/>
          </w:tcPr>
          <w:p w14:paraId="1D84184D" w14:textId="77777777" w:rsidR="008424F4" w:rsidRPr="008424F4" w:rsidRDefault="008424F4" w:rsidP="008424F4">
            <w:r w:rsidRPr="008424F4">
              <w:t>Y</w:t>
            </w:r>
          </w:p>
        </w:tc>
      </w:tr>
      <w:tr w:rsidR="008424F4" w:rsidRPr="008424F4" w14:paraId="51DE5A10" w14:textId="77777777" w:rsidTr="008424F4">
        <w:tc>
          <w:tcPr>
            <w:tcW w:w="0" w:type="auto"/>
            <w:hideMark/>
          </w:tcPr>
          <w:p w14:paraId="2615B234" w14:textId="77777777" w:rsidR="008424F4" w:rsidRPr="008424F4" w:rsidRDefault="008424F4" w:rsidP="008424F4">
            <w:r w:rsidRPr="008424F4">
              <w:t>Were important confounding factors identified?</w:t>
            </w:r>
          </w:p>
        </w:tc>
        <w:tc>
          <w:tcPr>
            <w:tcW w:w="0" w:type="auto"/>
            <w:hideMark/>
          </w:tcPr>
          <w:p w14:paraId="29622C6A" w14:textId="77777777" w:rsidR="008424F4" w:rsidRPr="008424F4" w:rsidRDefault="008424F4" w:rsidP="008424F4">
            <w:r w:rsidRPr="008424F4">
              <w:t>Y</w:t>
            </w:r>
          </w:p>
        </w:tc>
        <w:tc>
          <w:tcPr>
            <w:tcW w:w="0" w:type="auto"/>
            <w:hideMark/>
          </w:tcPr>
          <w:p w14:paraId="364EA8D6" w14:textId="77777777" w:rsidR="008424F4" w:rsidRPr="008424F4" w:rsidRDefault="008424F4" w:rsidP="008424F4">
            <w:r w:rsidRPr="008424F4">
              <w:t>Y</w:t>
            </w:r>
          </w:p>
        </w:tc>
        <w:tc>
          <w:tcPr>
            <w:tcW w:w="0" w:type="auto"/>
            <w:hideMark/>
          </w:tcPr>
          <w:p w14:paraId="02AFFAC7" w14:textId="77777777" w:rsidR="008424F4" w:rsidRPr="008424F4" w:rsidRDefault="008424F4" w:rsidP="008424F4">
            <w:r w:rsidRPr="008424F4">
              <w:t>Y</w:t>
            </w:r>
          </w:p>
        </w:tc>
        <w:tc>
          <w:tcPr>
            <w:tcW w:w="0" w:type="auto"/>
            <w:hideMark/>
          </w:tcPr>
          <w:p w14:paraId="34346063" w14:textId="77777777" w:rsidR="008424F4" w:rsidRPr="008424F4" w:rsidRDefault="008424F4" w:rsidP="008424F4">
            <w:r w:rsidRPr="008424F4">
              <w:t>Y</w:t>
            </w:r>
          </w:p>
        </w:tc>
        <w:tc>
          <w:tcPr>
            <w:tcW w:w="0" w:type="auto"/>
            <w:hideMark/>
          </w:tcPr>
          <w:p w14:paraId="5862835E" w14:textId="77777777" w:rsidR="008424F4" w:rsidRPr="008424F4" w:rsidRDefault="008424F4" w:rsidP="008424F4">
            <w:r w:rsidRPr="008424F4">
              <w:t>Y</w:t>
            </w:r>
          </w:p>
        </w:tc>
        <w:tc>
          <w:tcPr>
            <w:tcW w:w="0" w:type="auto"/>
            <w:hideMark/>
          </w:tcPr>
          <w:p w14:paraId="56568FFA" w14:textId="77777777" w:rsidR="008424F4" w:rsidRPr="008424F4" w:rsidRDefault="008424F4" w:rsidP="008424F4">
            <w:r w:rsidRPr="008424F4">
              <w:t>Y</w:t>
            </w:r>
          </w:p>
        </w:tc>
      </w:tr>
      <w:tr w:rsidR="008424F4" w:rsidRPr="008424F4" w14:paraId="652B4F42" w14:textId="77777777" w:rsidTr="008424F4">
        <w:tc>
          <w:tcPr>
            <w:tcW w:w="0" w:type="auto"/>
            <w:hideMark/>
          </w:tcPr>
          <w:p w14:paraId="5A31F566" w14:textId="77777777" w:rsidR="008424F4" w:rsidRPr="008424F4" w:rsidRDefault="008424F4" w:rsidP="008424F4">
            <w:r w:rsidRPr="008424F4">
              <w:t>Were confounding factors addressed in the analysis?</w:t>
            </w:r>
          </w:p>
        </w:tc>
        <w:tc>
          <w:tcPr>
            <w:tcW w:w="0" w:type="auto"/>
            <w:hideMark/>
          </w:tcPr>
          <w:p w14:paraId="49A01EE0" w14:textId="77777777" w:rsidR="008424F4" w:rsidRPr="008424F4" w:rsidRDefault="008424F4" w:rsidP="008424F4">
            <w:r w:rsidRPr="008424F4">
              <w:t>Y</w:t>
            </w:r>
          </w:p>
        </w:tc>
        <w:tc>
          <w:tcPr>
            <w:tcW w:w="0" w:type="auto"/>
            <w:hideMark/>
          </w:tcPr>
          <w:p w14:paraId="1ECD4288" w14:textId="77777777" w:rsidR="008424F4" w:rsidRPr="008424F4" w:rsidRDefault="008424F4" w:rsidP="008424F4">
            <w:r w:rsidRPr="008424F4">
              <w:t>Y</w:t>
            </w:r>
          </w:p>
        </w:tc>
        <w:tc>
          <w:tcPr>
            <w:tcW w:w="0" w:type="auto"/>
            <w:hideMark/>
          </w:tcPr>
          <w:p w14:paraId="437E1600" w14:textId="77777777" w:rsidR="008424F4" w:rsidRPr="008424F4" w:rsidRDefault="008424F4" w:rsidP="008424F4">
            <w:r w:rsidRPr="008424F4">
              <w:t>Y</w:t>
            </w:r>
          </w:p>
        </w:tc>
        <w:tc>
          <w:tcPr>
            <w:tcW w:w="0" w:type="auto"/>
            <w:hideMark/>
          </w:tcPr>
          <w:p w14:paraId="571ED97D" w14:textId="77777777" w:rsidR="008424F4" w:rsidRPr="008424F4" w:rsidRDefault="008424F4" w:rsidP="008424F4">
            <w:r w:rsidRPr="008424F4">
              <w:t>Y</w:t>
            </w:r>
          </w:p>
        </w:tc>
        <w:tc>
          <w:tcPr>
            <w:tcW w:w="0" w:type="auto"/>
            <w:hideMark/>
          </w:tcPr>
          <w:p w14:paraId="558A61EE" w14:textId="77777777" w:rsidR="008424F4" w:rsidRPr="008424F4" w:rsidRDefault="008424F4" w:rsidP="008424F4">
            <w:r w:rsidRPr="008424F4">
              <w:t>Y</w:t>
            </w:r>
          </w:p>
        </w:tc>
        <w:tc>
          <w:tcPr>
            <w:tcW w:w="0" w:type="auto"/>
            <w:hideMark/>
          </w:tcPr>
          <w:p w14:paraId="38DBD947" w14:textId="77777777" w:rsidR="008424F4" w:rsidRPr="008424F4" w:rsidRDefault="008424F4" w:rsidP="008424F4">
            <w:r w:rsidRPr="008424F4">
              <w:t>Y</w:t>
            </w:r>
          </w:p>
        </w:tc>
      </w:tr>
      <w:tr w:rsidR="008424F4" w:rsidRPr="008424F4" w14:paraId="2C000768" w14:textId="77777777" w:rsidTr="008424F4">
        <w:tc>
          <w:tcPr>
            <w:tcW w:w="0" w:type="auto"/>
            <w:hideMark/>
          </w:tcPr>
          <w:p w14:paraId="498C8858" w14:textId="77777777" w:rsidR="008424F4" w:rsidRPr="008424F4" w:rsidRDefault="008424F4" w:rsidP="008424F4">
            <w:r w:rsidRPr="008424F4">
              <w:t>Was follow-up sufficiently complete?</w:t>
            </w:r>
          </w:p>
        </w:tc>
        <w:tc>
          <w:tcPr>
            <w:tcW w:w="0" w:type="auto"/>
            <w:hideMark/>
          </w:tcPr>
          <w:p w14:paraId="2F576AFE" w14:textId="77777777" w:rsidR="008424F4" w:rsidRPr="008424F4" w:rsidRDefault="008424F4" w:rsidP="008424F4">
            <w:r w:rsidRPr="008424F4">
              <w:t>Y</w:t>
            </w:r>
          </w:p>
        </w:tc>
        <w:tc>
          <w:tcPr>
            <w:tcW w:w="0" w:type="auto"/>
            <w:hideMark/>
          </w:tcPr>
          <w:p w14:paraId="47B04FA4" w14:textId="77777777" w:rsidR="008424F4" w:rsidRPr="008424F4" w:rsidRDefault="008424F4" w:rsidP="008424F4">
            <w:r w:rsidRPr="008424F4">
              <w:t>Y</w:t>
            </w:r>
          </w:p>
        </w:tc>
        <w:tc>
          <w:tcPr>
            <w:tcW w:w="0" w:type="auto"/>
            <w:hideMark/>
          </w:tcPr>
          <w:p w14:paraId="51EC175A" w14:textId="77777777" w:rsidR="008424F4" w:rsidRPr="008424F4" w:rsidRDefault="008424F4" w:rsidP="008424F4">
            <w:r w:rsidRPr="008424F4">
              <w:t>Y</w:t>
            </w:r>
          </w:p>
        </w:tc>
        <w:tc>
          <w:tcPr>
            <w:tcW w:w="0" w:type="auto"/>
            <w:hideMark/>
          </w:tcPr>
          <w:p w14:paraId="6948AA30" w14:textId="77777777" w:rsidR="008424F4" w:rsidRPr="008424F4" w:rsidRDefault="008424F4" w:rsidP="008424F4">
            <w:r w:rsidRPr="008424F4">
              <w:t>N/A</w:t>
            </w:r>
          </w:p>
        </w:tc>
        <w:tc>
          <w:tcPr>
            <w:tcW w:w="0" w:type="auto"/>
            <w:hideMark/>
          </w:tcPr>
          <w:p w14:paraId="23B5F31E" w14:textId="77777777" w:rsidR="008424F4" w:rsidRPr="008424F4" w:rsidRDefault="008424F4" w:rsidP="008424F4">
            <w:r w:rsidRPr="008424F4">
              <w:t>Y</w:t>
            </w:r>
          </w:p>
        </w:tc>
        <w:tc>
          <w:tcPr>
            <w:tcW w:w="0" w:type="auto"/>
            <w:hideMark/>
          </w:tcPr>
          <w:p w14:paraId="163C8D28" w14:textId="77777777" w:rsidR="008424F4" w:rsidRPr="008424F4" w:rsidRDefault="008424F4" w:rsidP="008424F4">
            <w:r w:rsidRPr="008424F4">
              <w:t>Y</w:t>
            </w:r>
          </w:p>
        </w:tc>
      </w:tr>
      <w:tr w:rsidR="008424F4" w:rsidRPr="008424F4" w14:paraId="12252D4D" w14:textId="77777777" w:rsidTr="008424F4">
        <w:tc>
          <w:tcPr>
            <w:tcW w:w="0" w:type="auto"/>
            <w:hideMark/>
          </w:tcPr>
          <w:p w14:paraId="1828EC63" w14:textId="77777777" w:rsidR="008424F4" w:rsidRPr="008424F4" w:rsidRDefault="008424F4" w:rsidP="008424F4">
            <w:r w:rsidRPr="008424F4">
              <w:t>Was follow-up/time period adequate for the outcome?</w:t>
            </w:r>
          </w:p>
        </w:tc>
        <w:tc>
          <w:tcPr>
            <w:tcW w:w="0" w:type="auto"/>
            <w:hideMark/>
          </w:tcPr>
          <w:p w14:paraId="75015001" w14:textId="77777777" w:rsidR="008424F4" w:rsidRPr="008424F4" w:rsidRDefault="008424F4" w:rsidP="008424F4">
            <w:r w:rsidRPr="008424F4">
              <w:t>Y</w:t>
            </w:r>
          </w:p>
        </w:tc>
        <w:tc>
          <w:tcPr>
            <w:tcW w:w="0" w:type="auto"/>
            <w:hideMark/>
          </w:tcPr>
          <w:p w14:paraId="4E671F7D" w14:textId="77777777" w:rsidR="008424F4" w:rsidRPr="008424F4" w:rsidRDefault="008424F4" w:rsidP="008424F4">
            <w:r w:rsidRPr="008424F4">
              <w:t>Y</w:t>
            </w:r>
          </w:p>
        </w:tc>
        <w:tc>
          <w:tcPr>
            <w:tcW w:w="0" w:type="auto"/>
            <w:hideMark/>
          </w:tcPr>
          <w:p w14:paraId="652FD241" w14:textId="77777777" w:rsidR="008424F4" w:rsidRPr="008424F4" w:rsidRDefault="008424F4" w:rsidP="008424F4">
            <w:r w:rsidRPr="008424F4">
              <w:t>Y</w:t>
            </w:r>
          </w:p>
        </w:tc>
        <w:tc>
          <w:tcPr>
            <w:tcW w:w="0" w:type="auto"/>
            <w:hideMark/>
          </w:tcPr>
          <w:p w14:paraId="76A1EB44" w14:textId="77777777" w:rsidR="008424F4" w:rsidRPr="008424F4" w:rsidRDefault="008424F4" w:rsidP="008424F4">
            <w:r w:rsidRPr="008424F4">
              <w:t>Y</w:t>
            </w:r>
          </w:p>
        </w:tc>
        <w:tc>
          <w:tcPr>
            <w:tcW w:w="0" w:type="auto"/>
            <w:hideMark/>
          </w:tcPr>
          <w:p w14:paraId="3CCB7FDF" w14:textId="77777777" w:rsidR="008424F4" w:rsidRPr="008424F4" w:rsidRDefault="008424F4" w:rsidP="008424F4">
            <w:r w:rsidRPr="008424F4">
              <w:t>Y</w:t>
            </w:r>
          </w:p>
        </w:tc>
        <w:tc>
          <w:tcPr>
            <w:tcW w:w="0" w:type="auto"/>
            <w:hideMark/>
          </w:tcPr>
          <w:p w14:paraId="65F564B4" w14:textId="77777777" w:rsidR="008424F4" w:rsidRPr="008424F4" w:rsidRDefault="008424F4" w:rsidP="008424F4">
            <w:r w:rsidRPr="008424F4">
              <w:t>Y</w:t>
            </w:r>
          </w:p>
        </w:tc>
      </w:tr>
      <w:tr w:rsidR="008424F4" w:rsidRPr="008424F4" w14:paraId="2E69FC04" w14:textId="77777777" w:rsidTr="008424F4">
        <w:tc>
          <w:tcPr>
            <w:tcW w:w="0" w:type="auto"/>
            <w:hideMark/>
          </w:tcPr>
          <w:p w14:paraId="3747A9A2" w14:textId="77777777" w:rsidR="008424F4" w:rsidRPr="008424F4" w:rsidRDefault="008424F4" w:rsidP="008424F4">
            <w:r w:rsidRPr="008424F4">
              <w:t>Were results clearly reported?</w:t>
            </w:r>
          </w:p>
        </w:tc>
        <w:tc>
          <w:tcPr>
            <w:tcW w:w="0" w:type="auto"/>
            <w:hideMark/>
          </w:tcPr>
          <w:p w14:paraId="53436A57" w14:textId="77777777" w:rsidR="008424F4" w:rsidRPr="008424F4" w:rsidRDefault="008424F4" w:rsidP="008424F4">
            <w:r w:rsidRPr="008424F4">
              <w:t>Y</w:t>
            </w:r>
          </w:p>
        </w:tc>
        <w:tc>
          <w:tcPr>
            <w:tcW w:w="0" w:type="auto"/>
            <w:hideMark/>
          </w:tcPr>
          <w:p w14:paraId="5C53782D" w14:textId="77777777" w:rsidR="008424F4" w:rsidRPr="008424F4" w:rsidRDefault="008424F4" w:rsidP="008424F4">
            <w:r w:rsidRPr="008424F4">
              <w:t>Y</w:t>
            </w:r>
          </w:p>
        </w:tc>
        <w:tc>
          <w:tcPr>
            <w:tcW w:w="0" w:type="auto"/>
            <w:hideMark/>
          </w:tcPr>
          <w:p w14:paraId="093637C2" w14:textId="77777777" w:rsidR="008424F4" w:rsidRPr="008424F4" w:rsidRDefault="008424F4" w:rsidP="008424F4">
            <w:r w:rsidRPr="008424F4">
              <w:t>Y</w:t>
            </w:r>
          </w:p>
        </w:tc>
        <w:tc>
          <w:tcPr>
            <w:tcW w:w="0" w:type="auto"/>
            <w:hideMark/>
          </w:tcPr>
          <w:p w14:paraId="0005C60D" w14:textId="77777777" w:rsidR="008424F4" w:rsidRPr="008424F4" w:rsidRDefault="008424F4" w:rsidP="008424F4">
            <w:r w:rsidRPr="008424F4">
              <w:t>Y</w:t>
            </w:r>
          </w:p>
        </w:tc>
        <w:tc>
          <w:tcPr>
            <w:tcW w:w="0" w:type="auto"/>
            <w:hideMark/>
          </w:tcPr>
          <w:p w14:paraId="788B9984" w14:textId="77777777" w:rsidR="008424F4" w:rsidRPr="008424F4" w:rsidRDefault="008424F4" w:rsidP="008424F4">
            <w:r w:rsidRPr="008424F4">
              <w:t>Y</w:t>
            </w:r>
          </w:p>
        </w:tc>
        <w:tc>
          <w:tcPr>
            <w:tcW w:w="0" w:type="auto"/>
            <w:hideMark/>
          </w:tcPr>
          <w:p w14:paraId="1E8D5105" w14:textId="77777777" w:rsidR="008424F4" w:rsidRPr="008424F4" w:rsidRDefault="008424F4" w:rsidP="008424F4">
            <w:r w:rsidRPr="008424F4">
              <w:t>Y</w:t>
            </w:r>
          </w:p>
        </w:tc>
      </w:tr>
      <w:tr w:rsidR="008424F4" w:rsidRPr="008424F4" w14:paraId="39373CCA" w14:textId="77777777" w:rsidTr="008424F4">
        <w:tc>
          <w:tcPr>
            <w:tcW w:w="0" w:type="auto"/>
            <w:hideMark/>
          </w:tcPr>
          <w:p w14:paraId="32F5FF12" w14:textId="77777777" w:rsidR="008424F4" w:rsidRPr="008424F4" w:rsidRDefault="008424F4" w:rsidP="008424F4">
            <w:r w:rsidRPr="008424F4">
              <w:t>Was precision adequately reported?</w:t>
            </w:r>
          </w:p>
        </w:tc>
        <w:tc>
          <w:tcPr>
            <w:tcW w:w="0" w:type="auto"/>
            <w:hideMark/>
          </w:tcPr>
          <w:p w14:paraId="2247124F" w14:textId="77777777" w:rsidR="008424F4" w:rsidRPr="008424F4" w:rsidRDefault="008424F4" w:rsidP="008424F4">
            <w:r w:rsidRPr="008424F4">
              <w:t>Y</w:t>
            </w:r>
          </w:p>
        </w:tc>
        <w:tc>
          <w:tcPr>
            <w:tcW w:w="0" w:type="auto"/>
            <w:hideMark/>
          </w:tcPr>
          <w:p w14:paraId="1B962017" w14:textId="77777777" w:rsidR="008424F4" w:rsidRPr="008424F4" w:rsidRDefault="008424F4" w:rsidP="008424F4">
            <w:r w:rsidRPr="008424F4">
              <w:t>Y</w:t>
            </w:r>
          </w:p>
        </w:tc>
        <w:tc>
          <w:tcPr>
            <w:tcW w:w="0" w:type="auto"/>
            <w:hideMark/>
          </w:tcPr>
          <w:p w14:paraId="6959DF74" w14:textId="77777777" w:rsidR="008424F4" w:rsidRPr="008424F4" w:rsidRDefault="008424F4" w:rsidP="008424F4">
            <w:r w:rsidRPr="008424F4">
              <w:t>Y</w:t>
            </w:r>
          </w:p>
        </w:tc>
        <w:tc>
          <w:tcPr>
            <w:tcW w:w="0" w:type="auto"/>
            <w:hideMark/>
          </w:tcPr>
          <w:p w14:paraId="37DE61D2" w14:textId="77777777" w:rsidR="008424F4" w:rsidRPr="008424F4" w:rsidRDefault="008424F4" w:rsidP="008424F4">
            <w:r w:rsidRPr="008424F4">
              <w:t>Y</w:t>
            </w:r>
          </w:p>
        </w:tc>
        <w:tc>
          <w:tcPr>
            <w:tcW w:w="0" w:type="auto"/>
            <w:hideMark/>
          </w:tcPr>
          <w:p w14:paraId="695B98B7" w14:textId="77777777" w:rsidR="008424F4" w:rsidRPr="008424F4" w:rsidRDefault="008424F4" w:rsidP="008424F4">
            <w:r w:rsidRPr="008424F4">
              <w:t>Y</w:t>
            </w:r>
          </w:p>
        </w:tc>
        <w:tc>
          <w:tcPr>
            <w:tcW w:w="0" w:type="auto"/>
            <w:hideMark/>
          </w:tcPr>
          <w:p w14:paraId="79FEA61A" w14:textId="77777777" w:rsidR="008424F4" w:rsidRPr="008424F4" w:rsidRDefault="008424F4" w:rsidP="008424F4">
            <w:r w:rsidRPr="008424F4">
              <w:t>Y</w:t>
            </w:r>
          </w:p>
        </w:tc>
      </w:tr>
      <w:tr w:rsidR="008424F4" w:rsidRPr="008424F4" w14:paraId="79FA207C" w14:textId="77777777" w:rsidTr="008424F4">
        <w:tc>
          <w:tcPr>
            <w:tcW w:w="0" w:type="auto"/>
            <w:hideMark/>
          </w:tcPr>
          <w:p w14:paraId="1723E947" w14:textId="77777777" w:rsidR="008424F4" w:rsidRPr="008424F4" w:rsidRDefault="008424F4" w:rsidP="008424F4">
            <w:r w:rsidRPr="008424F4">
              <w:t>Are the results credible and applicable to UK care?</w:t>
            </w:r>
          </w:p>
        </w:tc>
        <w:tc>
          <w:tcPr>
            <w:tcW w:w="0" w:type="auto"/>
            <w:hideMark/>
          </w:tcPr>
          <w:p w14:paraId="57B8FEBD" w14:textId="77777777" w:rsidR="008424F4" w:rsidRPr="008424F4" w:rsidRDefault="008424F4" w:rsidP="008424F4">
            <w:r w:rsidRPr="008424F4">
              <w:t>Y</w:t>
            </w:r>
          </w:p>
        </w:tc>
        <w:tc>
          <w:tcPr>
            <w:tcW w:w="0" w:type="auto"/>
            <w:hideMark/>
          </w:tcPr>
          <w:p w14:paraId="6F119078" w14:textId="77777777" w:rsidR="008424F4" w:rsidRPr="008424F4" w:rsidRDefault="008424F4" w:rsidP="008424F4">
            <w:r w:rsidRPr="008424F4">
              <w:t>Y</w:t>
            </w:r>
          </w:p>
        </w:tc>
        <w:tc>
          <w:tcPr>
            <w:tcW w:w="0" w:type="auto"/>
            <w:hideMark/>
          </w:tcPr>
          <w:p w14:paraId="0FE03672" w14:textId="77777777" w:rsidR="008424F4" w:rsidRPr="008424F4" w:rsidRDefault="008424F4" w:rsidP="008424F4">
            <w:r w:rsidRPr="008424F4">
              <w:t>Y</w:t>
            </w:r>
          </w:p>
        </w:tc>
        <w:tc>
          <w:tcPr>
            <w:tcW w:w="0" w:type="auto"/>
            <w:hideMark/>
          </w:tcPr>
          <w:p w14:paraId="279567CA" w14:textId="77777777" w:rsidR="008424F4" w:rsidRPr="008424F4" w:rsidRDefault="008424F4" w:rsidP="008424F4">
            <w:r w:rsidRPr="008424F4">
              <w:t>Y</w:t>
            </w:r>
          </w:p>
        </w:tc>
        <w:tc>
          <w:tcPr>
            <w:tcW w:w="0" w:type="auto"/>
            <w:hideMark/>
          </w:tcPr>
          <w:p w14:paraId="29BB88F3" w14:textId="77777777" w:rsidR="008424F4" w:rsidRPr="008424F4" w:rsidRDefault="008424F4" w:rsidP="008424F4">
            <w:r w:rsidRPr="008424F4">
              <w:t>Y</w:t>
            </w:r>
          </w:p>
        </w:tc>
        <w:tc>
          <w:tcPr>
            <w:tcW w:w="0" w:type="auto"/>
            <w:hideMark/>
          </w:tcPr>
          <w:p w14:paraId="1A81A094" w14:textId="77777777" w:rsidR="008424F4" w:rsidRPr="008424F4" w:rsidRDefault="008424F4" w:rsidP="008424F4">
            <w:r w:rsidRPr="008424F4">
              <w:t>Y</w:t>
            </w:r>
          </w:p>
        </w:tc>
      </w:tr>
      <w:tr w:rsidR="008424F4" w:rsidRPr="008424F4" w14:paraId="3D889D01" w14:textId="77777777" w:rsidTr="008424F4">
        <w:tc>
          <w:tcPr>
            <w:tcW w:w="0" w:type="auto"/>
            <w:hideMark/>
          </w:tcPr>
          <w:p w14:paraId="0BBD2345" w14:textId="77777777" w:rsidR="008424F4" w:rsidRPr="008424F4" w:rsidRDefault="008424F4" w:rsidP="008424F4">
            <w:r w:rsidRPr="008424F4">
              <w:lastRenderedPageBreak/>
              <w:t>Are implications for practice identifiable?</w:t>
            </w:r>
          </w:p>
        </w:tc>
        <w:tc>
          <w:tcPr>
            <w:tcW w:w="0" w:type="auto"/>
            <w:hideMark/>
          </w:tcPr>
          <w:p w14:paraId="71FEC908" w14:textId="77777777" w:rsidR="008424F4" w:rsidRPr="008424F4" w:rsidRDefault="008424F4" w:rsidP="008424F4">
            <w:r w:rsidRPr="008424F4">
              <w:t>Y</w:t>
            </w:r>
          </w:p>
        </w:tc>
        <w:tc>
          <w:tcPr>
            <w:tcW w:w="0" w:type="auto"/>
            <w:hideMark/>
          </w:tcPr>
          <w:p w14:paraId="5673363C" w14:textId="77777777" w:rsidR="008424F4" w:rsidRPr="008424F4" w:rsidRDefault="008424F4" w:rsidP="008424F4">
            <w:r w:rsidRPr="008424F4">
              <w:t>Y</w:t>
            </w:r>
          </w:p>
        </w:tc>
        <w:tc>
          <w:tcPr>
            <w:tcW w:w="0" w:type="auto"/>
            <w:hideMark/>
          </w:tcPr>
          <w:p w14:paraId="1CF47F3B" w14:textId="77777777" w:rsidR="008424F4" w:rsidRPr="008424F4" w:rsidRDefault="008424F4" w:rsidP="008424F4">
            <w:r w:rsidRPr="008424F4">
              <w:t>Y</w:t>
            </w:r>
          </w:p>
        </w:tc>
        <w:tc>
          <w:tcPr>
            <w:tcW w:w="0" w:type="auto"/>
            <w:hideMark/>
          </w:tcPr>
          <w:p w14:paraId="6AC1AF55" w14:textId="77777777" w:rsidR="008424F4" w:rsidRPr="008424F4" w:rsidRDefault="008424F4" w:rsidP="008424F4">
            <w:r w:rsidRPr="008424F4">
              <w:t>Y</w:t>
            </w:r>
          </w:p>
        </w:tc>
        <w:tc>
          <w:tcPr>
            <w:tcW w:w="0" w:type="auto"/>
            <w:hideMark/>
          </w:tcPr>
          <w:p w14:paraId="237032DC" w14:textId="77777777" w:rsidR="008424F4" w:rsidRPr="008424F4" w:rsidRDefault="008424F4" w:rsidP="008424F4">
            <w:r w:rsidRPr="008424F4">
              <w:t>Y</w:t>
            </w:r>
          </w:p>
        </w:tc>
        <w:tc>
          <w:tcPr>
            <w:tcW w:w="0" w:type="auto"/>
            <w:hideMark/>
          </w:tcPr>
          <w:p w14:paraId="225BF9BD" w14:textId="77777777" w:rsidR="008424F4" w:rsidRPr="008424F4" w:rsidRDefault="008424F4" w:rsidP="008424F4">
            <w:r w:rsidRPr="008424F4">
              <w:t>Y</w:t>
            </w:r>
          </w:p>
        </w:tc>
      </w:tr>
    </w:tbl>
    <w:p w14:paraId="2B5608F0" w14:textId="48074691" w:rsidR="008424F4" w:rsidRPr="008424F4" w:rsidRDefault="008424F4" w:rsidP="008424F4"/>
    <w:p w14:paraId="1EA196F0" w14:textId="77777777" w:rsidR="008424F4" w:rsidRPr="008424F4" w:rsidRDefault="008424F4" w:rsidP="008424F4">
      <w:pPr>
        <w:rPr>
          <w:b/>
          <w:bCs/>
        </w:rPr>
      </w:pPr>
      <w:r w:rsidRPr="008424F4">
        <w:rPr>
          <w:b/>
          <w:bCs/>
        </w:rPr>
        <w:t>CASP Cohort Appraisal Applied to Observational / Time-Series Evidence</w:t>
      </w:r>
    </w:p>
    <w:p w14:paraId="38282E0F" w14:textId="77777777" w:rsidR="008424F4" w:rsidRPr="008424F4" w:rsidRDefault="008424F4" w:rsidP="008424F4">
      <w:r w:rsidRPr="008424F4">
        <w:t xml:space="preserve">For </w:t>
      </w:r>
      <w:r w:rsidRPr="008424F4">
        <w:rPr>
          <w:b/>
          <w:bCs/>
        </w:rPr>
        <w:t>Dixon, Zhong and Miller</w:t>
      </w:r>
      <w:r w:rsidRPr="008424F4">
        <w:t xml:space="preserve">, the CASP cohort domains are used cautiously. </w:t>
      </w:r>
      <w:r w:rsidRPr="008424F4">
        <w:rPr>
          <w:b/>
          <w:bCs/>
        </w:rPr>
        <w:t>N/A</w:t>
      </w:r>
      <w:r w:rsidRPr="008424F4">
        <w:t xml:space="preserve"> is used where an individual-level cohort question genuinely does not apply rather than forcing an artificial judgement.</w:t>
      </w:r>
    </w:p>
    <w:tbl>
      <w:tblPr>
        <w:tblStyle w:val="TableGrid"/>
        <w:tblW w:w="0" w:type="auto"/>
        <w:tblLook w:val="04A0" w:firstRow="1" w:lastRow="0" w:firstColumn="1" w:lastColumn="0" w:noHBand="0" w:noVBand="1"/>
      </w:tblPr>
      <w:tblGrid>
        <w:gridCol w:w="5212"/>
        <w:gridCol w:w="1839"/>
        <w:gridCol w:w="1895"/>
        <w:gridCol w:w="1810"/>
      </w:tblGrid>
      <w:tr w:rsidR="008424F4" w:rsidRPr="008424F4" w14:paraId="70FBAD8A" w14:textId="77777777" w:rsidTr="008424F4">
        <w:tc>
          <w:tcPr>
            <w:tcW w:w="0" w:type="auto"/>
            <w:hideMark/>
          </w:tcPr>
          <w:p w14:paraId="787BCA1D" w14:textId="77777777" w:rsidR="008424F4" w:rsidRPr="008424F4" w:rsidRDefault="008424F4" w:rsidP="008424F4">
            <w:pPr>
              <w:rPr>
                <w:b/>
                <w:bCs/>
              </w:rPr>
            </w:pPr>
            <w:r w:rsidRPr="008424F4">
              <w:rPr>
                <w:b/>
                <w:bCs/>
              </w:rPr>
              <w:t>Question</w:t>
            </w:r>
          </w:p>
        </w:tc>
        <w:tc>
          <w:tcPr>
            <w:tcW w:w="0" w:type="auto"/>
            <w:hideMark/>
          </w:tcPr>
          <w:p w14:paraId="4005C47A" w14:textId="77777777" w:rsidR="008424F4" w:rsidRPr="008424F4" w:rsidRDefault="008424F4" w:rsidP="008424F4">
            <w:pPr>
              <w:rPr>
                <w:b/>
                <w:bCs/>
              </w:rPr>
            </w:pPr>
            <w:r w:rsidRPr="008424F4">
              <w:rPr>
                <w:b/>
                <w:bCs/>
              </w:rPr>
              <w:t>Dixon et al. (2022)</w:t>
            </w:r>
          </w:p>
        </w:tc>
        <w:tc>
          <w:tcPr>
            <w:tcW w:w="0" w:type="auto"/>
            <w:hideMark/>
          </w:tcPr>
          <w:p w14:paraId="384F6598" w14:textId="77777777" w:rsidR="008424F4" w:rsidRPr="008424F4" w:rsidRDefault="008424F4" w:rsidP="008424F4">
            <w:pPr>
              <w:rPr>
                <w:b/>
                <w:bCs/>
              </w:rPr>
            </w:pPr>
            <w:r w:rsidRPr="008424F4">
              <w:rPr>
                <w:b/>
                <w:bCs/>
              </w:rPr>
              <w:t>Zhong et al. (2023)</w:t>
            </w:r>
          </w:p>
        </w:tc>
        <w:tc>
          <w:tcPr>
            <w:tcW w:w="0" w:type="auto"/>
            <w:hideMark/>
          </w:tcPr>
          <w:p w14:paraId="58F959ED" w14:textId="77777777" w:rsidR="008424F4" w:rsidRPr="008424F4" w:rsidRDefault="008424F4" w:rsidP="008424F4">
            <w:pPr>
              <w:rPr>
                <w:b/>
                <w:bCs/>
              </w:rPr>
            </w:pPr>
            <w:r w:rsidRPr="008424F4">
              <w:rPr>
                <w:b/>
                <w:bCs/>
              </w:rPr>
              <w:t>Miller et al. (2025)</w:t>
            </w:r>
          </w:p>
        </w:tc>
      </w:tr>
      <w:tr w:rsidR="008424F4" w:rsidRPr="008424F4" w14:paraId="0A30C8C6" w14:textId="77777777" w:rsidTr="008424F4">
        <w:tc>
          <w:tcPr>
            <w:tcW w:w="0" w:type="auto"/>
            <w:hideMark/>
          </w:tcPr>
          <w:p w14:paraId="023D7C2D" w14:textId="77777777" w:rsidR="008424F4" w:rsidRPr="008424F4" w:rsidRDefault="008424F4" w:rsidP="008424F4">
            <w:r w:rsidRPr="008424F4">
              <w:t>Was the research issue clearly focused?</w:t>
            </w:r>
          </w:p>
        </w:tc>
        <w:tc>
          <w:tcPr>
            <w:tcW w:w="0" w:type="auto"/>
            <w:hideMark/>
          </w:tcPr>
          <w:p w14:paraId="0BD17356" w14:textId="77777777" w:rsidR="008424F4" w:rsidRPr="008424F4" w:rsidRDefault="008424F4" w:rsidP="008424F4">
            <w:r w:rsidRPr="008424F4">
              <w:t>Y</w:t>
            </w:r>
          </w:p>
        </w:tc>
        <w:tc>
          <w:tcPr>
            <w:tcW w:w="0" w:type="auto"/>
            <w:hideMark/>
          </w:tcPr>
          <w:p w14:paraId="7D426B6E" w14:textId="77777777" w:rsidR="008424F4" w:rsidRPr="008424F4" w:rsidRDefault="008424F4" w:rsidP="008424F4">
            <w:r w:rsidRPr="008424F4">
              <w:t>Y</w:t>
            </w:r>
          </w:p>
        </w:tc>
        <w:tc>
          <w:tcPr>
            <w:tcW w:w="0" w:type="auto"/>
            <w:hideMark/>
          </w:tcPr>
          <w:p w14:paraId="78204CD7" w14:textId="77777777" w:rsidR="008424F4" w:rsidRPr="008424F4" w:rsidRDefault="008424F4" w:rsidP="008424F4">
            <w:r w:rsidRPr="008424F4">
              <w:t>Y</w:t>
            </w:r>
          </w:p>
        </w:tc>
      </w:tr>
      <w:tr w:rsidR="008424F4" w:rsidRPr="008424F4" w14:paraId="7E4BFDC9" w14:textId="77777777" w:rsidTr="008424F4">
        <w:tc>
          <w:tcPr>
            <w:tcW w:w="0" w:type="auto"/>
            <w:hideMark/>
          </w:tcPr>
          <w:p w14:paraId="0C93005E" w14:textId="77777777" w:rsidR="008424F4" w:rsidRPr="008424F4" w:rsidRDefault="008424F4" w:rsidP="008424F4">
            <w:r w:rsidRPr="008424F4">
              <w:t>Was the population/data source appropriate?</w:t>
            </w:r>
          </w:p>
        </w:tc>
        <w:tc>
          <w:tcPr>
            <w:tcW w:w="0" w:type="auto"/>
            <w:hideMark/>
          </w:tcPr>
          <w:p w14:paraId="7E81BE9B" w14:textId="77777777" w:rsidR="008424F4" w:rsidRPr="008424F4" w:rsidRDefault="008424F4" w:rsidP="008424F4">
            <w:r w:rsidRPr="008424F4">
              <w:t>Y</w:t>
            </w:r>
          </w:p>
        </w:tc>
        <w:tc>
          <w:tcPr>
            <w:tcW w:w="0" w:type="auto"/>
            <w:hideMark/>
          </w:tcPr>
          <w:p w14:paraId="527A43CF" w14:textId="77777777" w:rsidR="008424F4" w:rsidRPr="008424F4" w:rsidRDefault="008424F4" w:rsidP="008424F4">
            <w:r w:rsidRPr="008424F4">
              <w:t>Y</w:t>
            </w:r>
          </w:p>
        </w:tc>
        <w:tc>
          <w:tcPr>
            <w:tcW w:w="0" w:type="auto"/>
            <w:hideMark/>
          </w:tcPr>
          <w:p w14:paraId="37882DA6" w14:textId="77777777" w:rsidR="008424F4" w:rsidRPr="008424F4" w:rsidRDefault="008424F4" w:rsidP="008424F4">
            <w:r w:rsidRPr="008424F4">
              <w:t>Y</w:t>
            </w:r>
          </w:p>
        </w:tc>
      </w:tr>
      <w:tr w:rsidR="008424F4" w:rsidRPr="008424F4" w14:paraId="7972AE1F" w14:textId="77777777" w:rsidTr="008424F4">
        <w:tc>
          <w:tcPr>
            <w:tcW w:w="0" w:type="auto"/>
            <w:hideMark/>
          </w:tcPr>
          <w:p w14:paraId="445408F9" w14:textId="77777777" w:rsidR="008424F4" w:rsidRPr="008424F4" w:rsidRDefault="008424F4" w:rsidP="008424F4">
            <w:r w:rsidRPr="008424F4">
              <w:t>Was the intervention/exposure adequately defined?</w:t>
            </w:r>
          </w:p>
        </w:tc>
        <w:tc>
          <w:tcPr>
            <w:tcW w:w="0" w:type="auto"/>
            <w:hideMark/>
          </w:tcPr>
          <w:p w14:paraId="66E90329" w14:textId="77777777" w:rsidR="008424F4" w:rsidRPr="008424F4" w:rsidRDefault="008424F4" w:rsidP="008424F4">
            <w:r w:rsidRPr="008424F4">
              <w:t>Y</w:t>
            </w:r>
          </w:p>
        </w:tc>
        <w:tc>
          <w:tcPr>
            <w:tcW w:w="0" w:type="auto"/>
            <w:hideMark/>
          </w:tcPr>
          <w:p w14:paraId="142B1968" w14:textId="77777777" w:rsidR="008424F4" w:rsidRPr="008424F4" w:rsidRDefault="008424F4" w:rsidP="008424F4">
            <w:r w:rsidRPr="008424F4">
              <w:t>Y</w:t>
            </w:r>
          </w:p>
        </w:tc>
        <w:tc>
          <w:tcPr>
            <w:tcW w:w="0" w:type="auto"/>
            <w:hideMark/>
          </w:tcPr>
          <w:p w14:paraId="547A78A1" w14:textId="77777777" w:rsidR="008424F4" w:rsidRPr="008424F4" w:rsidRDefault="008424F4" w:rsidP="008424F4">
            <w:r w:rsidRPr="008424F4">
              <w:t>Y</w:t>
            </w:r>
          </w:p>
        </w:tc>
      </w:tr>
      <w:tr w:rsidR="008424F4" w:rsidRPr="008424F4" w14:paraId="287A6344" w14:textId="77777777" w:rsidTr="008424F4">
        <w:tc>
          <w:tcPr>
            <w:tcW w:w="0" w:type="auto"/>
            <w:hideMark/>
          </w:tcPr>
          <w:p w14:paraId="3F8EE235" w14:textId="77777777" w:rsidR="008424F4" w:rsidRPr="008424F4" w:rsidRDefault="008424F4" w:rsidP="008424F4">
            <w:r w:rsidRPr="008424F4">
              <w:t>Were outcomes measured reliably?</w:t>
            </w:r>
          </w:p>
        </w:tc>
        <w:tc>
          <w:tcPr>
            <w:tcW w:w="0" w:type="auto"/>
            <w:hideMark/>
          </w:tcPr>
          <w:p w14:paraId="6788EA56" w14:textId="77777777" w:rsidR="008424F4" w:rsidRPr="008424F4" w:rsidRDefault="008424F4" w:rsidP="008424F4">
            <w:r w:rsidRPr="008424F4">
              <w:t>Y</w:t>
            </w:r>
          </w:p>
        </w:tc>
        <w:tc>
          <w:tcPr>
            <w:tcW w:w="0" w:type="auto"/>
            <w:hideMark/>
          </w:tcPr>
          <w:p w14:paraId="0A92D257" w14:textId="77777777" w:rsidR="008424F4" w:rsidRPr="008424F4" w:rsidRDefault="008424F4" w:rsidP="008424F4">
            <w:r w:rsidRPr="008424F4">
              <w:t>Y</w:t>
            </w:r>
          </w:p>
        </w:tc>
        <w:tc>
          <w:tcPr>
            <w:tcW w:w="0" w:type="auto"/>
            <w:hideMark/>
          </w:tcPr>
          <w:p w14:paraId="3D9C1911" w14:textId="77777777" w:rsidR="008424F4" w:rsidRPr="008424F4" w:rsidRDefault="008424F4" w:rsidP="008424F4">
            <w:r w:rsidRPr="008424F4">
              <w:t>Y</w:t>
            </w:r>
          </w:p>
        </w:tc>
      </w:tr>
      <w:tr w:rsidR="008424F4" w:rsidRPr="008424F4" w14:paraId="432DEE5E" w14:textId="77777777" w:rsidTr="008424F4">
        <w:tc>
          <w:tcPr>
            <w:tcW w:w="0" w:type="auto"/>
            <w:hideMark/>
          </w:tcPr>
          <w:p w14:paraId="7A3EE31E" w14:textId="77777777" w:rsidR="008424F4" w:rsidRPr="008424F4" w:rsidRDefault="008424F4" w:rsidP="008424F4">
            <w:r w:rsidRPr="008424F4">
              <w:t>Were important confounding/system factors identified?</w:t>
            </w:r>
          </w:p>
        </w:tc>
        <w:tc>
          <w:tcPr>
            <w:tcW w:w="0" w:type="auto"/>
            <w:hideMark/>
          </w:tcPr>
          <w:p w14:paraId="599BF7AC" w14:textId="77777777" w:rsidR="008424F4" w:rsidRPr="008424F4" w:rsidRDefault="008424F4" w:rsidP="008424F4">
            <w:r w:rsidRPr="008424F4">
              <w:t>Y</w:t>
            </w:r>
          </w:p>
        </w:tc>
        <w:tc>
          <w:tcPr>
            <w:tcW w:w="0" w:type="auto"/>
            <w:hideMark/>
          </w:tcPr>
          <w:p w14:paraId="4F797267" w14:textId="77777777" w:rsidR="008424F4" w:rsidRPr="008424F4" w:rsidRDefault="008424F4" w:rsidP="008424F4">
            <w:r w:rsidRPr="008424F4">
              <w:t>Y</w:t>
            </w:r>
          </w:p>
        </w:tc>
        <w:tc>
          <w:tcPr>
            <w:tcW w:w="0" w:type="auto"/>
            <w:hideMark/>
          </w:tcPr>
          <w:p w14:paraId="0126A8FF" w14:textId="77777777" w:rsidR="008424F4" w:rsidRPr="008424F4" w:rsidRDefault="008424F4" w:rsidP="008424F4">
            <w:r w:rsidRPr="008424F4">
              <w:t>Y</w:t>
            </w:r>
          </w:p>
        </w:tc>
      </w:tr>
      <w:tr w:rsidR="008424F4" w:rsidRPr="008424F4" w14:paraId="0E0B438F" w14:textId="77777777" w:rsidTr="008424F4">
        <w:tc>
          <w:tcPr>
            <w:tcW w:w="0" w:type="auto"/>
            <w:hideMark/>
          </w:tcPr>
          <w:p w14:paraId="541E5AAC" w14:textId="77777777" w:rsidR="008424F4" w:rsidRPr="008424F4" w:rsidRDefault="008424F4" w:rsidP="008424F4">
            <w:r w:rsidRPr="008424F4">
              <w:t>Were these factors addressed analytically where possible?</w:t>
            </w:r>
          </w:p>
        </w:tc>
        <w:tc>
          <w:tcPr>
            <w:tcW w:w="0" w:type="auto"/>
            <w:hideMark/>
          </w:tcPr>
          <w:p w14:paraId="2B896B93" w14:textId="77777777" w:rsidR="008424F4" w:rsidRPr="008424F4" w:rsidRDefault="008424F4" w:rsidP="008424F4">
            <w:r w:rsidRPr="008424F4">
              <w:t>Y</w:t>
            </w:r>
          </w:p>
        </w:tc>
        <w:tc>
          <w:tcPr>
            <w:tcW w:w="0" w:type="auto"/>
            <w:hideMark/>
          </w:tcPr>
          <w:p w14:paraId="51F0C03E" w14:textId="77777777" w:rsidR="008424F4" w:rsidRPr="008424F4" w:rsidRDefault="008424F4" w:rsidP="008424F4">
            <w:r w:rsidRPr="008424F4">
              <w:t>Y</w:t>
            </w:r>
          </w:p>
        </w:tc>
        <w:tc>
          <w:tcPr>
            <w:tcW w:w="0" w:type="auto"/>
            <w:hideMark/>
          </w:tcPr>
          <w:p w14:paraId="1C0BDC33" w14:textId="77777777" w:rsidR="008424F4" w:rsidRPr="008424F4" w:rsidRDefault="008424F4" w:rsidP="008424F4">
            <w:r w:rsidRPr="008424F4">
              <w:t>Y</w:t>
            </w:r>
          </w:p>
        </w:tc>
      </w:tr>
      <w:tr w:rsidR="008424F4" w:rsidRPr="008424F4" w14:paraId="6B031490" w14:textId="77777777" w:rsidTr="008424F4">
        <w:tc>
          <w:tcPr>
            <w:tcW w:w="0" w:type="auto"/>
            <w:hideMark/>
          </w:tcPr>
          <w:p w14:paraId="612B6CCF" w14:textId="77777777" w:rsidR="008424F4" w:rsidRPr="008424F4" w:rsidRDefault="008424F4" w:rsidP="008424F4">
            <w:r w:rsidRPr="008424F4">
              <w:t>Was individual participant follow-up applicable?</w:t>
            </w:r>
          </w:p>
        </w:tc>
        <w:tc>
          <w:tcPr>
            <w:tcW w:w="0" w:type="auto"/>
            <w:hideMark/>
          </w:tcPr>
          <w:p w14:paraId="59FA3350" w14:textId="77777777" w:rsidR="008424F4" w:rsidRPr="008424F4" w:rsidRDefault="008424F4" w:rsidP="008424F4">
            <w:r w:rsidRPr="008424F4">
              <w:t>N/A</w:t>
            </w:r>
          </w:p>
        </w:tc>
        <w:tc>
          <w:tcPr>
            <w:tcW w:w="0" w:type="auto"/>
            <w:hideMark/>
          </w:tcPr>
          <w:p w14:paraId="6E8F7667" w14:textId="77777777" w:rsidR="008424F4" w:rsidRPr="008424F4" w:rsidRDefault="008424F4" w:rsidP="008424F4">
            <w:r w:rsidRPr="008424F4">
              <w:t>N/A</w:t>
            </w:r>
          </w:p>
        </w:tc>
        <w:tc>
          <w:tcPr>
            <w:tcW w:w="0" w:type="auto"/>
            <w:hideMark/>
          </w:tcPr>
          <w:p w14:paraId="10BE2E4E" w14:textId="77777777" w:rsidR="008424F4" w:rsidRPr="008424F4" w:rsidRDefault="008424F4" w:rsidP="008424F4">
            <w:r w:rsidRPr="008424F4">
              <w:t>N/A</w:t>
            </w:r>
          </w:p>
        </w:tc>
      </w:tr>
      <w:tr w:rsidR="008424F4" w:rsidRPr="008424F4" w14:paraId="33DFB928" w14:textId="77777777" w:rsidTr="008424F4">
        <w:tc>
          <w:tcPr>
            <w:tcW w:w="0" w:type="auto"/>
            <w:hideMark/>
          </w:tcPr>
          <w:p w14:paraId="7038DB49" w14:textId="77777777" w:rsidR="008424F4" w:rsidRPr="008424F4" w:rsidRDefault="008424F4" w:rsidP="008424F4">
            <w:r w:rsidRPr="008424F4">
              <w:t>Was the observation period appropriate?</w:t>
            </w:r>
          </w:p>
        </w:tc>
        <w:tc>
          <w:tcPr>
            <w:tcW w:w="0" w:type="auto"/>
            <w:hideMark/>
          </w:tcPr>
          <w:p w14:paraId="50416CD7" w14:textId="77777777" w:rsidR="008424F4" w:rsidRPr="008424F4" w:rsidRDefault="008424F4" w:rsidP="008424F4">
            <w:r w:rsidRPr="008424F4">
              <w:t>Y</w:t>
            </w:r>
          </w:p>
        </w:tc>
        <w:tc>
          <w:tcPr>
            <w:tcW w:w="0" w:type="auto"/>
            <w:hideMark/>
          </w:tcPr>
          <w:p w14:paraId="78F94E8A" w14:textId="77777777" w:rsidR="008424F4" w:rsidRPr="008424F4" w:rsidRDefault="008424F4" w:rsidP="008424F4">
            <w:r w:rsidRPr="008424F4">
              <w:t>Y</w:t>
            </w:r>
          </w:p>
        </w:tc>
        <w:tc>
          <w:tcPr>
            <w:tcW w:w="0" w:type="auto"/>
            <w:hideMark/>
          </w:tcPr>
          <w:p w14:paraId="0F470D8E" w14:textId="77777777" w:rsidR="008424F4" w:rsidRPr="008424F4" w:rsidRDefault="008424F4" w:rsidP="008424F4">
            <w:r w:rsidRPr="008424F4">
              <w:t>Y</w:t>
            </w:r>
          </w:p>
        </w:tc>
      </w:tr>
      <w:tr w:rsidR="008424F4" w:rsidRPr="008424F4" w14:paraId="59BB2D74" w14:textId="77777777" w:rsidTr="008424F4">
        <w:tc>
          <w:tcPr>
            <w:tcW w:w="0" w:type="auto"/>
            <w:hideMark/>
          </w:tcPr>
          <w:p w14:paraId="28CF12B1" w14:textId="77777777" w:rsidR="008424F4" w:rsidRPr="008424F4" w:rsidRDefault="008424F4" w:rsidP="008424F4">
            <w:r w:rsidRPr="008424F4">
              <w:t>Were results clearly reported?</w:t>
            </w:r>
          </w:p>
        </w:tc>
        <w:tc>
          <w:tcPr>
            <w:tcW w:w="0" w:type="auto"/>
            <w:hideMark/>
          </w:tcPr>
          <w:p w14:paraId="2B0CDE01" w14:textId="77777777" w:rsidR="008424F4" w:rsidRPr="008424F4" w:rsidRDefault="008424F4" w:rsidP="008424F4">
            <w:r w:rsidRPr="008424F4">
              <w:t>Y</w:t>
            </w:r>
          </w:p>
        </w:tc>
        <w:tc>
          <w:tcPr>
            <w:tcW w:w="0" w:type="auto"/>
            <w:hideMark/>
          </w:tcPr>
          <w:p w14:paraId="27AD8DB4" w14:textId="77777777" w:rsidR="008424F4" w:rsidRPr="008424F4" w:rsidRDefault="008424F4" w:rsidP="008424F4">
            <w:r w:rsidRPr="008424F4">
              <w:t>Y</w:t>
            </w:r>
          </w:p>
        </w:tc>
        <w:tc>
          <w:tcPr>
            <w:tcW w:w="0" w:type="auto"/>
            <w:hideMark/>
          </w:tcPr>
          <w:p w14:paraId="4821F4DA" w14:textId="77777777" w:rsidR="008424F4" w:rsidRPr="008424F4" w:rsidRDefault="008424F4" w:rsidP="008424F4">
            <w:r w:rsidRPr="008424F4">
              <w:t>Y</w:t>
            </w:r>
          </w:p>
        </w:tc>
      </w:tr>
      <w:tr w:rsidR="008424F4" w:rsidRPr="008424F4" w14:paraId="3E72F9D1" w14:textId="77777777" w:rsidTr="008424F4">
        <w:tc>
          <w:tcPr>
            <w:tcW w:w="0" w:type="auto"/>
            <w:hideMark/>
          </w:tcPr>
          <w:p w14:paraId="7CCBA84F" w14:textId="77777777" w:rsidR="008424F4" w:rsidRPr="008424F4" w:rsidRDefault="008424F4" w:rsidP="008424F4">
            <w:r w:rsidRPr="008424F4">
              <w:t>Was uncertainty considered?</w:t>
            </w:r>
          </w:p>
        </w:tc>
        <w:tc>
          <w:tcPr>
            <w:tcW w:w="0" w:type="auto"/>
            <w:hideMark/>
          </w:tcPr>
          <w:p w14:paraId="2C04D17E" w14:textId="77777777" w:rsidR="008424F4" w:rsidRPr="008424F4" w:rsidRDefault="008424F4" w:rsidP="008424F4">
            <w:r w:rsidRPr="008424F4">
              <w:t>Y</w:t>
            </w:r>
          </w:p>
        </w:tc>
        <w:tc>
          <w:tcPr>
            <w:tcW w:w="0" w:type="auto"/>
            <w:hideMark/>
          </w:tcPr>
          <w:p w14:paraId="4FE58CBD" w14:textId="77777777" w:rsidR="008424F4" w:rsidRPr="008424F4" w:rsidRDefault="008424F4" w:rsidP="008424F4">
            <w:r w:rsidRPr="008424F4">
              <w:t>Y</w:t>
            </w:r>
          </w:p>
        </w:tc>
        <w:tc>
          <w:tcPr>
            <w:tcW w:w="0" w:type="auto"/>
            <w:hideMark/>
          </w:tcPr>
          <w:p w14:paraId="345510D1" w14:textId="77777777" w:rsidR="008424F4" w:rsidRPr="008424F4" w:rsidRDefault="008424F4" w:rsidP="008424F4">
            <w:r w:rsidRPr="008424F4">
              <w:t>Y</w:t>
            </w:r>
          </w:p>
        </w:tc>
      </w:tr>
      <w:tr w:rsidR="008424F4" w:rsidRPr="008424F4" w14:paraId="27882DE4" w14:textId="77777777" w:rsidTr="008424F4">
        <w:tc>
          <w:tcPr>
            <w:tcW w:w="0" w:type="auto"/>
            <w:hideMark/>
          </w:tcPr>
          <w:p w14:paraId="5BE6A33C" w14:textId="77777777" w:rsidR="008424F4" w:rsidRPr="008424F4" w:rsidRDefault="008424F4" w:rsidP="008424F4">
            <w:r w:rsidRPr="008424F4">
              <w:t>Can findings inform UK primary-care practice?</w:t>
            </w:r>
          </w:p>
        </w:tc>
        <w:tc>
          <w:tcPr>
            <w:tcW w:w="0" w:type="auto"/>
            <w:hideMark/>
          </w:tcPr>
          <w:p w14:paraId="3A112C9C" w14:textId="77777777" w:rsidR="008424F4" w:rsidRPr="008424F4" w:rsidRDefault="008424F4" w:rsidP="008424F4">
            <w:r w:rsidRPr="008424F4">
              <w:t>Y</w:t>
            </w:r>
          </w:p>
        </w:tc>
        <w:tc>
          <w:tcPr>
            <w:tcW w:w="0" w:type="auto"/>
            <w:hideMark/>
          </w:tcPr>
          <w:p w14:paraId="3FE92128" w14:textId="77777777" w:rsidR="008424F4" w:rsidRPr="008424F4" w:rsidRDefault="008424F4" w:rsidP="008424F4">
            <w:r w:rsidRPr="008424F4">
              <w:t>Y</w:t>
            </w:r>
          </w:p>
        </w:tc>
        <w:tc>
          <w:tcPr>
            <w:tcW w:w="0" w:type="auto"/>
            <w:hideMark/>
          </w:tcPr>
          <w:p w14:paraId="6DA9D61E" w14:textId="77777777" w:rsidR="008424F4" w:rsidRPr="008424F4" w:rsidRDefault="008424F4" w:rsidP="008424F4">
            <w:r w:rsidRPr="008424F4">
              <w:t>Y</w:t>
            </w:r>
          </w:p>
        </w:tc>
      </w:tr>
      <w:tr w:rsidR="008424F4" w:rsidRPr="008424F4" w14:paraId="3BF09012" w14:textId="77777777" w:rsidTr="008424F4">
        <w:tc>
          <w:tcPr>
            <w:tcW w:w="0" w:type="auto"/>
            <w:hideMark/>
          </w:tcPr>
          <w:p w14:paraId="2E555A5F" w14:textId="77777777" w:rsidR="008424F4" w:rsidRPr="008424F4" w:rsidRDefault="008424F4" w:rsidP="008424F4">
            <w:r w:rsidRPr="008424F4">
              <w:t>Are important methodological limitations recognised?</w:t>
            </w:r>
          </w:p>
        </w:tc>
        <w:tc>
          <w:tcPr>
            <w:tcW w:w="0" w:type="auto"/>
            <w:hideMark/>
          </w:tcPr>
          <w:p w14:paraId="1B78C07C" w14:textId="77777777" w:rsidR="008424F4" w:rsidRPr="008424F4" w:rsidRDefault="008424F4" w:rsidP="008424F4">
            <w:r w:rsidRPr="008424F4">
              <w:t>Y</w:t>
            </w:r>
          </w:p>
        </w:tc>
        <w:tc>
          <w:tcPr>
            <w:tcW w:w="0" w:type="auto"/>
            <w:hideMark/>
          </w:tcPr>
          <w:p w14:paraId="027D23F3" w14:textId="77777777" w:rsidR="008424F4" w:rsidRPr="008424F4" w:rsidRDefault="008424F4" w:rsidP="008424F4">
            <w:r w:rsidRPr="008424F4">
              <w:t>Y</w:t>
            </w:r>
          </w:p>
        </w:tc>
        <w:tc>
          <w:tcPr>
            <w:tcW w:w="0" w:type="auto"/>
            <w:hideMark/>
          </w:tcPr>
          <w:p w14:paraId="15D8DF05" w14:textId="77777777" w:rsidR="008424F4" w:rsidRPr="008424F4" w:rsidRDefault="008424F4" w:rsidP="008424F4">
            <w:r w:rsidRPr="008424F4">
              <w:t>Y</w:t>
            </w:r>
          </w:p>
        </w:tc>
      </w:tr>
    </w:tbl>
    <w:p w14:paraId="57FC8F72" w14:textId="115887C9" w:rsidR="008424F4" w:rsidRPr="008424F4" w:rsidRDefault="008424F4" w:rsidP="008424F4"/>
    <w:p w14:paraId="0F17E541" w14:textId="0D6AC1D5" w:rsidR="008424F4" w:rsidRPr="008424F4" w:rsidRDefault="00AD3196" w:rsidP="008424F4">
      <w:pPr>
        <w:rPr>
          <w:b/>
          <w:bCs/>
        </w:rPr>
      </w:pPr>
      <w:r w:rsidRPr="00AD3196">
        <w:rPr>
          <w:b/>
          <w:bCs/>
        </w:rPr>
        <w:t>CASP (2024b) Critical Appraisal Tool for Randomised Controlled Trials</w:t>
      </w:r>
    </w:p>
    <w:tbl>
      <w:tblPr>
        <w:tblStyle w:val="TableGrid"/>
        <w:tblW w:w="0" w:type="auto"/>
        <w:tblLook w:val="04A0" w:firstRow="1" w:lastRow="0" w:firstColumn="1" w:lastColumn="0" w:noHBand="0" w:noVBand="1"/>
      </w:tblPr>
      <w:tblGrid>
        <w:gridCol w:w="7459"/>
        <w:gridCol w:w="1693"/>
        <w:gridCol w:w="1604"/>
      </w:tblGrid>
      <w:tr w:rsidR="008424F4" w:rsidRPr="008424F4" w14:paraId="189DD387" w14:textId="77777777" w:rsidTr="008424F4">
        <w:tc>
          <w:tcPr>
            <w:tcW w:w="0" w:type="auto"/>
            <w:hideMark/>
          </w:tcPr>
          <w:p w14:paraId="22C2A41D" w14:textId="77777777" w:rsidR="008424F4" w:rsidRPr="008424F4" w:rsidRDefault="008424F4" w:rsidP="008424F4">
            <w:pPr>
              <w:rPr>
                <w:b/>
                <w:bCs/>
              </w:rPr>
            </w:pPr>
            <w:r w:rsidRPr="008424F4">
              <w:rPr>
                <w:b/>
                <w:bCs/>
              </w:rPr>
              <w:t>Questions</w:t>
            </w:r>
          </w:p>
        </w:tc>
        <w:tc>
          <w:tcPr>
            <w:tcW w:w="0" w:type="auto"/>
            <w:hideMark/>
          </w:tcPr>
          <w:p w14:paraId="201EBA8A" w14:textId="77777777" w:rsidR="008424F4" w:rsidRPr="008424F4" w:rsidRDefault="008424F4" w:rsidP="008424F4">
            <w:pPr>
              <w:rPr>
                <w:b/>
                <w:bCs/>
              </w:rPr>
            </w:pPr>
            <w:r w:rsidRPr="008424F4">
              <w:rPr>
                <w:b/>
                <w:bCs/>
              </w:rPr>
              <w:t>Little et al. (2024)</w:t>
            </w:r>
          </w:p>
        </w:tc>
        <w:tc>
          <w:tcPr>
            <w:tcW w:w="0" w:type="auto"/>
            <w:hideMark/>
          </w:tcPr>
          <w:p w14:paraId="55E6F6FB" w14:textId="77777777" w:rsidR="008424F4" w:rsidRPr="008424F4" w:rsidRDefault="008424F4" w:rsidP="008424F4">
            <w:pPr>
              <w:rPr>
                <w:b/>
                <w:bCs/>
              </w:rPr>
            </w:pPr>
            <w:r w:rsidRPr="008424F4">
              <w:rPr>
                <w:b/>
                <w:bCs/>
              </w:rPr>
              <w:t>Hay et al. (2026)</w:t>
            </w:r>
          </w:p>
        </w:tc>
      </w:tr>
      <w:tr w:rsidR="008424F4" w:rsidRPr="008424F4" w14:paraId="6916AF16" w14:textId="77777777" w:rsidTr="008424F4">
        <w:tc>
          <w:tcPr>
            <w:tcW w:w="0" w:type="auto"/>
            <w:hideMark/>
          </w:tcPr>
          <w:p w14:paraId="79C89B6F" w14:textId="77777777" w:rsidR="008424F4" w:rsidRPr="008424F4" w:rsidRDefault="008424F4" w:rsidP="008424F4">
            <w:r w:rsidRPr="008424F4">
              <w:t>Did the study address a clearly formulated research question?</w:t>
            </w:r>
          </w:p>
        </w:tc>
        <w:tc>
          <w:tcPr>
            <w:tcW w:w="0" w:type="auto"/>
            <w:hideMark/>
          </w:tcPr>
          <w:p w14:paraId="1FFFF6C6" w14:textId="77777777" w:rsidR="008424F4" w:rsidRPr="008424F4" w:rsidRDefault="008424F4" w:rsidP="008424F4">
            <w:r w:rsidRPr="008424F4">
              <w:t>Y</w:t>
            </w:r>
          </w:p>
        </w:tc>
        <w:tc>
          <w:tcPr>
            <w:tcW w:w="0" w:type="auto"/>
            <w:hideMark/>
          </w:tcPr>
          <w:p w14:paraId="39AAD0BD" w14:textId="77777777" w:rsidR="008424F4" w:rsidRPr="008424F4" w:rsidRDefault="008424F4" w:rsidP="008424F4">
            <w:r w:rsidRPr="008424F4">
              <w:t>Y</w:t>
            </w:r>
          </w:p>
        </w:tc>
      </w:tr>
      <w:tr w:rsidR="008424F4" w:rsidRPr="008424F4" w14:paraId="3F451C26" w14:textId="77777777" w:rsidTr="008424F4">
        <w:tc>
          <w:tcPr>
            <w:tcW w:w="0" w:type="auto"/>
            <w:hideMark/>
          </w:tcPr>
          <w:p w14:paraId="2647C353" w14:textId="77777777" w:rsidR="008424F4" w:rsidRPr="008424F4" w:rsidRDefault="008424F4" w:rsidP="008424F4">
            <w:r w:rsidRPr="008424F4">
              <w:lastRenderedPageBreak/>
              <w:t>Was the assignment of participants to interventions randomised?</w:t>
            </w:r>
          </w:p>
        </w:tc>
        <w:tc>
          <w:tcPr>
            <w:tcW w:w="0" w:type="auto"/>
            <w:hideMark/>
          </w:tcPr>
          <w:p w14:paraId="2A1D02F2" w14:textId="77777777" w:rsidR="008424F4" w:rsidRPr="008424F4" w:rsidRDefault="008424F4" w:rsidP="008424F4">
            <w:r w:rsidRPr="008424F4">
              <w:t>Y</w:t>
            </w:r>
          </w:p>
        </w:tc>
        <w:tc>
          <w:tcPr>
            <w:tcW w:w="0" w:type="auto"/>
            <w:hideMark/>
          </w:tcPr>
          <w:p w14:paraId="3606D5CE" w14:textId="77777777" w:rsidR="008424F4" w:rsidRPr="008424F4" w:rsidRDefault="008424F4" w:rsidP="008424F4">
            <w:r w:rsidRPr="008424F4">
              <w:t>Y</w:t>
            </w:r>
          </w:p>
        </w:tc>
      </w:tr>
      <w:tr w:rsidR="008424F4" w:rsidRPr="008424F4" w14:paraId="33EEA31D" w14:textId="77777777" w:rsidTr="008424F4">
        <w:tc>
          <w:tcPr>
            <w:tcW w:w="0" w:type="auto"/>
            <w:hideMark/>
          </w:tcPr>
          <w:p w14:paraId="5955AF40" w14:textId="77777777" w:rsidR="008424F4" w:rsidRPr="008424F4" w:rsidRDefault="008424F4" w:rsidP="008424F4">
            <w:r w:rsidRPr="008424F4">
              <w:t>Were all participants who entered the study accounted for at its conclusion?</w:t>
            </w:r>
          </w:p>
        </w:tc>
        <w:tc>
          <w:tcPr>
            <w:tcW w:w="0" w:type="auto"/>
            <w:hideMark/>
          </w:tcPr>
          <w:p w14:paraId="47311519" w14:textId="77777777" w:rsidR="008424F4" w:rsidRPr="008424F4" w:rsidRDefault="008424F4" w:rsidP="008424F4">
            <w:r w:rsidRPr="008424F4">
              <w:t>Y</w:t>
            </w:r>
          </w:p>
        </w:tc>
        <w:tc>
          <w:tcPr>
            <w:tcW w:w="0" w:type="auto"/>
            <w:hideMark/>
          </w:tcPr>
          <w:p w14:paraId="41033AAC" w14:textId="77777777" w:rsidR="008424F4" w:rsidRPr="008424F4" w:rsidRDefault="008424F4" w:rsidP="008424F4">
            <w:r w:rsidRPr="008424F4">
              <w:t>Y</w:t>
            </w:r>
          </w:p>
        </w:tc>
      </w:tr>
      <w:tr w:rsidR="008424F4" w:rsidRPr="008424F4" w14:paraId="0A48818F" w14:textId="77777777" w:rsidTr="008424F4">
        <w:tc>
          <w:tcPr>
            <w:tcW w:w="0" w:type="auto"/>
            <w:hideMark/>
          </w:tcPr>
          <w:p w14:paraId="64F46613" w14:textId="77777777" w:rsidR="008424F4" w:rsidRPr="008424F4" w:rsidRDefault="008424F4" w:rsidP="008424F4">
            <w:r w:rsidRPr="008424F4">
              <w:t>Were the participants ‘blind’ to the intervention they were given?</w:t>
            </w:r>
          </w:p>
        </w:tc>
        <w:tc>
          <w:tcPr>
            <w:tcW w:w="0" w:type="auto"/>
            <w:hideMark/>
          </w:tcPr>
          <w:p w14:paraId="0EFCDF3E" w14:textId="77777777" w:rsidR="008424F4" w:rsidRPr="008424F4" w:rsidRDefault="008424F4" w:rsidP="008424F4">
            <w:r w:rsidRPr="008424F4">
              <w:t>N</w:t>
            </w:r>
          </w:p>
        </w:tc>
        <w:tc>
          <w:tcPr>
            <w:tcW w:w="0" w:type="auto"/>
            <w:hideMark/>
          </w:tcPr>
          <w:p w14:paraId="160CF610" w14:textId="77777777" w:rsidR="008424F4" w:rsidRPr="008424F4" w:rsidRDefault="008424F4" w:rsidP="008424F4">
            <w:r w:rsidRPr="008424F4">
              <w:t>N</w:t>
            </w:r>
          </w:p>
        </w:tc>
      </w:tr>
      <w:tr w:rsidR="008424F4" w:rsidRPr="008424F4" w14:paraId="37CFB9AA" w14:textId="77777777" w:rsidTr="008424F4">
        <w:tc>
          <w:tcPr>
            <w:tcW w:w="0" w:type="auto"/>
            <w:hideMark/>
          </w:tcPr>
          <w:p w14:paraId="1A9EF1D7" w14:textId="77777777" w:rsidR="008424F4" w:rsidRPr="008424F4" w:rsidRDefault="008424F4" w:rsidP="008424F4">
            <w:r w:rsidRPr="008424F4">
              <w:t>Were the investigators ‘blind’ to the intervention they were giving to participants?</w:t>
            </w:r>
          </w:p>
        </w:tc>
        <w:tc>
          <w:tcPr>
            <w:tcW w:w="0" w:type="auto"/>
            <w:hideMark/>
          </w:tcPr>
          <w:p w14:paraId="5EB082FF" w14:textId="77777777" w:rsidR="008424F4" w:rsidRPr="008424F4" w:rsidRDefault="008424F4" w:rsidP="008424F4">
            <w:r w:rsidRPr="008424F4">
              <w:t>N</w:t>
            </w:r>
          </w:p>
        </w:tc>
        <w:tc>
          <w:tcPr>
            <w:tcW w:w="0" w:type="auto"/>
            <w:hideMark/>
          </w:tcPr>
          <w:p w14:paraId="349E4BD3" w14:textId="77777777" w:rsidR="008424F4" w:rsidRPr="008424F4" w:rsidRDefault="008424F4" w:rsidP="008424F4">
            <w:r w:rsidRPr="008424F4">
              <w:t>N</w:t>
            </w:r>
          </w:p>
        </w:tc>
      </w:tr>
      <w:tr w:rsidR="008424F4" w:rsidRPr="008424F4" w14:paraId="02B53445" w14:textId="77777777" w:rsidTr="008424F4">
        <w:tc>
          <w:tcPr>
            <w:tcW w:w="0" w:type="auto"/>
            <w:hideMark/>
          </w:tcPr>
          <w:p w14:paraId="37128AB2" w14:textId="77777777" w:rsidR="008424F4" w:rsidRPr="008424F4" w:rsidRDefault="008424F4" w:rsidP="008424F4">
            <w:r w:rsidRPr="008424F4">
              <w:t>Were the people assessing/analysing outcomes blinded?</w:t>
            </w:r>
          </w:p>
        </w:tc>
        <w:tc>
          <w:tcPr>
            <w:tcW w:w="0" w:type="auto"/>
            <w:hideMark/>
          </w:tcPr>
          <w:p w14:paraId="5D5FA3A2" w14:textId="77777777" w:rsidR="008424F4" w:rsidRPr="008424F4" w:rsidRDefault="008424F4" w:rsidP="008424F4">
            <w:r w:rsidRPr="008424F4">
              <w:t>CT</w:t>
            </w:r>
          </w:p>
        </w:tc>
        <w:tc>
          <w:tcPr>
            <w:tcW w:w="0" w:type="auto"/>
            <w:hideMark/>
          </w:tcPr>
          <w:p w14:paraId="391556F1" w14:textId="77777777" w:rsidR="008424F4" w:rsidRPr="008424F4" w:rsidRDefault="008424F4" w:rsidP="008424F4">
            <w:r w:rsidRPr="008424F4">
              <w:t>Y</w:t>
            </w:r>
          </w:p>
        </w:tc>
      </w:tr>
      <w:tr w:rsidR="008424F4" w:rsidRPr="008424F4" w14:paraId="1D48DAF9" w14:textId="77777777" w:rsidTr="008424F4">
        <w:tc>
          <w:tcPr>
            <w:tcW w:w="0" w:type="auto"/>
            <w:hideMark/>
          </w:tcPr>
          <w:p w14:paraId="7CA2F0F0" w14:textId="77777777" w:rsidR="008424F4" w:rsidRPr="008424F4" w:rsidRDefault="008424F4" w:rsidP="008424F4">
            <w:r w:rsidRPr="008424F4">
              <w:t>Were the study groups similar at the start of the randomised controlled trial?</w:t>
            </w:r>
          </w:p>
        </w:tc>
        <w:tc>
          <w:tcPr>
            <w:tcW w:w="0" w:type="auto"/>
            <w:hideMark/>
          </w:tcPr>
          <w:p w14:paraId="12021809" w14:textId="77777777" w:rsidR="008424F4" w:rsidRPr="008424F4" w:rsidRDefault="008424F4" w:rsidP="008424F4">
            <w:r w:rsidRPr="008424F4">
              <w:t>Y</w:t>
            </w:r>
          </w:p>
        </w:tc>
        <w:tc>
          <w:tcPr>
            <w:tcW w:w="0" w:type="auto"/>
            <w:hideMark/>
          </w:tcPr>
          <w:p w14:paraId="7560CA96" w14:textId="77777777" w:rsidR="008424F4" w:rsidRPr="008424F4" w:rsidRDefault="008424F4" w:rsidP="008424F4">
            <w:r w:rsidRPr="008424F4">
              <w:t>Y</w:t>
            </w:r>
          </w:p>
        </w:tc>
      </w:tr>
      <w:tr w:rsidR="008424F4" w:rsidRPr="008424F4" w14:paraId="6068C088" w14:textId="77777777" w:rsidTr="008424F4">
        <w:tc>
          <w:tcPr>
            <w:tcW w:w="0" w:type="auto"/>
            <w:hideMark/>
          </w:tcPr>
          <w:p w14:paraId="0F054D50" w14:textId="77777777" w:rsidR="008424F4" w:rsidRPr="008424F4" w:rsidRDefault="008424F4" w:rsidP="008424F4">
            <w:r w:rsidRPr="008424F4">
              <w:t>Apart from the experimental intervention, did each study group receive the same level of care?</w:t>
            </w:r>
          </w:p>
        </w:tc>
        <w:tc>
          <w:tcPr>
            <w:tcW w:w="0" w:type="auto"/>
            <w:hideMark/>
          </w:tcPr>
          <w:p w14:paraId="5973BB25" w14:textId="77777777" w:rsidR="008424F4" w:rsidRPr="008424F4" w:rsidRDefault="008424F4" w:rsidP="008424F4">
            <w:r w:rsidRPr="008424F4">
              <w:t>Y</w:t>
            </w:r>
          </w:p>
        </w:tc>
        <w:tc>
          <w:tcPr>
            <w:tcW w:w="0" w:type="auto"/>
            <w:hideMark/>
          </w:tcPr>
          <w:p w14:paraId="47DF666A" w14:textId="77777777" w:rsidR="008424F4" w:rsidRPr="008424F4" w:rsidRDefault="008424F4" w:rsidP="008424F4">
            <w:r w:rsidRPr="008424F4">
              <w:t>Y</w:t>
            </w:r>
          </w:p>
        </w:tc>
      </w:tr>
      <w:tr w:rsidR="008424F4" w:rsidRPr="008424F4" w14:paraId="6A9D1B04" w14:textId="77777777" w:rsidTr="008424F4">
        <w:tc>
          <w:tcPr>
            <w:tcW w:w="0" w:type="auto"/>
            <w:hideMark/>
          </w:tcPr>
          <w:p w14:paraId="2DAEFAF2" w14:textId="77777777" w:rsidR="008424F4" w:rsidRPr="008424F4" w:rsidRDefault="008424F4" w:rsidP="008424F4">
            <w:r w:rsidRPr="008424F4">
              <w:t>Were the effects of intervention reported comprehensively?</w:t>
            </w:r>
          </w:p>
        </w:tc>
        <w:tc>
          <w:tcPr>
            <w:tcW w:w="0" w:type="auto"/>
            <w:hideMark/>
          </w:tcPr>
          <w:p w14:paraId="2CDDF214" w14:textId="77777777" w:rsidR="008424F4" w:rsidRPr="008424F4" w:rsidRDefault="008424F4" w:rsidP="008424F4">
            <w:r w:rsidRPr="008424F4">
              <w:t>Y</w:t>
            </w:r>
          </w:p>
        </w:tc>
        <w:tc>
          <w:tcPr>
            <w:tcW w:w="0" w:type="auto"/>
            <w:hideMark/>
          </w:tcPr>
          <w:p w14:paraId="599CACC6" w14:textId="77777777" w:rsidR="008424F4" w:rsidRPr="008424F4" w:rsidRDefault="008424F4" w:rsidP="008424F4">
            <w:r w:rsidRPr="008424F4">
              <w:t>Y</w:t>
            </w:r>
          </w:p>
        </w:tc>
      </w:tr>
      <w:tr w:rsidR="008424F4" w:rsidRPr="008424F4" w14:paraId="231486E2" w14:textId="77777777" w:rsidTr="008424F4">
        <w:tc>
          <w:tcPr>
            <w:tcW w:w="0" w:type="auto"/>
            <w:hideMark/>
          </w:tcPr>
          <w:p w14:paraId="282268A8" w14:textId="77777777" w:rsidR="008424F4" w:rsidRPr="008424F4" w:rsidRDefault="008424F4" w:rsidP="008424F4">
            <w:r w:rsidRPr="008424F4">
              <w:t>Was the precision of the estimate of intervention or treatment effect reported?</w:t>
            </w:r>
          </w:p>
        </w:tc>
        <w:tc>
          <w:tcPr>
            <w:tcW w:w="0" w:type="auto"/>
            <w:hideMark/>
          </w:tcPr>
          <w:p w14:paraId="4B15C6B4" w14:textId="77777777" w:rsidR="008424F4" w:rsidRPr="008424F4" w:rsidRDefault="008424F4" w:rsidP="008424F4">
            <w:r w:rsidRPr="008424F4">
              <w:t>Y</w:t>
            </w:r>
          </w:p>
        </w:tc>
        <w:tc>
          <w:tcPr>
            <w:tcW w:w="0" w:type="auto"/>
            <w:hideMark/>
          </w:tcPr>
          <w:p w14:paraId="1D74C0C8" w14:textId="77777777" w:rsidR="008424F4" w:rsidRPr="008424F4" w:rsidRDefault="008424F4" w:rsidP="008424F4">
            <w:r w:rsidRPr="008424F4">
              <w:t>Y</w:t>
            </w:r>
          </w:p>
        </w:tc>
      </w:tr>
      <w:tr w:rsidR="008424F4" w:rsidRPr="008424F4" w14:paraId="7F0E9B2F" w14:textId="77777777" w:rsidTr="008424F4">
        <w:tc>
          <w:tcPr>
            <w:tcW w:w="0" w:type="auto"/>
            <w:hideMark/>
          </w:tcPr>
          <w:p w14:paraId="658757DA" w14:textId="77777777" w:rsidR="008424F4" w:rsidRPr="008424F4" w:rsidRDefault="008424F4" w:rsidP="008424F4">
            <w:r w:rsidRPr="008424F4">
              <w:t>Do the benefits of the experimental intervention outweigh the harms and costs?</w:t>
            </w:r>
          </w:p>
        </w:tc>
        <w:tc>
          <w:tcPr>
            <w:tcW w:w="0" w:type="auto"/>
            <w:hideMark/>
          </w:tcPr>
          <w:p w14:paraId="1442388A" w14:textId="77777777" w:rsidR="008424F4" w:rsidRPr="008424F4" w:rsidRDefault="008424F4" w:rsidP="008424F4">
            <w:r w:rsidRPr="008424F4">
              <w:t>Y</w:t>
            </w:r>
          </w:p>
        </w:tc>
        <w:tc>
          <w:tcPr>
            <w:tcW w:w="0" w:type="auto"/>
            <w:hideMark/>
          </w:tcPr>
          <w:p w14:paraId="4B7FC0A7" w14:textId="77777777" w:rsidR="008424F4" w:rsidRPr="008424F4" w:rsidRDefault="008424F4" w:rsidP="008424F4">
            <w:r w:rsidRPr="008424F4">
              <w:t>CT</w:t>
            </w:r>
          </w:p>
        </w:tc>
      </w:tr>
      <w:tr w:rsidR="008424F4" w:rsidRPr="008424F4" w14:paraId="56C73564" w14:textId="77777777" w:rsidTr="008424F4">
        <w:tc>
          <w:tcPr>
            <w:tcW w:w="0" w:type="auto"/>
            <w:hideMark/>
          </w:tcPr>
          <w:p w14:paraId="6E645614" w14:textId="77777777" w:rsidR="008424F4" w:rsidRPr="008424F4" w:rsidRDefault="008424F4" w:rsidP="008424F4">
            <w:r w:rsidRPr="008424F4">
              <w:t>Can the results be applied to your local population/in your context?</w:t>
            </w:r>
          </w:p>
        </w:tc>
        <w:tc>
          <w:tcPr>
            <w:tcW w:w="0" w:type="auto"/>
            <w:hideMark/>
          </w:tcPr>
          <w:p w14:paraId="1A472EC9" w14:textId="77777777" w:rsidR="008424F4" w:rsidRPr="008424F4" w:rsidRDefault="008424F4" w:rsidP="008424F4">
            <w:r w:rsidRPr="008424F4">
              <w:t>Y</w:t>
            </w:r>
          </w:p>
        </w:tc>
        <w:tc>
          <w:tcPr>
            <w:tcW w:w="0" w:type="auto"/>
            <w:hideMark/>
          </w:tcPr>
          <w:p w14:paraId="37DA8FB0" w14:textId="77777777" w:rsidR="008424F4" w:rsidRPr="008424F4" w:rsidRDefault="008424F4" w:rsidP="008424F4">
            <w:r w:rsidRPr="008424F4">
              <w:t>CT</w:t>
            </w:r>
          </w:p>
        </w:tc>
      </w:tr>
      <w:tr w:rsidR="008424F4" w:rsidRPr="008424F4" w14:paraId="3A94AD99" w14:textId="77777777" w:rsidTr="008424F4">
        <w:tc>
          <w:tcPr>
            <w:tcW w:w="0" w:type="auto"/>
            <w:hideMark/>
          </w:tcPr>
          <w:p w14:paraId="33583118" w14:textId="77777777" w:rsidR="008424F4" w:rsidRPr="008424F4" w:rsidRDefault="008424F4" w:rsidP="008424F4">
            <w:r w:rsidRPr="008424F4">
              <w:t>Would the experimental intervention provide greater value than existing interventions?</w:t>
            </w:r>
          </w:p>
        </w:tc>
        <w:tc>
          <w:tcPr>
            <w:tcW w:w="0" w:type="auto"/>
            <w:hideMark/>
          </w:tcPr>
          <w:p w14:paraId="5960318C" w14:textId="77777777" w:rsidR="008424F4" w:rsidRPr="008424F4" w:rsidRDefault="008424F4" w:rsidP="008424F4">
            <w:r w:rsidRPr="008424F4">
              <w:t>Y</w:t>
            </w:r>
          </w:p>
        </w:tc>
        <w:tc>
          <w:tcPr>
            <w:tcW w:w="0" w:type="auto"/>
            <w:hideMark/>
          </w:tcPr>
          <w:p w14:paraId="5A599ACE" w14:textId="77777777" w:rsidR="008424F4" w:rsidRPr="008424F4" w:rsidRDefault="008424F4" w:rsidP="008424F4">
            <w:r w:rsidRPr="008424F4">
              <w:t>N</w:t>
            </w:r>
          </w:p>
        </w:tc>
      </w:tr>
    </w:tbl>
    <w:p w14:paraId="1B5D6972" w14:textId="450FEF5F" w:rsidR="008424F4" w:rsidRPr="008424F4" w:rsidRDefault="008424F4" w:rsidP="008424F4"/>
    <w:p w14:paraId="69A2F0E2" w14:textId="77777777" w:rsidR="008424F4" w:rsidRPr="00DE51E2" w:rsidRDefault="008424F4" w:rsidP="008424F4">
      <w:pPr>
        <w:rPr>
          <w:b/>
          <w:bCs/>
          <w:u w:val="single"/>
        </w:rPr>
      </w:pPr>
      <w:r w:rsidRPr="00DE51E2">
        <w:rPr>
          <w:b/>
          <w:bCs/>
          <w:u w:val="single"/>
        </w:rPr>
        <w:t>Overall Appraisal (key points) of all studies</w:t>
      </w:r>
    </w:p>
    <w:p w14:paraId="2B001054" w14:textId="21A72178" w:rsidR="008424F4" w:rsidRPr="008424F4" w:rsidRDefault="00445019" w:rsidP="008424F4">
      <w:r w:rsidRPr="00445019">
        <w:rPr>
          <w:b/>
          <w:bCs/>
        </w:rPr>
        <w:t>Sources: CASP (2024a), CASP (2024b), CASP (2024c) and CASP (2024d).</w:t>
      </w:r>
    </w:p>
    <w:p w14:paraId="3C7F3484" w14:textId="77777777" w:rsidR="008424F4" w:rsidRPr="008424F4" w:rsidRDefault="008424F4" w:rsidP="008424F4">
      <w:pPr>
        <w:rPr>
          <w:b/>
          <w:bCs/>
        </w:rPr>
      </w:pPr>
      <w:r w:rsidRPr="008424F4">
        <w:rPr>
          <w:b/>
          <w:bCs/>
        </w:rPr>
        <w:t>APPRAISAL SUMMARY</w:t>
      </w:r>
    </w:p>
    <w:tbl>
      <w:tblPr>
        <w:tblStyle w:val="TableGrid"/>
        <w:tblW w:w="0" w:type="auto"/>
        <w:tblLook w:val="04A0" w:firstRow="1" w:lastRow="0" w:firstColumn="1" w:lastColumn="0" w:noHBand="0" w:noVBand="1"/>
      </w:tblPr>
      <w:tblGrid>
        <w:gridCol w:w="1690"/>
        <w:gridCol w:w="3700"/>
        <w:gridCol w:w="2933"/>
        <w:gridCol w:w="2433"/>
      </w:tblGrid>
      <w:tr w:rsidR="008424F4" w:rsidRPr="008424F4" w14:paraId="6A707BEC" w14:textId="77777777" w:rsidTr="008424F4">
        <w:tc>
          <w:tcPr>
            <w:tcW w:w="0" w:type="auto"/>
            <w:hideMark/>
          </w:tcPr>
          <w:p w14:paraId="770E8929" w14:textId="77777777" w:rsidR="008424F4" w:rsidRPr="008424F4" w:rsidRDefault="008424F4" w:rsidP="008424F4">
            <w:pPr>
              <w:rPr>
                <w:b/>
                <w:bCs/>
              </w:rPr>
            </w:pPr>
            <w:r w:rsidRPr="008424F4">
              <w:rPr>
                <w:b/>
                <w:bCs/>
              </w:rPr>
              <w:t>Studies</w:t>
            </w:r>
          </w:p>
        </w:tc>
        <w:tc>
          <w:tcPr>
            <w:tcW w:w="0" w:type="auto"/>
            <w:hideMark/>
          </w:tcPr>
          <w:p w14:paraId="03B0E89A" w14:textId="77777777" w:rsidR="008424F4" w:rsidRPr="008424F4" w:rsidRDefault="008424F4" w:rsidP="008424F4">
            <w:pPr>
              <w:rPr>
                <w:b/>
                <w:bCs/>
              </w:rPr>
            </w:pPr>
            <w:r w:rsidRPr="008424F4">
              <w:rPr>
                <w:b/>
                <w:bCs/>
              </w:rPr>
              <w:t>Positive/Methodologically sound</w:t>
            </w:r>
          </w:p>
        </w:tc>
        <w:tc>
          <w:tcPr>
            <w:tcW w:w="0" w:type="auto"/>
            <w:hideMark/>
          </w:tcPr>
          <w:p w14:paraId="34D8156B" w14:textId="77777777" w:rsidR="008424F4" w:rsidRPr="008424F4" w:rsidRDefault="008424F4" w:rsidP="008424F4">
            <w:pPr>
              <w:rPr>
                <w:b/>
                <w:bCs/>
              </w:rPr>
            </w:pPr>
            <w:r w:rsidRPr="008424F4">
              <w:rPr>
                <w:b/>
                <w:bCs/>
              </w:rPr>
              <w:t>Negative/Relatively poor methodology</w:t>
            </w:r>
          </w:p>
        </w:tc>
        <w:tc>
          <w:tcPr>
            <w:tcW w:w="0" w:type="auto"/>
            <w:hideMark/>
          </w:tcPr>
          <w:p w14:paraId="60BA698F" w14:textId="77777777" w:rsidR="008424F4" w:rsidRPr="008424F4" w:rsidRDefault="008424F4" w:rsidP="008424F4">
            <w:pPr>
              <w:rPr>
                <w:b/>
                <w:bCs/>
              </w:rPr>
            </w:pPr>
            <w:r w:rsidRPr="008424F4">
              <w:rPr>
                <w:b/>
                <w:bCs/>
              </w:rPr>
              <w:t>Unknowns</w:t>
            </w:r>
          </w:p>
        </w:tc>
      </w:tr>
      <w:tr w:rsidR="008424F4" w:rsidRPr="008424F4" w14:paraId="41983927" w14:textId="77777777" w:rsidTr="008424F4">
        <w:tc>
          <w:tcPr>
            <w:tcW w:w="0" w:type="auto"/>
            <w:hideMark/>
          </w:tcPr>
          <w:p w14:paraId="784EF8ED" w14:textId="77777777" w:rsidR="008424F4" w:rsidRPr="008424F4" w:rsidRDefault="008424F4" w:rsidP="008424F4">
            <w:r w:rsidRPr="008424F4">
              <w:rPr>
                <w:b/>
                <w:bCs/>
              </w:rPr>
              <w:t>Borek et al. (2021a)</w:t>
            </w:r>
          </w:p>
        </w:tc>
        <w:tc>
          <w:tcPr>
            <w:tcW w:w="0" w:type="auto"/>
            <w:hideMark/>
          </w:tcPr>
          <w:p w14:paraId="08B0A765" w14:textId="77777777" w:rsidR="008424F4" w:rsidRPr="008424F4" w:rsidRDefault="008424F4" w:rsidP="008424F4">
            <w:r w:rsidRPr="008424F4">
              <w:t>Clear qualitative design; multidisciplinary participants from several practices; strong implementation insight.</w:t>
            </w:r>
          </w:p>
        </w:tc>
        <w:tc>
          <w:tcPr>
            <w:tcW w:w="0" w:type="auto"/>
            <w:hideMark/>
          </w:tcPr>
          <w:p w14:paraId="7C127493" w14:textId="77777777" w:rsidR="008424F4" w:rsidRPr="008424F4" w:rsidRDefault="008424F4" w:rsidP="008424F4">
            <w:r w:rsidRPr="008424F4">
              <w:t>Purposive sample of high-prescribing practices; self-reported behaviour.</w:t>
            </w:r>
          </w:p>
        </w:tc>
        <w:tc>
          <w:tcPr>
            <w:tcW w:w="0" w:type="auto"/>
            <w:hideMark/>
          </w:tcPr>
          <w:p w14:paraId="6B0F3604" w14:textId="77777777" w:rsidR="008424F4" w:rsidRPr="008424F4" w:rsidRDefault="008424F4" w:rsidP="008424F4">
            <w:r w:rsidRPr="008424F4">
              <w:t>Researcher influence and transferability to average-prescribing practices.</w:t>
            </w:r>
          </w:p>
        </w:tc>
      </w:tr>
      <w:tr w:rsidR="008424F4" w:rsidRPr="008424F4" w14:paraId="0AF4ED0A" w14:textId="77777777" w:rsidTr="008424F4">
        <w:tc>
          <w:tcPr>
            <w:tcW w:w="0" w:type="auto"/>
            <w:hideMark/>
          </w:tcPr>
          <w:p w14:paraId="07D57732" w14:textId="77777777" w:rsidR="008424F4" w:rsidRPr="008424F4" w:rsidRDefault="008424F4" w:rsidP="008424F4">
            <w:r w:rsidRPr="008424F4">
              <w:rPr>
                <w:b/>
                <w:bCs/>
              </w:rPr>
              <w:lastRenderedPageBreak/>
              <w:t>Borek et al. (2021b)</w:t>
            </w:r>
          </w:p>
        </w:tc>
        <w:tc>
          <w:tcPr>
            <w:tcW w:w="0" w:type="auto"/>
            <w:hideMark/>
          </w:tcPr>
          <w:p w14:paraId="234A6D77" w14:textId="77777777" w:rsidR="008424F4" w:rsidRPr="008424F4" w:rsidRDefault="008424F4" w:rsidP="008424F4">
            <w:r w:rsidRPr="008424F4">
              <w:t>Longitudinal interviews captured changing stewardship practice over the pandemic.</w:t>
            </w:r>
          </w:p>
        </w:tc>
        <w:tc>
          <w:tcPr>
            <w:tcW w:w="0" w:type="auto"/>
            <w:hideMark/>
          </w:tcPr>
          <w:p w14:paraId="79563FD3" w14:textId="77777777" w:rsidR="008424F4" w:rsidRPr="008424F4" w:rsidRDefault="008424F4" w:rsidP="008424F4">
            <w:r w:rsidRPr="008424F4">
              <w:t>Small purposive GP sample; perception-based evidence.</w:t>
            </w:r>
          </w:p>
        </w:tc>
        <w:tc>
          <w:tcPr>
            <w:tcW w:w="0" w:type="auto"/>
            <w:hideMark/>
          </w:tcPr>
          <w:p w14:paraId="7CDB7A6F" w14:textId="77777777" w:rsidR="008424F4" w:rsidRPr="008424F4" w:rsidRDefault="008424F4" w:rsidP="008424F4">
            <w:r w:rsidRPr="008424F4">
              <w:t>Whether changes persisted after the study period.</w:t>
            </w:r>
          </w:p>
        </w:tc>
      </w:tr>
      <w:tr w:rsidR="008424F4" w:rsidRPr="008424F4" w14:paraId="7BB302A3" w14:textId="77777777" w:rsidTr="008424F4">
        <w:tc>
          <w:tcPr>
            <w:tcW w:w="0" w:type="auto"/>
            <w:hideMark/>
          </w:tcPr>
          <w:p w14:paraId="71363DB8" w14:textId="77777777" w:rsidR="008424F4" w:rsidRPr="008424F4" w:rsidRDefault="008424F4" w:rsidP="008424F4">
            <w:r w:rsidRPr="008424F4">
              <w:rPr>
                <w:b/>
                <w:bCs/>
              </w:rPr>
              <w:t>Hounkpatin et al. (2021)</w:t>
            </w:r>
          </w:p>
        </w:tc>
        <w:tc>
          <w:tcPr>
            <w:tcW w:w="0" w:type="auto"/>
            <w:hideMark/>
          </w:tcPr>
          <w:p w14:paraId="48EAB8AD" w14:textId="77777777" w:rsidR="008424F4" w:rsidRPr="008424F4" w:rsidRDefault="008424F4" w:rsidP="008424F4">
            <w:r w:rsidRPr="008424F4">
              <w:t>Focused qualitative question; appropriate interviews and detailed analysis of clinical prediction-rule use.</w:t>
            </w:r>
          </w:p>
        </w:tc>
        <w:tc>
          <w:tcPr>
            <w:tcW w:w="0" w:type="auto"/>
            <w:hideMark/>
          </w:tcPr>
          <w:p w14:paraId="6FBB9000" w14:textId="77777777" w:rsidR="008424F4" w:rsidRPr="008424F4" w:rsidRDefault="008424F4" w:rsidP="008424F4">
            <w:r w:rsidRPr="008424F4">
              <w:t>Self-reported behaviour; qualitative sampling cannot estimate prevalence.</w:t>
            </w:r>
          </w:p>
        </w:tc>
        <w:tc>
          <w:tcPr>
            <w:tcW w:w="0" w:type="auto"/>
            <w:hideMark/>
          </w:tcPr>
          <w:p w14:paraId="099030F6" w14:textId="77777777" w:rsidR="008424F4" w:rsidRPr="008424F4" w:rsidRDefault="008424F4" w:rsidP="008424F4">
            <w:r w:rsidRPr="008424F4">
              <w:t>Extent to which reported CPR use reflects routine behaviour.</w:t>
            </w:r>
          </w:p>
        </w:tc>
      </w:tr>
      <w:tr w:rsidR="008424F4" w:rsidRPr="008424F4" w14:paraId="11B14323" w14:textId="77777777" w:rsidTr="008424F4">
        <w:tc>
          <w:tcPr>
            <w:tcW w:w="0" w:type="auto"/>
            <w:hideMark/>
          </w:tcPr>
          <w:p w14:paraId="1D792D0A" w14:textId="77777777" w:rsidR="008424F4" w:rsidRPr="008424F4" w:rsidRDefault="008424F4" w:rsidP="008424F4">
            <w:r w:rsidRPr="008424F4">
              <w:rPr>
                <w:b/>
                <w:bCs/>
              </w:rPr>
              <w:t>Rutter et al. (2024)</w:t>
            </w:r>
          </w:p>
        </w:tc>
        <w:tc>
          <w:tcPr>
            <w:tcW w:w="0" w:type="auto"/>
            <w:hideMark/>
          </w:tcPr>
          <w:p w14:paraId="4CC19BFE" w14:textId="77777777" w:rsidR="008424F4" w:rsidRPr="008424F4" w:rsidRDefault="008424F4" w:rsidP="008424F4">
            <w:r w:rsidRPr="008424F4">
              <w:t>Includes both patient and clinician perspectives and directly examines a diagnostic pathway.</w:t>
            </w:r>
          </w:p>
        </w:tc>
        <w:tc>
          <w:tcPr>
            <w:tcW w:w="0" w:type="auto"/>
            <w:hideMark/>
          </w:tcPr>
          <w:p w14:paraId="3A8A446D" w14:textId="77777777" w:rsidR="008424F4" w:rsidRPr="008424F4" w:rsidRDefault="008424F4" w:rsidP="008424F4">
            <w:r w:rsidRPr="008424F4">
              <w:t>Small regional sample; participants had prior test exposure.</w:t>
            </w:r>
          </w:p>
        </w:tc>
        <w:tc>
          <w:tcPr>
            <w:tcW w:w="0" w:type="auto"/>
            <w:hideMark/>
          </w:tcPr>
          <w:p w14:paraId="656FEBAD" w14:textId="77777777" w:rsidR="008424F4" w:rsidRPr="008424F4" w:rsidRDefault="008424F4" w:rsidP="008424F4">
            <w:r w:rsidRPr="008424F4">
              <w:t>Long-term uptake and actual effect on antibiotic prescribing.</w:t>
            </w:r>
          </w:p>
        </w:tc>
      </w:tr>
      <w:tr w:rsidR="008424F4" w:rsidRPr="008424F4" w14:paraId="48A5CF2C" w14:textId="77777777" w:rsidTr="008424F4">
        <w:tc>
          <w:tcPr>
            <w:tcW w:w="0" w:type="auto"/>
            <w:hideMark/>
          </w:tcPr>
          <w:p w14:paraId="58694FC8" w14:textId="77777777" w:rsidR="008424F4" w:rsidRPr="008424F4" w:rsidRDefault="008424F4" w:rsidP="008424F4">
            <w:r w:rsidRPr="008424F4">
              <w:rPr>
                <w:b/>
                <w:bCs/>
              </w:rPr>
              <w:t>Seeley et al. (2021)</w:t>
            </w:r>
          </w:p>
        </w:tc>
        <w:tc>
          <w:tcPr>
            <w:tcW w:w="0" w:type="auto"/>
            <w:hideMark/>
          </w:tcPr>
          <w:p w14:paraId="5B26A317" w14:textId="77777777" w:rsidR="008424F4" w:rsidRPr="008424F4" w:rsidRDefault="008424F4" w:rsidP="008424F4">
            <w:r w:rsidRPr="008424F4">
              <w:t>Adult UK primary-care sample; microbiological reference standard; diagnostic uncertainty quantified.</w:t>
            </w:r>
          </w:p>
        </w:tc>
        <w:tc>
          <w:tcPr>
            <w:tcW w:w="0" w:type="auto"/>
            <w:hideMark/>
          </w:tcPr>
          <w:p w14:paraId="744B97B9" w14:textId="77777777" w:rsidR="008424F4" w:rsidRPr="008424F4" w:rsidRDefault="008424F4" w:rsidP="008424F4">
            <w:r w:rsidRPr="008424F4">
              <w:t>Post-hoc CPR calculation; some reference-standard data unavailable.</w:t>
            </w:r>
          </w:p>
        </w:tc>
        <w:tc>
          <w:tcPr>
            <w:tcW w:w="0" w:type="auto"/>
            <w:hideMark/>
          </w:tcPr>
          <w:p w14:paraId="13088367" w14:textId="77777777" w:rsidR="008424F4" w:rsidRPr="008424F4" w:rsidRDefault="008424F4" w:rsidP="008424F4">
            <w:r w:rsidRPr="008424F4">
              <w:t>Whether using the scores prospectively improves prescribing or outcomes.</w:t>
            </w:r>
          </w:p>
        </w:tc>
      </w:tr>
      <w:tr w:rsidR="008424F4" w:rsidRPr="008424F4" w14:paraId="23657371" w14:textId="77777777" w:rsidTr="008424F4">
        <w:tc>
          <w:tcPr>
            <w:tcW w:w="0" w:type="auto"/>
            <w:hideMark/>
          </w:tcPr>
          <w:p w14:paraId="1C09B323" w14:textId="77777777" w:rsidR="008424F4" w:rsidRPr="008424F4" w:rsidRDefault="008424F4" w:rsidP="008424F4">
            <w:r w:rsidRPr="008424F4">
              <w:rPr>
                <w:b/>
                <w:bCs/>
              </w:rPr>
              <w:t>Dixon et al. (2022)</w:t>
            </w:r>
          </w:p>
        </w:tc>
        <w:tc>
          <w:tcPr>
            <w:tcW w:w="0" w:type="auto"/>
            <w:hideMark/>
          </w:tcPr>
          <w:p w14:paraId="3B2A0BA0" w14:textId="77777777" w:rsidR="008424F4" w:rsidRPr="008424F4" w:rsidRDefault="008424F4" w:rsidP="008424F4">
            <w:r w:rsidRPr="008424F4">
              <w:t>Mixed-method evaluation combines prescribing patterns and clinician implementation experience.</w:t>
            </w:r>
          </w:p>
        </w:tc>
        <w:tc>
          <w:tcPr>
            <w:tcW w:w="0" w:type="auto"/>
            <w:hideMark/>
          </w:tcPr>
          <w:p w14:paraId="570CBEA8" w14:textId="77777777" w:rsidR="008424F4" w:rsidRPr="008424F4" w:rsidRDefault="008424F4" w:rsidP="008424F4">
            <w:r w:rsidRPr="008424F4">
              <w:t>Low CRP uptake; one site accounted for most tests; non-randomised design.</w:t>
            </w:r>
          </w:p>
        </w:tc>
        <w:tc>
          <w:tcPr>
            <w:tcW w:w="0" w:type="auto"/>
            <w:hideMark/>
          </w:tcPr>
          <w:p w14:paraId="1EFB2274" w14:textId="77777777" w:rsidR="008424F4" w:rsidRPr="008424F4" w:rsidRDefault="008424F4" w:rsidP="008424F4">
            <w:r w:rsidRPr="008424F4">
              <w:t>Effect if CRP testing were implemented consistently at scale.</w:t>
            </w:r>
          </w:p>
        </w:tc>
      </w:tr>
      <w:tr w:rsidR="008424F4" w:rsidRPr="008424F4" w14:paraId="07FFA683" w14:textId="77777777" w:rsidTr="008424F4">
        <w:tc>
          <w:tcPr>
            <w:tcW w:w="0" w:type="auto"/>
            <w:hideMark/>
          </w:tcPr>
          <w:p w14:paraId="060A6B7B" w14:textId="77777777" w:rsidR="008424F4" w:rsidRPr="008424F4" w:rsidRDefault="008424F4" w:rsidP="008424F4">
            <w:r w:rsidRPr="008424F4">
              <w:rPr>
                <w:b/>
                <w:bCs/>
              </w:rPr>
              <w:t>Little et al. (2024)</w:t>
            </w:r>
          </w:p>
        </w:tc>
        <w:tc>
          <w:tcPr>
            <w:tcW w:w="0" w:type="auto"/>
            <w:hideMark/>
          </w:tcPr>
          <w:p w14:paraId="58C9EE5A" w14:textId="77777777" w:rsidR="008424F4" w:rsidRPr="008424F4" w:rsidRDefault="008424F4" w:rsidP="008424F4">
            <w:r w:rsidRPr="008424F4">
              <w:t>Very large multicentre adult RCT; clinically meaningful symptom and antibiotic-use outcomes.</w:t>
            </w:r>
          </w:p>
        </w:tc>
        <w:tc>
          <w:tcPr>
            <w:tcW w:w="0" w:type="auto"/>
            <w:hideMark/>
          </w:tcPr>
          <w:p w14:paraId="55C9D407" w14:textId="77777777" w:rsidR="008424F4" w:rsidRPr="008424F4" w:rsidRDefault="008424F4" w:rsidP="008424F4">
            <w:r w:rsidRPr="008424F4">
              <w:t>Open-label design and variable adherence.</w:t>
            </w:r>
          </w:p>
        </w:tc>
        <w:tc>
          <w:tcPr>
            <w:tcW w:w="0" w:type="auto"/>
            <w:hideMark/>
          </w:tcPr>
          <w:p w14:paraId="3AD7E882" w14:textId="77777777" w:rsidR="008424F4" w:rsidRPr="008424F4" w:rsidRDefault="008424F4" w:rsidP="008424F4">
            <w:r w:rsidRPr="008424F4">
              <w:t>Sustainability, cost-effectiveness and routine long-term uptake.</w:t>
            </w:r>
          </w:p>
        </w:tc>
      </w:tr>
      <w:tr w:rsidR="008424F4" w:rsidRPr="008424F4" w14:paraId="1F8231D9" w14:textId="77777777" w:rsidTr="008424F4">
        <w:tc>
          <w:tcPr>
            <w:tcW w:w="0" w:type="auto"/>
            <w:hideMark/>
          </w:tcPr>
          <w:p w14:paraId="75A3968D" w14:textId="77777777" w:rsidR="008424F4" w:rsidRPr="008424F4" w:rsidRDefault="008424F4" w:rsidP="008424F4">
            <w:r w:rsidRPr="008424F4">
              <w:rPr>
                <w:b/>
                <w:bCs/>
              </w:rPr>
              <w:t>Hay et al. (2026)</w:t>
            </w:r>
          </w:p>
        </w:tc>
        <w:tc>
          <w:tcPr>
            <w:tcW w:w="0" w:type="auto"/>
            <w:hideMark/>
          </w:tcPr>
          <w:p w14:paraId="1FD38A73" w14:textId="77777777" w:rsidR="008424F4" w:rsidRPr="008424F4" w:rsidRDefault="008424F4" w:rsidP="008424F4">
            <w:r w:rsidRPr="008424F4">
              <w:t>Randomised design; complete primary prescribing outcome; safety outcomes and prespecified subgroup analyses.</w:t>
            </w:r>
          </w:p>
        </w:tc>
        <w:tc>
          <w:tcPr>
            <w:tcW w:w="0" w:type="auto"/>
            <w:hideMark/>
          </w:tcPr>
          <w:p w14:paraId="11730E8F" w14:textId="77777777" w:rsidR="008424F4" w:rsidRPr="008424F4" w:rsidRDefault="008424F4" w:rsidP="008424F4">
            <w:r w:rsidRPr="008424F4">
              <w:t>Mixed-age population and no overall antibiotic-prescribing benefit.</w:t>
            </w:r>
          </w:p>
        </w:tc>
        <w:tc>
          <w:tcPr>
            <w:tcW w:w="0" w:type="auto"/>
            <w:hideMark/>
          </w:tcPr>
          <w:p w14:paraId="060240F2" w14:textId="77777777" w:rsidR="008424F4" w:rsidRPr="008424F4" w:rsidRDefault="008424F4" w:rsidP="008424F4">
            <w:r w:rsidRPr="008424F4">
              <w:t>Whether particular adult subgroups derive sufficient benefit to justify routine testing.</w:t>
            </w:r>
          </w:p>
        </w:tc>
      </w:tr>
      <w:tr w:rsidR="008424F4" w:rsidRPr="008424F4" w14:paraId="45FF5582" w14:textId="77777777" w:rsidTr="008424F4">
        <w:tc>
          <w:tcPr>
            <w:tcW w:w="0" w:type="auto"/>
            <w:hideMark/>
          </w:tcPr>
          <w:p w14:paraId="60BF1292" w14:textId="77777777" w:rsidR="008424F4" w:rsidRPr="008424F4" w:rsidRDefault="008424F4" w:rsidP="008424F4">
            <w:r w:rsidRPr="008424F4">
              <w:rPr>
                <w:b/>
                <w:bCs/>
              </w:rPr>
              <w:t>van Staa et al. (2021)</w:t>
            </w:r>
          </w:p>
        </w:tc>
        <w:tc>
          <w:tcPr>
            <w:tcW w:w="0" w:type="auto"/>
            <w:hideMark/>
          </w:tcPr>
          <w:p w14:paraId="1D38427C" w14:textId="77777777" w:rsidR="008424F4" w:rsidRPr="008424F4" w:rsidRDefault="008424F4" w:rsidP="008424F4">
            <w:r w:rsidRPr="008424F4">
              <w:t>Extremely large linked English/Welsh cohorts and hard hospital outcomes.</w:t>
            </w:r>
          </w:p>
        </w:tc>
        <w:tc>
          <w:tcPr>
            <w:tcW w:w="0" w:type="auto"/>
            <w:hideMark/>
          </w:tcPr>
          <w:p w14:paraId="125B418D" w14:textId="77777777" w:rsidR="008424F4" w:rsidRPr="008424F4" w:rsidRDefault="008424F4" w:rsidP="008424F4">
            <w:r w:rsidRPr="008424F4">
              <w:t>Potential exposure misclassification and residual confounding by indication.</w:t>
            </w:r>
          </w:p>
        </w:tc>
        <w:tc>
          <w:tcPr>
            <w:tcW w:w="0" w:type="auto"/>
            <w:hideMark/>
          </w:tcPr>
          <w:p w14:paraId="51EE8208" w14:textId="77777777" w:rsidR="008424F4" w:rsidRPr="008424F4" w:rsidRDefault="008424F4" w:rsidP="008424F4">
            <w:r w:rsidRPr="008424F4">
              <w:t>Causal safety effect of deliberate delayed-prescribing advice.</w:t>
            </w:r>
          </w:p>
        </w:tc>
      </w:tr>
      <w:tr w:rsidR="008424F4" w:rsidRPr="008424F4" w14:paraId="4AB50854" w14:textId="77777777" w:rsidTr="008424F4">
        <w:tc>
          <w:tcPr>
            <w:tcW w:w="0" w:type="auto"/>
            <w:hideMark/>
          </w:tcPr>
          <w:p w14:paraId="6F802594" w14:textId="77777777" w:rsidR="008424F4" w:rsidRPr="008424F4" w:rsidRDefault="008424F4" w:rsidP="008424F4">
            <w:r w:rsidRPr="008424F4">
              <w:rPr>
                <w:b/>
                <w:bCs/>
              </w:rPr>
              <w:t>Palin et al. (2021)</w:t>
            </w:r>
          </w:p>
        </w:tc>
        <w:tc>
          <w:tcPr>
            <w:tcW w:w="0" w:type="auto"/>
            <w:hideMark/>
          </w:tcPr>
          <w:p w14:paraId="222E984D" w14:textId="77777777" w:rsidR="008424F4" w:rsidRPr="008424F4" w:rsidRDefault="008424F4" w:rsidP="008424F4">
            <w:r w:rsidRPr="008424F4">
              <w:t>Very large primary-care dataset and relevant antibiotic-duration analysis.</w:t>
            </w:r>
          </w:p>
        </w:tc>
        <w:tc>
          <w:tcPr>
            <w:tcW w:w="0" w:type="auto"/>
            <w:hideMark/>
          </w:tcPr>
          <w:p w14:paraId="70958D6C" w14:textId="77777777" w:rsidR="008424F4" w:rsidRPr="008424F4" w:rsidRDefault="008424F4" w:rsidP="008424F4">
            <w:r w:rsidRPr="008424F4">
              <w:t>Confounding by severity/indication; prescription length does not establish adherence.</w:t>
            </w:r>
          </w:p>
        </w:tc>
        <w:tc>
          <w:tcPr>
            <w:tcW w:w="0" w:type="auto"/>
            <w:hideMark/>
          </w:tcPr>
          <w:p w14:paraId="345F6511" w14:textId="77777777" w:rsidR="008424F4" w:rsidRPr="008424F4" w:rsidRDefault="008424F4" w:rsidP="008424F4">
            <w:r w:rsidRPr="008424F4">
              <w:t>Applicability of pooled findings to specific adult ARTI diagnoses.</w:t>
            </w:r>
          </w:p>
        </w:tc>
      </w:tr>
      <w:tr w:rsidR="008424F4" w:rsidRPr="008424F4" w14:paraId="3E56110C" w14:textId="77777777" w:rsidTr="008424F4">
        <w:tc>
          <w:tcPr>
            <w:tcW w:w="0" w:type="auto"/>
            <w:hideMark/>
          </w:tcPr>
          <w:p w14:paraId="1E0D5F7A" w14:textId="77777777" w:rsidR="008424F4" w:rsidRPr="008424F4" w:rsidRDefault="008424F4" w:rsidP="008424F4">
            <w:r w:rsidRPr="008424F4">
              <w:rPr>
                <w:b/>
                <w:bCs/>
              </w:rPr>
              <w:lastRenderedPageBreak/>
              <w:t>Lalmohamed et al. (2024)</w:t>
            </w:r>
          </w:p>
        </w:tc>
        <w:tc>
          <w:tcPr>
            <w:tcW w:w="0" w:type="auto"/>
            <w:hideMark/>
          </w:tcPr>
          <w:p w14:paraId="02148073" w14:textId="77777777" w:rsidR="008424F4" w:rsidRPr="008424F4" w:rsidRDefault="008424F4" w:rsidP="008424F4">
            <w:r w:rsidRPr="008424F4">
              <w:t>Very large cohort; adult-specific URTI and LRTI estimates; clear stewardship relevance.</w:t>
            </w:r>
          </w:p>
        </w:tc>
        <w:tc>
          <w:tcPr>
            <w:tcW w:w="0" w:type="auto"/>
            <w:hideMark/>
          </w:tcPr>
          <w:p w14:paraId="679066EF" w14:textId="77777777" w:rsidR="008424F4" w:rsidRPr="008424F4" w:rsidRDefault="008424F4" w:rsidP="008424F4">
            <w:r w:rsidRPr="008424F4">
              <w:t>Repeat prescriptions cannot automatically be classified as inappropriate.</w:t>
            </w:r>
          </w:p>
        </w:tc>
        <w:tc>
          <w:tcPr>
            <w:tcW w:w="0" w:type="auto"/>
            <w:hideMark/>
          </w:tcPr>
          <w:p w14:paraId="29C9D0A5" w14:textId="77777777" w:rsidR="008424F4" w:rsidRPr="008424F4" w:rsidRDefault="008424F4" w:rsidP="008424F4">
            <w:r w:rsidRPr="008424F4">
              <w:t>Clinical reasons for individual repeat prescriptions.</w:t>
            </w:r>
          </w:p>
        </w:tc>
      </w:tr>
      <w:tr w:rsidR="008424F4" w:rsidRPr="008424F4" w14:paraId="3B749EA0" w14:textId="77777777" w:rsidTr="008424F4">
        <w:tc>
          <w:tcPr>
            <w:tcW w:w="0" w:type="auto"/>
            <w:hideMark/>
          </w:tcPr>
          <w:p w14:paraId="06D8E1AA" w14:textId="77777777" w:rsidR="008424F4" w:rsidRPr="008424F4" w:rsidRDefault="008424F4" w:rsidP="008424F4">
            <w:r w:rsidRPr="008424F4">
              <w:rPr>
                <w:b/>
                <w:bCs/>
              </w:rPr>
              <w:t>Vestesson et al. (2023)</w:t>
            </w:r>
          </w:p>
        </w:tc>
        <w:tc>
          <w:tcPr>
            <w:tcW w:w="0" w:type="auto"/>
            <w:hideMark/>
          </w:tcPr>
          <w:p w14:paraId="4955E43D" w14:textId="77777777" w:rsidR="008424F4" w:rsidRPr="008424F4" w:rsidRDefault="008424F4" w:rsidP="008424F4">
            <w:r w:rsidRPr="008424F4">
              <w:t>Large representative dataset; adult-specific estimate and robust statistical adjustment.</w:t>
            </w:r>
          </w:p>
        </w:tc>
        <w:tc>
          <w:tcPr>
            <w:tcW w:w="0" w:type="auto"/>
            <w:hideMark/>
          </w:tcPr>
          <w:p w14:paraId="7F21DBD0" w14:textId="77777777" w:rsidR="008424F4" w:rsidRPr="008424F4" w:rsidRDefault="008424F4" w:rsidP="008424F4">
            <w:r w:rsidRPr="008424F4">
              <w:t>Residual confounding and consultation-mode coding limitations.</w:t>
            </w:r>
          </w:p>
        </w:tc>
        <w:tc>
          <w:tcPr>
            <w:tcW w:w="0" w:type="auto"/>
            <w:hideMark/>
          </w:tcPr>
          <w:p w14:paraId="50FAAABB" w14:textId="77777777" w:rsidR="008424F4" w:rsidRPr="008424F4" w:rsidRDefault="008424F4" w:rsidP="008424F4">
            <w:r w:rsidRPr="008424F4">
              <w:t>Appropriateness and guideline concordance of individual prescriptions.</w:t>
            </w:r>
          </w:p>
        </w:tc>
      </w:tr>
      <w:tr w:rsidR="008424F4" w:rsidRPr="008424F4" w14:paraId="68F0273D" w14:textId="77777777" w:rsidTr="008424F4">
        <w:tc>
          <w:tcPr>
            <w:tcW w:w="0" w:type="auto"/>
            <w:hideMark/>
          </w:tcPr>
          <w:p w14:paraId="03F6400A" w14:textId="77777777" w:rsidR="008424F4" w:rsidRPr="008424F4" w:rsidRDefault="008424F4" w:rsidP="008424F4">
            <w:r w:rsidRPr="008424F4">
              <w:rPr>
                <w:b/>
                <w:bCs/>
              </w:rPr>
              <w:t>Zhong et al. (2023)</w:t>
            </w:r>
          </w:p>
        </w:tc>
        <w:tc>
          <w:tcPr>
            <w:tcW w:w="0" w:type="auto"/>
            <w:hideMark/>
          </w:tcPr>
          <w:p w14:paraId="19035FEE" w14:textId="77777777" w:rsidR="008424F4" w:rsidRPr="008424F4" w:rsidRDefault="008424F4" w:rsidP="008424F4">
            <w:r w:rsidRPr="008424F4">
              <w:t>National OpenSAFELY dataset and appropriate interrupted time-series approach.</w:t>
            </w:r>
          </w:p>
        </w:tc>
        <w:tc>
          <w:tcPr>
            <w:tcW w:w="0" w:type="auto"/>
            <w:hideMark/>
          </w:tcPr>
          <w:p w14:paraId="3183EBF4" w14:textId="77777777" w:rsidR="008424F4" w:rsidRPr="008424F4" w:rsidRDefault="008424F4" w:rsidP="008424F4">
            <w:r w:rsidRPr="008424F4">
              <w:t>Pandemic changed numerous healthcare and epidemiological factors simultaneously.</w:t>
            </w:r>
          </w:p>
        </w:tc>
        <w:tc>
          <w:tcPr>
            <w:tcW w:w="0" w:type="auto"/>
            <w:hideMark/>
          </w:tcPr>
          <w:p w14:paraId="2CFFB5DA" w14:textId="77777777" w:rsidR="008424F4" w:rsidRPr="008424F4" w:rsidRDefault="008424F4" w:rsidP="008424F4">
            <w:r w:rsidRPr="008424F4">
              <w:t>Long-term implications for prescribing quality and antimicrobial resistance.</w:t>
            </w:r>
          </w:p>
        </w:tc>
      </w:tr>
      <w:tr w:rsidR="008424F4" w:rsidRPr="008424F4" w14:paraId="1E2C0855" w14:textId="77777777" w:rsidTr="008424F4">
        <w:tc>
          <w:tcPr>
            <w:tcW w:w="0" w:type="auto"/>
            <w:hideMark/>
          </w:tcPr>
          <w:p w14:paraId="601E2E18" w14:textId="77777777" w:rsidR="008424F4" w:rsidRPr="008424F4" w:rsidRDefault="008424F4" w:rsidP="008424F4">
            <w:r w:rsidRPr="008424F4">
              <w:rPr>
                <w:b/>
                <w:bCs/>
              </w:rPr>
              <w:t>Stimson et al. (2024)</w:t>
            </w:r>
          </w:p>
        </w:tc>
        <w:tc>
          <w:tcPr>
            <w:tcW w:w="0" w:type="auto"/>
            <w:hideMark/>
          </w:tcPr>
          <w:p w14:paraId="00DB2DE2" w14:textId="77777777" w:rsidR="008424F4" w:rsidRPr="008424F4" w:rsidRDefault="008424F4" w:rsidP="008424F4">
            <w:r w:rsidRPr="008424F4">
              <w:t>Large practice sample, long observation period and several patient-safety outcomes.</w:t>
            </w:r>
          </w:p>
        </w:tc>
        <w:tc>
          <w:tcPr>
            <w:tcW w:w="0" w:type="auto"/>
            <w:hideMark/>
          </w:tcPr>
          <w:p w14:paraId="737BDE70" w14:textId="77777777" w:rsidR="008424F4" w:rsidRPr="008424F4" w:rsidRDefault="008424F4" w:rsidP="008424F4">
            <w:r w:rsidRPr="008424F4">
              <w:t>Practice-level exposure creates ecological limitations; residual confounding.</w:t>
            </w:r>
          </w:p>
        </w:tc>
        <w:tc>
          <w:tcPr>
            <w:tcW w:w="0" w:type="auto"/>
            <w:hideMark/>
          </w:tcPr>
          <w:p w14:paraId="72115663" w14:textId="77777777" w:rsidR="008424F4" w:rsidRPr="008424F4" w:rsidRDefault="008424F4" w:rsidP="008424F4">
            <w:r w:rsidRPr="008424F4">
              <w:t>Patient-level mechanisms underlying reconsultation differences.</w:t>
            </w:r>
          </w:p>
        </w:tc>
      </w:tr>
      <w:tr w:rsidR="008424F4" w:rsidRPr="008424F4" w14:paraId="22B7C0F7" w14:textId="77777777" w:rsidTr="008424F4">
        <w:tc>
          <w:tcPr>
            <w:tcW w:w="0" w:type="auto"/>
            <w:hideMark/>
          </w:tcPr>
          <w:p w14:paraId="1A485BCE" w14:textId="77777777" w:rsidR="008424F4" w:rsidRPr="008424F4" w:rsidRDefault="008424F4" w:rsidP="008424F4">
            <w:r w:rsidRPr="008424F4">
              <w:rPr>
                <w:b/>
                <w:bCs/>
              </w:rPr>
              <w:t>Miller et al. (2025)</w:t>
            </w:r>
          </w:p>
        </w:tc>
        <w:tc>
          <w:tcPr>
            <w:tcW w:w="0" w:type="auto"/>
            <w:hideMark/>
          </w:tcPr>
          <w:p w14:paraId="64F6A6C8" w14:textId="77777777" w:rsidR="008424F4" w:rsidRPr="008424F4" w:rsidRDefault="008424F4" w:rsidP="008424F4">
            <w:r w:rsidRPr="008424F4">
              <w:t>Large linked surveillance and prescribing datasets with age-specific modelling.</w:t>
            </w:r>
          </w:p>
        </w:tc>
        <w:tc>
          <w:tcPr>
            <w:tcW w:w="0" w:type="auto"/>
            <w:hideMark/>
          </w:tcPr>
          <w:p w14:paraId="6569224B" w14:textId="77777777" w:rsidR="008424F4" w:rsidRPr="008424F4" w:rsidRDefault="008424F4" w:rsidP="008424F4">
            <w:r w:rsidRPr="008424F4">
              <w:t>Ecological attribution cannot prove individual-level causality.</w:t>
            </w:r>
          </w:p>
        </w:tc>
        <w:tc>
          <w:tcPr>
            <w:tcW w:w="0" w:type="auto"/>
            <w:hideMark/>
          </w:tcPr>
          <w:p w14:paraId="0D5576B5" w14:textId="77777777" w:rsidR="008424F4" w:rsidRPr="008424F4" w:rsidRDefault="008424F4" w:rsidP="008424F4">
            <w:r w:rsidRPr="008424F4">
              <w:t>Effect of newer RSV prevention and diagnostic pathways on subsequent prescribing.</w:t>
            </w:r>
          </w:p>
        </w:tc>
      </w:tr>
      <w:tr w:rsidR="008424F4" w:rsidRPr="008424F4" w14:paraId="2AD5A8DF" w14:textId="77777777" w:rsidTr="008424F4">
        <w:tc>
          <w:tcPr>
            <w:tcW w:w="0" w:type="auto"/>
            <w:hideMark/>
          </w:tcPr>
          <w:p w14:paraId="7E729AF2" w14:textId="77777777" w:rsidR="008424F4" w:rsidRPr="008424F4" w:rsidRDefault="008424F4" w:rsidP="008424F4">
            <w:r w:rsidRPr="008424F4">
              <w:rPr>
                <w:b/>
                <w:bCs/>
              </w:rPr>
              <w:t>Fahmi et al. (2025)</w:t>
            </w:r>
          </w:p>
        </w:tc>
        <w:tc>
          <w:tcPr>
            <w:tcW w:w="0" w:type="auto"/>
            <w:hideMark/>
          </w:tcPr>
          <w:p w14:paraId="0DAF203E" w14:textId="77777777" w:rsidR="008424F4" w:rsidRPr="008424F4" w:rsidRDefault="008424F4" w:rsidP="008424F4">
            <w:r w:rsidRPr="008424F4">
              <w:t>Contemporary national adult cohort linking prescribing to predicted clinical risk.</w:t>
            </w:r>
          </w:p>
        </w:tc>
        <w:tc>
          <w:tcPr>
            <w:tcW w:w="0" w:type="auto"/>
            <w:hideMark/>
          </w:tcPr>
          <w:p w14:paraId="12749469" w14:textId="77777777" w:rsidR="008424F4" w:rsidRPr="008424F4" w:rsidRDefault="008424F4" w:rsidP="008424F4">
            <w:r w:rsidRPr="008424F4">
              <w:t>Routine codes and prediction models cannot capture every aspect of severity or clinician reasoning.</w:t>
            </w:r>
          </w:p>
        </w:tc>
        <w:tc>
          <w:tcPr>
            <w:tcW w:w="0" w:type="auto"/>
            <w:hideMark/>
          </w:tcPr>
          <w:p w14:paraId="1D6E483A" w14:textId="77777777" w:rsidR="008424F4" w:rsidRPr="008424F4" w:rsidRDefault="008424F4" w:rsidP="008424F4">
            <w:r w:rsidRPr="008424F4">
              <w:t>Reasons for mismatch between predicted risk and prescribing behaviour.</w:t>
            </w:r>
          </w:p>
        </w:tc>
      </w:tr>
    </w:tbl>
    <w:p w14:paraId="5800B2EC" w14:textId="7FFA30BA" w:rsidR="00EF454B" w:rsidRPr="000F5E13" w:rsidRDefault="00EF454B" w:rsidP="004B3D66">
      <w:pPr>
        <w:spacing w:after="200" w:line="276" w:lineRule="auto"/>
        <w:jc w:val="left"/>
      </w:pPr>
    </w:p>
    <w:p w14:paraId="5914B758" w14:textId="77777777" w:rsidR="00873AD2" w:rsidRDefault="00873AD2" w:rsidP="008424F4"/>
    <w:sectPr w:rsidR="00873AD2" w:rsidSect="00034616">
      <w:pgSz w:w="12240" w:h="15840" w:orient="landscape"/>
      <w:pgMar w:top="850" w:right="737" w:bottom="850" w:left="73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E07F8" w14:textId="77777777" w:rsidR="00F665BB" w:rsidRDefault="00F665BB" w:rsidP="00F5008C">
      <w:r>
        <w:separator/>
      </w:r>
    </w:p>
  </w:endnote>
  <w:endnote w:type="continuationSeparator" w:id="0">
    <w:p w14:paraId="5FF560CA" w14:textId="77777777" w:rsidR="00F665BB" w:rsidRDefault="00F665BB" w:rsidP="00F500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0034198"/>
      <w:docPartObj>
        <w:docPartGallery w:val="Page Numbers (Bottom of Page)"/>
        <w:docPartUnique/>
      </w:docPartObj>
    </w:sdtPr>
    <w:sdtEndPr>
      <w:rPr>
        <w:noProof/>
      </w:rPr>
    </w:sdtEndPr>
    <w:sdtContent>
      <w:p w14:paraId="68D29681" w14:textId="7F083B1D" w:rsidR="0053228E" w:rsidRDefault="005322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7DA4D4" w14:textId="77777777" w:rsidR="00FA668A" w:rsidRDefault="00FA668A" w:rsidP="00F500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2EDF6" w14:textId="77777777" w:rsidR="00F665BB" w:rsidRDefault="00F665BB" w:rsidP="00F5008C">
      <w:r>
        <w:separator/>
      </w:r>
    </w:p>
  </w:footnote>
  <w:footnote w:type="continuationSeparator" w:id="0">
    <w:p w14:paraId="683A0FC0" w14:textId="77777777" w:rsidR="00F665BB" w:rsidRDefault="00F665BB" w:rsidP="00F500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C8865F7"/>
    <w:multiLevelType w:val="hybridMultilevel"/>
    <w:tmpl w:val="E5EC407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77B65C10"/>
    <w:multiLevelType w:val="hybridMultilevel"/>
    <w:tmpl w:val="F1A4E5E0"/>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905140004">
    <w:abstractNumId w:val="8"/>
  </w:num>
  <w:num w:numId="2" w16cid:durableId="599681476">
    <w:abstractNumId w:val="6"/>
  </w:num>
  <w:num w:numId="3" w16cid:durableId="248776679">
    <w:abstractNumId w:val="5"/>
  </w:num>
  <w:num w:numId="4" w16cid:durableId="615337073">
    <w:abstractNumId w:val="4"/>
  </w:num>
  <w:num w:numId="5" w16cid:durableId="1875069134">
    <w:abstractNumId w:val="7"/>
  </w:num>
  <w:num w:numId="6" w16cid:durableId="2057314122">
    <w:abstractNumId w:val="3"/>
  </w:num>
  <w:num w:numId="7" w16cid:durableId="574556593">
    <w:abstractNumId w:val="2"/>
  </w:num>
  <w:num w:numId="8" w16cid:durableId="308635897">
    <w:abstractNumId w:val="1"/>
  </w:num>
  <w:num w:numId="9" w16cid:durableId="899437664">
    <w:abstractNumId w:val="0"/>
  </w:num>
  <w:num w:numId="10" w16cid:durableId="1972711038">
    <w:abstractNumId w:val="9"/>
  </w:num>
  <w:num w:numId="11" w16cid:durableId="1155662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2C93"/>
    <w:rsid w:val="0002232C"/>
    <w:rsid w:val="00034616"/>
    <w:rsid w:val="0006063C"/>
    <w:rsid w:val="000614B8"/>
    <w:rsid w:val="00085A9D"/>
    <w:rsid w:val="00086D4C"/>
    <w:rsid w:val="00087012"/>
    <w:rsid w:val="000A08AC"/>
    <w:rsid w:val="000B2CCF"/>
    <w:rsid w:val="000B2D31"/>
    <w:rsid w:val="000D24FB"/>
    <w:rsid w:val="000D6759"/>
    <w:rsid w:val="000F0E2B"/>
    <w:rsid w:val="00112592"/>
    <w:rsid w:val="00130041"/>
    <w:rsid w:val="00146025"/>
    <w:rsid w:val="0015074B"/>
    <w:rsid w:val="001511AE"/>
    <w:rsid w:val="0017316D"/>
    <w:rsid w:val="00180C04"/>
    <w:rsid w:val="00183F70"/>
    <w:rsid w:val="00193E78"/>
    <w:rsid w:val="001A017C"/>
    <w:rsid w:val="001A1572"/>
    <w:rsid w:val="001A74ED"/>
    <w:rsid w:val="001A7AE6"/>
    <w:rsid w:val="001B2DEC"/>
    <w:rsid w:val="001C17CD"/>
    <w:rsid w:val="001D1C1E"/>
    <w:rsid w:val="001D6591"/>
    <w:rsid w:val="001F32A4"/>
    <w:rsid w:val="00202855"/>
    <w:rsid w:val="00202B73"/>
    <w:rsid w:val="00211DEF"/>
    <w:rsid w:val="002277DE"/>
    <w:rsid w:val="00235004"/>
    <w:rsid w:val="00247132"/>
    <w:rsid w:val="0025044F"/>
    <w:rsid w:val="00255301"/>
    <w:rsid w:val="00256437"/>
    <w:rsid w:val="00272CED"/>
    <w:rsid w:val="00276825"/>
    <w:rsid w:val="00292155"/>
    <w:rsid w:val="0029639D"/>
    <w:rsid w:val="002A2D22"/>
    <w:rsid w:val="002A48BB"/>
    <w:rsid w:val="002A7956"/>
    <w:rsid w:val="002C1892"/>
    <w:rsid w:val="002C6880"/>
    <w:rsid w:val="002E4D0A"/>
    <w:rsid w:val="002E6188"/>
    <w:rsid w:val="002F0F04"/>
    <w:rsid w:val="002F477C"/>
    <w:rsid w:val="00304E13"/>
    <w:rsid w:val="00317124"/>
    <w:rsid w:val="0031731B"/>
    <w:rsid w:val="00326F90"/>
    <w:rsid w:val="00350F5C"/>
    <w:rsid w:val="003521DE"/>
    <w:rsid w:val="003530E1"/>
    <w:rsid w:val="00366E4D"/>
    <w:rsid w:val="00384E0E"/>
    <w:rsid w:val="00391271"/>
    <w:rsid w:val="00392A78"/>
    <w:rsid w:val="003A1966"/>
    <w:rsid w:val="003D7A22"/>
    <w:rsid w:val="004119F6"/>
    <w:rsid w:val="00421378"/>
    <w:rsid w:val="004217A5"/>
    <w:rsid w:val="004232E0"/>
    <w:rsid w:val="00434472"/>
    <w:rsid w:val="00437E9E"/>
    <w:rsid w:val="00445019"/>
    <w:rsid w:val="004545FE"/>
    <w:rsid w:val="00460059"/>
    <w:rsid w:val="00460138"/>
    <w:rsid w:val="004714A0"/>
    <w:rsid w:val="00476113"/>
    <w:rsid w:val="00480DCE"/>
    <w:rsid w:val="00480EC7"/>
    <w:rsid w:val="00487D22"/>
    <w:rsid w:val="004906A8"/>
    <w:rsid w:val="004B04C8"/>
    <w:rsid w:val="004B1483"/>
    <w:rsid w:val="004B3D66"/>
    <w:rsid w:val="004D40E1"/>
    <w:rsid w:val="004D5A54"/>
    <w:rsid w:val="004F40CE"/>
    <w:rsid w:val="004F7F8D"/>
    <w:rsid w:val="00517055"/>
    <w:rsid w:val="00527F8A"/>
    <w:rsid w:val="0053031B"/>
    <w:rsid w:val="0053228E"/>
    <w:rsid w:val="00555B2F"/>
    <w:rsid w:val="00572E78"/>
    <w:rsid w:val="00573292"/>
    <w:rsid w:val="00573971"/>
    <w:rsid w:val="00575E4E"/>
    <w:rsid w:val="00576248"/>
    <w:rsid w:val="00577111"/>
    <w:rsid w:val="005859AC"/>
    <w:rsid w:val="005905A2"/>
    <w:rsid w:val="00591FD2"/>
    <w:rsid w:val="00597670"/>
    <w:rsid w:val="005E1338"/>
    <w:rsid w:val="005E3517"/>
    <w:rsid w:val="005E3E32"/>
    <w:rsid w:val="005F40B9"/>
    <w:rsid w:val="006278D1"/>
    <w:rsid w:val="00664132"/>
    <w:rsid w:val="0066453C"/>
    <w:rsid w:val="00664A48"/>
    <w:rsid w:val="00665FA3"/>
    <w:rsid w:val="006757A7"/>
    <w:rsid w:val="00686015"/>
    <w:rsid w:val="006904F8"/>
    <w:rsid w:val="006D0D7D"/>
    <w:rsid w:val="006D184C"/>
    <w:rsid w:val="006D3892"/>
    <w:rsid w:val="006D4724"/>
    <w:rsid w:val="006D69F5"/>
    <w:rsid w:val="006E3705"/>
    <w:rsid w:val="006F6A5D"/>
    <w:rsid w:val="0070088B"/>
    <w:rsid w:val="00704547"/>
    <w:rsid w:val="00723C57"/>
    <w:rsid w:val="00724351"/>
    <w:rsid w:val="00735692"/>
    <w:rsid w:val="00737F77"/>
    <w:rsid w:val="00744052"/>
    <w:rsid w:val="007442FA"/>
    <w:rsid w:val="0074709D"/>
    <w:rsid w:val="007505EC"/>
    <w:rsid w:val="00751A98"/>
    <w:rsid w:val="00755AF7"/>
    <w:rsid w:val="007563AB"/>
    <w:rsid w:val="00757005"/>
    <w:rsid w:val="00773C9C"/>
    <w:rsid w:val="00775A40"/>
    <w:rsid w:val="00794077"/>
    <w:rsid w:val="007A2D71"/>
    <w:rsid w:val="007C5E9D"/>
    <w:rsid w:val="007D71D2"/>
    <w:rsid w:val="007E032E"/>
    <w:rsid w:val="007F3EC2"/>
    <w:rsid w:val="007F5125"/>
    <w:rsid w:val="007F6EC1"/>
    <w:rsid w:val="00802B16"/>
    <w:rsid w:val="00804572"/>
    <w:rsid w:val="008052BF"/>
    <w:rsid w:val="008064B7"/>
    <w:rsid w:val="00807A36"/>
    <w:rsid w:val="0081144E"/>
    <w:rsid w:val="00815431"/>
    <w:rsid w:val="0082069E"/>
    <w:rsid w:val="00826DBE"/>
    <w:rsid w:val="00830487"/>
    <w:rsid w:val="00835B07"/>
    <w:rsid w:val="00840B5D"/>
    <w:rsid w:val="008423D5"/>
    <w:rsid w:val="008424F4"/>
    <w:rsid w:val="00846852"/>
    <w:rsid w:val="008469C1"/>
    <w:rsid w:val="00847C8F"/>
    <w:rsid w:val="0085772D"/>
    <w:rsid w:val="00860E7F"/>
    <w:rsid w:val="00867FF7"/>
    <w:rsid w:val="00870F0C"/>
    <w:rsid w:val="00872DE4"/>
    <w:rsid w:val="00873AD2"/>
    <w:rsid w:val="00874752"/>
    <w:rsid w:val="0087493A"/>
    <w:rsid w:val="008777F2"/>
    <w:rsid w:val="00882AAB"/>
    <w:rsid w:val="00883972"/>
    <w:rsid w:val="00884F2C"/>
    <w:rsid w:val="00885359"/>
    <w:rsid w:val="00893651"/>
    <w:rsid w:val="00894651"/>
    <w:rsid w:val="00897427"/>
    <w:rsid w:val="008A2D9D"/>
    <w:rsid w:val="008B4B66"/>
    <w:rsid w:val="008B558F"/>
    <w:rsid w:val="008D00B4"/>
    <w:rsid w:val="008E6D39"/>
    <w:rsid w:val="00922A4B"/>
    <w:rsid w:val="009247AE"/>
    <w:rsid w:val="00927403"/>
    <w:rsid w:val="0093390D"/>
    <w:rsid w:val="00947CB1"/>
    <w:rsid w:val="00957D2B"/>
    <w:rsid w:val="00966952"/>
    <w:rsid w:val="00970418"/>
    <w:rsid w:val="00983087"/>
    <w:rsid w:val="00984844"/>
    <w:rsid w:val="009859E2"/>
    <w:rsid w:val="00991D85"/>
    <w:rsid w:val="009A134E"/>
    <w:rsid w:val="009C2D69"/>
    <w:rsid w:val="009C6352"/>
    <w:rsid w:val="009D3B16"/>
    <w:rsid w:val="009D5098"/>
    <w:rsid w:val="009E38A3"/>
    <w:rsid w:val="009F0E3B"/>
    <w:rsid w:val="00A10E8A"/>
    <w:rsid w:val="00A236AD"/>
    <w:rsid w:val="00A63134"/>
    <w:rsid w:val="00A714BF"/>
    <w:rsid w:val="00A866FE"/>
    <w:rsid w:val="00A87D3E"/>
    <w:rsid w:val="00A92C18"/>
    <w:rsid w:val="00AA1D8D"/>
    <w:rsid w:val="00AC3AA8"/>
    <w:rsid w:val="00AD1576"/>
    <w:rsid w:val="00AD3196"/>
    <w:rsid w:val="00AD74AB"/>
    <w:rsid w:val="00AE220F"/>
    <w:rsid w:val="00AE630B"/>
    <w:rsid w:val="00AF3BE7"/>
    <w:rsid w:val="00AF4311"/>
    <w:rsid w:val="00B00A1A"/>
    <w:rsid w:val="00B01AB9"/>
    <w:rsid w:val="00B026F2"/>
    <w:rsid w:val="00B10DCC"/>
    <w:rsid w:val="00B171D4"/>
    <w:rsid w:val="00B251C4"/>
    <w:rsid w:val="00B25DE6"/>
    <w:rsid w:val="00B33B93"/>
    <w:rsid w:val="00B33D17"/>
    <w:rsid w:val="00B41C30"/>
    <w:rsid w:val="00B44DE7"/>
    <w:rsid w:val="00B47730"/>
    <w:rsid w:val="00B57B14"/>
    <w:rsid w:val="00B61F6A"/>
    <w:rsid w:val="00B67318"/>
    <w:rsid w:val="00B75C28"/>
    <w:rsid w:val="00B90AA5"/>
    <w:rsid w:val="00B96EB1"/>
    <w:rsid w:val="00BA0FEA"/>
    <w:rsid w:val="00BB24A9"/>
    <w:rsid w:val="00BB45B3"/>
    <w:rsid w:val="00BC020F"/>
    <w:rsid w:val="00BC12C5"/>
    <w:rsid w:val="00BC1C59"/>
    <w:rsid w:val="00BD1FCD"/>
    <w:rsid w:val="00BD285C"/>
    <w:rsid w:val="00BE0641"/>
    <w:rsid w:val="00BE1726"/>
    <w:rsid w:val="00BF63C3"/>
    <w:rsid w:val="00C4026A"/>
    <w:rsid w:val="00C54997"/>
    <w:rsid w:val="00C63BBE"/>
    <w:rsid w:val="00C667EB"/>
    <w:rsid w:val="00C70253"/>
    <w:rsid w:val="00C94345"/>
    <w:rsid w:val="00CA19D9"/>
    <w:rsid w:val="00CA1E37"/>
    <w:rsid w:val="00CA30F4"/>
    <w:rsid w:val="00CB0664"/>
    <w:rsid w:val="00CB4963"/>
    <w:rsid w:val="00CC0925"/>
    <w:rsid w:val="00CE3DEC"/>
    <w:rsid w:val="00CE7B81"/>
    <w:rsid w:val="00D01554"/>
    <w:rsid w:val="00D0202E"/>
    <w:rsid w:val="00D05B14"/>
    <w:rsid w:val="00D065C4"/>
    <w:rsid w:val="00D14F83"/>
    <w:rsid w:val="00D20026"/>
    <w:rsid w:val="00D26C3E"/>
    <w:rsid w:val="00D31FA3"/>
    <w:rsid w:val="00D34B6C"/>
    <w:rsid w:val="00D563C3"/>
    <w:rsid w:val="00D6490A"/>
    <w:rsid w:val="00D65AD3"/>
    <w:rsid w:val="00D73643"/>
    <w:rsid w:val="00D73F66"/>
    <w:rsid w:val="00D75445"/>
    <w:rsid w:val="00D90E43"/>
    <w:rsid w:val="00DA0355"/>
    <w:rsid w:val="00DD304C"/>
    <w:rsid w:val="00DD32E3"/>
    <w:rsid w:val="00DE4CDA"/>
    <w:rsid w:val="00DE51E2"/>
    <w:rsid w:val="00DF5FC8"/>
    <w:rsid w:val="00E033D7"/>
    <w:rsid w:val="00E1338D"/>
    <w:rsid w:val="00E321E3"/>
    <w:rsid w:val="00E32907"/>
    <w:rsid w:val="00E41523"/>
    <w:rsid w:val="00E51DA4"/>
    <w:rsid w:val="00E714EC"/>
    <w:rsid w:val="00E716D1"/>
    <w:rsid w:val="00E73521"/>
    <w:rsid w:val="00E821EB"/>
    <w:rsid w:val="00E83FF7"/>
    <w:rsid w:val="00E84008"/>
    <w:rsid w:val="00EB18B8"/>
    <w:rsid w:val="00EE1807"/>
    <w:rsid w:val="00EE1E6A"/>
    <w:rsid w:val="00EE436B"/>
    <w:rsid w:val="00EF454B"/>
    <w:rsid w:val="00EF6710"/>
    <w:rsid w:val="00F0020B"/>
    <w:rsid w:val="00F059B2"/>
    <w:rsid w:val="00F15CFA"/>
    <w:rsid w:val="00F41739"/>
    <w:rsid w:val="00F5008C"/>
    <w:rsid w:val="00F62A9A"/>
    <w:rsid w:val="00F64F57"/>
    <w:rsid w:val="00F665BB"/>
    <w:rsid w:val="00F72477"/>
    <w:rsid w:val="00F91366"/>
    <w:rsid w:val="00F97173"/>
    <w:rsid w:val="00FA668A"/>
    <w:rsid w:val="00FB289B"/>
    <w:rsid w:val="00FC576E"/>
    <w:rsid w:val="00FC693F"/>
    <w:rsid w:val="00FE2244"/>
    <w:rsid w:val="00FE65A5"/>
    <w:rsid w:val="00FE6BAB"/>
    <w:rsid w:val="00FF497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41"/>
    <o:shapelayout v:ext="edit">
      <o:idmap v:ext="edit" data="1"/>
    </o:shapelayout>
  </w:shapeDefaults>
  <w:decimalSymbol w:val="."/>
  <w:listSeparator w:val=","/>
  <w14:docId w14:val="36AC511F"/>
  <w14:defaultImageDpi w14:val="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74ED"/>
    <w:pPr>
      <w:spacing w:after="120" w:line="360" w:lineRule="auto"/>
      <w:jc w:val="both"/>
    </w:pPr>
    <w:rPr>
      <w:rFonts w:ascii="Arial" w:eastAsia="Times New Roman" w:hAnsi="Arial" w:cs="Arial"/>
    </w:rPr>
  </w:style>
  <w:style w:type="paragraph" w:styleId="Heading1">
    <w:name w:val="heading 1"/>
    <w:basedOn w:val="Normal"/>
    <w:next w:val="Normal"/>
    <w:link w:val="Heading1Char"/>
    <w:uiPriority w:val="9"/>
    <w:qFormat/>
    <w:rsid w:val="00F5008C"/>
    <w:pPr>
      <w:jc w:val="center"/>
      <w:outlineLvl w:val="0"/>
    </w:pPr>
    <w:rPr>
      <w:b/>
      <w:bCs/>
      <w:sz w:val="32"/>
      <w:szCs w:val="28"/>
    </w:rPr>
  </w:style>
  <w:style w:type="paragraph" w:styleId="Heading2">
    <w:name w:val="heading 2"/>
    <w:basedOn w:val="Normal"/>
    <w:next w:val="Normal"/>
    <w:link w:val="Heading2Char"/>
    <w:uiPriority w:val="9"/>
    <w:unhideWhenUsed/>
    <w:qFormat/>
    <w:rsid w:val="00F5008C"/>
    <w:pPr>
      <w:keepNext/>
      <w:keepLines/>
      <w:spacing w:before="160" w:after="80"/>
      <w:outlineLvl w:val="1"/>
    </w:pPr>
    <w:rPr>
      <w:rFonts w:eastAsiaTheme="majorEastAsia"/>
      <w:b/>
      <w:bCs/>
      <w:sz w:val="28"/>
      <w:szCs w:val="28"/>
    </w:rPr>
  </w:style>
  <w:style w:type="paragraph" w:styleId="Heading3">
    <w:name w:val="heading 3"/>
    <w:basedOn w:val="Normal"/>
    <w:next w:val="Normal"/>
    <w:link w:val="Heading3Char"/>
    <w:uiPriority w:val="9"/>
    <w:unhideWhenUsed/>
    <w:qFormat/>
    <w:rsid w:val="00BA0FEA"/>
    <w:pPr>
      <w:keepNext/>
      <w:keepLines/>
      <w:spacing w:before="160" w:after="80"/>
      <w:outlineLvl w:val="2"/>
    </w:pPr>
    <w:rPr>
      <w:rFonts w:eastAsiaTheme="majorEastAsia"/>
      <w:b/>
      <w:bCs/>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5008C"/>
    <w:rPr>
      <w:rFonts w:ascii="Arial" w:eastAsia="Times New Roman" w:hAnsi="Arial" w:cs="Arial"/>
      <w:b/>
      <w:bCs/>
      <w:sz w:val="32"/>
      <w:szCs w:val="28"/>
    </w:rPr>
  </w:style>
  <w:style w:type="character" w:customStyle="1" w:styleId="Heading2Char">
    <w:name w:val="Heading 2 Char"/>
    <w:basedOn w:val="DefaultParagraphFont"/>
    <w:link w:val="Heading2"/>
    <w:uiPriority w:val="9"/>
    <w:rsid w:val="00F5008C"/>
    <w:rPr>
      <w:rFonts w:ascii="Arial" w:eastAsiaTheme="majorEastAsia" w:hAnsi="Arial" w:cs="Arial"/>
      <w:b/>
      <w:bCs/>
      <w:sz w:val="28"/>
      <w:szCs w:val="28"/>
    </w:rPr>
  </w:style>
  <w:style w:type="character" w:customStyle="1" w:styleId="Heading3Char">
    <w:name w:val="Heading 3 Char"/>
    <w:basedOn w:val="DefaultParagraphFont"/>
    <w:link w:val="Heading3"/>
    <w:uiPriority w:val="9"/>
    <w:rsid w:val="00BA0FEA"/>
    <w:rPr>
      <w:rFonts w:ascii="Arial" w:eastAsiaTheme="majorEastAsia" w:hAnsi="Arial" w:cs="Arial"/>
      <w:b/>
      <w:bCs/>
      <w:sz w:val="24"/>
    </w:rPr>
  </w:style>
  <w:style w:type="paragraph" w:styleId="Title">
    <w:name w:val="Title"/>
    <w:basedOn w:val="Normal"/>
    <w:next w:val="Normal"/>
    <w:link w:val="TitleChar"/>
    <w:uiPriority w:val="10"/>
    <w:qFormat/>
    <w:rsid w:val="00FC693F"/>
    <w:pPr>
      <w:pBdr>
        <w:bottom w:val="single" w:sz="8" w:space="4" w:color="4F81BD" w:themeColor="accent1"/>
      </w:pBdr>
      <w:spacing w:before="160" w:after="80" w:line="240" w:lineRule="auto"/>
      <w:contextualSpacing/>
    </w:pPr>
    <w:rPr>
      <w:rFonts w:asciiTheme="majorHAnsi" w:eastAsiaTheme="majorEastAsia" w:hAnsiTheme="majorHAnsi" w:cstheme="majorBidi"/>
      <w:b/>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Caption">
    <w:name w:val="Table Caption"/>
    <w:pPr>
      <w:spacing w:before="120" w:after="60"/>
    </w:pPr>
    <w:rPr>
      <w:rFonts w:ascii="Times New Roman" w:eastAsia="Times New Roman" w:hAnsi="Times New Roman"/>
      <w:b/>
      <w:sz w:val="20"/>
    </w:rPr>
  </w:style>
  <w:style w:type="paragraph" w:styleId="TOC1">
    <w:name w:val="toc 1"/>
    <w:basedOn w:val="Normal"/>
    <w:next w:val="Normal"/>
    <w:autoRedefine/>
    <w:uiPriority w:val="39"/>
    <w:unhideWhenUsed/>
    <w:rsid w:val="00146025"/>
    <w:pPr>
      <w:spacing w:after="100"/>
    </w:pPr>
  </w:style>
  <w:style w:type="paragraph" w:styleId="TOC2">
    <w:name w:val="toc 2"/>
    <w:basedOn w:val="Normal"/>
    <w:next w:val="Normal"/>
    <w:autoRedefine/>
    <w:uiPriority w:val="39"/>
    <w:unhideWhenUsed/>
    <w:rsid w:val="00146025"/>
    <w:pPr>
      <w:spacing w:after="100"/>
      <w:ind w:left="240"/>
    </w:pPr>
  </w:style>
  <w:style w:type="character" w:styleId="Hyperlink">
    <w:name w:val="Hyperlink"/>
    <w:basedOn w:val="DefaultParagraphFont"/>
    <w:uiPriority w:val="99"/>
    <w:unhideWhenUsed/>
    <w:rsid w:val="00146025"/>
    <w:rPr>
      <w:color w:val="0000FF" w:themeColor="hyperlink"/>
      <w:u w:val="single"/>
    </w:rPr>
  </w:style>
  <w:style w:type="character" w:styleId="UnresolvedMention">
    <w:name w:val="Unresolved Mention"/>
    <w:basedOn w:val="DefaultParagraphFont"/>
    <w:uiPriority w:val="99"/>
    <w:semiHidden/>
    <w:unhideWhenUsed/>
    <w:rsid w:val="00B41C30"/>
    <w:rPr>
      <w:color w:val="605E5C"/>
      <w:shd w:val="clear" w:color="auto" w:fill="E1DFDD"/>
    </w:rPr>
  </w:style>
  <w:style w:type="paragraph" w:styleId="TOC3">
    <w:name w:val="toc 3"/>
    <w:basedOn w:val="Normal"/>
    <w:next w:val="Normal"/>
    <w:autoRedefine/>
    <w:uiPriority w:val="39"/>
    <w:unhideWhenUsed/>
    <w:rsid w:val="00480DC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4177">
      <w:bodyDiv w:val="1"/>
      <w:marLeft w:val="0"/>
      <w:marRight w:val="0"/>
      <w:marTop w:val="0"/>
      <w:marBottom w:val="0"/>
      <w:divBdr>
        <w:top w:val="none" w:sz="0" w:space="0" w:color="auto"/>
        <w:left w:val="none" w:sz="0" w:space="0" w:color="auto"/>
        <w:bottom w:val="none" w:sz="0" w:space="0" w:color="auto"/>
        <w:right w:val="none" w:sz="0" w:space="0" w:color="auto"/>
      </w:divBdr>
    </w:div>
    <w:div w:id="6252137">
      <w:bodyDiv w:val="1"/>
      <w:marLeft w:val="0"/>
      <w:marRight w:val="0"/>
      <w:marTop w:val="0"/>
      <w:marBottom w:val="0"/>
      <w:divBdr>
        <w:top w:val="none" w:sz="0" w:space="0" w:color="auto"/>
        <w:left w:val="none" w:sz="0" w:space="0" w:color="auto"/>
        <w:bottom w:val="none" w:sz="0" w:space="0" w:color="auto"/>
        <w:right w:val="none" w:sz="0" w:space="0" w:color="auto"/>
      </w:divBdr>
    </w:div>
    <w:div w:id="11344136">
      <w:bodyDiv w:val="1"/>
      <w:marLeft w:val="0"/>
      <w:marRight w:val="0"/>
      <w:marTop w:val="0"/>
      <w:marBottom w:val="0"/>
      <w:divBdr>
        <w:top w:val="none" w:sz="0" w:space="0" w:color="auto"/>
        <w:left w:val="none" w:sz="0" w:space="0" w:color="auto"/>
        <w:bottom w:val="none" w:sz="0" w:space="0" w:color="auto"/>
        <w:right w:val="none" w:sz="0" w:space="0" w:color="auto"/>
      </w:divBdr>
    </w:div>
    <w:div w:id="19859161">
      <w:bodyDiv w:val="1"/>
      <w:marLeft w:val="0"/>
      <w:marRight w:val="0"/>
      <w:marTop w:val="0"/>
      <w:marBottom w:val="0"/>
      <w:divBdr>
        <w:top w:val="none" w:sz="0" w:space="0" w:color="auto"/>
        <w:left w:val="none" w:sz="0" w:space="0" w:color="auto"/>
        <w:bottom w:val="none" w:sz="0" w:space="0" w:color="auto"/>
        <w:right w:val="none" w:sz="0" w:space="0" w:color="auto"/>
      </w:divBdr>
    </w:div>
    <w:div w:id="22439843">
      <w:bodyDiv w:val="1"/>
      <w:marLeft w:val="0"/>
      <w:marRight w:val="0"/>
      <w:marTop w:val="0"/>
      <w:marBottom w:val="0"/>
      <w:divBdr>
        <w:top w:val="none" w:sz="0" w:space="0" w:color="auto"/>
        <w:left w:val="none" w:sz="0" w:space="0" w:color="auto"/>
        <w:bottom w:val="none" w:sz="0" w:space="0" w:color="auto"/>
        <w:right w:val="none" w:sz="0" w:space="0" w:color="auto"/>
      </w:divBdr>
    </w:div>
    <w:div w:id="86584111">
      <w:bodyDiv w:val="1"/>
      <w:marLeft w:val="0"/>
      <w:marRight w:val="0"/>
      <w:marTop w:val="0"/>
      <w:marBottom w:val="0"/>
      <w:divBdr>
        <w:top w:val="none" w:sz="0" w:space="0" w:color="auto"/>
        <w:left w:val="none" w:sz="0" w:space="0" w:color="auto"/>
        <w:bottom w:val="none" w:sz="0" w:space="0" w:color="auto"/>
        <w:right w:val="none" w:sz="0" w:space="0" w:color="auto"/>
      </w:divBdr>
      <w:divsChild>
        <w:div w:id="1695886950">
          <w:marLeft w:val="0"/>
          <w:marRight w:val="0"/>
          <w:marTop w:val="0"/>
          <w:marBottom w:val="0"/>
          <w:divBdr>
            <w:top w:val="none" w:sz="0" w:space="0" w:color="auto"/>
            <w:left w:val="none" w:sz="0" w:space="0" w:color="auto"/>
            <w:bottom w:val="none" w:sz="0" w:space="0" w:color="auto"/>
            <w:right w:val="none" w:sz="0" w:space="0" w:color="auto"/>
          </w:divBdr>
          <w:divsChild>
            <w:div w:id="1731224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710561">
      <w:bodyDiv w:val="1"/>
      <w:marLeft w:val="0"/>
      <w:marRight w:val="0"/>
      <w:marTop w:val="0"/>
      <w:marBottom w:val="0"/>
      <w:divBdr>
        <w:top w:val="none" w:sz="0" w:space="0" w:color="auto"/>
        <w:left w:val="none" w:sz="0" w:space="0" w:color="auto"/>
        <w:bottom w:val="none" w:sz="0" w:space="0" w:color="auto"/>
        <w:right w:val="none" w:sz="0" w:space="0" w:color="auto"/>
      </w:divBdr>
    </w:div>
    <w:div w:id="169372357">
      <w:bodyDiv w:val="1"/>
      <w:marLeft w:val="0"/>
      <w:marRight w:val="0"/>
      <w:marTop w:val="0"/>
      <w:marBottom w:val="0"/>
      <w:divBdr>
        <w:top w:val="none" w:sz="0" w:space="0" w:color="auto"/>
        <w:left w:val="none" w:sz="0" w:space="0" w:color="auto"/>
        <w:bottom w:val="none" w:sz="0" w:space="0" w:color="auto"/>
        <w:right w:val="none" w:sz="0" w:space="0" w:color="auto"/>
      </w:divBdr>
    </w:div>
    <w:div w:id="210114744">
      <w:bodyDiv w:val="1"/>
      <w:marLeft w:val="0"/>
      <w:marRight w:val="0"/>
      <w:marTop w:val="0"/>
      <w:marBottom w:val="0"/>
      <w:divBdr>
        <w:top w:val="none" w:sz="0" w:space="0" w:color="auto"/>
        <w:left w:val="none" w:sz="0" w:space="0" w:color="auto"/>
        <w:bottom w:val="none" w:sz="0" w:space="0" w:color="auto"/>
        <w:right w:val="none" w:sz="0" w:space="0" w:color="auto"/>
      </w:divBdr>
    </w:div>
    <w:div w:id="227228008">
      <w:bodyDiv w:val="1"/>
      <w:marLeft w:val="0"/>
      <w:marRight w:val="0"/>
      <w:marTop w:val="0"/>
      <w:marBottom w:val="0"/>
      <w:divBdr>
        <w:top w:val="none" w:sz="0" w:space="0" w:color="auto"/>
        <w:left w:val="none" w:sz="0" w:space="0" w:color="auto"/>
        <w:bottom w:val="none" w:sz="0" w:space="0" w:color="auto"/>
        <w:right w:val="none" w:sz="0" w:space="0" w:color="auto"/>
      </w:divBdr>
    </w:div>
    <w:div w:id="227351626">
      <w:bodyDiv w:val="1"/>
      <w:marLeft w:val="0"/>
      <w:marRight w:val="0"/>
      <w:marTop w:val="0"/>
      <w:marBottom w:val="0"/>
      <w:divBdr>
        <w:top w:val="none" w:sz="0" w:space="0" w:color="auto"/>
        <w:left w:val="none" w:sz="0" w:space="0" w:color="auto"/>
        <w:bottom w:val="none" w:sz="0" w:space="0" w:color="auto"/>
        <w:right w:val="none" w:sz="0" w:space="0" w:color="auto"/>
      </w:divBdr>
    </w:div>
    <w:div w:id="264190706">
      <w:bodyDiv w:val="1"/>
      <w:marLeft w:val="0"/>
      <w:marRight w:val="0"/>
      <w:marTop w:val="0"/>
      <w:marBottom w:val="0"/>
      <w:divBdr>
        <w:top w:val="none" w:sz="0" w:space="0" w:color="auto"/>
        <w:left w:val="none" w:sz="0" w:space="0" w:color="auto"/>
        <w:bottom w:val="none" w:sz="0" w:space="0" w:color="auto"/>
        <w:right w:val="none" w:sz="0" w:space="0" w:color="auto"/>
      </w:divBdr>
    </w:div>
    <w:div w:id="265382561">
      <w:bodyDiv w:val="1"/>
      <w:marLeft w:val="0"/>
      <w:marRight w:val="0"/>
      <w:marTop w:val="0"/>
      <w:marBottom w:val="0"/>
      <w:divBdr>
        <w:top w:val="none" w:sz="0" w:space="0" w:color="auto"/>
        <w:left w:val="none" w:sz="0" w:space="0" w:color="auto"/>
        <w:bottom w:val="none" w:sz="0" w:space="0" w:color="auto"/>
        <w:right w:val="none" w:sz="0" w:space="0" w:color="auto"/>
      </w:divBdr>
    </w:div>
    <w:div w:id="295381272">
      <w:bodyDiv w:val="1"/>
      <w:marLeft w:val="0"/>
      <w:marRight w:val="0"/>
      <w:marTop w:val="0"/>
      <w:marBottom w:val="0"/>
      <w:divBdr>
        <w:top w:val="none" w:sz="0" w:space="0" w:color="auto"/>
        <w:left w:val="none" w:sz="0" w:space="0" w:color="auto"/>
        <w:bottom w:val="none" w:sz="0" w:space="0" w:color="auto"/>
        <w:right w:val="none" w:sz="0" w:space="0" w:color="auto"/>
      </w:divBdr>
    </w:div>
    <w:div w:id="296376392">
      <w:bodyDiv w:val="1"/>
      <w:marLeft w:val="0"/>
      <w:marRight w:val="0"/>
      <w:marTop w:val="0"/>
      <w:marBottom w:val="0"/>
      <w:divBdr>
        <w:top w:val="none" w:sz="0" w:space="0" w:color="auto"/>
        <w:left w:val="none" w:sz="0" w:space="0" w:color="auto"/>
        <w:bottom w:val="none" w:sz="0" w:space="0" w:color="auto"/>
        <w:right w:val="none" w:sz="0" w:space="0" w:color="auto"/>
      </w:divBdr>
    </w:div>
    <w:div w:id="307436463">
      <w:bodyDiv w:val="1"/>
      <w:marLeft w:val="0"/>
      <w:marRight w:val="0"/>
      <w:marTop w:val="0"/>
      <w:marBottom w:val="0"/>
      <w:divBdr>
        <w:top w:val="none" w:sz="0" w:space="0" w:color="auto"/>
        <w:left w:val="none" w:sz="0" w:space="0" w:color="auto"/>
        <w:bottom w:val="none" w:sz="0" w:space="0" w:color="auto"/>
        <w:right w:val="none" w:sz="0" w:space="0" w:color="auto"/>
      </w:divBdr>
      <w:divsChild>
        <w:div w:id="123281216">
          <w:marLeft w:val="0"/>
          <w:marRight w:val="0"/>
          <w:marTop w:val="0"/>
          <w:marBottom w:val="0"/>
          <w:divBdr>
            <w:top w:val="none" w:sz="0" w:space="0" w:color="auto"/>
            <w:left w:val="none" w:sz="0" w:space="0" w:color="auto"/>
            <w:bottom w:val="none" w:sz="0" w:space="0" w:color="auto"/>
            <w:right w:val="none" w:sz="0" w:space="0" w:color="auto"/>
          </w:divBdr>
          <w:divsChild>
            <w:div w:id="1142501089">
              <w:marLeft w:val="0"/>
              <w:marRight w:val="0"/>
              <w:marTop w:val="0"/>
              <w:marBottom w:val="0"/>
              <w:divBdr>
                <w:top w:val="none" w:sz="0" w:space="0" w:color="auto"/>
                <w:left w:val="none" w:sz="0" w:space="0" w:color="auto"/>
                <w:bottom w:val="none" w:sz="0" w:space="0" w:color="auto"/>
                <w:right w:val="none" w:sz="0" w:space="0" w:color="auto"/>
              </w:divBdr>
            </w:div>
          </w:divsChild>
        </w:div>
        <w:div w:id="1985156459">
          <w:marLeft w:val="0"/>
          <w:marRight w:val="0"/>
          <w:marTop w:val="0"/>
          <w:marBottom w:val="0"/>
          <w:divBdr>
            <w:top w:val="none" w:sz="0" w:space="0" w:color="auto"/>
            <w:left w:val="none" w:sz="0" w:space="0" w:color="auto"/>
            <w:bottom w:val="none" w:sz="0" w:space="0" w:color="auto"/>
            <w:right w:val="none" w:sz="0" w:space="0" w:color="auto"/>
          </w:divBdr>
          <w:divsChild>
            <w:div w:id="1842886236">
              <w:marLeft w:val="0"/>
              <w:marRight w:val="0"/>
              <w:marTop w:val="0"/>
              <w:marBottom w:val="0"/>
              <w:divBdr>
                <w:top w:val="none" w:sz="0" w:space="0" w:color="auto"/>
                <w:left w:val="none" w:sz="0" w:space="0" w:color="auto"/>
                <w:bottom w:val="none" w:sz="0" w:space="0" w:color="auto"/>
                <w:right w:val="none" w:sz="0" w:space="0" w:color="auto"/>
              </w:divBdr>
            </w:div>
          </w:divsChild>
        </w:div>
        <w:div w:id="1992950625">
          <w:marLeft w:val="0"/>
          <w:marRight w:val="0"/>
          <w:marTop w:val="0"/>
          <w:marBottom w:val="0"/>
          <w:divBdr>
            <w:top w:val="none" w:sz="0" w:space="0" w:color="auto"/>
            <w:left w:val="none" w:sz="0" w:space="0" w:color="auto"/>
            <w:bottom w:val="none" w:sz="0" w:space="0" w:color="auto"/>
            <w:right w:val="none" w:sz="0" w:space="0" w:color="auto"/>
          </w:divBdr>
          <w:divsChild>
            <w:div w:id="397485525">
              <w:marLeft w:val="0"/>
              <w:marRight w:val="0"/>
              <w:marTop w:val="0"/>
              <w:marBottom w:val="0"/>
              <w:divBdr>
                <w:top w:val="none" w:sz="0" w:space="0" w:color="auto"/>
                <w:left w:val="none" w:sz="0" w:space="0" w:color="auto"/>
                <w:bottom w:val="none" w:sz="0" w:space="0" w:color="auto"/>
                <w:right w:val="none" w:sz="0" w:space="0" w:color="auto"/>
              </w:divBdr>
            </w:div>
          </w:divsChild>
        </w:div>
        <w:div w:id="1296596534">
          <w:marLeft w:val="0"/>
          <w:marRight w:val="0"/>
          <w:marTop w:val="0"/>
          <w:marBottom w:val="0"/>
          <w:divBdr>
            <w:top w:val="none" w:sz="0" w:space="0" w:color="auto"/>
            <w:left w:val="none" w:sz="0" w:space="0" w:color="auto"/>
            <w:bottom w:val="none" w:sz="0" w:space="0" w:color="auto"/>
            <w:right w:val="none" w:sz="0" w:space="0" w:color="auto"/>
          </w:divBdr>
          <w:divsChild>
            <w:div w:id="1044215178">
              <w:marLeft w:val="0"/>
              <w:marRight w:val="0"/>
              <w:marTop w:val="0"/>
              <w:marBottom w:val="0"/>
              <w:divBdr>
                <w:top w:val="none" w:sz="0" w:space="0" w:color="auto"/>
                <w:left w:val="none" w:sz="0" w:space="0" w:color="auto"/>
                <w:bottom w:val="none" w:sz="0" w:space="0" w:color="auto"/>
                <w:right w:val="none" w:sz="0" w:space="0" w:color="auto"/>
              </w:divBdr>
            </w:div>
          </w:divsChild>
        </w:div>
        <w:div w:id="1217012905">
          <w:marLeft w:val="0"/>
          <w:marRight w:val="0"/>
          <w:marTop w:val="0"/>
          <w:marBottom w:val="0"/>
          <w:divBdr>
            <w:top w:val="none" w:sz="0" w:space="0" w:color="auto"/>
            <w:left w:val="none" w:sz="0" w:space="0" w:color="auto"/>
            <w:bottom w:val="none" w:sz="0" w:space="0" w:color="auto"/>
            <w:right w:val="none" w:sz="0" w:space="0" w:color="auto"/>
          </w:divBdr>
          <w:divsChild>
            <w:div w:id="1277643303">
              <w:marLeft w:val="0"/>
              <w:marRight w:val="0"/>
              <w:marTop w:val="0"/>
              <w:marBottom w:val="0"/>
              <w:divBdr>
                <w:top w:val="none" w:sz="0" w:space="0" w:color="auto"/>
                <w:left w:val="none" w:sz="0" w:space="0" w:color="auto"/>
                <w:bottom w:val="none" w:sz="0" w:space="0" w:color="auto"/>
                <w:right w:val="none" w:sz="0" w:space="0" w:color="auto"/>
              </w:divBdr>
            </w:div>
          </w:divsChild>
        </w:div>
        <w:div w:id="108747738">
          <w:marLeft w:val="0"/>
          <w:marRight w:val="0"/>
          <w:marTop w:val="0"/>
          <w:marBottom w:val="0"/>
          <w:divBdr>
            <w:top w:val="none" w:sz="0" w:space="0" w:color="auto"/>
            <w:left w:val="none" w:sz="0" w:space="0" w:color="auto"/>
            <w:bottom w:val="none" w:sz="0" w:space="0" w:color="auto"/>
            <w:right w:val="none" w:sz="0" w:space="0" w:color="auto"/>
          </w:divBdr>
          <w:divsChild>
            <w:div w:id="1572691027">
              <w:marLeft w:val="0"/>
              <w:marRight w:val="0"/>
              <w:marTop w:val="0"/>
              <w:marBottom w:val="0"/>
              <w:divBdr>
                <w:top w:val="none" w:sz="0" w:space="0" w:color="auto"/>
                <w:left w:val="none" w:sz="0" w:space="0" w:color="auto"/>
                <w:bottom w:val="none" w:sz="0" w:space="0" w:color="auto"/>
                <w:right w:val="none" w:sz="0" w:space="0" w:color="auto"/>
              </w:divBdr>
            </w:div>
          </w:divsChild>
        </w:div>
        <w:div w:id="1086922888">
          <w:marLeft w:val="0"/>
          <w:marRight w:val="0"/>
          <w:marTop w:val="0"/>
          <w:marBottom w:val="0"/>
          <w:divBdr>
            <w:top w:val="none" w:sz="0" w:space="0" w:color="auto"/>
            <w:left w:val="none" w:sz="0" w:space="0" w:color="auto"/>
            <w:bottom w:val="none" w:sz="0" w:space="0" w:color="auto"/>
            <w:right w:val="none" w:sz="0" w:space="0" w:color="auto"/>
          </w:divBdr>
          <w:divsChild>
            <w:div w:id="550189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9133648">
      <w:bodyDiv w:val="1"/>
      <w:marLeft w:val="0"/>
      <w:marRight w:val="0"/>
      <w:marTop w:val="0"/>
      <w:marBottom w:val="0"/>
      <w:divBdr>
        <w:top w:val="none" w:sz="0" w:space="0" w:color="auto"/>
        <w:left w:val="none" w:sz="0" w:space="0" w:color="auto"/>
        <w:bottom w:val="none" w:sz="0" w:space="0" w:color="auto"/>
        <w:right w:val="none" w:sz="0" w:space="0" w:color="auto"/>
      </w:divBdr>
      <w:divsChild>
        <w:div w:id="845482969">
          <w:marLeft w:val="0"/>
          <w:marRight w:val="0"/>
          <w:marTop w:val="0"/>
          <w:marBottom w:val="0"/>
          <w:divBdr>
            <w:top w:val="none" w:sz="0" w:space="0" w:color="auto"/>
            <w:left w:val="none" w:sz="0" w:space="0" w:color="auto"/>
            <w:bottom w:val="none" w:sz="0" w:space="0" w:color="auto"/>
            <w:right w:val="none" w:sz="0" w:space="0" w:color="auto"/>
          </w:divBdr>
          <w:divsChild>
            <w:div w:id="707223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763692">
      <w:bodyDiv w:val="1"/>
      <w:marLeft w:val="0"/>
      <w:marRight w:val="0"/>
      <w:marTop w:val="0"/>
      <w:marBottom w:val="0"/>
      <w:divBdr>
        <w:top w:val="none" w:sz="0" w:space="0" w:color="auto"/>
        <w:left w:val="none" w:sz="0" w:space="0" w:color="auto"/>
        <w:bottom w:val="none" w:sz="0" w:space="0" w:color="auto"/>
        <w:right w:val="none" w:sz="0" w:space="0" w:color="auto"/>
      </w:divBdr>
    </w:div>
    <w:div w:id="416831996">
      <w:bodyDiv w:val="1"/>
      <w:marLeft w:val="0"/>
      <w:marRight w:val="0"/>
      <w:marTop w:val="0"/>
      <w:marBottom w:val="0"/>
      <w:divBdr>
        <w:top w:val="none" w:sz="0" w:space="0" w:color="auto"/>
        <w:left w:val="none" w:sz="0" w:space="0" w:color="auto"/>
        <w:bottom w:val="none" w:sz="0" w:space="0" w:color="auto"/>
        <w:right w:val="none" w:sz="0" w:space="0" w:color="auto"/>
      </w:divBdr>
    </w:div>
    <w:div w:id="470249844">
      <w:bodyDiv w:val="1"/>
      <w:marLeft w:val="0"/>
      <w:marRight w:val="0"/>
      <w:marTop w:val="0"/>
      <w:marBottom w:val="0"/>
      <w:divBdr>
        <w:top w:val="none" w:sz="0" w:space="0" w:color="auto"/>
        <w:left w:val="none" w:sz="0" w:space="0" w:color="auto"/>
        <w:bottom w:val="none" w:sz="0" w:space="0" w:color="auto"/>
        <w:right w:val="none" w:sz="0" w:space="0" w:color="auto"/>
      </w:divBdr>
    </w:div>
    <w:div w:id="504169177">
      <w:bodyDiv w:val="1"/>
      <w:marLeft w:val="0"/>
      <w:marRight w:val="0"/>
      <w:marTop w:val="0"/>
      <w:marBottom w:val="0"/>
      <w:divBdr>
        <w:top w:val="none" w:sz="0" w:space="0" w:color="auto"/>
        <w:left w:val="none" w:sz="0" w:space="0" w:color="auto"/>
        <w:bottom w:val="none" w:sz="0" w:space="0" w:color="auto"/>
        <w:right w:val="none" w:sz="0" w:space="0" w:color="auto"/>
      </w:divBdr>
    </w:div>
    <w:div w:id="505294200">
      <w:bodyDiv w:val="1"/>
      <w:marLeft w:val="0"/>
      <w:marRight w:val="0"/>
      <w:marTop w:val="0"/>
      <w:marBottom w:val="0"/>
      <w:divBdr>
        <w:top w:val="none" w:sz="0" w:space="0" w:color="auto"/>
        <w:left w:val="none" w:sz="0" w:space="0" w:color="auto"/>
        <w:bottom w:val="none" w:sz="0" w:space="0" w:color="auto"/>
        <w:right w:val="none" w:sz="0" w:space="0" w:color="auto"/>
      </w:divBdr>
    </w:div>
    <w:div w:id="505750347">
      <w:bodyDiv w:val="1"/>
      <w:marLeft w:val="0"/>
      <w:marRight w:val="0"/>
      <w:marTop w:val="0"/>
      <w:marBottom w:val="0"/>
      <w:divBdr>
        <w:top w:val="none" w:sz="0" w:space="0" w:color="auto"/>
        <w:left w:val="none" w:sz="0" w:space="0" w:color="auto"/>
        <w:bottom w:val="none" w:sz="0" w:space="0" w:color="auto"/>
        <w:right w:val="none" w:sz="0" w:space="0" w:color="auto"/>
      </w:divBdr>
    </w:div>
    <w:div w:id="506285765">
      <w:bodyDiv w:val="1"/>
      <w:marLeft w:val="0"/>
      <w:marRight w:val="0"/>
      <w:marTop w:val="0"/>
      <w:marBottom w:val="0"/>
      <w:divBdr>
        <w:top w:val="none" w:sz="0" w:space="0" w:color="auto"/>
        <w:left w:val="none" w:sz="0" w:space="0" w:color="auto"/>
        <w:bottom w:val="none" w:sz="0" w:space="0" w:color="auto"/>
        <w:right w:val="none" w:sz="0" w:space="0" w:color="auto"/>
      </w:divBdr>
    </w:div>
    <w:div w:id="516508934">
      <w:bodyDiv w:val="1"/>
      <w:marLeft w:val="0"/>
      <w:marRight w:val="0"/>
      <w:marTop w:val="0"/>
      <w:marBottom w:val="0"/>
      <w:divBdr>
        <w:top w:val="none" w:sz="0" w:space="0" w:color="auto"/>
        <w:left w:val="none" w:sz="0" w:space="0" w:color="auto"/>
        <w:bottom w:val="none" w:sz="0" w:space="0" w:color="auto"/>
        <w:right w:val="none" w:sz="0" w:space="0" w:color="auto"/>
      </w:divBdr>
    </w:div>
    <w:div w:id="539900043">
      <w:bodyDiv w:val="1"/>
      <w:marLeft w:val="0"/>
      <w:marRight w:val="0"/>
      <w:marTop w:val="0"/>
      <w:marBottom w:val="0"/>
      <w:divBdr>
        <w:top w:val="none" w:sz="0" w:space="0" w:color="auto"/>
        <w:left w:val="none" w:sz="0" w:space="0" w:color="auto"/>
        <w:bottom w:val="none" w:sz="0" w:space="0" w:color="auto"/>
        <w:right w:val="none" w:sz="0" w:space="0" w:color="auto"/>
      </w:divBdr>
    </w:div>
    <w:div w:id="595552299">
      <w:bodyDiv w:val="1"/>
      <w:marLeft w:val="0"/>
      <w:marRight w:val="0"/>
      <w:marTop w:val="0"/>
      <w:marBottom w:val="0"/>
      <w:divBdr>
        <w:top w:val="none" w:sz="0" w:space="0" w:color="auto"/>
        <w:left w:val="none" w:sz="0" w:space="0" w:color="auto"/>
        <w:bottom w:val="none" w:sz="0" w:space="0" w:color="auto"/>
        <w:right w:val="none" w:sz="0" w:space="0" w:color="auto"/>
      </w:divBdr>
    </w:div>
    <w:div w:id="612827999">
      <w:bodyDiv w:val="1"/>
      <w:marLeft w:val="0"/>
      <w:marRight w:val="0"/>
      <w:marTop w:val="0"/>
      <w:marBottom w:val="0"/>
      <w:divBdr>
        <w:top w:val="none" w:sz="0" w:space="0" w:color="auto"/>
        <w:left w:val="none" w:sz="0" w:space="0" w:color="auto"/>
        <w:bottom w:val="none" w:sz="0" w:space="0" w:color="auto"/>
        <w:right w:val="none" w:sz="0" w:space="0" w:color="auto"/>
      </w:divBdr>
    </w:div>
    <w:div w:id="623583119">
      <w:bodyDiv w:val="1"/>
      <w:marLeft w:val="0"/>
      <w:marRight w:val="0"/>
      <w:marTop w:val="0"/>
      <w:marBottom w:val="0"/>
      <w:divBdr>
        <w:top w:val="none" w:sz="0" w:space="0" w:color="auto"/>
        <w:left w:val="none" w:sz="0" w:space="0" w:color="auto"/>
        <w:bottom w:val="none" w:sz="0" w:space="0" w:color="auto"/>
        <w:right w:val="none" w:sz="0" w:space="0" w:color="auto"/>
      </w:divBdr>
      <w:divsChild>
        <w:div w:id="1825775526">
          <w:marLeft w:val="0"/>
          <w:marRight w:val="0"/>
          <w:marTop w:val="0"/>
          <w:marBottom w:val="0"/>
          <w:divBdr>
            <w:top w:val="none" w:sz="0" w:space="0" w:color="auto"/>
            <w:left w:val="none" w:sz="0" w:space="0" w:color="auto"/>
            <w:bottom w:val="none" w:sz="0" w:space="0" w:color="auto"/>
            <w:right w:val="none" w:sz="0" w:space="0" w:color="auto"/>
          </w:divBdr>
          <w:divsChild>
            <w:div w:id="2120636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678738">
      <w:bodyDiv w:val="1"/>
      <w:marLeft w:val="0"/>
      <w:marRight w:val="0"/>
      <w:marTop w:val="0"/>
      <w:marBottom w:val="0"/>
      <w:divBdr>
        <w:top w:val="none" w:sz="0" w:space="0" w:color="auto"/>
        <w:left w:val="none" w:sz="0" w:space="0" w:color="auto"/>
        <w:bottom w:val="none" w:sz="0" w:space="0" w:color="auto"/>
        <w:right w:val="none" w:sz="0" w:space="0" w:color="auto"/>
      </w:divBdr>
    </w:div>
    <w:div w:id="685596815">
      <w:bodyDiv w:val="1"/>
      <w:marLeft w:val="0"/>
      <w:marRight w:val="0"/>
      <w:marTop w:val="0"/>
      <w:marBottom w:val="0"/>
      <w:divBdr>
        <w:top w:val="none" w:sz="0" w:space="0" w:color="auto"/>
        <w:left w:val="none" w:sz="0" w:space="0" w:color="auto"/>
        <w:bottom w:val="none" w:sz="0" w:space="0" w:color="auto"/>
        <w:right w:val="none" w:sz="0" w:space="0" w:color="auto"/>
      </w:divBdr>
    </w:div>
    <w:div w:id="731195505">
      <w:bodyDiv w:val="1"/>
      <w:marLeft w:val="0"/>
      <w:marRight w:val="0"/>
      <w:marTop w:val="0"/>
      <w:marBottom w:val="0"/>
      <w:divBdr>
        <w:top w:val="none" w:sz="0" w:space="0" w:color="auto"/>
        <w:left w:val="none" w:sz="0" w:space="0" w:color="auto"/>
        <w:bottom w:val="none" w:sz="0" w:space="0" w:color="auto"/>
        <w:right w:val="none" w:sz="0" w:space="0" w:color="auto"/>
      </w:divBdr>
    </w:div>
    <w:div w:id="780950808">
      <w:bodyDiv w:val="1"/>
      <w:marLeft w:val="0"/>
      <w:marRight w:val="0"/>
      <w:marTop w:val="0"/>
      <w:marBottom w:val="0"/>
      <w:divBdr>
        <w:top w:val="none" w:sz="0" w:space="0" w:color="auto"/>
        <w:left w:val="none" w:sz="0" w:space="0" w:color="auto"/>
        <w:bottom w:val="none" w:sz="0" w:space="0" w:color="auto"/>
        <w:right w:val="none" w:sz="0" w:space="0" w:color="auto"/>
      </w:divBdr>
    </w:div>
    <w:div w:id="791896766">
      <w:bodyDiv w:val="1"/>
      <w:marLeft w:val="0"/>
      <w:marRight w:val="0"/>
      <w:marTop w:val="0"/>
      <w:marBottom w:val="0"/>
      <w:divBdr>
        <w:top w:val="none" w:sz="0" w:space="0" w:color="auto"/>
        <w:left w:val="none" w:sz="0" w:space="0" w:color="auto"/>
        <w:bottom w:val="none" w:sz="0" w:space="0" w:color="auto"/>
        <w:right w:val="none" w:sz="0" w:space="0" w:color="auto"/>
      </w:divBdr>
    </w:div>
    <w:div w:id="823620893">
      <w:bodyDiv w:val="1"/>
      <w:marLeft w:val="0"/>
      <w:marRight w:val="0"/>
      <w:marTop w:val="0"/>
      <w:marBottom w:val="0"/>
      <w:divBdr>
        <w:top w:val="none" w:sz="0" w:space="0" w:color="auto"/>
        <w:left w:val="none" w:sz="0" w:space="0" w:color="auto"/>
        <w:bottom w:val="none" w:sz="0" w:space="0" w:color="auto"/>
        <w:right w:val="none" w:sz="0" w:space="0" w:color="auto"/>
      </w:divBdr>
    </w:div>
    <w:div w:id="827212445">
      <w:bodyDiv w:val="1"/>
      <w:marLeft w:val="0"/>
      <w:marRight w:val="0"/>
      <w:marTop w:val="0"/>
      <w:marBottom w:val="0"/>
      <w:divBdr>
        <w:top w:val="none" w:sz="0" w:space="0" w:color="auto"/>
        <w:left w:val="none" w:sz="0" w:space="0" w:color="auto"/>
        <w:bottom w:val="none" w:sz="0" w:space="0" w:color="auto"/>
        <w:right w:val="none" w:sz="0" w:space="0" w:color="auto"/>
      </w:divBdr>
    </w:div>
    <w:div w:id="857084813">
      <w:bodyDiv w:val="1"/>
      <w:marLeft w:val="0"/>
      <w:marRight w:val="0"/>
      <w:marTop w:val="0"/>
      <w:marBottom w:val="0"/>
      <w:divBdr>
        <w:top w:val="none" w:sz="0" w:space="0" w:color="auto"/>
        <w:left w:val="none" w:sz="0" w:space="0" w:color="auto"/>
        <w:bottom w:val="none" w:sz="0" w:space="0" w:color="auto"/>
        <w:right w:val="none" w:sz="0" w:space="0" w:color="auto"/>
      </w:divBdr>
    </w:div>
    <w:div w:id="875316150">
      <w:bodyDiv w:val="1"/>
      <w:marLeft w:val="0"/>
      <w:marRight w:val="0"/>
      <w:marTop w:val="0"/>
      <w:marBottom w:val="0"/>
      <w:divBdr>
        <w:top w:val="none" w:sz="0" w:space="0" w:color="auto"/>
        <w:left w:val="none" w:sz="0" w:space="0" w:color="auto"/>
        <w:bottom w:val="none" w:sz="0" w:space="0" w:color="auto"/>
        <w:right w:val="none" w:sz="0" w:space="0" w:color="auto"/>
      </w:divBdr>
      <w:divsChild>
        <w:div w:id="1145704891">
          <w:marLeft w:val="0"/>
          <w:marRight w:val="0"/>
          <w:marTop w:val="0"/>
          <w:marBottom w:val="0"/>
          <w:divBdr>
            <w:top w:val="none" w:sz="0" w:space="0" w:color="auto"/>
            <w:left w:val="none" w:sz="0" w:space="0" w:color="auto"/>
            <w:bottom w:val="none" w:sz="0" w:space="0" w:color="auto"/>
            <w:right w:val="none" w:sz="0" w:space="0" w:color="auto"/>
          </w:divBdr>
          <w:divsChild>
            <w:div w:id="49900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511443">
      <w:bodyDiv w:val="1"/>
      <w:marLeft w:val="0"/>
      <w:marRight w:val="0"/>
      <w:marTop w:val="0"/>
      <w:marBottom w:val="0"/>
      <w:divBdr>
        <w:top w:val="none" w:sz="0" w:space="0" w:color="auto"/>
        <w:left w:val="none" w:sz="0" w:space="0" w:color="auto"/>
        <w:bottom w:val="none" w:sz="0" w:space="0" w:color="auto"/>
        <w:right w:val="none" w:sz="0" w:space="0" w:color="auto"/>
      </w:divBdr>
    </w:div>
    <w:div w:id="1039822094">
      <w:bodyDiv w:val="1"/>
      <w:marLeft w:val="0"/>
      <w:marRight w:val="0"/>
      <w:marTop w:val="0"/>
      <w:marBottom w:val="0"/>
      <w:divBdr>
        <w:top w:val="none" w:sz="0" w:space="0" w:color="auto"/>
        <w:left w:val="none" w:sz="0" w:space="0" w:color="auto"/>
        <w:bottom w:val="none" w:sz="0" w:space="0" w:color="auto"/>
        <w:right w:val="none" w:sz="0" w:space="0" w:color="auto"/>
      </w:divBdr>
    </w:div>
    <w:div w:id="1041511377">
      <w:bodyDiv w:val="1"/>
      <w:marLeft w:val="0"/>
      <w:marRight w:val="0"/>
      <w:marTop w:val="0"/>
      <w:marBottom w:val="0"/>
      <w:divBdr>
        <w:top w:val="none" w:sz="0" w:space="0" w:color="auto"/>
        <w:left w:val="none" w:sz="0" w:space="0" w:color="auto"/>
        <w:bottom w:val="none" w:sz="0" w:space="0" w:color="auto"/>
        <w:right w:val="none" w:sz="0" w:space="0" w:color="auto"/>
      </w:divBdr>
    </w:div>
    <w:div w:id="1064181237">
      <w:bodyDiv w:val="1"/>
      <w:marLeft w:val="0"/>
      <w:marRight w:val="0"/>
      <w:marTop w:val="0"/>
      <w:marBottom w:val="0"/>
      <w:divBdr>
        <w:top w:val="none" w:sz="0" w:space="0" w:color="auto"/>
        <w:left w:val="none" w:sz="0" w:space="0" w:color="auto"/>
        <w:bottom w:val="none" w:sz="0" w:space="0" w:color="auto"/>
        <w:right w:val="none" w:sz="0" w:space="0" w:color="auto"/>
      </w:divBdr>
    </w:div>
    <w:div w:id="1064253383">
      <w:bodyDiv w:val="1"/>
      <w:marLeft w:val="0"/>
      <w:marRight w:val="0"/>
      <w:marTop w:val="0"/>
      <w:marBottom w:val="0"/>
      <w:divBdr>
        <w:top w:val="none" w:sz="0" w:space="0" w:color="auto"/>
        <w:left w:val="none" w:sz="0" w:space="0" w:color="auto"/>
        <w:bottom w:val="none" w:sz="0" w:space="0" w:color="auto"/>
        <w:right w:val="none" w:sz="0" w:space="0" w:color="auto"/>
      </w:divBdr>
    </w:div>
    <w:div w:id="1081175538">
      <w:bodyDiv w:val="1"/>
      <w:marLeft w:val="0"/>
      <w:marRight w:val="0"/>
      <w:marTop w:val="0"/>
      <w:marBottom w:val="0"/>
      <w:divBdr>
        <w:top w:val="none" w:sz="0" w:space="0" w:color="auto"/>
        <w:left w:val="none" w:sz="0" w:space="0" w:color="auto"/>
        <w:bottom w:val="none" w:sz="0" w:space="0" w:color="auto"/>
        <w:right w:val="none" w:sz="0" w:space="0" w:color="auto"/>
      </w:divBdr>
    </w:div>
    <w:div w:id="1114327223">
      <w:bodyDiv w:val="1"/>
      <w:marLeft w:val="0"/>
      <w:marRight w:val="0"/>
      <w:marTop w:val="0"/>
      <w:marBottom w:val="0"/>
      <w:divBdr>
        <w:top w:val="none" w:sz="0" w:space="0" w:color="auto"/>
        <w:left w:val="none" w:sz="0" w:space="0" w:color="auto"/>
        <w:bottom w:val="none" w:sz="0" w:space="0" w:color="auto"/>
        <w:right w:val="none" w:sz="0" w:space="0" w:color="auto"/>
      </w:divBdr>
    </w:div>
    <w:div w:id="1130052391">
      <w:bodyDiv w:val="1"/>
      <w:marLeft w:val="0"/>
      <w:marRight w:val="0"/>
      <w:marTop w:val="0"/>
      <w:marBottom w:val="0"/>
      <w:divBdr>
        <w:top w:val="none" w:sz="0" w:space="0" w:color="auto"/>
        <w:left w:val="none" w:sz="0" w:space="0" w:color="auto"/>
        <w:bottom w:val="none" w:sz="0" w:space="0" w:color="auto"/>
        <w:right w:val="none" w:sz="0" w:space="0" w:color="auto"/>
      </w:divBdr>
    </w:div>
    <w:div w:id="1163400082">
      <w:bodyDiv w:val="1"/>
      <w:marLeft w:val="0"/>
      <w:marRight w:val="0"/>
      <w:marTop w:val="0"/>
      <w:marBottom w:val="0"/>
      <w:divBdr>
        <w:top w:val="none" w:sz="0" w:space="0" w:color="auto"/>
        <w:left w:val="none" w:sz="0" w:space="0" w:color="auto"/>
        <w:bottom w:val="none" w:sz="0" w:space="0" w:color="auto"/>
        <w:right w:val="none" w:sz="0" w:space="0" w:color="auto"/>
      </w:divBdr>
    </w:div>
    <w:div w:id="1170097265">
      <w:bodyDiv w:val="1"/>
      <w:marLeft w:val="0"/>
      <w:marRight w:val="0"/>
      <w:marTop w:val="0"/>
      <w:marBottom w:val="0"/>
      <w:divBdr>
        <w:top w:val="none" w:sz="0" w:space="0" w:color="auto"/>
        <w:left w:val="none" w:sz="0" w:space="0" w:color="auto"/>
        <w:bottom w:val="none" w:sz="0" w:space="0" w:color="auto"/>
        <w:right w:val="none" w:sz="0" w:space="0" w:color="auto"/>
      </w:divBdr>
    </w:div>
    <w:div w:id="1184246406">
      <w:bodyDiv w:val="1"/>
      <w:marLeft w:val="0"/>
      <w:marRight w:val="0"/>
      <w:marTop w:val="0"/>
      <w:marBottom w:val="0"/>
      <w:divBdr>
        <w:top w:val="none" w:sz="0" w:space="0" w:color="auto"/>
        <w:left w:val="none" w:sz="0" w:space="0" w:color="auto"/>
        <w:bottom w:val="none" w:sz="0" w:space="0" w:color="auto"/>
        <w:right w:val="none" w:sz="0" w:space="0" w:color="auto"/>
      </w:divBdr>
    </w:div>
    <w:div w:id="1289161997">
      <w:bodyDiv w:val="1"/>
      <w:marLeft w:val="0"/>
      <w:marRight w:val="0"/>
      <w:marTop w:val="0"/>
      <w:marBottom w:val="0"/>
      <w:divBdr>
        <w:top w:val="none" w:sz="0" w:space="0" w:color="auto"/>
        <w:left w:val="none" w:sz="0" w:space="0" w:color="auto"/>
        <w:bottom w:val="none" w:sz="0" w:space="0" w:color="auto"/>
        <w:right w:val="none" w:sz="0" w:space="0" w:color="auto"/>
      </w:divBdr>
    </w:div>
    <w:div w:id="1314333777">
      <w:bodyDiv w:val="1"/>
      <w:marLeft w:val="0"/>
      <w:marRight w:val="0"/>
      <w:marTop w:val="0"/>
      <w:marBottom w:val="0"/>
      <w:divBdr>
        <w:top w:val="none" w:sz="0" w:space="0" w:color="auto"/>
        <w:left w:val="none" w:sz="0" w:space="0" w:color="auto"/>
        <w:bottom w:val="none" w:sz="0" w:space="0" w:color="auto"/>
        <w:right w:val="none" w:sz="0" w:space="0" w:color="auto"/>
      </w:divBdr>
    </w:div>
    <w:div w:id="1413504763">
      <w:bodyDiv w:val="1"/>
      <w:marLeft w:val="0"/>
      <w:marRight w:val="0"/>
      <w:marTop w:val="0"/>
      <w:marBottom w:val="0"/>
      <w:divBdr>
        <w:top w:val="none" w:sz="0" w:space="0" w:color="auto"/>
        <w:left w:val="none" w:sz="0" w:space="0" w:color="auto"/>
        <w:bottom w:val="none" w:sz="0" w:space="0" w:color="auto"/>
        <w:right w:val="none" w:sz="0" w:space="0" w:color="auto"/>
      </w:divBdr>
    </w:div>
    <w:div w:id="1467622978">
      <w:bodyDiv w:val="1"/>
      <w:marLeft w:val="0"/>
      <w:marRight w:val="0"/>
      <w:marTop w:val="0"/>
      <w:marBottom w:val="0"/>
      <w:divBdr>
        <w:top w:val="none" w:sz="0" w:space="0" w:color="auto"/>
        <w:left w:val="none" w:sz="0" w:space="0" w:color="auto"/>
        <w:bottom w:val="none" w:sz="0" w:space="0" w:color="auto"/>
        <w:right w:val="none" w:sz="0" w:space="0" w:color="auto"/>
      </w:divBdr>
    </w:div>
    <w:div w:id="1477526980">
      <w:bodyDiv w:val="1"/>
      <w:marLeft w:val="0"/>
      <w:marRight w:val="0"/>
      <w:marTop w:val="0"/>
      <w:marBottom w:val="0"/>
      <w:divBdr>
        <w:top w:val="none" w:sz="0" w:space="0" w:color="auto"/>
        <w:left w:val="none" w:sz="0" w:space="0" w:color="auto"/>
        <w:bottom w:val="none" w:sz="0" w:space="0" w:color="auto"/>
        <w:right w:val="none" w:sz="0" w:space="0" w:color="auto"/>
      </w:divBdr>
    </w:div>
    <w:div w:id="1510368887">
      <w:bodyDiv w:val="1"/>
      <w:marLeft w:val="0"/>
      <w:marRight w:val="0"/>
      <w:marTop w:val="0"/>
      <w:marBottom w:val="0"/>
      <w:divBdr>
        <w:top w:val="none" w:sz="0" w:space="0" w:color="auto"/>
        <w:left w:val="none" w:sz="0" w:space="0" w:color="auto"/>
        <w:bottom w:val="none" w:sz="0" w:space="0" w:color="auto"/>
        <w:right w:val="none" w:sz="0" w:space="0" w:color="auto"/>
      </w:divBdr>
    </w:div>
    <w:div w:id="1691375418">
      <w:bodyDiv w:val="1"/>
      <w:marLeft w:val="0"/>
      <w:marRight w:val="0"/>
      <w:marTop w:val="0"/>
      <w:marBottom w:val="0"/>
      <w:divBdr>
        <w:top w:val="none" w:sz="0" w:space="0" w:color="auto"/>
        <w:left w:val="none" w:sz="0" w:space="0" w:color="auto"/>
        <w:bottom w:val="none" w:sz="0" w:space="0" w:color="auto"/>
        <w:right w:val="none" w:sz="0" w:space="0" w:color="auto"/>
      </w:divBdr>
    </w:div>
    <w:div w:id="1691948923">
      <w:bodyDiv w:val="1"/>
      <w:marLeft w:val="0"/>
      <w:marRight w:val="0"/>
      <w:marTop w:val="0"/>
      <w:marBottom w:val="0"/>
      <w:divBdr>
        <w:top w:val="none" w:sz="0" w:space="0" w:color="auto"/>
        <w:left w:val="none" w:sz="0" w:space="0" w:color="auto"/>
        <w:bottom w:val="none" w:sz="0" w:space="0" w:color="auto"/>
        <w:right w:val="none" w:sz="0" w:space="0" w:color="auto"/>
      </w:divBdr>
    </w:div>
    <w:div w:id="1713142555">
      <w:bodyDiv w:val="1"/>
      <w:marLeft w:val="0"/>
      <w:marRight w:val="0"/>
      <w:marTop w:val="0"/>
      <w:marBottom w:val="0"/>
      <w:divBdr>
        <w:top w:val="none" w:sz="0" w:space="0" w:color="auto"/>
        <w:left w:val="none" w:sz="0" w:space="0" w:color="auto"/>
        <w:bottom w:val="none" w:sz="0" w:space="0" w:color="auto"/>
        <w:right w:val="none" w:sz="0" w:space="0" w:color="auto"/>
      </w:divBdr>
      <w:divsChild>
        <w:div w:id="708578780">
          <w:marLeft w:val="0"/>
          <w:marRight w:val="0"/>
          <w:marTop w:val="0"/>
          <w:marBottom w:val="0"/>
          <w:divBdr>
            <w:top w:val="none" w:sz="0" w:space="0" w:color="auto"/>
            <w:left w:val="none" w:sz="0" w:space="0" w:color="auto"/>
            <w:bottom w:val="none" w:sz="0" w:space="0" w:color="auto"/>
            <w:right w:val="none" w:sz="0" w:space="0" w:color="auto"/>
          </w:divBdr>
          <w:divsChild>
            <w:div w:id="1908107256">
              <w:marLeft w:val="0"/>
              <w:marRight w:val="0"/>
              <w:marTop w:val="0"/>
              <w:marBottom w:val="0"/>
              <w:divBdr>
                <w:top w:val="none" w:sz="0" w:space="0" w:color="auto"/>
                <w:left w:val="none" w:sz="0" w:space="0" w:color="auto"/>
                <w:bottom w:val="none" w:sz="0" w:space="0" w:color="auto"/>
                <w:right w:val="none" w:sz="0" w:space="0" w:color="auto"/>
              </w:divBdr>
            </w:div>
          </w:divsChild>
        </w:div>
        <w:div w:id="1691057737">
          <w:marLeft w:val="0"/>
          <w:marRight w:val="0"/>
          <w:marTop w:val="0"/>
          <w:marBottom w:val="0"/>
          <w:divBdr>
            <w:top w:val="none" w:sz="0" w:space="0" w:color="auto"/>
            <w:left w:val="none" w:sz="0" w:space="0" w:color="auto"/>
            <w:bottom w:val="none" w:sz="0" w:space="0" w:color="auto"/>
            <w:right w:val="none" w:sz="0" w:space="0" w:color="auto"/>
          </w:divBdr>
          <w:divsChild>
            <w:div w:id="1160540544">
              <w:marLeft w:val="0"/>
              <w:marRight w:val="0"/>
              <w:marTop w:val="0"/>
              <w:marBottom w:val="0"/>
              <w:divBdr>
                <w:top w:val="none" w:sz="0" w:space="0" w:color="auto"/>
                <w:left w:val="none" w:sz="0" w:space="0" w:color="auto"/>
                <w:bottom w:val="none" w:sz="0" w:space="0" w:color="auto"/>
                <w:right w:val="none" w:sz="0" w:space="0" w:color="auto"/>
              </w:divBdr>
            </w:div>
          </w:divsChild>
        </w:div>
        <w:div w:id="322315542">
          <w:marLeft w:val="0"/>
          <w:marRight w:val="0"/>
          <w:marTop w:val="0"/>
          <w:marBottom w:val="0"/>
          <w:divBdr>
            <w:top w:val="none" w:sz="0" w:space="0" w:color="auto"/>
            <w:left w:val="none" w:sz="0" w:space="0" w:color="auto"/>
            <w:bottom w:val="none" w:sz="0" w:space="0" w:color="auto"/>
            <w:right w:val="none" w:sz="0" w:space="0" w:color="auto"/>
          </w:divBdr>
          <w:divsChild>
            <w:div w:id="1641762742">
              <w:marLeft w:val="0"/>
              <w:marRight w:val="0"/>
              <w:marTop w:val="0"/>
              <w:marBottom w:val="0"/>
              <w:divBdr>
                <w:top w:val="none" w:sz="0" w:space="0" w:color="auto"/>
                <w:left w:val="none" w:sz="0" w:space="0" w:color="auto"/>
                <w:bottom w:val="none" w:sz="0" w:space="0" w:color="auto"/>
                <w:right w:val="none" w:sz="0" w:space="0" w:color="auto"/>
              </w:divBdr>
            </w:div>
          </w:divsChild>
        </w:div>
        <w:div w:id="1585341410">
          <w:marLeft w:val="0"/>
          <w:marRight w:val="0"/>
          <w:marTop w:val="0"/>
          <w:marBottom w:val="0"/>
          <w:divBdr>
            <w:top w:val="none" w:sz="0" w:space="0" w:color="auto"/>
            <w:left w:val="none" w:sz="0" w:space="0" w:color="auto"/>
            <w:bottom w:val="none" w:sz="0" w:space="0" w:color="auto"/>
            <w:right w:val="none" w:sz="0" w:space="0" w:color="auto"/>
          </w:divBdr>
          <w:divsChild>
            <w:div w:id="1800227350">
              <w:marLeft w:val="0"/>
              <w:marRight w:val="0"/>
              <w:marTop w:val="0"/>
              <w:marBottom w:val="0"/>
              <w:divBdr>
                <w:top w:val="none" w:sz="0" w:space="0" w:color="auto"/>
                <w:left w:val="none" w:sz="0" w:space="0" w:color="auto"/>
                <w:bottom w:val="none" w:sz="0" w:space="0" w:color="auto"/>
                <w:right w:val="none" w:sz="0" w:space="0" w:color="auto"/>
              </w:divBdr>
            </w:div>
          </w:divsChild>
        </w:div>
        <w:div w:id="977226198">
          <w:marLeft w:val="0"/>
          <w:marRight w:val="0"/>
          <w:marTop w:val="0"/>
          <w:marBottom w:val="0"/>
          <w:divBdr>
            <w:top w:val="none" w:sz="0" w:space="0" w:color="auto"/>
            <w:left w:val="none" w:sz="0" w:space="0" w:color="auto"/>
            <w:bottom w:val="none" w:sz="0" w:space="0" w:color="auto"/>
            <w:right w:val="none" w:sz="0" w:space="0" w:color="auto"/>
          </w:divBdr>
          <w:divsChild>
            <w:div w:id="483621935">
              <w:marLeft w:val="0"/>
              <w:marRight w:val="0"/>
              <w:marTop w:val="0"/>
              <w:marBottom w:val="0"/>
              <w:divBdr>
                <w:top w:val="none" w:sz="0" w:space="0" w:color="auto"/>
                <w:left w:val="none" w:sz="0" w:space="0" w:color="auto"/>
                <w:bottom w:val="none" w:sz="0" w:space="0" w:color="auto"/>
                <w:right w:val="none" w:sz="0" w:space="0" w:color="auto"/>
              </w:divBdr>
            </w:div>
          </w:divsChild>
        </w:div>
        <w:div w:id="684014963">
          <w:marLeft w:val="0"/>
          <w:marRight w:val="0"/>
          <w:marTop w:val="0"/>
          <w:marBottom w:val="0"/>
          <w:divBdr>
            <w:top w:val="none" w:sz="0" w:space="0" w:color="auto"/>
            <w:left w:val="none" w:sz="0" w:space="0" w:color="auto"/>
            <w:bottom w:val="none" w:sz="0" w:space="0" w:color="auto"/>
            <w:right w:val="none" w:sz="0" w:space="0" w:color="auto"/>
          </w:divBdr>
          <w:divsChild>
            <w:div w:id="553006862">
              <w:marLeft w:val="0"/>
              <w:marRight w:val="0"/>
              <w:marTop w:val="0"/>
              <w:marBottom w:val="0"/>
              <w:divBdr>
                <w:top w:val="none" w:sz="0" w:space="0" w:color="auto"/>
                <w:left w:val="none" w:sz="0" w:space="0" w:color="auto"/>
                <w:bottom w:val="none" w:sz="0" w:space="0" w:color="auto"/>
                <w:right w:val="none" w:sz="0" w:space="0" w:color="auto"/>
              </w:divBdr>
            </w:div>
          </w:divsChild>
        </w:div>
        <w:div w:id="1087965320">
          <w:marLeft w:val="0"/>
          <w:marRight w:val="0"/>
          <w:marTop w:val="0"/>
          <w:marBottom w:val="0"/>
          <w:divBdr>
            <w:top w:val="none" w:sz="0" w:space="0" w:color="auto"/>
            <w:left w:val="none" w:sz="0" w:space="0" w:color="auto"/>
            <w:bottom w:val="none" w:sz="0" w:space="0" w:color="auto"/>
            <w:right w:val="none" w:sz="0" w:space="0" w:color="auto"/>
          </w:divBdr>
          <w:divsChild>
            <w:div w:id="144337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643673">
      <w:bodyDiv w:val="1"/>
      <w:marLeft w:val="0"/>
      <w:marRight w:val="0"/>
      <w:marTop w:val="0"/>
      <w:marBottom w:val="0"/>
      <w:divBdr>
        <w:top w:val="none" w:sz="0" w:space="0" w:color="auto"/>
        <w:left w:val="none" w:sz="0" w:space="0" w:color="auto"/>
        <w:bottom w:val="none" w:sz="0" w:space="0" w:color="auto"/>
        <w:right w:val="none" w:sz="0" w:space="0" w:color="auto"/>
      </w:divBdr>
    </w:div>
    <w:div w:id="1777171397">
      <w:bodyDiv w:val="1"/>
      <w:marLeft w:val="0"/>
      <w:marRight w:val="0"/>
      <w:marTop w:val="0"/>
      <w:marBottom w:val="0"/>
      <w:divBdr>
        <w:top w:val="none" w:sz="0" w:space="0" w:color="auto"/>
        <w:left w:val="none" w:sz="0" w:space="0" w:color="auto"/>
        <w:bottom w:val="none" w:sz="0" w:space="0" w:color="auto"/>
        <w:right w:val="none" w:sz="0" w:space="0" w:color="auto"/>
      </w:divBdr>
    </w:div>
    <w:div w:id="1826974086">
      <w:bodyDiv w:val="1"/>
      <w:marLeft w:val="0"/>
      <w:marRight w:val="0"/>
      <w:marTop w:val="0"/>
      <w:marBottom w:val="0"/>
      <w:divBdr>
        <w:top w:val="none" w:sz="0" w:space="0" w:color="auto"/>
        <w:left w:val="none" w:sz="0" w:space="0" w:color="auto"/>
        <w:bottom w:val="none" w:sz="0" w:space="0" w:color="auto"/>
        <w:right w:val="none" w:sz="0" w:space="0" w:color="auto"/>
      </w:divBdr>
    </w:div>
    <w:div w:id="1828351750">
      <w:bodyDiv w:val="1"/>
      <w:marLeft w:val="0"/>
      <w:marRight w:val="0"/>
      <w:marTop w:val="0"/>
      <w:marBottom w:val="0"/>
      <w:divBdr>
        <w:top w:val="none" w:sz="0" w:space="0" w:color="auto"/>
        <w:left w:val="none" w:sz="0" w:space="0" w:color="auto"/>
        <w:bottom w:val="none" w:sz="0" w:space="0" w:color="auto"/>
        <w:right w:val="none" w:sz="0" w:space="0" w:color="auto"/>
      </w:divBdr>
    </w:div>
    <w:div w:id="1857579409">
      <w:bodyDiv w:val="1"/>
      <w:marLeft w:val="0"/>
      <w:marRight w:val="0"/>
      <w:marTop w:val="0"/>
      <w:marBottom w:val="0"/>
      <w:divBdr>
        <w:top w:val="none" w:sz="0" w:space="0" w:color="auto"/>
        <w:left w:val="none" w:sz="0" w:space="0" w:color="auto"/>
        <w:bottom w:val="none" w:sz="0" w:space="0" w:color="auto"/>
        <w:right w:val="none" w:sz="0" w:space="0" w:color="auto"/>
      </w:divBdr>
    </w:div>
    <w:div w:id="1866600017">
      <w:bodyDiv w:val="1"/>
      <w:marLeft w:val="0"/>
      <w:marRight w:val="0"/>
      <w:marTop w:val="0"/>
      <w:marBottom w:val="0"/>
      <w:divBdr>
        <w:top w:val="none" w:sz="0" w:space="0" w:color="auto"/>
        <w:left w:val="none" w:sz="0" w:space="0" w:color="auto"/>
        <w:bottom w:val="none" w:sz="0" w:space="0" w:color="auto"/>
        <w:right w:val="none" w:sz="0" w:space="0" w:color="auto"/>
      </w:divBdr>
    </w:div>
    <w:div w:id="1887178160">
      <w:bodyDiv w:val="1"/>
      <w:marLeft w:val="0"/>
      <w:marRight w:val="0"/>
      <w:marTop w:val="0"/>
      <w:marBottom w:val="0"/>
      <w:divBdr>
        <w:top w:val="none" w:sz="0" w:space="0" w:color="auto"/>
        <w:left w:val="none" w:sz="0" w:space="0" w:color="auto"/>
        <w:bottom w:val="none" w:sz="0" w:space="0" w:color="auto"/>
        <w:right w:val="none" w:sz="0" w:space="0" w:color="auto"/>
      </w:divBdr>
    </w:div>
    <w:div w:id="204755625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ink/ink4.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3.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ustomXml" Target="ink/ink2.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footer" Target="footer1.xml"/></Relationships>
</file>

<file path=word/ink/ink1.xml><?xml version="1.0" encoding="utf-8"?>
<inkml:ink xmlns:inkml="http://www.w3.org/2003/InkML">
  <inkml:definitions/>
</inkml:ink>
</file>

<file path=word/ink/ink2.xml><?xml version="1.0" encoding="utf-8"?>
<inkml:ink xmlns:inkml="http://www.w3.org/2003/InkML">
  <inkml:definitions/>
</inkml:ink>
</file>

<file path=word/ink/ink3.xml><?xml version="1.0" encoding="utf-8"?>
<inkml:ink xmlns:inkml="http://www.w3.org/2003/InkML">
  <inkml:definitions/>
</inkml:ink>
</file>

<file path=word/ink/ink4.xml><?xml version="1.0" encoding="utf-8"?>
<inkml:ink xmlns:inkml="http://www.w3.org/2003/InkML">
  <inkml:definitions/>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82</Pages>
  <Words>26676</Words>
  <Characters>152055</Characters>
  <DocSecurity>0</DocSecurity>
  <Lines>1267</Lines>
  <Paragraphs>356</Paragraphs>
  <ScaleCrop>false</ScaleCrop>
  <Manager/>
  <Company/>
  <LinksUpToDate>false</LinksUpToDate>
  <CharactersWithSpaces>178375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
  <dcterms:created xsi:type="dcterms:W3CDTF">2026-09-21T19:01:00Z</dcterms:created>
  <dcterms:modified xsi:type="dcterms:W3CDTF">2026-09-22T16:01:00Z</dcterms:modified>
  <cp:category/>
</cp:coreProperties>
</file>