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0B3DB" w14:textId="690F9998" w:rsidR="001813EB" w:rsidRPr="001813EB" w:rsidRDefault="001813EB" w:rsidP="001813EB">
      <w:pPr>
        <w:spacing w:before="200" w:line="360" w:lineRule="auto"/>
      </w:pPr>
      <w:r w:rsidRPr="001813EB">
        <w:t>Name: Abbie Roberts</w:t>
      </w:r>
    </w:p>
    <w:p w14:paraId="22D010A6" w14:textId="4579DB59" w:rsidR="001813EB" w:rsidRPr="001813EB" w:rsidRDefault="001813EB" w:rsidP="001813EB">
      <w:pPr>
        <w:spacing w:before="200" w:line="360" w:lineRule="auto"/>
      </w:pPr>
      <w:r w:rsidRPr="001813EB">
        <w:t>Student number: 2520868</w:t>
      </w:r>
    </w:p>
    <w:p w14:paraId="231B729E" w14:textId="77777777" w:rsidR="001813EB" w:rsidRPr="001813EB" w:rsidRDefault="001813EB" w:rsidP="001813EB">
      <w:pPr>
        <w:spacing w:before="200" w:line="360" w:lineRule="auto"/>
      </w:pPr>
      <w:r w:rsidRPr="001813EB">
        <w:t>Module code: ECYW4012</w:t>
      </w:r>
    </w:p>
    <w:p w14:paraId="1687FDB1" w14:textId="77777777" w:rsidR="001813EB" w:rsidRDefault="001813EB">
      <w:pPr>
        <w:spacing w:before="200" w:line="360" w:lineRule="auto"/>
      </w:pPr>
    </w:p>
    <w:p w14:paraId="28D4CB02" w14:textId="77777777" w:rsidR="001813EB" w:rsidRDefault="001813EB">
      <w:pPr>
        <w:spacing w:before="200" w:line="360" w:lineRule="auto"/>
      </w:pPr>
    </w:p>
    <w:p w14:paraId="7BE5325E" w14:textId="77777777" w:rsidR="001813EB" w:rsidRDefault="001813EB">
      <w:pPr>
        <w:spacing w:before="200" w:line="360" w:lineRule="auto"/>
      </w:pPr>
    </w:p>
    <w:p w14:paraId="44418C5F" w14:textId="77777777" w:rsidR="001813EB" w:rsidRDefault="001813EB">
      <w:pPr>
        <w:spacing w:before="200" w:line="360" w:lineRule="auto"/>
      </w:pPr>
    </w:p>
    <w:p w14:paraId="6BA03A7E" w14:textId="77777777" w:rsidR="001813EB" w:rsidRDefault="001813EB">
      <w:pPr>
        <w:spacing w:before="200" w:line="360" w:lineRule="auto"/>
      </w:pPr>
    </w:p>
    <w:p w14:paraId="3E0CA633" w14:textId="77777777" w:rsidR="001813EB" w:rsidRDefault="001813EB">
      <w:pPr>
        <w:spacing w:before="200" w:line="360" w:lineRule="auto"/>
      </w:pPr>
    </w:p>
    <w:p w14:paraId="6175A995" w14:textId="77777777" w:rsidR="001813EB" w:rsidRDefault="001813EB">
      <w:pPr>
        <w:spacing w:before="200" w:line="360" w:lineRule="auto"/>
      </w:pPr>
    </w:p>
    <w:p w14:paraId="2BD92E3B" w14:textId="77777777" w:rsidR="001813EB" w:rsidRDefault="001813EB">
      <w:pPr>
        <w:spacing w:before="200" w:line="360" w:lineRule="auto"/>
      </w:pPr>
    </w:p>
    <w:p w14:paraId="3D7DDF59" w14:textId="77777777" w:rsidR="001813EB" w:rsidRDefault="001813EB">
      <w:pPr>
        <w:spacing w:before="200" w:line="360" w:lineRule="auto"/>
      </w:pPr>
    </w:p>
    <w:p w14:paraId="6CC0B591" w14:textId="77777777" w:rsidR="001813EB" w:rsidRDefault="001813EB">
      <w:pPr>
        <w:spacing w:before="200" w:line="360" w:lineRule="auto"/>
      </w:pPr>
    </w:p>
    <w:p w14:paraId="52BEB3D4" w14:textId="77777777" w:rsidR="001813EB" w:rsidRDefault="001813EB">
      <w:pPr>
        <w:spacing w:before="200" w:line="360" w:lineRule="auto"/>
      </w:pPr>
    </w:p>
    <w:p w14:paraId="6A76202F" w14:textId="77777777" w:rsidR="001813EB" w:rsidRDefault="001813EB">
      <w:pPr>
        <w:spacing w:before="200" w:line="360" w:lineRule="auto"/>
      </w:pPr>
    </w:p>
    <w:p w14:paraId="1395002E" w14:textId="77777777" w:rsidR="001813EB" w:rsidRDefault="001813EB">
      <w:pPr>
        <w:spacing w:before="200" w:line="360" w:lineRule="auto"/>
      </w:pPr>
    </w:p>
    <w:p w14:paraId="3C742774" w14:textId="77777777" w:rsidR="001813EB" w:rsidRDefault="001813EB">
      <w:pPr>
        <w:spacing w:before="200" w:line="360" w:lineRule="auto"/>
      </w:pPr>
    </w:p>
    <w:p w14:paraId="40F9535C" w14:textId="77777777" w:rsidR="001813EB" w:rsidRDefault="001813EB">
      <w:pPr>
        <w:spacing w:before="200" w:line="360" w:lineRule="auto"/>
      </w:pPr>
    </w:p>
    <w:p w14:paraId="6927D338" w14:textId="77777777" w:rsidR="001813EB" w:rsidRDefault="001813EB">
      <w:pPr>
        <w:spacing w:before="200" w:line="360" w:lineRule="auto"/>
      </w:pPr>
    </w:p>
    <w:p w14:paraId="008625A9" w14:textId="77777777" w:rsidR="001813EB" w:rsidRDefault="001813EB">
      <w:pPr>
        <w:spacing w:before="200" w:line="360" w:lineRule="auto"/>
      </w:pPr>
    </w:p>
    <w:p w14:paraId="28BA8C61" w14:textId="77777777" w:rsidR="001813EB" w:rsidRDefault="001813EB">
      <w:pPr>
        <w:spacing w:before="200" w:line="360" w:lineRule="auto"/>
      </w:pPr>
    </w:p>
    <w:p w14:paraId="2984E6AA" w14:textId="77777777" w:rsidR="001813EB" w:rsidRDefault="001813EB">
      <w:pPr>
        <w:spacing w:before="200" w:line="360" w:lineRule="auto"/>
      </w:pPr>
    </w:p>
    <w:p w14:paraId="27321E27" w14:textId="77777777" w:rsidR="001813EB" w:rsidRDefault="001813EB">
      <w:pPr>
        <w:spacing w:before="200" w:line="360" w:lineRule="auto"/>
      </w:pPr>
    </w:p>
    <w:p w14:paraId="00000001" w14:textId="7A1C3535" w:rsidR="00C41E65" w:rsidRDefault="001C1338">
      <w:pPr>
        <w:spacing w:before="200" w:line="360" w:lineRule="auto"/>
      </w:pPr>
      <w:r>
        <w:lastRenderedPageBreak/>
        <w:t xml:space="preserve">Hi everyone, as you all know, I’m Abbie. A few weeks </w:t>
      </w:r>
      <w:proofErr w:type="gramStart"/>
      <w:r>
        <w:t>ago</w:t>
      </w:r>
      <w:proofErr w:type="gramEnd"/>
      <w:r>
        <w:t xml:space="preserve"> I watched the film </w:t>
      </w:r>
      <w:proofErr w:type="spellStart"/>
      <w:r>
        <w:t>Kidulthood</w:t>
      </w:r>
      <w:proofErr w:type="spellEnd"/>
      <w:r>
        <w:t xml:space="preserve"> and today, I’d like to share my thoughts on how youth work can help guide young people through their adolescent transition. </w:t>
      </w:r>
    </w:p>
    <w:p w14:paraId="00000002" w14:textId="66AECD4B" w:rsidR="00C41E65" w:rsidRDefault="001C1338">
      <w:pPr>
        <w:spacing w:before="200" w:line="360" w:lineRule="auto"/>
      </w:pPr>
      <w:r>
        <w:t>So</w:t>
      </w:r>
      <w:r w:rsidR="001813EB">
        <w:t xml:space="preserve">, </w:t>
      </w:r>
      <w:r>
        <w:t xml:space="preserve">what is adolescent transition? </w:t>
      </w:r>
    </w:p>
    <w:p w14:paraId="00000003" w14:textId="77777777" w:rsidR="00C41E65" w:rsidRDefault="001C1338">
      <w:pPr>
        <w:spacing w:before="200" w:line="360" w:lineRule="auto"/>
      </w:pPr>
      <w:r>
        <w:t xml:space="preserve">According to the Oxford English Dictionary Adolescence is </w:t>
      </w:r>
      <w:proofErr w:type="gramStart"/>
      <w:r>
        <w:t xml:space="preserve">- </w:t>
      </w:r>
      <w:r>
        <w:rPr>
          <w:highlight w:val="white"/>
        </w:rPr>
        <w:t xml:space="preserve"> </w:t>
      </w:r>
      <w:r>
        <w:rPr>
          <w:i/>
          <w:iCs/>
        </w:rPr>
        <w:t>“</w:t>
      </w:r>
      <w:proofErr w:type="gramEnd"/>
      <w:r>
        <w:rPr>
          <w:highlight w:val="white"/>
        </w:rPr>
        <w:t>the period following the onset of puberty during which a young person develops from a child into an adult” (</w:t>
      </w:r>
      <w:r>
        <w:t>Stevenson, 2010, p52).</w:t>
      </w:r>
    </w:p>
    <w:p w14:paraId="00000004" w14:textId="77777777" w:rsidR="00C41E65" w:rsidRDefault="001C1338">
      <w:pPr>
        <w:spacing w:before="200" w:line="360" w:lineRule="auto"/>
      </w:pPr>
      <w:r>
        <w:t xml:space="preserve">Adolescent transition - So, essentially the adolescent transition refers to the period where young people develop from children into young adults. </w:t>
      </w:r>
    </w:p>
    <w:p w14:paraId="00000005" w14:textId="77777777" w:rsidR="00C41E65" w:rsidRDefault="00C41E65">
      <w:pPr>
        <w:spacing w:before="200" w:line="360" w:lineRule="auto"/>
      </w:pPr>
    </w:p>
    <w:p w14:paraId="00000006" w14:textId="77777777" w:rsidR="00C41E65" w:rsidRDefault="001C1338">
      <w:pPr>
        <w:spacing w:before="200" w:line="360" w:lineRule="auto"/>
      </w:pPr>
      <w:r>
        <w:t>How is psychological wellbeing impacted during adolescent transitions?</w:t>
      </w:r>
    </w:p>
    <w:p w14:paraId="00000007" w14:textId="77777777" w:rsidR="00C41E65" w:rsidRDefault="001C1338">
      <w:pPr>
        <w:spacing w:before="200" w:line="360" w:lineRule="auto"/>
      </w:pPr>
      <w:r>
        <w:t>More than happiness</w:t>
      </w:r>
      <w:proofErr w:type="gramStart"/>
      <w:r>
        <w:t>-  includes</w:t>
      </w:r>
      <w:proofErr w:type="gramEnd"/>
      <w:r>
        <w:t xml:space="preserve"> functioning &amp; life satisfaction (Ryff, 1989)</w:t>
      </w:r>
    </w:p>
    <w:p w14:paraId="00000008" w14:textId="77777777" w:rsidR="00C41E65" w:rsidRDefault="001C1338">
      <w:pPr>
        <w:spacing w:before="200" w:line="360" w:lineRule="auto"/>
      </w:pPr>
      <w:r>
        <w:t>Influenced by relationships, independence, identity formation</w:t>
      </w:r>
    </w:p>
    <w:p w14:paraId="00000009" w14:textId="77777777" w:rsidR="00C41E65" w:rsidRDefault="00C41E65">
      <w:pPr>
        <w:spacing w:before="200" w:line="360" w:lineRule="auto"/>
      </w:pPr>
    </w:p>
    <w:p w14:paraId="0000000A" w14:textId="77777777" w:rsidR="00C41E65" w:rsidRDefault="001C1338">
      <w:pPr>
        <w:numPr>
          <w:ilvl w:val="0"/>
          <w:numId w:val="2"/>
        </w:numPr>
        <w:spacing w:before="200" w:line="360" w:lineRule="auto"/>
      </w:pPr>
      <w:r>
        <w:t>Socially, biologically and cognitively.</w:t>
      </w:r>
    </w:p>
    <w:p w14:paraId="0000000B" w14:textId="77777777" w:rsidR="00C41E65" w:rsidRDefault="00C41E65">
      <w:pPr>
        <w:spacing w:before="200" w:line="360" w:lineRule="auto"/>
      </w:pPr>
    </w:p>
    <w:p w14:paraId="0000000C" w14:textId="77777777" w:rsidR="00C41E65" w:rsidRDefault="001C1338">
      <w:pPr>
        <w:spacing w:before="200" w:line="360" w:lineRule="auto"/>
      </w:pPr>
      <w:r>
        <w:t xml:space="preserve">Influence young people’s experiences and can contribute to periods of poor psychological wellbeing </w:t>
      </w:r>
    </w:p>
    <w:p w14:paraId="0000000D" w14:textId="77777777" w:rsidR="00C41E65" w:rsidRDefault="00C41E65">
      <w:pPr>
        <w:spacing w:before="200" w:line="360" w:lineRule="auto"/>
      </w:pPr>
    </w:p>
    <w:p w14:paraId="0000000E" w14:textId="77777777" w:rsidR="00C41E65" w:rsidRDefault="001C1338">
      <w:pPr>
        <w:spacing w:before="200" w:line="360" w:lineRule="auto"/>
      </w:pPr>
      <w:r>
        <w:t>Psychological wellbeing - Psychological wellbeing or mental wellbeing are terms often used to describe overall emotional stability and feelings of happiness. However, Ryff argues that there is in fact more to psychological wellbeing than being happy including how well we can function and how satisfied we feel in life (Ryff, 1989).</w:t>
      </w:r>
    </w:p>
    <w:p w14:paraId="0000000F" w14:textId="77777777" w:rsidR="00C41E65" w:rsidRDefault="00C41E65">
      <w:pPr>
        <w:spacing w:before="200" w:line="360" w:lineRule="auto"/>
      </w:pPr>
    </w:p>
    <w:p w14:paraId="00000010" w14:textId="77777777" w:rsidR="00C41E65" w:rsidRDefault="001C1338">
      <w:pPr>
        <w:spacing w:before="200" w:line="360" w:lineRule="auto"/>
        <w:rPr>
          <w:b/>
          <w:bCs/>
        </w:rPr>
      </w:pPr>
      <w:r>
        <w:rPr>
          <w:b/>
          <w:bCs/>
        </w:rPr>
        <w:t xml:space="preserve">Social development </w:t>
      </w:r>
    </w:p>
    <w:p w14:paraId="00000011" w14:textId="77777777" w:rsidR="00C41E65" w:rsidRDefault="001C1338">
      <w:pPr>
        <w:spacing w:before="200" w:line="360" w:lineRule="auto"/>
      </w:pPr>
      <w:r>
        <w:t xml:space="preserve">Socially - This refers to the process young people go through to establish their social identity and develop their ability to build and maintain relationships independently whether </w:t>
      </w:r>
      <w:proofErr w:type="spellStart"/>
      <w:r>
        <w:t>thats</w:t>
      </w:r>
      <w:proofErr w:type="spellEnd"/>
      <w:r>
        <w:t xml:space="preserve"> romantically, with friends and family or professionals such as teachers. </w:t>
      </w:r>
    </w:p>
    <w:p w14:paraId="00000012" w14:textId="77777777" w:rsidR="00C41E65" w:rsidRDefault="00C41E65">
      <w:pPr>
        <w:spacing w:before="200" w:line="360" w:lineRule="auto"/>
      </w:pPr>
    </w:p>
    <w:p w14:paraId="00000013" w14:textId="77777777" w:rsidR="00C41E65" w:rsidRDefault="001C1338">
      <w:pPr>
        <w:spacing w:before="200" w:line="360" w:lineRule="auto"/>
      </w:pPr>
      <w:r>
        <w:t>Close parental relationships meaning better outcomes for young people (Ratliff et al., 2023)</w:t>
      </w:r>
    </w:p>
    <w:p w14:paraId="00000014" w14:textId="77777777" w:rsidR="00C41E65" w:rsidRDefault="001C1338">
      <w:pPr>
        <w:spacing w:before="200" w:line="360" w:lineRule="auto"/>
      </w:pPr>
      <w:r>
        <w:t>Youth workers support social growth &amp; reduce negative peer influence</w:t>
      </w:r>
    </w:p>
    <w:p w14:paraId="00000015" w14:textId="77777777" w:rsidR="00C41E65" w:rsidRDefault="001C1338">
      <w:pPr>
        <w:spacing w:before="200" w:line="360" w:lineRule="auto"/>
      </w:pPr>
      <w:r>
        <w:t>NOS values: “</w:t>
      </w:r>
      <w:r>
        <w:rPr>
          <w:i/>
          <w:iCs/>
        </w:rPr>
        <w:t>personal, social &amp; political development</w:t>
      </w:r>
      <w:r>
        <w:t>” (CLD Standards Council Scotland, 2023, p. 21)</w:t>
      </w:r>
    </w:p>
    <w:p w14:paraId="00000016" w14:textId="77777777" w:rsidR="00C41E65" w:rsidRDefault="00C41E65">
      <w:pPr>
        <w:spacing w:before="200" w:line="360" w:lineRule="auto"/>
      </w:pPr>
    </w:p>
    <w:p w14:paraId="00000017" w14:textId="77777777" w:rsidR="00C41E65" w:rsidRDefault="001C1338">
      <w:pPr>
        <w:spacing w:before="200" w:line="360" w:lineRule="auto"/>
        <w:rPr>
          <w:b/>
          <w:bCs/>
        </w:rPr>
      </w:pPr>
      <w:r>
        <w:rPr>
          <w:b/>
          <w:bCs/>
        </w:rPr>
        <w:t xml:space="preserve">Biological development </w:t>
      </w:r>
    </w:p>
    <w:p w14:paraId="00000018" w14:textId="77777777" w:rsidR="00C41E65" w:rsidRDefault="001C1338">
      <w:pPr>
        <w:spacing w:before="200" w:line="360" w:lineRule="auto"/>
      </w:pPr>
      <w:r>
        <w:t xml:space="preserve">This refers to physical changes that occur during puberty as young people develop into adults </w:t>
      </w:r>
      <w:proofErr w:type="spellStart"/>
      <w:r>
        <w:t>e.g</w:t>
      </w:r>
      <w:proofErr w:type="spellEnd"/>
      <w:r>
        <w:t xml:space="preserve"> - onset of menstruation, growth spurts, voice changes, weight gain, hair growth and many other changes to the body. </w:t>
      </w:r>
    </w:p>
    <w:p w14:paraId="00000019" w14:textId="77777777" w:rsidR="00C41E65" w:rsidRDefault="00C41E65">
      <w:pPr>
        <w:spacing w:before="200" w:line="360" w:lineRule="auto"/>
      </w:pPr>
    </w:p>
    <w:p w14:paraId="0000001A" w14:textId="77777777" w:rsidR="00C41E65" w:rsidRDefault="001C1338">
      <w:pPr>
        <w:spacing w:before="200" w:line="360" w:lineRule="auto"/>
      </w:pPr>
      <w:r>
        <w:t>Individual timing but similar patterns of changes to bodies. These changes can have significant effects on the psychological wellbeing of a person.</w:t>
      </w:r>
    </w:p>
    <w:p w14:paraId="0000001B" w14:textId="77777777" w:rsidR="00C41E65" w:rsidRDefault="00C41E65">
      <w:pPr>
        <w:spacing w:before="200" w:line="360" w:lineRule="auto"/>
      </w:pPr>
    </w:p>
    <w:p w14:paraId="0000001C" w14:textId="77777777" w:rsidR="00C41E65" w:rsidRDefault="001C1338">
      <w:pPr>
        <w:spacing w:before="200" w:line="360" w:lineRule="auto"/>
      </w:pPr>
      <w:r>
        <w:t>For example, some young people may find the process of their body maturing to be difficult to cope with particularly for those who come from families who promote unrealistic body shapes and sizes which can have a detrimental effect on young people and put them at risk of conditions such as Anorexia Nervosa says Barker &amp; Oldman cited in Laver-Bradbury (Laver-Bradbury et al., 2021)</w:t>
      </w:r>
    </w:p>
    <w:p w14:paraId="0000001D" w14:textId="77777777" w:rsidR="00C41E65" w:rsidRDefault="00C41E65">
      <w:pPr>
        <w:spacing w:before="200" w:line="360" w:lineRule="auto"/>
      </w:pPr>
    </w:p>
    <w:p w14:paraId="0000001E" w14:textId="77777777" w:rsidR="00C41E65" w:rsidRDefault="001C1338">
      <w:pPr>
        <w:spacing w:before="200" w:line="360" w:lineRule="auto"/>
        <w:rPr>
          <w:b/>
          <w:bCs/>
        </w:rPr>
      </w:pPr>
      <w:r>
        <w:rPr>
          <w:b/>
          <w:bCs/>
        </w:rPr>
        <w:t xml:space="preserve">Cognitive development </w:t>
      </w:r>
    </w:p>
    <w:p w14:paraId="0000001F" w14:textId="77777777" w:rsidR="00C41E65" w:rsidRDefault="001C1338">
      <w:pPr>
        <w:spacing w:before="200" w:line="360" w:lineRule="auto"/>
      </w:pPr>
      <w:r>
        <w:t xml:space="preserve">- This aspect of adolescent transition refers to the process of young people developing their ability to think and make informed decisions for themselves. It is believed that during this time multiple areas of the human brain finish developing. </w:t>
      </w:r>
    </w:p>
    <w:p w14:paraId="00000020" w14:textId="77777777" w:rsidR="00C41E65" w:rsidRDefault="00C41E65">
      <w:pPr>
        <w:spacing w:before="200" w:line="360" w:lineRule="auto"/>
      </w:pPr>
    </w:p>
    <w:p w14:paraId="00000021" w14:textId="77777777" w:rsidR="00C41E65" w:rsidRDefault="001C1338">
      <w:pPr>
        <w:spacing w:before="200" w:line="360" w:lineRule="auto"/>
      </w:pPr>
      <w:r>
        <w:t xml:space="preserve">Not always easy to make good decisions </w:t>
      </w:r>
    </w:p>
    <w:p w14:paraId="00000022" w14:textId="77777777" w:rsidR="00C41E65" w:rsidRDefault="001C1338">
      <w:pPr>
        <w:spacing w:before="200" w:line="360" w:lineRule="auto"/>
      </w:pPr>
      <w:r>
        <w:t xml:space="preserve">Bandura’s Social Learning Theory can be used to explain this. Bandura argues that people learn by observing the behaviour of others and recognising the consequences of those </w:t>
      </w:r>
      <w:r>
        <w:lastRenderedPageBreak/>
        <w:t xml:space="preserve">actions (Bandura, 1971). This process can present </w:t>
      </w:r>
      <w:proofErr w:type="gramStart"/>
      <w:r>
        <w:t>particular challenges</w:t>
      </w:r>
      <w:proofErr w:type="gramEnd"/>
      <w:r>
        <w:t xml:space="preserve"> during adolescence. </w:t>
      </w:r>
    </w:p>
    <w:p w14:paraId="00000023" w14:textId="77777777" w:rsidR="00C41E65" w:rsidRDefault="001C1338">
      <w:pPr>
        <w:spacing w:before="200" w:line="360" w:lineRule="auto"/>
      </w:pPr>
      <w:r>
        <w:t xml:space="preserve">Peer dominated environments can make it harder for adolescents to make positive choices. </w:t>
      </w:r>
    </w:p>
    <w:p w14:paraId="00000024" w14:textId="77777777" w:rsidR="00C41E65" w:rsidRDefault="001C1338">
      <w:pPr>
        <w:spacing w:before="200" w:line="360" w:lineRule="auto"/>
      </w:pPr>
      <w:r>
        <w:t xml:space="preserve">Bandura highlights that the behavioural consequences observed are often social (Bandura, 1971). </w:t>
      </w:r>
    </w:p>
    <w:p w14:paraId="00000025" w14:textId="77777777" w:rsidR="00C41E65" w:rsidRDefault="001C1338">
      <w:pPr>
        <w:spacing w:before="200" w:line="360" w:lineRule="auto"/>
      </w:pPr>
      <w:r>
        <w:t>An example of this is young people imitating risky behaviours that their peers receive social praise or acceptance for such as vaping.</w:t>
      </w:r>
    </w:p>
    <w:p w14:paraId="00000026" w14:textId="77777777" w:rsidR="00C41E65" w:rsidRDefault="001C1338">
      <w:pPr>
        <w:spacing w:before="200" w:line="360" w:lineRule="auto"/>
      </w:pPr>
      <w:r>
        <w:t xml:space="preserve">Kingsley argues peer presence is enough to make young people ask in a risky way. </w:t>
      </w:r>
    </w:p>
    <w:p w14:paraId="00000027" w14:textId="77777777" w:rsidR="00C41E65" w:rsidRDefault="001C1338">
      <w:pPr>
        <w:spacing w:before="200" w:line="360" w:lineRule="auto"/>
      </w:pPr>
      <w:r>
        <w:t xml:space="preserve">Kingsley also suggests that a degree of risky behaviour is </w:t>
      </w:r>
      <w:proofErr w:type="gramStart"/>
      <w:r>
        <w:t>actually healthy</w:t>
      </w:r>
      <w:proofErr w:type="gramEnd"/>
      <w:r>
        <w:t xml:space="preserve"> and encourages young people to build up their resilience (Kingsley, 2020). </w:t>
      </w:r>
    </w:p>
    <w:p w14:paraId="00000028" w14:textId="77777777" w:rsidR="00C41E65" w:rsidRDefault="00C41E65">
      <w:pPr>
        <w:spacing w:before="200" w:line="360" w:lineRule="auto"/>
      </w:pPr>
    </w:p>
    <w:p w14:paraId="00000029" w14:textId="77777777" w:rsidR="00C41E65" w:rsidRDefault="001C1338">
      <w:pPr>
        <w:spacing w:before="200" w:line="360" w:lineRule="auto"/>
      </w:pPr>
      <w:r>
        <w:t xml:space="preserve">Risks aren't always a good thing - Dahl is Cited in (Casey and Caudle, 2013) noting that increased risky behaviour during adolescence unfortunately increases the chances of death by 200%. </w:t>
      </w:r>
    </w:p>
    <w:p w14:paraId="0000002A" w14:textId="77777777" w:rsidR="00C41E65" w:rsidRDefault="00C41E65">
      <w:pPr>
        <w:spacing w:before="200" w:line="360" w:lineRule="auto"/>
      </w:pPr>
    </w:p>
    <w:p w14:paraId="0000002B" w14:textId="77777777" w:rsidR="00C41E65" w:rsidRDefault="001C1338">
      <w:pPr>
        <w:spacing w:before="200" w:line="360" w:lineRule="auto"/>
        <w:rPr>
          <w:b/>
          <w:bCs/>
        </w:rPr>
      </w:pPr>
      <w:r>
        <w:rPr>
          <w:b/>
          <w:bCs/>
        </w:rPr>
        <w:t>So, how as youth workers can we support young people through these times?</w:t>
      </w:r>
    </w:p>
    <w:p w14:paraId="0000002C" w14:textId="77777777" w:rsidR="00C41E65" w:rsidRDefault="001C1338">
      <w:pPr>
        <w:spacing w:before="200" w:line="360" w:lineRule="auto"/>
      </w:pPr>
      <w:r>
        <w:t>As young people go through some of the most pivotal and vulnerable years of their lives the presence of a trusted adult can be vital for keeping them happy and healthy. These adults could be:</w:t>
      </w:r>
    </w:p>
    <w:p w14:paraId="0000002D" w14:textId="77777777" w:rsidR="00C41E65" w:rsidRDefault="001C1338">
      <w:pPr>
        <w:numPr>
          <w:ilvl w:val="0"/>
          <w:numId w:val="4"/>
        </w:numPr>
        <w:spacing w:before="200" w:line="360" w:lineRule="auto"/>
      </w:pPr>
      <w:r>
        <w:t xml:space="preserve"> Family</w:t>
      </w:r>
    </w:p>
    <w:p w14:paraId="0000002E" w14:textId="77777777" w:rsidR="00C41E65" w:rsidRDefault="001C1338">
      <w:pPr>
        <w:numPr>
          <w:ilvl w:val="0"/>
          <w:numId w:val="4"/>
        </w:numPr>
        <w:spacing w:line="360" w:lineRule="auto"/>
      </w:pPr>
      <w:r>
        <w:t>Teachers</w:t>
      </w:r>
    </w:p>
    <w:p w14:paraId="0000002F" w14:textId="77777777" w:rsidR="00C41E65" w:rsidRDefault="001C1338">
      <w:pPr>
        <w:numPr>
          <w:ilvl w:val="0"/>
          <w:numId w:val="4"/>
        </w:numPr>
        <w:spacing w:line="360" w:lineRule="auto"/>
      </w:pPr>
      <w:r>
        <w:t>Sports coaches</w:t>
      </w:r>
    </w:p>
    <w:p w14:paraId="00000030" w14:textId="77777777" w:rsidR="00C41E65" w:rsidRDefault="001C1338">
      <w:pPr>
        <w:numPr>
          <w:ilvl w:val="0"/>
          <w:numId w:val="4"/>
        </w:numPr>
        <w:spacing w:line="360" w:lineRule="auto"/>
      </w:pPr>
      <w:r>
        <w:t>Youth workers</w:t>
      </w:r>
    </w:p>
    <w:p w14:paraId="00000031" w14:textId="77777777" w:rsidR="00C41E65" w:rsidRDefault="001C1338">
      <w:pPr>
        <w:spacing w:before="200" w:line="360" w:lineRule="auto"/>
      </w:pPr>
      <w:r>
        <w:t xml:space="preserve">National Occupational Standards outlines that the purpose of youth work is to “enable young people to develop holistically” (CLD Standards Council Scotland, 2023, p7). </w:t>
      </w:r>
    </w:p>
    <w:p w14:paraId="00000032" w14:textId="77777777" w:rsidR="00C41E65" w:rsidRDefault="00C41E65">
      <w:pPr>
        <w:spacing w:before="200" w:line="360" w:lineRule="auto"/>
      </w:pPr>
    </w:p>
    <w:p w14:paraId="00000033" w14:textId="77777777" w:rsidR="00C41E65" w:rsidRDefault="001C1338">
      <w:pPr>
        <w:spacing w:before="200" w:line="360" w:lineRule="auto"/>
      </w:pPr>
      <w:r>
        <w:t>Youth workers do this by:</w:t>
      </w:r>
    </w:p>
    <w:p w14:paraId="00000034" w14:textId="77777777" w:rsidR="00C41E65" w:rsidRDefault="001C1338">
      <w:pPr>
        <w:numPr>
          <w:ilvl w:val="0"/>
          <w:numId w:val="3"/>
        </w:numPr>
        <w:spacing w:before="200" w:line="360" w:lineRule="auto"/>
      </w:pPr>
      <w:r>
        <w:t>Creating safe spaces for all young people</w:t>
      </w:r>
    </w:p>
    <w:p w14:paraId="00000035" w14:textId="77777777" w:rsidR="00C41E65" w:rsidRDefault="001C1338">
      <w:pPr>
        <w:numPr>
          <w:ilvl w:val="0"/>
          <w:numId w:val="1"/>
        </w:numPr>
        <w:spacing w:line="360" w:lineRule="auto"/>
      </w:pPr>
      <w:r>
        <w:t>Safeguarding and educating young people how to safeguard themselves</w:t>
      </w:r>
    </w:p>
    <w:p w14:paraId="00000036" w14:textId="77777777" w:rsidR="00C41E65" w:rsidRDefault="001C1338">
      <w:pPr>
        <w:numPr>
          <w:ilvl w:val="0"/>
          <w:numId w:val="1"/>
        </w:numPr>
        <w:spacing w:line="360" w:lineRule="auto"/>
      </w:pPr>
      <w:r>
        <w:lastRenderedPageBreak/>
        <w:t>Providing opportunities and education that support the wants and needs of developing young people</w:t>
      </w:r>
    </w:p>
    <w:p w14:paraId="00000037" w14:textId="77777777" w:rsidR="00C41E65" w:rsidRDefault="001C1338">
      <w:pPr>
        <w:numPr>
          <w:ilvl w:val="0"/>
          <w:numId w:val="1"/>
        </w:numPr>
        <w:spacing w:line="360" w:lineRule="auto"/>
      </w:pPr>
      <w:r>
        <w:t xml:space="preserve">Advocating for and with young people and the challenges they face </w:t>
      </w:r>
    </w:p>
    <w:p w14:paraId="00000038" w14:textId="77777777" w:rsidR="00C41E65" w:rsidRDefault="001C1338">
      <w:pPr>
        <w:numPr>
          <w:ilvl w:val="0"/>
          <w:numId w:val="1"/>
        </w:numPr>
        <w:spacing w:line="360" w:lineRule="auto"/>
      </w:pPr>
      <w:r>
        <w:t>Consistently being there to listen (CLD Standards Council Scotland, 2023).</w:t>
      </w:r>
    </w:p>
    <w:p w14:paraId="00000039" w14:textId="77777777" w:rsidR="00C41E65" w:rsidRDefault="00C41E65">
      <w:pPr>
        <w:spacing w:before="200" w:line="360" w:lineRule="auto"/>
      </w:pPr>
    </w:p>
    <w:p w14:paraId="0000003A" w14:textId="77777777" w:rsidR="00C41E65" w:rsidRDefault="001C1338">
      <w:pPr>
        <w:spacing w:before="200" w:line="360" w:lineRule="auto"/>
      </w:pPr>
      <w:r>
        <w:t xml:space="preserve">Principles and Purposes of Wales </w:t>
      </w:r>
      <w:proofErr w:type="gramStart"/>
      <w:r>
        <w:t>acknowledges</w:t>
      </w:r>
      <w:proofErr w:type="gramEnd"/>
      <w:r>
        <w:t xml:space="preserve"> supporting young people through considerable change as being one of the intentions for youth work in Wales (Youth Work in Wales Review Group, 2022). </w:t>
      </w:r>
    </w:p>
    <w:p w14:paraId="0000003B" w14:textId="77777777" w:rsidR="00C41E65" w:rsidRDefault="00C41E65">
      <w:pPr>
        <w:spacing w:before="200" w:line="360" w:lineRule="auto"/>
      </w:pPr>
    </w:p>
    <w:p w14:paraId="0000003C" w14:textId="77777777" w:rsidR="00C41E65" w:rsidRDefault="001C1338">
      <w:pPr>
        <w:spacing w:before="200" w:line="360" w:lineRule="auto"/>
        <w:rPr>
          <w:b/>
          <w:bCs/>
        </w:rPr>
      </w:pPr>
      <w:r>
        <w:rPr>
          <w:b/>
          <w:bCs/>
        </w:rPr>
        <w:t xml:space="preserve">Case study </w:t>
      </w:r>
    </w:p>
    <w:p w14:paraId="0000003D" w14:textId="77777777" w:rsidR="00C41E65" w:rsidRDefault="001C1338">
      <w:pPr>
        <w:spacing w:before="200" w:line="360" w:lineRule="auto"/>
      </w:pPr>
      <w:r>
        <w:t xml:space="preserve">I would like to use an example of a character in a </w:t>
      </w:r>
      <w:proofErr w:type="spellStart"/>
      <w:r>
        <w:t>Kidulthood</w:t>
      </w:r>
      <w:proofErr w:type="spellEnd"/>
      <w:r>
        <w:t xml:space="preserve"> to demonstrate how I would support a young person in a similar situation during adolescent transitions. </w:t>
      </w:r>
    </w:p>
    <w:p w14:paraId="0000003E" w14:textId="77777777" w:rsidR="00C41E65" w:rsidRDefault="001C1338">
      <w:pPr>
        <w:spacing w:before="200" w:line="360" w:lineRule="auto"/>
      </w:pPr>
      <w:r>
        <w:t xml:space="preserve">For those of you who don’t know, </w:t>
      </w:r>
      <w:proofErr w:type="spellStart"/>
      <w:r>
        <w:t>Trife</w:t>
      </w:r>
      <w:proofErr w:type="spellEnd"/>
      <w:r>
        <w:t xml:space="preserve"> is a young person who was a victim of exploitation in the film </w:t>
      </w:r>
      <w:proofErr w:type="spellStart"/>
      <w:r>
        <w:t>Kidulthood</w:t>
      </w:r>
      <w:proofErr w:type="spellEnd"/>
      <w:r>
        <w:t xml:space="preserve"> (</w:t>
      </w:r>
      <w:proofErr w:type="spellStart"/>
      <w:r>
        <w:t>Kidulthood</w:t>
      </w:r>
      <w:proofErr w:type="spellEnd"/>
      <w:r>
        <w:t xml:space="preserve">, 2006). </w:t>
      </w:r>
    </w:p>
    <w:p w14:paraId="0000003F" w14:textId="77777777" w:rsidR="00C41E65" w:rsidRDefault="001C1338">
      <w:pPr>
        <w:spacing w:before="200" w:line="360" w:lineRule="auto"/>
      </w:pPr>
      <w:r>
        <w:t xml:space="preserve">Safeguarding procedures, adhering to article 36 of the UNCRC (United Nations, 1989) by making a child protection referral in addition to submitting any information I had to the police. </w:t>
      </w:r>
    </w:p>
    <w:p w14:paraId="00000040" w14:textId="77777777" w:rsidR="00C41E65" w:rsidRDefault="001C1338">
      <w:pPr>
        <w:spacing w:before="200" w:line="360" w:lineRule="auto"/>
      </w:pPr>
      <w:r>
        <w:t xml:space="preserve">Including </w:t>
      </w:r>
      <w:proofErr w:type="spellStart"/>
      <w:r>
        <w:t>Trife</w:t>
      </w:r>
      <w:proofErr w:type="spellEnd"/>
      <w:r>
        <w:t xml:space="preserve"> in this process as much as possible and I would have suggested sharing my concerns with his mum.</w:t>
      </w:r>
    </w:p>
    <w:p w14:paraId="00000041" w14:textId="77777777" w:rsidR="00C41E65" w:rsidRDefault="001C1338">
      <w:pPr>
        <w:spacing w:before="200" w:line="360" w:lineRule="auto"/>
      </w:pPr>
      <w:r>
        <w:t xml:space="preserve">Informal sessions on promoting healthy male role models, as I believe </w:t>
      </w:r>
      <w:proofErr w:type="spellStart"/>
      <w:r>
        <w:t>Trife</w:t>
      </w:r>
      <w:proofErr w:type="spellEnd"/>
      <w:r>
        <w:t xml:space="preserve"> unfortunately lacked such influences. I believe had </w:t>
      </w:r>
      <w:proofErr w:type="spellStart"/>
      <w:r>
        <w:t>Trife</w:t>
      </w:r>
      <w:proofErr w:type="spellEnd"/>
      <w:r>
        <w:t xml:space="preserve"> had exposure to more positive role models he </w:t>
      </w:r>
      <w:proofErr w:type="gramStart"/>
      <w:r>
        <w:t>have</w:t>
      </w:r>
      <w:proofErr w:type="gramEnd"/>
      <w:r>
        <w:t xml:space="preserve"> made different choices as the social learning theory suggests (Bandura, 1971). </w:t>
      </w:r>
    </w:p>
    <w:p w14:paraId="00000042" w14:textId="77777777" w:rsidR="00C41E65" w:rsidRDefault="001C1338">
      <w:pPr>
        <w:spacing w:before="200" w:line="360" w:lineRule="auto"/>
      </w:pPr>
      <w:r>
        <w:t xml:space="preserve">Street Doctors training to equip </w:t>
      </w:r>
      <w:proofErr w:type="spellStart"/>
      <w:r>
        <w:t>Trife</w:t>
      </w:r>
      <w:proofErr w:type="spellEnd"/>
      <w:r>
        <w:t xml:space="preserve"> and his friends with the skills and confidence to administer first aid associated with crime (Street Doctors, </w:t>
      </w:r>
      <w:proofErr w:type="spellStart"/>
      <w:r>
        <w:t>n.d</w:t>
      </w:r>
      <w:proofErr w:type="spellEnd"/>
      <w:r>
        <w:t xml:space="preserve">). </w:t>
      </w:r>
    </w:p>
    <w:p w14:paraId="00000043" w14:textId="77777777" w:rsidR="00C41E65" w:rsidRDefault="00C41E65">
      <w:pPr>
        <w:spacing w:before="200" w:line="360" w:lineRule="auto"/>
      </w:pPr>
    </w:p>
    <w:p w14:paraId="00000044" w14:textId="77777777" w:rsidR="00C41E65" w:rsidRDefault="001C1338">
      <w:pPr>
        <w:spacing w:line="360" w:lineRule="auto"/>
      </w:pPr>
      <w:r>
        <w:t xml:space="preserve">The experiences young people have during their adolescent development shapes the rest of their lives which is why it is vital youth workers have the knowledge and skills to offer robust support during this time. </w:t>
      </w:r>
    </w:p>
    <w:p w14:paraId="00000045" w14:textId="77777777" w:rsidR="00C41E65" w:rsidRDefault="00C41E65">
      <w:pPr>
        <w:spacing w:line="360" w:lineRule="auto"/>
      </w:pPr>
    </w:p>
    <w:p w14:paraId="00000046" w14:textId="77777777" w:rsidR="00C41E65" w:rsidRDefault="001C1338">
      <w:pPr>
        <w:spacing w:line="360" w:lineRule="auto"/>
      </w:pPr>
      <w:r>
        <w:t>Thanks for listening.</w:t>
      </w:r>
    </w:p>
    <w:p w14:paraId="00000047" w14:textId="77777777" w:rsidR="00C41E65" w:rsidRDefault="00C41E65">
      <w:pPr>
        <w:spacing w:line="360" w:lineRule="auto"/>
      </w:pPr>
    </w:p>
    <w:p w14:paraId="00000048" w14:textId="77777777" w:rsidR="00C41E65" w:rsidRDefault="00C41E65">
      <w:pPr>
        <w:spacing w:line="360" w:lineRule="auto"/>
      </w:pPr>
    </w:p>
    <w:p w14:paraId="00000049" w14:textId="77777777" w:rsidR="00C41E65" w:rsidRDefault="001C1338">
      <w:pPr>
        <w:spacing w:line="360" w:lineRule="auto"/>
        <w:rPr>
          <w:u w:val="single"/>
        </w:rPr>
      </w:pPr>
      <w:r>
        <w:rPr>
          <w:u w:val="single"/>
        </w:rPr>
        <w:lastRenderedPageBreak/>
        <w:t>Reference list</w:t>
      </w:r>
    </w:p>
    <w:p w14:paraId="0000004A" w14:textId="77777777" w:rsidR="00C41E65" w:rsidRDefault="00C41E65">
      <w:pPr>
        <w:spacing w:line="360" w:lineRule="auto"/>
      </w:pPr>
    </w:p>
    <w:p w14:paraId="0000004B" w14:textId="77777777" w:rsidR="00C41E65" w:rsidRDefault="00C41E65">
      <w:pPr>
        <w:spacing w:line="360" w:lineRule="auto"/>
      </w:pPr>
    </w:p>
    <w:p w14:paraId="0000004C" w14:textId="77777777" w:rsidR="00C41E65" w:rsidRDefault="001C1338">
      <w:pPr>
        <w:spacing w:line="360" w:lineRule="auto"/>
      </w:pPr>
      <w:r>
        <w:t xml:space="preserve">Bandura, A. (1971) </w:t>
      </w:r>
      <w:r>
        <w:rPr>
          <w:i/>
          <w:iCs/>
        </w:rPr>
        <w:t>Social Learning Theory</w:t>
      </w:r>
      <w:r>
        <w:t xml:space="preserve">. New York: General Learning Press. [Online] available at: </w:t>
      </w:r>
      <w:hyperlink r:id="rId5">
        <w:r>
          <w:rPr>
            <w:u w:val="single"/>
          </w:rPr>
          <w:t>https://ia601807.us.archive.org/14/items/BanduraSocialLearningTheory/Bandura_SocialLearningTheory_text.pdf Theory</w:t>
        </w:r>
      </w:hyperlink>
      <w:r>
        <w:t>. [Accessed: 9 May 2026].</w:t>
      </w:r>
    </w:p>
    <w:p w14:paraId="0000004D" w14:textId="77777777" w:rsidR="00C41E65" w:rsidRDefault="00C41E65">
      <w:pPr>
        <w:spacing w:line="360" w:lineRule="auto"/>
      </w:pPr>
    </w:p>
    <w:p w14:paraId="0000004E" w14:textId="77777777" w:rsidR="00C41E65" w:rsidRDefault="001C1338">
      <w:pPr>
        <w:spacing w:line="360" w:lineRule="auto"/>
      </w:pPr>
      <w:r>
        <w:t>Casey, B.J. and Caudle, K. (2013)</w:t>
      </w:r>
      <w:r>
        <w:rPr>
          <w:i/>
          <w:iCs/>
        </w:rPr>
        <w:t xml:space="preserve"> The Teenage Brain: Self-Control, Current Directions in Psychological Science</w:t>
      </w:r>
      <w:r>
        <w:t xml:space="preserve">, 22(2). [Online] available at: </w:t>
      </w:r>
      <w:hyperlink r:id="rId6">
        <w:r>
          <w:t>https://doi-org.uwtsd.idm.oclc.org/10.1177/0963721413480170</w:t>
        </w:r>
      </w:hyperlink>
      <w:r>
        <w:t>. [Accessed: 13 May 2026]</w:t>
      </w:r>
    </w:p>
    <w:p w14:paraId="0000004F" w14:textId="77777777" w:rsidR="00C41E65" w:rsidRDefault="001C1338">
      <w:pPr>
        <w:spacing w:before="240" w:after="240" w:line="360" w:lineRule="auto"/>
      </w:pPr>
      <w:r>
        <w:t xml:space="preserve">CLD Standards Council Scotland. (2023) </w:t>
      </w:r>
      <w:r>
        <w:rPr>
          <w:i/>
          <w:iCs/>
        </w:rPr>
        <w:t>Policy, practice and the National Occupational Standards</w:t>
      </w:r>
      <w:r>
        <w:t>. [Online] available at: https://nya.org.uk/wp-content/uploads/2025/05/Youth-Work-in-England-and-the-National-Occupational-Standards-May25.pdf. [Accessed: 09 May 2026].</w:t>
      </w:r>
    </w:p>
    <w:p w14:paraId="00000050" w14:textId="77777777" w:rsidR="00C41E65" w:rsidRDefault="001C1338">
      <w:pPr>
        <w:shd w:val="clear" w:color="auto" w:fill="FFFFFF"/>
        <w:spacing w:before="240" w:after="240" w:line="360" w:lineRule="auto"/>
      </w:pPr>
      <w:proofErr w:type="spellStart"/>
      <w:r>
        <w:t>Kidulthood</w:t>
      </w:r>
      <w:proofErr w:type="spellEnd"/>
      <w:r>
        <w:t xml:space="preserve"> (2006), Directed by Menhaj Huda. United Kingdom: Cipher Films.</w:t>
      </w:r>
    </w:p>
    <w:p w14:paraId="00000051" w14:textId="77777777" w:rsidR="00C41E65" w:rsidRDefault="001C1338">
      <w:pPr>
        <w:shd w:val="clear" w:color="auto" w:fill="FFFFFF"/>
        <w:spacing w:before="240" w:after="240" w:line="360" w:lineRule="auto"/>
      </w:pPr>
      <w:r>
        <w:t xml:space="preserve">Kingsley, J. </w:t>
      </w:r>
      <w:r>
        <w:rPr>
          <w:i/>
          <w:iCs/>
        </w:rPr>
        <w:t>(2020</w:t>
      </w:r>
      <w:proofErr w:type="gramStart"/>
      <w:r>
        <w:rPr>
          <w:i/>
          <w:iCs/>
        </w:rPr>
        <w:t>)  Risk</w:t>
      </w:r>
      <w:proofErr w:type="gramEnd"/>
      <w:r>
        <w:rPr>
          <w:i/>
          <w:iCs/>
        </w:rPr>
        <w:t xml:space="preserve"> Taking and Resilience Making </w:t>
      </w:r>
      <w:proofErr w:type="gramStart"/>
      <w:r>
        <w:rPr>
          <w:i/>
          <w:iCs/>
        </w:rPr>
        <w:t>In</w:t>
      </w:r>
      <w:proofErr w:type="gramEnd"/>
      <w:r>
        <w:rPr>
          <w:i/>
          <w:iCs/>
        </w:rPr>
        <w:t xml:space="preserve"> </w:t>
      </w:r>
      <w:proofErr w:type="gramStart"/>
      <w:r>
        <w:rPr>
          <w:i/>
          <w:iCs/>
        </w:rPr>
        <w:t>The</w:t>
      </w:r>
      <w:proofErr w:type="gramEnd"/>
      <w:r>
        <w:rPr>
          <w:i/>
          <w:iCs/>
        </w:rPr>
        <w:t xml:space="preserve"> Incredible Teenage Brain: Everything You Need to Know to Unlock Your Teen’s Potential</w:t>
      </w:r>
      <w:r>
        <w:t>, pp. 162–182. London Publishers. [Online] available at:</w:t>
      </w:r>
      <w:hyperlink r:id="rId7">
        <w:r>
          <w:t xml:space="preserve"> </w:t>
        </w:r>
      </w:hyperlink>
      <w:hyperlink r:id="rId8">
        <w:r>
          <w:rPr>
            <w:u w:val="single"/>
          </w:rPr>
          <w:t>http://dx.doi.org/10.5040/9781805014775.ch-009</w:t>
        </w:r>
      </w:hyperlink>
      <w:r>
        <w:t xml:space="preserve"> [Accessed: 13 May 2026].</w:t>
      </w:r>
    </w:p>
    <w:p w14:paraId="00000052" w14:textId="77777777" w:rsidR="00C41E65" w:rsidRDefault="001C1338">
      <w:pPr>
        <w:spacing w:line="360" w:lineRule="auto"/>
      </w:pPr>
      <w:r>
        <w:rPr>
          <w:highlight w:val="white"/>
        </w:rPr>
        <w:t>Laver-Bradbury, C, Thompson, MJJ, Gale, C, &amp; Hooper, CM (eds). (2021)</w:t>
      </w:r>
      <w:r>
        <w:rPr>
          <w:i/>
          <w:iCs/>
          <w:highlight w:val="white"/>
        </w:rPr>
        <w:t xml:space="preserve"> Child and Adolescent Mental </w:t>
      </w:r>
      <w:proofErr w:type="gramStart"/>
      <w:r>
        <w:rPr>
          <w:i/>
          <w:iCs/>
          <w:highlight w:val="white"/>
        </w:rPr>
        <w:t>Health :</w:t>
      </w:r>
      <w:proofErr w:type="gramEnd"/>
      <w:r>
        <w:rPr>
          <w:i/>
          <w:iCs/>
          <w:highlight w:val="white"/>
        </w:rPr>
        <w:t xml:space="preserve"> Theory and Practice, Taylor &amp; Francis Group, Oxford</w:t>
      </w:r>
      <w:r>
        <w:rPr>
          <w:highlight w:val="white"/>
        </w:rPr>
        <w:t xml:space="preserve">. [Online] available from: ProQuest </w:t>
      </w:r>
      <w:proofErr w:type="spellStart"/>
      <w:r>
        <w:rPr>
          <w:highlight w:val="white"/>
        </w:rPr>
        <w:t>Ebook</w:t>
      </w:r>
      <w:proofErr w:type="spellEnd"/>
      <w:r>
        <w:rPr>
          <w:highlight w:val="white"/>
        </w:rPr>
        <w:t xml:space="preserve"> Central. [Accessed: 12 May 2026].</w:t>
      </w:r>
      <w:r>
        <w:t xml:space="preserve"> </w:t>
      </w:r>
    </w:p>
    <w:p w14:paraId="00000053" w14:textId="77777777" w:rsidR="00C41E65" w:rsidRDefault="00C41E65">
      <w:pPr>
        <w:spacing w:line="360" w:lineRule="auto"/>
      </w:pPr>
    </w:p>
    <w:p w14:paraId="00000054" w14:textId="77777777" w:rsidR="00C41E65" w:rsidRDefault="001C1338">
      <w:pPr>
        <w:spacing w:line="360" w:lineRule="auto"/>
      </w:pPr>
      <w:r>
        <w:t xml:space="preserve">Ratliff, E. L., Morris, A. S., Cui, L., Jespersen, J. E., Silk, J. S., &amp; Criss, M. M. (2023). </w:t>
      </w:r>
      <w:r>
        <w:rPr>
          <w:i/>
          <w:iCs/>
        </w:rPr>
        <w:t>Supportive parent-adolescent relationships as a foundation for adolescent emotion regulation and adjustment. Frontiers in Psychology</w:t>
      </w:r>
      <w:r>
        <w:t>,</w:t>
      </w:r>
      <w:r>
        <w:rPr>
          <w:i/>
          <w:iCs/>
        </w:rPr>
        <w:t xml:space="preserve"> 14, 1193449. </w:t>
      </w:r>
      <w:r>
        <w:t xml:space="preserve">[Online] available at: </w:t>
      </w:r>
      <w:hyperlink r:id="rId9">
        <w:r>
          <w:rPr>
            <w:u w:val="single"/>
          </w:rPr>
          <w:t>https://doi.org/10.3389/fpsyg.2023.1193449</w:t>
        </w:r>
      </w:hyperlink>
      <w:r>
        <w:t>. [Accessed 13 May 2026].</w:t>
      </w:r>
    </w:p>
    <w:p w14:paraId="00000055" w14:textId="77777777" w:rsidR="00C41E65" w:rsidRDefault="00C41E65">
      <w:pPr>
        <w:spacing w:line="360" w:lineRule="auto"/>
      </w:pPr>
    </w:p>
    <w:p w14:paraId="00000056" w14:textId="77777777" w:rsidR="00C41E65" w:rsidRDefault="001C1338">
      <w:pPr>
        <w:spacing w:line="360" w:lineRule="auto"/>
      </w:pPr>
      <w:r>
        <w:t xml:space="preserve">Ryff, C. D. (1989). </w:t>
      </w:r>
      <w:r>
        <w:rPr>
          <w:i/>
          <w:iCs/>
        </w:rPr>
        <w:t>Happiness Is Everything, or Is It? Explorations on the Meaning of Psychological Well-Being</w:t>
      </w:r>
      <w:r>
        <w:t xml:space="preserve">. </w:t>
      </w:r>
      <w:r>
        <w:rPr>
          <w:i/>
          <w:iCs/>
        </w:rPr>
        <w:t>Journal of Personality and Social Psychology</w:t>
      </w:r>
      <w:r>
        <w:t xml:space="preserve">, </w:t>
      </w:r>
      <w:r>
        <w:rPr>
          <w:i/>
          <w:iCs/>
        </w:rPr>
        <w:t>57</w:t>
      </w:r>
      <w:r>
        <w:t xml:space="preserve">(6), 1069–1081. [Online] available at: </w:t>
      </w:r>
      <w:hyperlink r:id="rId10">
        <w:r>
          <w:rPr>
            <w:u w:val="single"/>
          </w:rPr>
          <w:t>https://doi.org/10.1037/0022-3514.57.6.1069</w:t>
        </w:r>
      </w:hyperlink>
      <w:r>
        <w:t>. [Accessed 9 May 2026]</w:t>
      </w:r>
    </w:p>
    <w:p w14:paraId="00000057" w14:textId="77777777" w:rsidR="00C41E65" w:rsidRDefault="00C41E65">
      <w:pPr>
        <w:spacing w:line="360" w:lineRule="auto"/>
      </w:pPr>
    </w:p>
    <w:p w14:paraId="00000058" w14:textId="77777777" w:rsidR="00C41E65" w:rsidRDefault="001C1338">
      <w:pPr>
        <w:spacing w:line="360" w:lineRule="auto"/>
      </w:pPr>
      <w:r>
        <w:t xml:space="preserve">Stevenson, A. (2010) </w:t>
      </w:r>
      <w:r>
        <w:rPr>
          <w:i/>
          <w:iCs/>
        </w:rPr>
        <w:t>Oxford Dictionary of English</w:t>
      </w:r>
      <w:r>
        <w:t>. Oxford: Oxford University Press. [Online]. available at:</w:t>
      </w:r>
      <w:hyperlink r:id="rId11">
        <w:r>
          <w:t xml:space="preserve"> </w:t>
        </w:r>
      </w:hyperlink>
      <w:hyperlink r:id="rId12">
        <w:r>
          <w:rPr>
            <w:u w:val="single"/>
          </w:rPr>
          <w:t>https://www-oxfordreference-</w:t>
        </w:r>
        <w:r>
          <w:rPr>
            <w:u w:val="single"/>
          </w:rPr>
          <w:lastRenderedPageBreak/>
          <w:t>com.uwtsd.idm.oclc.org/view/10.1093/acref/9780199571123.001.0001/m_en_gb0009330</w:t>
        </w:r>
      </w:hyperlink>
      <w:r>
        <w:t xml:space="preserve">. [Accessed: 11 May 2026]. </w:t>
      </w:r>
    </w:p>
    <w:p w14:paraId="00000059" w14:textId="77777777" w:rsidR="00C41E65" w:rsidRDefault="00C41E65">
      <w:pPr>
        <w:spacing w:line="360" w:lineRule="auto"/>
      </w:pPr>
    </w:p>
    <w:p w14:paraId="0000005A" w14:textId="77777777" w:rsidR="00C41E65" w:rsidRDefault="001C1338">
      <w:pPr>
        <w:spacing w:line="360" w:lineRule="auto"/>
      </w:pPr>
      <w:r>
        <w:t>Street Doctors. (</w:t>
      </w:r>
      <w:proofErr w:type="spellStart"/>
      <w:r>
        <w:t>n.d</w:t>
      </w:r>
      <w:proofErr w:type="spellEnd"/>
      <w:r>
        <w:t xml:space="preserve">) </w:t>
      </w:r>
      <w:r>
        <w:rPr>
          <w:i/>
          <w:iCs/>
        </w:rPr>
        <w:t>Our Purpose</w:t>
      </w:r>
      <w:r>
        <w:t xml:space="preserve">. [Online] available at:  </w:t>
      </w:r>
      <w:hyperlink r:id="rId13">
        <w:r>
          <w:rPr>
            <w:u w:val="single"/>
          </w:rPr>
          <w:t>https://streetdoctors.org/about-streetdoctors/our-purpose/</w:t>
        </w:r>
      </w:hyperlink>
      <w:r>
        <w:t>. [Accessed: 13 May 2026]</w:t>
      </w:r>
    </w:p>
    <w:p w14:paraId="0000005B" w14:textId="77777777" w:rsidR="00C41E65" w:rsidRDefault="001C1338">
      <w:pPr>
        <w:spacing w:line="360" w:lineRule="auto"/>
      </w:pPr>
      <w:r>
        <w:t xml:space="preserve">World Health Organization. (2020) </w:t>
      </w:r>
      <w:r>
        <w:rPr>
          <w:i/>
          <w:iCs/>
        </w:rPr>
        <w:t>Adolescent health and development</w:t>
      </w:r>
      <w:r>
        <w:t>. [Online] available at:</w:t>
      </w:r>
      <w:hyperlink r:id="rId14">
        <w:r>
          <w:t xml:space="preserve"> </w:t>
        </w:r>
      </w:hyperlink>
      <w:hyperlink r:id="rId15">
        <w:r>
          <w:rPr>
            <w:u w:val="single"/>
          </w:rPr>
          <w:t>https://www.who.int/news-room/questions-and-answers/item/adolescent-health-and-development</w:t>
        </w:r>
      </w:hyperlink>
      <w:r>
        <w:t xml:space="preserve">. [Accessed: 9 May 2026]. </w:t>
      </w:r>
    </w:p>
    <w:p w14:paraId="0000005C" w14:textId="77777777" w:rsidR="00C41E65" w:rsidRDefault="00C41E65">
      <w:pPr>
        <w:spacing w:line="360" w:lineRule="auto"/>
      </w:pPr>
    </w:p>
    <w:p w14:paraId="0000005D" w14:textId="77777777" w:rsidR="00C41E65" w:rsidRDefault="001C1338">
      <w:pPr>
        <w:spacing w:line="360" w:lineRule="auto"/>
      </w:pPr>
      <w:r>
        <w:rPr>
          <w:highlight w:val="white"/>
        </w:rPr>
        <w:t xml:space="preserve">United Nations. (1989). </w:t>
      </w:r>
      <w:r>
        <w:rPr>
          <w:i/>
          <w:iCs/>
          <w:highlight w:val="white"/>
        </w:rPr>
        <w:t>Convention on the Rights of the Child</w:t>
      </w:r>
      <w:r>
        <w:t xml:space="preserve">. [Online] available at: </w:t>
      </w:r>
      <w:hyperlink r:id="rId16">
        <w:r>
          <w:rPr>
            <w:u w:val="single"/>
          </w:rPr>
          <w:t>https://www.unicef.org.uk/wp-content/uploads/2016/08/unicef-convention-rights-child-uncrc.pdf</w:t>
        </w:r>
      </w:hyperlink>
      <w:r>
        <w:t xml:space="preserve">. [Accessed: 10 May 2026]. </w:t>
      </w:r>
    </w:p>
    <w:p w14:paraId="0000005E" w14:textId="77777777" w:rsidR="00C41E65" w:rsidRDefault="00C41E65">
      <w:pPr>
        <w:spacing w:line="360" w:lineRule="auto"/>
      </w:pPr>
    </w:p>
    <w:p w14:paraId="0000005F" w14:textId="77777777" w:rsidR="00C41E65" w:rsidRDefault="001C1338">
      <w:pPr>
        <w:spacing w:line="360" w:lineRule="auto"/>
      </w:pPr>
      <w:r>
        <w:t xml:space="preserve">Youth Work in Wales Review Group (2022) </w:t>
      </w:r>
      <w:r>
        <w:rPr>
          <w:i/>
          <w:iCs/>
        </w:rPr>
        <w:t>Youth Work in Wales: Principles and Purposes</w:t>
      </w:r>
      <w:r>
        <w:t>. Cardiff: Welsh Government / CWVYS &amp; WLGA</w:t>
      </w:r>
    </w:p>
    <w:p w14:paraId="00000060" w14:textId="77777777" w:rsidR="00C41E65" w:rsidRDefault="00C41E65">
      <w:pPr>
        <w:spacing w:line="360" w:lineRule="auto"/>
      </w:pPr>
    </w:p>
    <w:p w14:paraId="00000061" w14:textId="77777777" w:rsidR="00C41E65" w:rsidRDefault="00C41E65">
      <w:pPr>
        <w:spacing w:line="360" w:lineRule="auto"/>
      </w:pPr>
    </w:p>
    <w:p w14:paraId="00000062" w14:textId="77777777" w:rsidR="00C41E65" w:rsidRDefault="00C41E65">
      <w:pPr>
        <w:spacing w:line="360" w:lineRule="auto"/>
      </w:pPr>
    </w:p>
    <w:p w14:paraId="00000063" w14:textId="77777777" w:rsidR="00C41E65" w:rsidRDefault="00C41E65">
      <w:pPr>
        <w:spacing w:line="360" w:lineRule="auto"/>
      </w:pPr>
    </w:p>
    <w:p w14:paraId="00000064" w14:textId="77777777" w:rsidR="00C41E65" w:rsidRDefault="00C41E65">
      <w:pPr>
        <w:spacing w:line="360" w:lineRule="auto"/>
      </w:pPr>
    </w:p>
    <w:p w14:paraId="00000065" w14:textId="77777777" w:rsidR="00C41E65" w:rsidRDefault="00C41E65">
      <w:pPr>
        <w:spacing w:before="200" w:line="360" w:lineRule="auto"/>
      </w:pPr>
    </w:p>
    <w:p w14:paraId="00000066" w14:textId="77777777" w:rsidR="00C41E65" w:rsidRDefault="00C41E65">
      <w:pPr>
        <w:pStyle w:val="Heading1"/>
        <w:keepNext w:val="0"/>
        <w:keepLines w:val="0"/>
        <w:shd w:val="clear" w:color="auto" w:fill="FFFFFF"/>
        <w:spacing w:before="480"/>
        <w:rPr>
          <w:color w:val="555555"/>
          <w:sz w:val="46"/>
          <w:szCs w:val="46"/>
        </w:rPr>
      </w:pPr>
      <w:bookmarkStart w:id="0" w:name="_s3iirwcv98du" w:colFirst="0" w:colLast="0"/>
      <w:bookmarkEnd w:id="0"/>
    </w:p>
    <w:p w14:paraId="00000067" w14:textId="77777777" w:rsidR="00C41E65" w:rsidRDefault="00C41E65"/>
    <w:p w14:paraId="00000068" w14:textId="77777777" w:rsidR="00C41E65" w:rsidRDefault="00C41E65"/>
    <w:p w14:paraId="00000069" w14:textId="77777777" w:rsidR="00C41E65" w:rsidRDefault="00C41E65">
      <w:pPr>
        <w:spacing w:line="360" w:lineRule="auto"/>
        <w:ind w:hanging="30"/>
        <w:rPr>
          <w:sz w:val="24"/>
          <w:szCs w:val="24"/>
        </w:rPr>
      </w:pPr>
    </w:p>
    <w:p w14:paraId="0000006A" w14:textId="77777777" w:rsidR="00C41E65" w:rsidRDefault="00C41E65">
      <w:pPr>
        <w:spacing w:line="360" w:lineRule="auto"/>
        <w:ind w:hanging="30"/>
        <w:rPr>
          <w:sz w:val="24"/>
          <w:szCs w:val="24"/>
        </w:rPr>
      </w:pPr>
    </w:p>
    <w:p w14:paraId="0000006B" w14:textId="77777777" w:rsidR="00C41E65" w:rsidRDefault="00C41E65">
      <w:pPr>
        <w:spacing w:line="360" w:lineRule="auto"/>
        <w:ind w:hanging="30"/>
        <w:rPr>
          <w:sz w:val="24"/>
          <w:szCs w:val="24"/>
        </w:rPr>
      </w:pPr>
    </w:p>
    <w:p w14:paraId="0000006C" w14:textId="77777777" w:rsidR="00C41E65" w:rsidRDefault="00C41E65">
      <w:pPr>
        <w:spacing w:line="360" w:lineRule="auto"/>
        <w:ind w:hanging="30"/>
        <w:rPr>
          <w:sz w:val="24"/>
          <w:szCs w:val="24"/>
        </w:rPr>
      </w:pPr>
    </w:p>
    <w:p w14:paraId="0000006D" w14:textId="77777777" w:rsidR="00C41E65" w:rsidRDefault="00C41E65">
      <w:pPr>
        <w:shd w:val="clear" w:color="auto" w:fill="FFFFFF"/>
        <w:spacing w:before="240" w:after="240" w:line="360" w:lineRule="auto"/>
        <w:rPr>
          <w:rFonts w:ascii="Calibri" w:eastAsia="Calibri" w:hAnsi="Calibri" w:cs="Calibri"/>
          <w:sz w:val="24"/>
          <w:szCs w:val="24"/>
        </w:rPr>
      </w:pPr>
    </w:p>
    <w:p w14:paraId="0000006E" w14:textId="77777777" w:rsidR="00C41E65" w:rsidRDefault="00C41E65"/>
    <w:sectPr w:rsidR="00C41E6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FA4C1B2-ECD6-4813-88F1-2ACBBF34ED9E}"/>
  </w:font>
  <w:font w:name="Cambria">
    <w:panose1 w:val="02040503050406030204"/>
    <w:charset w:val="00"/>
    <w:family w:val="roman"/>
    <w:pitch w:val="variable"/>
    <w:sig w:usb0="E00006FF" w:usb1="420024FF" w:usb2="02000000" w:usb3="00000000" w:csb0="0000019F" w:csb1="00000000"/>
    <w:embedRegular r:id="rId2" w:fontKey="{4DF6851D-7EC2-4AFD-954E-9AA23EFD6D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1E9E"/>
    <w:multiLevelType w:val="multilevel"/>
    <w:tmpl w:val="8E0A7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B44940"/>
    <w:multiLevelType w:val="multilevel"/>
    <w:tmpl w:val="A9883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4E597F"/>
    <w:multiLevelType w:val="multilevel"/>
    <w:tmpl w:val="67580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17415D"/>
    <w:multiLevelType w:val="multilevel"/>
    <w:tmpl w:val="BBE24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8797768">
    <w:abstractNumId w:val="0"/>
  </w:num>
  <w:num w:numId="2" w16cid:durableId="835222604">
    <w:abstractNumId w:val="2"/>
  </w:num>
  <w:num w:numId="3" w16cid:durableId="1580292944">
    <w:abstractNumId w:val="1"/>
  </w:num>
  <w:num w:numId="4" w16cid:durableId="254098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E65"/>
    <w:rsid w:val="001813EB"/>
    <w:rsid w:val="0058636B"/>
    <w:rsid w:val="00BC3E40"/>
    <w:rsid w:val="00C41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EAA4F"/>
  <w15:docId w15:val="{1ADA4F25-C09A-436A-8589-1D192EBB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x.doi.org/10.5040/9781805014775.ch-009" TargetMode="External"/><Relationship Id="rId13" Type="http://schemas.openxmlformats.org/officeDocument/2006/relationships/hyperlink" Target="https://streetdoctors.org/about-streetdoctors/our-purpos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x.doi.org/10.5040/9781805014775.ch-009" TargetMode="External"/><Relationship Id="rId12" Type="http://schemas.openxmlformats.org/officeDocument/2006/relationships/hyperlink" Target="https://www-oxfordreference-com.uwtsd.idm.oclc.org/view/10.1093/acref/9780199571123.001.0001/m_en_gb00093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icef.org.uk/wp-content/uploads/2016/08/unicef-convention-rights-child-uncrc.pdf" TargetMode="External"/><Relationship Id="rId1" Type="http://schemas.openxmlformats.org/officeDocument/2006/relationships/numbering" Target="numbering.xml"/><Relationship Id="rId6" Type="http://schemas.openxmlformats.org/officeDocument/2006/relationships/hyperlink" Target="https://doi-org.uwtsd.idm.oclc.org/10.1177/0963721413480170" TargetMode="External"/><Relationship Id="rId11" Type="http://schemas.openxmlformats.org/officeDocument/2006/relationships/hyperlink" Target="https://www-oxfordreference-com.uwtsd.idm.oclc.org/view/10.1093/acref/9780199571123.001.0001/m_en_gb0009330" TargetMode="External"/><Relationship Id="rId5" Type="http://schemas.openxmlformats.org/officeDocument/2006/relationships/hyperlink" Target="https://ia601807.us.archive.org/14/items/BanduraSocialLearningTheory/Bandura_SocialLearningTheory_text.pdf" TargetMode="External"/><Relationship Id="rId15" Type="http://schemas.openxmlformats.org/officeDocument/2006/relationships/hyperlink" Target="https://www.who.int/news-room/questions-and-answers/item/adolescent-health-and-development" TargetMode="External"/><Relationship Id="rId10" Type="http://schemas.openxmlformats.org/officeDocument/2006/relationships/hyperlink" Target="https://doi.org/10.1037/0022-3514.57.6.1069" TargetMode="External"/><Relationship Id="rId4" Type="http://schemas.openxmlformats.org/officeDocument/2006/relationships/webSettings" Target="webSettings.xml"/><Relationship Id="rId9" Type="http://schemas.openxmlformats.org/officeDocument/2006/relationships/hyperlink" Target="https://doi.org/10.3389/fpsyg.2023.1193449" TargetMode="External"/><Relationship Id="rId14" Type="http://schemas.openxmlformats.org/officeDocument/2006/relationships/hyperlink" Target="https://www.who.int/news-room/questions-and-answers/item/adolescent-health-and-developmen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1541</Words>
  <Characters>8789</Characters>
  <Application>Microsoft Office Word</Application>
  <DocSecurity>0</DocSecurity>
  <Lines>73</Lines>
  <Paragraphs>20</Paragraphs>
  <ScaleCrop>false</ScaleCrop>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Abbie Roberts</dc:creator>
  <cp:lastModifiedBy>Abbie Roberts</cp:lastModifiedBy>
  <cp:revision>2</cp:revision>
  <dcterms:created xsi:type="dcterms:W3CDTF">2026-05-14T12:56:00Z</dcterms:created>
  <dcterms:modified xsi:type="dcterms:W3CDTF">2026-05-14T12:56:00Z</dcterms:modified>
</cp:coreProperties>
</file>