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ECEF3" w14:textId="005D67E1" w:rsidR="00076047" w:rsidRPr="00A92D43" w:rsidRDefault="00076047" w:rsidP="004C18B4">
      <w:pPr>
        <w:spacing w:line="276" w:lineRule="auto"/>
        <w:rPr>
          <w:sz w:val="24"/>
          <w:szCs w:val="24"/>
        </w:rPr>
      </w:pPr>
      <w:r w:rsidRPr="00A92D43">
        <w:rPr>
          <w:b/>
          <w:bCs/>
          <w:sz w:val="24"/>
          <w:szCs w:val="24"/>
          <w:u w:val="single"/>
        </w:rPr>
        <w:t xml:space="preserve">Equality, </w:t>
      </w:r>
      <w:proofErr w:type="gramStart"/>
      <w:r w:rsidRPr="00A92D43">
        <w:rPr>
          <w:b/>
          <w:bCs/>
          <w:sz w:val="24"/>
          <w:szCs w:val="24"/>
          <w:u w:val="single"/>
        </w:rPr>
        <w:t>Diversity</w:t>
      </w:r>
      <w:proofErr w:type="gramEnd"/>
      <w:r w:rsidRPr="00A92D43">
        <w:rPr>
          <w:b/>
          <w:bCs/>
          <w:sz w:val="24"/>
          <w:szCs w:val="24"/>
          <w:u w:val="single"/>
        </w:rPr>
        <w:t xml:space="preserve"> and Inclusive Practice Assignment 1</w:t>
      </w:r>
    </w:p>
    <w:p w14:paraId="7A138771" w14:textId="77777777" w:rsidR="006B3AD1" w:rsidRPr="006B3AD1" w:rsidRDefault="00B06781" w:rsidP="006B3AD1">
      <w:pPr>
        <w:spacing w:line="276" w:lineRule="auto"/>
        <w:ind w:firstLine="720"/>
        <w:rPr>
          <w:rFonts w:cstheme="minorHAnsi"/>
          <w:sz w:val="24"/>
          <w:szCs w:val="24"/>
        </w:rPr>
      </w:pPr>
      <w:r w:rsidRPr="00A92D43">
        <w:rPr>
          <w:rFonts w:cstheme="minorHAnsi"/>
          <w:sz w:val="24"/>
          <w:szCs w:val="24"/>
        </w:rPr>
        <w:t xml:space="preserve">In 1904, the United Kingdom Government enabled the Prevention of Cruelty to </w:t>
      </w:r>
      <w:r w:rsidR="006B3AD1" w:rsidRPr="006B3AD1">
        <w:rPr>
          <w:rFonts w:cstheme="minorHAnsi"/>
          <w:sz w:val="24"/>
          <w:szCs w:val="24"/>
        </w:rPr>
        <w:t>Children Act to allow to employ inspectors (Williams, 2008). These inspectors were employed to inspect the homes of children who were believed to be at risk of abuse or neglect, to evaluate their families and lifestyles to ensure that their emotional and physical needs were being met by their caregivers. If the inspector found that the child was living in poor conditions, they were now permitted to remove them from the neglectful or abusive home (Issues Online, 2021).</w:t>
      </w:r>
    </w:p>
    <w:p w14:paraId="5A3FEF3D"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Four years later, the Liberal government passed the 1908 Children's Act, also known as the 'Children's Charter,' and replaced the Industrial School's Act. The Act was hugely helpful towards eliminating infanticide - the intentional killing of infants - as it made it a legal requirement for foster parents to register themselves which maintained baby-</w:t>
      </w:r>
      <w:proofErr w:type="gramStart"/>
      <w:r w:rsidRPr="006B3AD1">
        <w:rPr>
          <w:rFonts w:cstheme="minorHAnsi"/>
          <w:sz w:val="24"/>
          <w:szCs w:val="24"/>
        </w:rPr>
        <w:t>farming</w:t>
      </w:r>
      <w:proofErr w:type="gramEnd"/>
      <w:r w:rsidRPr="006B3AD1">
        <w:rPr>
          <w:rFonts w:cstheme="minorHAnsi"/>
          <w:sz w:val="24"/>
          <w:szCs w:val="24"/>
        </w:rPr>
        <w:t xml:space="preserve"> which was the practice of exchanging babies for payment, a fairly common occurrence during Victorian Britain. Any adult in charge of a child or children under the age of seven-years-old had to "inform the local authority, within 48 hours that they were minding a child" (Intriguing History, 2012). It was possible that an inspector could evaluate the childminder and declare how many children it was suitable for them to care for at a </w:t>
      </w:r>
      <w:proofErr w:type="gramStart"/>
      <w:r w:rsidRPr="006B3AD1">
        <w:rPr>
          <w:rFonts w:cstheme="minorHAnsi"/>
          <w:sz w:val="24"/>
          <w:szCs w:val="24"/>
        </w:rPr>
        <w:t>time, and</w:t>
      </w:r>
      <w:proofErr w:type="gramEnd"/>
      <w:r w:rsidRPr="006B3AD1">
        <w:rPr>
          <w:rFonts w:cstheme="minorHAnsi"/>
          <w:sz w:val="24"/>
          <w:szCs w:val="24"/>
        </w:rPr>
        <w:t xml:space="preserve"> could choose to take the child(ren) away if they felt the child's health and safety was at risk. Furthermore, the Act made strides in keeping children in poverty out of workhouses, usually an extremely dangerous environment (Children Act, 1908). Juvenile courts, also known as 'juvie,' were established, so children were no longer being placed in adult prisons nor could they be executed for crimes, though they could be whipped still.</w:t>
      </w:r>
    </w:p>
    <w:p w14:paraId="61C9D44B"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The Sexual Offenders Act 1956 was an act of Parliament that focused on the issue of sexual assault in the United Kingdom and clearly defined the meaning of rape, including the use of drugs and incest. This relates to children under the age of eighteen as the Act stated that it was an offence for a person over the age of eighteen to intentionally touch someone under the age of sixteen in a sexual manner under any circumstances (Sexual Offences Act, 2003). This helped to save countless young people from sexual abuse at a young age and was a great step towards children's safety in Britain.</w:t>
      </w:r>
    </w:p>
    <w:p w14:paraId="16E238FC"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 xml:space="preserve">In 1967, David Steel, the Labour MP, sponsored the Abortion Act, originally an Abortion Law Reform Bill. The Act legalises abortions in the United Kingdom, but only in particular circumstances. Prior to this, abortion had been illegal on all grounds, but was eventually altered for the sole exception of when the pregnant woman was at risk of death. This archaic law was questioned and confronted by Doctor Alex </w:t>
      </w:r>
      <w:proofErr w:type="spellStart"/>
      <w:r w:rsidRPr="006B3AD1">
        <w:rPr>
          <w:rFonts w:cstheme="minorHAnsi"/>
          <w:sz w:val="24"/>
          <w:szCs w:val="24"/>
        </w:rPr>
        <w:t>Bourne</w:t>
      </w:r>
      <w:proofErr w:type="spellEnd"/>
      <w:r w:rsidRPr="006B3AD1">
        <w:rPr>
          <w:rFonts w:cstheme="minorHAnsi"/>
          <w:sz w:val="24"/>
          <w:szCs w:val="24"/>
        </w:rPr>
        <w:t xml:space="preserve"> in 1938 when he intentionally defied the law by performing an abortion on a girl who had been the victim of rape which resulted in an unwanted pregnancy at the young age of fourteen, despite the fact she did not seem to be in danger of dying. This became known as the '</w:t>
      </w:r>
      <w:proofErr w:type="spellStart"/>
      <w:r w:rsidRPr="006B3AD1">
        <w:rPr>
          <w:rFonts w:cstheme="minorHAnsi"/>
          <w:sz w:val="24"/>
          <w:szCs w:val="24"/>
        </w:rPr>
        <w:t>Bourne</w:t>
      </w:r>
      <w:proofErr w:type="spellEnd"/>
      <w:r w:rsidRPr="006B3AD1">
        <w:rPr>
          <w:rFonts w:cstheme="minorHAnsi"/>
          <w:sz w:val="24"/>
          <w:szCs w:val="24"/>
        </w:rPr>
        <w:t xml:space="preserve"> Judgement' and it was now legal for women to have an abortion if the pregnancy caused them significant physical or emotional distress. The Abortion Act 1967, David Steel and </w:t>
      </w:r>
      <w:r w:rsidRPr="006B3AD1">
        <w:rPr>
          <w:rFonts w:cstheme="minorHAnsi"/>
          <w:sz w:val="24"/>
          <w:szCs w:val="24"/>
        </w:rPr>
        <w:lastRenderedPageBreak/>
        <w:t>others expanded the circumstances in which an abortion could be allowed. This had an impact on youths under the age of eighteen as "more than a million and a half women" were banished and hidden away in shame at maternity homes during pregnancies out-of-wedlock following the decades after World War Two (</w:t>
      </w:r>
      <w:proofErr w:type="spellStart"/>
      <w:r w:rsidRPr="006B3AD1">
        <w:rPr>
          <w:rFonts w:cstheme="minorHAnsi"/>
          <w:sz w:val="24"/>
          <w:szCs w:val="24"/>
        </w:rPr>
        <w:t>Karnasiewicz</w:t>
      </w:r>
      <w:proofErr w:type="spellEnd"/>
      <w:r w:rsidRPr="006B3AD1">
        <w:rPr>
          <w:rFonts w:cstheme="minorHAnsi"/>
          <w:sz w:val="24"/>
          <w:szCs w:val="24"/>
        </w:rPr>
        <w:t xml:space="preserve">, 2006). Following nine months locked away in a facility for unwed women, they were often forced to give their children for adoption or, in some cases, would have to claim the child was their sibling and not their own. The women in these situations were often eighteen or younger, and their right to decide what they wanted for their bodies was not given to them as it should. While the Abortion Law did not fix this entirely, it was a step in the right </w:t>
      </w:r>
      <w:proofErr w:type="gramStart"/>
      <w:r w:rsidRPr="006B3AD1">
        <w:rPr>
          <w:rFonts w:cstheme="minorHAnsi"/>
          <w:sz w:val="24"/>
          <w:szCs w:val="24"/>
        </w:rPr>
        <w:t>direction</w:t>
      </w:r>
      <w:proofErr w:type="gramEnd"/>
      <w:r w:rsidRPr="006B3AD1">
        <w:rPr>
          <w:rFonts w:cstheme="minorHAnsi"/>
          <w:sz w:val="24"/>
          <w:szCs w:val="24"/>
        </w:rPr>
        <w:t xml:space="preserve"> and it made a difference. In 2004, David Steel wrote an article for The Guardian titled 'We need to rethink my abortion law' in which he discussed this, that changes should be made to the law and that women have the right to decide what they want for their bodies (Steel, 2004).</w:t>
      </w:r>
    </w:p>
    <w:p w14:paraId="7FB0D90F"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In 1975, the Sex Discrimination Act was passed in British Parliament (</w:t>
      </w:r>
      <w:proofErr w:type="spellStart"/>
      <w:r w:rsidRPr="006B3AD1">
        <w:rPr>
          <w:rFonts w:cstheme="minorHAnsi"/>
          <w:sz w:val="24"/>
          <w:szCs w:val="24"/>
        </w:rPr>
        <w:t>Horrocks</w:t>
      </w:r>
      <w:proofErr w:type="spellEnd"/>
      <w:r w:rsidRPr="006B3AD1">
        <w:rPr>
          <w:rFonts w:cstheme="minorHAnsi"/>
          <w:sz w:val="24"/>
          <w:szCs w:val="24"/>
        </w:rPr>
        <w:t xml:space="preserve">, 2019). The Sex Discrimination Act was put in place to protect both men and women from discrimination regarding sex, </w:t>
      </w:r>
      <w:proofErr w:type="gramStart"/>
      <w:r w:rsidRPr="006B3AD1">
        <w:rPr>
          <w:rFonts w:cstheme="minorHAnsi"/>
          <w:sz w:val="24"/>
          <w:szCs w:val="24"/>
        </w:rPr>
        <w:t>gender</w:t>
      </w:r>
      <w:proofErr w:type="gramEnd"/>
      <w:r w:rsidRPr="006B3AD1">
        <w:rPr>
          <w:rFonts w:cstheme="minorHAnsi"/>
          <w:sz w:val="24"/>
          <w:szCs w:val="24"/>
        </w:rPr>
        <w:t xml:space="preserve"> and matrimonial status. It included a variety of circumstances, such as "employment, training, education, harassment, the provision of goods and services, and the disposal of premises" (Wadhawan, 2019). This affected those eighteen and under as well as adults as it impacted the educational system, </w:t>
      </w:r>
      <w:proofErr w:type="gramStart"/>
      <w:r w:rsidRPr="006B3AD1">
        <w:rPr>
          <w:rFonts w:cstheme="minorHAnsi"/>
          <w:sz w:val="24"/>
          <w:szCs w:val="24"/>
        </w:rPr>
        <w:t>and also</w:t>
      </w:r>
      <w:proofErr w:type="gramEnd"/>
      <w:r w:rsidRPr="006B3AD1">
        <w:rPr>
          <w:rFonts w:cstheme="minorHAnsi"/>
          <w:sz w:val="24"/>
          <w:szCs w:val="24"/>
        </w:rPr>
        <w:t xml:space="preserve"> many school-age children had jobs after school hours and on weekends. Some types of discrimination on the grounds of marriage and sex were outlawed and a Commission was established with the intention of the eventual eradication of discrimination of these types of discrimination and encourage equal rights and opportunities for women and men. Since 1975, the law has been altered and revised throughout the years as people have grown more understanding regarding the harsh impacts of sexism in society, but the initial Sex Discrimination Act 1975 served as preliminary for stricter actions that would be taken in the future. In previous years, the Act has superseded by the Equality Act 2010 which was "intended to unify and simplify British discrimination laws" as the world had progressed and developed in leaps over the previous decades (Hand, 2015).</w:t>
      </w:r>
    </w:p>
    <w:p w14:paraId="3E841986"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 xml:space="preserve">The Swann Report was a report written as a "response of the education service to ethnic diversity concerns all who have responsibilities in education as well as all parents and their children" (Swann Report, 1985). In 1985, the Swann Committee of Enquiry into the Education of Children from Ethnic Minority Groups published the report that addressed the problems within the educational system which was the way to best educate "all children for life in a multiracial and multicultural society" rather than how to educate ethnic minority children (Runnymede, 2021). It was finally decided that education needed to tackle the issue of racism within the system, correct harmful stereotypes, and combat the myths passed down through generations of racism and prejudice that was prominent in the system, placing a new importance on understanding a diverse range of cultures. The Committee came to the </w:t>
      </w:r>
      <w:proofErr w:type="gramStart"/>
      <w:r w:rsidRPr="006B3AD1">
        <w:rPr>
          <w:rFonts w:cstheme="minorHAnsi"/>
          <w:sz w:val="24"/>
          <w:szCs w:val="24"/>
        </w:rPr>
        <w:t>eventual conclusion</w:t>
      </w:r>
      <w:proofErr w:type="gramEnd"/>
      <w:r w:rsidRPr="006B3AD1">
        <w:rPr>
          <w:rFonts w:cstheme="minorHAnsi"/>
          <w:sz w:val="24"/>
          <w:szCs w:val="24"/>
        </w:rPr>
        <w:t xml:space="preserve"> that incorporating multicultural understanding into the education system was the way to move towards equal opportunities for students of all </w:t>
      </w:r>
      <w:r w:rsidRPr="006B3AD1">
        <w:rPr>
          <w:rFonts w:cstheme="minorHAnsi"/>
          <w:sz w:val="24"/>
          <w:szCs w:val="24"/>
        </w:rPr>
        <w:lastRenderedPageBreak/>
        <w:t>ethnicities, which was the main goal of the system. It was stated that children of West Indian descent were, on average, underachieving in comparison to their Caucasian classmates, but it was thankfully recognised that this was not a reflection of the intelligent quotient after the committee investigated the matter. This led to the questioning of the system, and the Committee concluded that the prejudice surrounding race throughout society, from education to employment and every aspect in between. Moreover, it was concluded that the overall underachievement of these students was largely a result of racial prejudice which was manifested into discrimination that was directly aimed towards the children in schools and in general, though the evidence for this was undetermined, and that this impacted their performance negatively within an educational setting.</w:t>
      </w:r>
    </w:p>
    <w:p w14:paraId="6CD3F3EE"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 xml:space="preserve">Over the twentieth century and twenty-first century thus far, humanity has made more improvements to the rights of children and young adults than in previous centuries. The Prevention of Cruelty to Children Act 1904 enabled the National Society for the Prevention of Cruelty to Children and helped save countless children from abusive and neglectful homes. The Children’s Act 1908 further saved children, particularly infants who were at a high risk of infanticide at the time due to the previous lack of regulations surrounding childminding and foster parenting. Furthermore, the new laws saved many poor children from the workhouse. The workhouse was a horrendous environment and a dangerous place for children (Sylvester, 2020). The Sexual Offenders Act 1956 outlawed sexual relationships with children under sixteen years of age </w:t>
      </w:r>
      <w:proofErr w:type="gramStart"/>
      <w:r w:rsidRPr="006B3AD1">
        <w:rPr>
          <w:rFonts w:cstheme="minorHAnsi"/>
          <w:sz w:val="24"/>
          <w:szCs w:val="24"/>
        </w:rPr>
        <w:t>and also</w:t>
      </w:r>
      <w:proofErr w:type="gramEnd"/>
      <w:r w:rsidRPr="006B3AD1">
        <w:rPr>
          <w:rFonts w:cstheme="minorHAnsi"/>
          <w:sz w:val="24"/>
          <w:szCs w:val="24"/>
        </w:rPr>
        <w:t xml:space="preserve"> incest, preventing many young people from being the victims of sexual assault and grooming. The Abortion Act 1967 gave young women more rights over their own bodies and gave them choices about their own lives which they previously had not been given, preventing another generation of young women from being forced into maternity homes. The Sex Discrimination Act 1975 outlawed discrimination based on gender, but to say that this solved the issue would be foolish as, even forty-six years later, sexism is still prominent in today’s society; </w:t>
      </w:r>
      <w:proofErr w:type="gramStart"/>
      <w:r w:rsidRPr="006B3AD1">
        <w:rPr>
          <w:rFonts w:cstheme="minorHAnsi"/>
          <w:sz w:val="24"/>
          <w:szCs w:val="24"/>
        </w:rPr>
        <w:t>however</w:t>
      </w:r>
      <w:proofErr w:type="gramEnd"/>
      <w:r w:rsidRPr="006B3AD1">
        <w:rPr>
          <w:rFonts w:cstheme="minorHAnsi"/>
          <w:sz w:val="24"/>
          <w:szCs w:val="24"/>
        </w:rPr>
        <w:t xml:space="preserve"> it was a large step towards gender equality and impacted the lives of young people. The Swann Report 1985 helped children from ethnic minority groups get the equal education they deserved.</w:t>
      </w:r>
    </w:p>
    <w:p w14:paraId="1A41F1E4" w14:textId="77777777" w:rsidR="006B3AD1" w:rsidRPr="006B3AD1" w:rsidRDefault="006B3AD1" w:rsidP="006B3AD1">
      <w:pPr>
        <w:spacing w:line="276" w:lineRule="auto"/>
        <w:ind w:firstLine="720"/>
        <w:rPr>
          <w:rFonts w:cstheme="minorHAnsi"/>
          <w:sz w:val="24"/>
          <w:szCs w:val="24"/>
        </w:rPr>
      </w:pPr>
      <w:r w:rsidRPr="006B3AD1">
        <w:rPr>
          <w:rFonts w:cstheme="minorHAnsi"/>
          <w:sz w:val="24"/>
          <w:szCs w:val="24"/>
        </w:rPr>
        <w:t xml:space="preserve">Autistic spectrum disorders are a "diverse group of conditions" which can be noticed at a young age, but often are left undiagnosed until later in life (World Health Organisation, 2021). The lack of knowledge on the subject has left many people with undiagnosed autism due to caregivers not being able to identify signs of autism in their children, and adults being unaware of signs they themselves show. Research has revealed that 25% of children with autism are undiagnosed (Wiggins, 2020). While society is more educated than ever before </w:t>
      </w:r>
      <w:proofErr w:type="gramStart"/>
      <w:r w:rsidRPr="006B3AD1">
        <w:rPr>
          <w:rFonts w:cstheme="minorHAnsi"/>
          <w:sz w:val="24"/>
          <w:szCs w:val="24"/>
        </w:rPr>
        <w:t>on the subject of autism</w:t>
      </w:r>
      <w:proofErr w:type="gramEnd"/>
      <w:r w:rsidRPr="006B3AD1">
        <w:rPr>
          <w:rFonts w:cstheme="minorHAnsi"/>
          <w:sz w:val="24"/>
          <w:szCs w:val="24"/>
        </w:rPr>
        <w:t xml:space="preserve">, there is sadly still a lot of stigma revolving around autism and much misinformation is spread about the topic. There are many misconceptions about autism which has caused many people to believe having autism is something to be ashamed which, of course, it is not. There are a variety of harmful myths about autism that have left some people to believe the term 'autistic' is an insult. It is a common myth, for example, </w:t>
      </w:r>
      <w:r w:rsidRPr="006B3AD1">
        <w:rPr>
          <w:rFonts w:cstheme="minorHAnsi"/>
          <w:sz w:val="24"/>
          <w:szCs w:val="24"/>
        </w:rPr>
        <w:lastRenderedPageBreak/>
        <w:t>that autism is synonymous with bad behaviour and simply an excuse for bad parenting (Autism Awareness, 2021). Not only is this untrue, but it is a damaging lie that has resulted in caregivers refusing to have their children tested for autism. Studies have concluded that being officially diagnosed with autism has many advantages. Having an official diagnosis can help someone with autism to understand themselves better and have a more conclusive understanding of their neurodevelopment, and an official diagnosis allows them access to additional help if they would like it (Gallagher, 2020). Because of this, not only should it be necessary for children to be educated on the subject to break the stigma, but it should be mandatory for all children to be tested for autism. If all children were required to be tested for autism, then far fewer people would go undiagnosed and more people would have access to additional help if they should choose to use it. Children diagnosed can have various types of assistance in an educational setting, making their experience at school more pleasant and thus allowing them to achieve the grades they can.</w:t>
      </w:r>
    </w:p>
    <w:p w14:paraId="6BD38875" w14:textId="77777777" w:rsidR="006B3AD1" w:rsidRDefault="006B3AD1" w:rsidP="006B3AD1">
      <w:pPr>
        <w:spacing w:line="276" w:lineRule="auto"/>
        <w:ind w:firstLine="720"/>
        <w:rPr>
          <w:rFonts w:cstheme="minorHAnsi"/>
          <w:sz w:val="24"/>
          <w:szCs w:val="24"/>
        </w:rPr>
      </w:pPr>
      <w:r w:rsidRPr="006B3AD1">
        <w:rPr>
          <w:rFonts w:cstheme="minorHAnsi"/>
          <w:sz w:val="24"/>
          <w:szCs w:val="24"/>
        </w:rPr>
        <w:t xml:space="preserve">In conclusion, all children deserve and are rightfully owed a safe environment in which they can live and learn. They have the right to be cared for, provided for by their caregivers, and treated with respect and kindness. Children have the right to an education and the right to be treated </w:t>
      </w:r>
      <w:proofErr w:type="gramStart"/>
      <w:r w:rsidRPr="006B3AD1">
        <w:rPr>
          <w:rFonts w:cstheme="minorHAnsi"/>
          <w:sz w:val="24"/>
          <w:szCs w:val="24"/>
        </w:rPr>
        <w:t>fairly regardless</w:t>
      </w:r>
      <w:proofErr w:type="gramEnd"/>
      <w:r w:rsidRPr="006B3AD1">
        <w:rPr>
          <w:rFonts w:cstheme="minorHAnsi"/>
          <w:sz w:val="24"/>
          <w:szCs w:val="24"/>
        </w:rPr>
        <w:t xml:space="preserve"> of gender, ethnicity or any other factors. These are not </w:t>
      </w:r>
      <w:proofErr w:type="gramStart"/>
      <w:r w:rsidRPr="006B3AD1">
        <w:rPr>
          <w:rFonts w:cstheme="minorHAnsi"/>
          <w:sz w:val="24"/>
          <w:szCs w:val="24"/>
        </w:rPr>
        <w:t>privileges</w:t>
      </w:r>
      <w:proofErr w:type="gramEnd"/>
      <w:r w:rsidRPr="006B3AD1">
        <w:rPr>
          <w:rFonts w:cstheme="minorHAnsi"/>
          <w:sz w:val="24"/>
          <w:szCs w:val="24"/>
        </w:rPr>
        <w:t xml:space="preserve"> as this would suggest that only some are worthy of these things, but basic fundamental human rights.</w:t>
      </w:r>
    </w:p>
    <w:p w14:paraId="186F6AD7" w14:textId="0DB4CAC4" w:rsidR="00A80493" w:rsidRPr="00EA7A48" w:rsidRDefault="00507CFA" w:rsidP="006B3AD1">
      <w:pPr>
        <w:spacing w:line="276" w:lineRule="auto"/>
        <w:ind w:firstLine="720"/>
        <w:rPr>
          <w:b/>
          <w:bCs/>
          <w:sz w:val="24"/>
          <w:szCs w:val="24"/>
          <w:u w:val="single"/>
        </w:rPr>
      </w:pPr>
      <w:r w:rsidRPr="00EA7A48">
        <w:rPr>
          <w:b/>
          <w:bCs/>
          <w:sz w:val="24"/>
          <w:szCs w:val="24"/>
          <w:u w:val="single"/>
        </w:rPr>
        <w:t>References</w:t>
      </w:r>
    </w:p>
    <w:p w14:paraId="038126B1" w14:textId="3798D083" w:rsidR="00507CFA" w:rsidRPr="00CA36DD" w:rsidRDefault="00EF4C23" w:rsidP="004C18B4">
      <w:pPr>
        <w:pStyle w:val="ListParagraph"/>
        <w:numPr>
          <w:ilvl w:val="0"/>
          <w:numId w:val="6"/>
        </w:numPr>
        <w:spacing w:line="276" w:lineRule="auto"/>
        <w:rPr>
          <w:sz w:val="24"/>
          <w:szCs w:val="24"/>
        </w:rPr>
      </w:pPr>
      <w:r w:rsidRPr="00CA36DD">
        <w:rPr>
          <w:sz w:val="24"/>
          <w:szCs w:val="24"/>
        </w:rPr>
        <w:t xml:space="preserve">Williams, P. (2008) </w:t>
      </w:r>
      <w:r w:rsidR="00D451EC" w:rsidRPr="00CA36DD">
        <w:rPr>
          <w:i/>
          <w:iCs/>
          <w:sz w:val="24"/>
          <w:szCs w:val="24"/>
        </w:rPr>
        <w:t>A Comparison of Child Advocacy Laws in Abuse and Neglect Cases in England and the United States</w:t>
      </w:r>
      <w:r w:rsidR="00D451EC" w:rsidRPr="00CA36DD">
        <w:rPr>
          <w:i/>
          <w:iCs/>
          <w:sz w:val="24"/>
          <w:szCs w:val="24"/>
        </w:rPr>
        <w:t>.</w:t>
      </w:r>
      <w:r w:rsidR="007E50DE" w:rsidRPr="00CA36DD">
        <w:rPr>
          <w:sz w:val="24"/>
          <w:szCs w:val="24"/>
        </w:rPr>
        <w:t xml:space="preserve"> Available at:</w:t>
      </w:r>
      <w:r w:rsidRPr="00CA36DD">
        <w:rPr>
          <w:sz w:val="28"/>
          <w:szCs w:val="28"/>
        </w:rPr>
        <w:t xml:space="preserve"> </w:t>
      </w:r>
      <w:hyperlink r:id="rId7" w:history="1">
        <w:r w:rsidRPr="00CA36DD">
          <w:rPr>
            <w:rStyle w:val="Hyperlink"/>
            <w:color w:val="auto"/>
            <w:sz w:val="24"/>
            <w:szCs w:val="24"/>
            <w:u w:val="none"/>
          </w:rPr>
          <w:t>https://core.ac.uk/download/pdf/234101484.pdf</w:t>
        </w:r>
      </w:hyperlink>
      <w:r w:rsidR="007E50DE" w:rsidRPr="00CA36DD">
        <w:rPr>
          <w:sz w:val="24"/>
          <w:szCs w:val="24"/>
        </w:rPr>
        <w:t xml:space="preserve"> (Accessed </w:t>
      </w:r>
      <w:r w:rsidR="00F4172E" w:rsidRPr="00CA36DD">
        <w:rPr>
          <w:sz w:val="24"/>
          <w:szCs w:val="24"/>
        </w:rPr>
        <w:t>28</w:t>
      </w:r>
      <w:r w:rsidR="00F4172E" w:rsidRPr="00CA36DD">
        <w:rPr>
          <w:sz w:val="24"/>
          <w:szCs w:val="24"/>
          <w:vertAlign w:val="superscript"/>
        </w:rPr>
        <w:t>th</w:t>
      </w:r>
      <w:r w:rsidR="00F4172E" w:rsidRPr="00CA36DD">
        <w:rPr>
          <w:sz w:val="24"/>
          <w:szCs w:val="24"/>
        </w:rPr>
        <w:t xml:space="preserve"> May 2021</w:t>
      </w:r>
      <w:r w:rsidR="007E50DE" w:rsidRPr="00CA36DD">
        <w:rPr>
          <w:sz w:val="24"/>
          <w:szCs w:val="24"/>
        </w:rPr>
        <w:t>)</w:t>
      </w:r>
    </w:p>
    <w:p w14:paraId="393B7ED7" w14:textId="7BC992A7" w:rsidR="004A681E" w:rsidRPr="00CA36DD" w:rsidRDefault="00CD535D" w:rsidP="004C18B4">
      <w:pPr>
        <w:pStyle w:val="ListParagraph"/>
        <w:numPr>
          <w:ilvl w:val="0"/>
          <w:numId w:val="6"/>
        </w:numPr>
        <w:spacing w:line="276" w:lineRule="auto"/>
        <w:rPr>
          <w:sz w:val="24"/>
          <w:szCs w:val="24"/>
        </w:rPr>
      </w:pPr>
      <w:r w:rsidRPr="00CA36DD">
        <w:rPr>
          <w:sz w:val="24"/>
          <w:szCs w:val="24"/>
        </w:rPr>
        <w:t>Issues Online</w:t>
      </w:r>
      <w:r w:rsidR="00BF3C0F" w:rsidRPr="00CA36DD">
        <w:rPr>
          <w:sz w:val="24"/>
          <w:szCs w:val="24"/>
        </w:rPr>
        <w:t xml:space="preserve"> (2021) </w:t>
      </w:r>
      <w:r w:rsidR="00BF3C0F" w:rsidRPr="00CA36DD">
        <w:rPr>
          <w:i/>
          <w:iCs/>
          <w:sz w:val="24"/>
          <w:szCs w:val="24"/>
        </w:rPr>
        <w:t>A brief history of child</w:t>
      </w:r>
      <w:r w:rsidR="006627E5" w:rsidRPr="00CA36DD">
        <w:rPr>
          <w:i/>
          <w:iCs/>
          <w:sz w:val="24"/>
          <w:szCs w:val="24"/>
        </w:rPr>
        <w:t xml:space="preserve"> protection</w:t>
      </w:r>
      <w:r w:rsidR="00BF3C0F" w:rsidRPr="00CA36DD">
        <w:rPr>
          <w:i/>
          <w:iCs/>
          <w:sz w:val="24"/>
          <w:szCs w:val="24"/>
        </w:rPr>
        <w:t xml:space="preserve"> </w:t>
      </w:r>
      <w:proofErr w:type="spellStart"/>
      <w:r w:rsidR="00BF3C0F" w:rsidRPr="00CA36DD">
        <w:rPr>
          <w:i/>
          <w:iCs/>
          <w:sz w:val="24"/>
          <w:szCs w:val="24"/>
        </w:rPr>
        <w:t>legistration</w:t>
      </w:r>
      <w:proofErr w:type="spellEnd"/>
      <w:r w:rsidRPr="00CA36DD">
        <w:rPr>
          <w:i/>
          <w:iCs/>
          <w:sz w:val="24"/>
          <w:szCs w:val="24"/>
        </w:rPr>
        <w:t xml:space="preserve"> </w:t>
      </w:r>
      <w:r w:rsidR="006627E5" w:rsidRPr="00CA36DD">
        <w:rPr>
          <w:i/>
          <w:iCs/>
          <w:sz w:val="24"/>
          <w:szCs w:val="24"/>
        </w:rPr>
        <w:t>in the UK</w:t>
      </w:r>
      <w:r w:rsidR="00E9192D" w:rsidRPr="00CA36DD">
        <w:rPr>
          <w:i/>
          <w:iCs/>
          <w:sz w:val="24"/>
          <w:szCs w:val="24"/>
        </w:rPr>
        <w:t>.</w:t>
      </w:r>
      <w:r w:rsidR="00E9192D" w:rsidRPr="00CA36DD">
        <w:rPr>
          <w:sz w:val="24"/>
          <w:szCs w:val="24"/>
        </w:rPr>
        <w:t xml:space="preserve"> Available at:</w:t>
      </w:r>
      <w:r w:rsidR="006627E5" w:rsidRPr="00CA36DD">
        <w:rPr>
          <w:sz w:val="24"/>
          <w:szCs w:val="24"/>
        </w:rPr>
        <w:t xml:space="preserve"> </w:t>
      </w:r>
      <w:hyperlink r:id="rId8" w:history="1">
        <w:r w:rsidR="006627E5" w:rsidRPr="00CA36DD">
          <w:rPr>
            <w:rStyle w:val="Hyperlink"/>
            <w:color w:val="auto"/>
            <w:sz w:val="24"/>
            <w:szCs w:val="24"/>
            <w:u w:val="none"/>
          </w:rPr>
          <w:t>https://www.issuesonline.co.uk/articles/a-brief-history-of-child-protection-legislation-in-the-uk-5899#:~:text=1904,abusive%20or%20neglectful%20family%20homes</w:t>
        </w:r>
      </w:hyperlink>
      <w:r w:rsidR="00E9192D" w:rsidRPr="00CA36DD">
        <w:rPr>
          <w:sz w:val="24"/>
          <w:szCs w:val="24"/>
        </w:rPr>
        <w:t xml:space="preserve"> (Accessed </w:t>
      </w:r>
      <w:r w:rsidR="00D22D02" w:rsidRPr="00CA36DD">
        <w:rPr>
          <w:sz w:val="24"/>
          <w:szCs w:val="24"/>
        </w:rPr>
        <w:t>28</w:t>
      </w:r>
      <w:r w:rsidR="00D22D02" w:rsidRPr="00CA36DD">
        <w:rPr>
          <w:sz w:val="24"/>
          <w:szCs w:val="24"/>
          <w:vertAlign w:val="superscript"/>
        </w:rPr>
        <w:t>th</w:t>
      </w:r>
      <w:r w:rsidR="00D22D02" w:rsidRPr="00CA36DD">
        <w:rPr>
          <w:sz w:val="24"/>
          <w:szCs w:val="24"/>
        </w:rPr>
        <w:t xml:space="preserve"> May 2021</w:t>
      </w:r>
      <w:r w:rsidR="00E9192D" w:rsidRPr="00CA36DD">
        <w:rPr>
          <w:sz w:val="24"/>
          <w:szCs w:val="24"/>
        </w:rPr>
        <w:t>)</w:t>
      </w:r>
    </w:p>
    <w:p w14:paraId="6947683E" w14:textId="63692A7C" w:rsidR="00AF13ED" w:rsidRPr="00CA36DD" w:rsidRDefault="00227683" w:rsidP="004C18B4">
      <w:pPr>
        <w:pStyle w:val="ListParagraph"/>
        <w:numPr>
          <w:ilvl w:val="0"/>
          <w:numId w:val="6"/>
        </w:numPr>
        <w:spacing w:line="276" w:lineRule="auto"/>
        <w:rPr>
          <w:sz w:val="24"/>
          <w:szCs w:val="24"/>
        </w:rPr>
      </w:pPr>
      <w:r w:rsidRPr="00CA36DD">
        <w:rPr>
          <w:sz w:val="24"/>
          <w:szCs w:val="24"/>
        </w:rPr>
        <w:t>Intriguing History</w:t>
      </w:r>
      <w:r w:rsidR="00464308" w:rsidRPr="00CA36DD">
        <w:rPr>
          <w:sz w:val="24"/>
          <w:szCs w:val="24"/>
        </w:rPr>
        <w:t xml:space="preserve"> (2021) </w:t>
      </w:r>
      <w:r w:rsidR="00464308" w:rsidRPr="00CA36DD">
        <w:rPr>
          <w:i/>
          <w:iCs/>
          <w:sz w:val="24"/>
          <w:szCs w:val="24"/>
        </w:rPr>
        <w:t>1908 Children’s Act</w:t>
      </w:r>
      <w:r w:rsidR="00464308" w:rsidRPr="00CA36DD">
        <w:rPr>
          <w:sz w:val="24"/>
          <w:szCs w:val="24"/>
        </w:rPr>
        <w:t xml:space="preserve">. </w:t>
      </w:r>
      <w:r w:rsidR="000E0548" w:rsidRPr="00CA36DD">
        <w:rPr>
          <w:sz w:val="24"/>
          <w:szCs w:val="24"/>
        </w:rPr>
        <w:t>Available at:</w:t>
      </w:r>
      <w:r w:rsidR="00464308" w:rsidRPr="00CA36DD">
        <w:rPr>
          <w:sz w:val="24"/>
          <w:szCs w:val="24"/>
        </w:rPr>
        <w:t xml:space="preserve"> </w:t>
      </w:r>
      <w:hyperlink r:id="rId9" w:history="1">
        <w:r w:rsidR="00464308" w:rsidRPr="00CA36DD">
          <w:rPr>
            <w:rStyle w:val="Hyperlink"/>
            <w:color w:val="auto"/>
            <w:sz w:val="24"/>
            <w:szCs w:val="24"/>
            <w:u w:val="none"/>
          </w:rPr>
          <w:t>https://intriguing-history.com/childrens-act/</w:t>
        </w:r>
      </w:hyperlink>
      <w:r w:rsidR="000E0548" w:rsidRPr="00CA36DD">
        <w:rPr>
          <w:sz w:val="24"/>
          <w:szCs w:val="24"/>
        </w:rPr>
        <w:t xml:space="preserve"> (Accessed 29</w:t>
      </w:r>
      <w:r w:rsidR="000E0548" w:rsidRPr="00CA36DD">
        <w:rPr>
          <w:sz w:val="24"/>
          <w:szCs w:val="24"/>
          <w:vertAlign w:val="superscript"/>
        </w:rPr>
        <w:t>th</w:t>
      </w:r>
      <w:r w:rsidR="000E0548" w:rsidRPr="00CA36DD">
        <w:rPr>
          <w:sz w:val="24"/>
          <w:szCs w:val="24"/>
        </w:rPr>
        <w:t xml:space="preserve"> May </w:t>
      </w:r>
      <w:r w:rsidR="003347F0" w:rsidRPr="00CA36DD">
        <w:rPr>
          <w:sz w:val="24"/>
          <w:szCs w:val="24"/>
        </w:rPr>
        <w:t>2021</w:t>
      </w:r>
      <w:r w:rsidR="000E0548" w:rsidRPr="00CA36DD">
        <w:rPr>
          <w:sz w:val="24"/>
          <w:szCs w:val="24"/>
        </w:rPr>
        <w:t>)</w:t>
      </w:r>
    </w:p>
    <w:p w14:paraId="05BB8668" w14:textId="13013A50" w:rsidR="00AF13ED" w:rsidRPr="00CA36DD" w:rsidRDefault="00522A02" w:rsidP="004C18B4">
      <w:pPr>
        <w:pStyle w:val="ListParagraph"/>
        <w:numPr>
          <w:ilvl w:val="0"/>
          <w:numId w:val="6"/>
        </w:numPr>
        <w:spacing w:line="276" w:lineRule="auto"/>
        <w:rPr>
          <w:sz w:val="24"/>
          <w:szCs w:val="24"/>
        </w:rPr>
      </w:pPr>
      <w:r w:rsidRPr="00CA36DD">
        <w:rPr>
          <w:i/>
          <w:iCs/>
          <w:sz w:val="24"/>
          <w:szCs w:val="24"/>
        </w:rPr>
        <w:t>Children Act 1908</w:t>
      </w:r>
      <w:r w:rsidR="004B6B44" w:rsidRPr="00CA36DD">
        <w:rPr>
          <w:sz w:val="24"/>
          <w:szCs w:val="24"/>
        </w:rPr>
        <w:t xml:space="preserve"> Available at:</w:t>
      </w:r>
      <w:r w:rsidR="002A454D" w:rsidRPr="00CA36DD">
        <w:rPr>
          <w:i/>
          <w:iCs/>
          <w:sz w:val="24"/>
          <w:szCs w:val="24"/>
        </w:rPr>
        <w:t xml:space="preserve"> </w:t>
      </w:r>
      <w:hyperlink r:id="rId10" w:history="1">
        <w:r w:rsidR="002A454D" w:rsidRPr="00CA36DD">
          <w:rPr>
            <w:rStyle w:val="Hyperlink"/>
            <w:color w:val="auto"/>
            <w:sz w:val="24"/>
            <w:szCs w:val="24"/>
            <w:u w:val="none"/>
          </w:rPr>
          <w:t>https://www.legislation.gov.uk/ukpga/1908/67/pdfs/ukpga_19080067_en.pdf</w:t>
        </w:r>
      </w:hyperlink>
      <w:r w:rsidR="00B014E3" w:rsidRPr="00CA36DD">
        <w:rPr>
          <w:sz w:val="24"/>
          <w:szCs w:val="24"/>
        </w:rPr>
        <w:t xml:space="preserve"> </w:t>
      </w:r>
      <w:r w:rsidR="00B014E3" w:rsidRPr="00CA36DD">
        <w:rPr>
          <w:sz w:val="24"/>
          <w:szCs w:val="24"/>
        </w:rPr>
        <w:t>(Accessed 29th May 2021)</w:t>
      </w:r>
    </w:p>
    <w:p w14:paraId="0739B22C" w14:textId="6B6E905F" w:rsidR="00107246" w:rsidRPr="00CA36DD" w:rsidRDefault="00F62473" w:rsidP="004C18B4">
      <w:pPr>
        <w:pStyle w:val="ListParagraph"/>
        <w:numPr>
          <w:ilvl w:val="0"/>
          <w:numId w:val="6"/>
        </w:numPr>
        <w:spacing w:line="276" w:lineRule="auto"/>
        <w:rPr>
          <w:sz w:val="24"/>
          <w:szCs w:val="24"/>
        </w:rPr>
      </w:pPr>
      <w:r w:rsidRPr="00CA36DD">
        <w:rPr>
          <w:i/>
          <w:iCs/>
          <w:sz w:val="24"/>
          <w:szCs w:val="24"/>
        </w:rPr>
        <w:t>Sexual Offences Act 2003</w:t>
      </w:r>
      <w:r w:rsidRPr="00CA36DD">
        <w:rPr>
          <w:sz w:val="24"/>
          <w:szCs w:val="24"/>
        </w:rPr>
        <w:t xml:space="preserve"> </w:t>
      </w:r>
      <w:r w:rsidR="009B6995" w:rsidRPr="00CA36DD">
        <w:rPr>
          <w:sz w:val="24"/>
          <w:szCs w:val="24"/>
        </w:rPr>
        <w:t xml:space="preserve">Available at: </w:t>
      </w:r>
      <w:hyperlink r:id="rId11" w:history="1">
        <w:r w:rsidR="0015425D" w:rsidRPr="00CA36DD">
          <w:rPr>
            <w:rStyle w:val="Hyperlink"/>
            <w:color w:val="auto"/>
            <w:sz w:val="24"/>
            <w:szCs w:val="24"/>
            <w:u w:val="none"/>
          </w:rPr>
          <w:t>https://www.legislation.gov.uk/ukpga/2003/42/contents</w:t>
        </w:r>
      </w:hyperlink>
      <w:r w:rsidR="002A454D" w:rsidRPr="00CA36DD">
        <w:rPr>
          <w:sz w:val="24"/>
          <w:szCs w:val="24"/>
        </w:rPr>
        <w:t xml:space="preserve"> </w:t>
      </w:r>
      <w:r w:rsidR="001E2A93" w:rsidRPr="00CA36DD">
        <w:rPr>
          <w:sz w:val="24"/>
          <w:szCs w:val="24"/>
        </w:rPr>
        <w:t>(Accessed 29</w:t>
      </w:r>
      <w:r w:rsidR="001E2A93" w:rsidRPr="00CA36DD">
        <w:rPr>
          <w:sz w:val="24"/>
          <w:szCs w:val="24"/>
          <w:vertAlign w:val="superscript"/>
        </w:rPr>
        <w:t>th</w:t>
      </w:r>
      <w:r w:rsidR="001E2A93" w:rsidRPr="00CA36DD">
        <w:rPr>
          <w:sz w:val="24"/>
          <w:szCs w:val="24"/>
        </w:rPr>
        <w:t xml:space="preserve"> May 2021)</w:t>
      </w:r>
    </w:p>
    <w:p w14:paraId="0BA587C6" w14:textId="361F555A" w:rsidR="00FB43E2" w:rsidRPr="00CA36DD" w:rsidRDefault="00FB43E2" w:rsidP="004C18B4">
      <w:pPr>
        <w:pStyle w:val="ListParagraph"/>
        <w:numPr>
          <w:ilvl w:val="0"/>
          <w:numId w:val="6"/>
        </w:numPr>
        <w:spacing w:line="276" w:lineRule="auto"/>
        <w:rPr>
          <w:sz w:val="24"/>
          <w:szCs w:val="24"/>
        </w:rPr>
      </w:pPr>
      <w:proofErr w:type="spellStart"/>
      <w:r w:rsidRPr="00CA36DD">
        <w:rPr>
          <w:sz w:val="24"/>
          <w:szCs w:val="24"/>
        </w:rPr>
        <w:t>Karnasiewicz</w:t>
      </w:r>
      <w:proofErr w:type="spellEnd"/>
      <w:r w:rsidRPr="00CA36DD">
        <w:rPr>
          <w:sz w:val="24"/>
          <w:szCs w:val="24"/>
        </w:rPr>
        <w:t xml:space="preserve">, S. (2006) </w:t>
      </w:r>
      <w:r w:rsidRPr="00CA36DD">
        <w:rPr>
          <w:i/>
          <w:iCs/>
          <w:sz w:val="24"/>
          <w:szCs w:val="24"/>
        </w:rPr>
        <w:t>The children they gave away</w:t>
      </w:r>
      <w:r w:rsidRPr="00CA36DD">
        <w:rPr>
          <w:sz w:val="24"/>
          <w:szCs w:val="24"/>
        </w:rPr>
        <w:t xml:space="preserve">. Available at: </w:t>
      </w:r>
      <w:hyperlink r:id="rId12" w:history="1">
        <w:r w:rsidRPr="00CA36DD">
          <w:rPr>
            <w:rStyle w:val="Hyperlink"/>
            <w:color w:val="auto"/>
            <w:sz w:val="24"/>
            <w:szCs w:val="24"/>
            <w:u w:val="none"/>
          </w:rPr>
          <w:t>https://www.salon.com/2006/05/11/fessler_qa/</w:t>
        </w:r>
      </w:hyperlink>
      <w:r w:rsidRPr="00CA36DD">
        <w:rPr>
          <w:sz w:val="24"/>
          <w:szCs w:val="24"/>
        </w:rPr>
        <w:t xml:space="preserve"> (Accessed 30</w:t>
      </w:r>
      <w:r w:rsidRPr="00CA36DD">
        <w:rPr>
          <w:sz w:val="24"/>
          <w:szCs w:val="24"/>
          <w:vertAlign w:val="superscript"/>
        </w:rPr>
        <w:t>th</w:t>
      </w:r>
      <w:r w:rsidRPr="00CA36DD">
        <w:rPr>
          <w:sz w:val="24"/>
          <w:szCs w:val="24"/>
        </w:rPr>
        <w:t xml:space="preserve"> May 2021)</w:t>
      </w:r>
    </w:p>
    <w:p w14:paraId="6558BD3A" w14:textId="41A86652" w:rsidR="002F150D" w:rsidRPr="00CA36DD" w:rsidRDefault="005B3362" w:rsidP="004C18B4">
      <w:pPr>
        <w:pStyle w:val="ListParagraph"/>
        <w:numPr>
          <w:ilvl w:val="0"/>
          <w:numId w:val="6"/>
        </w:numPr>
        <w:spacing w:line="276" w:lineRule="auto"/>
        <w:rPr>
          <w:sz w:val="24"/>
          <w:szCs w:val="24"/>
        </w:rPr>
      </w:pPr>
      <w:r w:rsidRPr="00CA36DD">
        <w:rPr>
          <w:sz w:val="24"/>
          <w:szCs w:val="24"/>
        </w:rPr>
        <w:t xml:space="preserve">Steel, D. (2004) </w:t>
      </w:r>
      <w:r w:rsidRPr="00CA36DD">
        <w:rPr>
          <w:i/>
          <w:iCs/>
          <w:sz w:val="24"/>
          <w:szCs w:val="24"/>
        </w:rPr>
        <w:t xml:space="preserve">We need to rethink </w:t>
      </w:r>
      <w:r w:rsidR="003E29D2" w:rsidRPr="00CA36DD">
        <w:rPr>
          <w:i/>
          <w:iCs/>
          <w:sz w:val="24"/>
          <w:szCs w:val="24"/>
        </w:rPr>
        <w:t>my abortion law.</w:t>
      </w:r>
      <w:r w:rsidR="003E29D2" w:rsidRPr="00CA36DD">
        <w:rPr>
          <w:sz w:val="24"/>
          <w:szCs w:val="24"/>
        </w:rPr>
        <w:t xml:space="preserve"> Available at: </w:t>
      </w:r>
      <w:hyperlink r:id="rId13" w:history="1">
        <w:r w:rsidR="003E29D2" w:rsidRPr="00CA36DD">
          <w:rPr>
            <w:rStyle w:val="Hyperlink"/>
            <w:color w:val="auto"/>
            <w:sz w:val="24"/>
            <w:szCs w:val="24"/>
            <w:u w:val="none"/>
          </w:rPr>
          <w:t>https://www.theguardian.com/politics/2004/jul/06/society.health</w:t>
        </w:r>
      </w:hyperlink>
      <w:r w:rsidR="00DD3FA7" w:rsidRPr="00CA36DD">
        <w:rPr>
          <w:sz w:val="24"/>
          <w:szCs w:val="24"/>
        </w:rPr>
        <w:t xml:space="preserve"> </w:t>
      </w:r>
      <w:r w:rsidR="00DD3FA7" w:rsidRPr="00CA36DD">
        <w:rPr>
          <w:sz w:val="24"/>
          <w:szCs w:val="24"/>
        </w:rPr>
        <w:t>(Accessed 30</w:t>
      </w:r>
      <w:r w:rsidR="00DD3FA7" w:rsidRPr="00CA36DD">
        <w:rPr>
          <w:sz w:val="24"/>
          <w:szCs w:val="24"/>
          <w:vertAlign w:val="superscript"/>
        </w:rPr>
        <w:t>th</w:t>
      </w:r>
      <w:r w:rsidR="00DD3FA7" w:rsidRPr="00CA36DD">
        <w:rPr>
          <w:sz w:val="24"/>
          <w:szCs w:val="24"/>
        </w:rPr>
        <w:t xml:space="preserve"> May 2021)</w:t>
      </w:r>
    </w:p>
    <w:p w14:paraId="6C54A11B" w14:textId="212B8287" w:rsidR="00811DB1" w:rsidRPr="00CA36DD" w:rsidRDefault="00811DB1" w:rsidP="004C18B4">
      <w:pPr>
        <w:pStyle w:val="ListParagraph"/>
        <w:numPr>
          <w:ilvl w:val="0"/>
          <w:numId w:val="6"/>
        </w:numPr>
        <w:spacing w:line="276" w:lineRule="auto"/>
        <w:rPr>
          <w:rFonts w:cstheme="minorHAnsi"/>
          <w:sz w:val="24"/>
          <w:szCs w:val="24"/>
        </w:rPr>
      </w:pPr>
      <w:proofErr w:type="spellStart"/>
      <w:r w:rsidRPr="00CA36DD">
        <w:rPr>
          <w:rFonts w:cstheme="minorHAnsi"/>
          <w:sz w:val="24"/>
          <w:szCs w:val="24"/>
        </w:rPr>
        <w:lastRenderedPageBreak/>
        <w:t>Horrocks</w:t>
      </w:r>
      <w:proofErr w:type="spellEnd"/>
      <w:r w:rsidRPr="00CA36DD">
        <w:rPr>
          <w:rFonts w:cstheme="minorHAnsi"/>
          <w:sz w:val="24"/>
          <w:szCs w:val="24"/>
        </w:rPr>
        <w:t>,</w:t>
      </w:r>
      <w:r w:rsidRPr="00CA36DD">
        <w:rPr>
          <w:rFonts w:cstheme="minorHAnsi"/>
          <w:sz w:val="24"/>
          <w:szCs w:val="24"/>
        </w:rPr>
        <w:t xml:space="preserve"> S.,</w:t>
      </w:r>
      <w:r w:rsidRPr="00CA36DD">
        <w:rPr>
          <w:rFonts w:cstheme="minorHAnsi"/>
          <w:sz w:val="24"/>
          <w:szCs w:val="24"/>
        </w:rPr>
        <w:t xml:space="preserve"> 2019. </w:t>
      </w:r>
      <w:r w:rsidR="00937BEF" w:rsidRPr="00CA36DD">
        <w:rPr>
          <w:rFonts w:cstheme="minorHAnsi"/>
          <w:sz w:val="24"/>
          <w:szCs w:val="24"/>
        </w:rPr>
        <w:t>The Women Who Cracked the Glass Ceiling</w:t>
      </w:r>
      <w:r w:rsidRPr="00CA36DD">
        <w:rPr>
          <w:rFonts w:cstheme="minorHAnsi"/>
          <w:sz w:val="24"/>
          <w:szCs w:val="24"/>
        </w:rPr>
        <w:t xml:space="preserve">. Nature (London), 575(7781), pp.243–246. </w:t>
      </w:r>
    </w:p>
    <w:p w14:paraId="3A34AEA3" w14:textId="77777777" w:rsidR="0052450A" w:rsidRPr="00CA36DD" w:rsidRDefault="0052450A" w:rsidP="004C18B4">
      <w:pPr>
        <w:pStyle w:val="ListParagraph"/>
        <w:numPr>
          <w:ilvl w:val="0"/>
          <w:numId w:val="6"/>
        </w:numPr>
        <w:spacing w:line="276" w:lineRule="auto"/>
        <w:rPr>
          <w:rFonts w:cstheme="minorHAnsi"/>
          <w:sz w:val="24"/>
          <w:szCs w:val="24"/>
        </w:rPr>
      </w:pPr>
      <w:r w:rsidRPr="00CA36DD">
        <w:rPr>
          <w:sz w:val="24"/>
          <w:szCs w:val="24"/>
        </w:rPr>
        <w:t>Wadhawan, A. (2019) Sex Discrimination Know Everything About Available at: https://www.womensbyte.com/sex-discrimination-know-everything-about/ (Accessed 3rd June 2021)</w:t>
      </w:r>
    </w:p>
    <w:p w14:paraId="605E9780" w14:textId="41782BCA" w:rsidR="00910AC8" w:rsidRPr="00CA36DD" w:rsidRDefault="00910AC8" w:rsidP="004C18B4">
      <w:pPr>
        <w:pStyle w:val="ListParagraph"/>
        <w:numPr>
          <w:ilvl w:val="0"/>
          <w:numId w:val="6"/>
        </w:numPr>
        <w:spacing w:line="276" w:lineRule="auto"/>
        <w:rPr>
          <w:rFonts w:cstheme="minorHAnsi"/>
          <w:sz w:val="24"/>
          <w:szCs w:val="24"/>
        </w:rPr>
      </w:pPr>
      <w:r w:rsidRPr="00CA36DD">
        <w:rPr>
          <w:rFonts w:cstheme="minorHAnsi"/>
          <w:sz w:val="24"/>
          <w:szCs w:val="24"/>
        </w:rPr>
        <w:t xml:space="preserve">Hand, </w:t>
      </w:r>
      <w:r w:rsidRPr="00CA36DD">
        <w:rPr>
          <w:rFonts w:cstheme="minorHAnsi"/>
          <w:sz w:val="24"/>
          <w:szCs w:val="24"/>
        </w:rPr>
        <w:t>J.</w:t>
      </w:r>
      <w:r w:rsidRPr="00CA36DD">
        <w:rPr>
          <w:rFonts w:cstheme="minorHAnsi"/>
          <w:sz w:val="24"/>
          <w:szCs w:val="24"/>
        </w:rPr>
        <w:t>, 2015. Outside the Equality Act. International journal of discrimination and the law, 15(4), pp.205–221.</w:t>
      </w:r>
    </w:p>
    <w:p w14:paraId="25DCFD04" w14:textId="5BC40C22" w:rsidR="0029500E" w:rsidRPr="00CA36DD" w:rsidRDefault="006423BD" w:rsidP="004C18B4">
      <w:pPr>
        <w:pStyle w:val="ListParagraph"/>
        <w:numPr>
          <w:ilvl w:val="0"/>
          <w:numId w:val="6"/>
        </w:numPr>
        <w:spacing w:line="276" w:lineRule="auto"/>
        <w:rPr>
          <w:sz w:val="24"/>
          <w:szCs w:val="24"/>
        </w:rPr>
      </w:pPr>
      <w:r w:rsidRPr="00CA36DD">
        <w:rPr>
          <w:sz w:val="24"/>
          <w:szCs w:val="24"/>
        </w:rPr>
        <w:t>Committee of Enquiry into the Education of Children from Ethnic Minority Groups</w:t>
      </w:r>
      <w:r w:rsidRPr="00CA36DD">
        <w:rPr>
          <w:sz w:val="24"/>
          <w:szCs w:val="24"/>
        </w:rPr>
        <w:t xml:space="preserve"> (1985)</w:t>
      </w:r>
      <w:r w:rsidR="00DE20AE" w:rsidRPr="00CA36DD">
        <w:rPr>
          <w:sz w:val="24"/>
          <w:szCs w:val="24"/>
        </w:rPr>
        <w:t xml:space="preserve"> </w:t>
      </w:r>
      <w:r w:rsidR="00DE20AE" w:rsidRPr="00CA36DD">
        <w:rPr>
          <w:i/>
          <w:iCs/>
          <w:sz w:val="24"/>
          <w:szCs w:val="24"/>
        </w:rPr>
        <w:t xml:space="preserve">Education </w:t>
      </w:r>
      <w:proofErr w:type="gramStart"/>
      <w:r w:rsidR="00DE20AE" w:rsidRPr="00CA36DD">
        <w:rPr>
          <w:i/>
          <w:iCs/>
          <w:sz w:val="24"/>
          <w:szCs w:val="24"/>
        </w:rPr>
        <w:t>For</w:t>
      </w:r>
      <w:proofErr w:type="gramEnd"/>
      <w:r w:rsidR="00DE20AE" w:rsidRPr="00CA36DD">
        <w:rPr>
          <w:i/>
          <w:iCs/>
          <w:sz w:val="24"/>
          <w:szCs w:val="24"/>
        </w:rPr>
        <w:t xml:space="preserve"> All</w:t>
      </w:r>
      <w:r w:rsidR="00332BB3" w:rsidRPr="00CA36DD">
        <w:rPr>
          <w:i/>
          <w:iCs/>
          <w:sz w:val="24"/>
          <w:szCs w:val="24"/>
        </w:rPr>
        <w:t>.</w:t>
      </w:r>
      <w:r w:rsidR="00332BB3" w:rsidRPr="00CA36DD">
        <w:rPr>
          <w:sz w:val="24"/>
          <w:szCs w:val="24"/>
        </w:rPr>
        <w:t xml:space="preserve"> Available at: </w:t>
      </w:r>
      <w:hyperlink r:id="rId14" w:history="1">
        <w:r w:rsidR="00332BB3" w:rsidRPr="00CA36DD">
          <w:rPr>
            <w:rStyle w:val="Hyperlink"/>
            <w:color w:val="auto"/>
            <w:sz w:val="24"/>
            <w:szCs w:val="24"/>
            <w:u w:val="none"/>
          </w:rPr>
          <w:t>http://www.educationengland.org.uk/documents/swann/swann1985.html</w:t>
        </w:r>
      </w:hyperlink>
      <w:r w:rsidR="00332BB3" w:rsidRPr="00CA36DD">
        <w:rPr>
          <w:sz w:val="24"/>
          <w:szCs w:val="24"/>
        </w:rPr>
        <w:t xml:space="preserve"> (Accessed 30</w:t>
      </w:r>
      <w:r w:rsidR="00332BB3" w:rsidRPr="00CA36DD">
        <w:rPr>
          <w:sz w:val="24"/>
          <w:szCs w:val="24"/>
          <w:vertAlign w:val="superscript"/>
        </w:rPr>
        <w:t>th</w:t>
      </w:r>
      <w:r w:rsidR="00332BB3" w:rsidRPr="00CA36DD">
        <w:rPr>
          <w:sz w:val="24"/>
          <w:szCs w:val="24"/>
        </w:rPr>
        <w:t xml:space="preserve"> May 2021)</w:t>
      </w:r>
    </w:p>
    <w:p w14:paraId="344E6F7B" w14:textId="545CEB8D" w:rsidR="006A045E" w:rsidRPr="00CA36DD" w:rsidRDefault="00F229F4" w:rsidP="004C18B4">
      <w:pPr>
        <w:pStyle w:val="ListParagraph"/>
        <w:numPr>
          <w:ilvl w:val="0"/>
          <w:numId w:val="6"/>
        </w:numPr>
        <w:spacing w:line="276" w:lineRule="auto"/>
        <w:rPr>
          <w:sz w:val="24"/>
          <w:szCs w:val="24"/>
        </w:rPr>
      </w:pPr>
      <w:r w:rsidRPr="00CA36DD">
        <w:rPr>
          <w:sz w:val="24"/>
          <w:szCs w:val="24"/>
        </w:rPr>
        <w:t>Runnymede Trust (</w:t>
      </w:r>
      <w:r w:rsidR="00656F14" w:rsidRPr="00CA36DD">
        <w:rPr>
          <w:sz w:val="24"/>
          <w:szCs w:val="24"/>
        </w:rPr>
        <w:t>2021</w:t>
      </w:r>
      <w:r w:rsidRPr="00CA36DD">
        <w:rPr>
          <w:sz w:val="24"/>
          <w:szCs w:val="24"/>
        </w:rPr>
        <w:t>)</w:t>
      </w:r>
      <w:r w:rsidR="00656F14" w:rsidRPr="00CA36DD">
        <w:rPr>
          <w:sz w:val="24"/>
          <w:szCs w:val="24"/>
        </w:rPr>
        <w:t xml:space="preserve"> </w:t>
      </w:r>
      <w:r w:rsidR="00656F14" w:rsidRPr="00CA36DD">
        <w:rPr>
          <w:i/>
          <w:iCs/>
          <w:sz w:val="24"/>
          <w:szCs w:val="24"/>
        </w:rPr>
        <w:t>Swann Report on Multiracial Education</w:t>
      </w:r>
      <w:r w:rsidR="00656F14" w:rsidRPr="00CA36DD">
        <w:rPr>
          <w:sz w:val="24"/>
          <w:szCs w:val="24"/>
        </w:rPr>
        <w:t xml:space="preserve">. Available at: </w:t>
      </w:r>
      <w:hyperlink r:id="rId15" w:history="1">
        <w:r w:rsidR="00656F14" w:rsidRPr="00CA36DD">
          <w:rPr>
            <w:rStyle w:val="Hyperlink"/>
            <w:color w:val="auto"/>
            <w:sz w:val="24"/>
            <w:szCs w:val="24"/>
            <w:u w:val="none"/>
          </w:rPr>
          <w:t>https://www.runnymedetrust.org/histories/race-equality/87/swann-report-on-multiracial-education.html</w:t>
        </w:r>
      </w:hyperlink>
      <w:r w:rsidR="00656F14" w:rsidRPr="00CA36DD">
        <w:rPr>
          <w:sz w:val="24"/>
          <w:szCs w:val="24"/>
        </w:rPr>
        <w:t xml:space="preserve"> (Accessed </w:t>
      </w:r>
      <w:r w:rsidR="00DF05CD" w:rsidRPr="00CA36DD">
        <w:rPr>
          <w:sz w:val="24"/>
          <w:szCs w:val="24"/>
        </w:rPr>
        <w:t>30</w:t>
      </w:r>
      <w:r w:rsidR="00DF05CD" w:rsidRPr="00CA36DD">
        <w:rPr>
          <w:sz w:val="24"/>
          <w:szCs w:val="24"/>
          <w:vertAlign w:val="superscript"/>
        </w:rPr>
        <w:t>th</w:t>
      </w:r>
      <w:r w:rsidR="00DF05CD" w:rsidRPr="00CA36DD">
        <w:rPr>
          <w:sz w:val="24"/>
          <w:szCs w:val="24"/>
        </w:rPr>
        <w:t xml:space="preserve"> May 2021</w:t>
      </w:r>
      <w:r w:rsidR="00656F14" w:rsidRPr="00CA36DD">
        <w:rPr>
          <w:sz w:val="24"/>
          <w:szCs w:val="24"/>
        </w:rPr>
        <w:t>)</w:t>
      </w:r>
    </w:p>
    <w:p w14:paraId="5EB0B77A" w14:textId="45950CB0" w:rsidR="00D83EE7" w:rsidRPr="00CA36DD" w:rsidRDefault="00683DE5" w:rsidP="004C18B4">
      <w:pPr>
        <w:pStyle w:val="ListParagraph"/>
        <w:numPr>
          <w:ilvl w:val="0"/>
          <w:numId w:val="6"/>
        </w:numPr>
        <w:spacing w:line="276" w:lineRule="auto"/>
        <w:rPr>
          <w:sz w:val="24"/>
          <w:szCs w:val="24"/>
        </w:rPr>
      </w:pPr>
      <w:r w:rsidRPr="00CA36DD">
        <w:rPr>
          <w:sz w:val="24"/>
          <w:szCs w:val="24"/>
        </w:rPr>
        <w:t xml:space="preserve">Sylvester, E. (2020) </w:t>
      </w:r>
      <w:r w:rsidRPr="00CA36DD">
        <w:rPr>
          <w:i/>
          <w:iCs/>
          <w:sz w:val="24"/>
          <w:szCs w:val="24"/>
        </w:rPr>
        <w:t xml:space="preserve">Victorian Workhouses (KS2): Everything You Need </w:t>
      </w:r>
      <w:proofErr w:type="gramStart"/>
      <w:r w:rsidRPr="00CA36DD">
        <w:rPr>
          <w:i/>
          <w:iCs/>
          <w:sz w:val="24"/>
          <w:szCs w:val="24"/>
        </w:rPr>
        <w:t>To</w:t>
      </w:r>
      <w:proofErr w:type="gramEnd"/>
      <w:r w:rsidRPr="00CA36DD">
        <w:rPr>
          <w:i/>
          <w:iCs/>
          <w:sz w:val="24"/>
          <w:szCs w:val="24"/>
        </w:rPr>
        <w:t xml:space="preserve"> Know. </w:t>
      </w:r>
      <w:r w:rsidRPr="00CA36DD">
        <w:rPr>
          <w:sz w:val="24"/>
          <w:szCs w:val="24"/>
        </w:rPr>
        <w:t>Available at: https://kidadl.com/articles/victorian-workhouses-ks2-everything-you-need-to-know (Accessed 2nd June 2021)</w:t>
      </w:r>
    </w:p>
    <w:p w14:paraId="096532AD" w14:textId="77777777" w:rsidR="00D23FD3" w:rsidRPr="00CA36DD" w:rsidRDefault="00D23FD3" w:rsidP="004C18B4">
      <w:pPr>
        <w:pStyle w:val="ListParagraph"/>
        <w:numPr>
          <w:ilvl w:val="0"/>
          <w:numId w:val="6"/>
        </w:numPr>
        <w:spacing w:line="276" w:lineRule="auto"/>
        <w:rPr>
          <w:rFonts w:cstheme="minorHAnsi"/>
          <w:sz w:val="24"/>
          <w:szCs w:val="24"/>
        </w:rPr>
      </w:pPr>
      <w:r w:rsidRPr="00CA36DD">
        <w:rPr>
          <w:rFonts w:cstheme="minorHAnsi"/>
          <w:sz w:val="24"/>
          <w:szCs w:val="24"/>
        </w:rPr>
        <w:t>World Health Organisation (2021) Autism spectrum disorders. Available at: https://www.who.int/news-room/fact-sheets/detail/autism-spectrum-disorders (Accessed 2nd June 2021).</w:t>
      </w:r>
    </w:p>
    <w:p w14:paraId="0A55C54F" w14:textId="77777777" w:rsidR="00D23FD3" w:rsidRPr="00CA36DD" w:rsidRDefault="00D23FD3" w:rsidP="004C18B4">
      <w:pPr>
        <w:pStyle w:val="ListParagraph"/>
        <w:numPr>
          <w:ilvl w:val="0"/>
          <w:numId w:val="6"/>
        </w:numPr>
        <w:spacing w:line="276" w:lineRule="auto"/>
        <w:rPr>
          <w:rFonts w:cstheme="minorHAnsi"/>
          <w:sz w:val="24"/>
          <w:szCs w:val="24"/>
        </w:rPr>
      </w:pPr>
      <w:r w:rsidRPr="00CA36DD">
        <w:rPr>
          <w:rFonts w:cstheme="minorHAnsi"/>
          <w:sz w:val="24"/>
          <w:szCs w:val="24"/>
        </w:rPr>
        <w:t>Wiggins, L. et al., 2020. Disparities in Documented Diagnoses of Autism Spectrum Disorder Based on Demographic, Individual, and Service Factors. Autism research, 13(3), pp.464–473.</w:t>
      </w:r>
    </w:p>
    <w:p w14:paraId="177F0C7E" w14:textId="77777777" w:rsidR="00D23FD3" w:rsidRPr="00CA36DD" w:rsidRDefault="00D23FD3" w:rsidP="004C18B4">
      <w:pPr>
        <w:pStyle w:val="ListParagraph"/>
        <w:numPr>
          <w:ilvl w:val="0"/>
          <w:numId w:val="6"/>
        </w:numPr>
        <w:spacing w:line="276" w:lineRule="auto"/>
        <w:rPr>
          <w:rFonts w:cstheme="minorHAnsi"/>
          <w:sz w:val="24"/>
          <w:szCs w:val="24"/>
        </w:rPr>
      </w:pPr>
      <w:r w:rsidRPr="00CA36DD">
        <w:rPr>
          <w:rFonts w:cstheme="minorHAnsi"/>
          <w:sz w:val="24"/>
          <w:szCs w:val="24"/>
        </w:rPr>
        <w:t>Autism Awareness (2021) Myths. Available at: https://www.autismawareness.com.au/could-it-be-autism/myths/ (Accessed 1st June 2021)</w:t>
      </w:r>
    </w:p>
    <w:p w14:paraId="056972FE" w14:textId="6671B3C5" w:rsidR="0052450A" w:rsidRPr="00CA36DD" w:rsidRDefault="00D23FD3" w:rsidP="004C18B4">
      <w:pPr>
        <w:pStyle w:val="ListParagraph"/>
        <w:numPr>
          <w:ilvl w:val="0"/>
          <w:numId w:val="6"/>
        </w:numPr>
        <w:spacing w:line="276" w:lineRule="auto"/>
        <w:rPr>
          <w:rFonts w:cstheme="minorHAnsi"/>
          <w:sz w:val="24"/>
          <w:szCs w:val="24"/>
        </w:rPr>
      </w:pPr>
      <w:r w:rsidRPr="00CA36DD">
        <w:rPr>
          <w:rFonts w:cstheme="minorHAnsi"/>
          <w:sz w:val="24"/>
          <w:szCs w:val="24"/>
        </w:rPr>
        <w:t xml:space="preserve">Gallagher, A. (2020) </w:t>
      </w:r>
      <w:r w:rsidRPr="00CA36DD">
        <w:rPr>
          <w:rFonts w:cstheme="minorHAnsi"/>
          <w:i/>
          <w:iCs/>
          <w:sz w:val="24"/>
          <w:szCs w:val="24"/>
        </w:rPr>
        <w:t>What are the Advantages of a Late Autism Spectrum Disorder (ADS) Diagnosis?</w:t>
      </w:r>
      <w:r w:rsidRPr="00CA36DD">
        <w:rPr>
          <w:rFonts w:cstheme="minorHAnsi"/>
          <w:sz w:val="24"/>
          <w:szCs w:val="24"/>
        </w:rPr>
        <w:t xml:space="preserve"> Available at: </w:t>
      </w:r>
      <w:hyperlink r:id="rId16" w:history="1">
        <w:r w:rsidRPr="00CA36DD">
          <w:rPr>
            <w:rStyle w:val="Hyperlink"/>
            <w:rFonts w:cstheme="minorHAnsi"/>
            <w:color w:val="auto"/>
            <w:sz w:val="24"/>
            <w:szCs w:val="24"/>
            <w:u w:val="none"/>
          </w:rPr>
          <w:t>https://connecttoautism.org/what-are-the-advantages-of-a-late-autism-spectrum-disorder-asd-diagnosis/</w:t>
        </w:r>
      </w:hyperlink>
      <w:r w:rsidRPr="00CA36DD">
        <w:rPr>
          <w:rFonts w:cstheme="minorHAnsi"/>
          <w:sz w:val="24"/>
          <w:szCs w:val="24"/>
        </w:rPr>
        <w:t xml:space="preserve"> (Accessed 1st June 2021)</w:t>
      </w:r>
    </w:p>
    <w:sectPr w:rsidR="0052450A" w:rsidRPr="00CA36D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B413B" w14:textId="77777777" w:rsidR="000121DA" w:rsidRDefault="000121DA" w:rsidP="000121DA">
      <w:pPr>
        <w:spacing w:after="0" w:line="240" w:lineRule="auto"/>
      </w:pPr>
      <w:r>
        <w:separator/>
      </w:r>
    </w:p>
  </w:endnote>
  <w:endnote w:type="continuationSeparator" w:id="0">
    <w:p w14:paraId="352B2FFB" w14:textId="77777777" w:rsidR="000121DA" w:rsidRDefault="000121DA" w:rsidP="00012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6DE5E" w14:textId="77777777" w:rsidR="000121DA" w:rsidRDefault="000121DA" w:rsidP="000121DA">
      <w:pPr>
        <w:spacing w:after="0" w:line="240" w:lineRule="auto"/>
      </w:pPr>
      <w:r>
        <w:separator/>
      </w:r>
    </w:p>
  </w:footnote>
  <w:footnote w:type="continuationSeparator" w:id="0">
    <w:p w14:paraId="5D480C9E" w14:textId="77777777" w:rsidR="000121DA" w:rsidRDefault="000121DA" w:rsidP="00012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CA435" w14:textId="4C425EB1" w:rsidR="000121DA" w:rsidRDefault="000121DA" w:rsidP="000121DA">
    <w:pPr>
      <w:pStyle w:val="Header"/>
      <w:jc w:val="right"/>
    </w:pPr>
    <w:r>
      <w:t>Chloe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64357"/>
    <w:multiLevelType w:val="hybridMultilevel"/>
    <w:tmpl w:val="6860AA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718DE"/>
    <w:multiLevelType w:val="hybridMultilevel"/>
    <w:tmpl w:val="02F00F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D356E2"/>
    <w:multiLevelType w:val="hybridMultilevel"/>
    <w:tmpl w:val="D97874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34580"/>
    <w:multiLevelType w:val="hybridMultilevel"/>
    <w:tmpl w:val="D97874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4F2A3F"/>
    <w:multiLevelType w:val="hybridMultilevel"/>
    <w:tmpl w:val="D97874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E12475"/>
    <w:multiLevelType w:val="hybridMultilevel"/>
    <w:tmpl w:val="92E86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DD2399"/>
    <w:multiLevelType w:val="hybridMultilevel"/>
    <w:tmpl w:val="860ABD1E"/>
    <w:lvl w:ilvl="0" w:tplc="E28E0298">
      <w:start w:val="1"/>
      <w:numFmt w:val="decimal"/>
      <w:lvlText w:val="%1."/>
      <w:lvlJc w:val="left"/>
      <w:pPr>
        <w:ind w:left="1080" w:hanging="360"/>
      </w:pPr>
      <w:rPr>
        <w:rFonts w:hint="default"/>
        <w:b w:val="0"/>
        <w:bCs w:val="0"/>
        <w:sz w:val="24"/>
        <w:szCs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6"/>
  </w:num>
  <w:num w:numId="3">
    <w:abstractNumId w:val="2"/>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47"/>
    <w:rsid w:val="0000293D"/>
    <w:rsid w:val="00003D07"/>
    <w:rsid w:val="00004EC4"/>
    <w:rsid w:val="00011B13"/>
    <w:rsid w:val="000121DA"/>
    <w:rsid w:val="000219F4"/>
    <w:rsid w:val="00021D4D"/>
    <w:rsid w:val="00030EAB"/>
    <w:rsid w:val="0003100F"/>
    <w:rsid w:val="0003349B"/>
    <w:rsid w:val="0003454B"/>
    <w:rsid w:val="00076047"/>
    <w:rsid w:val="00086077"/>
    <w:rsid w:val="000916FA"/>
    <w:rsid w:val="000B3D77"/>
    <w:rsid w:val="000B3FBA"/>
    <w:rsid w:val="000E0548"/>
    <w:rsid w:val="000F48B8"/>
    <w:rsid w:val="00107246"/>
    <w:rsid w:val="00117D95"/>
    <w:rsid w:val="00121211"/>
    <w:rsid w:val="0015425D"/>
    <w:rsid w:val="00163EEF"/>
    <w:rsid w:val="00167B15"/>
    <w:rsid w:val="00181DF0"/>
    <w:rsid w:val="001A79D0"/>
    <w:rsid w:val="001C0936"/>
    <w:rsid w:val="001C24B9"/>
    <w:rsid w:val="001C72BF"/>
    <w:rsid w:val="001D248E"/>
    <w:rsid w:val="001D30CD"/>
    <w:rsid w:val="001D4BE0"/>
    <w:rsid w:val="001E2A93"/>
    <w:rsid w:val="001E60F0"/>
    <w:rsid w:val="00201704"/>
    <w:rsid w:val="00211E0C"/>
    <w:rsid w:val="00216A6F"/>
    <w:rsid w:val="00227683"/>
    <w:rsid w:val="002355F7"/>
    <w:rsid w:val="00264455"/>
    <w:rsid w:val="0029500E"/>
    <w:rsid w:val="002A454D"/>
    <w:rsid w:val="002A7734"/>
    <w:rsid w:val="002B7D23"/>
    <w:rsid w:val="002C053D"/>
    <w:rsid w:val="002C6B74"/>
    <w:rsid w:val="002D1F53"/>
    <w:rsid w:val="002D7F8E"/>
    <w:rsid w:val="002F150D"/>
    <w:rsid w:val="00300861"/>
    <w:rsid w:val="00317BD2"/>
    <w:rsid w:val="00325BBF"/>
    <w:rsid w:val="00332678"/>
    <w:rsid w:val="00332BB3"/>
    <w:rsid w:val="003347F0"/>
    <w:rsid w:val="0035562D"/>
    <w:rsid w:val="0035578D"/>
    <w:rsid w:val="003B32B6"/>
    <w:rsid w:val="003C5139"/>
    <w:rsid w:val="003D4767"/>
    <w:rsid w:val="003D5338"/>
    <w:rsid w:val="003E29D2"/>
    <w:rsid w:val="003E750A"/>
    <w:rsid w:val="003F7CA5"/>
    <w:rsid w:val="00407601"/>
    <w:rsid w:val="00412973"/>
    <w:rsid w:val="004570FA"/>
    <w:rsid w:val="0046139D"/>
    <w:rsid w:val="00462B70"/>
    <w:rsid w:val="00464308"/>
    <w:rsid w:val="004A19B4"/>
    <w:rsid w:val="004A681E"/>
    <w:rsid w:val="004B3382"/>
    <w:rsid w:val="004B6B44"/>
    <w:rsid w:val="004C18B4"/>
    <w:rsid w:val="004C4FE3"/>
    <w:rsid w:val="004E00AE"/>
    <w:rsid w:val="00507CFA"/>
    <w:rsid w:val="0052103C"/>
    <w:rsid w:val="00522A02"/>
    <w:rsid w:val="0052450A"/>
    <w:rsid w:val="00551574"/>
    <w:rsid w:val="005827E7"/>
    <w:rsid w:val="0058417F"/>
    <w:rsid w:val="005B3362"/>
    <w:rsid w:val="005B7917"/>
    <w:rsid w:val="005F5268"/>
    <w:rsid w:val="0061520C"/>
    <w:rsid w:val="00615EC2"/>
    <w:rsid w:val="006164C0"/>
    <w:rsid w:val="006423BD"/>
    <w:rsid w:val="00656F14"/>
    <w:rsid w:val="006627E5"/>
    <w:rsid w:val="006704DC"/>
    <w:rsid w:val="00675787"/>
    <w:rsid w:val="00675DC3"/>
    <w:rsid w:val="00683DE5"/>
    <w:rsid w:val="00690853"/>
    <w:rsid w:val="00696C09"/>
    <w:rsid w:val="006A045E"/>
    <w:rsid w:val="006A255B"/>
    <w:rsid w:val="006A58DB"/>
    <w:rsid w:val="006B3AD1"/>
    <w:rsid w:val="006B6AA1"/>
    <w:rsid w:val="006D1C66"/>
    <w:rsid w:val="006D3776"/>
    <w:rsid w:val="006F2ACF"/>
    <w:rsid w:val="007003D5"/>
    <w:rsid w:val="00702F1F"/>
    <w:rsid w:val="007134FF"/>
    <w:rsid w:val="00766438"/>
    <w:rsid w:val="00774D37"/>
    <w:rsid w:val="007762B2"/>
    <w:rsid w:val="007E33BE"/>
    <w:rsid w:val="007E50DE"/>
    <w:rsid w:val="007F03B2"/>
    <w:rsid w:val="00811DB1"/>
    <w:rsid w:val="00826029"/>
    <w:rsid w:val="00841C9F"/>
    <w:rsid w:val="00843ADC"/>
    <w:rsid w:val="00855FA7"/>
    <w:rsid w:val="0086251A"/>
    <w:rsid w:val="00866DCA"/>
    <w:rsid w:val="0087634D"/>
    <w:rsid w:val="008A0991"/>
    <w:rsid w:val="008A3B7C"/>
    <w:rsid w:val="008A7460"/>
    <w:rsid w:val="008B5074"/>
    <w:rsid w:val="008F41DD"/>
    <w:rsid w:val="00910AC8"/>
    <w:rsid w:val="00921AA3"/>
    <w:rsid w:val="009372DA"/>
    <w:rsid w:val="00937BEF"/>
    <w:rsid w:val="00961A62"/>
    <w:rsid w:val="009651BE"/>
    <w:rsid w:val="009759C2"/>
    <w:rsid w:val="00976C9F"/>
    <w:rsid w:val="00985D42"/>
    <w:rsid w:val="009B6995"/>
    <w:rsid w:val="009D7883"/>
    <w:rsid w:val="00A24653"/>
    <w:rsid w:val="00A5486E"/>
    <w:rsid w:val="00A64708"/>
    <w:rsid w:val="00A80493"/>
    <w:rsid w:val="00A82AA3"/>
    <w:rsid w:val="00A82BFE"/>
    <w:rsid w:val="00A92D43"/>
    <w:rsid w:val="00AF13ED"/>
    <w:rsid w:val="00B014E3"/>
    <w:rsid w:val="00B06781"/>
    <w:rsid w:val="00B0764B"/>
    <w:rsid w:val="00B32FC9"/>
    <w:rsid w:val="00B35C2B"/>
    <w:rsid w:val="00B4635F"/>
    <w:rsid w:val="00B478E9"/>
    <w:rsid w:val="00B5240A"/>
    <w:rsid w:val="00B55B3B"/>
    <w:rsid w:val="00B56087"/>
    <w:rsid w:val="00B65CD5"/>
    <w:rsid w:val="00B67A8E"/>
    <w:rsid w:val="00B84F5C"/>
    <w:rsid w:val="00B855EE"/>
    <w:rsid w:val="00B9106C"/>
    <w:rsid w:val="00BA565E"/>
    <w:rsid w:val="00BB566E"/>
    <w:rsid w:val="00BE6E0F"/>
    <w:rsid w:val="00BF3C0F"/>
    <w:rsid w:val="00C04720"/>
    <w:rsid w:val="00C17CFE"/>
    <w:rsid w:val="00C26697"/>
    <w:rsid w:val="00C34BB1"/>
    <w:rsid w:val="00C35776"/>
    <w:rsid w:val="00C91F03"/>
    <w:rsid w:val="00CA36DD"/>
    <w:rsid w:val="00CD36D6"/>
    <w:rsid w:val="00CD535D"/>
    <w:rsid w:val="00CD60C4"/>
    <w:rsid w:val="00CE244E"/>
    <w:rsid w:val="00CF4994"/>
    <w:rsid w:val="00D22D02"/>
    <w:rsid w:val="00D23FD3"/>
    <w:rsid w:val="00D26147"/>
    <w:rsid w:val="00D30212"/>
    <w:rsid w:val="00D345FC"/>
    <w:rsid w:val="00D451EC"/>
    <w:rsid w:val="00D73CDC"/>
    <w:rsid w:val="00D74531"/>
    <w:rsid w:val="00D83EE7"/>
    <w:rsid w:val="00D95C4A"/>
    <w:rsid w:val="00DA0364"/>
    <w:rsid w:val="00DA09F2"/>
    <w:rsid w:val="00DB0208"/>
    <w:rsid w:val="00DC0290"/>
    <w:rsid w:val="00DC6E95"/>
    <w:rsid w:val="00DD1C37"/>
    <w:rsid w:val="00DD3FA7"/>
    <w:rsid w:val="00DE20AE"/>
    <w:rsid w:val="00DE5C99"/>
    <w:rsid w:val="00DF05CD"/>
    <w:rsid w:val="00E113A8"/>
    <w:rsid w:val="00E15556"/>
    <w:rsid w:val="00E276D3"/>
    <w:rsid w:val="00E27CDA"/>
    <w:rsid w:val="00E476B3"/>
    <w:rsid w:val="00E50921"/>
    <w:rsid w:val="00E50BAE"/>
    <w:rsid w:val="00E844E0"/>
    <w:rsid w:val="00E9192D"/>
    <w:rsid w:val="00E9621B"/>
    <w:rsid w:val="00EA7A48"/>
    <w:rsid w:val="00EC7A11"/>
    <w:rsid w:val="00ED0019"/>
    <w:rsid w:val="00EE48A8"/>
    <w:rsid w:val="00EE4EE6"/>
    <w:rsid w:val="00EF3650"/>
    <w:rsid w:val="00EF418B"/>
    <w:rsid w:val="00EF4C23"/>
    <w:rsid w:val="00EF6275"/>
    <w:rsid w:val="00EF78C3"/>
    <w:rsid w:val="00F101EB"/>
    <w:rsid w:val="00F229F4"/>
    <w:rsid w:val="00F26C26"/>
    <w:rsid w:val="00F34A04"/>
    <w:rsid w:val="00F35C97"/>
    <w:rsid w:val="00F4172E"/>
    <w:rsid w:val="00F578C7"/>
    <w:rsid w:val="00F604B7"/>
    <w:rsid w:val="00F61B20"/>
    <w:rsid w:val="00F62473"/>
    <w:rsid w:val="00F718DA"/>
    <w:rsid w:val="00F87313"/>
    <w:rsid w:val="00FA62EF"/>
    <w:rsid w:val="00FB084E"/>
    <w:rsid w:val="00FB43E2"/>
    <w:rsid w:val="00FC5804"/>
    <w:rsid w:val="00FD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4F0A2"/>
  <w15:chartTrackingRefBased/>
  <w15:docId w15:val="{377057FC-A869-479B-8C7D-DD8221C79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047"/>
    <w:pPr>
      <w:ind w:left="720"/>
      <w:contextualSpacing/>
    </w:pPr>
  </w:style>
  <w:style w:type="character" w:styleId="Strong">
    <w:name w:val="Strong"/>
    <w:basedOn w:val="DefaultParagraphFont"/>
    <w:uiPriority w:val="22"/>
    <w:qFormat/>
    <w:rsid w:val="00FD1D89"/>
    <w:rPr>
      <w:b/>
      <w:bCs/>
    </w:rPr>
  </w:style>
  <w:style w:type="paragraph" w:customStyle="1" w:styleId="dcr-10j7zqa">
    <w:name w:val="dcr-10j7zqa"/>
    <w:basedOn w:val="Normal"/>
    <w:rsid w:val="002017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10j7zqa1">
    <w:name w:val="dcr-10j7zqa1"/>
    <w:basedOn w:val="DefaultParagraphFont"/>
    <w:rsid w:val="00201704"/>
  </w:style>
  <w:style w:type="character" w:customStyle="1" w:styleId="legds">
    <w:name w:val="legds"/>
    <w:basedOn w:val="DefaultParagraphFont"/>
    <w:rsid w:val="00B55B3B"/>
  </w:style>
  <w:style w:type="character" w:styleId="Hyperlink">
    <w:name w:val="Hyperlink"/>
    <w:basedOn w:val="DefaultParagraphFont"/>
    <w:uiPriority w:val="99"/>
    <w:unhideWhenUsed/>
    <w:rsid w:val="004A681E"/>
    <w:rPr>
      <w:color w:val="0563C1" w:themeColor="hyperlink"/>
      <w:u w:val="single"/>
    </w:rPr>
  </w:style>
  <w:style w:type="character" w:styleId="UnresolvedMention">
    <w:name w:val="Unresolved Mention"/>
    <w:basedOn w:val="DefaultParagraphFont"/>
    <w:uiPriority w:val="99"/>
    <w:semiHidden/>
    <w:unhideWhenUsed/>
    <w:rsid w:val="004A681E"/>
    <w:rPr>
      <w:color w:val="605E5C"/>
      <w:shd w:val="clear" w:color="auto" w:fill="E1DFDD"/>
    </w:rPr>
  </w:style>
  <w:style w:type="paragraph" w:styleId="Header">
    <w:name w:val="header"/>
    <w:basedOn w:val="Normal"/>
    <w:link w:val="HeaderChar"/>
    <w:uiPriority w:val="99"/>
    <w:unhideWhenUsed/>
    <w:rsid w:val="00012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1DA"/>
  </w:style>
  <w:style w:type="paragraph" w:styleId="Footer">
    <w:name w:val="footer"/>
    <w:basedOn w:val="Normal"/>
    <w:link w:val="FooterChar"/>
    <w:uiPriority w:val="99"/>
    <w:unhideWhenUsed/>
    <w:rsid w:val="00012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2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suesonline.co.uk/articles/a-brief-history-of-child-protection-legislation-in-the-uk-5899#:~:text=1904,abusive%20or%20neglectful%20family%20homes" TargetMode="External"/><Relationship Id="rId13" Type="http://schemas.openxmlformats.org/officeDocument/2006/relationships/hyperlink" Target="https://www.theguardian.com/politics/2004/jul/06/society.health"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e.ac.uk/download/pdf/234101484.pdf" TargetMode="External"/><Relationship Id="rId12" Type="http://schemas.openxmlformats.org/officeDocument/2006/relationships/hyperlink" Target="https://www.salon.com/2006/05/11/fessler_qa/"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nnecttoautism.org/what-are-the-advantages-of-a-late-autism-spectrum-disorder-asd-diagno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3/42/contents" TargetMode="External"/><Relationship Id="rId5" Type="http://schemas.openxmlformats.org/officeDocument/2006/relationships/footnotes" Target="footnotes.xml"/><Relationship Id="rId15" Type="http://schemas.openxmlformats.org/officeDocument/2006/relationships/hyperlink" Target="https://www.runnymedetrust.org/histories/race-equality/87/swann-report-on-multiracial-education.html" TargetMode="External"/><Relationship Id="rId10" Type="http://schemas.openxmlformats.org/officeDocument/2006/relationships/hyperlink" Target="https://www.legislation.gov.uk/ukpga/1908/67/pdfs/ukpga_19080067_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ntriguing-history.com/childrens-act/" TargetMode="External"/><Relationship Id="rId14" Type="http://schemas.openxmlformats.org/officeDocument/2006/relationships/hyperlink" Target="http://www.educationengland.org.uk/documents/swann/swann198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2758</TotalTime>
  <Pages>5</Pages>
  <Words>2335</Words>
  <Characters>13314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267</cp:revision>
  <dcterms:created xsi:type="dcterms:W3CDTF">2021-06-03T12:30:00Z</dcterms:created>
  <dcterms:modified xsi:type="dcterms:W3CDTF">2021-06-05T21:27:00Z</dcterms:modified>
</cp:coreProperties>
</file>