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96C160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64837">
              <w:rPr>
                <w:rFonts w:ascii="Times New Roman" w:hAnsi="Times New Roman" w:cs="Times New Roman"/>
                <w:b/>
                <w:color w:val="auto"/>
                <w:sz w:val="48"/>
              </w:rPr>
              <w:t>Stephanie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D8C1B4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64837">
              <w:rPr>
                <w:rFonts w:ascii="Times New Roman" w:hAnsi="Times New Roman" w:cs="Times New Roman"/>
                <w:b/>
                <w:color w:val="auto"/>
                <w:sz w:val="48"/>
              </w:rPr>
              <w:t xml:space="preserve"> s.grace90@hotmail.co.uk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90EC681" w14:textId="3D0BC078" w:rsidR="00364837" w:rsidRPr="005D3F07" w:rsidRDefault="0036483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2520109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D68DA91" w14:textId="06E38028" w:rsidR="00D3203C" w:rsidRDefault="00E83F91" w:rsidP="00364837">
      <w:pPr>
        <w:jc w:val="center"/>
        <w:rPr>
          <w:b/>
          <w:sz w:val="24"/>
          <w:szCs w:val="24"/>
        </w:rPr>
      </w:pPr>
      <w:r>
        <w:rPr>
          <w:b/>
          <w:sz w:val="24"/>
          <w:szCs w:val="24"/>
        </w:rPr>
        <w:br w:type="page"/>
      </w: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43F3D0A" w14:textId="77777777" w:rsidR="007A628F" w:rsidRDefault="007A628F" w:rsidP="00FF7EBB">
            <w:pPr>
              <w:jc w:val="both"/>
              <w:rPr>
                <w:b/>
                <w:sz w:val="24"/>
                <w:szCs w:val="24"/>
              </w:rPr>
            </w:pPr>
          </w:p>
          <w:p w14:paraId="691585EB" w14:textId="77777777" w:rsidR="00364837" w:rsidRPr="00775FFE" w:rsidRDefault="00364837" w:rsidP="00364837">
            <w:pPr>
              <w:spacing w:line="360" w:lineRule="auto"/>
            </w:pPr>
            <w:r w:rsidRPr="00775FFE">
              <w:t>As I work in children’s services, I have been developing my knowledge of adult safeguarding and how this works in Wales. The main legislation is the Social Services and Well-being (Wales) Act 2014 (SSWBA). Part 7 sets out the safeguarding duties, with Section 126 defining an adult at risk as someone experiencing, or at risk of, abuse or neglect, who has care and support needs and is unable to protect themselves because of those needs.</w:t>
            </w:r>
          </w:p>
          <w:p w14:paraId="79BF67AD" w14:textId="77777777" w:rsidR="00364837" w:rsidRPr="00775FFE" w:rsidRDefault="00364837" w:rsidP="00364837">
            <w:pPr>
              <w:spacing w:line="360" w:lineRule="auto"/>
            </w:pPr>
            <w:r w:rsidRPr="00775FFE">
              <w:t>Safeguarding is everybody’s responsibility, not just social services. Under Section 128, relevant partners, including health services and the police, have a duty to report suspected adults at risk to the local authority. Concerns may include physical, emotional, sexual or financial abuse, neglect and exploitation. Professionals need to recognise possible signs of abuse, record concerns and share information promptly.</w:t>
            </w:r>
          </w:p>
          <w:p w14:paraId="3EF959D9" w14:textId="77777777" w:rsidR="00364837" w:rsidRPr="00775FFE" w:rsidRDefault="00364837" w:rsidP="00364837">
            <w:pPr>
              <w:spacing w:line="360" w:lineRule="auto"/>
            </w:pPr>
            <w:r w:rsidRPr="00775FFE">
              <w:t>The Wales Safeguarding Procedures (2019) explain how professionals should respond to concerns. In North Wales, these are supported by the North Wales Safeguarding Board’s regional policies and procedures, including the Adult Safeguarding Report Form and Self-Neglect Protocol. Within local authorities, these guide how concerns are received, recorded and passed to the appropriate safeguarding team.</w:t>
            </w:r>
          </w:p>
          <w:p w14:paraId="7EF8B95D" w14:textId="77777777" w:rsidR="00364837" w:rsidRPr="00775FFE" w:rsidRDefault="00364837" w:rsidP="00364837">
            <w:pPr>
              <w:spacing w:line="360" w:lineRule="auto"/>
            </w:pPr>
            <w:r w:rsidRPr="00775FFE">
              <w:t>When a safeguarding report is received, the local authority considers whether there is reasonable cause to suspect the adult is at risk. If this threshold is met, Section 126 requires enquiries to be made to establish whether action is needed. The Wales Safeguarding Procedures set out a usual timescale of seven working days for initial enquiries. These may involve speaking with the adult, gathering information from other professionals, considering their wishes and assessing the level of risk. Where there is immediate danger, protective action should not be delayed.</w:t>
            </w:r>
          </w:p>
          <w:p w14:paraId="26EC1554" w14:textId="77777777" w:rsidR="00364837" w:rsidRPr="00775FFE" w:rsidRDefault="00364837" w:rsidP="00364837">
            <w:pPr>
              <w:spacing w:line="360" w:lineRule="auto"/>
            </w:pPr>
            <w:r w:rsidRPr="00775FFE">
              <w:t>Depending on the outcome, a multi-agency strategy discussion or meeting may be needed. This allows social services, police, health professionals and other agencies to share information, consider the risks and agree who is responsible for further action. Where ongoing safeguarding support is required, a care and support protection plan can be developed. This should identify what needs to happen, who will be responsible and when the plan will be reviewed.</w:t>
            </w:r>
          </w:p>
          <w:p w14:paraId="49FB0AC3" w14:textId="77777777" w:rsidR="00364837" w:rsidRPr="00775FFE" w:rsidRDefault="00364837" w:rsidP="00364837">
            <w:pPr>
              <w:spacing w:line="360" w:lineRule="auto"/>
            </w:pPr>
            <w:r w:rsidRPr="00775FFE">
              <w:lastRenderedPageBreak/>
              <w:t xml:space="preserve">Welsh Government’s </w:t>
            </w:r>
            <w:r w:rsidRPr="00775FFE">
              <w:rPr>
                <w:i/>
                <w:iCs/>
              </w:rPr>
              <w:t>Working Together to Safeguard People: Volume 6</w:t>
            </w:r>
            <w:r w:rsidRPr="00775FFE">
              <w:t xml:space="preserve"> (2019) supports this process. Section 127 of the SSWBA also provides for Adult Protection and Support Orders where access to an adult is being prevented and the legal conditions are met. The Mental Capacity Act 2005 and Human Rights Act 1998 are also important when considering the adult’s rights and whether any intervention is lawful and proportionate.</w:t>
            </w:r>
          </w:p>
          <w:p w14:paraId="3ED8AD1D" w14:textId="77777777" w:rsidR="00364837" w:rsidRDefault="00364837" w:rsidP="00364837">
            <w:pPr>
              <w:spacing w:line="360" w:lineRule="auto"/>
            </w:pPr>
            <w:r w:rsidRPr="00775FFE">
              <w:t>From looking at these procedures, I can see how important communication and joint working are. Safeguarding relies on professionals recognising concerns, sharing information and understanding their responsibilities. Ahuja et al. (2022) also highlight the importance of organisational support and professional skills in delivering person-centred safeguarding. This shows how legislation, national guidance and local procedures need to work together to safeguard adults effectively.</w:t>
            </w:r>
          </w:p>
          <w:p w14:paraId="1975F5F3" w14:textId="77777777" w:rsidR="00364837" w:rsidRPr="00775FFE" w:rsidRDefault="00364837" w:rsidP="00364837">
            <w:pPr>
              <w:spacing w:line="360" w:lineRule="auto"/>
            </w:pPr>
            <w:r>
              <w:t>Word count: 493</w:t>
            </w:r>
          </w:p>
          <w:p w14:paraId="03BD6D93" w14:textId="56AD433A" w:rsidR="00364837" w:rsidRPr="008B28E7" w:rsidRDefault="00364837"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744C25CB" w14:textId="77777777" w:rsidR="00364837" w:rsidRDefault="00364837" w:rsidP="00FC0334">
            <w:pPr>
              <w:jc w:val="both"/>
              <w:rPr>
                <w:i/>
                <w:sz w:val="24"/>
                <w:szCs w:val="24"/>
              </w:rPr>
            </w:pPr>
          </w:p>
          <w:p w14:paraId="4E523749" w14:textId="77777777" w:rsidR="00364837" w:rsidRPr="00775FFE" w:rsidRDefault="00364837" w:rsidP="00364837">
            <w:pPr>
              <w:spacing w:line="360" w:lineRule="auto"/>
            </w:pPr>
            <w:r w:rsidRPr="00775FFE">
              <w:t>Working in children’s services has shaped how I think about safeguarding, particularly my responsibility to protect children from harm. Learning about adult safeguarding has made me think more about the differences in consent, mental capacity and how much choice people have in decisions affecting their lives.</w:t>
            </w:r>
          </w:p>
          <w:p w14:paraId="431FBE04" w14:textId="77777777" w:rsidR="00364837" w:rsidRPr="00775FFE" w:rsidRDefault="00364837" w:rsidP="00364837">
            <w:pPr>
              <w:spacing w:line="360" w:lineRule="auto"/>
            </w:pPr>
            <w:r w:rsidRPr="00775FFE">
              <w:t xml:space="preserve">In children’s safeguarding, the Social Services and Well-being (Wales) Act 2014 </w:t>
            </w:r>
            <w:r>
              <w:t xml:space="preserve">(SSWBA) </w:t>
            </w:r>
            <w:r w:rsidRPr="00775FFE">
              <w:t xml:space="preserve">and </w:t>
            </w:r>
            <w:r w:rsidRPr="00775FFE">
              <w:rPr>
                <w:i/>
                <w:iCs/>
              </w:rPr>
              <w:t>Working Together to Safeguard People: Volume 5</w:t>
            </w:r>
            <w:r w:rsidRPr="00775FFE">
              <w:t xml:space="preserve"> provide the framework. Although children’s wishes and feelings are important, decisions must also consider their age, understanding and welfare. There are times when professionals need to intervene to protect a child, even when parents disagree.</w:t>
            </w:r>
            <w:r>
              <w:t xml:space="preserve"> </w:t>
            </w:r>
            <w:r w:rsidRPr="00775FFE">
              <w:t xml:space="preserve">However, children can make certain decisions themselves. Gillick competence, established in </w:t>
            </w:r>
            <w:r w:rsidRPr="00775FFE">
              <w:rPr>
                <w:i/>
                <w:iCs/>
              </w:rPr>
              <w:t>Gillick v West Norfolk and Wisbech AHA</w:t>
            </w:r>
            <w:r w:rsidRPr="00775FFE">
              <w:t xml:space="preserve"> (1986), recognises that children under 16 can consent to </w:t>
            </w:r>
            <w:proofErr w:type="gramStart"/>
            <w:r w:rsidRPr="00775FFE">
              <w:t>particular decisions</w:t>
            </w:r>
            <w:proofErr w:type="gramEnd"/>
            <w:r w:rsidRPr="00775FFE">
              <w:t xml:space="preserve"> if they have enough maturity and understanding. This is important because children should not automatically be considered unable to make decisions because of their age.</w:t>
            </w:r>
          </w:p>
          <w:p w14:paraId="33C978C5" w14:textId="77777777" w:rsidR="00364837" w:rsidRPr="00775FFE" w:rsidRDefault="00364837" w:rsidP="00364837">
            <w:pPr>
              <w:spacing w:line="360" w:lineRule="auto"/>
            </w:pPr>
            <w:r w:rsidRPr="00775FFE">
              <w:t xml:space="preserve">In adult safeguarding, the </w:t>
            </w:r>
            <w:r>
              <w:t>SSWBA</w:t>
            </w:r>
            <w:r w:rsidRPr="00775FFE">
              <w:t xml:space="preserve"> places importance on voice, choice and control, ensuring adults are involved in decisions about their lives. The Mental Capacity Act 2005 presumes adults have capacity unless established otherwise. Capacity is specific to the decision being made, and adults have the right to make unwise decisions without this meaning they lack capacity. Consent should be sought wherever possible, although safeguarding concerns may still need to be explored without consent where there is a lawful reason, such as coercion or risk to others.</w:t>
            </w:r>
          </w:p>
          <w:p w14:paraId="532AE4D3" w14:textId="77777777" w:rsidR="00364837" w:rsidRPr="00775FFE" w:rsidRDefault="00364837" w:rsidP="00364837">
            <w:pPr>
              <w:spacing w:line="360" w:lineRule="auto"/>
            </w:pPr>
            <w:r w:rsidRPr="00775FFE">
              <w:t xml:space="preserve">This has made me reflect on my own practice. Working with children, I am used to considering what needs to happen to keep them safe. With adults, I need to recognise that someone may understand the risks but still choose not to accept support. Although I might not agree with their decision, this does not mean I should make it for them. However, I would still need to consider whether their choices are being influenced by abuse, </w:t>
            </w:r>
            <w:r w:rsidRPr="00775FFE">
              <w:lastRenderedPageBreak/>
              <w:t>pressure or exploitation.</w:t>
            </w:r>
            <w:r>
              <w:t xml:space="preserve"> </w:t>
            </w:r>
            <w:r w:rsidRPr="00775FFE">
              <w:t xml:space="preserve">Ahuja et al. (2022) highlight the importance of involving adults in safeguarding decisions and understanding what outcomes matter to them. This has helped me recognise that safeguarding is not always about removing </w:t>
            </w:r>
            <w:proofErr w:type="gramStart"/>
            <w:r w:rsidRPr="00775FFE">
              <w:t>risk, but</w:t>
            </w:r>
            <w:proofErr w:type="gramEnd"/>
            <w:r w:rsidRPr="00775FFE">
              <w:t xml:space="preserve"> also supporting people to make informed choices.</w:t>
            </w:r>
          </w:p>
          <w:p w14:paraId="2F994287" w14:textId="77777777" w:rsidR="00364837" w:rsidRDefault="00364837" w:rsidP="00364837">
            <w:pPr>
              <w:spacing w:line="360" w:lineRule="auto"/>
            </w:pPr>
            <w:r w:rsidRPr="00775FFE">
              <w:t>Overall, both areas require listening, professional curiosity and working with other agencies. This learning has made me more aware of the importance of balancing protection with voice, choice and control, something I w</w:t>
            </w:r>
            <w:r>
              <w:t>ish</w:t>
            </w:r>
            <w:r w:rsidRPr="00775FFE">
              <w:t xml:space="preserve"> to continue developing in my own practice.</w:t>
            </w:r>
          </w:p>
          <w:p w14:paraId="259A00A6" w14:textId="77777777" w:rsidR="00364837" w:rsidRPr="00775FFE" w:rsidRDefault="00364837" w:rsidP="00364837">
            <w:pPr>
              <w:spacing w:line="360" w:lineRule="auto"/>
            </w:pPr>
            <w:r>
              <w:t>Word Count: 402</w:t>
            </w:r>
          </w:p>
          <w:p w14:paraId="0D0D3260" w14:textId="77777777" w:rsidR="00364837" w:rsidRPr="00364837" w:rsidRDefault="00364837" w:rsidP="00FC0334">
            <w:pPr>
              <w:jc w:val="both"/>
              <w:rPr>
                <w:iCs/>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DB07E" w14:textId="77777777" w:rsidR="009646B2" w:rsidRDefault="009646B2">
      <w:r>
        <w:separator/>
      </w:r>
    </w:p>
  </w:endnote>
  <w:endnote w:type="continuationSeparator" w:id="0">
    <w:p w14:paraId="55AA3993" w14:textId="77777777" w:rsidR="009646B2" w:rsidRDefault="00964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1A824" w14:textId="77777777" w:rsidR="009646B2" w:rsidRDefault="009646B2">
      <w:r>
        <w:separator/>
      </w:r>
    </w:p>
  </w:footnote>
  <w:footnote w:type="continuationSeparator" w:id="0">
    <w:p w14:paraId="07B5E4E2" w14:textId="77777777" w:rsidR="009646B2" w:rsidRDefault="00964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68BC"/>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4837"/>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6B2"/>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1071</Words>
  <Characters>6105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Stephanie Davies</cp:lastModifiedBy>
  <cp:revision>2</cp:revision>
  <cp:lastPrinted>2020-02-11T19:20:00Z</cp:lastPrinted>
  <dcterms:created xsi:type="dcterms:W3CDTF">2026-10-14T06:45:00Z</dcterms:created>
  <dcterms:modified xsi:type="dcterms:W3CDTF">2026-10-14T06:45:00Z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