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A389F" w:rsidRPr="00E32E05" w:rsidRDefault="0035189B">
      <w:pPr>
        <w:pBdr>
          <w:top w:val="nil"/>
          <w:left w:val="nil"/>
          <w:bottom w:val="nil"/>
          <w:right w:val="nil"/>
          <w:between w:val="nil"/>
        </w:pBdr>
        <w:spacing w:before="200" w:after="200"/>
        <w:jc w:val="center"/>
        <w:rPr>
          <w:b/>
          <w:sz w:val="32"/>
          <w:szCs w:val="32"/>
        </w:rPr>
      </w:pPr>
      <w:r w:rsidRPr="00E32E05">
        <w:rPr>
          <w:b/>
          <w:sz w:val="32"/>
          <w:szCs w:val="32"/>
        </w:rPr>
        <w:t>Module: Criminal law – Assignment 1</w:t>
      </w:r>
    </w:p>
    <w:p w:rsidR="00CA389F" w:rsidRPr="00E32E05" w:rsidRDefault="0035189B">
      <w:pPr>
        <w:pBdr>
          <w:top w:val="nil"/>
          <w:left w:val="nil"/>
          <w:bottom w:val="nil"/>
          <w:right w:val="nil"/>
          <w:between w:val="nil"/>
        </w:pBdr>
        <w:spacing w:before="200" w:after="200"/>
        <w:jc w:val="center"/>
        <w:rPr>
          <w:b/>
          <w:sz w:val="32"/>
          <w:szCs w:val="32"/>
        </w:rPr>
      </w:pPr>
      <w:r w:rsidRPr="00E32E05">
        <w:rPr>
          <w:b/>
          <w:sz w:val="32"/>
          <w:szCs w:val="32"/>
        </w:rPr>
        <w:t>Module Code: BMLW4005/BMPL4009</w:t>
      </w:r>
    </w:p>
    <w:p w:rsidR="00CA389F" w:rsidRPr="00E32E05" w:rsidRDefault="0035189B">
      <w:pPr>
        <w:pBdr>
          <w:top w:val="nil"/>
          <w:left w:val="nil"/>
          <w:bottom w:val="nil"/>
          <w:right w:val="nil"/>
          <w:between w:val="nil"/>
        </w:pBdr>
        <w:spacing w:before="200" w:after="200"/>
        <w:jc w:val="center"/>
        <w:rPr>
          <w:b/>
          <w:sz w:val="32"/>
          <w:szCs w:val="32"/>
        </w:rPr>
      </w:pPr>
      <w:r w:rsidRPr="00E32E05">
        <w:rPr>
          <w:b/>
          <w:sz w:val="32"/>
          <w:szCs w:val="32"/>
        </w:rPr>
        <w:t>Assignment Title: Liability by Omission</w:t>
      </w:r>
    </w:p>
    <w:p w:rsidR="00CA389F" w:rsidRPr="00E32E05" w:rsidRDefault="0035189B">
      <w:r w:rsidRPr="00E32E05">
        <w:br w:type="page"/>
      </w:r>
    </w:p>
    <w:p w:rsidR="00CA389F" w:rsidRPr="00E32E05" w:rsidRDefault="0035189B">
      <w:pPr>
        <w:keepNext/>
        <w:keepLines/>
        <w:pBdr>
          <w:top w:val="nil"/>
          <w:left w:val="nil"/>
          <w:bottom w:val="nil"/>
          <w:right w:val="nil"/>
          <w:between w:val="nil"/>
        </w:pBdr>
        <w:spacing w:before="480"/>
        <w:jc w:val="center"/>
        <w:rPr>
          <w:rFonts w:ascii="Calibri" w:eastAsia="Calibri" w:hAnsi="Calibri" w:cs="Calibri"/>
          <w:b/>
          <w:sz w:val="28"/>
          <w:szCs w:val="28"/>
        </w:rPr>
      </w:pPr>
      <w:r w:rsidRPr="00E32E05">
        <w:rPr>
          <w:b/>
        </w:rPr>
        <w:lastRenderedPageBreak/>
        <w:t>Table of Contents</w:t>
      </w:r>
    </w:p>
    <w:sdt>
      <w:sdtPr>
        <w:id w:val="30518226"/>
        <w:docPartObj>
          <w:docPartGallery w:val="Table of Contents"/>
          <w:docPartUnique/>
        </w:docPartObj>
      </w:sdtPr>
      <w:sdtEndPr/>
      <w:sdtContent>
        <w:p w:rsidR="00CA389F" w:rsidRPr="00E32E05" w:rsidRDefault="00CA389F">
          <w:pPr>
            <w:pBdr>
              <w:top w:val="nil"/>
              <w:left w:val="nil"/>
              <w:bottom w:val="nil"/>
              <w:right w:val="nil"/>
              <w:between w:val="nil"/>
            </w:pBdr>
            <w:tabs>
              <w:tab w:val="right" w:pos="9016"/>
            </w:tabs>
            <w:spacing w:after="100"/>
          </w:pPr>
          <w:r w:rsidRPr="00E32E05">
            <w:fldChar w:fldCharType="begin"/>
          </w:r>
          <w:r w:rsidR="0035189B" w:rsidRPr="00E32E05">
            <w:instrText xml:space="preserve"> TOC \h \u \z </w:instrText>
          </w:r>
          <w:r w:rsidRPr="00E32E05">
            <w:fldChar w:fldCharType="separate"/>
          </w:r>
          <w:hyperlink w:anchor="_heading=h.gjdgxs">
            <w:r w:rsidR="0035189B" w:rsidRPr="00E32E05">
              <w:t>Introduction</w:t>
            </w:r>
            <w:r w:rsidR="0035189B" w:rsidRPr="00E32E05">
              <w:tab/>
              <w:t>3</w:t>
            </w:r>
          </w:hyperlink>
        </w:p>
        <w:p w:rsidR="00CA389F" w:rsidRPr="00E32E05" w:rsidRDefault="00425A23">
          <w:pPr>
            <w:pBdr>
              <w:top w:val="nil"/>
              <w:left w:val="nil"/>
              <w:bottom w:val="nil"/>
              <w:right w:val="nil"/>
              <w:between w:val="nil"/>
            </w:pBdr>
            <w:tabs>
              <w:tab w:val="right" w:pos="9016"/>
            </w:tabs>
            <w:spacing w:after="100"/>
          </w:pPr>
          <w:hyperlink w:anchor="_heading=h.30j0zll">
            <w:r w:rsidR="0035189B" w:rsidRPr="00E32E05">
              <w:t>“Which part of a crime does failure to act relate to?”</w:t>
            </w:r>
            <w:r w:rsidR="0035189B" w:rsidRPr="00E32E05">
              <w:tab/>
              <w:t>4</w:t>
            </w:r>
          </w:hyperlink>
        </w:p>
        <w:p w:rsidR="00CA389F" w:rsidRPr="00E32E05" w:rsidRDefault="00425A23">
          <w:pPr>
            <w:pBdr>
              <w:top w:val="nil"/>
              <w:left w:val="nil"/>
              <w:bottom w:val="nil"/>
              <w:right w:val="nil"/>
              <w:between w:val="nil"/>
            </w:pBdr>
            <w:tabs>
              <w:tab w:val="right" w:pos="9016"/>
            </w:tabs>
            <w:spacing w:after="100"/>
          </w:pPr>
          <w:hyperlink w:anchor="_heading=h.1fob9te">
            <w:r w:rsidR="0035189B" w:rsidRPr="00E32E05">
              <w:t>“Is there a general duty to act in criminal law?”</w:t>
            </w:r>
            <w:r w:rsidR="0035189B" w:rsidRPr="00E32E05">
              <w:tab/>
              <w:t>4</w:t>
            </w:r>
          </w:hyperlink>
        </w:p>
        <w:p w:rsidR="00CA389F" w:rsidRPr="00E32E05" w:rsidRDefault="00425A23">
          <w:pPr>
            <w:pBdr>
              <w:top w:val="nil"/>
              <w:left w:val="nil"/>
              <w:bottom w:val="nil"/>
              <w:right w:val="nil"/>
              <w:between w:val="nil"/>
            </w:pBdr>
            <w:tabs>
              <w:tab w:val="right" w:pos="9016"/>
            </w:tabs>
            <w:spacing w:after="100"/>
          </w:pPr>
          <w:hyperlink w:anchor="_heading=h.3znysh7">
            <w:r w:rsidR="0035189B" w:rsidRPr="00E32E05">
              <w:t>“What are the requirements for a crime to be committed by omission?”</w:t>
            </w:r>
            <w:r w:rsidR="0035189B" w:rsidRPr="00E32E05">
              <w:tab/>
              <w:t>4</w:t>
            </w:r>
          </w:hyperlink>
        </w:p>
        <w:p w:rsidR="00CA389F" w:rsidRPr="00E32E05" w:rsidRDefault="00425A23">
          <w:pPr>
            <w:pBdr>
              <w:top w:val="nil"/>
              <w:left w:val="nil"/>
              <w:bottom w:val="nil"/>
              <w:right w:val="nil"/>
              <w:between w:val="nil"/>
            </w:pBdr>
            <w:tabs>
              <w:tab w:val="right" w:pos="9016"/>
            </w:tabs>
            <w:spacing w:after="100"/>
          </w:pPr>
          <w:hyperlink w:anchor="_heading=h.2et92p0">
            <w:r w:rsidR="0035189B" w:rsidRPr="00E32E05">
              <w:t>“When might a statutory duty to act be present?”</w:t>
            </w:r>
            <w:r w:rsidR="0035189B" w:rsidRPr="00E32E05">
              <w:tab/>
              <w:t>5</w:t>
            </w:r>
          </w:hyperlink>
        </w:p>
        <w:p w:rsidR="00CA389F" w:rsidRPr="00E32E05" w:rsidRDefault="00425A23">
          <w:pPr>
            <w:pBdr>
              <w:top w:val="nil"/>
              <w:left w:val="nil"/>
              <w:bottom w:val="nil"/>
              <w:right w:val="nil"/>
              <w:between w:val="nil"/>
            </w:pBdr>
            <w:tabs>
              <w:tab w:val="right" w:pos="9016"/>
            </w:tabs>
            <w:spacing w:after="100"/>
          </w:pPr>
          <w:hyperlink w:anchor="_heading=h.tyjcwt">
            <w:r w:rsidR="0035189B" w:rsidRPr="00E32E05">
              <w:t>“When might a contractual/ duty based on office be present?”</w:t>
            </w:r>
            <w:r w:rsidR="0035189B" w:rsidRPr="00E32E05">
              <w:tab/>
              <w:t>5</w:t>
            </w:r>
          </w:hyperlink>
        </w:p>
        <w:p w:rsidR="00CA389F" w:rsidRPr="00E32E05" w:rsidRDefault="00425A23">
          <w:pPr>
            <w:pBdr>
              <w:top w:val="nil"/>
              <w:left w:val="nil"/>
              <w:bottom w:val="nil"/>
              <w:right w:val="nil"/>
              <w:between w:val="nil"/>
            </w:pBdr>
            <w:tabs>
              <w:tab w:val="right" w:pos="9016"/>
            </w:tabs>
            <w:spacing w:after="100"/>
          </w:pPr>
          <w:hyperlink w:anchor="_heading=h.3dy6vkm">
            <w:r w:rsidR="0035189B" w:rsidRPr="00E32E05">
              <w:t>“When might a common law duty to act arise?”</w:t>
            </w:r>
            <w:r w:rsidR="0035189B" w:rsidRPr="00E32E05">
              <w:tab/>
              <w:t>5</w:t>
            </w:r>
          </w:hyperlink>
        </w:p>
        <w:p w:rsidR="00CA389F" w:rsidRPr="00E32E05" w:rsidRDefault="00425A23">
          <w:pPr>
            <w:pBdr>
              <w:top w:val="nil"/>
              <w:left w:val="nil"/>
              <w:bottom w:val="nil"/>
              <w:right w:val="nil"/>
              <w:between w:val="nil"/>
            </w:pBdr>
            <w:tabs>
              <w:tab w:val="right" w:pos="9016"/>
            </w:tabs>
            <w:spacing w:after="100"/>
          </w:pPr>
          <w:hyperlink w:anchor="_heading=h.1t3h5sf">
            <w:r w:rsidR="0035189B" w:rsidRPr="00E32E05">
              <w:t>“When does a duty to act stop?”</w:t>
            </w:r>
            <w:r w:rsidR="0035189B" w:rsidRPr="00E32E05">
              <w:tab/>
              <w:t>6</w:t>
            </w:r>
          </w:hyperlink>
        </w:p>
        <w:p w:rsidR="00CA389F" w:rsidRPr="00E32E05" w:rsidRDefault="00425A23">
          <w:pPr>
            <w:pBdr>
              <w:top w:val="nil"/>
              <w:left w:val="nil"/>
              <w:bottom w:val="nil"/>
              <w:right w:val="nil"/>
              <w:between w:val="nil"/>
            </w:pBdr>
            <w:tabs>
              <w:tab w:val="right" w:pos="9016"/>
            </w:tabs>
            <w:spacing w:after="100"/>
          </w:pPr>
          <w:hyperlink w:anchor="_heading=h.4d34og8">
            <w:r w:rsidR="0035189B" w:rsidRPr="00E32E05">
              <w:t>"Should there be a general duty to act? What are the pros and cons of this?"</w:t>
            </w:r>
            <w:r w:rsidR="0035189B" w:rsidRPr="00E32E05">
              <w:tab/>
              <w:t>6</w:t>
            </w:r>
          </w:hyperlink>
        </w:p>
        <w:p w:rsidR="00CA389F" w:rsidRPr="00E32E05" w:rsidRDefault="00425A23">
          <w:pPr>
            <w:pBdr>
              <w:top w:val="nil"/>
              <w:left w:val="nil"/>
              <w:bottom w:val="nil"/>
              <w:right w:val="nil"/>
              <w:between w:val="nil"/>
            </w:pBdr>
            <w:tabs>
              <w:tab w:val="right" w:pos="9016"/>
            </w:tabs>
            <w:spacing w:after="100"/>
          </w:pPr>
          <w:hyperlink w:anchor="_heading=h.2s8eyo1">
            <w:r w:rsidR="0035189B" w:rsidRPr="00E32E05">
              <w:t>Conclusion</w:t>
            </w:r>
            <w:r w:rsidR="0035189B" w:rsidRPr="00E32E05">
              <w:tab/>
              <w:t>7</w:t>
            </w:r>
          </w:hyperlink>
        </w:p>
        <w:p w:rsidR="00CA389F" w:rsidRPr="00E32E05" w:rsidRDefault="00425A23">
          <w:pPr>
            <w:pBdr>
              <w:top w:val="nil"/>
              <w:left w:val="nil"/>
              <w:bottom w:val="nil"/>
              <w:right w:val="nil"/>
              <w:between w:val="nil"/>
            </w:pBdr>
            <w:tabs>
              <w:tab w:val="right" w:pos="9016"/>
            </w:tabs>
            <w:spacing w:after="100"/>
          </w:pPr>
          <w:hyperlink w:anchor="_heading=h.17dp8vu">
            <w:r w:rsidR="0035189B" w:rsidRPr="00E32E05">
              <w:t>References</w:t>
            </w:r>
            <w:r w:rsidR="0035189B" w:rsidRPr="00E32E05">
              <w:tab/>
              <w:t>8</w:t>
            </w:r>
          </w:hyperlink>
        </w:p>
        <w:p w:rsidR="00CA389F" w:rsidRPr="00E32E05" w:rsidRDefault="00CA389F">
          <w:r w:rsidRPr="00E32E05">
            <w:fldChar w:fldCharType="end"/>
          </w:r>
        </w:p>
      </w:sdtContent>
    </w:sdt>
    <w:p w:rsidR="00CA389F" w:rsidRPr="00E32E05" w:rsidRDefault="0035189B">
      <w:pPr>
        <w:pBdr>
          <w:top w:val="nil"/>
          <w:left w:val="nil"/>
          <w:bottom w:val="nil"/>
          <w:right w:val="nil"/>
          <w:between w:val="nil"/>
        </w:pBdr>
      </w:pPr>
      <w:r w:rsidRPr="00E32E05">
        <w:br w:type="page"/>
      </w:r>
    </w:p>
    <w:p w:rsidR="00CA389F" w:rsidRPr="00E32E05" w:rsidRDefault="0035189B">
      <w:pPr>
        <w:pStyle w:val="Heading1"/>
      </w:pPr>
      <w:bookmarkStart w:id="0" w:name="_heading=h.gjdgxs" w:colFirst="0" w:colLast="0"/>
      <w:bookmarkEnd w:id="0"/>
      <w:r w:rsidRPr="00E32E05">
        <w:lastRenderedPageBreak/>
        <w:t>Introduction</w:t>
      </w:r>
    </w:p>
    <w:p w:rsidR="00CA389F" w:rsidRPr="00E32E05" w:rsidRDefault="0035189B">
      <w:pPr>
        <w:pBdr>
          <w:top w:val="nil"/>
          <w:left w:val="nil"/>
          <w:bottom w:val="nil"/>
          <w:right w:val="nil"/>
          <w:between w:val="nil"/>
        </w:pBdr>
      </w:pPr>
      <w:r w:rsidRPr="00E32E05">
        <w:t>Criminal law can be defined as a part of the law system or body dealing with the activities of punishable offences. Precisely, this law defines how someone's actions and behaviours can be determined as criminal offences and help regulate, apprehend, charge, and bring the suspected individuals to trial (Ashworth and Horder, 2013). In this consideration, the following report will provide a discussion to answer the question - "When criminal liability will be upheld for failing to act?". In order to provide a thorough understanding and appropriate answers to these questions, it will first explain the exact part of crimes that "failure to act" is associated with. Then, it will explain whether general duty towards acting within criminal law exists. It will also explain the requirements based on which a crime can be "committed by omission. In this sense, the period or cases wherein the statutory Duty to Act will be present is also identified. It will be followed by the description of the instance when contractual law on the duty within the workplace occurs. Further, the report also determines when the Common Law Duty to Act arises. In a similar context, the writer will convey when the Duty to Act stops along with a determination of whether the general duty to act should be present. Then, the merits and demerits of having a general Duty to Act will be explained.</w:t>
      </w:r>
    </w:p>
    <w:p w:rsidR="00CA389F" w:rsidRPr="00E32E05" w:rsidRDefault="0035189B">
      <w:pPr>
        <w:pBdr>
          <w:top w:val="nil"/>
          <w:left w:val="nil"/>
          <w:bottom w:val="nil"/>
          <w:right w:val="nil"/>
          <w:between w:val="nil"/>
        </w:pBdr>
      </w:pPr>
      <w:r w:rsidRPr="00E32E05">
        <w:br w:type="page"/>
      </w:r>
    </w:p>
    <w:p w:rsidR="00CA389F" w:rsidRPr="00E32E05" w:rsidRDefault="0035189B">
      <w:pPr>
        <w:pStyle w:val="Heading1"/>
      </w:pPr>
      <w:bookmarkStart w:id="1" w:name="_heading=h.30j0zll" w:colFirst="0" w:colLast="0"/>
      <w:bookmarkEnd w:id="1"/>
      <w:r w:rsidRPr="00E32E05">
        <w:lastRenderedPageBreak/>
        <w:t>“Which part of a crime does failure to act relate to?”</w:t>
      </w:r>
    </w:p>
    <w:p w:rsidR="00CA389F" w:rsidRPr="00E32E05" w:rsidRDefault="0035189B">
      <w:pPr>
        <w:pBdr>
          <w:top w:val="nil"/>
          <w:left w:val="nil"/>
          <w:bottom w:val="nil"/>
          <w:right w:val="nil"/>
          <w:between w:val="nil"/>
        </w:pBdr>
      </w:pPr>
      <w:r w:rsidRPr="00E32E05">
        <w:t xml:space="preserve">There are Statutory and General parts of criminal law for determining the actions and behaviours of defendants and two different parts comprise to form the </w:t>
      </w:r>
      <w:r w:rsidRPr="00E32E05">
        <w:rPr>
          <w:b/>
        </w:rPr>
        <w:t xml:space="preserve">statutes </w:t>
      </w:r>
      <w:r w:rsidRPr="00E32E05">
        <w:t xml:space="preserve">(De Than and Heaton, 2013): </w:t>
      </w:r>
    </w:p>
    <w:p w:rsidR="00CA389F" w:rsidRPr="00E32E05" w:rsidRDefault="0035189B">
      <w:pPr>
        <w:numPr>
          <w:ilvl w:val="0"/>
          <w:numId w:val="1"/>
        </w:numPr>
        <w:pBdr>
          <w:top w:val="nil"/>
          <w:left w:val="nil"/>
          <w:bottom w:val="nil"/>
          <w:right w:val="nil"/>
          <w:between w:val="nil"/>
        </w:pBdr>
      </w:pPr>
      <w:r w:rsidRPr="00E32E05">
        <w:t>Mens Rea is the first part referring to the mental state required to be possessed by the individuals committing punishable offences/crimes (Jonas, 2021).</w:t>
      </w:r>
    </w:p>
    <w:p w:rsidR="00CA389F" w:rsidRPr="00E32E05" w:rsidRDefault="0035189B">
      <w:pPr>
        <w:numPr>
          <w:ilvl w:val="0"/>
          <w:numId w:val="1"/>
        </w:numPr>
        <w:pBdr>
          <w:top w:val="nil"/>
          <w:left w:val="nil"/>
          <w:bottom w:val="nil"/>
          <w:right w:val="nil"/>
          <w:between w:val="nil"/>
        </w:pBdr>
      </w:pPr>
      <w:r w:rsidRPr="00E32E05">
        <w:t>Actus Reus is another part of the criminal statutes referring to the perpetrators' actions, criminal acts or conduct (Jonas, 2021).</w:t>
      </w:r>
    </w:p>
    <w:p w:rsidR="00CA389F" w:rsidRPr="00E32E05" w:rsidRDefault="0035189B">
      <w:pPr>
        <w:pBdr>
          <w:top w:val="nil"/>
          <w:left w:val="nil"/>
          <w:bottom w:val="nil"/>
          <w:right w:val="nil"/>
          <w:between w:val="nil"/>
        </w:pBdr>
      </w:pPr>
      <w:r w:rsidRPr="00E32E05">
        <w:t>Based on the discussion, it can be understood that failure to act is related to the Actus Reus which determines whether the person was legally required to perform that task. It also determines whether the individual is eligible for the liability of omission (Kruglyak, 2020).</w:t>
      </w:r>
    </w:p>
    <w:p w:rsidR="00CA389F" w:rsidRPr="00E32E05" w:rsidRDefault="0035189B">
      <w:pPr>
        <w:pStyle w:val="Heading1"/>
      </w:pPr>
      <w:bookmarkStart w:id="2" w:name="_heading=h.1fob9te" w:colFirst="0" w:colLast="0"/>
      <w:bookmarkEnd w:id="2"/>
      <w:r w:rsidRPr="00E32E05">
        <w:t>“Is there a general duty to act in criminal law?”</w:t>
      </w:r>
    </w:p>
    <w:p w:rsidR="00CA389F" w:rsidRPr="00E32E05" w:rsidRDefault="0035189B">
      <w:pPr>
        <w:pBdr>
          <w:top w:val="nil"/>
          <w:left w:val="nil"/>
          <w:bottom w:val="nil"/>
          <w:right w:val="nil"/>
          <w:between w:val="nil"/>
        </w:pBdr>
      </w:pPr>
      <w:r w:rsidRPr="00E32E05">
        <w:t xml:space="preserve">Criminal law holds that individuals cannot be normally convicted of having conducted a crime without possessing the intention or mental state to conduct the acts in question (van Sliedregt, 2018). In this sense, the intention, motive, and mental condition of the perpetrator when committing certain offences are mandatory. Failure to Act is a statute that holds that every failure of a person to act cannot be considered a crime (Ambos </w:t>
      </w:r>
      <w:r w:rsidRPr="00E32E05">
        <w:rPr>
          <w:i/>
        </w:rPr>
        <w:t>et al</w:t>
      </w:r>
      <w:r w:rsidRPr="00E32E05">
        <w:t xml:space="preserve">., 2020). It leads to creating awareness and understanding that no general duty to act is imposed on people. For instance, the case of R v Miller (1983) where a defendant vagrant who was drunk and fell asleep in a property with a lit cigarette was charged and punished for arson. The judgement on this case did not depend on the mens rea of the actus reus (Reedand Sarahne, 2021). The argument here is that the defendant might not necessarily have been aware of the damage posed by the fire or was not in the right mental state at that very time.  Hence, this proves the </w:t>
      </w:r>
      <w:r w:rsidRPr="00E32E05">
        <w:rPr>
          <w:b/>
        </w:rPr>
        <w:t xml:space="preserve">absence of the General duty to act </w:t>
      </w:r>
      <w:r w:rsidRPr="00E32E05">
        <w:t>within the criminal law of the common law legal system.</w:t>
      </w:r>
    </w:p>
    <w:p w:rsidR="00CA389F" w:rsidRPr="00E32E05" w:rsidRDefault="0035189B">
      <w:pPr>
        <w:pStyle w:val="Heading1"/>
      </w:pPr>
      <w:bookmarkStart w:id="3" w:name="_heading=h.3znysh7" w:colFirst="0" w:colLast="0"/>
      <w:bookmarkEnd w:id="3"/>
      <w:r w:rsidRPr="00E32E05">
        <w:t>“What are the requirements for a crime to be committed by omission?”</w:t>
      </w:r>
    </w:p>
    <w:p w:rsidR="00CA389F" w:rsidRPr="00E32E05" w:rsidRDefault="0035189B">
      <w:pPr>
        <w:pBdr>
          <w:top w:val="nil"/>
          <w:left w:val="nil"/>
          <w:bottom w:val="nil"/>
          <w:right w:val="nil"/>
          <w:between w:val="nil"/>
        </w:pBdr>
      </w:pPr>
      <w:r w:rsidRPr="00E32E05">
        <w:t xml:space="preserve">In the Common Law legal system of the UK, failure to act is defined as the time when an individual or party fails to perform/act certain duties they are required to. In this context, it is the crime related to the “Law of Omission” that failure to act is associated with (Bogg </w:t>
      </w:r>
      <w:r w:rsidRPr="00E32E05">
        <w:rPr>
          <w:i/>
        </w:rPr>
        <w:t>et al</w:t>
      </w:r>
      <w:r w:rsidRPr="00E32E05">
        <w:t xml:space="preserve">., 2020). To be precise, the term omission in the legal system of the UK is referred to as the "failure to act" that results in generally attracting a range of legal consequences based on positive conduct. In the Criminal Law jurisdiction, omissions constitute different actus reus that give rise to a person's liability when a duty to act is legally imposed on the individual. The defendant's breach of those duties refers to their failure to address their duty or negligence of their responsibility imposed by statute (Peterson, 2018). Omission Liability in </w:t>
      </w:r>
      <w:r w:rsidRPr="00E32E05">
        <w:lastRenderedPageBreak/>
        <w:t>criminal law refers to the liability or legal consequences imposed on certain people for failure to act.</w:t>
      </w:r>
    </w:p>
    <w:p w:rsidR="00CA389F" w:rsidRPr="00E32E05" w:rsidRDefault="0035189B">
      <w:pPr>
        <w:pBdr>
          <w:top w:val="nil"/>
          <w:left w:val="nil"/>
          <w:bottom w:val="nil"/>
          <w:right w:val="nil"/>
          <w:between w:val="nil"/>
        </w:pBdr>
      </w:pPr>
      <w:r w:rsidRPr="00E32E05">
        <w:t xml:space="preserve">In this context, the presence of </w:t>
      </w:r>
      <w:r w:rsidRPr="00E32E05">
        <w:rPr>
          <w:b/>
          <w:i/>
        </w:rPr>
        <w:t>Actus Reus and Mens Rea</w:t>
      </w:r>
      <w:r w:rsidRPr="00E32E05">
        <w:t xml:space="preserve"> is found to be mandatory for a crime to be committed by omission (Bogg </w:t>
      </w:r>
      <w:r w:rsidRPr="00E32E05">
        <w:rPr>
          <w:i/>
        </w:rPr>
        <w:t>et al</w:t>
      </w:r>
      <w:r w:rsidRPr="00E32E05">
        <w:t>., 2020). The actus reus determines that a person must voluntarily conduct the omission or criminal offence. It must be accompanied by the mens rea, the mental state or intention and motive of the perpetrator to cause harm or some kind of effect when committing the offence in question.</w:t>
      </w:r>
    </w:p>
    <w:p w:rsidR="00CA389F" w:rsidRPr="00E32E05" w:rsidRDefault="0035189B">
      <w:pPr>
        <w:pStyle w:val="Heading1"/>
      </w:pPr>
      <w:bookmarkStart w:id="4" w:name="_heading=h.2et92p0" w:colFirst="0" w:colLast="0"/>
      <w:bookmarkEnd w:id="4"/>
      <w:r w:rsidRPr="00E32E05">
        <w:t>“When might a statutory duty to act be present?”</w:t>
      </w:r>
    </w:p>
    <w:p w:rsidR="00CA389F" w:rsidRPr="00E32E05" w:rsidRDefault="0035189B">
      <w:pPr>
        <w:pBdr>
          <w:top w:val="nil"/>
          <w:left w:val="nil"/>
          <w:bottom w:val="nil"/>
          <w:right w:val="nil"/>
          <w:between w:val="nil"/>
        </w:pBdr>
      </w:pPr>
      <w:r w:rsidRPr="00E32E05">
        <w:t>Statutory duties can be understood as the law that must be obeyed by government organisations, business organisations, or members of particular professions. A statutory duty to act is present within the areas just mentioned wherein the law establishes and imposes legal duties on individuals or groups. For instance, every employer in the UK must not pay their employees below the national minimum wage imposed by the National Minimum Wage Act (Campbell, 2018). If found to do so, the breach of their duty to act is confirmed for which they get legally punished.</w:t>
      </w:r>
    </w:p>
    <w:p w:rsidR="00CA389F" w:rsidRPr="00E32E05" w:rsidRDefault="0035189B">
      <w:pPr>
        <w:pStyle w:val="Heading1"/>
      </w:pPr>
      <w:bookmarkStart w:id="5" w:name="_heading=h.tyjcwt" w:colFirst="0" w:colLast="0"/>
      <w:bookmarkEnd w:id="5"/>
      <w:r w:rsidRPr="00E32E05">
        <w:t>“When might a contractual/ duty based on office be present?”</w:t>
      </w:r>
    </w:p>
    <w:p w:rsidR="00CA389F" w:rsidRPr="00E32E05" w:rsidRDefault="0035189B">
      <w:r w:rsidRPr="00E32E05">
        <w:t>Contractual obligations are a great source of discussion in the context of omission liability. The employers or any other contractors using contractual agreements for business deals or negotiations are bound to follow the legal duty to act in terms of the obligations agreed to in their formal agreements. Both parties in the contracts are imposed with the legal responsibility of upholding the rules set in the contract agreements. Contractual obligations of an employer and employee signing the employment contract in the UK are an essential office-based exa</w:t>
      </w:r>
      <w:sdt>
        <w:sdtPr>
          <w:tag w:val="goog_rdk_0"/>
          <w:id w:val="30518227"/>
        </w:sdtPr>
        <w:sdtEndPr/>
        <w:sdtContent/>
      </w:sdt>
      <w:sdt>
        <w:sdtPr>
          <w:tag w:val="goog_rdk_1"/>
          <w:id w:val="30518228"/>
        </w:sdtPr>
        <w:sdtEndPr/>
        <w:sdtContent/>
      </w:sdt>
      <w:r w:rsidRPr="00E32E05">
        <w:t>mple of a contractual duty to act. The case of Ritchie v Atkinson is an example of the contractual breach of duty to act where both claimant and defendant agreed on the price of cargo shipping on “£5 per ton for the hemp and 5 shillings per ton of iron” (Oxbridge Notes, 2022)</w:t>
      </w:r>
      <w:sdt>
        <w:sdtPr>
          <w:tag w:val="goog_rdk_2"/>
          <w:id w:val="30518229"/>
        </w:sdtPr>
        <w:sdtEndPr/>
        <w:sdtContent/>
      </w:sdt>
      <w:sdt>
        <w:sdtPr>
          <w:tag w:val="goog_rdk_3"/>
          <w:id w:val="30518230"/>
        </w:sdtPr>
        <w:sdtEndPr/>
        <w:sdtContent/>
      </w:sdt>
      <w:r w:rsidRPr="00E32E05">
        <w:t>. The claimants carried fewer than agreed quantities which is why the defendant said that payment was not due. In this context, the defendant was required to compensate the damages for carrying a lesser than decided amount and the claimant was entitled to pay for the payment carried by the defendant.</w:t>
      </w:r>
    </w:p>
    <w:p w:rsidR="00CA389F" w:rsidRPr="00E32E05" w:rsidRDefault="0035189B">
      <w:pPr>
        <w:pStyle w:val="Heading1"/>
      </w:pPr>
      <w:bookmarkStart w:id="6" w:name="_heading=h.3dy6vkm" w:colFirst="0" w:colLast="0"/>
      <w:bookmarkEnd w:id="6"/>
      <w:r w:rsidRPr="00E32E05">
        <w:t>“When might a common law duty to act arise?”</w:t>
      </w:r>
    </w:p>
    <w:p w:rsidR="00CA389F" w:rsidRPr="00E32E05" w:rsidRDefault="0035189B">
      <w:pPr>
        <w:pBdr>
          <w:top w:val="nil"/>
          <w:left w:val="nil"/>
          <w:bottom w:val="nil"/>
          <w:right w:val="nil"/>
          <w:between w:val="nil"/>
        </w:pBdr>
      </w:pPr>
      <w:r w:rsidRPr="00E32E05">
        <w:t xml:space="preserve">The legal duty to act as per common law arises when defendants are to have wrongfully created peril or harmed the victims. In common law, the establishment of the duties before their violation is necessary which can give rise to the claim of damages. Thereafter, the certification of whether the statutory wash breached or not. In the care sector, the law of </w:t>
      </w:r>
      <w:r w:rsidRPr="00E32E05">
        <w:lastRenderedPageBreak/>
        <w:t xml:space="preserve">negligence is applied to ensure that the professionals understand their legal obligation to act positively and responsibly for merely omitting the prevention of foreseeable harm (Amantea </w:t>
      </w:r>
      <w:r w:rsidRPr="00E32E05">
        <w:rPr>
          <w:i/>
        </w:rPr>
        <w:t>et al</w:t>
      </w:r>
      <w:r w:rsidRPr="00E32E05">
        <w:t>., 2022). It is the "Legal duty of care" where the duty of care is imposed on health practitioners (Child, 2020). It emphasises situations with reasonably foreseeable threats like operations, surgeries, treatments, and so on wherein the practitioners are highly likely to cause harm to their patients through actions/omissions.</w:t>
      </w:r>
    </w:p>
    <w:p w:rsidR="00CA389F" w:rsidRPr="00E32E05" w:rsidRDefault="0035189B">
      <w:pPr>
        <w:pStyle w:val="Heading1"/>
      </w:pPr>
      <w:bookmarkStart w:id="7" w:name="_heading=h.1t3h5sf" w:colFirst="0" w:colLast="0"/>
      <w:bookmarkEnd w:id="7"/>
      <w:r w:rsidRPr="00E32E05">
        <w:t>“When does a duty to act stop?”</w:t>
      </w:r>
    </w:p>
    <w:p w:rsidR="00CA389F" w:rsidRPr="00E32E05" w:rsidRDefault="0035189B">
      <w:pPr>
        <w:pBdr>
          <w:top w:val="nil"/>
          <w:left w:val="nil"/>
          <w:bottom w:val="nil"/>
          <w:right w:val="nil"/>
          <w:between w:val="nil"/>
        </w:pBdr>
      </w:pPr>
      <w:r w:rsidRPr="00E32E05">
        <w:t xml:space="preserve">Precisely, the most basic answer to this question in terms of breach of duties in other professions except care and the companies required to adhere to legal duty stops with the end of their professions and operations (Ashworth, 2018). For instance, the tenure of a Human Resource Manager requires his/her to adhere to their duty to act and when they retire, the obligation stops. In the case of case providers, healthcare practitioners' liability for their duty to act or omission starts only when a foreseeable breach of duty is involved and ends with the conduction of that duty  (Amantea </w:t>
      </w:r>
      <w:r w:rsidRPr="00E32E05">
        <w:rPr>
          <w:i/>
        </w:rPr>
        <w:t>et al</w:t>
      </w:r>
      <w:r w:rsidRPr="00E32E05">
        <w:t>., 2022). It also repeats throughout their professions and ends with their retirement which applies to the cases of contracts as well, as the duty to act starts with the formation of the contracts and ends with them.</w:t>
      </w:r>
    </w:p>
    <w:p w:rsidR="00CA389F" w:rsidRPr="00E32E05" w:rsidRDefault="0035189B">
      <w:pPr>
        <w:pStyle w:val="Heading1"/>
      </w:pPr>
      <w:bookmarkStart w:id="8" w:name="_heading=h.4d34og8" w:colFirst="0" w:colLast="0"/>
      <w:bookmarkEnd w:id="8"/>
      <w:r w:rsidRPr="00E32E05">
        <w:t>"Should there be a general duty to act? What are the pros and cons of this?"</w:t>
      </w:r>
    </w:p>
    <w:p w:rsidR="00CA389F" w:rsidRPr="00E32E05" w:rsidRDefault="0035189B">
      <w:pPr>
        <w:pBdr>
          <w:top w:val="nil"/>
          <w:left w:val="nil"/>
          <w:bottom w:val="nil"/>
          <w:right w:val="nil"/>
          <w:between w:val="nil"/>
        </w:pBdr>
      </w:pPr>
      <w:r w:rsidRPr="00E32E05">
        <w:t>Many professionals have supported the introduction of the general duty to act in legal systems and many have criticised the idea. For the time being, it can be said that whether a general duty should be imposed or not is a conflicting question. The primary reason is that it is associated with as many negative results as positive results of imposing this duty. In this context, Gur-Arye (2020, pp.392-408) states that when a general duty to act is present, people will be more responsible for not neglecting the situations they find the victims in. It can help capitalise on the ideals of common humanity under rescuing the people found being victimised. Take the case of a child drowning like before, here, with the general duty to act, the passer-by will be obliged to save the person drowning. Instead of just watching them drown on stand-by, the law of rescue will be established and the perpetrator will be punished for the breach based on the requirements of actus reus and mens rea.</w:t>
      </w:r>
    </w:p>
    <w:p w:rsidR="00CA389F" w:rsidRPr="00E32E05" w:rsidRDefault="0035189B">
      <w:pPr>
        <w:pBdr>
          <w:top w:val="nil"/>
          <w:left w:val="nil"/>
          <w:bottom w:val="nil"/>
          <w:right w:val="nil"/>
          <w:between w:val="nil"/>
        </w:pBdr>
      </w:pPr>
      <w:r w:rsidRPr="00E32E05">
        <w:t xml:space="preserve">On the other hand, various legal professionals like Hadjimatheou and Nathan, (2022, pp.58-82) argue that the general duty to act can put the passer-by in a difficult position for something they did not do. For instance, if the person drowning dies in the presence of the passer-by, they will be punished for just being present during the incident. Similarly, when the general duty will be imposed, people will be forced to rescue people they are aware of being victimised without their volition. This sometimes can result in negative consequences </w:t>
      </w:r>
      <w:r w:rsidRPr="00E32E05">
        <w:lastRenderedPageBreak/>
        <w:t xml:space="preserve">for them in both legal and personal contexts. In short, the </w:t>
      </w:r>
      <w:r w:rsidRPr="00E32E05">
        <w:rPr>
          <w:b/>
        </w:rPr>
        <w:t>limitless liability to omission</w:t>
      </w:r>
      <w:r w:rsidRPr="00E32E05">
        <w:t xml:space="preserve"> will rise with the introduction of general duty without specific situations where the people should act and not act on their duties.</w:t>
      </w:r>
    </w:p>
    <w:p w:rsidR="000A581C" w:rsidRPr="00E32E05" w:rsidRDefault="000A581C">
      <w:r w:rsidRPr="00E32E05">
        <w:br w:type="page"/>
      </w:r>
    </w:p>
    <w:p w:rsidR="00CA389F" w:rsidRPr="00E32E05" w:rsidRDefault="0035189B">
      <w:pPr>
        <w:pStyle w:val="Heading1"/>
      </w:pPr>
      <w:bookmarkStart w:id="9" w:name="_heading=h.2s8eyo1" w:colFirst="0" w:colLast="0"/>
      <w:bookmarkEnd w:id="9"/>
      <w:r w:rsidRPr="00E32E05">
        <w:lastRenderedPageBreak/>
        <w:t>Conclusion</w:t>
      </w:r>
    </w:p>
    <w:p w:rsidR="00CA389F" w:rsidRPr="00E32E05" w:rsidRDefault="0035189B">
      <w:pPr>
        <w:pBdr>
          <w:top w:val="nil"/>
          <w:left w:val="nil"/>
          <w:bottom w:val="nil"/>
          <w:right w:val="nil"/>
          <w:between w:val="nil"/>
        </w:pBdr>
      </w:pPr>
      <w:r w:rsidRPr="00E32E05">
        <w:t>In conclusion, the report concludes with a thorough knowledge and understanding being provided to the reader about the context of criminal and liability to omission. It provided a thorough understanding that crime was related to the actus reus part of the statute of failure to act. Then, it stated that the general duty to act did not exist in criminal law along with the description that mens rea and actus reus are the requirements for acts to be considered liability omission crime. Then, the time and contexts when the statutory duty to act, contractual duty, and common law duty to act would be present were discussed. It also discussed when the duty to act would stop along with a short argument on whether the general duty to act should exist or not.</w:t>
      </w:r>
    </w:p>
    <w:p w:rsidR="00CA389F" w:rsidRPr="00E32E05" w:rsidRDefault="0035189B">
      <w:pPr>
        <w:pBdr>
          <w:top w:val="nil"/>
          <w:left w:val="nil"/>
          <w:bottom w:val="nil"/>
          <w:right w:val="nil"/>
          <w:between w:val="nil"/>
        </w:pBdr>
      </w:pPr>
      <w:r w:rsidRPr="00E32E05">
        <w:br w:type="page"/>
      </w:r>
    </w:p>
    <w:p w:rsidR="00CA389F" w:rsidRPr="00E32E05" w:rsidRDefault="0035189B">
      <w:pPr>
        <w:pStyle w:val="Heading1"/>
      </w:pPr>
      <w:bookmarkStart w:id="10" w:name="_heading=h.17dp8vu" w:colFirst="0" w:colLast="0"/>
      <w:bookmarkEnd w:id="10"/>
      <w:r w:rsidRPr="00E32E05">
        <w:lastRenderedPageBreak/>
        <w:t>References</w:t>
      </w:r>
    </w:p>
    <w:p w:rsidR="000A581C" w:rsidRPr="00E32E05" w:rsidRDefault="000A581C">
      <w:pPr>
        <w:pBdr>
          <w:top w:val="nil"/>
          <w:left w:val="nil"/>
          <w:bottom w:val="nil"/>
          <w:right w:val="nil"/>
          <w:between w:val="nil"/>
        </w:pBdr>
        <w:spacing w:after="200"/>
      </w:pPr>
      <w:r w:rsidRPr="00E32E05">
        <w:t>Amantea, C., Rossi, M.F., Santoro, P.E., Beccia, F., Gualano, M.R., Borrelli, I., da Costa, J.P., Daniele, A., Tumminello, A., Boccia, S. and Ricciardi, W., 2022. Medical Liability of the Vaccinating Doctor: Comparing Policies in European Union Countries during the COVID-19 Pandemic. International Journal of Environmental Research and Public Health, 19(12), p.7191.</w:t>
      </w:r>
      <w:bookmarkStart w:id="11" w:name="_GoBack"/>
      <w:bookmarkEnd w:id="11"/>
    </w:p>
    <w:p w:rsidR="000A581C" w:rsidRPr="00E32E05" w:rsidRDefault="000A581C">
      <w:pPr>
        <w:pBdr>
          <w:top w:val="nil"/>
          <w:left w:val="nil"/>
          <w:bottom w:val="nil"/>
          <w:right w:val="nil"/>
          <w:between w:val="nil"/>
        </w:pBdr>
        <w:spacing w:after="200"/>
      </w:pPr>
      <w:r w:rsidRPr="00E32E05">
        <w:t>Ambos, K., 2021. Treatise on international criminal law: Volume I: Foundations and general part (Vol. 1). Oxford University Press.</w:t>
      </w:r>
    </w:p>
    <w:p w:rsidR="000A581C" w:rsidRPr="00E32E05" w:rsidRDefault="000A581C">
      <w:pPr>
        <w:pBdr>
          <w:top w:val="nil"/>
          <w:left w:val="nil"/>
          <w:bottom w:val="nil"/>
          <w:right w:val="nil"/>
          <w:between w:val="nil"/>
        </w:pBdr>
        <w:spacing w:after="200"/>
      </w:pPr>
      <w:r w:rsidRPr="00E32E05">
        <w:t>Ambos, K., Duff, A., Roberts, J., Weigend, T. and Heinze, A. eds., 2020. Core Concepts in Criminal Law and Criminal Justice: Anglo-German Dialogues (Vol. 1). Cambridge University Press.</w:t>
      </w:r>
    </w:p>
    <w:p w:rsidR="000A581C" w:rsidRPr="00E32E05" w:rsidRDefault="000A581C">
      <w:pPr>
        <w:pBdr>
          <w:top w:val="nil"/>
          <w:left w:val="nil"/>
          <w:bottom w:val="nil"/>
          <w:right w:val="nil"/>
          <w:between w:val="nil"/>
        </w:pBdr>
        <w:spacing w:after="200"/>
      </w:pPr>
      <w:r w:rsidRPr="00E32E05">
        <w:t>Ashworth, A. and Horder, J., 2013. Principles of criminal law. Oxford university press.</w:t>
      </w:r>
    </w:p>
    <w:p w:rsidR="000A581C" w:rsidRPr="00E32E05" w:rsidRDefault="000A581C">
      <w:pPr>
        <w:pBdr>
          <w:top w:val="nil"/>
          <w:left w:val="nil"/>
          <w:bottom w:val="nil"/>
          <w:right w:val="nil"/>
          <w:between w:val="nil"/>
        </w:pBdr>
        <w:spacing w:after="200"/>
      </w:pPr>
      <w:r w:rsidRPr="00E32E05">
        <w:t>Ashworth, A., 2018. A new generation of omissions offences?. Criminal Law Review, 2018(5).</w:t>
      </w:r>
    </w:p>
    <w:p w:rsidR="000A581C" w:rsidRPr="00E32E05" w:rsidRDefault="000A581C">
      <w:pPr>
        <w:pBdr>
          <w:top w:val="nil"/>
          <w:left w:val="nil"/>
          <w:bottom w:val="nil"/>
          <w:right w:val="nil"/>
          <w:between w:val="nil"/>
        </w:pBdr>
        <w:spacing w:after="200"/>
      </w:pPr>
      <w:r w:rsidRPr="00E32E05">
        <w:t>Bogg, A., Collins, J., Freedland, M. and Herring, J. eds., 2020. Criminality at Work. Oxford University Press.</w:t>
      </w:r>
    </w:p>
    <w:p w:rsidR="000A581C" w:rsidRPr="00E32E05" w:rsidRDefault="000A581C">
      <w:pPr>
        <w:pBdr>
          <w:top w:val="nil"/>
          <w:left w:val="nil"/>
          <w:bottom w:val="nil"/>
          <w:right w:val="nil"/>
          <w:between w:val="nil"/>
        </w:pBdr>
        <w:spacing w:after="200"/>
      </w:pPr>
      <w:r w:rsidRPr="00E32E05">
        <w:t>Campbell, L., 2018. Corporate liability and the criminalisation of failure. Law and Financial Markets Review, 12(2), pp.57-70.</w:t>
      </w:r>
    </w:p>
    <w:p w:rsidR="000A581C" w:rsidRPr="00E32E05" w:rsidRDefault="000A581C">
      <w:pPr>
        <w:pBdr>
          <w:top w:val="nil"/>
          <w:left w:val="nil"/>
          <w:bottom w:val="nil"/>
          <w:right w:val="nil"/>
          <w:between w:val="nil"/>
        </w:pBdr>
        <w:spacing w:after="200"/>
      </w:pPr>
      <w:r w:rsidRPr="00E32E05">
        <w:t>Child, J.J., 2020. Defense of a Basic Voluntary Act Requirement in Criminal Law from Philosophies of Action. New Criminal Law Review, 23(4), pp.437-470.</w:t>
      </w:r>
    </w:p>
    <w:p w:rsidR="000A581C" w:rsidRPr="00E32E05" w:rsidRDefault="000A581C">
      <w:pPr>
        <w:pBdr>
          <w:top w:val="nil"/>
          <w:left w:val="nil"/>
          <w:bottom w:val="nil"/>
          <w:right w:val="nil"/>
          <w:between w:val="nil"/>
        </w:pBdr>
        <w:spacing w:after="200"/>
      </w:pPr>
      <w:r w:rsidRPr="00E32E05">
        <w:t>De Than, C. and Heaton, R., 2013. Criminal law. Oxford University Press.</w:t>
      </w:r>
    </w:p>
    <w:p w:rsidR="000A581C" w:rsidRPr="00E32E05" w:rsidRDefault="000A581C">
      <w:pPr>
        <w:pBdr>
          <w:top w:val="nil"/>
          <w:left w:val="nil"/>
          <w:bottom w:val="nil"/>
          <w:right w:val="nil"/>
          <w:between w:val="nil"/>
        </w:pBdr>
        <w:spacing w:after="200"/>
      </w:pPr>
      <w:r w:rsidRPr="00E32E05">
        <w:t>Gur-Arye, M., 2020. Boundaries of Criminal Liability: Participation in Crime, Preparatory Offences and Omissions: Review Essay of Core Concepts in Criminal Law and Criminal Justice: Anglo-German Dialogues (edited by Kai Ambos and others, 2020). Israel Law Review, 53(3), pp.392-408.</w:t>
      </w:r>
    </w:p>
    <w:p w:rsidR="000A581C" w:rsidRPr="00E32E05" w:rsidRDefault="000A581C">
      <w:pPr>
        <w:pBdr>
          <w:top w:val="nil"/>
          <w:left w:val="nil"/>
          <w:bottom w:val="nil"/>
          <w:right w:val="nil"/>
          <w:between w:val="nil"/>
        </w:pBdr>
        <w:spacing w:after="200"/>
      </w:pPr>
      <w:r w:rsidRPr="00E32E05">
        <w:t>Hadjimatheou, K. and Nathan, C., 2022. Policing the Gaps: Legitimacy, Special Obligations, and Omissions in Law Enforcement. Criminal Law and Philosophy, pp.1-21.</w:t>
      </w:r>
    </w:p>
    <w:p w:rsidR="000A581C" w:rsidRPr="00E32E05" w:rsidRDefault="000A581C">
      <w:pPr>
        <w:pBdr>
          <w:top w:val="nil"/>
          <w:left w:val="nil"/>
          <w:bottom w:val="nil"/>
          <w:right w:val="nil"/>
          <w:between w:val="nil"/>
        </w:pBdr>
        <w:spacing w:after="200"/>
      </w:pPr>
      <w:r w:rsidRPr="00E32E05">
        <w:lastRenderedPageBreak/>
        <w:t>Jonas, L.A., 2021. Actus Reus and Mens Rea in International Criminal Law. In Individual Criminal Responsibility for the Financing of Entities involved in Core Crimes (pp. 40-48). Brill Nijhoff.</w:t>
      </w:r>
    </w:p>
    <w:p w:rsidR="000A581C" w:rsidRPr="00E32E05" w:rsidRDefault="000A581C">
      <w:pPr>
        <w:pBdr>
          <w:top w:val="nil"/>
          <w:left w:val="nil"/>
          <w:bottom w:val="nil"/>
          <w:right w:val="nil"/>
          <w:between w:val="nil"/>
        </w:pBdr>
        <w:spacing w:after="200"/>
      </w:pPr>
      <w:r w:rsidRPr="00E32E05">
        <w:t>Kruglyak, V., 2020. The Regulatory Criminal Law in the UK: Analyzing Dissenting Factors of the Deferred Prosecution Agreements. Available at SSRN 3559286.</w:t>
      </w:r>
    </w:p>
    <w:p w:rsidR="000A581C" w:rsidRPr="00E32E05" w:rsidRDefault="000A581C">
      <w:r w:rsidRPr="00E32E05">
        <w:t>Oxbridge Notes., 2022. R v willoughby, Oxbridge Notes. Available at: https://www.oxbridgenotes.co.uk/law_cases/r-v-willoughby (Accessed: November 3, 2022).</w:t>
      </w:r>
    </w:p>
    <w:p w:rsidR="000A581C" w:rsidRPr="00E32E05" w:rsidRDefault="000A581C">
      <w:pPr>
        <w:pBdr>
          <w:top w:val="nil"/>
          <w:left w:val="nil"/>
          <w:bottom w:val="nil"/>
          <w:right w:val="nil"/>
          <w:between w:val="nil"/>
        </w:pBdr>
        <w:spacing w:after="200"/>
      </w:pPr>
      <w:r w:rsidRPr="00E32E05">
        <w:t>Peterson, I., 2018. Criminal Responsibility for Omissions in icty and ictr Jurisprudence. International Criminal Law Review, 18(5), pp.749-787.</w:t>
      </w:r>
    </w:p>
    <w:p w:rsidR="000A581C" w:rsidRPr="00E32E05" w:rsidRDefault="000A581C">
      <w:r w:rsidRPr="00E32E05">
        <w:t>Reed, A. and Sarahne, M., 2021. Anglo-American Perspectives on Omissions Liability: Theoretical and Substantive Contours of Criminalisation and Optimal Reform Pathways. J. Int'l &amp; Comp. L., 8, p.205.</w:t>
      </w:r>
    </w:p>
    <w:p w:rsidR="000A581C" w:rsidRPr="00E32E05" w:rsidRDefault="000A581C">
      <w:pPr>
        <w:pBdr>
          <w:top w:val="nil"/>
          <w:left w:val="nil"/>
          <w:bottom w:val="nil"/>
          <w:right w:val="nil"/>
          <w:between w:val="nil"/>
        </w:pBdr>
        <w:spacing w:after="200"/>
      </w:pPr>
      <w:r w:rsidRPr="00E32E05">
        <w:t>Roth, R., 2019. Modes of Liability in International Criminal Law. Modes of Liability in International Criminal Law, pp.58-82.</w:t>
      </w:r>
    </w:p>
    <w:p w:rsidR="000A581C" w:rsidRPr="00E32E05" w:rsidRDefault="000A581C">
      <w:pPr>
        <w:pBdr>
          <w:top w:val="nil"/>
          <w:left w:val="nil"/>
          <w:bottom w:val="nil"/>
          <w:right w:val="nil"/>
          <w:between w:val="nil"/>
        </w:pBdr>
        <w:spacing w:after="200"/>
      </w:pPr>
      <w:r w:rsidRPr="00E32E05">
        <w:t>van Sliedregt, E., 2018. Criminalization of crimes against humanity under national law. Journal of International Criminal Justice, 16(4), pp.729-749.</w:t>
      </w:r>
    </w:p>
    <w:sectPr w:rsidR="000A581C" w:rsidRPr="00E32E05" w:rsidSect="00CA389F">
      <w:footerReference w:type="default" r:id="rId8"/>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5A23" w:rsidRDefault="00425A23" w:rsidP="00CA389F">
      <w:pPr>
        <w:spacing w:line="240" w:lineRule="auto"/>
      </w:pPr>
      <w:r>
        <w:separator/>
      </w:r>
    </w:p>
  </w:endnote>
  <w:endnote w:type="continuationSeparator" w:id="0">
    <w:p w:rsidR="00425A23" w:rsidRDefault="00425A23" w:rsidP="00CA38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89F" w:rsidRDefault="00CA389F">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35189B">
      <w:rPr>
        <w:color w:val="000000"/>
      </w:rPr>
      <w:instrText>PAGE</w:instrText>
    </w:r>
    <w:r>
      <w:rPr>
        <w:color w:val="000000"/>
      </w:rPr>
      <w:fldChar w:fldCharType="separate"/>
    </w:r>
    <w:r w:rsidR="00E32E05">
      <w:rPr>
        <w:noProof/>
        <w:color w:val="000000"/>
      </w:rPr>
      <w:t>8</w:t>
    </w:r>
    <w:r>
      <w:rPr>
        <w:color w:val="000000"/>
      </w:rPr>
      <w:fldChar w:fldCharType="end"/>
    </w:r>
  </w:p>
  <w:p w:rsidR="00CA389F" w:rsidRDefault="00CA389F">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5A23" w:rsidRDefault="00425A23" w:rsidP="00CA389F">
      <w:pPr>
        <w:spacing w:line="240" w:lineRule="auto"/>
      </w:pPr>
      <w:r>
        <w:separator/>
      </w:r>
    </w:p>
  </w:footnote>
  <w:footnote w:type="continuationSeparator" w:id="0">
    <w:p w:rsidR="00425A23" w:rsidRDefault="00425A23" w:rsidP="00CA389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20A6E"/>
    <w:multiLevelType w:val="multilevel"/>
    <w:tmpl w:val="F07C4F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A389F"/>
    <w:rsid w:val="000A581C"/>
    <w:rsid w:val="0035189B"/>
    <w:rsid w:val="00425A23"/>
    <w:rsid w:val="00CA389F"/>
    <w:rsid w:val="00E32E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9C49E57-9A10-4272-8AFD-1402A17A4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77B5"/>
  </w:style>
  <w:style w:type="paragraph" w:styleId="Heading1">
    <w:name w:val="heading 1"/>
    <w:basedOn w:val="Normal3"/>
    <w:next w:val="Normal3"/>
    <w:rsid w:val="00C0281F"/>
    <w:pPr>
      <w:keepNext/>
      <w:keepLines/>
      <w:outlineLvl w:val="0"/>
    </w:pPr>
    <w:rPr>
      <w:b/>
    </w:rPr>
  </w:style>
  <w:style w:type="paragraph" w:styleId="Heading2">
    <w:name w:val="heading 2"/>
    <w:basedOn w:val="Normal3"/>
    <w:next w:val="Normal3"/>
    <w:rsid w:val="00C0281F"/>
    <w:pPr>
      <w:keepNext/>
      <w:keepLines/>
      <w:spacing w:before="360" w:after="120"/>
      <w:outlineLvl w:val="1"/>
    </w:pPr>
    <w:rPr>
      <w:sz w:val="32"/>
      <w:szCs w:val="32"/>
    </w:rPr>
  </w:style>
  <w:style w:type="paragraph" w:styleId="Heading3">
    <w:name w:val="heading 3"/>
    <w:basedOn w:val="Normal3"/>
    <w:next w:val="Normal3"/>
    <w:rsid w:val="00C0281F"/>
    <w:pPr>
      <w:keepNext/>
      <w:keepLines/>
      <w:spacing w:before="320" w:after="80"/>
      <w:outlineLvl w:val="2"/>
    </w:pPr>
    <w:rPr>
      <w:color w:val="434343"/>
      <w:sz w:val="28"/>
      <w:szCs w:val="28"/>
    </w:rPr>
  </w:style>
  <w:style w:type="paragraph" w:styleId="Heading4">
    <w:name w:val="heading 4"/>
    <w:basedOn w:val="Normal3"/>
    <w:next w:val="Normal3"/>
    <w:rsid w:val="00C0281F"/>
    <w:pPr>
      <w:keepNext/>
      <w:keepLines/>
      <w:spacing w:before="280" w:after="80"/>
      <w:outlineLvl w:val="3"/>
    </w:pPr>
    <w:rPr>
      <w:color w:val="666666"/>
    </w:rPr>
  </w:style>
  <w:style w:type="paragraph" w:styleId="Heading5">
    <w:name w:val="heading 5"/>
    <w:basedOn w:val="Normal3"/>
    <w:next w:val="Normal3"/>
    <w:rsid w:val="00C0281F"/>
    <w:pPr>
      <w:keepNext/>
      <w:keepLines/>
      <w:spacing w:before="240" w:after="80"/>
      <w:outlineLvl w:val="4"/>
    </w:pPr>
    <w:rPr>
      <w:color w:val="666666"/>
      <w:sz w:val="22"/>
      <w:szCs w:val="22"/>
    </w:rPr>
  </w:style>
  <w:style w:type="paragraph" w:styleId="Heading6">
    <w:name w:val="heading 6"/>
    <w:basedOn w:val="Normal3"/>
    <w:next w:val="Normal3"/>
    <w:rsid w:val="00C0281F"/>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A389F"/>
  </w:style>
  <w:style w:type="paragraph" w:styleId="Title">
    <w:name w:val="Title"/>
    <w:basedOn w:val="Normal3"/>
    <w:next w:val="Normal3"/>
    <w:rsid w:val="00C0281F"/>
    <w:pPr>
      <w:keepNext/>
      <w:keepLines/>
      <w:spacing w:after="60"/>
    </w:pPr>
    <w:rPr>
      <w:sz w:val="52"/>
      <w:szCs w:val="52"/>
    </w:rPr>
  </w:style>
  <w:style w:type="paragraph" w:customStyle="1" w:styleId="Normal2">
    <w:name w:val="Normal2"/>
    <w:rsid w:val="00CA389F"/>
  </w:style>
  <w:style w:type="paragraph" w:customStyle="1" w:styleId="Normal3">
    <w:name w:val="Normal3"/>
    <w:rsid w:val="00C0281F"/>
  </w:style>
  <w:style w:type="table" w:customStyle="1" w:styleId="TableNormal1">
    <w:name w:val="Table Normal1"/>
    <w:rsid w:val="00C0281F"/>
    <w:tblPr>
      <w:tblCellMar>
        <w:top w:w="0" w:type="dxa"/>
        <w:left w:w="0" w:type="dxa"/>
        <w:bottom w:w="0" w:type="dxa"/>
        <w:right w:w="0" w:type="dxa"/>
      </w:tblCellMar>
    </w:tblPr>
  </w:style>
  <w:style w:type="paragraph" w:styleId="Subtitle">
    <w:name w:val="Subtitle"/>
    <w:basedOn w:val="Normal"/>
    <w:next w:val="Normal"/>
    <w:rsid w:val="00CA389F"/>
    <w:pPr>
      <w:keepNext/>
      <w:keepLines/>
      <w:pBdr>
        <w:top w:val="nil"/>
        <w:left w:val="nil"/>
        <w:bottom w:val="nil"/>
        <w:right w:val="nil"/>
        <w:between w:val="nil"/>
      </w:pBdr>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rsid w:val="00C0281F"/>
    <w:pPr>
      <w:spacing w:line="240" w:lineRule="auto"/>
    </w:pPr>
    <w:rPr>
      <w:sz w:val="20"/>
      <w:szCs w:val="20"/>
    </w:rPr>
  </w:style>
  <w:style w:type="character" w:customStyle="1" w:styleId="CommentTextChar">
    <w:name w:val="Comment Text Char"/>
    <w:basedOn w:val="DefaultParagraphFont"/>
    <w:link w:val="CommentText"/>
    <w:uiPriority w:val="99"/>
    <w:semiHidden/>
    <w:rsid w:val="00C0281F"/>
    <w:rPr>
      <w:sz w:val="20"/>
      <w:szCs w:val="20"/>
    </w:rPr>
  </w:style>
  <w:style w:type="character" w:styleId="CommentReference">
    <w:name w:val="annotation reference"/>
    <w:basedOn w:val="DefaultParagraphFont"/>
    <w:uiPriority w:val="99"/>
    <w:semiHidden/>
    <w:unhideWhenUsed/>
    <w:rsid w:val="00C0281F"/>
    <w:rPr>
      <w:sz w:val="16"/>
      <w:szCs w:val="16"/>
    </w:rPr>
  </w:style>
  <w:style w:type="paragraph" w:styleId="BalloonText">
    <w:name w:val="Balloon Text"/>
    <w:basedOn w:val="Normal"/>
    <w:link w:val="BalloonTextChar"/>
    <w:uiPriority w:val="99"/>
    <w:semiHidden/>
    <w:unhideWhenUsed/>
    <w:rsid w:val="009E33A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33AF"/>
    <w:rPr>
      <w:rFonts w:ascii="Tahoma" w:hAnsi="Tahoma" w:cs="Tahoma"/>
      <w:sz w:val="16"/>
      <w:szCs w:val="16"/>
    </w:rPr>
  </w:style>
  <w:style w:type="paragraph" w:styleId="Header">
    <w:name w:val="header"/>
    <w:basedOn w:val="Normal"/>
    <w:link w:val="HeaderChar"/>
    <w:uiPriority w:val="99"/>
    <w:semiHidden/>
    <w:unhideWhenUsed/>
    <w:rsid w:val="009E33A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E33AF"/>
  </w:style>
  <w:style w:type="paragraph" w:styleId="Footer">
    <w:name w:val="footer"/>
    <w:basedOn w:val="Normal"/>
    <w:link w:val="FooterChar"/>
    <w:uiPriority w:val="99"/>
    <w:unhideWhenUsed/>
    <w:rsid w:val="009E33AF"/>
    <w:pPr>
      <w:tabs>
        <w:tab w:val="center" w:pos="4680"/>
        <w:tab w:val="right" w:pos="9360"/>
      </w:tabs>
      <w:spacing w:line="240" w:lineRule="auto"/>
    </w:pPr>
  </w:style>
  <w:style w:type="character" w:customStyle="1" w:styleId="FooterChar">
    <w:name w:val="Footer Char"/>
    <w:basedOn w:val="DefaultParagraphFont"/>
    <w:link w:val="Footer"/>
    <w:uiPriority w:val="99"/>
    <w:rsid w:val="009E33AF"/>
  </w:style>
  <w:style w:type="paragraph" w:styleId="TOCHeading">
    <w:name w:val="TOC Heading"/>
    <w:basedOn w:val="Heading1"/>
    <w:next w:val="Normal"/>
    <w:uiPriority w:val="39"/>
    <w:semiHidden/>
    <w:unhideWhenUsed/>
    <w:qFormat/>
    <w:rsid w:val="009E33AF"/>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9E33AF"/>
    <w:pPr>
      <w:spacing w:after="100"/>
    </w:pPr>
  </w:style>
  <w:style w:type="character" w:styleId="Hyperlink">
    <w:name w:val="Hyperlink"/>
    <w:basedOn w:val="DefaultParagraphFont"/>
    <w:uiPriority w:val="99"/>
    <w:unhideWhenUsed/>
    <w:rsid w:val="009E33A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g/IR8aYWlVy3Ts0SisUy43aq1gw==">AMUW2mVrF99JK1TAxwiPSIGJitYfGSia4izNF18vxDf6lUUUJ1HsyRQ/46v35sMk5LLHnxtvToHeoBO2LwlHG6S+6MKz++jDywZ+nJEkz0eBe8A/ow0bz2/rKNXuu91u8u7H+oqG0DhKWl1ZHC27lj5v0I0mEPJzPdEfXEBnerQw7KF4ikD7qqmdO5kRAdpI8k/v3famfDkTr6eeQCiO31Nt3P+RRLZPOEP+FuN7IlGy/DRXhAjGxFP3AeaD9x2Wdmve7wUF6QBGaU7i1+5qPKGf6y+VG0Jdyb13ohRb5ZB/pyRP34t+Me8kn7bsC8cHEFjT/ijae+4QMgt93t1/oOQuRfA6a0AoNAAXwFIpZR1kaWF8bvv/MZ5OKoQg8HWDHoGH7QQHjkcUzKB8IJh+TPRF2Xoni1d0Ns2AdJh2VQPzV6gYO5pKOeXKWF+Np01zpMmCKaDVh4ei64/IFZ6URiRs4wxbDynAd4O8Au7Qfy9NEbG8/Fx0NNgheoN/eBoVCTVbs9NEUbWGIsvAr+7ClAg/HbEDIfXwk1UTj1nYsyngiTymTiS7G+PFnNRgr94/SNsrjxwyBDPtVLL+0p6yfnwlbAo3Ng2Q1ZrhOmoSlbvjSxAbSglg4XurYWHu3+z1UYJ8tDMyPnpk+qSc1wTgfvJSOwo7n30k0tIPyGk6QeDn+nU0RTjolxnS9o0ceUJFtvS0pn0qpjsvEPx1Po/jVG66x4AUQHgfaMZUSX+EI9WncbNUGlNe57pDa83ud+nPuUB97Hc2Aef8eIQFJ2oZn5OHSSTLBKwGB6j9igWsiigeBG5UfRMpmUCuni9J8SbjZsCpyUy5u0zbC/c0j7Rk3rR9PP2QRdCzbpkJrpTF/XwNvfnetdp8nUt1N0IgmuuGeD4rzhxD+h2K3K2/wpY5Bre3ID0M8p7r/UteiTY8ptuxpCk2nLGVLKgahXUiWq060XZo2m2ypDk+f8feEINbPK6a9pOQZaZamZYg81MNVmVxzC6fZqjLdQEId9JKDfkH+dWgVThXZgh1AWZ7JblX9caqHPg86b4XEpB4YBh0EgTagOkUA3A8Th0383pa+QXVDO955vzJVUh7Zax7iRBrcROkIr/NJEuIS46ZtnoJDhykSp6bJ0Bc/DdRpYFZ+cEAcyvBq/C3GUmYvGQ/SFYT3ZngP3NQ9yuff9RvJtCmNBO6uPFYR67F3hWyGAhqoVIcO5OcDXR6kGF0MlfUnmqPtkRQJ0QzkgY4Mx+dQnwHx/EzVxEqPo9ffSoDYbgGYXQyPCHngscfMhRXdUxe9FCv0y/bHKa0EtfZQDuRYMK3ug2E30zMfDoS3jbEYHi64haUjOtasNZSMpXbHY3h5c9PFV5FQt6b6JS4OQRk1rvaGnJ0Abcohw2hitX97dkTznDFiJHzbGoQgfmQ1gfeacDQgFc8czIiFLE2kfdzyjLOokPWPF5KhrZwHlpvCH83TVFOmaE5f4VPzviaqxdY/o5z38n1QBh+NQ4X34spEKb3O3h6VrOmysllxMYJbNV3aV2BSlnGNUI8MZ13Vm8NwWgje19oWLTWi1duENB+vbmCGVQMmcqllL8jsWgBSzRg2dAayz9Tj13D30wrXjI2NKbKXTuAPag0JyTRUAF5ADAF0ZRiyzPKZ436U7UpHTcxRPqbBU4twVTdT4geLjZ66kuiX2vPaF6YXpbafaxBbiMW9Cy3d1AegR32afkRBT66eayMSX5RmlGobgOiPV9ef0/h7ulDZtwlcAiEQ9rPxFWhQxvDyhd9dTt+l11h3+wuBzNKbUQ5KfvroB5o9JeBpv+23jLh02CVVROwTjMGfe6MWGj5KuBhla0AqIe1IeVQEmyGQs2tHHnx8IFDugdgbJ8rQI2ZwasZ9ajddcY/FnC5AF9MO8XYtjHI0dIFvaEOmL/rpt/zGXiF8evc4mj3KepJkCEXmNNwIDPiqSlCJdylavEBcM1NU4zNRUJd2MKykA/Yhppa30Tujm9D69kQdctWTTdJCVC067Lt9fl9Pa1qC82AldHJsHBAo4WtXomc+tcoiwG7JUKsz79YEUabtM+CliDy3VtOZVyVZQy+rDTqnLYf8ZpOF3LWRQnZUoj7lLUQzuQBd6rwq9rGkAweppBwbV2pXwtTBJrrVEXlJ0DCg9y6gx3+cLUF25hE4WY9PGwAd40bZ9LnrOni+NU8acGtSWV1WSQEmd67Ko1MuHyYPHEjAduY0Q6TxVVmXapgjQKaNTYu/xlFlvEWJooJsB/aUFFmwOfc9UjxrY9efLAORsSO/KqjNnrI1muh1pGjiW0us6W79E7yorDYe2SBEBDqlPXfG7lh5h4V4W6Bu4WX801PnRlsQGznwsyoKHM+9+NPrl3IBiU87hI9Lne4e2BcxGOjnyIQkmonh5bW+uRO6+Mcc/JAXfh9EkIozsO0eVNKFWmb+f5ZvGcr3z1Oxklhl9BttraB6V/YqK5DaiGDCfgA2J1s6ua2oCHQOZq+PPiqkLyhFsG6KHbV6zMkeNVnUJYI4odIcp6mkOsq/TgRwhx7FPb0a/SlQPDG2EMjg98DKhFTASSm/C7SHZpfsEJLAw9nn2GYLyVhxG2j9hl1ScxjSk2LRh5IDe3lPGl3dqnDW6XiYMvrGp+OEDs1m+UQiCalCWN1See6smdXOBMqFtkIrzCZE/CLZjuPaJkN0H5JXHlcTH5nSONyxpc6yi0FyK3uMcytpkt/lg2Ki64ADMF4mUckshKSqKGjVeTDUv8ChRB/NTlxxyzdAISidJiuX0U1Z0fvbMnu1p4E/r2w+td4eoNyQImvvc+aUFjb3/cSUsq/u+VceD0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2238</Words>
  <Characters>12760</Characters>
  <Application>Microsoft Office Word</Application>
  <DocSecurity>0</DocSecurity>
  <Lines>106</Lines>
  <Paragraphs>29</Paragraphs>
  <ScaleCrop>false</ScaleCrop>
  <Company/>
  <LinksUpToDate>false</LinksUpToDate>
  <CharactersWithSpaces>14969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user</cp:lastModifiedBy>
  <cp:revision>3</cp:revision>
  <dcterms:created xsi:type="dcterms:W3CDTF">2022-11-03T13:24:00Z</dcterms:created>
  <dcterms:modified xsi:type="dcterms:W3CDTF">2022-11-03T13:51:00Z</dcterms:modified>
</cp:coreProperties>
</file>