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336CD" w14:textId="361A688B" w:rsidR="00AD25F4" w:rsidRPr="00A35B00" w:rsidRDefault="00AD25F4" w:rsidP="00A35B00">
      <w:pPr>
        <w:jc w:val="left"/>
        <w:rPr>
          <w:rFonts w:ascii="Arial" w:hAnsi="Arial" w:cs="Arial"/>
        </w:rPr>
      </w:pPr>
      <w:bookmarkStart w:id="0" w:name="_Toc235862253"/>
      <w:r w:rsidRPr="001D3790">
        <w:rPr>
          <w:rFonts w:ascii="Arial" w:hAnsi="Arial" w:cs="Arial"/>
          <w:b/>
          <w:sz w:val="32"/>
          <w:szCs w:val="32"/>
        </w:rPr>
        <w:t>CHAPTER 4 – Findings and Discussion</w:t>
      </w:r>
      <w:bookmarkEnd w:id="0"/>
    </w:p>
    <w:p w14:paraId="63EA1F3A" w14:textId="77777777" w:rsidR="00AD25F4" w:rsidRPr="005901BA" w:rsidRDefault="00AD25F4" w:rsidP="00AD25F4">
      <w:pPr>
        <w:pStyle w:val="Heading2"/>
        <w:rPr>
          <w:rFonts w:ascii="Arial" w:hAnsi="Arial" w:cs="Arial"/>
          <w:b/>
          <w:bCs/>
          <w:color w:val="auto"/>
          <w:sz w:val="28"/>
          <w:szCs w:val="28"/>
        </w:rPr>
      </w:pPr>
      <w:bookmarkStart w:id="1" w:name="_Toc235862254"/>
      <w:r w:rsidRPr="005901BA">
        <w:rPr>
          <w:rFonts w:ascii="Arial" w:hAnsi="Arial" w:cs="Arial"/>
          <w:b/>
          <w:bCs/>
          <w:color w:val="auto"/>
          <w:sz w:val="28"/>
          <w:szCs w:val="28"/>
        </w:rPr>
        <w:t>4.1 Introduction</w:t>
      </w:r>
      <w:bookmarkEnd w:id="1"/>
    </w:p>
    <w:p w14:paraId="27BCDC39" w14:textId="77777777" w:rsidR="00AD25F4" w:rsidRPr="00FF5BD7" w:rsidRDefault="00AD25F4" w:rsidP="00AD25F4">
      <w:pPr>
        <w:jc w:val="left"/>
        <w:rPr>
          <w:rFonts w:ascii="Arial" w:hAnsi="Arial" w:cs="Arial"/>
        </w:rPr>
      </w:pPr>
      <w:r w:rsidRPr="00FF5BD7">
        <w:rPr>
          <w:rFonts w:ascii="Arial" w:hAnsi="Arial" w:cs="Arial"/>
        </w:rPr>
        <w:t>This chapter presents and discusses the findings from the ten studies selected for the literature review. The evidence is organised into three themes: burnout prevalence and professional variation; workload, staffing and service pressures; emotional demands and occupational stress; organisational support, supervision and resilience; and staff retention and quality of care. Findings from different professional groups, research methods and mental health settings are compared to identify similarities, differences and gaps in the evidence. The chapter also evaluates the strengths and limitations of the studies and considers how the findings relate to the research aim and objectives.</w:t>
      </w:r>
    </w:p>
    <w:p w14:paraId="13593C9E" w14:textId="77777777" w:rsidR="00AD25F4" w:rsidRPr="005901BA" w:rsidRDefault="00AD25F4" w:rsidP="00AD25F4">
      <w:pPr>
        <w:pStyle w:val="Heading2"/>
        <w:rPr>
          <w:rFonts w:ascii="Arial" w:hAnsi="Arial" w:cs="Arial"/>
          <w:b/>
          <w:bCs/>
          <w:color w:val="auto"/>
          <w:sz w:val="28"/>
          <w:szCs w:val="28"/>
        </w:rPr>
      </w:pPr>
      <w:bookmarkStart w:id="2" w:name="_Toc235862255"/>
      <w:r w:rsidRPr="005901BA">
        <w:rPr>
          <w:rFonts w:ascii="Arial" w:hAnsi="Arial" w:cs="Arial"/>
          <w:b/>
          <w:bCs/>
          <w:color w:val="auto"/>
          <w:sz w:val="28"/>
          <w:szCs w:val="28"/>
        </w:rPr>
        <w:t>4.2 Thematic Analysis</w:t>
      </w:r>
      <w:bookmarkEnd w:id="2"/>
    </w:p>
    <w:p w14:paraId="61773EEE" w14:textId="77777777" w:rsidR="00AD25F4" w:rsidRPr="00FF5BD7" w:rsidRDefault="00AD25F4" w:rsidP="00AD25F4">
      <w:pPr>
        <w:jc w:val="left"/>
        <w:rPr>
          <w:rFonts w:ascii="Arial" w:hAnsi="Arial" w:cs="Arial"/>
        </w:rPr>
      </w:pPr>
      <w:r w:rsidRPr="00FF5BD7">
        <w:rPr>
          <w:rFonts w:ascii="Arial" w:hAnsi="Arial" w:cs="Arial"/>
        </w:rPr>
        <w:t>Thematic analysis is a flexible method used to identify, organise and explain repeated patterns across a body of data (Braun and Clarke, 2006). In this dissertation, the data consisted of findings from ten selected studies rather than information collected directly from participants. This approach was suitable because it allowed evidence from different professional groups, settings and research designs to be compared in a clear and structured way.</w:t>
      </w:r>
    </w:p>
    <w:p w14:paraId="36B61FE1" w14:textId="77777777" w:rsidR="00AD25F4" w:rsidRPr="00FF5BD7" w:rsidRDefault="00AD25F4" w:rsidP="00AD25F4">
      <w:pPr>
        <w:jc w:val="left"/>
        <w:rPr>
          <w:rFonts w:ascii="Arial" w:hAnsi="Arial" w:cs="Arial"/>
        </w:rPr>
      </w:pPr>
      <w:r w:rsidRPr="00FF5BD7">
        <w:rPr>
          <w:rFonts w:ascii="Arial" w:hAnsi="Arial" w:cs="Arial"/>
        </w:rPr>
        <w:t>The studies were read several times and key findings connected to the research aim were noted. Initial codes included burnout prevalence, emotional exhaustion, workload, staffing shortages, occupational stress, supervision, organisational support, resilience, job satisfaction, retention and quality of care. These codes were recorded in the source-tracking table in Appendix 1 and compared with the study details, strengths, limitations and main findings presented in the results-summary table in Appendix 2. Similar codes were then brought together to form broader themes. Grouping related findings in this way can help identify shared patterns across studies included in a literature review (Thomas and Harden, 2008).</w:t>
      </w:r>
    </w:p>
    <w:p w14:paraId="03F1D867" w14:textId="77777777" w:rsidR="00AD25F4" w:rsidRPr="00FF5BD7" w:rsidRDefault="00AD25F4" w:rsidP="00AD25F4">
      <w:pPr>
        <w:jc w:val="left"/>
        <w:rPr>
          <w:rFonts w:ascii="Arial" w:hAnsi="Arial" w:cs="Arial"/>
        </w:rPr>
      </w:pPr>
      <w:r w:rsidRPr="00FF5BD7">
        <w:rPr>
          <w:rFonts w:ascii="Arial" w:hAnsi="Arial" w:cs="Arial"/>
        </w:rPr>
        <w:t>Three main themes were developed from the coding process: burnout prevalence and professional variation; workload, staffing and service pressures; and emotional demands and occupational stress. Organisational support, supervision, resilience, staff retention and quality of care were identified as connected findings and were discussed within the three main themes.</w:t>
      </w:r>
    </w:p>
    <w:p w14:paraId="70079CD7" w14:textId="77777777" w:rsidR="00AD25F4" w:rsidRPr="005901BA" w:rsidRDefault="00AD25F4" w:rsidP="00AD25F4">
      <w:pPr>
        <w:pStyle w:val="Heading2"/>
        <w:rPr>
          <w:rFonts w:ascii="Arial" w:hAnsi="Arial" w:cs="Arial"/>
          <w:b/>
          <w:bCs/>
          <w:color w:val="auto"/>
          <w:sz w:val="28"/>
          <w:szCs w:val="28"/>
        </w:rPr>
      </w:pPr>
      <w:bookmarkStart w:id="3" w:name="_Toc235862256"/>
      <w:r w:rsidRPr="005901BA">
        <w:rPr>
          <w:rFonts w:ascii="Arial" w:hAnsi="Arial" w:cs="Arial"/>
          <w:b/>
          <w:bCs/>
          <w:color w:val="auto"/>
          <w:sz w:val="28"/>
          <w:szCs w:val="28"/>
        </w:rPr>
        <w:lastRenderedPageBreak/>
        <w:t>4.3 Theme 1</w:t>
      </w:r>
      <w:bookmarkEnd w:id="3"/>
    </w:p>
    <w:p w14:paraId="6F18D180" w14:textId="77777777" w:rsidR="00AD25F4" w:rsidRPr="00B51FFB" w:rsidRDefault="00AD25F4" w:rsidP="00AD25F4">
      <w:pPr>
        <w:pStyle w:val="Heading2"/>
        <w:rPr>
          <w:rFonts w:ascii="Arial" w:hAnsi="Arial" w:cs="Arial"/>
          <w:b/>
          <w:bCs/>
          <w:color w:val="auto"/>
          <w:sz w:val="22"/>
          <w:szCs w:val="22"/>
        </w:rPr>
      </w:pPr>
      <w:bookmarkStart w:id="4" w:name="_Toc235862257"/>
      <w:r w:rsidRPr="00B51FFB">
        <w:rPr>
          <w:rFonts w:ascii="Arial" w:hAnsi="Arial" w:cs="Arial"/>
          <w:b/>
          <w:bCs/>
          <w:color w:val="auto"/>
          <w:sz w:val="22"/>
          <w:szCs w:val="22"/>
        </w:rPr>
        <w:t>Burnout Prevalence and Professional Variation</w:t>
      </w:r>
      <w:bookmarkEnd w:id="4"/>
    </w:p>
    <w:p w14:paraId="2629FCD5" w14:textId="77777777" w:rsidR="00AD25F4" w:rsidRPr="00B51FFB" w:rsidRDefault="00AD25F4" w:rsidP="00AD25F4">
      <w:pPr>
        <w:pStyle w:val="Heading3"/>
        <w:rPr>
          <w:rFonts w:ascii="Arial" w:hAnsi="Arial" w:cs="Arial"/>
          <w:b/>
          <w:bCs/>
          <w:color w:val="auto"/>
          <w:sz w:val="22"/>
          <w:szCs w:val="22"/>
        </w:rPr>
      </w:pPr>
      <w:bookmarkStart w:id="5" w:name="_Toc235862258"/>
      <w:r w:rsidRPr="00B51FFB">
        <w:rPr>
          <w:rFonts w:ascii="Arial" w:hAnsi="Arial" w:cs="Arial"/>
          <w:b/>
          <w:bCs/>
          <w:color w:val="auto"/>
          <w:sz w:val="22"/>
          <w:szCs w:val="22"/>
        </w:rPr>
        <w:t>a) Understanding Burnout Prevalence</w:t>
      </w:r>
      <w:bookmarkEnd w:id="5"/>
    </w:p>
    <w:p w14:paraId="33D54F6C"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Burnout prevalence refers to the proportion of workers within a study who report burnout symptoms or reach a stated cut-off point on a recognised measure. Professional variation refers to differences in burnout levels between occupational groups, career stages and service settings. This theme is central to the dissertation because the research aim is not only to establish whether burnout affects UK mental health practitioners, but also to examine whether its reported level differs across the workforce.</w:t>
      </w:r>
    </w:p>
    <w:p w14:paraId="1954A61F"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 xml:space="preserve">The World Health Organization describes burnout as an occupational phenomenon caused by chronic workplace stress that has not been successfully managed. It involves exhaustion, increased mental distance or cynicism towards work, and reduced professional effectiveness (World Health Organization, 2019). These features are closely related to Maslach’s model of emotional exhaustion, depersonalisation and reduced personal accomplishment (Maslach, Schaufeli and Leiter, 2001). However, studies do not always use the same definition or measure. Some report separate dimensions, while others classify participants as experiencing overall burnout. Prevalence figures must therefore be interpreted according to the tool, cut-off score and professional sample used. </w:t>
      </w:r>
    </w:p>
    <w:p w14:paraId="5F75BC77" w14:textId="77777777" w:rsidR="00AD25F4" w:rsidRPr="00B51FFB" w:rsidRDefault="00AD25F4" w:rsidP="00AD25F4">
      <w:pPr>
        <w:pStyle w:val="Heading3"/>
        <w:rPr>
          <w:rFonts w:ascii="Arial" w:hAnsi="Arial" w:cs="Arial"/>
          <w:b/>
          <w:bCs/>
          <w:color w:val="auto"/>
          <w:sz w:val="22"/>
          <w:szCs w:val="22"/>
        </w:rPr>
      </w:pPr>
      <w:bookmarkStart w:id="6" w:name="_Toc235862259"/>
      <w:r w:rsidRPr="00B51FFB">
        <w:rPr>
          <w:rFonts w:ascii="Arial" w:hAnsi="Arial" w:cs="Arial"/>
          <w:b/>
          <w:bCs/>
          <w:color w:val="auto"/>
          <w:sz w:val="22"/>
          <w:szCs w:val="22"/>
        </w:rPr>
        <w:t>b) Evidence on Burnout Rates</w:t>
      </w:r>
      <w:bookmarkEnd w:id="6"/>
    </w:p>
    <w:p w14:paraId="42CC0CD4"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The broadest recent evidence in the selected literature was provided by Sideri et al. (2025), who conducted a systematic review and meta-analysis of burnout among NHS mental health professionals. Fourteen studies were included, with seven contributing to the meta-analysis. The pooled prevalence was 42% for emotional exhaustion, 22% for depersonalisation and 19% for reduced personal accomplishment. Emotional exhaustion was therefore the most frequently reported dimension. This suggests that feeling emotionally drained may be more widespread than becoming detached from work or feeling ineffective.</w:t>
      </w:r>
    </w:p>
    <w:p w14:paraId="2914F490"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These percentages should not be added together to create one overall burnout rate because each represents a separate dimension and the same practitioner may experience more than one. The results nevertheless indicate that burnout is a substantial concern within NHS mental health services. Emotional exhaustion affecting around two in five practitioners is particularly important because mental health work involves repeated exposure to distress, risk, trauma and complex circumstances.</w:t>
      </w:r>
    </w:p>
    <w:p w14:paraId="23F70019"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lastRenderedPageBreak/>
        <w:t xml:space="preserve">Sideri et al. (2025) provide a strong source because their review was recent, NHS-focused and based on a structured review process. However, the included studies differed in professional samples, burnout measures and methods. Only half provided data suitable for meta-analysis. The pooled estimates therefore show the general scale of the issue but should not be treated as exact rates for every profession or service. </w:t>
      </w:r>
    </w:p>
    <w:p w14:paraId="55CB7302" w14:textId="77777777" w:rsidR="00AD25F4" w:rsidRPr="00B51FFB" w:rsidRDefault="00AD25F4" w:rsidP="00AD25F4">
      <w:pPr>
        <w:pStyle w:val="Heading3"/>
        <w:rPr>
          <w:rFonts w:ascii="Arial" w:hAnsi="Arial" w:cs="Arial"/>
          <w:b/>
          <w:bCs/>
          <w:color w:val="auto"/>
          <w:sz w:val="22"/>
          <w:szCs w:val="22"/>
        </w:rPr>
      </w:pPr>
      <w:bookmarkStart w:id="7" w:name="_Toc235862260"/>
      <w:r w:rsidRPr="00B51FFB">
        <w:rPr>
          <w:rFonts w:ascii="Arial" w:hAnsi="Arial" w:cs="Arial"/>
          <w:b/>
          <w:bCs/>
          <w:color w:val="auto"/>
          <w:sz w:val="22"/>
          <w:szCs w:val="22"/>
        </w:rPr>
        <w:t>c) Differences Between Professional Groups</w:t>
      </w:r>
      <w:bookmarkEnd w:id="7"/>
    </w:p>
    <w:p w14:paraId="7907E8D8"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Harding et al. (2025) found burnout across trainee and qualified NHS psychological professions, although reported levels were generally low to moderate. Their systematic review included eight studies. Burnout was broadly similar between the trainee groups examined, while greater variation was found between qualified professions. The review also identified evidence gaps, including the limited number of studies and poor representation of some newer psychological roles.</w:t>
      </w:r>
    </w:p>
    <w:p w14:paraId="3F7C8D7F"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These findings may appear less serious than those reported by Sideri et al. (2025), but the reviews examined different populations and presented results differently. Sideri et al. included a wider range of NHS mental health professionals and reported separate burnout dimensions. Harding et al. focused on psychological professions and used a narrative comparison of a smaller, varied evidence base. The difference may therefore reflect professional coverage and measurement rather than a direct disagreement.</w:t>
      </w:r>
    </w:p>
    <w:p w14:paraId="284D11B0"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Clear professional variation was found by Westwood et al. (2017), who surveyed 201 practitioners working in Improving Access to Psychological Therapies services. Using the Oldenburg Burnout Inventory, they reported burnout in 68.6% of psychological wellbeing practitioners and 50.0% of high-intensity therapists. Burnout was high in both groups but more common among psychological wellbeing practitioners. In this group, overtime predicted greater odds of burnout, while more clinical supervision predicted lower odds. For practitioners with two or more years of service, greater telephone contact was also linked to increased burnout.</w:t>
      </w:r>
    </w:p>
    <w:p w14:paraId="2FAC4A88"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 xml:space="preserve">These findings suggest that professional variation may be connected to how roles are organised rather than to personal weakness. The Job Demands–Resources model helps explain this pattern. It proposes that burnout becomes more likely when demands such as workload and emotional pressure remain high while resources such as supervision, autonomy and managerial support are limited (Demerouti et al., 2001). Differences between groups may therefore reflect differences in caseloads, working methods, control and access to support. </w:t>
      </w:r>
    </w:p>
    <w:p w14:paraId="7FB402B8" w14:textId="77777777" w:rsidR="00AD25F4" w:rsidRPr="00B51FFB" w:rsidRDefault="00AD25F4" w:rsidP="00AD25F4">
      <w:pPr>
        <w:pStyle w:val="Heading3"/>
        <w:rPr>
          <w:rFonts w:ascii="Arial" w:hAnsi="Arial" w:cs="Arial"/>
          <w:b/>
          <w:bCs/>
          <w:color w:val="auto"/>
          <w:sz w:val="22"/>
          <w:szCs w:val="22"/>
        </w:rPr>
      </w:pPr>
      <w:bookmarkStart w:id="8" w:name="_Toc235862261"/>
      <w:r w:rsidRPr="00B51FFB">
        <w:rPr>
          <w:rFonts w:ascii="Arial" w:hAnsi="Arial" w:cs="Arial"/>
          <w:b/>
          <w:bCs/>
          <w:color w:val="auto"/>
          <w:sz w:val="22"/>
          <w:szCs w:val="22"/>
        </w:rPr>
        <w:lastRenderedPageBreak/>
        <w:t>d) Challenges in Comparing Burnout Rates</w:t>
      </w:r>
      <w:bookmarkEnd w:id="8"/>
    </w:p>
    <w:p w14:paraId="37D93957"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 xml:space="preserve">The evidence shows that there is no single burnout rate that can be applied to all UK mental health practitioners. Sideri et al. (2025) reported separate dimensions, Harding et al. (2025) described levels across different studies, and Westwood et al. (2017) used an overall classification based on the Oldenburg Burnout Inventory. These methods do not measure burnout in </w:t>
      </w:r>
      <w:r w:rsidRPr="00FF5BD7">
        <w:rPr>
          <w:rFonts w:ascii="Arial" w:hAnsi="Arial" w:cs="Arial"/>
        </w:rPr>
        <w:t>the same</w:t>
      </w:r>
      <w:r w:rsidRPr="00FF5BD7">
        <w:rPr>
          <w:rFonts w:ascii="Arial" w:eastAsiaTheme="majorEastAsia" w:hAnsi="Arial" w:cs="Arial"/>
        </w:rPr>
        <w:t xml:space="preserve"> way, and different scoring thresholds may classify similar experiences differently. </w:t>
      </w:r>
    </w:p>
    <w:p w14:paraId="2379990C"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Study design also affects interpretation. Westwood et al. (2017) used a cross-sectional online survey, meaning burnout and workplace factors were measured at one point in time. The study identified associations but could not establish that overtime or reduced supervision directly caused burnout. Self-reported surveys may also be affected by recall, personal interpretation and participation bias.</w:t>
      </w:r>
    </w:p>
    <w:p w14:paraId="0AF11E0E"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 xml:space="preserve">The age and setting of the evidence must also be considered. Westwood et al. (2017) remains useful because it directly compared two practitioner groups and examined workplace predictors, but it was completed before the COVID-19 pandemic and later service developments. Harding et al. (2025) and Sideri et al. (2025) are more recent, although both depend on the quality and consistency of the studies available. Current evidence supports professional variation, but it does not allow every occupation to be ranked reliably from highest to lowest risk. </w:t>
      </w:r>
    </w:p>
    <w:p w14:paraId="5F1AB781" w14:textId="77777777" w:rsidR="00AD25F4" w:rsidRPr="00B51FFB" w:rsidRDefault="00AD25F4" w:rsidP="00AD25F4">
      <w:pPr>
        <w:pStyle w:val="Heading3"/>
        <w:rPr>
          <w:rFonts w:ascii="Arial" w:hAnsi="Arial" w:cs="Arial"/>
          <w:b/>
          <w:bCs/>
          <w:color w:val="auto"/>
          <w:sz w:val="22"/>
          <w:szCs w:val="22"/>
        </w:rPr>
      </w:pPr>
      <w:bookmarkStart w:id="9" w:name="_Toc235862262"/>
      <w:r w:rsidRPr="00B51FFB">
        <w:rPr>
          <w:rFonts w:ascii="Arial" w:hAnsi="Arial" w:cs="Arial"/>
          <w:b/>
          <w:bCs/>
          <w:color w:val="auto"/>
          <w:sz w:val="22"/>
          <w:szCs w:val="22"/>
        </w:rPr>
        <w:t>e) Implications and Connections to Other Themes</w:t>
      </w:r>
      <w:bookmarkEnd w:id="9"/>
    </w:p>
    <w:p w14:paraId="1EFEC774"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The findings have important implications for workforce planning. High burnout may contribute to sickness absence, lower job satisfaction and intentions to leave, while professional variation means that one standard wellbeing programme may not meet the needs of every group. Services with high-volume roles may require closer attention to caseloads, overtime and protected supervision. The NHS Long Term Workforce Plan identifies retention, staff wellbeing, supportive leadership and workplace culture as important parts of maintaining the workforce (NHS England, 2023). Increasing practitioner numbers may have limited benefit if working conditions continue to place existing staff at risk.</w:t>
      </w:r>
    </w:p>
    <w:p w14:paraId="2F365CB9"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Identifying variation can also help organisations direct support towards roles and settings where demands are highest. Regular assessment using consistent measures could improve comparison between services and help evaluate organisational changes. However, monitoring should lead to practical action rather than placing responsibility on practitioners to become more resilient without changes to workload or support.</w:t>
      </w:r>
    </w:p>
    <w:p w14:paraId="538FE5CB" w14:textId="77777777" w:rsidR="00AD25F4" w:rsidRPr="00FF5BD7" w:rsidRDefault="00AD25F4" w:rsidP="00AD25F4">
      <w:pPr>
        <w:jc w:val="left"/>
        <w:rPr>
          <w:rFonts w:ascii="Arial" w:hAnsi="Arial" w:cs="Arial"/>
        </w:rPr>
      </w:pPr>
      <w:r w:rsidRPr="00FF5BD7">
        <w:rPr>
          <w:rFonts w:ascii="Arial" w:eastAsiaTheme="majorEastAsia" w:hAnsi="Arial" w:cs="Arial"/>
        </w:rPr>
        <w:lastRenderedPageBreak/>
        <w:t>Overall, burnout is common among UK mental health practitioners but is measured unevenly and experienced differently across professional groups. Sideri et al. (2025) demonstrate substantial prevalence across the main dimensions, Harding et al. (2025) identify variation and evidence gaps, and Westwood et al. (2017) show particularly high rates in specific practitioner roles. This theme connects closely with workload, staffing pressures, emotional demands, organisational support and supervision, which may explain why prevalence differs. Burnout rates are also relevant to retention and quality of care, showing that professional variation is an organisational and service-level concern rather than only an individual wellbeing issue.</w:t>
      </w:r>
    </w:p>
    <w:p w14:paraId="526F8C9D" w14:textId="77777777" w:rsidR="00AD25F4" w:rsidRPr="005901BA" w:rsidRDefault="00AD25F4" w:rsidP="00AD25F4">
      <w:pPr>
        <w:pStyle w:val="Heading2"/>
        <w:rPr>
          <w:rFonts w:ascii="Arial" w:hAnsi="Arial" w:cs="Arial"/>
          <w:b/>
          <w:bCs/>
          <w:color w:val="auto"/>
          <w:sz w:val="28"/>
          <w:szCs w:val="28"/>
        </w:rPr>
      </w:pPr>
      <w:bookmarkStart w:id="10" w:name="_Toc235862263"/>
      <w:r w:rsidRPr="005901BA">
        <w:rPr>
          <w:rFonts w:ascii="Arial" w:hAnsi="Arial" w:cs="Arial"/>
          <w:b/>
          <w:bCs/>
          <w:color w:val="auto"/>
          <w:sz w:val="28"/>
          <w:szCs w:val="28"/>
        </w:rPr>
        <w:t>4.4 Theme 2</w:t>
      </w:r>
      <w:bookmarkEnd w:id="10"/>
    </w:p>
    <w:p w14:paraId="1C724425" w14:textId="77777777" w:rsidR="00AD25F4" w:rsidRPr="00B51FFB" w:rsidRDefault="00AD25F4" w:rsidP="00AD25F4">
      <w:pPr>
        <w:pStyle w:val="Heading2"/>
        <w:rPr>
          <w:rFonts w:ascii="Arial" w:hAnsi="Arial" w:cs="Arial"/>
          <w:b/>
          <w:bCs/>
          <w:color w:val="auto"/>
          <w:sz w:val="22"/>
          <w:szCs w:val="22"/>
        </w:rPr>
      </w:pPr>
      <w:bookmarkStart w:id="11" w:name="_Toc235862264"/>
      <w:r w:rsidRPr="00B51FFB">
        <w:rPr>
          <w:rFonts w:ascii="Arial" w:hAnsi="Arial" w:cs="Arial"/>
          <w:b/>
          <w:bCs/>
          <w:color w:val="auto"/>
          <w:sz w:val="22"/>
          <w:szCs w:val="22"/>
        </w:rPr>
        <w:t>Workload, Staffing and Service Pressures</w:t>
      </w:r>
      <w:bookmarkEnd w:id="11"/>
    </w:p>
    <w:p w14:paraId="66AD0280" w14:textId="77777777" w:rsidR="00AD25F4" w:rsidRPr="00B51FFB" w:rsidRDefault="00AD25F4" w:rsidP="00AD25F4">
      <w:pPr>
        <w:pStyle w:val="Heading3"/>
        <w:rPr>
          <w:rFonts w:ascii="Arial" w:hAnsi="Arial" w:cs="Arial"/>
          <w:b/>
          <w:bCs/>
          <w:color w:val="auto"/>
          <w:sz w:val="22"/>
          <w:szCs w:val="22"/>
        </w:rPr>
      </w:pPr>
      <w:bookmarkStart w:id="12" w:name="_Toc235862265"/>
      <w:r w:rsidRPr="00B51FFB">
        <w:rPr>
          <w:rFonts w:ascii="Arial" w:hAnsi="Arial" w:cs="Arial"/>
          <w:b/>
          <w:bCs/>
          <w:color w:val="auto"/>
          <w:sz w:val="22"/>
          <w:szCs w:val="22"/>
        </w:rPr>
        <w:t>a) Understanding Workload and Service Pressure</w:t>
      </w:r>
      <w:bookmarkEnd w:id="12"/>
    </w:p>
    <w:p w14:paraId="1645D825" w14:textId="77777777" w:rsidR="00AD25F4" w:rsidRPr="00FF5BD7" w:rsidRDefault="00AD25F4" w:rsidP="00AD25F4">
      <w:pPr>
        <w:jc w:val="left"/>
        <w:rPr>
          <w:rFonts w:ascii="Arial" w:hAnsi="Arial" w:cs="Arial"/>
        </w:rPr>
      </w:pPr>
      <w:r w:rsidRPr="00FF5BD7">
        <w:rPr>
          <w:rFonts w:ascii="Arial" w:hAnsi="Arial" w:cs="Arial"/>
        </w:rPr>
        <w:t>Workload refers to the amount, pace and complexity of work expected from practitioners within the time and resources available. In mental health services, this can include large caseloads, repeated patient contact, administrative duties, risk assessments and crisis management. Staffing pressure occurs when the number or skill mix of available workers is not sufficient to meet service demand. These issues are connected because staff shortages increase the workload of remaining practitioners, while heavy workload may contribute to sickness absence and decisions to leave.</w:t>
      </w:r>
    </w:p>
    <w:p w14:paraId="1081CFA6" w14:textId="77777777" w:rsidR="00AD25F4" w:rsidRPr="00FF5BD7" w:rsidRDefault="00AD25F4" w:rsidP="00AD25F4">
      <w:pPr>
        <w:jc w:val="left"/>
        <w:rPr>
          <w:rFonts w:ascii="Arial" w:hAnsi="Arial" w:cs="Arial"/>
        </w:rPr>
      </w:pPr>
      <w:r w:rsidRPr="00FF5BD7">
        <w:rPr>
          <w:rFonts w:ascii="Arial" w:hAnsi="Arial" w:cs="Arial"/>
        </w:rPr>
        <w:t>This theme is important to the research question because burnout cannot be explained only by individual characteristics. Mental health practitioners work within services affected by waiting lists, workforce gaps and rising demand. When these pressures continue, staff may have less time for recovery, supervision and meaningful contact with service users. Workload and staffing are therefore possible organisational causes of burnout rather than simply background conditions.</w:t>
      </w:r>
    </w:p>
    <w:p w14:paraId="5F07BC5D" w14:textId="77777777" w:rsidR="00AD25F4" w:rsidRPr="00B51FFB" w:rsidRDefault="00AD25F4" w:rsidP="00AD25F4">
      <w:pPr>
        <w:pStyle w:val="Heading3"/>
        <w:rPr>
          <w:rFonts w:ascii="Arial" w:hAnsi="Arial" w:cs="Arial"/>
          <w:b/>
          <w:bCs/>
          <w:color w:val="auto"/>
          <w:sz w:val="22"/>
          <w:szCs w:val="22"/>
        </w:rPr>
      </w:pPr>
      <w:bookmarkStart w:id="13" w:name="_Toc235862266"/>
      <w:r w:rsidRPr="00B51FFB">
        <w:rPr>
          <w:rFonts w:ascii="Arial" w:hAnsi="Arial" w:cs="Arial"/>
          <w:b/>
          <w:bCs/>
          <w:color w:val="auto"/>
          <w:sz w:val="22"/>
          <w:szCs w:val="22"/>
        </w:rPr>
        <w:t>b) Evidence from the Selected Studies</w:t>
      </w:r>
      <w:bookmarkEnd w:id="13"/>
    </w:p>
    <w:p w14:paraId="46D22A4E" w14:textId="77777777" w:rsidR="00AD25F4" w:rsidRPr="00FF5BD7" w:rsidRDefault="00AD25F4" w:rsidP="00AD25F4">
      <w:pPr>
        <w:jc w:val="left"/>
        <w:rPr>
          <w:rFonts w:ascii="Arial" w:hAnsi="Arial" w:cs="Arial"/>
        </w:rPr>
      </w:pPr>
      <w:r w:rsidRPr="00FF5BD7">
        <w:rPr>
          <w:rFonts w:ascii="Arial" w:hAnsi="Arial" w:cs="Arial"/>
        </w:rPr>
        <w:t xml:space="preserve">Langton and Morley (2025) examined burnout, workload and imposter syndrome among 73 registered mental health nurses in the UK. Participants reported moderate-to-high levels of burnout and workload. A significant positive relationship was found between workload and burnout, meaning that higher workload was associated with greater exhaustion and disengagement. Imposter syndrome was not significantly related to burnout or workload. This suggests that the organisation of work may be more directly connected to burnout than personal feelings of professional inadequacy. </w:t>
      </w:r>
    </w:p>
    <w:p w14:paraId="07ADC91B" w14:textId="77777777" w:rsidR="00AD25F4" w:rsidRPr="00FF5BD7" w:rsidRDefault="00AD25F4" w:rsidP="00AD25F4">
      <w:pPr>
        <w:jc w:val="left"/>
        <w:rPr>
          <w:rFonts w:ascii="Arial" w:hAnsi="Arial" w:cs="Arial"/>
        </w:rPr>
      </w:pPr>
      <w:r w:rsidRPr="00FF5BD7">
        <w:rPr>
          <w:rFonts w:ascii="Arial" w:hAnsi="Arial" w:cs="Arial"/>
        </w:rPr>
        <w:lastRenderedPageBreak/>
        <w:t>The study used established measures, including the Oldenburg Burnout Inventory and a quantitative workload measure. However, the sample was small and mainly female and White. Its online cross-sectional design also measured the variables at one point in time, so it cannot prove that workload caused burnout. Burnout may also influence how workers judge their workload. Even with these limitations, the study supports the need to examine caseloads, staffing and working patterns instead of placing responsibility mainly on individual coping.</w:t>
      </w:r>
    </w:p>
    <w:p w14:paraId="3108D153" w14:textId="77777777" w:rsidR="00AD25F4" w:rsidRPr="00FF5BD7" w:rsidRDefault="00AD25F4" w:rsidP="00AD25F4">
      <w:pPr>
        <w:jc w:val="left"/>
        <w:rPr>
          <w:rFonts w:ascii="Arial" w:hAnsi="Arial" w:cs="Arial"/>
        </w:rPr>
      </w:pPr>
      <w:r w:rsidRPr="00FF5BD7">
        <w:rPr>
          <w:rFonts w:ascii="Arial" w:hAnsi="Arial" w:cs="Arial"/>
        </w:rPr>
        <w:t xml:space="preserve">Sambrook et al. (2025) provide a wider service-level view. Their qualitative study involved interviews with 26 staff working across NHS and third-sector mental health services in North-West England. The findings described a “community in crisis”, with services focused on stabilisation rather than recovery, inefficient care pathways and barriers to collaboration. Staff described shortages, under-resourcing, long waits and limited capacity. These conditions meant that workers often had to manage immediate risk rather than provide longer-term recovery-focused care. </w:t>
      </w:r>
    </w:p>
    <w:p w14:paraId="3A531FB0" w14:textId="77777777" w:rsidR="00AD25F4" w:rsidRPr="00FF5BD7" w:rsidRDefault="00AD25F4" w:rsidP="00AD25F4">
      <w:pPr>
        <w:jc w:val="left"/>
        <w:rPr>
          <w:rFonts w:ascii="Arial" w:hAnsi="Arial" w:cs="Arial"/>
        </w:rPr>
      </w:pPr>
      <w:r w:rsidRPr="00FF5BD7">
        <w:rPr>
          <w:rFonts w:ascii="Arial" w:hAnsi="Arial" w:cs="Arial"/>
        </w:rPr>
        <w:t>This study shows that service pressure involves more than completing a high number of tasks. Practitioners may also experience frustration when limited resources prevent them from providing the care they believe service users need. Poor coordination can create delays, duplication and uncertainty, adding further pressure. The qualitative design provided detailed staff experiences and included NHS and third-sector services. However, the small regional sample may not represent every UK mental health setting. Its findings still support Langton and Morley (2025) by showing that workload is influenced by wider organisational systems.</w:t>
      </w:r>
    </w:p>
    <w:p w14:paraId="21F3882B" w14:textId="77777777" w:rsidR="00AD25F4" w:rsidRPr="00FF5BD7" w:rsidRDefault="00AD25F4" w:rsidP="00AD25F4">
      <w:pPr>
        <w:jc w:val="left"/>
        <w:rPr>
          <w:rFonts w:ascii="Arial" w:hAnsi="Arial" w:cs="Arial"/>
        </w:rPr>
      </w:pPr>
      <w:r w:rsidRPr="00FF5BD7">
        <w:rPr>
          <w:rFonts w:ascii="Arial" w:hAnsi="Arial" w:cs="Arial"/>
        </w:rPr>
        <w:t xml:space="preserve">Pappa et al. (2021) examined 387 workers from a large urban mental health trust during the COVID-19 pandemic. Moderate or severe emotional exhaustion was reported by 52% of participants, while 19.5% reported moderate or severe depersonalisation and 55.5% reported low or moderate personal accomplishment. Sleep problems were also reported by 52%. Staff were working during a period of infection concerns, changing guidance and disruption to normal services, showing how an unexpected increase in demands can intensify an already pressured working environment. </w:t>
      </w:r>
    </w:p>
    <w:p w14:paraId="16BB9C4F" w14:textId="77777777" w:rsidR="00AD25F4" w:rsidRPr="00FF5BD7" w:rsidRDefault="00AD25F4" w:rsidP="00AD25F4">
      <w:pPr>
        <w:jc w:val="left"/>
        <w:rPr>
          <w:rFonts w:ascii="Arial" w:hAnsi="Arial" w:cs="Arial"/>
        </w:rPr>
      </w:pPr>
      <w:r w:rsidRPr="00FF5BD7">
        <w:rPr>
          <w:rFonts w:ascii="Arial" w:hAnsi="Arial" w:cs="Arial"/>
        </w:rPr>
        <w:t xml:space="preserve">A more positive finding was that 70% of participants reported high resilience, and many were satisfied with the organisational support available. This suggests that support may reduce some effects of high pressure. However, resilience should not be used to suggest that unsafe workloads are acceptable. The study was cross-sectional, limited to one London trust and conducted during an unusual period, so its findings may not represent normal working </w:t>
      </w:r>
      <w:r w:rsidRPr="00FF5BD7">
        <w:rPr>
          <w:rFonts w:ascii="Arial" w:hAnsi="Arial" w:cs="Arial"/>
        </w:rPr>
        <w:lastRenderedPageBreak/>
        <w:t xml:space="preserve">conditions. It remains useful because it shows that high burnout and resilience can exist at the same time. </w:t>
      </w:r>
    </w:p>
    <w:p w14:paraId="36684F80" w14:textId="77777777" w:rsidR="00AD25F4" w:rsidRPr="00B51FFB" w:rsidRDefault="00AD25F4" w:rsidP="00AD25F4">
      <w:pPr>
        <w:pStyle w:val="Heading3"/>
        <w:rPr>
          <w:rFonts w:ascii="Arial" w:hAnsi="Arial" w:cs="Arial"/>
          <w:b/>
          <w:bCs/>
          <w:color w:val="auto"/>
          <w:sz w:val="22"/>
          <w:szCs w:val="22"/>
        </w:rPr>
      </w:pPr>
      <w:bookmarkStart w:id="14" w:name="_Toc235862267"/>
      <w:r w:rsidRPr="00B51FFB">
        <w:rPr>
          <w:rFonts w:ascii="Arial" w:hAnsi="Arial" w:cs="Arial"/>
          <w:b/>
          <w:bCs/>
          <w:color w:val="auto"/>
          <w:sz w:val="22"/>
          <w:szCs w:val="22"/>
        </w:rPr>
        <w:t>c) Theoretical, Policy and Legal Context</w:t>
      </w:r>
      <w:bookmarkEnd w:id="14"/>
    </w:p>
    <w:p w14:paraId="5ABEC24E" w14:textId="77777777" w:rsidR="00AD25F4" w:rsidRPr="00FF5BD7" w:rsidRDefault="00AD25F4" w:rsidP="00AD25F4">
      <w:pPr>
        <w:jc w:val="left"/>
        <w:rPr>
          <w:rFonts w:ascii="Arial" w:hAnsi="Arial" w:cs="Arial"/>
        </w:rPr>
      </w:pPr>
      <w:r w:rsidRPr="00FF5BD7">
        <w:rPr>
          <w:rFonts w:ascii="Arial" w:hAnsi="Arial" w:cs="Arial"/>
        </w:rPr>
        <w:t xml:space="preserve">The Job Demands–Resources model provides a clear explanation for these findings. It separates working conditions into job demands and job resources. Demands require continued effort, while resources help workers complete their roles and cope with pressure. High demands are mainly connected to exhaustion, while limited resources are linked to disengagement (Demerouti et al., 2001). In mental health practice, demands may include caseloads, administrative work, crisis responsibility and emotional exposure. Resources may include adequate staffing, supervision, autonomy, time and supportive leadership. </w:t>
      </w:r>
    </w:p>
    <w:p w14:paraId="63311E40" w14:textId="77777777" w:rsidR="00AD25F4" w:rsidRPr="00FF5BD7" w:rsidRDefault="00AD25F4" w:rsidP="00AD25F4">
      <w:pPr>
        <w:jc w:val="left"/>
        <w:rPr>
          <w:rFonts w:ascii="Arial" w:hAnsi="Arial" w:cs="Arial"/>
        </w:rPr>
      </w:pPr>
      <w:r w:rsidRPr="00FF5BD7">
        <w:rPr>
          <w:rFonts w:ascii="Arial" w:hAnsi="Arial" w:cs="Arial"/>
        </w:rPr>
        <w:t>The selected studies support this model. Langton and Morley (2025) found a direct relationship between workload and burnout. Sambrook et al. (2025) showed how under-resourcing and inefficient pathways increased demands while reducing available support. Pappa et al. (2021) showed that organisational support and resilience could exist alongside substantial exhaustion. Resources may therefore reduce risk, but they may not fully remove the effects of prolonged demands.</w:t>
      </w:r>
    </w:p>
    <w:p w14:paraId="6E625703" w14:textId="77777777" w:rsidR="00AD25F4" w:rsidRPr="00FF5BD7" w:rsidRDefault="00AD25F4" w:rsidP="00AD25F4">
      <w:pPr>
        <w:jc w:val="left"/>
        <w:rPr>
          <w:rFonts w:ascii="Arial" w:hAnsi="Arial" w:cs="Arial"/>
        </w:rPr>
      </w:pPr>
      <w:r w:rsidRPr="00FF5BD7">
        <w:rPr>
          <w:rFonts w:ascii="Arial" w:hAnsi="Arial" w:cs="Arial"/>
        </w:rPr>
        <w:t xml:space="preserve">Conservation of Resources theory also suggests that stress develops when valued resources are threatened or lost (Hobfoll, 1989). Staff shortages may reduce practitioners’ time, energy and opportunities for recovery. Continued pressure can then create a cycle in which burnout contributes to absence or turnover, increasing the workload of those who remain. </w:t>
      </w:r>
    </w:p>
    <w:p w14:paraId="4DB0FF28" w14:textId="77777777" w:rsidR="00AD25F4" w:rsidRPr="00FF5BD7" w:rsidRDefault="00AD25F4" w:rsidP="00AD25F4">
      <w:pPr>
        <w:jc w:val="left"/>
        <w:rPr>
          <w:rFonts w:ascii="Arial" w:hAnsi="Arial" w:cs="Arial"/>
        </w:rPr>
      </w:pPr>
      <w:r w:rsidRPr="00FF5BD7">
        <w:rPr>
          <w:rFonts w:ascii="Arial" w:hAnsi="Arial" w:cs="Arial"/>
        </w:rPr>
        <w:t xml:space="preserve">The Health and Safety Executive identify demands, control, support, relationships, role and organisational change as six areas of work design connected to work-related stress. Employers are expected to assess stress risks and act on them, rather than relying only on individual wellbeing programmes (Health and Safety Executive, 2025). This is relevant because workload and staffing are organisational conditions requiring organisational responses. </w:t>
      </w:r>
    </w:p>
    <w:p w14:paraId="1A397F1F" w14:textId="77777777" w:rsidR="00AD25F4" w:rsidRPr="00FF5BD7" w:rsidRDefault="00AD25F4" w:rsidP="00AD25F4">
      <w:pPr>
        <w:jc w:val="left"/>
        <w:rPr>
          <w:rFonts w:ascii="Arial" w:hAnsi="Arial" w:cs="Arial"/>
        </w:rPr>
      </w:pPr>
      <w:r w:rsidRPr="00FF5BD7">
        <w:rPr>
          <w:rFonts w:ascii="Arial" w:hAnsi="Arial" w:cs="Arial"/>
        </w:rPr>
        <w:t xml:space="preserve">The NHS Long Term Workforce Plan also recognises that shortages and rising demand place staff under pressure. It proposes action through training, retention and reform, including flexible working, wellbeing support and better leadership (NHS England, 2023). These measures may help, but recruitment alone will not reduce burnout if workload, administration and service capacity are not also addressed. </w:t>
      </w:r>
    </w:p>
    <w:p w14:paraId="2ACE76B8" w14:textId="77777777" w:rsidR="00AD25F4" w:rsidRPr="00B51FFB" w:rsidRDefault="00AD25F4" w:rsidP="00AD25F4">
      <w:pPr>
        <w:pStyle w:val="Heading3"/>
        <w:rPr>
          <w:rFonts w:ascii="Arial" w:hAnsi="Arial" w:cs="Arial"/>
          <w:b/>
          <w:bCs/>
          <w:color w:val="auto"/>
          <w:sz w:val="22"/>
          <w:szCs w:val="22"/>
        </w:rPr>
      </w:pPr>
      <w:bookmarkStart w:id="15" w:name="_Toc235862268"/>
      <w:r w:rsidRPr="00B51FFB">
        <w:rPr>
          <w:rFonts w:ascii="Arial" w:hAnsi="Arial" w:cs="Arial"/>
          <w:b/>
          <w:bCs/>
          <w:color w:val="auto"/>
          <w:sz w:val="22"/>
          <w:szCs w:val="22"/>
        </w:rPr>
        <w:lastRenderedPageBreak/>
        <w:t>d) Implications and Connections to Other Themes</w:t>
      </w:r>
      <w:bookmarkEnd w:id="15"/>
    </w:p>
    <w:p w14:paraId="4DAD3BFF" w14:textId="77777777" w:rsidR="00AD25F4" w:rsidRPr="00FF5BD7" w:rsidRDefault="00AD25F4" w:rsidP="00AD25F4">
      <w:pPr>
        <w:jc w:val="left"/>
        <w:rPr>
          <w:rFonts w:ascii="Arial" w:hAnsi="Arial" w:cs="Arial"/>
        </w:rPr>
      </w:pPr>
      <w:r w:rsidRPr="00FF5BD7">
        <w:rPr>
          <w:rFonts w:ascii="Arial" w:hAnsi="Arial" w:cs="Arial"/>
        </w:rPr>
        <w:t>The evidence indicates that workload, staffing and service pressures are important contributors to burnout among UK mental health practitioners. Possible responses include safer caseloads, improved staffing, protected supervision, reduced unnecessary administration and clearer pathways between services. Wellbeing and resilience support may also be useful, but it should support rather than replace changes to working conditions.</w:t>
      </w:r>
    </w:p>
    <w:p w14:paraId="09E38699" w14:textId="77777777" w:rsidR="00AD25F4" w:rsidRPr="00FF5BD7" w:rsidRDefault="00AD25F4" w:rsidP="00AD25F4">
      <w:pPr>
        <w:jc w:val="left"/>
        <w:rPr>
          <w:rFonts w:ascii="Arial" w:hAnsi="Arial" w:cs="Arial"/>
        </w:rPr>
      </w:pPr>
      <w:r w:rsidRPr="00FF5BD7">
        <w:rPr>
          <w:rFonts w:ascii="Arial" w:hAnsi="Arial" w:cs="Arial"/>
        </w:rPr>
        <w:t>This theme connects closely with the other themes. High workload may help explain differences in burnout rates between professions. Staffing shortages can increase emotional demands because practitioners have less time to process difficult work or recover between cases. Organisational support and supervision may reduce risk, while continued pressure may contribute to sickness absence, staff turnover and poorer continuity of care.</w:t>
      </w:r>
    </w:p>
    <w:p w14:paraId="78AF50B4" w14:textId="77777777" w:rsidR="00AD25F4" w:rsidRPr="00FF5BD7" w:rsidRDefault="00AD25F4" w:rsidP="00AD25F4">
      <w:pPr>
        <w:jc w:val="left"/>
        <w:rPr>
          <w:rFonts w:ascii="Arial" w:hAnsi="Arial" w:cs="Arial"/>
        </w:rPr>
      </w:pPr>
      <w:r w:rsidRPr="00FF5BD7">
        <w:rPr>
          <w:rFonts w:ascii="Arial" w:hAnsi="Arial" w:cs="Arial"/>
        </w:rPr>
        <w:t>Overall, Langton and Morley (2025) identify a measurable relationship between workload and burnout, Sambrook et al. (2025) explain how under-resourced services create pressure, and Pappa et al. (2021) show the effects of intense demands during major service disruption. Together, they support the conclusion that burnout is strongly influenced by how mental health services are staffed, organised and resourced.</w:t>
      </w:r>
    </w:p>
    <w:p w14:paraId="78B80146" w14:textId="77777777" w:rsidR="00AD25F4" w:rsidRPr="005901BA" w:rsidRDefault="00AD25F4" w:rsidP="00AD25F4">
      <w:pPr>
        <w:pStyle w:val="Heading2"/>
        <w:rPr>
          <w:rFonts w:ascii="Arial" w:hAnsi="Arial" w:cs="Arial"/>
          <w:b/>
          <w:bCs/>
          <w:color w:val="auto"/>
          <w:sz w:val="28"/>
          <w:szCs w:val="28"/>
        </w:rPr>
      </w:pPr>
      <w:bookmarkStart w:id="16" w:name="_Toc235862269"/>
      <w:r w:rsidRPr="005901BA">
        <w:rPr>
          <w:rFonts w:ascii="Arial" w:hAnsi="Arial" w:cs="Arial"/>
          <w:b/>
          <w:bCs/>
          <w:color w:val="auto"/>
          <w:sz w:val="28"/>
          <w:szCs w:val="28"/>
        </w:rPr>
        <w:t>4.5 – Theme 3</w:t>
      </w:r>
      <w:bookmarkEnd w:id="16"/>
    </w:p>
    <w:p w14:paraId="4615CC3F" w14:textId="77777777" w:rsidR="00AD25F4" w:rsidRPr="00B51FFB" w:rsidRDefault="00AD25F4" w:rsidP="00AD25F4">
      <w:pPr>
        <w:pStyle w:val="Heading2"/>
        <w:rPr>
          <w:rFonts w:ascii="Arial" w:hAnsi="Arial" w:cs="Arial"/>
          <w:b/>
          <w:bCs/>
          <w:color w:val="auto"/>
          <w:sz w:val="22"/>
          <w:szCs w:val="22"/>
        </w:rPr>
      </w:pPr>
      <w:bookmarkStart w:id="17" w:name="_Toc235862270"/>
      <w:r w:rsidRPr="00B51FFB">
        <w:rPr>
          <w:rFonts w:ascii="Arial" w:hAnsi="Arial" w:cs="Arial"/>
          <w:b/>
          <w:bCs/>
          <w:color w:val="auto"/>
          <w:sz w:val="22"/>
          <w:szCs w:val="22"/>
        </w:rPr>
        <w:t>Emotional Demands and Occupational Stress</w:t>
      </w:r>
      <w:bookmarkEnd w:id="17"/>
    </w:p>
    <w:p w14:paraId="4D49636E" w14:textId="77777777" w:rsidR="00AD25F4" w:rsidRPr="00B51FFB" w:rsidRDefault="00AD25F4" w:rsidP="00AD25F4">
      <w:pPr>
        <w:pStyle w:val="Heading3"/>
        <w:rPr>
          <w:rFonts w:ascii="Arial" w:hAnsi="Arial" w:cs="Arial"/>
          <w:b/>
          <w:bCs/>
          <w:color w:val="auto"/>
          <w:sz w:val="22"/>
          <w:szCs w:val="22"/>
        </w:rPr>
      </w:pPr>
      <w:bookmarkStart w:id="18" w:name="_Toc235862271"/>
      <w:r w:rsidRPr="00B51FFB">
        <w:rPr>
          <w:rFonts w:ascii="Arial" w:hAnsi="Arial" w:cs="Arial"/>
          <w:b/>
          <w:bCs/>
          <w:color w:val="auto"/>
          <w:sz w:val="22"/>
          <w:szCs w:val="22"/>
        </w:rPr>
        <w:t>a) Understanding Emotional Demands and Occupational Stress</w:t>
      </w:r>
      <w:bookmarkEnd w:id="18"/>
    </w:p>
    <w:p w14:paraId="137844EF"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Emotional demands refer to the psychological effort required when practitioners support people experiencing distress, trauma, risk, crisis or complex personal circumstances. Mental health practitioners are expected to remain calm, supportive and professionally focused even when the work affects them emotionally. Occupational stress develops when workplace demands become difficult to manage with the time, support and resources available. Stress may be temporary, whereas burnout usually develops gradually after continued exposure to unmanaged workplace pressure.</w:t>
      </w:r>
    </w:p>
    <w:p w14:paraId="07F953BA"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 xml:space="preserve">This theme is relevant because emotional contact is central to mental health practice. Practitioners may listen to traumatic </w:t>
      </w:r>
      <w:proofErr w:type="gramStart"/>
      <w:r w:rsidRPr="00FF5BD7">
        <w:rPr>
          <w:rFonts w:ascii="Arial" w:eastAsiaTheme="majorEastAsia" w:hAnsi="Arial" w:cs="Arial"/>
        </w:rPr>
        <w:t>experiences,</w:t>
      </w:r>
      <w:proofErr w:type="gramEnd"/>
      <w:r w:rsidRPr="00FF5BD7">
        <w:rPr>
          <w:rFonts w:ascii="Arial" w:eastAsiaTheme="majorEastAsia" w:hAnsi="Arial" w:cs="Arial"/>
        </w:rPr>
        <w:t xml:space="preserve"> assess suicide or safeguarding risks and support people whose recovery is uncertain. These responsibilities can make the work meaningful, but they may also use considerable emotional energy. When emotional demands are combined with large caseloads, limited recovery time and service targets, the risk of exhaustion may increase.</w:t>
      </w:r>
    </w:p>
    <w:p w14:paraId="030DC451"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lastRenderedPageBreak/>
        <w:t>Emotional exhaustion is one of the main dimensions of Maslach’s model of burnout. It describes feeling emotionally and mentally drained by work. Continued exhaustion may be followed by depersonalisation, where practitioners become more distant from service users, and reduced personal accomplishment, where they feel less effective (Maslach, Schaufeli and Leiter, 2001).</w:t>
      </w:r>
    </w:p>
    <w:p w14:paraId="4230FE50" w14:textId="77777777" w:rsidR="00AD25F4" w:rsidRPr="00B51FFB" w:rsidRDefault="00AD25F4" w:rsidP="00AD25F4">
      <w:pPr>
        <w:pStyle w:val="Heading3"/>
        <w:rPr>
          <w:rFonts w:ascii="Arial" w:hAnsi="Arial" w:cs="Arial"/>
          <w:b/>
          <w:bCs/>
          <w:color w:val="auto"/>
          <w:sz w:val="22"/>
          <w:szCs w:val="22"/>
        </w:rPr>
      </w:pPr>
      <w:bookmarkStart w:id="19" w:name="_Toc235862272"/>
      <w:r w:rsidRPr="00B51FFB">
        <w:rPr>
          <w:rFonts w:ascii="Arial" w:hAnsi="Arial" w:cs="Arial"/>
          <w:b/>
          <w:bCs/>
          <w:color w:val="auto"/>
          <w:sz w:val="22"/>
          <w:szCs w:val="22"/>
        </w:rPr>
        <w:t>b) Evidence from the Selected Studies</w:t>
      </w:r>
      <w:bookmarkEnd w:id="19"/>
    </w:p>
    <w:p w14:paraId="6C992751" w14:textId="77777777" w:rsidR="00AD25F4" w:rsidRPr="00FF5BD7" w:rsidRDefault="00AD25F4" w:rsidP="00AD25F4">
      <w:pPr>
        <w:jc w:val="left"/>
        <w:rPr>
          <w:rFonts w:ascii="Arial" w:eastAsiaTheme="majorEastAsia" w:hAnsi="Arial" w:cs="Arial"/>
        </w:rPr>
      </w:pPr>
      <w:r w:rsidRPr="00FF5BD7">
        <w:rPr>
          <w:rFonts w:ascii="Arial" w:eastAsiaTheme="majorEastAsia" w:hAnsi="Arial" w:cs="Arial"/>
        </w:rPr>
        <w:t>Pappa et al. (2021) examined emotional distress and burnout among 387 mental health workers in a large London NHS trust during the COVID-19 pandemic. They found that 52% reported moderate or severe emotional exhaustion, 19.5% reported moderate or severe depersonalisation, 55.5% recorded low or moderate personal accomplishment and 51.6% experienced sleep problems. Emotional strain therefore affected several areas of staff wellbeing.</w:t>
      </w:r>
    </w:p>
    <w:p w14:paraId="4A86409E" w14:textId="77777777" w:rsidR="00AD25F4" w:rsidRPr="00FF5BD7" w:rsidRDefault="00AD25F4" w:rsidP="00AD25F4">
      <w:pPr>
        <w:pStyle w:val="Heading2"/>
        <w:spacing w:before="40" w:after="0"/>
        <w:jc w:val="left"/>
        <w:rPr>
          <w:rFonts w:ascii="Arial" w:hAnsi="Arial" w:cs="Arial"/>
          <w:color w:val="auto"/>
          <w:sz w:val="22"/>
          <w:szCs w:val="22"/>
        </w:rPr>
      </w:pPr>
      <w:bookmarkStart w:id="20" w:name="_Toc235862273"/>
      <w:r w:rsidRPr="00FF5BD7">
        <w:rPr>
          <w:rFonts w:ascii="Arial" w:hAnsi="Arial" w:cs="Arial"/>
          <w:color w:val="auto"/>
          <w:sz w:val="22"/>
          <w:szCs w:val="22"/>
        </w:rPr>
        <w:lastRenderedPageBreak/>
        <w:t>The pandemic created unusual pressures, including infection concerns, rapid service changes and uncertainty about the effects on service users, colleagues and families. Perceived stress, insomnia, feeling pressured at work and concerns about transmitting infection were associated with emotional exhaustion (Pappa et al., 2021). However, 70% of participants also reported high resilience, showing that resilience and exhaustion can exist together.</w:t>
      </w:r>
      <w:bookmarkEnd w:id="20"/>
    </w:p>
    <w:p w14:paraId="1B69C059" w14:textId="77777777" w:rsidR="00AD25F4" w:rsidRPr="00FF5BD7" w:rsidRDefault="00AD25F4" w:rsidP="00AD25F4">
      <w:pPr>
        <w:pStyle w:val="Heading2"/>
        <w:spacing w:before="40" w:after="0"/>
        <w:jc w:val="left"/>
        <w:rPr>
          <w:rFonts w:ascii="Arial" w:hAnsi="Arial" w:cs="Arial"/>
          <w:color w:val="auto"/>
          <w:sz w:val="22"/>
          <w:szCs w:val="22"/>
        </w:rPr>
      </w:pPr>
      <w:bookmarkStart w:id="21" w:name="_Toc235862274"/>
      <w:r w:rsidRPr="00FF5BD7">
        <w:rPr>
          <w:rFonts w:ascii="Arial" w:hAnsi="Arial" w:cs="Arial"/>
          <w:color w:val="auto"/>
          <w:sz w:val="22"/>
          <w:szCs w:val="22"/>
        </w:rPr>
        <w:t>The study used validated measures, but it was cross-sectional and limited to one urban NHS trust during an exceptional period. It identified associations but could not prove direct causation, and the findings may not represent normal working conditions.</w:t>
      </w:r>
      <w:bookmarkEnd w:id="21"/>
    </w:p>
    <w:p w14:paraId="4304CCBB" w14:textId="77777777" w:rsidR="00AD25F4" w:rsidRPr="00FF5BD7" w:rsidRDefault="00AD25F4" w:rsidP="00AD25F4">
      <w:pPr>
        <w:pStyle w:val="Heading2"/>
        <w:spacing w:before="40" w:after="0"/>
        <w:jc w:val="left"/>
        <w:rPr>
          <w:rFonts w:ascii="Arial" w:hAnsi="Arial" w:cs="Arial"/>
          <w:color w:val="auto"/>
          <w:sz w:val="22"/>
          <w:szCs w:val="22"/>
        </w:rPr>
      </w:pPr>
      <w:bookmarkStart w:id="22" w:name="_Toc235862275"/>
      <w:r w:rsidRPr="00FF5BD7">
        <w:rPr>
          <w:rFonts w:ascii="Arial" w:hAnsi="Arial" w:cs="Arial"/>
          <w:color w:val="auto"/>
          <w:sz w:val="22"/>
          <w:szCs w:val="22"/>
        </w:rPr>
        <w:t>Owen et al. (2021) reviewed stress and burnout among trainees working in Improving Access to Psychological Therapies, now known as NHS Talking Therapies. Their systematic review included eight studies, six of which were unpublished doctoral theses. The evidence suggested that trainees may experience stress and burnout at levels higher than qualified practitioners and towards the higher end of those found among healthcare workers generally. However, the authors were cautious because the evidence base was small and mixed in quality.</w:t>
      </w:r>
      <w:bookmarkEnd w:id="22"/>
    </w:p>
    <w:p w14:paraId="2A2EF6D4" w14:textId="77777777" w:rsidR="00AD25F4" w:rsidRPr="00FF5BD7" w:rsidRDefault="00AD25F4" w:rsidP="00AD25F4">
      <w:pPr>
        <w:pStyle w:val="Heading2"/>
        <w:spacing w:before="40" w:after="0"/>
        <w:jc w:val="left"/>
        <w:rPr>
          <w:rFonts w:ascii="Arial" w:hAnsi="Arial" w:cs="Arial"/>
          <w:color w:val="auto"/>
          <w:sz w:val="22"/>
          <w:szCs w:val="22"/>
        </w:rPr>
      </w:pPr>
      <w:bookmarkStart w:id="23" w:name="_Toc235862276"/>
      <w:r w:rsidRPr="00FF5BD7">
        <w:rPr>
          <w:rFonts w:ascii="Arial" w:hAnsi="Arial" w:cs="Arial"/>
          <w:color w:val="auto"/>
          <w:sz w:val="22"/>
          <w:szCs w:val="22"/>
        </w:rPr>
        <w:t>A major pressure was the trainees’ dual role as practitioners and university students. They had to manage clinical work, academic assignments, assessments and professional development at the same time. This created overlapping emotional and performance demands. Occupational stress may therefore begin during training rather than only after several years in practice.</w:t>
      </w:r>
      <w:bookmarkEnd w:id="23"/>
    </w:p>
    <w:p w14:paraId="66BFF523" w14:textId="77777777" w:rsidR="00AD25F4" w:rsidRPr="00FF5BD7" w:rsidRDefault="00AD25F4" w:rsidP="00AD25F4">
      <w:pPr>
        <w:pStyle w:val="Heading2"/>
        <w:spacing w:before="40" w:after="0"/>
        <w:jc w:val="left"/>
        <w:rPr>
          <w:rFonts w:ascii="Arial" w:hAnsi="Arial" w:cs="Arial"/>
          <w:color w:val="auto"/>
          <w:sz w:val="22"/>
          <w:szCs w:val="22"/>
        </w:rPr>
      </w:pPr>
      <w:bookmarkStart w:id="24" w:name="_Toc235862277"/>
      <w:r w:rsidRPr="00FF5BD7">
        <w:rPr>
          <w:rFonts w:ascii="Arial" w:hAnsi="Arial" w:cs="Arial"/>
          <w:color w:val="auto"/>
          <w:sz w:val="22"/>
          <w:szCs w:val="22"/>
        </w:rPr>
        <w:t>Mareva et al. (2024) examined burnout, wellbeing and job satisfaction among 97 clinical and non-clinical employees in one Child and Adolescent Mental Health Service in England. They found that 32% reported moderate or high work-related burnout and 39% reported moderate or high personal burnout. In comparison, only 13% reported moderate or high client-related burnout. Around one quarter also recorded wellbeing scores suggesting possible mild or clinical depressive symptoms.</w:t>
      </w:r>
      <w:bookmarkEnd w:id="24"/>
    </w:p>
    <w:p w14:paraId="6D2C1C8C" w14:textId="77777777" w:rsidR="00AD25F4" w:rsidRPr="00FF5BD7" w:rsidRDefault="00AD25F4" w:rsidP="00AD25F4">
      <w:pPr>
        <w:jc w:val="left"/>
        <w:rPr>
          <w:rFonts w:ascii="Arial" w:eastAsiaTheme="majorEastAsia" w:hAnsi="Arial" w:cs="Arial"/>
        </w:rPr>
      </w:pPr>
    </w:p>
    <w:p w14:paraId="50502916" w14:textId="77777777" w:rsidR="00AD25F4" w:rsidRPr="00FF5BD7" w:rsidRDefault="00AD25F4" w:rsidP="00AD25F4">
      <w:pPr>
        <w:pStyle w:val="Heading2"/>
        <w:spacing w:before="40" w:after="0"/>
        <w:jc w:val="left"/>
        <w:rPr>
          <w:rFonts w:ascii="Arial" w:hAnsi="Arial" w:cs="Arial"/>
          <w:color w:val="auto"/>
          <w:sz w:val="22"/>
          <w:szCs w:val="22"/>
        </w:rPr>
      </w:pPr>
      <w:bookmarkStart w:id="25" w:name="_Toc235862278"/>
      <w:r w:rsidRPr="00FF5BD7">
        <w:rPr>
          <w:rFonts w:ascii="Arial" w:hAnsi="Arial" w:cs="Arial"/>
          <w:color w:val="auto"/>
          <w:sz w:val="22"/>
          <w:szCs w:val="22"/>
        </w:rPr>
        <w:lastRenderedPageBreak/>
        <w:t>The lower level of client-related burnout suggests that direct work with children, young people and families may not have been the main source of pressure. Work-related and personal burnout were more common, indicating that service organisation, workload and general emotional depletion may have had a greater influence. Higher work-related and client-related burnout were also associated with lower job satisfaction (Mareva et al., 2024). However, the small, self-selecting sample from one service limits generalisation.</w:t>
      </w:r>
      <w:bookmarkEnd w:id="25"/>
    </w:p>
    <w:p w14:paraId="2E44FF25" w14:textId="77777777" w:rsidR="00AD25F4" w:rsidRPr="00B51FFB" w:rsidRDefault="00AD25F4" w:rsidP="00AD25F4">
      <w:pPr>
        <w:pStyle w:val="Heading2"/>
        <w:rPr>
          <w:rFonts w:ascii="Arial" w:hAnsi="Arial" w:cs="Arial"/>
          <w:b/>
          <w:bCs/>
          <w:color w:val="auto"/>
          <w:sz w:val="22"/>
          <w:szCs w:val="22"/>
        </w:rPr>
      </w:pPr>
      <w:bookmarkStart w:id="26" w:name="_Toc235862279"/>
      <w:r w:rsidRPr="00B51FFB">
        <w:rPr>
          <w:rFonts w:ascii="Arial" w:hAnsi="Arial" w:cs="Arial"/>
          <w:b/>
          <w:bCs/>
          <w:color w:val="auto"/>
          <w:sz w:val="22"/>
          <w:szCs w:val="22"/>
        </w:rPr>
        <w:t>c) Theoretical, Policy and Legal Context</w:t>
      </w:r>
      <w:bookmarkEnd w:id="26"/>
    </w:p>
    <w:p w14:paraId="27FCF33A" w14:textId="77777777" w:rsidR="00AD25F4" w:rsidRPr="00FF5BD7" w:rsidRDefault="00AD25F4" w:rsidP="00AD25F4">
      <w:pPr>
        <w:pStyle w:val="Heading2"/>
        <w:spacing w:before="40" w:after="0"/>
        <w:jc w:val="left"/>
        <w:rPr>
          <w:rFonts w:ascii="Arial" w:hAnsi="Arial" w:cs="Arial"/>
          <w:color w:val="auto"/>
          <w:sz w:val="22"/>
          <w:szCs w:val="22"/>
        </w:rPr>
      </w:pPr>
      <w:bookmarkStart w:id="27" w:name="_Toc235862280"/>
      <w:r w:rsidRPr="00FF5BD7">
        <w:rPr>
          <w:rFonts w:ascii="Arial" w:hAnsi="Arial" w:cs="Arial"/>
          <w:color w:val="auto"/>
          <w:sz w:val="22"/>
          <w:szCs w:val="22"/>
        </w:rPr>
        <w:t>The Job Demands–Resources model helps explain these findings. Emotional exposure, risk management, academic requirements and responsibility for complex cases are job demands because they require continued psychological effort. Supervision, supportive colleagues, manageable caseloads and time for reflection are resources that may help practitioners manage those demands (Demerouti et al., 2001). Burnout becomes more likely when demands remain high while resources are limited.</w:t>
      </w:r>
      <w:bookmarkEnd w:id="27"/>
    </w:p>
    <w:p w14:paraId="2E0BC82C" w14:textId="77777777" w:rsidR="00AD25F4" w:rsidRPr="00FF5BD7" w:rsidRDefault="00AD25F4" w:rsidP="00AD25F4">
      <w:pPr>
        <w:pStyle w:val="Heading2"/>
        <w:spacing w:before="40" w:after="0"/>
        <w:jc w:val="left"/>
        <w:rPr>
          <w:rFonts w:ascii="Arial" w:hAnsi="Arial" w:cs="Arial"/>
          <w:color w:val="auto"/>
          <w:sz w:val="22"/>
          <w:szCs w:val="22"/>
        </w:rPr>
      </w:pPr>
      <w:bookmarkStart w:id="28" w:name="_Toc235862281"/>
      <w:r w:rsidRPr="00FF5BD7">
        <w:rPr>
          <w:rFonts w:ascii="Arial" w:hAnsi="Arial" w:cs="Arial"/>
          <w:color w:val="auto"/>
          <w:sz w:val="22"/>
          <w:szCs w:val="22"/>
        </w:rPr>
        <w:t>Conservation of Resources theory also explains the gradual effect of emotional work. Practitioners use resources such as energy, concentration, confidence and emotional control when supporting service users. When these are repeatedly used without enough recovery, supervision or recognition, continuing resource loss may occur (Hobfoll, 1989). Pappa et al. (2021) show this through the connection between emotional exhaustion, stress and sleep problems, while Owen et al. (2021) show how competing clinical and academic responsibilities reduce recovery time.</w:t>
      </w:r>
      <w:bookmarkEnd w:id="28"/>
    </w:p>
    <w:p w14:paraId="150AFA22" w14:textId="77777777" w:rsidR="00AD25F4" w:rsidRPr="00FF5BD7" w:rsidRDefault="00AD25F4" w:rsidP="00AD25F4">
      <w:pPr>
        <w:pStyle w:val="Heading2"/>
        <w:spacing w:before="40" w:after="0"/>
        <w:rPr>
          <w:rFonts w:ascii="Arial" w:hAnsi="Arial" w:cs="Arial"/>
          <w:color w:val="auto"/>
          <w:sz w:val="22"/>
          <w:szCs w:val="22"/>
        </w:rPr>
      </w:pPr>
      <w:bookmarkStart w:id="29" w:name="_Toc235862282"/>
      <w:r w:rsidRPr="00FF5BD7">
        <w:rPr>
          <w:rFonts w:ascii="Arial" w:hAnsi="Arial" w:cs="Arial"/>
          <w:color w:val="auto"/>
          <w:sz w:val="22"/>
          <w:szCs w:val="22"/>
        </w:rPr>
        <w:t>Work-related stress is also an organisational and legal issue. The Health and Safety Executive identify demands, control, support, relationships, role and organisational change as areas that may contribute to stress when poorly managed (Health and Safety Executive, 2025). The Management of Health and Safety at Work Regulations 1999 require employers to assess risks to employees’ health and safety. Psychological risks should therefore be considered alongside physical hazards.</w:t>
      </w:r>
      <w:bookmarkEnd w:id="29"/>
    </w:p>
    <w:p w14:paraId="612A9C07" w14:textId="77777777" w:rsidR="00AD25F4" w:rsidRPr="00FF5BD7" w:rsidRDefault="00AD25F4" w:rsidP="00AD25F4">
      <w:pPr>
        <w:pStyle w:val="Heading2"/>
        <w:spacing w:before="40" w:after="0"/>
        <w:jc w:val="left"/>
        <w:rPr>
          <w:rFonts w:ascii="Arial" w:hAnsi="Arial" w:cs="Arial"/>
          <w:color w:val="auto"/>
          <w:sz w:val="22"/>
          <w:szCs w:val="22"/>
        </w:rPr>
      </w:pPr>
      <w:bookmarkStart w:id="30" w:name="_Toc235862283"/>
      <w:r w:rsidRPr="00FF5BD7">
        <w:rPr>
          <w:rFonts w:ascii="Arial" w:hAnsi="Arial" w:cs="Arial"/>
          <w:color w:val="auto"/>
          <w:sz w:val="22"/>
          <w:szCs w:val="22"/>
        </w:rPr>
        <w:t>The NHS People Promise states that NHS staff should be safe, healthy and supported when unwell (NHS England, 2020). However, this commitment needs adequate staffing, protected supervision and practical changes to working conditions.</w:t>
      </w:r>
      <w:bookmarkEnd w:id="30"/>
    </w:p>
    <w:p w14:paraId="3AB0A2CB" w14:textId="77777777" w:rsidR="00AD25F4" w:rsidRPr="000966A6" w:rsidRDefault="00AD25F4" w:rsidP="00AD25F4">
      <w:pPr>
        <w:pStyle w:val="Heading2"/>
        <w:rPr>
          <w:rFonts w:ascii="Arial" w:hAnsi="Arial" w:cs="Arial"/>
          <w:b/>
          <w:bCs/>
          <w:color w:val="auto"/>
          <w:sz w:val="22"/>
          <w:szCs w:val="22"/>
        </w:rPr>
      </w:pPr>
      <w:bookmarkStart w:id="31" w:name="_Toc235862284"/>
      <w:r w:rsidRPr="000966A6">
        <w:rPr>
          <w:rFonts w:ascii="Arial" w:hAnsi="Arial" w:cs="Arial"/>
          <w:b/>
          <w:bCs/>
          <w:color w:val="auto"/>
          <w:sz w:val="22"/>
          <w:szCs w:val="22"/>
        </w:rPr>
        <w:t>d) Implications and Connections to Other Themes</w:t>
      </w:r>
      <w:bookmarkEnd w:id="31"/>
    </w:p>
    <w:p w14:paraId="25620EF4" w14:textId="77777777" w:rsidR="00AD25F4" w:rsidRPr="00FF5BD7" w:rsidRDefault="00AD25F4" w:rsidP="00AD25F4">
      <w:pPr>
        <w:pStyle w:val="Heading2"/>
        <w:spacing w:before="40" w:after="0"/>
        <w:jc w:val="left"/>
        <w:rPr>
          <w:rFonts w:ascii="Arial" w:hAnsi="Arial" w:cs="Arial"/>
          <w:color w:val="auto"/>
          <w:sz w:val="22"/>
          <w:szCs w:val="22"/>
        </w:rPr>
      </w:pPr>
      <w:bookmarkStart w:id="32" w:name="_Toc235862285"/>
      <w:r w:rsidRPr="00FF5BD7">
        <w:rPr>
          <w:rFonts w:ascii="Arial" w:hAnsi="Arial" w:cs="Arial"/>
          <w:color w:val="auto"/>
          <w:sz w:val="22"/>
          <w:szCs w:val="22"/>
        </w:rPr>
        <w:t>Emotional demands cannot be removed completely from mental health practice, and relationships with service users can provide purpose and professional satisfaction. The aim should be to ensure that practitioners have enough support to process difficult experiences safely. Regular supervision, reflective practice, manageable caseloads, rest periods and occupational health support may reduce emotional exhaustion.</w:t>
      </w:r>
      <w:bookmarkEnd w:id="32"/>
    </w:p>
    <w:p w14:paraId="3DE46BE0" w14:textId="77777777" w:rsidR="00AD25F4" w:rsidRPr="00FF5BD7" w:rsidRDefault="00AD25F4" w:rsidP="00AD25F4">
      <w:pPr>
        <w:pStyle w:val="Heading2"/>
        <w:spacing w:before="40" w:after="0"/>
        <w:jc w:val="left"/>
        <w:rPr>
          <w:rFonts w:ascii="Arial" w:hAnsi="Arial" w:cs="Arial"/>
          <w:color w:val="auto"/>
          <w:sz w:val="22"/>
          <w:szCs w:val="22"/>
        </w:rPr>
      </w:pPr>
      <w:bookmarkStart w:id="33" w:name="_Toc235862286"/>
      <w:r w:rsidRPr="00FF5BD7">
        <w:rPr>
          <w:rFonts w:ascii="Arial" w:hAnsi="Arial" w:cs="Arial"/>
          <w:color w:val="auto"/>
          <w:sz w:val="22"/>
          <w:szCs w:val="22"/>
        </w:rPr>
        <w:lastRenderedPageBreak/>
        <w:t>There is also a risk that resilience programmes place too much responsibility on individuals. Pappa et al. (2021) found high resilience alongside substantial emotional exhaustion, showing that personal coping does not remove organisational pressure. Resilience support should therefore be combined with action on workload, staffing, role expectations and supervision.</w:t>
      </w:r>
      <w:bookmarkEnd w:id="33"/>
    </w:p>
    <w:p w14:paraId="7F0B43EB" w14:textId="77777777" w:rsidR="00AD25F4" w:rsidRPr="00FF5BD7" w:rsidRDefault="00AD25F4" w:rsidP="00AD25F4">
      <w:pPr>
        <w:pStyle w:val="Heading2"/>
        <w:spacing w:before="40" w:after="0"/>
        <w:jc w:val="left"/>
        <w:rPr>
          <w:rFonts w:ascii="Arial" w:hAnsi="Arial" w:cs="Arial"/>
          <w:color w:val="auto"/>
          <w:sz w:val="22"/>
          <w:szCs w:val="22"/>
        </w:rPr>
      </w:pPr>
      <w:bookmarkStart w:id="34" w:name="_Toc235862287"/>
      <w:r w:rsidRPr="00FF5BD7">
        <w:rPr>
          <w:rFonts w:ascii="Arial" w:hAnsi="Arial" w:cs="Arial"/>
          <w:color w:val="auto"/>
          <w:sz w:val="22"/>
          <w:szCs w:val="22"/>
        </w:rPr>
        <w:t>This theme overlaps with the other findings. Workload and staffing shortages can increase emotional pressure by reducing recovery time and increasing responsibility for complex cases. Organisational support may protect staff, while continued stress may reduce job satisfaction and contribute to sickness absence or decisions to leave.</w:t>
      </w:r>
      <w:bookmarkEnd w:id="34"/>
    </w:p>
    <w:p w14:paraId="6E397C83" w14:textId="77777777" w:rsidR="00AD25F4" w:rsidRPr="00FF5BD7" w:rsidRDefault="00AD25F4" w:rsidP="00AD25F4">
      <w:pPr>
        <w:pStyle w:val="Heading2"/>
        <w:spacing w:before="40" w:after="0"/>
        <w:jc w:val="left"/>
        <w:rPr>
          <w:rFonts w:ascii="Arial" w:hAnsi="Arial" w:cs="Arial"/>
          <w:i/>
          <w:iCs/>
          <w:color w:val="auto"/>
        </w:rPr>
      </w:pPr>
      <w:bookmarkStart w:id="35" w:name="_Toc235862288"/>
      <w:r w:rsidRPr="00FF5BD7">
        <w:rPr>
          <w:rFonts w:ascii="Arial" w:hAnsi="Arial" w:cs="Arial"/>
          <w:color w:val="auto"/>
          <w:sz w:val="22"/>
          <w:szCs w:val="22"/>
        </w:rPr>
        <w:t>Overall, Pappa et al. (2021), Owen et al. (2021) and Mareva et al. (2024) show that emotional demands and occupational stress affect practitioners across different settings and career stages. The studies agree that burnout is influenced by more than direct contact with service users. Pandemic uncertainty, combined trainee roles, work organisation and limited recovery opportunities can all contribute to emotional exhaustion. The evidence therefore supports organisational prevention alongside individual wellbeing support.</w:t>
      </w:r>
      <w:bookmarkEnd w:id="35"/>
    </w:p>
    <w:p w14:paraId="2E6AAE65" w14:textId="77777777" w:rsidR="00AD25F4" w:rsidRPr="005901BA" w:rsidRDefault="00AD25F4" w:rsidP="00AD25F4">
      <w:pPr>
        <w:pStyle w:val="Heading2"/>
        <w:rPr>
          <w:rFonts w:ascii="Arial" w:hAnsi="Arial" w:cs="Arial"/>
          <w:b/>
          <w:bCs/>
          <w:color w:val="auto"/>
          <w:sz w:val="28"/>
          <w:szCs w:val="28"/>
        </w:rPr>
      </w:pPr>
      <w:bookmarkStart w:id="36" w:name="_Toc235862289"/>
      <w:r w:rsidRPr="005901BA">
        <w:rPr>
          <w:rFonts w:ascii="Arial" w:hAnsi="Arial" w:cs="Arial"/>
          <w:b/>
          <w:bCs/>
          <w:color w:val="auto"/>
          <w:sz w:val="28"/>
          <w:szCs w:val="28"/>
        </w:rPr>
        <w:t>4.6 Chapter Conclusion</w:t>
      </w:r>
      <w:bookmarkEnd w:id="36"/>
    </w:p>
    <w:p w14:paraId="4DB11575" w14:textId="77777777" w:rsidR="00AD25F4" w:rsidRPr="00FF5BD7" w:rsidRDefault="00AD25F4" w:rsidP="00AD25F4">
      <w:pPr>
        <w:pStyle w:val="Heading1"/>
        <w:widowControl w:val="0"/>
        <w:autoSpaceDE w:val="0"/>
        <w:autoSpaceDN w:val="0"/>
        <w:spacing w:before="0" w:after="0"/>
        <w:jc w:val="left"/>
        <w:rPr>
          <w:rFonts w:ascii="Arial" w:hAnsi="Arial" w:cs="Arial"/>
          <w:b/>
          <w:bCs/>
          <w:color w:val="auto"/>
          <w:sz w:val="24"/>
          <w:szCs w:val="26"/>
        </w:rPr>
      </w:pPr>
      <w:bookmarkStart w:id="37" w:name="_Toc235862290"/>
      <w:r w:rsidRPr="00FF5BD7">
        <w:rPr>
          <w:rFonts w:ascii="Arial" w:hAnsi="Arial" w:cs="Arial"/>
          <w:b/>
          <w:bCs/>
          <w:color w:val="auto"/>
          <w:sz w:val="22"/>
          <w:szCs w:val="22"/>
        </w:rPr>
        <w:t>This chapter presented and discussed the main findings from the ten selected studies. Thematic analysis was used to organise the evidence into three main themes: burnout prevalence and professional variation; workload, staffing and service pressures; and emotional demands and occupational stress. The findings showed that burnout is a significant concern among UK mental health practitioners, although reported rates differed between professional groups, settings and measurement tools.</w:t>
      </w:r>
      <w:bookmarkEnd w:id="37"/>
    </w:p>
    <w:p w14:paraId="1D910F42" w14:textId="77777777" w:rsidR="00AD25F4" w:rsidRPr="00FF5BD7" w:rsidRDefault="00AD25F4" w:rsidP="00AD25F4">
      <w:pPr>
        <w:pStyle w:val="Heading1"/>
        <w:widowControl w:val="0"/>
        <w:autoSpaceDE w:val="0"/>
        <w:autoSpaceDN w:val="0"/>
        <w:spacing w:before="0" w:after="0"/>
        <w:jc w:val="left"/>
        <w:rPr>
          <w:rFonts w:ascii="Arial" w:hAnsi="Arial" w:cs="Arial"/>
          <w:b/>
          <w:bCs/>
          <w:color w:val="auto"/>
          <w:sz w:val="22"/>
          <w:szCs w:val="22"/>
        </w:rPr>
      </w:pPr>
      <w:bookmarkStart w:id="38" w:name="_Toc235862291"/>
      <w:r w:rsidRPr="00FF5BD7">
        <w:rPr>
          <w:rFonts w:ascii="Arial" w:hAnsi="Arial" w:cs="Arial"/>
          <w:b/>
          <w:bCs/>
          <w:color w:val="auto"/>
          <w:sz w:val="22"/>
          <w:szCs w:val="22"/>
        </w:rPr>
        <w:t>The evidence suggested that emotional exhaustion was one of the most common features of burnout. Differences between professions appeared to be influenced by working conditions, including caseload size, overtime, staff shortages, supervision and available organisational support. Workload and service pressures were consistently associated with greater burnout, while emotional demands were increased by complex clinical responsibilities, risk management and limited opportunities for recovery. The findings also showed that resilience may support practitioners but cannot replace organisational action to improve working conditions.</w:t>
      </w:r>
      <w:bookmarkEnd w:id="38"/>
    </w:p>
    <w:p w14:paraId="61032413" w14:textId="77777777" w:rsidR="00AD25F4" w:rsidRPr="00FF5BD7" w:rsidRDefault="00AD25F4" w:rsidP="00AD25F4">
      <w:pPr>
        <w:pStyle w:val="Heading1"/>
        <w:widowControl w:val="0"/>
        <w:autoSpaceDE w:val="0"/>
        <w:autoSpaceDN w:val="0"/>
        <w:spacing w:before="0" w:after="0"/>
        <w:jc w:val="left"/>
        <w:rPr>
          <w:rFonts w:ascii="Arial" w:hAnsi="Arial" w:cs="Arial"/>
          <w:b/>
          <w:bCs/>
          <w:color w:val="auto"/>
          <w:sz w:val="22"/>
          <w:szCs w:val="22"/>
        </w:rPr>
      </w:pPr>
      <w:bookmarkStart w:id="39" w:name="_Toc235862292"/>
      <w:r w:rsidRPr="00FF5BD7">
        <w:rPr>
          <w:rFonts w:ascii="Arial" w:hAnsi="Arial" w:cs="Arial"/>
          <w:b/>
          <w:bCs/>
          <w:color w:val="auto"/>
          <w:sz w:val="22"/>
          <w:szCs w:val="22"/>
        </w:rPr>
        <w:t>Overall, the chapter demonstrated that burnout is not only an individual wellbeing issue. It is strongly connected to the way mental health services are staffed, organised and supported. The following chapter will draw together the main conclusions from the literature, evaluate how the findings answer the research aim and objectives, and present recommendations for reducing burnout and supporting workforce wellbeing.</w:t>
      </w:r>
      <w:bookmarkEnd w:id="39"/>
    </w:p>
    <w:p w14:paraId="508BE995" w14:textId="77777777" w:rsidR="00AD25F4" w:rsidRDefault="00AD25F4" w:rsidP="00AD25F4">
      <w:pPr>
        <w:spacing w:line="259" w:lineRule="auto"/>
        <w:jc w:val="left"/>
        <w:rPr>
          <w:rFonts w:ascii="Arial" w:eastAsia="Calibri Light" w:hAnsi="Arial" w:cs="Arial"/>
          <w:b/>
          <w:kern w:val="0"/>
          <w:sz w:val="32"/>
          <w:szCs w:val="32"/>
          <w:lang w:eastAsia="en-GB" w:bidi="en-GB"/>
          <w14:ligatures w14:val="none"/>
        </w:rPr>
      </w:pPr>
      <w:bookmarkStart w:id="40" w:name="_Toc235862293"/>
      <w:r>
        <w:rPr>
          <w:rFonts w:cs="Arial"/>
        </w:rPr>
        <w:lastRenderedPageBreak/>
        <w:br w:type="page"/>
      </w:r>
    </w:p>
    <w:p w14:paraId="228CDC90" w14:textId="77777777" w:rsidR="00AD25F4" w:rsidRPr="00FF5BD7" w:rsidRDefault="00AD25F4" w:rsidP="00AD25F4">
      <w:pPr>
        <w:pStyle w:val="Heading1"/>
        <w:rPr>
          <w:rFonts w:ascii="Arial" w:hAnsi="Arial" w:cs="Arial"/>
          <w:color w:val="auto"/>
          <w:lang w:bidi="en-GB"/>
        </w:rPr>
      </w:pPr>
      <w:r w:rsidRPr="00FF5BD7">
        <w:rPr>
          <w:rFonts w:ascii="Arial" w:hAnsi="Arial" w:cs="Arial"/>
          <w:color w:val="auto"/>
          <w:lang w:bidi="en-GB"/>
        </w:rPr>
        <w:lastRenderedPageBreak/>
        <w:t>CHAPTER 5 – Conclusion and Recommendations</w:t>
      </w:r>
      <w:bookmarkEnd w:id="40"/>
    </w:p>
    <w:p w14:paraId="10F63537" w14:textId="77777777" w:rsidR="00AD25F4" w:rsidRPr="005901BA" w:rsidRDefault="00AD25F4" w:rsidP="00AD25F4">
      <w:pPr>
        <w:pStyle w:val="Heading2"/>
        <w:rPr>
          <w:rFonts w:ascii="Arial" w:hAnsi="Arial" w:cs="Arial"/>
          <w:b/>
          <w:bCs/>
          <w:color w:val="auto"/>
          <w:sz w:val="28"/>
          <w:szCs w:val="28"/>
          <w:lang w:bidi="en-GB"/>
        </w:rPr>
      </w:pPr>
      <w:bookmarkStart w:id="41" w:name="_Toc235862294"/>
      <w:r w:rsidRPr="005901BA">
        <w:rPr>
          <w:rFonts w:ascii="Arial" w:hAnsi="Arial" w:cs="Arial"/>
          <w:b/>
          <w:bCs/>
          <w:color w:val="auto"/>
          <w:sz w:val="28"/>
          <w:szCs w:val="28"/>
          <w:lang w:bidi="en-GB"/>
        </w:rPr>
        <w:t>5.1 Overall Conclusion</w:t>
      </w:r>
      <w:bookmarkEnd w:id="41"/>
    </w:p>
    <w:p w14:paraId="50643B99" w14:textId="77777777" w:rsidR="00AD25F4" w:rsidRPr="00FF5BD7" w:rsidRDefault="00AD25F4" w:rsidP="00AD25F4">
      <w:pPr>
        <w:pStyle w:val="Heading2"/>
        <w:spacing w:before="40" w:after="0"/>
        <w:jc w:val="left"/>
        <w:rPr>
          <w:rFonts w:ascii="Arial" w:eastAsia="Calibri Light" w:hAnsi="Arial" w:cs="Arial"/>
          <w:bCs/>
          <w:color w:val="auto"/>
          <w:kern w:val="0"/>
          <w:sz w:val="22"/>
          <w:szCs w:val="22"/>
          <w:lang w:eastAsia="en-GB" w:bidi="en-GB"/>
          <w14:ligatures w14:val="none"/>
        </w:rPr>
      </w:pPr>
      <w:bookmarkStart w:id="42" w:name="_Toc235862295"/>
      <w:r w:rsidRPr="00FF5BD7">
        <w:rPr>
          <w:rFonts w:ascii="Arial" w:eastAsia="Calibri Light" w:hAnsi="Arial" w:cs="Arial"/>
          <w:bCs/>
          <w:color w:val="auto"/>
          <w:kern w:val="0"/>
          <w:sz w:val="22"/>
          <w:szCs w:val="22"/>
          <w:lang w:eastAsia="en-GB" w:bidi="en-GB"/>
          <w14:ligatures w14:val="none"/>
        </w:rPr>
        <w:t>This dissertation examined burnout among mental health practitioners working in the UK health and social care sector. Chapter 1 introduced the topic, research aim and objectives, while Chapter 2 reviewed burnout definitions, theoretical models and the wider organisational and policy context. Chapter 3 explained the secondary research method, including the search strategy, study selection, quality assessment and thematic analysis. Chapter 4 presented and discussed findings from the ten selected studies.</w:t>
      </w:r>
      <w:bookmarkEnd w:id="42"/>
    </w:p>
    <w:p w14:paraId="304F3466" w14:textId="77777777" w:rsidR="00AD25F4" w:rsidRPr="00FF5BD7" w:rsidRDefault="00AD25F4" w:rsidP="00AD25F4">
      <w:pPr>
        <w:pStyle w:val="Heading2"/>
        <w:spacing w:before="40" w:after="0"/>
        <w:jc w:val="left"/>
        <w:rPr>
          <w:rFonts w:ascii="Arial" w:eastAsia="Calibri Light" w:hAnsi="Arial" w:cs="Arial"/>
          <w:bCs/>
          <w:color w:val="auto"/>
          <w:kern w:val="0"/>
          <w:sz w:val="22"/>
          <w:szCs w:val="22"/>
          <w:lang w:eastAsia="en-GB" w:bidi="en-GB"/>
          <w14:ligatures w14:val="none"/>
        </w:rPr>
      </w:pPr>
      <w:bookmarkStart w:id="43" w:name="_Toc235862296"/>
      <w:r w:rsidRPr="00FF5BD7">
        <w:rPr>
          <w:rFonts w:ascii="Arial" w:eastAsia="Calibri Light" w:hAnsi="Arial" w:cs="Arial"/>
          <w:bCs/>
          <w:color w:val="auto"/>
          <w:kern w:val="0"/>
          <w:sz w:val="22"/>
          <w:szCs w:val="22"/>
          <w:lang w:eastAsia="en-GB" w:bidi="en-GB"/>
          <w14:ligatures w14:val="none"/>
        </w:rPr>
        <w:t>The research aims and objectives were addressed through the literature reviewed. Burnout was identified as a work-related condition involving emotional exhaustion, detachment and reduced professional effectiveness. The dissertation also examined burnout rates across different professional groups, although differences in measurement tools, samples and service settings made direct comparisons difficult. Workload, staffing shortages, service pressures and emotional demands were consistently linked with burnout. Organisational support, supervision and adequate resources appeared to reduce some of these pressures.</w:t>
      </w:r>
      <w:bookmarkEnd w:id="43"/>
    </w:p>
    <w:p w14:paraId="699A0265" w14:textId="77777777" w:rsidR="00AD25F4" w:rsidRPr="00FF5BD7" w:rsidRDefault="00AD25F4" w:rsidP="00AD25F4">
      <w:pPr>
        <w:pStyle w:val="Heading2"/>
        <w:jc w:val="left"/>
        <w:rPr>
          <w:rFonts w:ascii="Arial" w:eastAsia="Calibri Light" w:hAnsi="Arial" w:cs="Arial"/>
          <w:bCs/>
          <w:color w:val="auto"/>
          <w:kern w:val="0"/>
          <w:sz w:val="22"/>
          <w:szCs w:val="22"/>
          <w:lang w:eastAsia="en-GB" w:bidi="en-GB"/>
          <w14:ligatures w14:val="none"/>
        </w:rPr>
      </w:pPr>
      <w:bookmarkStart w:id="44" w:name="_Toc235862297"/>
      <w:r w:rsidRPr="00FF5BD7">
        <w:rPr>
          <w:rFonts w:ascii="Arial" w:eastAsia="Calibri Light" w:hAnsi="Arial" w:cs="Arial"/>
          <w:bCs/>
          <w:color w:val="auto"/>
          <w:kern w:val="0"/>
          <w:sz w:val="22"/>
          <w:szCs w:val="22"/>
          <w:lang w:eastAsia="en-GB" w:bidi="en-GB"/>
          <w14:ligatures w14:val="none"/>
        </w:rPr>
        <w:t>Overall, the findings show that burnout is not only an individual wellbeing issue but also an organisational and workforce concern. The research objectives were met, although the available evidence did not support one single burnout rate for all UK mental health practitioners.</w:t>
      </w:r>
      <w:bookmarkEnd w:id="44"/>
    </w:p>
    <w:p w14:paraId="545AD89F" w14:textId="77777777" w:rsidR="00AD25F4" w:rsidRPr="005901BA" w:rsidRDefault="00AD25F4" w:rsidP="00AD25F4">
      <w:pPr>
        <w:pStyle w:val="Heading2"/>
        <w:rPr>
          <w:rFonts w:ascii="Arial" w:hAnsi="Arial" w:cs="Arial"/>
          <w:b/>
          <w:bCs/>
          <w:color w:val="auto"/>
          <w:sz w:val="28"/>
          <w:szCs w:val="28"/>
          <w:lang w:bidi="en-GB"/>
        </w:rPr>
      </w:pPr>
      <w:bookmarkStart w:id="45" w:name="_Toc235862298"/>
      <w:r w:rsidRPr="005901BA">
        <w:rPr>
          <w:rFonts w:ascii="Arial" w:hAnsi="Arial" w:cs="Arial"/>
          <w:b/>
          <w:bCs/>
          <w:color w:val="auto"/>
          <w:sz w:val="28"/>
          <w:szCs w:val="28"/>
        </w:rPr>
        <w:t>5.2 Recommendations</w:t>
      </w:r>
      <w:bookmarkEnd w:id="45"/>
    </w:p>
    <w:p w14:paraId="3C35363C" w14:textId="77777777" w:rsidR="00AD25F4" w:rsidRPr="00FF5BD7" w:rsidRDefault="00AD25F4" w:rsidP="00AD25F4">
      <w:pPr>
        <w:jc w:val="left"/>
        <w:rPr>
          <w:rFonts w:ascii="Arial" w:hAnsi="Arial" w:cs="Arial"/>
        </w:rPr>
      </w:pPr>
      <w:r w:rsidRPr="00FF5BD7">
        <w:rPr>
          <w:rFonts w:ascii="Arial" w:hAnsi="Arial" w:cs="Arial"/>
        </w:rPr>
        <w:t>The recommendations below are based on the findings discussed in Chapter 4. They focus on changes that mental health services can make at organisational level, while recognising that resources, staffing and service demands may affect implementation.</w:t>
      </w:r>
    </w:p>
    <w:p w14:paraId="606E79E8" w14:textId="77777777" w:rsidR="00AD25F4" w:rsidRPr="000966A6" w:rsidRDefault="00AD25F4" w:rsidP="00AD25F4">
      <w:pPr>
        <w:pStyle w:val="Heading3"/>
        <w:rPr>
          <w:rFonts w:ascii="Arial" w:hAnsi="Arial" w:cs="Arial"/>
          <w:b/>
          <w:bCs/>
          <w:color w:val="auto"/>
          <w:sz w:val="22"/>
          <w:szCs w:val="22"/>
        </w:rPr>
      </w:pPr>
      <w:bookmarkStart w:id="46" w:name="_Toc235862299"/>
      <w:r w:rsidRPr="000966A6">
        <w:rPr>
          <w:rFonts w:ascii="Arial" w:hAnsi="Arial" w:cs="Arial"/>
          <w:b/>
          <w:bCs/>
          <w:color w:val="auto"/>
          <w:sz w:val="22"/>
          <w:szCs w:val="22"/>
        </w:rPr>
        <w:t>Recommendation 1: Introduce Regular Workload and Caseload Reviews</w:t>
      </w:r>
      <w:bookmarkEnd w:id="46"/>
    </w:p>
    <w:p w14:paraId="09479885" w14:textId="77777777" w:rsidR="00AD25F4" w:rsidRPr="00FF5BD7" w:rsidRDefault="00AD25F4" w:rsidP="00AD25F4">
      <w:pPr>
        <w:jc w:val="left"/>
        <w:rPr>
          <w:rFonts w:ascii="Arial" w:hAnsi="Arial" w:cs="Arial"/>
        </w:rPr>
      </w:pPr>
      <w:r w:rsidRPr="00FF5BD7">
        <w:rPr>
          <w:rFonts w:ascii="Arial" w:hAnsi="Arial" w:cs="Arial"/>
        </w:rPr>
        <w:t>Mental health services should introduce structured reviews of practitioner workload, including caseload size, case complexity, overtime, administrative duties and crisis work. A single caseload number may not show the true level of pressure because some cases require greater emotional and practical input than others. Reviews should therefore consider both the number and complexity of cases. Managers should use the findings to redistribute work, identify staffing gaps and protect time for record keeping, breaks and professional development.</w:t>
      </w:r>
    </w:p>
    <w:p w14:paraId="1AB2D4A0" w14:textId="77777777" w:rsidR="00AD25F4" w:rsidRPr="00FF5BD7" w:rsidRDefault="00AD25F4" w:rsidP="00AD25F4">
      <w:pPr>
        <w:jc w:val="left"/>
        <w:rPr>
          <w:rFonts w:ascii="Arial" w:hAnsi="Arial" w:cs="Arial"/>
        </w:rPr>
      </w:pPr>
      <w:r w:rsidRPr="00FF5BD7">
        <w:rPr>
          <w:rFonts w:ascii="Arial" w:hAnsi="Arial" w:cs="Arial"/>
        </w:rPr>
        <w:lastRenderedPageBreak/>
        <w:t xml:space="preserve">This recommendation is supported by the relationship between workload and burnout identified by Langton and Morley (2025), and the wider service pressures described by Sambrook </w:t>
      </w:r>
      <w:r w:rsidRPr="00FF5BD7">
        <w:rPr>
          <w:rFonts w:ascii="Arial" w:hAnsi="Arial" w:cs="Arial"/>
          <w:i/>
          <w:iCs/>
        </w:rPr>
        <w:t>et al.</w:t>
      </w:r>
      <w:r w:rsidRPr="00FF5BD7">
        <w:rPr>
          <w:rFonts w:ascii="Arial" w:hAnsi="Arial" w:cs="Arial"/>
        </w:rPr>
        <w:t xml:space="preserve"> (2025). It also reflects the Health and Safety Executive’s approach, which identifies demands, control and support as important areas when assessing work-related stress. Workload reviews should be completed with staff rather than imposed without consultation. </w:t>
      </w:r>
    </w:p>
    <w:p w14:paraId="5993BB57" w14:textId="77777777" w:rsidR="00AD25F4" w:rsidRPr="00FF5BD7" w:rsidRDefault="00AD25F4" w:rsidP="00AD25F4">
      <w:pPr>
        <w:jc w:val="left"/>
        <w:rPr>
          <w:rFonts w:ascii="Arial" w:hAnsi="Arial" w:cs="Arial"/>
        </w:rPr>
      </w:pPr>
      <w:r w:rsidRPr="00FF5BD7">
        <w:rPr>
          <w:rFonts w:ascii="Arial" w:hAnsi="Arial" w:cs="Arial"/>
        </w:rPr>
        <w:t xml:space="preserve">A major barrier is the shortage of staff available to take redistributed work. Managers may identify unsafe pressure but have limited authority or funding to recruit. Reviews may also become another administrative exercise without leading to change. This can be reduced by using a simple review tool, setting clear thresholds for action and reporting repeated concerns to senior management. Temporary measures could include reducing non-essential tasks, adjusting appointment targets and prioritising urgent work. Longer-term workforce planning should link recruitment with retention, because increasing staff numbers will have limited effect if existing practitioners continue to leave. This is consistent with the NHS Long Term Workforce Plan’s focus on training, retention and workforce reform (NHS England, 2023). </w:t>
      </w:r>
    </w:p>
    <w:p w14:paraId="1386E1CF" w14:textId="77777777" w:rsidR="00AD25F4" w:rsidRPr="000966A6" w:rsidRDefault="00AD25F4" w:rsidP="00AD25F4">
      <w:pPr>
        <w:pStyle w:val="Heading3"/>
        <w:rPr>
          <w:rFonts w:ascii="Arial" w:hAnsi="Arial" w:cs="Arial"/>
          <w:b/>
          <w:bCs/>
          <w:color w:val="auto"/>
          <w:sz w:val="22"/>
          <w:szCs w:val="22"/>
        </w:rPr>
      </w:pPr>
      <w:bookmarkStart w:id="47" w:name="_Toc235862300"/>
      <w:r w:rsidRPr="000966A6">
        <w:rPr>
          <w:rFonts w:ascii="Arial" w:hAnsi="Arial" w:cs="Arial"/>
          <w:b/>
          <w:bCs/>
          <w:color w:val="auto"/>
          <w:sz w:val="22"/>
          <w:szCs w:val="22"/>
        </w:rPr>
        <w:t>Recommendation 2: Protect Clinical Supervision and Reflective Support</w:t>
      </w:r>
      <w:bookmarkEnd w:id="47"/>
    </w:p>
    <w:p w14:paraId="38917693" w14:textId="77777777" w:rsidR="00AD25F4" w:rsidRPr="00FF5BD7" w:rsidRDefault="00AD25F4" w:rsidP="00AD25F4">
      <w:pPr>
        <w:jc w:val="left"/>
        <w:rPr>
          <w:rFonts w:ascii="Arial" w:hAnsi="Arial" w:cs="Arial"/>
        </w:rPr>
      </w:pPr>
      <w:r w:rsidRPr="00FF5BD7">
        <w:rPr>
          <w:rFonts w:ascii="Arial" w:hAnsi="Arial" w:cs="Arial"/>
        </w:rPr>
        <w:t>All mental health practitioners should receive regular, protected clinical supervision appropriate to their role and level of experience. Supervision should provide time to discuss clinical decisions, emotional responses, risk, workload and professional development. It should not be treated only as a performance-management meeting. Group reflection, peer support and access to occupational health or confidential psychological support could be offered alongside individual supervision.</w:t>
      </w:r>
    </w:p>
    <w:p w14:paraId="3F7EBDF8" w14:textId="77777777" w:rsidR="00AD25F4" w:rsidRPr="00FF5BD7" w:rsidRDefault="00AD25F4" w:rsidP="00AD25F4">
      <w:pPr>
        <w:jc w:val="left"/>
        <w:rPr>
          <w:rFonts w:ascii="Arial" w:hAnsi="Arial" w:cs="Arial"/>
        </w:rPr>
      </w:pPr>
      <w:r w:rsidRPr="00FF5BD7">
        <w:rPr>
          <w:rFonts w:ascii="Arial" w:hAnsi="Arial" w:cs="Arial"/>
        </w:rPr>
        <w:t xml:space="preserve">This recommendation is supported by Westwood </w:t>
      </w:r>
      <w:r w:rsidRPr="00FF5BD7">
        <w:rPr>
          <w:rFonts w:ascii="Arial" w:hAnsi="Arial" w:cs="Arial"/>
          <w:i/>
          <w:iCs/>
        </w:rPr>
        <w:t>et al.</w:t>
      </w:r>
      <w:r w:rsidRPr="00FF5BD7">
        <w:rPr>
          <w:rFonts w:ascii="Arial" w:hAnsi="Arial" w:cs="Arial"/>
        </w:rPr>
        <w:t xml:space="preserve"> (2017), who found that greater clinical supervision was associated with lower burnout risk among psychological wellbeing practitioners. It also responds to Pappa </w:t>
      </w:r>
      <w:r w:rsidRPr="00FF5BD7">
        <w:rPr>
          <w:rFonts w:ascii="Arial" w:hAnsi="Arial" w:cs="Arial"/>
          <w:i/>
          <w:iCs/>
        </w:rPr>
        <w:t>et al.</w:t>
      </w:r>
      <w:r w:rsidRPr="00FF5BD7">
        <w:rPr>
          <w:rFonts w:ascii="Arial" w:hAnsi="Arial" w:cs="Arial"/>
        </w:rPr>
        <w:t xml:space="preserve"> (2021), who found that organisational support may help staff cope during periods of high pressure. Protected supervision is consistent with the NHS People Promise, which states that staff should be safe, healthy and supported when they need help (NHS England, 2020). </w:t>
      </w:r>
    </w:p>
    <w:p w14:paraId="7C4AA164" w14:textId="77777777" w:rsidR="00AD25F4" w:rsidRPr="00FF5BD7" w:rsidRDefault="00AD25F4" w:rsidP="00AD25F4">
      <w:pPr>
        <w:jc w:val="left"/>
        <w:rPr>
          <w:rFonts w:ascii="Arial" w:hAnsi="Arial" w:cs="Arial"/>
        </w:rPr>
      </w:pPr>
      <w:r w:rsidRPr="00FF5BD7">
        <w:rPr>
          <w:rFonts w:ascii="Arial" w:hAnsi="Arial" w:cs="Arial"/>
        </w:rPr>
        <w:t xml:space="preserve">The main barriers are lack of time, limited numbers of trained supervisors and a workplace culture in which staff may feel uncomfortable discussing distress. During busy periods, supervision may be cancelled because direct clinical work is treated as more urgent. Services can address this by including supervision in job plans, monitoring cancelled sessions and ensuring that missed sessions are rearranged. Supervisors should receive training in recognising burnout, responding sensitively and referring staff for further support. </w:t>
      </w:r>
      <w:r w:rsidRPr="00FF5BD7">
        <w:rPr>
          <w:rFonts w:ascii="Arial" w:hAnsi="Arial" w:cs="Arial"/>
        </w:rPr>
        <w:lastRenderedPageBreak/>
        <w:t>Confidentiality and the purpose of supervision should also be explained clearly so that practitioners do not view it as a threat to their professional competence.</w:t>
      </w:r>
    </w:p>
    <w:p w14:paraId="561E7269" w14:textId="77777777" w:rsidR="00AD25F4" w:rsidRPr="000966A6" w:rsidRDefault="00AD25F4" w:rsidP="00AD25F4">
      <w:pPr>
        <w:pStyle w:val="Heading3"/>
        <w:rPr>
          <w:rFonts w:ascii="Arial" w:hAnsi="Arial" w:cs="Arial"/>
          <w:b/>
          <w:bCs/>
          <w:color w:val="auto"/>
          <w:sz w:val="22"/>
          <w:szCs w:val="22"/>
        </w:rPr>
      </w:pPr>
      <w:bookmarkStart w:id="48" w:name="_Toc235862301"/>
      <w:r w:rsidRPr="000966A6">
        <w:rPr>
          <w:rFonts w:ascii="Arial" w:hAnsi="Arial" w:cs="Arial"/>
          <w:b/>
          <w:bCs/>
          <w:color w:val="auto"/>
          <w:sz w:val="22"/>
          <w:szCs w:val="22"/>
        </w:rPr>
        <w:t>Recommendation 3: Establish Routine Burnout Monitoring Linked to Action</w:t>
      </w:r>
      <w:bookmarkEnd w:id="48"/>
    </w:p>
    <w:p w14:paraId="6918145D" w14:textId="77777777" w:rsidR="00AD25F4" w:rsidRPr="00FF5BD7" w:rsidRDefault="00AD25F4" w:rsidP="00AD25F4">
      <w:pPr>
        <w:jc w:val="left"/>
        <w:rPr>
          <w:rFonts w:ascii="Arial" w:hAnsi="Arial" w:cs="Arial"/>
        </w:rPr>
      </w:pPr>
      <w:r w:rsidRPr="00FF5BD7">
        <w:rPr>
          <w:rFonts w:ascii="Arial" w:hAnsi="Arial" w:cs="Arial"/>
        </w:rPr>
        <w:t>Mental health organisations should monitor burnout and staff wellbeing at regular intervals using a consistent and validated measure. Results should be reviewed by profession, team and career stage because Chapter 4 showed that burnout is not experienced equally across the workforce. Monitoring should be anonymous where possible and considered alongside sickness absence, overtime, staff turnover and access to supervision. This would help services identify patterns early and assess whether organisational changes are improving staff wellbeing.</w:t>
      </w:r>
    </w:p>
    <w:p w14:paraId="5BD2150A" w14:textId="77777777" w:rsidR="00AD25F4" w:rsidRPr="00FF5BD7" w:rsidRDefault="00AD25F4" w:rsidP="00AD25F4">
      <w:pPr>
        <w:jc w:val="left"/>
        <w:rPr>
          <w:rFonts w:ascii="Arial" w:hAnsi="Arial" w:cs="Arial"/>
        </w:rPr>
      </w:pPr>
      <w:r w:rsidRPr="00FF5BD7">
        <w:rPr>
          <w:rFonts w:ascii="Arial" w:hAnsi="Arial" w:cs="Arial"/>
        </w:rPr>
        <w:t xml:space="preserve">Monitoring alone will not reduce burnout. Staff may stop participating if surveys are repeated without visible action, or they may worry that honest answers could affect their employment. Organisations should therefore explain how information will be used, protect confidentiality and publish a brief response showing the concerns identified and actions agreed. Staff representatives should be involved in interpreting the findings and designing improvements. This supports the NHS commitment that employees should have a voice in shaping their roles and workplaces. </w:t>
      </w:r>
    </w:p>
    <w:p w14:paraId="257E17FF" w14:textId="77777777" w:rsidR="00AD25F4" w:rsidRPr="00FF5BD7" w:rsidRDefault="00AD25F4" w:rsidP="00AD25F4">
      <w:pPr>
        <w:jc w:val="left"/>
        <w:rPr>
          <w:rFonts w:ascii="Arial" w:hAnsi="Arial" w:cs="Arial"/>
        </w:rPr>
      </w:pPr>
      <w:r w:rsidRPr="00FF5BD7">
        <w:rPr>
          <w:rFonts w:ascii="Arial" w:hAnsi="Arial" w:cs="Arial"/>
        </w:rPr>
        <w:t>Financial and practical limitations may make large wellbeing programmes difficult to introduce. A realistic approach would be to begin with a small pilot in teams reporting high workload, absence or turnover. The organisation could assess participation, staff feedback and changes in burnout scores before expanding the programme. Existing staff surveys and supervision systems should be used where possible to avoid unnecessary cost and duplication.</w:t>
      </w:r>
    </w:p>
    <w:p w14:paraId="716B52AC" w14:textId="77777777" w:rsidR="00AD25F4" w:rsidRDefault="00AD25F4" w:rsidP="00AD25F4">
      <w:pPr>
        <w:jc w:val="left"/>
      </w:pPr>
      <w:r w:rsidRPr="00FF5BD7">
        <w:rPr>
          <w:rFonts w:ascii="Arial" w:hAnsi="Arial" w:cs="Arial"/>
        </w:rPr>
        <w:t xml:space="preserve">Together, these recommendations address the main findings of the dissertation. Workload reviews aim to reduce excessive demands, protected supervision strengthens available resources, and routine monitoring supports early identification and accountability. Their success will depend on leadership commitment and on organisations responding to burnout as a workplace issue rather than expecting individual practitioners to manage continuing </w:t>
      </w:r>
      <w:r w:rsidRPr="00542141">
        <w:rPr>
          <w:rFonts w:ascii="Arial" w:hAnsi="Arial" w:cs="Arial"/>
        </w:rPr>
        <w:t>pressure</w:t>
      </w:r>
      <w:r w:rsidRPr="00894E1C">
        <w:t xml:space="preserve"> </w:t>
      </w:r>
      <w:r w:rsidRPr="00542141">
        <w:rPr>
          <w:rFonts w:ascii="Arial" w:hAnsi="Arial" w:cs="Arial"/>
        </w:rPr>
        <w:t>alone.</w:t>
      </w:r>
    </w:p>
    <w:p w14:paraId="3D4F83CD" w14:textId="77777777" w:rsidR="00AD25F4" w:rsidRPr="00BD2909" w:rsidRDefault="00AD25F4" w:rsidP="00AD25F4">
      <w:pPr>
        <w:spacing w:line="259" w:lineRule="auto"/>
        <w:jc w:val="left"/>
      </w:pPr>
      <w:r>
        <w:br w:type="page"/>
      </w:r>
    </w:p>
    <w:sectPr w:rsidR="00AD25F4" w:rsidRPr="00BD29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71121" w14:textId="77777777" w:rsidR="005B5F67" w:rsidRDefault="005B5F67">
      <w:pPr>
        <w:spacing w:after="0" w:line="240" w:lineRule="auto"/>
      </w:pPr>
      <w:r>
        <w:separator/>
      </w:r>
    </w:p>
  </w:endnote>
  <w:endnote w:type="continuationSeparator" w:id="0">
    <w:p w14:paraId="3F173DBF" w14:textId="77777777" w:rsidR="005B5F67" w:rsidRDefault="005B5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6112A" w14:textId="77777777" w:rsidR="005B5F67" w:rsidRDefault="005B5F67">
      <w:pPr>
        <w:spacing w:after="0" w:line="240" w:lineRule="auto"/>
      </w:pPr>
      <w:r>
        <w:separator/>
      </w:r>
    </w:p>
  </w:footnote>
  <w:footnote w:type="continuationSeparator" w:id="0">
    <w:p w14:paraId="195E78D1" w14:textId="77777777" w:rsidR="005B5F67" w:rsidRDefault="005B5F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37F"/>
    <w:multiLevelType w:val="hybridMultilevel"/>
    <w:tmpl w:val="B48AC73E"/>
    <w:lvl w:ilvl="0" w:tplc="A866E1F4">
      <w:numFmt w:val="bullet"/>
      <w:lvlText w:val="•"/>
      <w:lvlJc w:val="left"/>
      <w:pPr>
        <w:ind w:left="1080" w:hanging="360"/>
      </w:pPr>
      <w:rPr>
        <w:rFonts w:ascii="Arial" w:eastAsiaTheme="minorHAnsi"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AB97196"/>
    <w:multiLevelType w:val="hybridMultilevel"/>
    <w:tmpl w:val="93C69AC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7E194AC4"/>
    <w:multiLevelType w:val="hybridMultilevel"/>
    <w:tmpl w:val="E80C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7473">
    <w:abstractNumId w:val="1"/>
  </w:num>
  <w:num w:numId="2" w16cid:durableId="329253403">
    <w:abstractNumId w:val="2"/>
  </w:num>
  <w:num w:numId="3" w16cid:durableId="139345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D4E"/>
    <w:rsid w:val="00410D4E"/>
    <w:rsid w:val="005B5F67"/>
    <w:rsid w:val="00A35B00"/>
    <w:rsid w:val="00AD25F4"/>
    <w:rsid w:val="00C3049F"/>
    <w:rsid w:val="00C31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7B741"/>
  <w15:chartTrackingRefBased/>
  <w15:docId w15:val="{CEB3CAE4-9839-4565-8DDA-EA6F56127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5F4"/>
    <w:pPr>
      <w:spacing w:line="360" w:lineRule="auto"/>
      <w:jc w:val="both"/>
    </w:pPr>
    <w:rPr>
      <w:rFonts w:ascii="Aptos" w:eastAsiaTheme="minorEastAsia" w:hAnsi="Aptos"/>
      <w:sz w:val="22"/>
      <w:szCs w:val="22"/>
      <w:lang w:eastAsia="zh-CN"/>
    </w:rPr>
  </w:style>
  <w:style w:type="paragraph" w:styleId="Heading1">
    <w:name w:val="heading 1"/>
    <w:basedOn w:val="Normal"/>
    <w:next w:val="Normal"/>
    <w:link w:val="Heading1Char"/>
    <w:uiPriority w:val="1"/>
    <w:qFormat/>
    <w:rsid w:val="00410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0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0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10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0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0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D4E"/>
    <w:rPr>
      <w:rFonts w:eastAsiaTheme="majorEastAsia" w:cstheme="majorBidi"/>
      <w:color w:val="272727" w:themeColor="text1" w:themeTint="D8"/>
    </w:rPr>
  </w:style>
  <w:style w:type="paragraph" w:styleId="Title">
    <w:name w:val="Title"/>
    <w:basedOn w:val="Normal"/>
    <w:next w:val="Normal"/>
    <w:link w:val="TitleChar"/>
    <w:uiPriority w:val="10"/>
    <w:qFormat/>
    <w:rsid w:val="00410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D4E"/>
    <w:pPr>
      <w:spacing w:before="160"/>
      <w:jc w:val="center"/>
    </w:pPr>
    <w:rPr>
      <w:i/>
      <w:iCs/>
      <w:color w:val="404040" w:themeColor="text1" w:themeTint="BF"/>
    </w:rPr>
  </w:style>
  <w:style w:type="character" w:customStyle="1" w:styleId="QuoteChar">
    <w:name w:val="Quote Char"/>
    <w:basedOn w:val="DefaultParagraphFont"/>
    <w:link w:val="Quote"/>
    <w:uiPriority w:val="29"/>
    <w:rsid w:val="00410D4E"/>
    <w:rPr>
      <w:i/>
      <w:iCs/>
      <w:color w:val="404040" w:themeColor="text1" w:themeTint="BF"/>
    </w:rPr>
  </w:style>
  <w:style w:type="paragraph" w:styleId="ListParagraph">
    <w:name w:val="List Paragraph"/>
    <w:basedOn w:val="Normal"/>
    <w:uiPriority w:val="34"/>
    <w:qFormat/>
    <w:rsid w:val="00410D4E"/>
    <w:pPr>
      <w:ind w:left="720"/>
      <w:contextualSpacing/>
    </w:pPr>
  </w:style>
  <w:style w:type="character" w:styleId="IntenseEmphasis">
    <w:name w:val="Intense Emphasis"/>
    <w:basedOn w:val="DefaultParagraphFont"/>
    <w:uiPriority w:val="21"/>
    <w:qFormat/>
    <w:rsid w:val="00410D4E"/>
    <w:rPr>
      <w:i/>
      <w:iCs/>
      <w:color w:val="0F4761" w:themeColor="accent1" w:themeShade="BF"/>
    </w:rPr>
  </w:style>
  <w:style w:type="paragraph" w:styleId="IntenseQuote">
    <w:name w:val="Intense Quote"/>
    <w:basedOn w:val="Normal"/>
    <w:next w:val="Normal"/>
    <w:link w:val="IntenseQuoteChar"/>
    <w:uiPriority w:val="30"/>
    <w:qFormat/>
    <w:rsid w:val="00410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D4E"/>
    <w:rPr>
      <w:i/>
      <w:iCs/>
      <w:color w:val="0F4761" w:themeColor="accent1" w:themeShade="BF"/>
    </w:rPr>
  </w:style>
  <w:style w:type="character" w:styleId="IntenseReference">
    <w:name w:val="Intense Reference"/>
    <w:basedOn w:val="DefaultParagraphFont"/>
    <w:uiPriority w:val="32"/>
    <w:qFormat/>
    <w:rsid w:val="00410D4E"/>
    <w:rPr>
      <w:b/>
      <w:bCs/>
      <w:smallCaps/>
      <w:color w:val="0F4761" w:themeColor="accent1" w:themeShade="BF"/>
      <w:spacing w:val="5"/>
    </w:rPr>
  </w:style>
  <w:style w:type="table" w:styleId="TableGrid">
    <w:name w:val="Table Grid"/>
    <w:basedOn w:val="TableNormal"/>
    <w:uiPriority w:val="59"/>
    <w:rsid w:val="00AD25F4"/>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25F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AD2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5F4"/>
    <w:rPr>
      <w:rFonts w:ascii="Aptos" w:eastAsiaTheme="minorEastAsia" w:hAnsi="Aptos"/>
      <w:sz w:val="22"/>
      <w:szCs w:val="22"/>
      <w:lang w:eastAsia="zh-CN"/>
    </w:rPr>
  </w:style>
  <w:style w:type="paragraph" w:customStyle="1" w:styleId="paragraph">
    <w:name w:val="paragraph"/>
    <w:basedOn w:val="Normal"/>
    <w:rsid w:val="00AD25F4"/>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AD25F4"/>
  </w:style>
  <w:style w:type="paragraph" w:customStyle="1" w:styleId="isselectedend">
    <w:name w:val="isselectedend"/>
    <w:basedOn w:val="Normal"/>
    <w:rsid w:val="00AD25F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D25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4896</Words>
  <Characters>31240</Characters>
  <Application>Microsoft Office Word</Application>
  <DocSecurity>0</DocSecurity>
  <Lines>761</Lines>
  <Paragraphs>212</Paragraphs>
  <ScaleCrop>false</ScaleCrop>
  <Company/>
  <LinksUpToDate>false</LinksUpToDate>
  <CharactersWithSpaces>35924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Anisa Fatima</dc:creator>
  <cp:keywords/>
  <dc:description/>
  <cp:lastModifiedBy>Syeda Anisa Fatima</cp:lastModifiedBy>
  <cp:revision>3</cp:revision>
  <dcterms:created xsi:type="dcterms:W3CDTF">2026-07-25T10:04:00Z</dcterms:created>
  <dcterms:modified xsi:type="dcterms:W3CDTF">2026-07-25T10:27:00Z</dcterms:modified>
</cp:coreProperties>
</file>