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8799F" w14:textId="577E2867" w:rsidR="00D33831" w:rsidRPr="001A1EF8" w:rsidRDefault="00D33831" w:rsidP="00D33831">
      <w:pPr>
        <w:spacing w:line="360" w:lineRule="auto"/>
        <w:jc w:val="center"/>
        <w:rPr>
          <w:rFonts w:ascii="Arial" w:eastAsiaTheme="majorEastAsia" w:hAnsi="Arial" w:cs="Arial"/>
          <w:b/>
          <w:bCs/>
        </w:rPr>
      </w:pPr>
      <w:r w:rsidRPr="001A1EF8">
        <w:rPr>
          <w:rFonts w:ascii="Arial" w:hAnsi="Arial" w:cs="Arial"/>
          <w:noProof/>
          <w:sz w:val="26"/>
          <w:szCs w:val="26"/>
        </w:rPr>
        <w:drawing>
          <wp:anchor distT="0" distB="0" distL="114300" distR="114300" simplePos="0" relativeHeight="251659264" behindDoc="1" locked="0" layoutInCell="1" allowOverlap="1" wp14:anchorId="06646FA9" wp14:editId="1DE0DC0D">
            <wp:simplePos x="0" y="0"/>
            <wp:positionH relativeFrom="margin">
              <wp:align>center</wp:align>
            </wp:positionH>
            <wp:positionV relativeFrom="margin">
              <wp:posOffset>9525</wp:posOffset>
            </wp:positionV>
            <wp:extent cx="1809750" cy="723900"/>
            <wp:effectExtent l="0" t="0" r="0" b="0"/>
            <wp:wrapNone/>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15E927D" w14:textId="051181E6" w:rsidR="00D33831" w:rsidRPr="001A1EF8" w:rsidRDefault="00D33831" w:rsidP="00D33831">
      <w:pPr>
        <w:spacing w:line="360" w:lineRule="auto"/>
        <w:jc w:val="center"/>
        <w:rPr>
          <w:rFonts w:ascii="Arial" w:eastAsiaTheme="majorEastAsia" w:hAnsi="Arial" w:cs="Arial"/>
          <w:b/>
          <w:bCs/>
        </w:rPr>
      </w:pPr>
    </w:p>
    <w:p w14:paraId="0426BB6D" w14:textId="7DDA347F" w:rsidR="00D33831" w:rsidRPr="001A1EF8" w:rsidRDefault="00D33831" w:rsidP="00D33831">
      <w:pPr>
        <w:spacing w:line="360" w:lineRule="auto"/>
        <w:jc w:val="center"/>
        <w:rPr>
          <w:rFonts w:ascii="Arial" w:eastAsiaTheme="majorEastAsia" w:hAnsi="Arial" w:cs="Arial"/>
          <w:b/>
          <w:bCs/>
        </w:rPr>
      </w:pPr>
    </w:p>
    <w:p w14:paraId="5CF0FB4B" w14:textId="2FE0384A" w:rsidR="00D33831" w:rsidRPr="001A1EF8" w:rsidRDefault="00D33831" w:rsidP="00D33831">
      <w:pPr>
        <w:spacing w:line="360" w:lineRule="auto"/>
        <w:jc w:val="center"/>
        <w:rPr>
          <w:rFonts w:ascii="Arial" w:eastAsiaTheme="majorEastAsia" w:hAnsi="Arial" w:cs="Arial"/>
          <w:b/>
          <w:bCs/>
        </w:rPr>
      </w:pPr>
    </w:p>
    <w:p w14:paraId="23E55D04" w14:textId="4A6AE710" w:rsidR="00D33831" w:rsidRPr="001A1EF8" w:rsidRDefault="00D33831" w:rsidP="00D33831">
      <w:pPr>
        <w:spacing w:line="360" w:lineRule="auto"/>
        <w:jc w:val="center"/>
        <w:rPr>
          <w:rFonts w:ascii="Arial" w:eastAsiaTheme="majorEastAsia" w:hAnsi="Arial" w:cs="Arial"/>
          <w:b/>
          <w:bCs/>
        </w:rPr>
      </w:pPr>
    </w:p>
    <w:p w14:paraId="312E2417" w14:textId="691B7CA6" w:rsidR="00D33831" w:rsidRPr="001A1EF8" w:rsidRDefault="00D33831" w:rsidP="00D33831">
      <w:pPr>
        <w:spacing w:line="360" w:lineRule="auto"/>
        <w:jc w:val="center"/>
        <w:rPr>
          <w:rFonts w:ascii="Arial" w:eastAsiaTheme="majorEastAsia" w:hAnsi="Arial" w:cs="Arial"/>
          <w:b/>
          <w:bCs/>
          <w:sz w:val="26"/>
          <w:szCs w:val="26"/>
        </w:rPr>
      </w:pPr>
      <w:r w:rsidRPr="001A1EF8">
        <w:rPr>
          <w:rFonts w:ascii="Arial" w:eastAsiaTheme="majorEastAsia" w:hAnsi="Arial" w:cs="Arial"/>
          <w:b/>
          <w:bCs/>
          <w:sz w:val="26"/>
          <w:szCs w:val="26"/>
        </w:rPr>
        <w:t>Rhys Rosser (1809225)</w:t>
      </w:r>
    </w:p>
    <w:p w14:paraId="12B8ABB7" w14:textId="0AECBCAF" w:rsidR="005D58F5" w:rsidRPr="001A1EF8" w:rsidRDefault="00B27AFC" w:rsidP="005D58F5">
      <w:pPr>
        <w:spacing w:line="360" w:lineRule="auto"/>
        <w:jc w:val="center"/>
        <w:rPr>
          <w:rFonts w:ascii="Arial" w:eastAsiaTheme="majorEastAsia" w:hAnsi="Arial" w:cs="Arial"/>
          <w:b/>
          <w:bCs/>
          <w:sz w:val="26"/>
          <w:szCs w:val="26"/>
        </w:rPr>
      </w:pPr>
      <w:r w:rsidRPr="001A1EF8">
        <w:rPr>
          <w:rFonts w:ascii="Arial" w:eastAsiaTheme="majorEastAsia" w:hAnsi="Arial" w:cs="Arial"/>
          <w:b/>
          <w:bCs/>
          <w:sz w:val="26"/>
          <w:szCs w:val="26"/>
        </w:rPr>
        <w:t xml:space="preserve">BEng Mechanical Engineering - </w:t>
      </w:r>
      <w:r w:rsidR="005D58F5" w:rsidRPr="001A1EF8">
        <w:rPr>
          <w:rFonts w:ascii="Arial" w:eastAsiaTheme="majorEastAsia" w:hAnsi="Arial" w:cs="Arial"/>
          <w:b/>
          <w:bCs/>
          <w:sz w:val="26"/>
          <w:szCs w:val="26"/>
        </w:rPr>
        <w:t>Independent Project</w:t>
      </w:r>
    </w:p>
    <w:p w14:paraId="5696F786" w14:textId="29559070" w:rsidR="005D58F5" w:rsidRPr="00C94CD9" w:rsidRDefault="0012620A" w:rsidP="00C94CD9">
      <w:pPr>
        <w:spacing w:line="276" w:lineRule="auto"/>
        <w:jc w:val="center"/>
        <w:rPr>
          <w:rFonts w:ascii="Arial" w:eastAsiaTheme="majorEastAsia" w:hAnsi="Arial" w:cs="Arial"/>
          <w:b/>
          <w:bCs/>
          <w:sz w:val="44"/>
          <w:szCs w:val="44"/>
        </w:rPr>
      </w:pPr>
      <w:r w:rsidRPr="00C94CD9">
        <w:rPr>
          <w:rFonts w:ascii="Arial" w:eastAsiaTheme="majorEastAsia" w:hAnsi="Arial" w:cs="Arial"/>
          <w:b/>
          <w:bCs/>
          <w:sz w:val="44"/>
          <w:szCs w:val="44"/>
        </w:rPr>
        <w:t>Assessing Internal Audit Processes in Machinery Transfers: A SEWS-E Study</w:t>
      </w:r>
    </w:p>
    <w:p w14:paraId="77B6CF91" w14:textId="1CD7644B" w:rsidR="00D33831" w:rsidRPr="001A1EF8" w:rsidRDefault="00D33831" w:rsidP="005D58F5">
      <w:pPr>
        <w:spacing w:line="360" w:lineRule="auto"/>
        <w:jc w:val="center"/>
        <w:rPr>
          <w:rFonts w:ascii="Arial" w:eastAsiaTheme="majorEastAsia" w:hAnsi="Arial" w:cs="Arial"/>
          <w:b/>
          <w:bCs/>
          <w:sz w:val="26"/>
          <w:szCs w:val="26"/>
        </w:rPr>
      </w:pPr>
      <w:r w:rsidRPr="001A1EF8">
        <w:rPr>
          <w:rFonts w:ascii="Arial" w:eastAsiaTheme="majorEastAsia" w:hAnsi="Arial" w:cs="Arial"/>
          <w:b/>
          <w:bCs/>
          <w:sz w:val="26"/>
          <w:szCs w:val="26"/>
        </w:rPr>
        <w:t>ACMA601</w:t>
      </w:r>
      <w:r w:rsidR="00D80984" w:rsidRPr="001A1EF8">
        <w:rPr>
          <w:rFonts w:ascii="Arial" w:eastAsiaTheme="majorEastAsia" w:hAnsi="Arial" w:cs="Arial"/>
          <w:b/>
          <w:bCs/>
          <w:sz w:val="26"/>
          <w:szCs w:val="26"/>
        </w:rPr>
        <w:t>3</w:t>
      </w:r>
    </w:p>
    <w:p w14:paraId="249BEBC7" w14:textId="6CEE16F1" w:rsidR="00D33831" w:rsidRPr="001A1EF8" w:rsidRDefault="00D33831" w:rsidP="005D58F5">
      <w:pPr>
        <w:spacing w:line="360" w:lineRule="auto"/>
        <w:jc w:val="center"/>
        <w:rPr>
          <w:rFonts w:ascii="Arial" w:eastAsiaTheme="majorEastAsia" w:hAnsi="Arial" w:cs="Arial"/>
          <w:b/>
          <w:bCs/>
          <w:color w:val="FF0000"/>
        </w:rPr>
      </w:pPr>
      <w:r w:rsidRPr="001A1EF8">
        <w:rPr>
          <w:rFonts w:ascii="Arial" w:eastAsiaTheme="majorEastAsia" w:hAnsi="Arial" w:cs="Arial"/>
          <w:b/>
          <w:bCs/>
        </w:rPr>
        <w:t>Date of Submission:</w:t>
      </w:r>
      <w:r w:rsidR="00E10833">
        <w:rPr>
          <w:rFonts w:ascii="Arial" w:eastAsiaTheme="majorEastAsia" w:hAnsi="Arial" w:cs="Arial"/>
          <w:b/>
          <w:bCs/>
        </w:rPr>
        <w:t xml:space="preserve"> </w:t>
      </w:r>
      <w:r w:rsidR="0011312A">
        <w:rPr>
          <w:rFonts w:ascii="Arial" w:eastAsiaTheme="majorEastAsia" w:hAnsi="Arial" w:cs="Arial"/>
          <w:b/>
          <w:bCs/>
        </w:rPr>
        <w:t>19</w:t>
      </w:r>
      <w:r w:rsidR="00E10833">
        <w:rPr>
          <w:rFonts w:ascii="Arial" w:eastAsiaTheme="majorEastAsia" w:hAnsi="Arial" w:cs="Arial"/>
          <w:b/>
          <w:bCs/>
        </w:rPr>
        <w:t xml:space="preserve"> / 05 / 2025</w:t>
      </w:r>
    </w:p>
    <w:p w14:paraId="3B45F8BE" w14:textId="342D28C7" w:rsidR="00505C55" w:rsidRPr="001A1EF8" w:rsidRDefault="00D33831" w:rsidP="00505C55">
      <w:pPr>
        <w:spacing w:line="360" w:lineRule="auto"/>
        <w:jc w:val="center"/>
        <w:rPr>
          <w:rFonts w:ascii="Arial" w:eastAsiaTheme="majorEastAsia" w:hAnsi="Arial" w:cs="Arial"/>
          <w:b/>
          <w:bCs/>
          <w:color w:val="FF0000"/>
        </w:rPr>
      </w:pPr>
      <w:r w:rsidRPr="001A1EF8">
        <w:rPr>
          <w:rFonts w:ascii="Arial" w:eastAsiaTheme="majorEastAsia" w:hAnsi="Arial" w:cs="Arial"/>
          <w:b/>
          <w:bCs/>
        </w:rPr>
        <w:t xml:space="preserve">Word Count: </w:t>
      </w:r>
      <w:r w:rsidR="005D58F5" w:rsidRPr="005006A5">
        <w:rPr>
          <w:rFonts w:ascii="Arial" w:eastAsiaTheme="majorEastAsia" w:hAnsi="Arial" w:cs="Arial"/>
          <w:b/>
          <w:bCs/>
          <w:color w:val="595959" w:themeColor="text1" w:themeTint="A6"/>
        </w:rPr>
        <w:t>1</w:t>
      </w:r>
      <w:r w:rsidR="00EA0996">
        <w:rPr>
          <w:rFonts w:ascii="Arial" w:eastAsiaTheme="majorEastAsia" w:hAnsi="Arial" w:cs="Arial"/>
          <w:b/>
          <w:bCs/>
          <w:color w:val="595959" w:themeColor="text1" w:themeTint="A6"/>
        </w:rPr>
        <w:t>0,998</w:t>
      </w:r>
    </w:p>
    <w:p w14:paraId="15D153EA" w14:textId="74755504" w:rsidR="00505C55" w:rsidRPr="001A1EF8" w:rsidRDefault="00505C55">
      <w:pPr>
        <w:rPr>
          <w:rFonts w:ascii="Arial" w:eastAsiaTheme="majorEastAsia" w:hAnsi="Arial" w:cs="Arial"/>
          <w:b/>
          <w:bCs/>
          <w:color w:val="FF0000"/>
        </w:rPr>
      </w:pPr>
      <w:r w:rsidRPr="001A1EF8">
        <w:rPr>
          <w:rFonts w:ascii="Arial" w:eastAsiaTheme="majorEastAsia" w:hAnsi="Arial" w:cs="Arial"/>
          <w:b/>
          <w:bCs/>
          <w:color w:val="FF0000"/>
        </w:rPr>
        <w:br w:type="page"/>
      </w:r>
    </w:p>
    <w:p w14:paraId="3CC28FF5" w14:textId="77777777" w:rsidR="00505C55" w:rsidRPr="001A1EF8" w:rsidRDefault="00505C55" w:rsidP="00505C55">
      <w:pPr>
        <w:spacing w:line="360" w:lineRule="auto"/>
        <w:rPr>
          <w:rFonts w:ascii="Arial" w:eastAsiaTheme="majorEastAsia" w:hAnsi="Arial" w:cs="Arial"/>
          <w:b/>
          <w:bCs/>
          <w:color w:val="FF0000"/>
        </w:rPr>
      </w:pPr>
    </w:p>
    <w:p w14:paraId="5A194E65" w14:textId="77777777" w:rsidR="00505C55" w:rsidRPr="001A1EF8" w:rsidRDefault="00505C55" w:rsidP="00505C55">
      <w:pPr>
        <w:spacing w:line="360" w:lineRule="auto"/>
        <w:rPr>
          <w:rFonts w:ascii="Arial" w:eastAsiaTheme="majorEastAsia" w:hAnsi="Arial" w:cs="Arial"/>
          <w:b/>
          <w:bCs/>
        </w:rPr>
      </w:pPr>
      <w:r w:rsidRPr="001A1EF8">
        <w:rPr>
          <w:rFonts w:ascii="Arial" w:eastAsiaTheme="majorEastAsia" w:hAnsi="Arial" w:cs="Arial"/>
          <w:b/>
          <w:bCs/>
        </w:rPr>
        <w:t>Declaration of Authenticity</w:t>
      </w:r>
    </w:p>
    <w:p w14:paraId="05106211" w14:textId="77777777" w:rsidR="00505C55" w:rsidRPr="001A1EF8" w:rsidRDefault="00505C55" w:rsidP="00505C55">
      <w:pPr>
        <w:spacing w:line="360" w:lineRule="auto"/>
        <w:rPr>
          <w:rFonts w:ascii="Arial" w:eastAsiaTheme="majorEastAsia" w:hAnsi="Arial" w:cs="Arial"/>
          <w:i/>
          <w:iCs/>
        </w:rPr>
      </w:pPr>
      <w:r w:rsidRPr="001A1EF8">
        <w:rPr>
          <w:rFonts w:ascii="Arial" w:eastAsiaTheme="majorEastAsia" w:hAnsi="Arial" w:cs="Arial"/>
          <w:i/>
          <w:iCs/>
        </w:rPr>
        <w:t>This thesis is the result of the author’s original research. It has been composed by the author and has not been previously submitted for examination which has led to the award of a degree.</w:t>
      </w:r>
    </w:p>
    <w:p w14:paraId="11F3D664" w14:textId="77777777" w:rsidR="00505C55" w:rsidRPr="001A1EF8" w:rsidRDefault="00505C55" w:rsidP="00505C55">
      <w:pPr>
        <w:spacing w:line="360" w:lineRule="auto"/>
        <w:rPr>
          <w:rFonts w:ascii="Arial" w:eastAsiaTheme="majorEastAsia" w:hAnsi="Arial" w:cs="Arial"/>
          <w:i/>
          <w:iCs/>
        </w:rPr>
      </w:pPr>
    </w:p>
    <w:p w14:paraId="62F74A5F" w14:textId="77777777" w:rsidR="00505C55" w:rsidRPr="001A1EF8" w:rsidRDefault="00505C55" w:rsidP="00505C55">
      <w:pPr>
        <w:tabs>
          <w:tab w:val="left" w:pos="6686"/>
        </w:tabs>
        <w:spacing w:line="360" w:lineRule="auto"/>
        <w:rPr>
          <w:rFonts w:ascii="Arial" w:eastAsiaTheme="majorEastAsia" w:hAnsi="Arial" w:cs="Arial"/>
          <w:i/>
          <w:iCs/>
        </w:rPr>
      </w:pPr>
      <w:r w:rsidRPr="001A1EF8">
        <w:rPr>
          <w:rFonts w:ascii="Arial" w:eastAsiaTheme="majorEastAsia" w:hAnsi="Arial" w:cs="Arial"/>
          <w:i/>
          <w:iCs/>
        </w:rPr>
        <w:t xml:space="preserve">Signed: </w:t>
      </w:r>
      <w:r w:rsidRPr="001A1EF8">
        <w:rPr>
          <w:rFonts w:ascii="Arial" w:eastAsiaTheme="majorEastAsia" w:hAnsi="Arial" w:cs="Arial"/>
          <w:i/>
          <w:iCs/>
        </w:rPr>
        <w:tab/>
        <w:t>Date:</w:t>
      </w:r>
    </w:p>
    <w:p w14:paraId="787E5E25" w14:textId="77777777" w:rsidR="00505C55" w:rsidRDefault="00505C55" w:rsidP="00505C55">
      <w:pPr>
        <w:tabs>
          <w:tab w:val="left" w:pos="6686"/>
        </w:tabs>
        <w:spacing w:line="360" w:lineRule="auto"/>
        <w:rPr>
          <w:rFonts w:ascii="Arial" w:eastAsiaTheme="majorEastAsia" w:hAnsi="Arial" w:cs="Arial"/>
          <w:i/>
          <w:iCs/>
        </w:rPr>
      </w:pPr>
    </w:p>
    <w:p w14:paraId="67597A7D" w14:textId="77777777" w:rsidR="00CD0EB0" w:rsidRPr="001A1EF8" w:rsidRDefault="00CD0EB0" w:rsidP="00505C55">
      <w:pPr>
        <w:tabs>
          <w:tab w:val="left" w:pos="6686"/>
        </w:tabs>
        <w:spacing w:line="360" w:lineRule="auto"/>
        <w:rPr>
          <w:rFonts w:ascii="Arial" w:eastAsiaTheme="majorEastAsia" w:hAnsi="Arial" w:cs="Arial"/>
          <w:i/>
          <w:iCs/>
        </w:rPr>
      </w:pPr>
    </w:p>
    <w:p w14:paraId="37B7D46B" w14:textId="77777777" w:rsidR="00505C55" w:rsidRPr="001A1EF8" w:rsidRDefault="00505C55" w:rsidP="00505C55">
      <w:pPr>
        <w:tabs>
          <w:tab w:val="left" w:pos="6686"/>
        </w:tabs>
        <w:spacing w:line="360" w:lineRule="auto"/>
        <w:rPr>
          <w:rFonts w:ascii="Arial" w:eastAsiaTheme="majorEastAsia" w:hAnsi="Arial" w:cs="Arial"/>
          <w:i/>
          <w:iCs/>
        </w:rPr>
      </w:pPr>
    </w:p>
    <w:p w14:paraId="653EB786" w14:textId="77777777" w:rsidR="00CD0EB0" w:rsidRDefault="00CD0EB0" w:rsidP="00505C55">
      <w:pPr>
        <w:tabs>
          <w:tab w:val="left" w:pos="6686"/>
        </w:tabs>
        <w:spacing w:line="360" w:lineRule="auto"/>
        <w:rPr>
          <w:rFonts w:ascii="Arial" w:eastAsiaTheme="majorEastAsia" w:hAnsi="Arial" w:cs="Arial"/>
          <w:b/>
          <w:bCs/>
        </w:rPr>
      </w:pPr>
    </w:p>
    <w:p w14:paraId="3280EE6A" w14:textId="77777777" w:rsidR="00CD0EB0" w:rsidRDefault="00CD0EB0" w:rsidP="00505C55">
      <w:pPr>
        <w:tabs>
          <w:tab w:val="left" w:pos="6686"/>
        </w:tabs>
        <w:spacing w:line="360" w:lineRule="auto"/>
        <w:rPr>
          <w:rFonts w:ascii="Arial" w:eastAsiaTheme="majorEastAsia" w:hAnsi="Arial" w:cs="Arial"/>
          <w:b/>
          <w:bCs/>
        </w:rPr>
      </w:pPr>
    </w:p>
    <w:p w14:paraId="1F6968C4" w14:textId="77777777" w:rsidR="00CD0EB0" w:rsidRDefault="00CD0EB0" w:rsidP="00505C55">
      <w:pPr>
        <w:tabs>
          <w:tab w:val="left" w:pos="6686"/>
        </w:tabs>
        <w:spacing w:line="360" w:lineRule="auto"/>
        <w:rPr>
          <w:rFonts w:ascii="Arial" w:eastAsiaTheme="majorEastAsia" w:hAnsi="Arial" w:cs="Arial"/>
          <w:b/>
          <w:bCs/>
        </w:rPr>
      </w:pPr>
    </w:p>
    <w:p w14:paraId="50CA9BA7" w14:textId="77777777" w:rsidR="00CD0EB0" w:rsidRDefault="00CD0EB0" w:rsidP="00505C55">
      <w:pPr>
        <w:tabs>
          <w:tab w:val="left" w:pos="6686"/>
        </w:tabs>
        <w:spacing w:line="360" w:lineRule="auto"/>
        <w:rPr>
          <w:rFonts w:ascii="Arial" w:eastAsiaTheme="majorEastAsia" w:hAnsi="Arial" w:cs="Arial"/>
          <w:b/>
          <w:bCs/>
        </w:rPr>
      </w:pPr>
    </w:p>
    <w:p w14:paraId="3E6EEDDE" w14:textId="77777777" w:rsidR="00CD0EB0" w:rsidRDefault="00CD0EB0" w:rsidP="00505C55">
      <w:pPr>
        <w:tabs>
          <w:tab w:val="left" w:pos="6686"/>
        </w:tabs>
        <w:spacing w:line="360" w:lineRule="auto"/>
        <w:rPr>
          <w:rFonts w:ascii="Arial" w:eastAsiaTheme="majorEastAsia" w:hAnsi="Arial" w:cs="Arial"/>
          <w:b/>
          <w:bCs/>
        </w:rPr>
      </w:pPr>
    </w:p>
    <w:p w14:paraId="0E09E33E" w14:textId="77777777" w:rsidR="00CD0EB0" w:rsidRDefault="00CD0EB0" w:rsidP="00505C55">
      <w:pPr>
        <w:tabs>
          <w:tab w:val="left" w:pos="6686"/>
        </w:tabs>
        <w:spacing w:line="360" w:lineRule="auto"/>
        <w:rPr>
          <w:rFonts w:ascii="Arial" w:eastAsiaTheme="majorEastAsia" w:hAnsi="Arial" w:cs="Arial"/>
          <w:b/>
          <w:bCs/>
        </w:rPr>
      </w:pPr>
    </w:p>
    <w:p w14:paraId="683D2E75" w14:textId="77777777" w:rsidR="00CD0EB0" w:rsidRDefault="00CD0EB0" w:rsidP="00505C55">
      <w:pPr>
        <w:tabs>
          <w:tab w:val="left" w:pos="6686"/>
        </w:tabs>
        <w:spacing w:line="360" w:lineRule="auto"/>
        <w:rPr>
          <w:rFonts w:ascii="Arial" w:eastAsiaTheme="majorEastAsia" w:hAnsi="Arial" w:cs="Arial"/>
          <w:b/>
          <w:bCs/>
        </w:rPr>
      </w:pPr>
    </w:p>
    <w:p w14:paraId="51EA3D60" w14:textId="77777777" w:rsidR="00CD0EB0" w:rsidRDefault="00CD0EB0" w:rsidP="00505C55">
      <w:pPr>
        <w:tabs>
          <w:tab w:val="left" w:pos="6686"/>
        </w:tabs>
        <w:spacing w:line="360" w:lineRule="auto"/>
        <w:rPr>
          <w:rFonts w:ascii="Arial" w:eastAsiaTheme="majorEastAsia" w:hAnsi="Arial" w:cs="Arial"/>
          <w:b/>
          <w:bCs/>
        </w:rPr>
      </w:pPr>
    </w:p>
    <w:p w14:paraId="418073CF" w14:textId="77777777" w:rsidR="00CD0EB0" w:rsidRDefault="00CD0EB0" w:rsidP="00505C55">
      <w:pPr>
        <w:tabs>
          <w:tab w:val="left" w:pos="6686"/>
        </w:tabs>
        <w:spacing w:line="360" w:lineRule="auto"/>
        <w:rPr>
          <w:rFonts w:ascii="Arial" w:eastAsiaTheme="majorEastAsia" w:hAnsi="Arial" w:cs="Arial"/>
          <w:b/>
          <w:bCs/>
        </w:rPr>
      </w:pPr>
    </w:p>
    <w:p w14:paraId="0C04E8E1" w14:textId="77777777" w:rsidR="00CD0EB0" w:rsidRDefault="00CD0EB0" w:rsidP="00505C55">
      <w:pPr>
        <w:tabs>
          <w:tab w:val="left" w:pos="6686"/>
        </w:tabs>
        <w:spacing w:line="360" w:lineRule="auto"/>
        <w:rPr>
          <w:rFonts w:ascii="Arial" w:eastAsiaTheme="majorEastAsia" w:hAnsi="Arial" w:cs="Arial"/>
          <w:b/>
          <w:bCs/>
        </w:rPr>
      </w:pPr>
    </w:p>
    <w:p w14:paraId="059A1ACB" w14:textId="77777777" w:rsidR="00CD0EB0" w:rsidRDefault="00CD0EB0" w:rsidP="00505C55">
      <w:pPr>
        <w:tabs>
          <w:tab w:val="left" w:pos="6686"/>
        </w:tabs>
        <w:spacing w:line="360" w:lineRule="auto"/>
        <w:rPr>
          <w:rFonts w:ascii="Arial" w:eastAsiaTheme="majorEastAsia" w:hAnsi="Arial" w:cs="Arial"/>
          <w:b/>
          <w:bCs/>
        </w:rPr>
      </w:pPr>
    </w:p>
    <w:p w14:paraId="73FCAD2F" w14:textId="77777777" w:rsidR="00CD0EB0" w:rsidRDefault="00CD0EB0" w:rsidP="00505C55">
      <w:pPr>
        <w:tabs>
          <w:tab w:val="left" w:pos="6686"/>
        </w:tabs>
        <w:spacing w:line="360" w:lineRule="auto"/>
        <w:rPr>
          <w:rFonts w:ascii="Arial" w:eastAsiaTheme="majorEastAsia" w:hAnsi="Arial" w:cs="Arial"/>
          <w:b/>
          <w:bCs/>
        </w:rPr>
      </w:pPr>
    </w:p>
    <w:p w14:paraId="18A5E5FF" w14:textId="77777777" w:rsidR="00CD0EB0" w:rsidRDefault="00CD0EB0" w:rsidP="00505C55">
      <w:pPr>
        <w:tabs>
          <w:tab w:val="left" w:pos="6686"/>
        </w:tabs>
        <w:spacing w:line="360" w:lineRule="auto"/>
        <w:rPr>
          <w:rFonts w:ascii="Arial" w:eastAsiaTheme="majorEastAsia" w:hAnsi="Arial" w:cs="Arial"/>
          <w:b/>
          <w:bCs/>
        </w:rPr>
      </w:pPr>
    </w:p>
    <w:p w14:paraId="397BA645" w14:textId="77777777" w:rsidR="00CD0EB0" w:rsidRDefault="00CD0EB0" w:rsidP="00505C55">
      <w:pPr>
        <w:tabs>
          <w:tab w:val="left" w:pos="6686"/>
        </w:tabs>
        <w:spacing w:line="360" w:lineRule="auto"/>
        <w:rPr>
          <w:rFonts w:ascii="Arial" w:eastAsiaTheme="majorEastAsia" w:hAnsi="Arial" w:cs="Arial"/>
          <w:b/>
          <w:bCs/>
        </w:rPr>
      </w:pPr>
    </w:p>
    <w:p w14:paraId="2870C6B0" w14:textId="77777777" w:rsidR="00CD0EB0" w:rsidRDefault="00CD0EB0" w:rsidP="00505C55">
      <w:pPr>
        <w:tabs>
          <w:tab w:val="left" w:pos="6686"/>
        </w:tabs>
        <w:spacing w:line="360" w:lineRule="auto"/>
        <w:rPr>
          <w:rFonts w:ascii="Arial" w:eastAsiaTheme="majorEastAsia" w:hAnsi="Arial" w:cs="Arial"/>
          <w:b/>
          <w:bCs/>
        </w:rPr>
      </w:pPr>
    </w:p>
    <w:p w14:paraId="070CF54E" w14:textId="77777777" w:rsidR="00CD0EB0" w:rsidRDefault="00CD0EB0" w:rsidP="00505C55">
      <w:pPr>
        <w:tabs>
          <w:tab w:val="left" w:pos="6686"/>
        </w:tabs>
        <w:spacing w:line="360" w:lineRule="auto"/>
        <w:rPr>
          <w:rFonts w:ascii="Arial" w:eastAsiaTheme="majorEastAsia" w:hAnsi="Arial" w:cs="Arial"/>
          <w:b/>
          <w:bCs/>
        </w:rPr>
      </w:pPr>
    </w:p>
    <w:p w14:paraId="783A208C" w14:textId="77777777" w:rsidR="00CD0EB0" w:rsidRDefault="00CD0EB0" w:rsidP="00505C55">
      <w:pPr>
        <w:tabs>
          <w:tab w:val="left" w:pos="6686"/>
        </w:tabs>
        <w:spacing w:line="360" w:lineRule="auto"/>
        <w:rPr>
          <w:rFonts w:ascii="Arial" w:eastAsiaTheme="majorEastAsia" w:hAnsi="Arial" w:cs="Arial"/>
          <w:b/>
          <w:bCs/>
        </w:rPr>
      </w:pPr>
    </w:p>
    <w:p w14:paraId="31AD1DF8" w14:textId="77777777" w:rsidR="00CD0EB0" w:rsidRDefault="00CD0EB0" w:rsidP="00505C55">
      <w:pPr>
        <w:tabs>
          <w:tab w:val="left" w:pos="6686"/>
        </w:tabs>
        <w:spacing w:line="360" w:lineRule="auto"/>
        <w:rPr>
          <w:rFonts w:ascii="Arial" w:eastAsiaTheme="majorEastAsia" w:hAnsi="Arial" w:cs="Arial"/>
          <w:b/>
          <w:bCs/>
        </w:rPr>
      </w:pPr>
    </w:p>
    <w:p w14:paraId="3CC3744A" w14:textId="77777777" w:rsidR="00CD0EB0" w:rsidRDefault="00CD0EB0" w:rsidP="00505C55">
      <w:pPr>
        <w:tabs>
          <w:tab w:val="left" w:pos="6686"/>
        </w:tabs>
        <w:spacing w:line="360" w:lineRule="auto"/>
        <w:rPr>
          <w:rFonts w:ascii="Arial" w:eastAsiaTheme="majorEastAsia" w:hAnsi="Arial" w:cs="Arial"/>
          <w:b/>
          <w:bCs/>
        </w:rPr>
      </w:pPr>
    </w:p>
    <w:p w14:paraId="0A34C04A" w14:textId="5D1654E3" w:rsidR="00CD0EB0" w:rsidRPr="00CD0EB0" w:rsidRDefault="00505C55" w:rsidP="00505C55">
      <w:pPr>
        <w:tabs>
          <w:tab w:val="left" w:pos="6686"/>
        </w:tabs>
        <w:spacing w:line="360" w:lineRule="auto"/>
        <w:rPr>
          <w:rFonts w:ascii="Arial" w:eastAsiaTheme="majorEastAsia" w:hAnsi="Arial" w:cs="Arial"/>
          <w:b/>
          <w:bCs/>
          <w:i/>
          <w:iCs/>
        </w:rPr>
      </w:pPr>
      <w:r w:rsidRPr="00CD0EB0">
        <w:rPr>
          <w:rFonts w:ascii="Arial" w:eastAsiaTheme="majorEastAsia" w:hAnsi="Arial" w:cs="Arial"/>
          <w:b/>
          <w:bCs/>
          <w:i/>
          <w:iCs/>
        </w:rPr>
        <w:t>Abstract</w:t>
      </w:r>
    </w:p>
    <w:p w14:paraId="509364FE" w14:textId="31E28634" w:rsidR="00CD0EB0" w:rsidRPr="00CD0EB0" w:rsidRDefault="00CD0EB0" w:rsidP="00CD0EB0">
      <w:pPr>
        <w:tabs>
          <w:tab w:val="left" w:pos="6686"/>
        </w:tabs>
        <w:spacing w:line="360" w:lineRule="auto"/>
        <w:rPr>
          <w:rFonts w:ascii="Arial" w:eastAsiaTheme="majorEastAsia" w:hAnsi="Arial" w:cs="Arial"/>
        </w:rPr>
      </w:pPr>
      <w:r w:rsidRPr="00CD0EB0">
        <w:rPr>
          <w:rFonts w:ascii="Arial" w:eastAsiaTheme="majorEastAsia" w:hAnsi="Arial" w:cs="Arial"/>
        </w:rPr>
        <w:t>This dissertation investigates the internal audit processes employed by Sumitomo Electric Wiring Systems-Europe (SEWS-E) in managing machinery transfers across multiple international manufacturing sites. Machinery relocations present significant operational risks, including equipment damage, safety hazards, and production delays. The primary aim of this study is to assess how structured internal audits can mitigate these risks, improve transfer efficiency, and support long-term equipment reliability.</w:t>
      </w:r>
    </w:p>
    <w:p w14:paraId="3C35AC12" w14:textId="7B58488E" w:rsidR="00CD0EB0" w:rsidRPr="00CD0EB0" w:rsidRDefault="00CD0EB0" w:rsidP="00CD0EB0">
      <w:pPr>
        <w:tabs>
          <w:tab w:val="left" w:pos="6686"/>
        </w:tabs>
        <w:spacing w:line="360" w:lineRule="auto"/>
        <w:rPr>
          <w:rFonts w:ascii="Arial" w:eastAsiaTheme="majorEastAsia" w:hAnsi="Arial" w:cs="Arial"/>
        </w:rPr>
      </w:pPr>
      <w:r w:rsidRPr="00CD0EB0">
        <w:rPr>
          <w:rFonts w:ascii="Arial" w:eastAsiaTheme="majorEastAsia" w:hAnsi="Arial" w:cs="Arial"/>
        </w:rPr>
        <w:t>A mixed-methods case study approach was adopted, combining quantitative audit data from 2023 and 2024 with qualitative insights from site observations and stakeholder feedback. The evaluation focused on four SEWS-E regions</w:t>
      </w:r>
      <w:r w:rsidR="008860A3">
        <w:rPr>
          <w:rFonts w:ascii="Arial" w:eastAsiaTheme="majorEastAsia" w:hAnsi="Arial" w:cs="Arial"/>
        </w:rPr>
        <w:t xml:space="preserve"> (</w:t>
      </w:r>
      <w:r w:rsidRPr="00CD0EB0">
        <w:rPr>
          <w:rFonts w:ascii="Arial" w:eastAsiaTheme="majorEastAsia" w:hAnsi="Arial" w:cs="Arial"/>
        </w:rPr>
        <w:t>Egypt, Morocco, Romania, and Tunisia</w:t>
      </w:r>
      <w:r w:rsidR="008860A3">
        <w:rPr>
          <w:rFonts w:ascii="Arial" w:eastAsiaTheme="majorEastAsia" w:hAnsi="Arial" w:cs="Arial"/>
        </w:rPr>
        <w:t xml:space="preserve">) </w:t>
      </w:r>
      <w:r w:rsidRPr="00CD0EB0">
        <w:rPr>
          <w:rFonts w:ascii="Arial" w:eastAsiaTheme="majorEastAsia" w:hAnsi="Arial" w:cs="Arial"/>
        </w:rPr>
        <w:t>analysing audit performance trends, failure themes, and procedural improvements over time. Comparative results indicated a measurable improvement in audit compliance and safety performance, particularly in response to revised scoring criteria and increased audit standardisation.</w:t>
      </w:r>
    </w:p>
    <w:p w14:paraId="761420A7" w14:textId="63A44349" w:rsidR="00CD0EB0" w:rsidRPr="00CD0EB0" w:rsidRDefault="00CD0EB0" w:rsidP="00CD0EB0">
      <w:pPr>
        <w:tabs>
          <w:tab w:val="left" w:pos="6686"/>
        </w:tabs>
        <w:spacing w:line="360" w:lineRule="auto"/>
        <w:rPr>
          <w:rFonts w:ascii="Arial" w:eastAsiaTheme="majorEastAsia" w:hAnsi="Arial" w:cs="Arial"/>
        </w:rPr>
      </w:pPr>
      <w:r w:rsidRPr="00CD0EB0">
        <w:rPr>
          <w:rFonts w:ascii="Arial" w:eastAsiaTheme="majorEastAsia" w:hAnsi="Arial" w:cs="Arial"/>
        </w:rPr>
        <w:t>The study highlights several key findings: inconsistency in auditor judgement, documentation gaps, and lack of real-time audit tools were recurring challenges, while improvements in Health and Safety scores and Corrective Action Plan (CAP) effectiveness demonstrated the positive impact of recent audit refinements. Strategic recommendations include implementing a digital audit platform, adopting risk-based audit scheduling, and enhancing auditor training.</w:t>
      </w:r>
    </w:p>
    <w:p w14:paraId="2EA6BA91" w14:textId="7D359B2E" w:rsidR="00CD0EB0" w:rsidRPr="00CD0EB0" w:rsidRDefault="00CD0EB0" w:rsidP="00CD0EB0">
      <w:pPr>
        <w:tabs>
          <w:tab w:val="left" w:pos="6686"/>
        </w:tabs>
        <w:spacing w:line="360" w:lineRule="auto"/>
        <w:rPr>
          <w:rFonts w:ascii="Arial" w:eastAsiaTheme="majorEastAsia" w:hAnsi="Arial" w:cs="Arial"/>
        </w:rPr>
        <w:sectPr w:rsidR="00CD0EB0" w:rsidRPr="00CD0EB0" w:rsidSect="00D33831">
          <w:footerReference w:type="default" r:id="rId10"/>
          <w:pgSz w:w="11906" w:h="16838"/>
          <w:pgMar w:top="851" w:right="748" w:bottom="1701" w:left="1077" w:header="709" w:footer="709" w:gutter="0"/>
          <w:cols w:space="708"/>
          <w:docGrid w:linePitch="360"/>
        </w:sectPr>
      </w:pPr>
      <w:r w:rsidRPr="00CD0EB0">
        <w:rPr>
          <w:rFonts w:ascii="Arial" w:eastAsiaTheme="majorEastAsia" w:hAnsi="Arial" w:cs="Arial"/>
        </w:rPr>
        <w:t>This research concludes that internal audits are not merely compliance checks but are central to maintaining production readiness, safeguarding product quality, and driving continuous improvement. The study offers a practical framework for enhancing audit effectiveness in global manufacturing environments and contributes to the broader understanding of engineering risk management in high-precision, cross-site equipment transfers.</w:t>
      </w:r>
    </w:p>
    <w:sdt>
      <w:sdtPr>
        <w:rPr>
          <w:rFonts w:asciiTheme="minorHAnsi" w:hAnsiTheme="minorHAnsi" w:cstheme="minorBidi"/>
          <w:b w:val="0"/>
          <w:bCs w:val="0"/>
          <w:kern w:val="2"/>
          <w:sz w:val="20"/>
          <w:szCs w:val="20"/>
          <w:lang w:val="en-GB" w:eastAsia="ja-JP"/>
          <w14:ligatures w14:val="standardContextual"/>
        </w:rPr>
        <w:id w:val="344902107"/>
        <w:docPartObj>
          <w:docPartGallery w:val="Table of Contents"/>
          <w:docPartUnique/>
        </w:docPartObj>
      </w:sdtPr>
      <w:sdtEndPr>
        <w:rPr>
          <w:rFonts w:ascii="Arial" w:hAnsi="Arial" w:cs="Arial"/>
          <w:noProof/>
          <w:sz w:val="26"/>
          <w:szCs w:val="26"/>
        </w:rPr>
      </w:sdtEndPr>
      <w:sdtContent>
        <w:p w14:paraId="39C0D670" w14:textId="35EF6BEB" w:rsidR="001A46EF" w:rsidRPr="001A46EF" w:rsidRDefault="001A1EF8" w:rsidP="001A46EF">
          <w:pPr>
            <w:pStyle w:val="TOCHeading"/>
            <w:spacing w:line="18" w:lineRule="atLeast"/>
            <w:jc w:val="center"/>
            <w:rPr>
              <w:color w:val="808080" w:themeColor="background1" w:themeShade="80"/>
              <w:sz w:val="22"/>
              <w:szCs w:val="22"/>
            </w:rPr>
          </w:pPr>
          <w:r w:rsidRPr="001A46EF">
            <w:rPr>
              <w:color w:val="808080" w:themeColor="background1" w:themeShade="80"/>
              <w:sz w:val="22"/>
              <w:szCs w:val="22"/>
            </w:rPr>
            <w:t>Contents</w:t>
          </w:r>
        </w:p>
        <w:p w14:paraId="574516B5" w14:textId="5A301B02" w:rsidR="009F0DB5" w:rsidRPr="009F0DB5" w:rsidRDefault="00D33831" w:rsidP="009F0DB5">
          <w:pPr>
            <w:pStyle w:val="TOC1"/>
            <w:spacing w:line="18" w:lineRule="atLeast"/>
            <w:rPr>
              <w:rFonts w:asciiTheme="minorHAnsi" w:hAnsiTheme="minorHAnsi" w:cstheme="minorBidi"/>
              <w:b w:val="0"/>
              <w:bCs w:val="0"/>
              <w:sz w:val="16"/>
              <w:szCs w:val="16"/>
            </w:rPr>
          </w:pPr>
          <w:r w:rsidRPr="001A46EF">
            <w:rPr>
              <w:sz w:val="16"/>
              <w:szCs w:val="16"/>
            </w:rPr>
            <w:fldChar w:fldCharType="begin"/>
          </w:r>
          <w:r w:rsidRPr="001A46EF">
            <w:rPr>
              <w:sz w:val="16"/>
              <w:szCs w:val="16"/>
            </w:rPr>
            <w:instrText xml:space="preserve"> TOC \o "1-3" \h \z \u </w:instrText>
          </w:r>
          <w:r w:rsidRPr="001A46EF">
            <w:rPr>
              <w:sz w:val="16"/>
              <w:szCs w:val="16"/>
            </w:rPr>
            <w:fldChar w:fldCharType="separate"/>
          </w:r>
          <w:hyperlink w:anchor="_Toc198120574" w:history="1">
            <w:r w:rsidR="009F0DB5" w:rsidRPr="009F0DB5">
              <w:rPr>
                <w:rStyle w:val="Hyperlink"/>
                <w:sz w:val="16"/>
                <w:szCs w:val="16"/>
              </w:rPr>
              <w:t>1. Introduction</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_Toc198120574 \h </w:instrText>
            </w:r>
            <w:r w:rsidR="009F0DB5" w:rsidRPr="009F0DB5">
              <w:rPr>
                <w:webHidden/>
                <w:sz w:val="16"/>
                <w:szCs w:val="16"/>
              </w:rPr>
            </w:r>
            <w:r w:rsidR="009F0DB5" w:rsidRPr="009F0DB5">
              <w:rPr>
                <w:webHidden/>
                <w:sz w:val="16"/>
                <w:szCs w:val="16"/>
              </w:rPr>
              <w:fldChar w:fldCharType="separate"/>
            </w:r>
            <w:r w:rsidR="009F0DB5">
              <w:rPr>
                <w:webHidden/>
                <w:sz w:val="16"/>
                <w:szCs w:val="16"/>
              </w:rPr>
              <w:t>6</w:t>
            </w:r>
            <w:r w:rsidR="009F0DB5" w:rsidRPr="009F0DB5">
              <w:rPr>
                <w:webHidden/>
                <w:sz w:val="16"/>
                <w:szCs w:val="16"/>
              </w:rPr>
              <w:fldChar w:fldCharType="end"/>
            </w:r>
          </w:hyperlink>
        </w:p>
        <w:p w14:paraId="10851558" w14:textId="5D27577D" w:rsidR="009F0DB5" w:rsidRPr="009F0DB5" w:rsidRDefault="00A66493" w:rsidP="009F0DB5">
          <w:pPr>
            <w:pStyle w:val="TOC2"/>
            <w:tabs>
              <w:tab w:val="right" w:leader="dot" w:pos="9016"/>
            </w:tabs>
            <w:spacing w:line="18" w:lineRule="atLeast"/>
            <w:rPr>
              <w:noProof/>
              <w:sz w:val="16"/>
              <w:szCs w:val="16"/>
            </w:rPr>
          </w:pPr>
          <w:hyperlink w:anchor="_Toc198120575" w:history="1">
            <w:r w:rsidR="009F0DB5" w:rsidRPr="009F0DB5">
              <w:rPr>
                <w:rStyle w:val="Hyperlink"/>
                <w:noProof/>
                <w:sz w:val="16"/>
                <w:szCs w:val="16"/>
              </w:rPr>
              <w:t>1.1 Background</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_Toc198120575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6</w:t>
            </w:r>
            <w:r w:rsidR="009F0DB5" w:rsidRPr="009F0DB5">
              <w:rPr>
                <w:noProof/>
                <w:webHidden/>
                <w:sz w:val="16"/>
                <w:szCs w:val="16"/>
              </w:rPr>
              <w:fldChar w:fldCharType="end"/>
            </w:r>
          </w:hyperlink>
        </w:p>
        <w:p w14:paraId="5C90808C" w14:textId="429758B4" w:rsidR="009F0DB5" w:rsidRPr="009F0DB5" w:rsidRDefault="00A66493" w:rsidP="009F0DB5">
          <w:pPr>
            <w:pStyle w:val="TOC2"/>
            <w:tabs>
              <w:tab w:val="right" w:leader="dot" w:pos="9016"/>
            </w:tabs>
            <w:spacing w:line="18" w:lineRule="atLeast"/>
            <w:rPr>
              <w:noProof/>
              <w:sz w:val="16"/>
              <w:szCs w:val="16"/>
            </w:rPr>
          </w:pPr>
          <w:hyperlink w:anchor="_Toc198120576" w:history="1">
            <w:r w:rsidR="009F0DB5" w:rsidRPr="009F0DB5">
              <w:rPr>
                <w:rStyle w:val="Hyperlink"/>
                <w:noProof/>
                <w:sz w:val="16"/>
                <w:szCs w:val="16"/>
              </w:rPr>
              <w:t>1.2 Rationale for the Study</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_Toc198120576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7</w:t>
            </w:r>
            <w:r w:rsidR="009F0DB5" w:rsidRPr="009F0DB5">
              <w:rPr>
                <w:noProof/>
                <w:webHidden/>
                <w:sz w:val="16"/>
                <w:szCs w:val="16"/>
              </w:rPr>
              <w:fldChar w:fldCharType="end"/>
            </w:r>
          </w:hyperlink>
        </w:p>
        <w:p w14:paraId="2EA061D0" w14:textId="0DFEEFDE" w:rsidR="009F0DB5" w:rsidRPr="009F0DB5" w:rsidRDefault="00A66493" w:rsidP="009F0DB5">
          <w:pPr>
            <w:pStyle w:val="TOC2"/>
            <w:tabs>
              <w:tab w:val="right" w:leader="dot" w:pos="9016"/>
            </w:tabs>
            <w:spacing w:line="18" w:lineRule="atLeast"/>
            <w:rPr>
              <w:noProof/>
              <w:sz w:val="16"/>
              <w:szCs w:val="16"/>
            </w:rPr>
          </w:pPr>
          <w:hyperlink w:anchor="_Toc198120577" w:history="1">
            <w:r w:rsidR="009F0DB5" w:rsidRPr="009F0DB5">
              <w:rPr>
                <w:rStyle w:val="Hyperlink"/>
                <w:noProof/>
                <w:sz w:val="16"/>
                <w:szCs w:val="16"/>
              </w:rPr>
              <w:t>1.3  The Role of Structured Internal Audits and their Effectiveness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_Toc198120577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8</w:t>
            </w:r>
            <w:r w:rsidR="009F0DB5" w:rsidRPr="009F0DB5">
              <w:rPr>
                <w:noProof/>
                <w:webHidden/>
                <w:sz w:val="16"/>
                <w:szCs w:val="16"/>
              </w:rPr>
              <w:fldChar w:fldCharType="end"/>
            </w:r>
          </w:hyperlink>
        </w:p>
        <w:p w14:paraId="59D53211" w14:textId="54AF7F96"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578" w:history="1">
            <w:r w:rsidR="009F0DB5" w:rsidRPr="009F0DB5">
              <w:rPr>
                <w:rStyle w:val="Hyperlink"/>
                <w:sz w:val="16"/>
                <w:szCs w:val="16"/>
              </w:rPr>
              <w:t>2. Aims and Objectives</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_Toc198120578 \h </w:instrText>
            </w:r>
            <w:r w:rsidR="009F0DB5" w:rsidRPr="009F0DB5">
              <w:rPr>
                <w:webHidden/>
                <w:sz w:val="16"/>
                <w:szCs w:val="16"/>
              </w:rPr>
            </w:r>
            <w:r w:rsidR="009F0DB5" w:rsidRPr="009F0DB5">
              <w:rPr>
                <w:webHidden/>
                <w:sz w:val="16"/>
                <w:szCs w:val="16"/>
              </w:rPr>
              <w:fldChar w:fldCharType="separate"/>
            </w:r>
            <w:r w:rsidR="009F0DB5">
              <w:rPr>
                <w:webHidden/>
                <w:sz w:val="16"/>
                <w:szCs w:val="16"/>
              </w:rPr>
              <w:t>10</w:t>
            </w:r>
            <w:r w:rsidR="009F0DB5" w:rsidRPr="009F0DB5">
              <w:rPr>
                <w:webHidden/>
                <w:sz w:val="16"/>
                <w:szCs w:val="16"/>
              </w:rPr>
              <w:fldChar w:fldCharType="end"/>
            </w:r>
          </w:hyperlink>
        </w:p>
        <w:p w14:paraId="62EE9748" w14:textId="05C3C03E" w:rsidR="009F0DB5" w:rsidRPr="009F0DB5" w:rsidRDefault="00A66493" w:rsidP="009F0DB5">
          <w:pPr>
            <w:pStyle w:val="TOC2"/>
            <w:tabs>
              <w:tab w:val="right" w:leader="dot" w:pos="9016"/>
            </w:tabs>
            <w:spacing w:line="18" w:lineRule="atLeast"/>
            <w:rPr>
              <w:noProof/>
              <w:sz w:val="16"/>
              <w:szCs w:val="16"/>
            </w:rPr>
          </w:pPr>
          <w:hyperlink w:anchor="_Toc198120579" w:history="1">
            <w:r w:rsidR="009F0DB5" w:rsidRPr="009F0DB5">
              <w:rPr>
                <w:rStyle w:val="Hyperlink"/>
                <w:noProof/>
                <w:sz w:val="16"/>
                <w:szCs w:val="16"/>
              </w:rPr>
              <w:t>2.1 Primary Aim</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_Toc198120579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10</w:t>
            </w:r>
            <w:r w:rsidR="009F0DB5" w:rsidRPr="009F0DB5">
              <w:rPr>
                <w:noProof/>
                <w:webHidden/>
                <w:sz w:val="16"/>
                <w:szCs w:val="16"/>
              </w:rPr>
              <w:fldChar w:fldCharType="end"/>
            </w:r>
          </w:hyperlink>
        </w:p>
        <w:p w14:paraId="762E8E94" w14:textId="02AB469B" w:rsidR="009F0DB5" w:rsidRPr="009F0DB5" w:rsidRDefault="00A66493" w:rsidP="009F0DB5">
          <w:pPr>
            <w:pStyle w:val="TOC2"/>
            <w:tabs>
              <w:tab w:val="right" w:leader="dot" w:pos="9016"/>
            </w:tabs>
            <w:spacing w:line="18" w:lineRule="atLeast"/>
            <w:rPr>
              <w:noProof/>
              <w:sz w:val="16"/>
              <w:szCs w:val="16"/>
            </w:rPr>
          </w:pPr>
          <w:hyperlink w:anchor="_Toc198120580" w:history="1">
            <w:r w:rsidR="009F0DB5" w:rsidRPr="009F0DB5">
              <w:rPr>
                <w:rStyle w:val="Hyperlink"/>
                <w:noProof/>
                <w:sz w:val="16"/>
                <w:szCs w:val="16"/>
              </w:rPr>
              <w:t>2.2 Specific Objectives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_Toc198120580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10</w:t>
            </w:r>
            <w:r w:rsidR="009F0DB5" w:rsidRPr="009F0DB5">
              <w:rPr>
                <w:noProof/>
                <w:webHidden/>
                <w:sz w:val="16"/>
                <w:szCs w:val="16"/>
              </w:rPr>
              <w:fldChar w:fldCharType="end"/>
            </w:r>
          </w:hyperlink>
        </w:p>
        <w:p w14:paraId="7320B368" w14:textId="10744C5F" w:rsidR="009F0DB5" w:rsidRPr="009F0DB5" w:rsidRDefault="00A66493" w:rsidP="009F0DB5">
          <w:pPr>
            <w:pStyle w:val="TOC2"/>
            <w:tabs>
              <w:tab w:val="right" w:leader="dot" w:pos="9016"/>
            </w:tabs>
            <w:spacing w:line="18" w:lineRule="atLeast"/>
            <w:rPr>
              <w:noProof/>
              <w:sz w:val="16"/>
              <w:szCs w:val="16"/>
            </w:rPr>
          </w:pPr>
          <w:hyperlink w:anchor="_Toc198120581" w:history="1">
            <w:r w:rsidR="009F0DB5" w:rsidRPr="009F0DB5">
              <w:rPr>
                <w:rStyle w:val="Hyperlink"/>
                <w:noProof/>
                <w:sz w:val="16"/>
                <w:szCs w:val="16"/>
              </w:rPr>
              <w:t>2.3 Report Structure</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_Toc198120581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11</w:t>
            </w:r>
            <w:r w:rsidR="009F0DB5" w:rsidRPr="009F0DB5">
              <w:rPr>
                <w:noProof/>
                <w:webHidden/>
                <w:sz w:val="16"/>
                <w:szCs w:val="16"/>
              </w:rPr>
              <w:fldChar w:fldCharType="end"/>
            </w:r>
          </w:hyperlink>
        </w:p>
        <w:p w14:paraId="488F8F7F" w14:textId="6F8DB2D2"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582" w:history="1">
            <w:r w:rsidR="009F0DB5" w:rsidRPr="009F0DB5">
              <w:rPr>
                <w:rStyle w:val="Hyperlink"/>
                <w:sz w:val="16"/>
                <w:szCs w:val="16"/>
              </w:rPr>
              <w:t>3. Timing Plan</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_Toc198120582 \h </w:instrText>
            </w:r>
            <w:r w:rsidR="009F0DB5" w:rsidRPr="009F0DB5">
              <w:rPr>
                <w:webHidden/>
                <w:sz w:val="16"/>
                <w:szCs w:val="16"/>
              </w:rPr>
            </w:r>
            <w:r w:rsidR="009F0DB5" w:rsidRPr="009F0DB5">
              <w:rPr>
                <w:webHidden/>
                <w:sz w:val="16"/>
                <w:szCs w:val="16"/>
              </w:rPr>
              <w:fldChar w:fldCharType="separate"/>
            </w:r>
            <w:r w:rsidR="009F0DB5">
              <w:rPr>
                <w:webHidden/>
                <w:sz w:val="16"/>
                <w:szCs w:val="16"/>
              </w:rPr>
              <w:t>12</w:t>
            </w:r>
            <w:r w:rsidR="009F0DB5" w:rsidRPr="009F0DB5">
              <w:rPr>
                <w:webHidden/>
                <w:sz w:val="16"/>
                <w:szCs w:val="16"/>
              </w:rPr>
              <w:fldChar w:fldCharType="end"/>
            </w:r>
          </w:hyperlink>
        </w:p>
        <w:p w14:paraId="4680D892" w14:textId="12216BC9" w:rsidR="009F0DB5" w:rsidRPr="009F0DB5" w:rsidRDefault="00A66493" w:rsidP="009F0DB5">
          <w:pPr>
            <w:pStyle w:val="TOC2"/>
            <w:tabs>
              <w:tab w:val="right" w:leader="dot" w:pos="9016"/>
            </w:tabs>
            <w:spacing w:line="18" w:lineRule="atLeast"/>
            <w:rPr>
              <w:noProof/>
              <w:sz w:val="16"/>
              <w:szCs w:val="16"/>
            </w:rPr>
          </w:pPr>
          <w:hyperlink w:anchor="_Toc198120583" w:history="1">
            <w:r w:rsidR="009F0DB5" w:rsidRPr="009F0DB5">
              <w:rPr>
                <w:rStyle w:val="Hyperlink"/>
                <w:noProof/>
                <w:sz w:val="16"/>
                <w:szCs w:val="16"/>
              </w:rPr>
              <w:t>3.1 Project Timeline</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_Toc198120583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12</w:t>
            </w:r>
            <w:r w:rsidR="009F0DB5" w:rsidRPr="009F0DB5">
              <w:rPr>
                <w:noProof/>
                <w:webHidden/>
                <w:sz w:val="16"/>
                <w:szCs w:val="16"/>
              </w:rPr>
              <w:fldChar w:fldCharType="end"/>
            </w:r>
          </w:hyperlink>
        </w:p>
        <w:p w14:paraId="58014649" w14:textId="13D97282"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584" w:history="1">
            <w:r w:rsidR="009F0DB5" w:rsidRPr="009F0DB5">
              <w:rPr>
                <w:rStyle w:val="Hyperlink"/>
                <w:sz w:val="16"/>
                <w:szCs w:val="16"/>
              </w:rPr>
              <w:t>4. Literature Review</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_Toc198120584 \h </w:instrText>
            </w:r>
            <w:r w:rsidR="009F0DB5" w:rsidRPr="009F0DB5">
              <w:rPr>
                <w:webHidden/>
                <w:sz w:val="16"/>
                <w:szCs w:val="16"/>
              </w:rPr>
            </w:r>
            <w:r w:rsidR="009F0DB5" w:rsidRPr="009F0DB5">
              <w:rPr>
                <w:webHidden/>
                <w:sz w:val="16"/>
                <w:szCs w:val="16"/>
              </w:rPr>
              <w:fldChar w:fldCharType="separate"/>
            </w:r>
            <w:r w:rsidR="009F0DB5">
              <w:rPr>
                <w:webHidden/>
                <w:sz w:val="16"/>
                <w:szCs w:val="16"/>
              </w:rPr>
              <w:t>14</w:t>
            </w:r>
            <w:r w:rsidR="009F0DB5" w:rsidRPr="009F0DB5">
              <w:rPr>
                <w:webHidden/>
                <w:sz w:val="16"/>
                <w:szCs w:val="16"/>
              </w:rPr>
              <w:fldChar w:fldCharType="end"/>
            </w:r>
          </w:hyperlink>
        </w:p>
        <w:p w14:paraId="43F231EA" w14:textId="6A461AEA" w:rsidR="009F0DB5" w:rsidRPr="009F0DB5" w:rsidRDefault="00A66493" w:rsidP="009F0DB5">
          <w:pPr>
            <w:pStyle w:val="TOC2"/>
            <w:tabs>
              <w:tab w:val="right" w:leader="dot" w:pos="9016"/>
            </w:tabs>
            <w:spacing w:line="18" w:lineRule="atLeast"/>
            <w:rPr>
              <w:noProof/>
              <w:sz w:val="16"/>
              <w:szCs w:val="16"/>
            </w:rPr>
          </w:pPr>
          <w:hyperlink w:anchor="_Toc198120585" w:history="1">
            <w:r w:rsidR="009F0DB5" w:rsidRPr="009F0DB5">
              <w:rPr>
                <w:rStyle w:val="Hyperlink"/>
                <w:noProof/>
                <w:sz w:val="16"/>
                <w:szCs w:val="16"/>
              </w:rPr>
              <w:t>4.1 Overview of Internal Auditing Practices in Manufacturing</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_Toc198120585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14</w:t>
            </w:r>
            <w:r w:rsidR="009F0DB5" w:rsidRPr="009F0DB5">
              <w:rPr>
                <w:noProof/>
                <w:webHidden/>
                <w:sz w:val="16"/>
                <w:szCs w:val="16"/>
              </w:rPr>
              <w:fldChar w:fldCharType="end"/>
            </w:r>
          </w:hyperlink>
        </w:p>
        <w:p w14:paraId="3D71BE37" w14:textId="31D293E4" w:rsidR="009F0DB5" w:rsidRPr="009F0DB5" w:rsidRDefault="00A66493" w:rsidP="009F0DB5">
          <w:pPr>
            <w:pStyle w:val="TOC2"/>
            <w:tabs>
              <w:tab w:val="right" w:leader="dot" w:pos="9016"/>
            </w:tabs>
            <w:spacing w:line="18" w:lineRule="atLeast"/>
            <w:rPr>
              <w:noProof/>
              <w:sz w:val="16"/>
              <w:szCs w:val="16"/>
            </w:rPr>
          </w:pPr>
          <w:hyperlink w:anchor="_Toc198120586" w:history="1">
            <w:r w:rsidR="009F0DB5" w:rsidRPr="009F0DB5">
              <w:rPr>
                <w:rStyle w:val="Hyperlink"/>
                <w:noProof/>
                <w:sz w:val="16"/>
                <w:szCs w:val="16"/>
              </w:rPr>
              <w:t>4.2 The Role of Internal Audits in Machinery Transfers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_Toc198120586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16</w:t>
            </w:r>
            <w:r w:rsidR="009F0DB5" w:rsidRPr="009F0DB5">
              <w:rPr>
                <w:noProof/>
                <w:webHidden/>
                <w:sz w:val="16"/>
                <w:szCs w:val="16"/>
              </w:rPr>
              <w:fldChar w:fldCharType="end"/>
            </w:r>
          </w:hyperlink>
        </w:p>
        <w:p w14:paraId="4F9B2683" w14:textId="36D1FAC0" w:rsidR="009F0DB5" w:rsidRPr="009F0DB5" w:rsidRDefault="00A66493" w:rsidP="009F0DB5">
          <w:pPr>
            <w:pStyle w:val="TOC2"/>
            <w:tabs>
              <w:tab w:val="right" w:leader="dot" w:pos="9016"/>
            </w:tabs>
            <w:spacing w:line="18" w:lineRule="atLeast"/>
            <w:rPr>
              <w:noProof/>
              <w:sz w:val="16"/>
              <w:szCs w:val="16"/>
            </w:rPr>
          </w:pPr>
          <w:hyperlink w:anchor="_Toc198120587" w:history="1">
            <w:r w:rsidR="009F0DB5" w:rsidRPr="009F0DB5">
              <w:rPr>
                <w:rStyle w:val="Hyperlink"/>
                <w:noProof/>
                <w:sz w:val="16"/>
                <w:szCs w:val="16"/>
              </w:rPr>
              <w:t>4.3 Risk Management Strategies in Machinery Transfers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_Toc198120587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17</w:t>
            </w:r>
            <w:r w:rsidR="009F0DB5" w:rsidRPr="009F0DB5">
              <w:rPr>
                <w:noProof/>
                <w:webHidden/>
                <w:sz w:val="16"/>
                <w:szCs w:val="16"/>
              </w:rPr>
              <w:fldChar w:fldCharType="end"/>
            </w:r>
          </w:hyperlink>
        </w:p>
        <w:p w14:paraId="0E2143F6" w14:textId="3ECCAE33" w:rsidR="009F0DB5" w:rsidRPr="009F0DB5" w:rsidRDefault="00A66493" w:rsidP="009F0DB5">
          <w:pPr>
            <w:pStyle w:val="TOC2"/>
            <w:tabs>
              <w:tab w:val="right" w:leader="dot" w:pos="9016"/>
            </w:tabs>
            <w:spacing w:line="18" w:lineRule="atLeast"/>
            <w:rPr>
              <w:noProof/>
              <w:sz w:val="16"/>
              <w:szCs w:val="16"/>
            </w:rPr>
          </w:pPr>
          <w:hyperlink w:anchor="_Toc198120588" w:history="1">
            <w:r w:rsidR="009F0DB5" w:rsidRPr="009F0DB5">
              <w:rPr>
                <w:rStyle w:val="Hyperlink"/>
                <w:noProof/>
                <w:sz w:val="16"/>
                <w:szCs w:val="16"/>
              </w:rPr>
              <w:t>4.4 Comparative Studies in Manufacturing Audit Processes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_Toc198120588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18</w:t>
            </w:r>
            <w:r w:rsidR="009F0DB5" w:rsidRPr="009F0DB5">
              <w:rPr>
                <w:noProof/>
                <w:webHidden/>
                <w:sz w:val="16"/>
                <w:szCs w:val="16"/>
              </w:rPr>
              <w:fldChar w:fldCharType="end"/>
            </w:r>
          </w:hyperlink>
        </w:p>
        <w:p w14:paraId="2D38FC13" w14:textId="371566B9" w:rsidR="009F0DB5" w:rsidRPr="009F0DB5" w:rsidRDefault="00A66493" w:rsidP="009F0DB5">
          <w:pPr>
            <w:pStyle w:val="TOC2"/>
            <w:tabs>
              <w:tab w:val="right" w:leader="dot" w:pos="9016"/>
            </w:tabs>
            <w:spacing w:line="18" w:lineRule="atLeast"/>
            <w:rPr>
              <w:noProof/>
              <w:sz w:val="16"/>
              <w:szCs w:val="16"/>
            </w:rPr>
          </w:pPr>
          <w:hyperlink w:anchor="_Toc198120589" w:history="1">
            <w:r w:rsidR="009F0DB5" w:rsidRPr="009F0DB5">
              <w:rPr>
                <w:rStyle w:val="Hyperlink"/>
                <w:noProof/>
                <w:sz w:val="16"/>
                <w:szCs w:val="16"/>
              </w:rPr>
              <w:t>4.5 Regulatory and Procedural Standards in SEWS-E</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_Toc198120589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19</w:t>
            </w:r>
            <w:r w:rsidR="009F0DB5" w:rsidRPr="009F0DB5">
              <w:rPr>
                <w:noProof/>
                <w:webHidden/>
                <w:sz w:val="16"/>
                <w:szCs w:val="16"/>
              </w:rPr>
              <w:fldChar w:fldCharType="end"/>
            </w:r>
          </w:hyperlink>
        </w:p>
        <w:p w14:paraId="7E2B3838" w14:textId="20E20743"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590" w:history="1">
            <w:r w:rsidR="009F0DB5" w:rsidRPr="009F0DB5">
              <w:rPr>
                <w:rStyle w:val="Hyperlink"/>
                <w:sz w:val="16"/>
                <w:szCs w:val="16"/>
              </w:rPr>
              <w:t>5. Audit Process</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_Toc198120590 \h </w:instrText>
            </w:r>
            <w:r w:rsidR="009F0DB5" w:rsidRPr="009F0DB5">
              <w:rPr>
                <w:webHidden/>
                <w:sz w:val="16"/>
                <w:szCs w:val="16"/>
              </w:rPr>
            </w:r>
            <w:r w:rsidR="009F0DB5" w:rsidRPr="009F0DB5">
              <w:rPr>
                <w:webHidden/>
                <w:sz w:val="16"/>
                <w:szCs w:val="16"/>
              </w:rPr>
              <w:fldChar w:fldCharType="separate"/>
            </w:r>
            <w:r w:rsidR="009F0DB5">
              <w:rPr>
                <w:webHidden/>
                <w:sz w:val="16"/>
                <w:szCs w:val="16"/>
              </w:rPr>
              <w:t>20</w:t>
            </w:r>
            <w:r w:rsidR="009F0DB5" w:rsidRPr="009F0DB5">
              <w:rPr>
                <w:webHidden/>
                <w:sz w:val="16"/>
                <w:szCs w:val="16"/>
              </w:rPr>
              <w:fldChar w:fldCharType="end"/>
            </w:r>
          </w:hyperlink>
        </w:p>
        <w:p w14:paraId="5B18BBF2" w14:textId="404C9B7D" w:rsidR="009F0DB5" w:rsidRPr="009F0DB5" w:rsidRDefault="00A66493" w:rsidP="009F0DB5">
          <w:pPr>
            <w:pStyle w:val="TOC2"/>
            <w:tabs>
              <w:tab w:val="right" w:leader="dot" w:pos="9016"/>
            </w:tabs>
            <w:spacing w:line="18" w:lineRule="atLeast"/>
            <w:rPr>
              <w:noProof/>
              <w:sz w:val="16"/>
              <w:szCs w:val="16"/>
            </w:rPr>
          </w:pPr>
          <w:hyperlink w:anchor="_Toc198120591" w:history="1">
            <w:r w:rsidR="009F0DB5" w:rsidRPr="009F0DB5">
              <w:rPr>
                <w:rStyle w:val="Hyperlink"/>
                <w:noProof/>
                <w:sz w:val="16"/>
                <w:szCs w:val="16"/>
              </w:rPr>
              <w:t>5.1 SEWS-E Internal Audit Flow Chart</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_Toc198120591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20</w:t>
            </w:r>
            <w:r w:rsidR="009F0DB5" w:rsidRPr="009F0DB5">
              <w:rPr>
                <w:noProof/>
                <w:webHidden/>
                <w:sz w:val="16"/>
                <w:szCs w:val="16"/>
              </w:rPr>
              <w:fldChar w:fldCharType="end"/>
            </w:r>
          </w:hyperlink>
        </w:p>
        <w:p w14:paraId="5EEF19A4" w14:textId="556A7B1C" w:rsidR="009F0DB5" w:rsidRPr="009F0DB5" w:rsidRDefault="00A66493" w:rsidP="009F0DB5">
          <w:pPr>
            <w:pStyle w:val="TOC2"/>
            <w:tabs>
              <w:tab w:val="right" w:leader="dot" w:pos="9016"/>
            </w:tabs>
            <w:spacing w:line="18" w:lineRule="atLeast"/>
            <w:rPr>
              <w:noProof/>
              <w:sz w:val="16"/>
              <w:szCs w:val="16"/>
            </w:rPr>
          </w:pPr>
          <w:hyperlink w:anchor="_Toc198120592" w:history="1">
            <w:r w:rsidR="009F0DB5" w:rsidRPr="009F0DB5">
              <w:rPr>
                <w:rStyle w:val="Hyperlink"/>
                <w:noProof/>
                <w:sz w:val="16"/>
                <w:szCs w:val="16"/>
              </w:rPr>
              <w:t>5.2 Data Collection Methods: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_Toc198120592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22</w:t>
            </w:r>
            <w:r w:rsidR="009F0DB5" w:rsidRPr="009F0DB5">
              <w:rPr>
                <w:noProof/>
                <w:webHidden/>
                <w:sz w:val="16"/>
                <w:szCs w:val="16"/>
              </w:rPr>
              <w:fldChar w:fldCharType="end"/>
            </w:r>
          </w:hyperlink>
        </w:p>
        <w:p w14:paraId="15B7838B" w14:textId="6D3913B0" w:rsidR="009F0DB5" w:rsidRPr="009F0DB5" w:rsidRDefault="00A66493" w:rsidP="009F0DB5">
          <w:pPr>
            <w:pStyle w:val="TOC2"/>
            <w:tabs>
              <w:tab w:val="right" w:leader="dot" w:pos="9016"/>
            </w:tabs>
            <w:spacing w:line="18" w:lineRule="atLeast"/>
            <w:rPr>
              <w:noProof/>
              <w:sz w:val="16"/>
              <w:szCs w:val="16"/>
            </w:rPr>
          </w:pPr>
          <w:hyperlink w:anchor="_Toc198120593" w:history="1">
            <w:r w:rsidR="009F0DB5" w:rsidRPr="009F0DB5">
              <w:rPr>
                <w:rStyle w:val="Hyperlink"/>
                <w:noProof/>
                <w:sz w:val="16"/>
                <w:szCs w:val="16"/>
              </w:rPr>
              <w:t>5.3 Audit Evaluation Approach</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_Toc198120593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23</w:t>
            </w:r>
            <w:r w:rsidR="009F0DB5" w:rsidRPr="009F0DB5">
              <w:rPr>
                <w:noProof/>
                <w:webHidden/>
                <w:sz w:val="16"/>
                <w:szCs w:val="16"/>
              </w:rPr>
              <w:fldChar w:fldCharType="end"/>
            </w:r>
          </w:hyperlink>
        </w:p>
        <w:p w14:paraId="3C3E329B" w14:textId="5EBCACC2" w:rsidR="009F0DB5" w:rsidRPr="009F0DB5" w:rsidRDefault="00A66493" w:rsidP="009F0DB5">
          <w:pPr>
            <w:pStyle w:val="TOC2"/>
            <w:tabs>
              <w:tab w:val="right" w:leader="dot" w:pos="9016"/>
            </w:tabs>
            <w:spacing w:line="18" w:lineRule="atLeast"/>
            <w:rPr>
              <w:noProof/>
              <w:sz w:val="16"/>
              <w:szCs w:val="16"/>
            </w:rPr>
          </w:pPr>
          <w:hyperlink w:anchor="_Toc198120594" w:history="1">
            <w:r w:rsidR="009F0DB5" w:rsidRPr="009F0DB5">
              <w:rPr>
                <w:rStyle w:val="Hyperlink"/>
                <w:noProof/>
                <w:sz w:val="16"/>
                <w:szCs w:val="16"/>
              </w:rPr>
              <w:t>5.4 SWOT Analysis of SEWS-E Internal Audit Processes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_Toc198120594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24</w:t>
            </w:r>
            <w:r w:rsidR="009F0DB5" w:rsidRPr="009F0DB5">
              <w:rPr>
                <w:noProof/>
                <w:webHidden/>
                <w:sz w:val="16"/>
                <w:szCs w:val="16"/>
              </w:rPr>
              <w:fldChar w:fldCharType="end"/>
            </w:r>
          </w:hyperlink>
        </w:p>
        <w:p w14:paraId="3928263F" w14:textId="384625E0" w:rsidR="009F0DB5" w:rsidRPr="009F0DB5" w:rsidRDefault="00A66493" w:rsidP="009F0DB5">
          <w:pPr>
            <w:pStyle w:val="TOC2"/>
            <w:tabs>
              <w:tab w:val="right" w:leader="dot" w:pos="9016"/>
            </w:tabs>
            <w:spacing w:line="18" w:lineRule="atLeast"/>
            <w:rPr>
              <w:noProof/>
              <w:sz w:val="16"/>
              <w:szCs w:val="16"/>
            </w:rPr>
          </w:pPr>
          <w:hyperlink w:anchor="_Toc198120595" w:history="1">
            <w:r w:rsidR="009F0DB5" w:rsidRPr="009F0DB5">
              <w:rPr>
                <w:rStyle w:val="Hyperlink"/>
                <w:noProof/>
                <w:sz w:val="16"/>
                <w:szCs w:val="16"/>
              </w:rPr>
              <w:t>5.5 Analytical Framework for Assessing Internal Audits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_Toc198120595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26</w:t>
            </w:r>
            <w:r w:rsidR="009F0DB5" w:rsidRPr="009F0DB5">
              <w:rPr>
                <w:noProof/>
                <w:webHidden/>
                <w:sz w:val="16"/>
                <w:szCs w:val="16"/>
              </w:rPr>
              <w:fldChar w:fldCharType="end"/>
            </w:r>
          </w:hyperlink>
        </w:p>
        <w:p w14:paraId="545012BB" w14:textId="72E753C3"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596" w:history="1">
            <w:r w:rsidR="009F0DB5" w:rsidRPr="009F0DB5">
              <w:rPr>
                <w:rStyle w:val="Hyperlink"/>
                <w:sz w:val="16"/>
                <w:szCs w:val="16"/>
              </w:rPr>
              <w:t>6. Work Carried Out</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_Toc198120596 \h </w:instrText>
            </w:r>
            <w:r w:rsidR="009F0DB5" w:rsidRPr="009F0DB5">
              <w:rPr>
                <w:webHidden/>
                <w:sz w:val="16"/>
                <w:szCs w:val="16"/>
              </w:rPr>
            </w:r>
            <w:r w:rsidR="009F0DB5" w:rsidRPr="009F0DB5">
              <w:rPr>
                <w:webHidden/>
                <w:sz w:val="16"/>
                <w:szCs w:val="16"/>
              </w:rPr>
              <w:fldChar w:fldCharType="separate"/>
            </w:r>
            <w:r w:rsidR="009F0DB5">
              <w:rPr>
                <w:webHidden/>
                <w:sz w:val="16"/>
                <w:szCs w:val="16"/>
              </w:rPr>
              <w:t>27</w:t>
            </w:r>
            <w:r w:rsidR="009F0DB5" w:rsidRPr="009F0DB5">
              <w:rPr>
                <w:webHidden/>
                <w:sz w:val="16"/>
                <w:szCs w:val="16"/>
              </w:rPr>
              <w:fldChar w:fldCharType="end"/>
            </w:r>
          </w:hyperlink>
        </w:p>
        <w:p w14:paraId="1EEB7397" w14:textId="27867CFE" w:rsidR="009F0DB5" w:rsidRPr="009F0DB5" w:rsidRDefault="00A66493" w:rsidP="009F0DB5">
          <w:pPr>
            <w:pStyle w:val="TOC2"/>
            <w:tabs>
              <w:tab w:val="right" w:leader="dot" w:pos="9016"/>
            </w:tabs>
            <w:spacing w:line="18" w:lineRule="atLeast"/>
            <w:rPr>
              <w:noProof/>
              <w:sz w:val="16"/>
              <w:szCs w:val="16"/>
            </w:rPr>
          </w:pPr>
          <w:hyperlink w:anchor="_Toc198120597" w:history="1">
            <w:r w:rsidR="009F0DB5" w:rsidRPr="009F0DB5">
              <w:rPr>
                <w:rStyle w:val="Hyperlink"/>
                <w:noProof/>
                <w:sz w:val="16"/>
                <w:szCs w:val="16"/>
              </w:rPr>
              <w:t>6.1 Scope of Internal Audits Conducted</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_Toc198120597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27</w:t>
            </w:r>
            <w:r w:rsidR="009F0DB5" w:rsidRPr="009F0DB5">
              <w:rPr>
                <w:noProof/>
                <w:webHidden/>
                <w:sz w:val="16"/>
                <w:szCs w:val="16"/>
              </w:rPr>
              <w:fldChar w:fldCharType="end"/>
            </w:r>
          </w:hyperlink>
        </w:p>
        <w:p w14:paraId="49BE31A9" w14:textId="5C4DE34F" w:rsidR="009F0DB5" w:rsidRPr="009F0DB5" w:rsidRDefault="00A66493" w:rsidP="009F0DB5">
          <w:pPr>
            <w:pStyle w:val="TOC2"/>
            <w:tabs>
              <w:tab w:val="right" w:leader="dot" w:pos="9016"/>
            </w:tabs>
            <w:spacing w:line="18" w:lineRule="atLeast"/>
            <w:rPr>
              <w:noProof/>
              <w:sz w:val="16"/>
              <w:szCs w:val="16"/>
            </w:rPr>
          </w:pPr>
          <w:hyperlink w:anchor="_Toc198120598" w:history="1">
            <w:r w:rsidR="009F0DB5" w:rsidRPr="009F0DB5">
              <w:rPr>
                <w:rStyle w:val="Hyperlink"/>
                <w:noProof/>
                <w:sz w:val="16"/>
                <w:szCs w:val="16"/>
              </w:rPr>
              <w:t>6.2 Audit Criteria</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_Toc198120598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28</w:t>
            </w:r>
            <w:r w:rsidR="009F0DB5" w:rsidRPr="009F0DB5">
              <w:rPr>
                <w:noProof/>
                <w:webHidden/>
                <w:sz w:val="16"/>
                <w:szCs w:val="16"/>
              </w:rPr>
              <w:fldChar w:fldCharType="end"/>
            </w:r>
          </w:hyperlink>
        </w:p>
        <w:p w14:paraId="2083F704" w14:textId="7470655F" w:rsidR="009F0DB5" w:rsidRPr="009F0DB5" w:rsidRDefault="00A66493" w:rsidP="009F0DB5">
          <w:pPr>
            <w:pStyle w:val="TOC2"/>
            <w:tabs>
              <w:tab w:val="right" w:leader="dot" w:pos="9016"/>
            </w:tabs>
            <w:spacing w:line="18" w:lineRule="atLeast"/>
            <w:rPr>
              <w:noProof/>
              <w:sz w:val="16"/>
              <w:szCs w:val="16"/>
            </w:rPr>
          </w:pPr>
          <w:hyperlink w:anchor="_Toc198120599" w:history="1">
            <w:r w:rsidR="009F0DB5" w:rsidRPr="009F0DB5">
              <w:rPr>
                <w:rStyle w:val="Hyperlink"/>
                <w:noProof/>
                <w:sz w:val="16"/>
                <w:szCs w:val="16"/>
              </w:rPr>
              <w:t>6.3 Machine Condition Failure Examples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_Toc198120599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30</w:t>
            </w:r>
            <w:r w:rsidR="009F0DB5" w:rsidRPr="009F0DB5">
              <w:rPr>
                <w:noProof/>
                <w:webHidden/>
                <w:sz w:val="16"/>
                <w:szCs w:val="16"/>
              </w:rPr>
              <w:fldChar w:fldCharType="end"/>
            </w:r>
          </w:hyperlink>
        </w:p>
        <w:p w14:paraId="01A80709" w14:textId="3DC2F9E3" w:rsidR="009F0DB5" w:rsidRPr="009F0DB5" w:rsidRDefault="00A66493" w:rsidP="009F0DB5">
          <w:pPr>
            <w:pStyle w:val="TOC2"/>
            <w:tabs>
              <w:tab w:val="right" w:leader="dot" w:pos="9016"/>
            </w:tabs>
            <w:spacing w:line="18" w:lineRule="atLeast"/>
            <w:rPr>
              <w:noProof/>
              <w:sz w:val="16"/>
              <w:szCs w:val="16"/>
            </w:rPr>
          </w:pPr>
          <w:hyperlink w:anchor="_Toc198120600" w:history="1">
            <w:r w:rsidR="009F0DB5" w:rsidRPr="009F0DB5">
              <w:rPr>
                <w:rStyle w:val="Hyperlink"/>
                <w:noProof/>
                <w:sz w:val="16"/>
                <w:szCs w:val="16"/>
              </w:rPr>
              <w:t>6.4 Identification of Risks and Mitigation Strategies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_Toc198120600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31</w:t>
            </w:r>
            <w:r w:rsidR="009F0DB5" w:rsidRPr="009F0DB5">
              <w:rPr>
                <w:noProof/>
                <w:webHidden/>
                <w:sz w:val="16"/>
                <w:szCs w:val="16"/>
              </w:rPr>
              <w:fldChar w:fldCharType="end"/>
            </w:r>
          </w:hyperlink>
        </w:p>
        <w:p w14:paraId="262288B0" w14:textId="26C14BBA"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601" w:history="1">
            <w:r w:rsidR="009F0DB5" w:rsidRPr="009F0DB5">
              <w:rPr>
                <w:rStyle w:val="Hyperlink"/>
                <w:sz w:val="16"/>
                <w:szCs w:val="16"/>
              </w:rPr>
              <w:t>7. Comparative Analysis: 2023/24 Data</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_Toc198120601 \h </w:instrText>
            </w:r>
            <w:r w:rsidR="009F0DB5" w:rsidRPr="009F0DB5">
              <w:rPr>
                <w:webHidden/>
                <w:sz w:val="16"/>
                <w:szCs w:val="16"/>
              </w:rPr>
            </w:r>
            <w:r w:rsidR="009F0DB5" w:rsidRPr="009F0DB5">
              <w:rPr>
                <w:webHidden/>
                <w:sz w:val="16"/>
                <w:szCs w:val="16"/>
              </w:rPr>
              <w:fldChar w:fldCharType="separate"/>
            </w:r>
            <w:r w:rsidR="009F0DB5">
              <w:rPr>
                <w:webHidden/>
                <w:sz w:val="16"/>
                <w:szCs w:val="16"/>
              </w:rPr>
              <w:t>33</w:t>
            </w:r>
            <w:r w:rsidR="009F0DB5" w:rsidRPr="009F0DB5">
              <w:rPr>
                <w:webHidden/>
                <w:sz w:val="16"/>
                <w:szCs w:val="16"/>
              </w:rPr>
              <w:fldChar w:fldCharType="end"/>
            </w:r>
          </w:hyperlink>
        </w:p>
        <w:p w14:paraId="15E2860F" w14:textId="172B17BD" w:rsidR="009F0DB5" w:rsidRPr="009F0DB5" w:rsidRDefault="00A66493" w:rsidP="009F0DB5">
          <w:pPr>
            <w:pStyle w:val="TOC2"/>
            <w:tabs>
              <w:tab w:val="right" w:leader="dot" w:pos="9016"/>
            </w:tabs>
            <w:spacing w:line="18" w:lineRule="atLeast"/>
            <w:rPr>
              <w:noProof/>
              <w:sz w:val="16"/>
              <w:szCs w:val="16"/>
            </w:rPr>
          </w:pPr>
          <w:hyperlink w:anchor="_Toc198120602" w:history="1">
            <w:r w:rsidR="009F0DB5" w:rsidRPr="009F0DB5">
              <w:rPr>
                <w:rStyle w:val="Hyperlink"/>
                <w:noProof/>
                <w:sz w:val="16"/>
                <w:szCs w:val="16"/>
              </w:rPr>
              <w:t>7.1 Overview of 2023 Audit Results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_Toc198120602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33</w:t>
            </w:r>
            <w:r w:rsidR="009F0DB5" w:rsidRPr="009F0DB5">
              <w:rPr>
                <w:noProof/>
                <w:webHidden/>
                <w:sz w:val="16"/>
                <w:szCs w:val="16"/>
              </w:rPr>
              <w:fldChar w:fldCharType="end"/>
            </w:r>
          </w:hyperlink>
        </w:p>
        <w:p w14:paraId="2E3D9C51" w14:textId="3C482F62" w:rsidR="009F0DB5" w:rsidRPr="009F0DB5" w:rsidRDefault="00A66493" w:rsidP="009F0DB5">
          <w:pPr>
            <w:pStyle w:val="TOC2"/>
            <w:tabs>
              <w:tab w:val="right" w:leader="dot" w:pos="9016"/>
            </w:tabs>
            <w:spacing w:line="18" w:lineRule="atLeast"/>
            <w:rPr>
              <w:noProof/>
              <w:sz w:val="16"/>
              <w:szCs w:val="16"/>
            </w:rPr>
          </w:pPr>
          <w:hyperlink w:anchor="_Toc198120603" w:history="1">
            <w:r w:rsidR="009F0DB5" w:rsidRPr="009F0DB5">
              <w:rPr>
                <w:rStyle w:val="Hyperlink"/>
                <w:noProof/>
                <w:sz w:val="16"/>
                <w:szCs w:val="16"/>
              </w:rPr>
              <w:t>7.2 Overview of 2024 Audit Results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_Toc198120603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36</w:t>
            </w:r>
            <w:r w:rsidR="009F0DB5" w:rsidRPr="009F0DB5">
              <w:rPr>
                <w:noProof/>
                <w:webHidden/>
                <w:sz w:val="16"/>
                <w:szCs w:val="16"/>
              </w:rPr>
              <w:fldChar w:fldCharType="end"/>
            </w:r>
          </w:hyperlink>
        </w:p>
        <w:p w14:paraId="0CA2ADBA" w14:textId="3B3BE811" w:rsidR="009F0DB5" w:rsidRPr="009F0DB5" w:rsidRDefault="00A66493" w:rsidP="009F0DB5">
          <w:pPr>
            <w:pStyle w:val="TOC2"/>
            <w:tabs>
              <w:tab w:val="right" w:leader="dot" w:pos="9016"/>
            </w:tabs>
            <w:spacing w:line="18" w:lineRule="atLeast"/>
            <w:rPr>
              <w:noProof/>
              <w:sz w:val="16"/>
              <w:szCs w:val="16"/>
            </w:rPr>
          </w:pPr>
          <w:hyperlink w:anchor="_Toc198120604" w:history="1">
            <w:r w:rsidR="009F0DB5" w:rsidRPr="009F0DB5">
              <w:rPr>
                <w:rStyle w:val="Hyperlink"/>
                <w:noProof/>
                <w:sz w:val="16"/>
                <w:szCs w:val="16"/>
              </w:rPr>
              <w:t>7.3 Key Findings: Trends and Differences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_Toc198120604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38</w:t>
            </w:r>
            <w:r w:rsidR="009F0DB5" w:rsidRPr="009F0DB5">
              <w:rPr>
                <w:noProof/>
                <w:webHidden/>
                <w:sz w:val="16"/>
                <w:szCs w:val="16"/>
              </w:rPr>
              <w:fldChar w:fldCharType="end"/>
            </w:r>
          </w:hyperlink>
        </w:p>
        <w:p w14:paraId="57EF6FAE" w14:textId="0DCCD91C"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605" w:history="1">
            <w:r w:rsidR="009F0DB5" w:rsidRPr="009F0DB5">
              <w:rPr>
                <w:rStyle w:val="Hyperlink"/>
                <w:sz w:val="16"/>
                <w:szCs w:val="16"/>
              </w:rPr>
              <w:t>8. Results</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_Toc198120605 \h </w:instrText>
            </w:r>
            <w:r w:rsidR="009F0DB5" w:rsidRPr="009F0DB5">
              <w:rPr>
                <w:webHidden/>
                <w:sz w:val="16"/>
                <w:szCs w:val="16"/>
              </w:rPr>
            </w:r>
            <w:r w:rsidR="009F0DB5" w:rsidRPr="009F0DB5">
              <w:rPr>
                <w:webHidden/>
                <w:sz w:val="16"/>
                <w:szCs w:val="16"/>
              </w:rPr>
              <w:fldChar w:fldCharType="separate"/>
            </w:r>
            <w:r w:rsidR="009F0DB5">
              <w:rPr>
                <w:webHidden/>
                <w:sz w:val="16"/>
                <w:szCs w:val="16"/>
              </w:rPr>
              <w:t>40</w:t>
            </w:r>
            <w:r w:rsidR="009F0DB5" w:rsidRPr="009F0DB5">
              <w:rPr>
                <w:webHidden/>
                <w:sz w:val="16"/>
                <w:szCs w:val="16"/>
              </w:rPr>
              <w:fldChar w:fldCharType="end"/>
            </w:r>
          </w:hyperlink>
        </w:p>
        <w:p w14:paraId="179C43C3" w14:textId="6D352E3F" w:rsidR="009F0DB5" w:rsidRPr="009F0DB5" w:rsidRDefault="00A66493" w:rsidP="009F0DB5">
          <w:pPr>
            <w:pStyle w:val="TOC2"/>
            <w:tabs>
              <w:tab w:val="right" w:leader="dot" w:pos="9016"/>
            </w:tabs>
            <w:spacing w:line="18" w:lineRule="atLeast"/>
            <w:rPr>
              <w:noProof/>
              <w:sz w:val="16"/>
              <w:szCs w:val="16"/>
            </w:rPr>
          </w:pPr>
          <w:hyperlink w:anchor="_Toc198120606" w:history="1">
            <w:r w:rsidR="009F0DB5" w:rsidRPr="009F0DB5">
              <w:rPr>
                <w:rStyle w:val="Hyperlink"/>
                <w:noProof/>
                <w:sz w:val="16"/>
                <w:szCs w:val="16"/>
              </w:rPr>
              <w:t>8.1 Thematic Summary of Audit Findings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_Toc198120606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40</w:t>
            </w:r>
            <w:r w:rsidR="009F0DB5" w:rsidRPr="009F0DB5">
              <w:rPr>
                <w:noProof/>
                <w:webHidden/>
                <w:sz w:val="16"/>
                <w:szCs w:val="16"/>
              </w:rPr>
              <w:fldChar w:fldCharType="end"/>
            </w:r>
          </w:hyperlink>
        </w:p>
        <w:p w14:paraId="60E04E07" w14:textId="1A5E32FC" w:rsidR="009F0DB5" w:rsidRPr="009F0DB5" w:rsidRDefault="00A66493" w:rsidP="009F0DB5">
          <w:pPr>
            <w:pStyle w:val="TOC2"/>
            <w:tabs>
              <w:tab w:val="right" w:leader="dot" w:pos="9016"/>
            </w:tabs>
            <w:spacing w:line="18" w:lineRule="atLeast"/>
            <w:rPr>
              <w:noProof/>
              <w:sz w:val="16"/>
              <w:szCs w:val="16"/>
            </w:rPr>
          </w:pPr>
          <w:hyperlink w:anchor="_Toc198120607" w:history="1">
            <w:r w:rsidR="009F0DB5" w:rsidRPr="009F0DB5">
              <w:rPr>
                <w:rStyle w:val="Hyperlink"/>
                <w:noProof/>
                <w:sz w:val="16"/>
                <w:szCs w:val="16"/>
              </w:rPr>
              <w:t>8.2 Operational Impact</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_Toc198120607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41</w:t>
            </w:r>
            <w:r w:rsidR="009F0DB5" w:rsidRPr="009F0DB5">
              <w:rPr>
                <w:noProof/>
                <w:webHidden/>
                <w:sz w:val="16"/>
                <w:szCs w:val="16"/>
              </w:rPr>
              <w:fldChar w:fldCharType="end"/>
            </w:r>
          </w:hyperlink>
        </w:p>
        <w:p w14:paraId="181E599B" w14:textId="092DFADC" w:rsidR="009F0DB5" w:rsidRPr="009F0DB5" w:rsidRDefault="00A66493" w:rsidP="009F0DB5">
          <w:pPr>
            <w:pStyle w:val="TOC2"/>
            <w:tabs>
              <w:tab w:val="right" w:leader="dot" w:pos="9016"/>
            </w:tabs>
            <w:spacing w:line="18" w:lineRule="atLeast"/>
            <w:rPr>
              <w:noProof/>
              <w:sz w:val="16"/>
              <w:szCs w:val="16"/>
            </w:rPr>
          </w:pPr>
          <w:hyperlink w:anchor="_Toc198120608" w:history="1">
            <w:r w:rsidR="009F0DB5" w:rsidRPr="009F0DB5">
              <w:rPr>
                <w:rStyle w:val="Hyperlink"/>
                <w:noProof/>
                <w:sz w:val="16"/>
                <w:szCs w:val="16"/>
              </w:rPr>
              <w:t>8.3 Combined Data Analysis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_Toc198120608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41</w:t>
            </w:r>
            <w:r w:rsidR="009F0DB5" w:rsidRPr="009F0DB5">
              <w:rPr>
                <w:noProof/>
                <w:webHidden/>
                <w:sz w:val="16"/>
                <w:szCs w:val="16"/>
              </w:rPr>
              <w:fldChar w:fldCharType="end"/>
            </w:r>
          </w:hyperlink>
        </w:p>
        <w:p w14:paraId="5F605AD6" w14:textId="71080979"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609" w:history="1">
            <w:r w:rsidR="009F0DB5" w:rsidRPr="009F0DB5">
              <w:rPr>
                <w:rStyle w:val="Hyperlink"/>
                <w:sz w:val="16"/>
                <w:szCs w:val="16"/>
              </w:rPr>
              <w:t>9. Discussion and Conclusions</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_Toc198120609 \h </w:instrText>
            </w:r>
            <w:r w:rsidR="009F0DB5" w:rsidRPr="009F0DB5">
              <w:rPr>
                <w:webHidden/>
                <w:sz w:val="16"/>
                <w:szCs w:val="16"/>
              </w:rPr>
            </w:r>
            <w:r w:rsidR="009F0DB5" w:rsidRPr="009F0DB5">
              <w:rPr>
                <w:webHidden/>
                <w:sz w:val="16"/>
                <w:szCs w:val="16"/>
              </w:rPr>
              <w:fldChar w:fldCharType="separate"/>
            </w:r>
            <w:r w:rsidR="009F0DB5">
              <w:rPr>
                <w:webHidden/>
                <w:sz w:val="16"/>
                <w:szCs w:val="16"/>
              </w:rPr>
              <w:t>43</w:t>
            </w:r>
            <w:r w:rsidR="009F0DB5" w:rsidRPr="009F0DB5">
              <w:rPr>
                <w:webHidden/>
                <w:sz w:val="16"/>
                <w:szCs w:val="16"/>
              </w:rPr>
              <w:fldChar w:fldCharType="end"/>
            </w:r>
          </w:hyperlink>
        </w:p>
        <w:p w14:paraId="0E89A12E" w14:textId="74ADF7C0" w:rsidR="009F0DB5" w:rsidRPr="009F0DB5" w:rsidRDefault="00A66493" w:rsidP="009F0DB5">
          <w:pPr>
            <w:pStyle w:val="TOC2"/>
            <w:tabs>
              <w:tab w:val="right" w:leader="dot" w:pos="9016"/>
            </w:tabs>
            <w:spacing w:line="18" w:lineRule="atLeast"/>
            <w:rPr>
              <w:noProof/>
              <w:sz w:val="16"/>
              <w:szCs w:val="16"/>
            </w:rPr>
          </w:pPr>
          <w:hyperlink w:anchor="_Toc198120610" w:history="1">
            <w:r w:rsidR="009F0DB5" w:rsidRPr="009F0DB5">
              <w:rPr>
                <w:rStyle w:val="Hyperlink"/>
                <w:noProof/>
                <w:sz w:val="16"/>
                <w:szCs w:val="16"/>
              </w:rPr>
              <w:t>9.1 Evaluating SEWS-E’s Audit Process Performance</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_Toc198120610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43</w:t>
            </w:r>
            <w:r w:rsidR="009F0DB5" w:rsidRPr="009F0DB5">
              <w:rPr>
                <w:noProof/>
                <w:webHidden/>
                <w:sz w:val="16"/>
                <w:szCs w:val="16"/>
              </w:rPr>
              <w:fldChar w:fldCharType="end"/>
            </w:r>
          </w:hyperlink>
        </w:p>
        <w:p w14:paraId="50F92898" w14:textId="018B0299" w:rsidR="009F0DB5" w:rsidRPr="009F0DB5" w:rsidRDefault="00A66493" w:rsidP="009F0DB5">
          <w:pPr>
            <w:pStyle w:val="TOC2"/>
            <w:tabs>
              <w:tab w:val="right" w:leader="dot" w:pos="9016"/>
            </w:tabs>
            <w:spacing w:line="18" w:lineRule="atLeast"/>
            <w:rPr>
              <w:noProof/>
              <w:sz w:val="16"/>
              <w:szCs w:val="16"/>
            </w:rPr>
          </w:pPr>
          <w:hyperlink w:anchor="_Toc198120611" w:history="1">
            <w:r w:rsidR="009F0DB5" w:rsidRPr="009F0DB5">
              <w:rPr>
                <w:rStyle w:val="Hyperlink"/>
                <w:noProof/>
                <w:sz w:val="16"/>
                <w:szCs w:val="16"/>
              </w:rPr>
              <w:t>9.2 Comparison with Industry Best Practises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_Toc198120611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44</w:t>
            </w:r>
            <w:r w:rsidR="009F0DB5" w:rsidRPr="009F0DB5">
              <w:rPr>
                <w:noProof/>
                <w:webHidden/>
                <w:sz w:val="16"/>
                <w:szCs w:val="16"/>
              </w:rPr>
              <w:fldChar w:fldCharType="end"/>
            </w:r>
          </w:hyperlink>
        </w:p>
        <w:p w14:paraId="0197229E" w14:textId="1268E3F3" w:rsidR="009F0DB5" w:rsidRPr="009F0DB5" w:rsidRDefault="00A66493" w:rsidP="009F0DB5">
          <w:pPr>
            <w:pStyle w:val="TOC2"/>
            <w:tabs>
              <w:tab w:val="right" w:leader="dot" w:pos="9016"/>
            </w:tabs>
            <w:spacing w:line="18" w:lineRule="atLeast"/>
            <w:rPr>
              <w:noProof/>
              <w:sz w:val="16"/>
              <w:szCs w:val="16"/>
            </w:rPr>
          </w:pPr>
          <w:hyperlink w:anchor="_Toc198120612" w:history="1">
            <w:r w:rsidR="009F0DB5" w:rsidRPr="009F0DB5">
              <w:rPr>
                <w:rStyle w:val="Hyperlink"/>
                <w:noProof/>
                <w:sz w:val="16"/>
                <w:szCs w:val="16"/>
              </w:rPr>
              <w:t>9.3. Interpreting the Results and Audit Effectiveness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_Toc198120612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45</w:t>
            </w:r>
            <w:r w:rsidR="009F0DB5" w:rsidRPr="009F0DB5">
              <w:rPr>
                <w:noProof/>
                <w:webHidden/>
                <w:sz w:val="16"/>
                <w:szCs w:val="16"/>
              </w:rPr>
              <w:fldChar w:fldCharType="end"/>
            </w:r>
          </w:hyperlink>
        </w:p>
        <w:p w14:paraId="1E17C13F" w14:textId="077FBEF2"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613" w:history="1">
            <w:r w:rsidR="009F0DB5" w:rsidRPr="009F0DB5">
              <w:rPr>
                <w:rStyle w:val="Hyperlink"/>
                <w:sz w:val="16"/>
                <w:szCs w:val="16"/>
              </w:rPr>
              <w:t>10. Recommendations and Further Work</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_Toc198120613 \h </w:instrText>
            </w:r>
            <w:r w:rsidR="009F0DB5" w:rsidRPr="009F0DB5">
              <w:rPr>
                <w:webHidden/>
                <w:sz w:val="16"/>
                <w:szCs w:val="16"/>
              </w:rPr>
            </w:r>
            <w:r w:rsidR="009F0DB5" w:rsidRPr="009F0DB5">
              <w:rPr>
                <w:webHidden/>
                <w:sz w:val="16"/>
                <w:szCs w:val="16"/>
              </w:rPr>
              <w:fldChar w:fldCharType="separate"/>
            </w:r>
            <w:r w:rsidR="009F0DB5">
              <w:rPr>
                <w:webHidden/>
                <w:sz w:val="16"/>
                <w:szCs w:val="16"/>
              </w:rPr>
              <w:t>48</w:t>
            </w:r>
            <w:r w:rsidR="009F0DB5" w:rsidRPr="009F0DB5">
              <w:rPr>
                <w:webHidden/>
                <w:sz w:val="16"/>
                <w:szCs w:val="16"/>
              </w:rPr>
              <w:fldChar w:fldCharType="end"/>
            </w:r>
          </w:hyperlink>
        </w:p>
        <w:p w14:paraId="105D4A0F" w14:textId="32F9CFD5" w:rsidR="009F0DB5" w:rsidRPr="009F0DB5" w:rsidRDefault="00A66493" w:rsidP="009F0DB5">
          <w:pPr>
            <w:pStyle w:val="TOC2"/>
            <w:tabs>
              <w:tab w:val="right" w:leader="dot" w:pos="9016"/>
            </w:tabs>
            <w:spacing w:line="18" w:lineRule="atLeast"/>
            <w:rPr>
              <w:noProof/>
              <w:sz w:val="16"/>
              <w:szCs w:val="16"/>
            </w:rPr>
          </w:pPr>
          <w:hyperlink w:anchor="_Toc198120614" w:history="1">
            <w:r w:rsidR="009F0DB5" w:rsidRPr="009F0DB5">
              <w:rPr>
                <w:rStyle w:val="Hyperlink"/>
                <w:noProof/>
                <w:sz w:val="16"/>
                <w:szCs w:val="16"/>
              </w:rPr>
              <w:t>10.1 Strategic Recommendations to Enhance the Audit Process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_Toc198120614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48</w:t>
            </w:r>
            <w:r w:rsidR="009F0DB5" w:rsidRPr="009F0DB5">
              <w:rPr>
                <w:noProof/>
                <w:webHidden/>
                <w:sz w:val="16"/>
                <w:szCs w:val="16"/>
              </w:rPr>
              <w:fldChar w:fldCharType="end"/>
            </w:r>
          </w:hyperlink>
        </w:p>
        <w:p w14:paraId="65EEDAF4" w14:textId="025427A0" w:rsidR="009F0DB5" w:rsidRPr="009F0DB5" w:rsidRDefault="00A66493" w:rsidP="009F0DB5">
          <w:pPr>
            <w:pStyle w:val="TOC2"/>
            <w:tabs>
              <w:tab w:val="right" w:leader="dot" w:pos="9016"/>
            </w:tabs>
            <w:spacing w:line="18" w:lineRule="atLeast"/>
            <w:rPr>
              <w:noProof/>
              <w:sz w:val="16"/>
              <w:szCs w:val="16"/>
            </w:rPr>
          </w:pPr>
          <w:hyperlink w:anchor="_Toc198120615" w:history="1">
            <w:r w:rsidR="009F0DB5" w:rsidRPr="009F0DB5">
              <w:rPr>
                <w:rStyle w:val="Hyperlink"/>
                <w:noProof/>
                <w:sz w:val="16"/>
                <w:szCs w:val="16"/>
              </w:rPr>
              <w:t>10.2 Further Development and Research Opportunities</w:t>
            </w:r>
            <w:r w:rsidR="009F0DB5" w:rsidRPr="009F0DB5">
              <w:rPr>
                <w:noProof/>
                <w:webHidden/>
                <w:sz w:val="16"/>
                <w:szCs w:val="16"/>
              </w:rPr>
              <w:tab/>
            </w:r>
            <w:r w:rsidR="009F0DB5" w:rsidRPr="009F0DB5">
              <w:rPr>
                <w:noProof/>
                <w:webHidden/>
                <w:sz w:val="16"/>
                <w:szCs w:val="16"/>
              </w:rPr>
              <w:fldChar w:fldCharType="begin"/>
            </w:r>
            <w:r w:rsidR="009F0DB5" w:rsidRPr="009F0DB5">
              <w:rPr>
                <w:noProof/>
                <w:webHidden/>
                <w:sz w:val="16"/>
                <w:szCs w:val="16"/>
              </w:rPr>
              <w:instrText xml:space="preserve"> PAGEREF _Toc198120615 \h </w:instrText>
            </w:r>
            <w:r w:rsidR="009F0DB5" w:rsidRPr="009F0DB5">
              <w:rPr>
                <w:noProof/>
                <w:webHidden/>
                <w:sz w:val="16"/>
                <w:szCs w:val="16"/>
              </w:rPr>
            </w:r>
            <w:r w:rsidR="009F0DB5" w:rsidRPr="009F0DB5">
              <w:rPr>
                <w:noProof/>
                <w:webHidden/>
                <w:sz w:val="16"/>
                <w:szCs w:val="16"/>
              </w:rPr>
              <w:fldChar w:fldCharType="separate"/>
            </w:r>
            <w:r w:rsidR="009F0DB5">
              <w:rPr>
                <w:noProof/>
                <w:webHidden/>
                <w:sz w:val="16"/>
                <w:szCs w:val="16"/>
              </w:rPr>
              <w:t>49</w:t>
            </w:r>
            <w:r w:rsidR="009F0DB5" w:rsidRPr="009F0DB5">
              <w:rPr>
                <w:noProof/>
                <w:webHidden/>
                <w:sz w:val="16"/>
                <w:szCs w:val="16"/>
              </w:rPr>
              <w:fldChar w:fldCharType="end"/>
            </w:r>
          </w:hyperlink>
        </w:p>
        <w:p w14:paraId="1752BF5D" w14:textId="787DCC8C"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616" w:history="1">
            <w:r w:rsidR="009F0DB5" w:rsidRPr="009F0DB5">
              <w:rPr>
                <w:rStyle w:val="Hyperlink"/>
                <w:sz w:val="16"/>
                <w:szCs w:val="16"/>
              </w:rPr>
              <w:t>11. Conclusion</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_Toc198120616 \h </w:instrText>
            </w:r>
            <w:r w:rsidR="009F0DB5" w:rsidRPr="009F0DB5">
              <w:rPr>
                <w:webHidden/>
                <w:sz w:val="16"/>
                <w:szCs w:val="16"/>
              </w:rPr>
            </w:r>
            <w:r w:rsidR="009F0DB5" w:rsidRPr="009F0DB5">
              <w:rPr>
                <w:webHidden/>
                <w:sz w:val="16"/>
                <w:szCs w:val="16"/>
              </w:rPr>
              <w:fldChar w:fldCharType="separate"/>
            </w:r>
            <w:r w:rsidR="009F0DB5">
              <w:rPr>
                <w:webHidden/>
                <w:sz w:val="16"/>
                <w:szCs w:val="16"/>
              </w:rPr>
              <w:t>50</w:t>
            </w:r>
            <w:r w:rsidR="009F0DB5" w:rsidRPr="009F0DB5">
              <w:rPr>
                <w:webHidden/>
                <w:sz w:val="16"/>
                <w:szCs w:val="16"/>
              </w:rPr>
              <w:fldChar w:fldCharType="end"/>
            </w:r>
          </w:hyperlink>
        </w:p>
        <w:p w14:paraId="5C840031" w14:textId="2CA6799E"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617" w:history="1">
            <w:r w:rsidR="009F0DB5" w:rsidRPr="009F0DB5">
              <w:rPr>
                <w:rStyle w:val="Hyperlink"/>
                <w:sz w:val="16"/>
                <w:szCs w:val="16"/>
              </w:rPr>
              <w:t>12. References</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_Toc198120617 \h </w:instrText>
            </w:r>
            <w:r w:rsidR="009F0DB5" w:rsidRPr="009F0DB5">
              <w:rPr>
                <w:webHidden/>
                <w:sz w:val="16"/>
                <w:szCs w:val="16"/>
              </w:rPr>
            </w:r>
            <w:r w:rsidR="009F0DB5" w:rsidRPr="009F0DB5">
              <w:rPr>
                <w:webHidden/>
                <w:sz w:val="16"/>
                <w:szCs w:val="16"/>
              </w:rPr>
              <w:fldChar w:fldCharType="separate"/>
            </w:r>
            <w:r w:rsidR="009F0DB5">
              <w:rPr>
                <w:webHidden/>
                <w:sz w:val="16"/>
                <w:szCs w:val="16"/>
              </w:rPr>
              <w:t>51</w:t>
            </w:r>
            <w:r w:rsidR="009F0DB5" w:rsidRPr="009F0DB5">
              <w:rPr>
                <w:webHidden/>
                <w:sz w:val="16"/>
                <w:szCs w:val="16"/>
              </w:rPr>
              <w:fldChar w:fldCharType="end"/>
            </w:r>
          </w:hyperlink>
        </w:p>
        <w:p w14:paraId="4F08347D" w14:textId="1E32FB92" w:rsidR="009F0DB5" w:rsidRPr="009F0DB5" w:rsidRDefault="00A66493" w:rsidP="009F0DB5">
          <w:pPr>
            <w:pStyle w:val="TOC1"/>
            <w:spacing w:line="18" w:lineRule="atLeast"/>
            <w:rPr>
              <w:rFonts w:asciiTheme="minorHAnsi" w:hAnsiTheme="minorHAnsi" w:cstheme="minorBidi"/>
              <w:b w:val="0"/>
              <w:bCs w:val="0"/>
              <w:sz w:val="16"/>
              <w:szCs w:val="16"/>
            </w:rPr>
          </w:pPr>
          <w:hyperlink w:anchor="_Toc198120618" w:history="1">
            <w:r w:rsidR="009F0DB5" w:rsidRPr="009F0DB5">
              <w:rPr>
                <w:rStyle w:val="Hyperlink"/>
                <w:sz w:val="16"/>
                <w:szCs w:val="16"/>
              </w:rPr>
              <w:t>13. Appendices</w:t>
            </w:r>
            <w:r w:rsidR="009F0DB5" w:rsidRPr="009F0DB5">
              <w:rPr>
                <w:webHidden/>
                <w:sz w:val="16"/>
                <w:szCs w:val="16"/>
              </w:rPr>
              <w:tab/>
            </w:r>
            <w:r w:rsidR="009F0DB5" w:rsidRPr="009F0DB5">
              <w:rPr>
                <w:webHidden/>
                <w:sz w:val="16"/>
                <w:szCs w:val="16"/>
              </w:rPr>
              <w:fldChar w:fldCharType="begin"/>
            </w:r>
            <w:r w:rsidR="009F0DB5" w:rsidRPr="009F0DB5">
              <w:rPr>
                <w:webHidden/>
                <w:sz w:val="16"/>
                <w:szCs w:val="16"/>
              </w:rPr>
              <w:instrText xml:space="preserve"> PAGEREF _Toc198120618 \h </w:instrText>
            </w:r>
            <w:r w:rsidR="009F0DB5" w:rsidRPr="009F0DB5">
              <w:rPr>
                <w:webHidden/>
                <w:sz w:val="16"/>
                <w:szCs w:val="16"/>
              </w:rPr>
            </w:r>
            <w:r w:rsidR="009F0DB5" w:rsidRPr="009F0DB5">
              <w:rPr>
                <w:webHidden/>
                <w:sz w:val="16"/>
                <w:szCs w:val="16"/>
              </w:rPr>
              <w:fldChar w:fldCharType="separate"/>
            </w:r>
            <w:r w:rsidR="009F0DB5">
              <w:rPr>
                <w:webHidden/>
                <w:sz w:val="16"/>
                <w:szCs w:val="16"/>
              </w:rPr>
              <w:t>54</w:t>
            </w:r>
            <w:r w:rsidR="009F0DB5" w:rsidRPr="009F0DB5">
              <w:rPr>
                <w:webHidden/>
                <w:sz w:val="16"/>
                <w:szCs w:val="16"/>
              </w:rPr>
              <w:fldChar w:fldCharType="end"/>
            </w:r>
          </w:hyperlink>
        </w:p>
        <w:p w14:paraId="44F05A69" w14:textId="08D26D57" w:rsidR="00D33831" w:rsidRPr="001A1EF8" w:rsidRDefault="00D33831" w:rsidP="001A46EF">
          <w:pPr>
            <w:spacing w:line="18" w:lineRule="atLeast"/>
            <w:rPr>
              <w:rFonts w:ascii="Arial" w:hAnsi="Arial" w:cs="Arial"/>
              <w:sz w:val="26"/>
              <w:szCs w:val="26"/>
            </w:rPr>
          </w:pPr>
          <w:r w:rsidRPr="001A46EF">
            <w:rPr>
              <w:rFonts w:ascii="Arial" w:hAnsi="Arial" w:cs="Arial"/>
              <w:b/>
              <w:bCs/>
              <w:noProof/>
              <w:sz w:val="16"/>
              <w:szCs w:val="16"/>
            </w:rPr>
            <w:fldChar w:fldCharType="end"/>
          </w:r>
        </w:p>
      </w:sdtContent>
    </w:sdt>
    <w:p w14:paraId="238DB607" w14:textId="2A886456" w:rsidR="00E53448" w:rsidRPr="001A1EF8" w:rsidRDefault="00E53448" w:rsidP="008C784C">
      <w:pPr>
        <w:spacing w:line="360" w:lineRule="auto"/>
        <w:jc w:val="center"/>
        <w:rPr>
          <w:rFonts w:ascii="Arial" w:hAnsi="Arial" w:cs="Arial"/>
          <w:b/>
          <w:bCs/>
          <w:color w:val="808080" w:themeColor="background1" w:themeShade="80"/>
          <w:sz w:val="26"/>
          <w:szCs w:val="26"/>
        </w:rPr>
      </w:pPr>
      <w:r w:rsidRPr="001A1EF8">
        <w:rPr>
          <w:rFonts w:ascii="Arial" w:hAnsi="Arial" w:cs="Arial"/>
          <w:sz w:val="26"/>
          <w:szCs w:val="26"/>
        </w:rPr>
        <w:br w:type="page"/>
      </w:r>
      <w:r w:rsidRPr="001A1EF8">
        <w:rPr>
          <w:rFonts w:ascii="Arial" w:hAnsi="Arial" w:cs="Arial"/>
          <w:b/>
          <w:bCs/>
          <w:color w:val="808080" w:themeColor="background1" w:themeShade="80"/>
        </w:rPr>
        <w:lastRenderedPageBreak/>
        <w:t>List of Tables and Figures</w:t>
      </w:r>
    </w:p>
    <w:p w14:paraId="0E8CEA03" w14:textId="77777777" w:rsidR="00E53448" w:rsidRPr="001A1EF8" w:rsidRDefault="00E53448" w:rsidP="00805E82">
      <w:pPr>
        <w:spacing w:line="360" w:lineRule="auto"/>
        <w:rPr>
          <w:rFonts w:ascii="Arial" w:hAnsi="Arial" w:cs="Arial"/>
          <w:b/>
          <w:bCs/>
          <w:sz w:val="26"/>
          <w:szCs w:val="26"/>
        </w:rPr>
      </w:pPr>
    </w:p>
    <w:p w14:paraId="67C1496E" w14:textId="2D733BD5" w:rsidR="00951F51" w:rsidRPr="001A1EF8" w:rsidRDefault="00951F51" w:rsidP="00805E82">
      <w:pPr>
        <w:pStyle w:val="TOC2"/>
        <w:tabs>
          <w:tab w:val="left" w:pos="720"/>
          <w:tab w:val="right" w:leader="dot" w:pos="10456"/>
        </w:tabs>
        <w:spacing w:line="276" w:lineRule="auto"/>
        <w:ind w:left="0"/>
        <w:rPr>
          <w:rFonts w:ascii="Arial" w:hAnsi="Arial" w:cs="Arial"/>
          <w:noProof/>
          <w:color w:val="4472C4" w:themeColor="accent1"/>
        </w:rPr>
      </w:pPr>
      <w:r w:rsidRPr="001A1EF8">
        <w:rPr>
          <w:rFonts w:ascii="Arial" w:hAnsi="Arial" w:cs="Arial"/>
          <w:noProof/>
          <w:color w:val="4472C4" w:themeColor="accent1"/>
        </w:rPr>
        <w:t xml:space="preserve">Table 1: </w:t>
      </w:r>
      <w:r w:rsidRPr="001A1EF8">
        <w:rPr>
          <w:rFonts w:ascii="Arial" w:hAnsi="Arial" w:cs="Arial"/>
          <w:noProof/>
          <w:color w:val="000000" w:themeColor="text1"/>
        </w:rPr>
        <w:t>Risk Management Strategies in Machinery Transfers</w:t>
      </w:r>
      <w:r w:rsidRPr="001A1EF8">
        <w:rPr>
          <w:rFonts w:ascii="Arial" w:hAnsi="Arial" w:cs="Arial"/>
          <w:noProof/>
          <w:color w:val="000000" w:themeColor="text1"/>
        </w:rPr>
        <w:tab/>
      </w:r>
      <w:r w:rsidR="00743C24">
        <w:rPr>
          <w:rFonts w:ascii="Arial" w:hAnsi="Arial" w:cs="Arial"/>
          <w:noProof/>
          <w:color w:val="000000" w:themeColor="text1"/>
        </w:rPr>
        <w:t>1</w:t>
      </w:r>
      <w:r w:rsidR="001A46EF">
        <w:rPr>
          <w:rFonts w:ascii="Arial" w:hAnsi="Arial" w:cs="Arial"/>
          <w:noProof/>
          <w:color w:val="000000" w:themeColor="text1"/>
        </w:rPr>
        <w:t>7</w:t>
      </w:r>
    </w:p>
    <w:p w14:paraId="4EFA22CC" w14:textId="6418571D" w:rsidR="00E53448" w:rsidRPr="001A1EF8" w:rsidRDefault="00E53448" w:rsidP="00805E82">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4472C4" w:themeColor="accent1"/>
        </w:rPr>
        <w:t xml:space="preserve">Table </w:t>
      </w:r>
      <w:r w:rsidR="00951F51" w:rsidRPr="001A1EF8">
        <w:rPr>
          <w:rFonts w:ascii="Arial" w:hAnsi="Arial" w:cs="Arial"/>
          <w:noProof/>
          <w:color w:val="4472C4" w:themeColor="accent1"/>
        </w:rPr>
        <w:t>2</w:t>
      </w:r>
      <w:r w:rsidRPr="001A1EF8">
        <w:rPr>
          <w:rFonts w:ascii="Arial" w:hAnsi="Arial" w:cs="Arial"/>
          <w:noProof/>
          <w:color w:val="4472C4" w:themeColor="accent1"/>
        </w:rPr>
        <w:t>:</w:t>
      </w:r>
      <w:r w:rsidR="00E27EC7" w:rsidRPr="001A1EF8">
        <w:rPr>
          <w:rFonts w:ascii="Arial" w:hAnsi="Arial" w:cs="Arial"/>
          <w:noProof/>
          <w:color w:val="4472C4" w:themeColor="accent1"/>
        </w:rPr>
        <w:t xml:space="preserve"> </w:t>
      </w:r>
      <w:r w:rsidR="006C418D" w:rsidRPr="001A1EF8">
        <w:rPr>
          <w:rFonts w:ascii="Arial" w:hAnsi="Arial" w:cs="Arial"/>
          <w:noProof/>
        </w:rPr>
        <w:t>Overview of SEWS-E Internal Audit Process Stages</w:t>
      </w:r>
      <w:r w:rsidRPr="001A1EF8">
        <w:rPr>
          <w:rFonts w:ascii="Arial" w:hAnsi="Arial" w:cs="Arial"/>
          <w:noProof/>
          <w:webHidden/>
        </w:rPr>
        <w:tab/>
      </w:r>
      <w:r w:rsidR="00D34953">
        <w:rPr>
          <w:rFonts w:ascii="Arial" w:hAnsi="Arial" w:cs="Arial"/>
          <w:noProof/>
          <w:webHidden/>
        </w:rPr>
        <w:t>2</w:t>
      </w:r>
      <w:r w:rsidR="001A46EF">
        <w:rPr>
          <w:rFonts w:ascii="Arial" w:hAnsi="Arial" w:cs="Arial"/>
          <w:noProof/>
          <w:webHidden/>
        </w:rPr>
        <w:t>1</w:t>
      </w:r>
    </w:p>
    <w:p w14:paraId="6F239329" w14:textId="77068312" w:rsidR="006C418D" w:rsidRPr="001A1EF8" w:rsidRDefault="006C418D" w:rsidP="006C418D">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4472C4" w:themeColor="accent1"/>
        </w:rPr>
        <w:t xml:space="preserve">Table 3: </w:t>
      </w:r>
      <w:r w:rsidRPr="001A1EF8">
        <w:rPr>
          <w:rFonts w:ascii="Arial" w:hAnsi="Arial" w:cs="Arial"/>
          <w:noProof/>
        </w:rPr>
        <w:t>SWOT Analysis on SEWS-E Internal Audit Processes</w:t>
      </w:r>
      <w:r w:rsidRPr="001A1EF8">
        <w:rPr>
          <w:rFonts w:ascii="Arial" w:hAnsi="Arial" w:cs="Arial"/>
          <w:noProof/>
          <w:webHidden/>
        </w:rPr>
        <w:tab/>
      </w:r>
      <w:r w:rsidR="00743C24">
        <w:rPr>
          <w:rFonts w:ascii="Arial" w:hAnsi="Arial" w:cs="Arial"/>
          <w:noProof/>
          <w:webHidden/>
        </w:rPr>
        <w:t>2</w:t>
      </w:r>
      <w:r w:rsidR="001A46EF">
        <w:rPr>
          <w:rFonts w:ascii="Arial" w:hAnsi="Arial" w:cs="Arial"/>
          <w:noProof/>
          <w:webHidden/>
        </w:rPr>
        <w:t>4</w:t>
      </w:r>
    </w:p>
    <w:p w14:paraId="788AB311" w14:textId="40039F0D" w:rsidR="0024259D" w:rsidRPr="001A1EF8" w:rsidRDefault="0024259D" w:rsidP="0024259D">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4472C4" w:themeColor="accent1"/>
        </w:rPr>
        <w:t xml:space="preserve">Table 4: </w:t>
      </w:r>
      <w:r w:rsidRPr="001A1EF8">
        <w:rPr>
          <w:rFonts w:ascii="Arial" w:hAnsi="Arial" w:cs="Arial"/>
          <w:noProof/>
        </w:rPr>
        <w:t>Sites Audited in Countries</w:t>
      </w:r>
      <w:r w:rsidRPr="001A1EF8">
        <w:rPr>
          <w:rFonts w:ascii="Arial" w:hAnsi="Arial" w:cs="Arial"/>
          <w:noProof/>
          <w:webHidden/>
        </w:rPr>
        <w:tab/>
      </w:r>
      <w:r w:rsidR="00743C24">
        <w:rPr>
          <w:rFonts w:ascii="Arial" w:hAnsi="Arial" w:cs="Arial"/>
          <w:noProof/>
          <w:webHidden/>
        </w:rPr>
        <w:t>2</w:t>
      </w:r>
      <w:r w:rsidR="001A46EF">
        <w:rPr>
          <w:rFonts w:ascii="Arial" w:hAnsi="Arial" w:cs="Arial"/>
          <w:noProof/>
          <w:webHidden/>
        </w:rPr>
        <w:t>5</w:t>
      </w:r>
    </w:p>
    <w:p w14:paraId="1B89534F" w14:textId="2F7E9616" w:rsidR="00957818" w:rsidRPr="001A1EF8" w:rsidRDefault="00957818" w:rsidP="00957818">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4472C4" w:themeColor="accent1"/>
        </w:rPr>
        <w:t xml:space="preserve">Table </w:t>
      </w:r>
      <w:r w:rsidR="00743C24">
        <w:rPr>
          <w:rFonts w:ascii="Arial" w:hAnsi="Arial" w:cs="Arial"/>
          <w:noProof/>
          <w:color w:val="4472C4" w:themeColor="accent1"/>
        </w:rPr>
        <w:t>5</w:t>
      </w:r>
      <w:r w:rsidRPr="001A1EF8">
        <w:rPr>
          <w:rFonts w:ascii="Arial" w:hAnsi="Arial" w:cs="Arial"/>
          <w:noProof/>
          <w:color w:val="4472C4" w:themeColor="accent1"/>
        </w:rPr>
        <w:t xml:space="preserve">: </w:t>
      </w:r>
      <w:r w:rsidRPr="001A1EF8">
        <w:rPr>
          <w:rFonts w:ascii="Arial" w:hAnsi="Arial" w:cs="Arial"/>
          <w:noProof/>
        </w:rPr>
        <w:t>Country Performance Comparison</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8</w:t>
      </w:r>
    </w:p>
    <w:p w14:paraId="7E4DC507" w14:textId="79D30BC9" w:rsidR="00957818" w:rsidRPr="001A1EF8" w:rsidRDefault="00957818" w:rsidP="00957818">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4472C4" w:themeColor="accent1"/>
        </w:rPr>
        <w:t xml:space="preserve">Table </w:t>
      </w:r>
      <w:r w:rsidR="00743C24">
        <w:rPr>
          <w:rFonts w:ascii="Arial" w:hAnsi="Arial" w:cs="Arial"/>
          <w:noProof/>
          <w:color w:val="4472C4" w:themeColor="accent1"/>
        </w:rPr>
        <w:t>6</w:t>
      </w:r>
      <w:r w:rsidRPr="001A1EF8">
        <w:rPr>
          <w:rFonts w:ascii="Arial" w:hAnsi="Arial" w:cs="Arial"/>
          <w:noProof/>
          <w:color w:val="4472C4" w:themeColor="accent1"/>
        </w:rPr>
        <w:t xml:space="preserve">: </w:t>
      </w:r>
      <w:r w:rsidRPr="001A1EF8">
        <w:rPr>
          <w:rFonts w:ascii="Arial" w:hAnsi="Arial" w:cs="Arial"/>
          <w:noProof/>
        </w:rPr>
        <w:t>Machine Type Comparison</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8</w:t>
      </w:r>
    </w:p>
    <w:p w14:paraId="4B494E73" w14:textId="0CD2CF85" w:rsidR="00957818" w:rsidRDefault="00957818" w:rsidP="00957818">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4472C4" w:themeColor="accent1"/>
        </w:rPr>
        <w:t xml:space="preserve">Table </w:t>
      </w:r>
      <w:r w:rsidR="00743C24">
        <w:rPr>
          <w:rFonts w:ascii="Arial" w:hAnsi="Arial" w:cs="Arial"/>
          <w:noProof/>
          <w:color w:val="4472C4" w:themeColor="accent1"/>
        </w:rPr>
        <w:t>7</w:t>
      </w:r>
      <w:r w:rsidRPr="001A1EF8">
        <w:rPr>
          <w:rFonts w:ascii="Arial" w:hAnsi="Arial" w:cs="Arial"/>
          <w:noProof/>
          <w:color w:val="4472C4" w:themeColor="accent1"/>
        </w:rPr>
        <w:t xml:space="preserve">: </w:t>
      </w:r>
      <w:r w:rsidRPr="001A1EF8">
        <w:rPr>
          <w:rFonts w:ascii="Arial" w:hAnsi="Arial" w:cs="Arial"/>
          <w:noProof/>
        </w:rPr>
        <w:t>Audit Category Comparison</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9</w:t>
      </w:r>
    </w:p>
    <w:p w14:paraId="07855DB1" w14:textId="767C3C4C" w:rsidR="00743C24" w:rsidRPr="00743C24" w:rsidRDefault="00743C24" w:rsidP="00743C24">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4472C4" w:themeColor="accent1"/>
        </w:rPr>
        <w:t xml:space="preserve">Table </w:t>
      </w:r>
      <w:r>
        <w:rPr>
          <w:rFonts w:ascii="Arial" w:hAnsi="Arial" w:cs="Arial"/>
          <w:noProof/>
          <w:color w:val="4472C4" w:themeColor="accent1"/>
        </w:rPr>
        <w:t>8</w:t>
      </w:r>
      <w:r w:rsidRPr="001A1EF8">
        <w:rPr>
          <w:rFonts w:ascii="Arial" w:hAnsi="Arial" w:cs="Arial"/>
          <w:noProof/>
          <w:color w:val="4472C4" w:themeColor="accent1"/>
        </w:rPr>
        <w:t xml:space="preserve">: </w:t>
      </w:r>
      <w:r w:rsidRPr="00743C24">
        <w:rPr>
          <w:rFonts w:ascii="Arial" w:hAnsi="Arial" w:cs="Arial"/>
          <w:noProof/>
        </w:rPr>
        <w:t>SEWS-E Internal Audit Process vs. Industry Best Practises</w:t>
      </w:r>
      <w:r w:rsidRPr="001A1EF8">
        <w:rPr>
          <w:rFonts w:ascii="Arial" w:hAnsi="Arial" w:cs="Arial"/>
          <w:noProof/>
          <w:webHidden/>
        </w:rPr>
        <w:tab/>
      </w:r>
      <w:r>
        <w:rPr>
          <w:rFonts w:ascii="Arial" w:hAnsi="Arial" w:cs="Arial"/>
          <w:noProof/>
          <w:webHidden/>
        </w:rPr>
        <w:t>4</w:t>
      </w:r>
      <w:r w:rsidR="001A46EF">
        <w:rPr>
          <w:rFonts w:ascii="Arial" w:hAnsi="Arial" w:cs="Arial"/>
          <w:noProof/>
          <w:webHidden/>
        </w:rPr>
        <w:t>4</w:t>
      </w:r>
    </w:p>
    <w:p w14:paraId="0664276E" w14:textId="77777777" w:rsidR="00957818" w:rsidRPr="001A1EF8" w:rsidRDefault="00957818" w:rsidP="00957818">
      <w:pPr>
        <w:rPr>
          <w:webHidden/>
          <w:sz w:val="20"/>
          <w:szCs w:val="20"/>
        </w:rPr>
      </w:pPr>
    </w:p>
    <w:p w14:paraId="5AB896BA" w14:textId="77777777" w:rsidR="006C418D" w:rsidRPr="001A1EF8" w:rsidRDefault="006C418D" w:rsidP="006C418D">
      <w:pPr>
        <w:rPr>
          <w:webHidden/>
          <w:sz w:val="19"/>
          <w:szCs w:val="19"/>
        </w:rPr>
      </w:pPr>
    </w:p>
    <w:p w14:paraId="0E502ED3" w14:textId="77777777" w:rsidR="00E53448" w:rsidRPr="001A1EF8" w:rsidRDefault="00E53448" w:rsidP="00805E82">
      <w:pPr>
        <w:spacing w:line="276" w:lineRule="auto"/>
        <w:rPr>
          <w:rFonts w:ascii="Arial" w:hAnsi="Arial" w:cs="Arial"/>
          <w:webHidden/>
        </w:rPr>
      </w:pPr>
    </w:p>
    <w:p w14:paraId="3520FCBD" w14:textId="2A375220" w:rsidR="00E53448" w:rsidRPr="001A1EF8" w:rsidRDefault="00E53448" w:rsidP="00805E82">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 xml:space="preserve">Figure </w:t>
      </w:r>
      <w:r w:rsidR="00843739" w:rsidRPr="001A1EF8">
        <w:rPr>
          <w:rFonts w:ascii="Arial" w:hAnsi="Arial" w:cs="Arial"/>
          <w:noProof/>
          <w:color w:val="BF8F00" w:themeColor="accent4" w:themeShade="BF"/>
        </w:rPr>
        <w:t xml:space="preserve">1: </w:t>
      </w:r>
      <w:r w:rsidR="00843739" w:rsidRPr="001A1EF8">
        <w:rPr>
          <w:rFonts w:ascii="Arial" w:hAnsi="Arial" w:cs="Arial"/>
          <w:noProof/>
        </w:rPr>
        <w:t>Example of Wiring Harness at SEWS-E</w:t>
      </w:r>
      <w:r w:rsidRPr="001A1EF8">
        <w:rPr>
          <w:rFonts w:ascii="Arial" w:hAnsi="Arial" w:cs="Arial"/>
          <w:noProof/>
          <w:webHidden/>
        </w:rPr>
        <w:tab/>
      </w:r>
      <w:r w:rsidR="00D34953">
        <w:rPr>
          <w:rFonts w:ascii="Arial" w:hAnsi="Arial" w:cs="Arial"/>
          <w:noProof/>
          <w:webHidden/>
        </w:rPr>
        <w:t>6</w:t>
      </w:r>
    </w:p>
    <w:p w14:paraId="4D8CBF51" w14:textId="501B3DFE" w:rsidR="00E53448" w:rsidRPr="001A1EF8" w:rsidRDefault="00E53448" w:rsidP="00805E82">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2:</w:t>
      </w:r>
      <w:r w:rsidR="00923114" w:rsidRPr="001A1EF8">
        <w:rPr>
          <w:rFonts w:ascii="Arial" w:hAnsi="Arial" w:cs="Arial"/>
          <w:noProof/>
          <w:color w:val="BF8F00" w:themeColor="accent4" w:themeShade="BF"/>
        </w:rPr>
        <w:t xml:space="preserve"> </w:t>
      </w:r>
      <w:r w:rsidR="00923114" w:rsidRPr="001A1EF8">
        <w:rPr>
          <w:rFonts w:ascii="Arial" w:hAnsi="Arial" w:cs="Arial"/>
          <w:noProof/>
        </w:rPr>
        <w:t>World Map with SEWS-E’s Locations</w:t>
      </w:r>
      <w:r w:rsidRPr="001A1EF8">
        <w:rPr>
          <w:rFonts w:ascii="Arial" w:hAnsi="Arial" w:cs="Arial"/>
          <w:noProof/>
          <w:webHidden/>
        </w:rPr>
        <w:tab/>
      </w:r>
      <w:r w:rsidR="00D34953">
        <w:rPr>
          <w:rFonts w:ascii="Arial" w:hAnsi="Arial" w:cs="Arial"/>
          <w:noProof/>
          <w:webHidden/>
        </w:rPr>
        <w:t>7</w:t>
      </w:r>
    </w:p>
    <w:p w14:paraId="2B946C68" w14:textId="32EEB426" w:rsidR="00E53448" w:rsidRPr="001A1EF8" w:rsidRDefault="00E53448" w:rsidP="00805E82">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3:</w:t>
      </w:r>
      <w:r w:rsidR="003A45EC" w:rsidRPr="001A1EF8">
        <w:rPr>
          <w:rFonts w:ascii="Arial" w:hAnsi="Arial" w:cs="Arial"/>
          <w:noProof/>
          <w:color w:val="BF8F00" w:themeColor="accent4" w:themeShade="BF"/>
        </w:rPr>
        <w:t xml:space="preserve"> </w:t>
      </w:r>
      <w:r w:rsidR="003A45EC" w:rsidRPr="001A1EF8">
        <w:rPr>
          <w:rFonts w:ascii="Arial" w:hAnsi="Arial" w:cs="Arial"/>
          <w:noProof/>
        </w:rPr>
        <w:t>Audit Timing Plan</w:t>
      </w:r>
      <w:r w:rsidRPr="001A1EF8">
        <w:rPr>
          <w:rFonts w:ascii="Arial" w:hAnsi="Arial" w:cs="Arial"/>
          <w:noProof/>
          <w:webHidden/>
        </w:rPr>
        <w:tab/>
      </w:r>
      <w:r w:rsidR="00743C24">
        <w:rPr>
          <w:rFonts w:ascii="Arial" w:hAnsi="Arial" w:cs="Arial"/>
          <w:noProof/>
          <w:webHidden/>
        </w:rPr>
        <w:t>1</w:t>
      </w:r>
      <w:r w:rsidR="001A46EF">
        <w:rPr>
          <w:rFonts w:ascii="Arial" w:hAnsi="Arial" w:cs="Arial"/>
          <w:noProof/>
          <w:webHidden/>
        </w:rPr>
        <w:t>2</w:t>
      </w:r>
    </w:p>
    <w:p w14:paraId="0D176906" w14:textId="31F3AB3B" w:rsidR="00145F08" w:rsidRPr="001A1EF8" w:rsidRDefault="00145F08" w:rsidP="00145F08">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4:</w:t>
      </w:r>
      <w:r w:rsidR="008B7949" w:rsidRPr="001A1EF8">
        <w:rPr>
          <w:rFonts w:ascii="Arial" w:hAnsi="Arial" w:cs="Arial"/>
          <w:noProof/>
          <w:color w:val="BF8F00" w:themeColor="accent4" w:themeShade="BF"/>
        </w:rPr>
        <w:t xml:space="preserve"> </w:t>
      </w:r>
      <w:r w:rsidR="008B7949" w:rsidRPr="001A1EF8">
        <w:rPr>
          <w:rFonts w:ascii="Arial" w:hAnsi="Arial" w:cs="Arial"/>
          <w:noProof/>
        </w:rPr>
        <w:t>Dissertation Project Schedule</w:t>
      </w:r>
      <w:r w:rsidRPr="001A1EF8">
        <w:rPr>
          <w:rFonts w:ascii="Arial" w:hAnsi="Arial" w:cs="Arial"/>
          <w:noProof/>
          <w:webHidden/>
        </w:rPr>
        <w:tab/>
      </w:r>
      <w:r w:rsidR="00743C24">
        <w:rPr>
          <w:rFonts w:ascii="Arial" w:hAnsi="Arial" w:cs="Arial"/>
          <w:noProof/>
          <w:webHidden/>
        </w:rPr>
        <w:t>1</w:t>
      </w:r>
      <w:r w:rsidR="001A46EF">
        <w:rPr>
          <w:rFonts w:ascii="Arial" w:hAnsi="Arial" w:cs="Arial"/>
          <w:noProof/>
          <w:webHidden/>
        </w:rPr>
        <w:t>3</w:t>
      </w:r>
    </w:p>
    <w:p w14:paraId="00A0689A" w14:textId="5D16BBDE" w:rsidR="009E03A5" w:rsidRPr="001A1EF8" w:rsidRDefault="009E03A5" w:rsidP="009E03A5">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5:</w:t>
      </w:r>
      <w:r w:rsidRPr="001A1EF8">
        <w:rPr>
          <w:rFonts w:ascii="Arial" w:hAnsi="Arial" w:cs="Arial"/>
          <w:noProof/>
        </w:rPr>
        <w:t xml:space="preserve"> ISO Standards</w:t>
      </w:r>
      <w:r w:rsidRPr="001A1EF8">
        <w:rPr>
          <w:rFonts w:ascii="Arial" w:hAnsi="Arial" w:cs="Arial"/>
          <w:noProof/>
          <w:webHidden/>
        </w:rPr>
        <w:tab/>
      </w:r>
      <w:r w:rsidR="00743C24">
        <w:rPr>
          <w:rFonts w:ascii="Arial" w:hAnsi="Arial" w:cs="Arial"/>
          <w:noProof/>
          <w:webHidden/>
        </w:rPr>
        <w:t>1</w:t>
      </w:r>
      <w:r w:rsidR="001A46EF">
        <w:rPr>
          <w:rFonts w:ascii="Arial" w:hAnsi="Arial" w:cs="Arial"/>
          <w:noProof/>
          <w:webHidden/>
        </w:rPr>
        <w:t>5</w:t>
      </w:r>
    </w:p>
    <w:p w14:paraId="0694691E" w14:textId="6A3906AC" w:rsidR="00D44D22" w:rsidRPr="001A1EF8" w:rsidRDefault="00D44D22" w:rsidP="00D44D22">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6:</w:t>
      </w:r>
      <w:r w:rsidRPr="001A1EF8">
        <w:rPr>
          <w:rFonts w:ascii="Arial" w:hAnsi="Arial" w:cs="Arial"/>
          <w:noProof/>
        </w:rPr>
        <w:t xml:space="preserve"> SEWS-E </w:t>
      </w:r>
      <w:r w:rsidR="006C418D" w:rsidRPr="001A1EF8">
        <w:rPr>
          <w:rFonts w:ascii="Arial" w:hAnsi="Arial" w:cs="Arial"/>
          <w:noProof/>
        </w:rPr>
        <w:t xml:space="preserve">Internal Audit </w:t>
      </w:r>
      <w:r w:rsidRPr="001A1EF8">
        <w:rPr>
          <w:rFonts w:ascii="Arial" w:hAnsi="Arial" w:cs="Arial"/>
          <w:noProof/>
        </w:rPr>
        <w:t>Process Flow Chart</w:t>
      </w:r>
      <w:r w:rsidRPr="001A1EF8">
        <w:rPr>
          <w:rFonts w:ascii="Arial" w:hAnsi="Arial" w:cs="Arial"/>
          <w:noProof/>
          <w:webHidden/>
        </w:rPr>
        <w:tab/>
      </w:r>
      <w:r w:rsidR="001A46EF">
        <w:rPr>
          <w:rFonts w:ascii="Arial" w:hAnsi="Arial" w:cs="Arial"/>
          <w:noProof/>
          <w:webHidden/>
        </w:rPr>
        <w:t>20</w:t>
      </w:r>
    </w:p>
    <w:p w14:paraId="05F193E6" w14:textId="0D423BAB" w:rsidR="00283397" w:rsidRPr="001A1EF8" w:rsidRDefault="00283397" w:rsidP="00283397">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7:</w:t>
      </w:r>
      <w:r w:rsidR="00957818" w:rsidRPr="001A1EF8">
        <w:rPr>
          <w:rFonts w:ascii="Arial" w:hAnsi="Arial" w:cs="Arial"/>
          <w:noProof/>
          <w:color w:val="BF8F00" w:themeColor="accent4" w:themeShade="BF"/>
        </w:rPr>
        <w:t xml:space="preserve"> </w:t>
      </w:r>
      <w:r w:rsidR="00957818" w:rsidRPr="001A1EF8">
        <w:rPr>
          <w:rFonts w:ascii="Arial" w:hAnsi="Arial" w:cs="Arial"/>
          <w:noProof/>
        </w:rPr>
        <w:t>Example of NOK Criteria (USW Machine)</w:t>
      </w:r>
      <w:r w:rsidRPr="001A1EF8">
        <w:rPr>
          <w:rFonts w:ascii="Arial" w:hAnsi="Arial" w:cs="Arial"/>
          <w:noProof/>
          <w:webHidden/>
        </w:rPr>
        <w:tab/>
      </w:r>
      <w:r w:rsidR="001A46EF">
        <w:rPr>
          <w:rFonts w:ascii="Arial" w:hAnsi="Arial" w:cs="Arial"/>
          <w:noProof/>
          <w:webHidden/>
        </w:rPr>
        <w:t>30</w:t>
      </w:r>
    </w:p>
    <w:p w14:paraId="1FC3975A" w14:textId="7BA0BCDF" w:rsidR="00283397" w:rsidRPr="001A1EF8" w:rsidRDefault="00283397" w:rsidP="00283397">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8:</w:t>
      </w:r>
      <w:r w:rsidR="00957818" w:rsidRPr="001A1EF8">
        <w:rPr>
          <w:rFonts w:ascii="Arial" w:hAnsi="Arial" w:cs="Arial"/>
          <w:noProof/>
          <w:color w:val="BF8F00" w:themeColor="accent4" w:themeShade="BF"/>
        </w:rPr>
        <w:t xml:space="preserve"> </w:t>
      </w:r>
      <w:r w:rsidR="00957818" w:rsidRPr="001A1EF8">
        <w:rPr>
          <w:rFonts w:ascii="Arial" w:hAnsi="Arial" w:cs="Arial"/>
          <w:noProof/>
        </w:rPr>
        <w:t>SEWS-E Audit Scores by Machine and Country (2023)</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3</w:t>
      </w:r>
    </w:p>
    <w:p w14:paraId="2D922566" w14:textId="5ECDCAFC" w:rsidR="00283397" w:rsidRPr="001A1EF8" w:rsidRDefault="00283397" w:rsidP="00283397">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9:</w:t>
      </w:r>
      <w:r w:rsidR="00957818" w:rsidRPr="001A1EF8">
        <w:rPr>
          <w:rFonts w:ascii="Arial" w:hAnsi="Arial" w:cs="Arial"/>
          <w:noProof/>
          <w:color w:val="BF8F00" w:themeColor="accent4" w:themeShade="BF"/>
        </w:rPr>
        <w:t xml:space="preserve"> </w:t>
      </w:r>
      <w:r w:rsidR="00957818" w:rsidRPr="001A1EF8">
        <w:rPr>
          <w:rFonts w:ascii="Arial" w:hAnsi="Arial" w:cs="Arial"/>
          <w:noProof/>
        </w:rPr>
        <w:t>Audit Scores by Machine Type (2023)</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4</w:t>
      </w:r>
    </w:p>
    <w:p w14:paraId="5AB17B64" w14:textId="15B8912A" w:rsidR="00283397" w:rsidRPr="001A1EF8" w:rsidRDefault="00283397" w:rsidP="00283397">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10:</w:t>
      </w:r>
      <w:r w:rsidR="00957818" w:rsidRPr="001A1EF8">
        <w:rPr>
          <w:rFonts w:ascii="Arial" w:hAnsi="Arial" w:cs="Arial"/>
          <w:noProof/>
          <w:color w:val="BF8F00" w:themeColor="accent4" w:themeShade="BF"/>
        </w:rPr>
        <w:t xml:space="preserve"> </w:t>
      </w:r>
      <w:r w:rsidR="00957818" w:rsidRPr="001A1EF8">
        <w:rPr>
          <w:rFonts w:ascii="Arial" w:hAnsi="Arial" w:cs="Arial"/>
          <w:noProof/>
        </w:rPr>
        <w:t>Audit Scores by Category (2023)</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5</w:t>
      </w:r>
    </w:p>
    <w:p w14:paraId="65D79427" w14:textId="41BA487B" w:rsidR="00283397" w:rsidRPr="001A1EF8" w:rsidRDefault="00283397" w:rsidP="00283397">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11:</w:t>
      </w:r>
      <w:r w:rsidRPr="001A1EF8">
        <w:rPr>
          <w:rFonts w:ascii="Arial" w:hAnsi="Arial" w:cs="Arial"/>
          <w:noProof/>
        </w:rPr>
        <w:t xml:space="preserve"> </w:t>
      </w:r>
      <w:r w:rsidR="00957818" w:rsidRPr="001A1EF8">
        <w:rPr>
          <w:rFonts w:ascii="Arial" w:hAnsi="Arial" w:cs="Arial"/>
          <w:noProof/>
        </w:rPr>
        <w:t>SEWS-E Audit Scores by Machine and Country (2024)</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6</w:t>
      </w:r>
    </w:p>
    <w:p w14:paraId="1A5B7A6E" w14:textId="72009439" w:rsidR="00283397" w:rsidRPr="001A1EF8" w:rsidRDefault="00283397" w:rsidP="00283397">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Figure 12:</w:t>
      </w:r>
      <w:r w:rsidR="00957818" w:rsidRPr="001A1EF8">
        <w:rPr>
          <w:rFonts w:ascii="Arial" w:hAnsi="Arial" w:cs="Arial"/>
          <w:noProof/>
          <w:color w:val="BF8F00" w:themeColor="accent4" w:themeShade="BF"/>
        </w:rPr>
        <w:t xml:space="preserve"> </w:t>
      </w:r>
      <w:r w:rsidR="00957818" w:rsidRPr="001A1EF8">
        <w:rPr>
          <w:rFonts w:ascii="Arial" w:hAnsi="Arial" w:cs="Arial"/>
          <w:noProof/>
        </w:rPr>
        <w:t>Audit Scores by Machine Type (2024)</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6</w:t>
      </w:r>
    </w:p>
    <w:p w14:paraId="5B8C0506" w14:textId="7F14BF86" w:rsidR="00957818" w:rsidRPr="001A1EF8" w:rsidRDefault="00957818" w:rsidP="00957818">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 xml:space="preserve">Figure 13: </w:t>
      </w:r>
      <w:r w:rsidRPr="001A1EF8">
        <w:rPr>
          <w:rFonts w:ascii="Arial" w:hAnsi="Arial" w:cs="Arial"/>
          <w:noProof/>
        </w:rPr>
        <w:t>Audit Scores by Category (2024)</w:t>
      </w:r>
      <w:r w:rsidRPr="001A1EF8">
        <w:rPr>
          <w:rFonts w:ascii="Arial" w:hAnsi="Arial" w:cs="Arial"/>
          <w:noProof/>
          <w:webHidden/>
        </w:rPr>
        <w:tab/>
      </w:r>
      <w:r w:rsidR="00743C24">
        <w:rPr>
          <w:rFonts w:ascii="Arial" w:hAnsi="Arial" w:cs="Arial"/>
          <w:noProof/>
          <w:webHidden/>
        </w:rPr>
        <w:t>3</w:t>
      </w:r>
      <w:r w:rsidR="001A46EF">
        <w:rPr>
          <w:rFonts w:ascii="Arial" w:hAnsi="Arial" w:cs="Arial"/>
          <w:noProof/>
          <w:webHidden/>
        </w:rPr>
        <w:t>7</w:t>
      </w:r>
    </w:p>
    <w:p w14:paraId="1E119C2F" w14:textId="799FFD99" w:rsidR="00176317" w:rsidRPr="001A1EF8" w:rsidRDefault="00176317" w:rsidP="00176317">
      <w:pPr>
        <w:pStyle w:val="TOC2"/>
        <w:tabs>
          <w:tab w:val="left" w:pos="720"/>
          <w:tab w:val="right" w:leader="dot" w:pos="10456"/>
        </w:tabs>
        <w:spacing w:line="276" w:lineRule="auto"/>
        <w:ind w:left="0"/>
        <w:rPr>
          <w:rFonts w:ascii="Arial" w:hAnsi="Arial" w:cs="Arial"/>
          <w:noProof/>
          <w:webHidden/>
        </w:rPr>
      </w:pPr>
      <w:r w:rsidRPr="001A1EF8">
        <w:rPr>
          <w:rFonts w:ascii="Arial" w:hAnsi="Arial" w:cs="Arial"/>
          <w:noProof/>
          <w:color w:val="BF8F00" w:themeColor="accent4" w:themeShade="BF"/>
        </w:rPr>
        <w:t xml:space="preserve">Figure 14: </w:t>
      </w:r>
      <w:r w:rsidRPr="001A1EF8">
        <w:rPr>
          <w:rFonts w:ascii="Arial" w:hAnsi="Arial" w:cs="Arial"/>
          <w:noProof/>
        </w:rPr>
        <w:t>Overall Site Performance 2023 vs 2024</w:t>
      </w:r>
      <w:r w:rsidRPr="001A1EF8">
        <w:rPr>
          <w:rFonts w:ascii="Arial" w:hAnsi="Arial" w:cs="Arial"/>
          <w:noProof/>
          <w:webHidden/>
        </w:rPr>
        <w:tab/>
      </w:r>
      <w:r w:rsidR="00743C24">
        <w:rPr>
          <w:rFonts w:ascii="Arial" w:hAnsi="Arial" w:cs="Arial"/>
          <w:noProof/>
          <w:webHidden/>
        </w:rPr>
        <w:t>4</w:t>
      </w:r>
      <w:r w:rsidR="001A46EF">
        <w:rPr>
          <w:rFonts w:ascii="Arial" w:hAnsi="Arial" w:cs="Arial"/>
          <w:noProof/>
          <w:webHidden/>
        </w:rPr>
        <w:t>2</w:t>
      </w:r>
    </w:p>
    <w:p w14:paraId="5B21CEEC" w14:textId="77777777" w:rsidR="00176317" w:rsidRPr="001A1EF8" w:rsidRDefault="00176317" w:rsidP="00176317">
      <w:pPr>
        <w:rPr>
          <w:webHidden/>
          <w:sz w:val="20"/>
          <w:szCs w:val="20"/>
        </w:rPr>
      </w:pPr>
    </w:p>
    <w:p w14:paraId="031BC61D" w14:textId="77777777" w:rsidR="00957818" w:rsidRPr="001A1EF8" w:rsidRDefault="00957818" w:rsidP="00957818">
      <w:pPr>
        <w:rPr>
          <w:webHidden/>
          <w:sz w:val="20"/>
          <w:szCs w:val="20"/>
        </w:rPr>
      </w:pPr>
    </w:p>
    <w:p w14:paraId="3F656C09" w14:textId="77777777" w:rsidR="00145F08" w:rsidRPr="001A1EF8" w:rsidRDefault="00145F08" w:rsidP="00145F08">
      <w:pPr>
        <w:rPr>
          <w:webHidden/>
          <w:sz w:val="20"/>
          <w:szCs w:val="20"/>
        </w:rPr>
      </w:pPr>
    </w:p>
    <w:p w14:paraId="588F50B1" w14:textId="77777777" w:rsidR="00145F08" w:rsidRPr="001A1EF8" w:rsidRDefault="00145F08" w:rsidP="00145F08">
      <w:pPr>
        <w:rPr>
          <w:webHidden/>
          <w:sz w:val="20"/>
          <w:szCs w:val="20"/>
        </w:rPr>
      </w:pPr>
    </w:p>
    <w:p w14:paraId="691D6C3F" w14:textId="3BF604E3" w:rsidR="00D33831" w:rsidRDefault="00D33831" w:rsidP="00474620">
      <w:pPr>
        <w:spacing w:line="360" w:lineRule="auto"/>
        <w:rPr>
          <w:rFonts w:ascii="Arial" w:hAnsi="Arial" w:cs="Arial"/>
          <w:sz w:val="26"/>
          <w:szCs w:val="26"/>
        </w:rPr>
      </w:pPr>
    </w:p>
    <w:p w14:paraId="157B7897" w14:textId="77777777" w:rsidR="001A1EF8" w:rsidRPr="001A1EF8" w:rsidRDefault="001A1EF8" w:rsidP="00474620">
      <w:pPr>
        <w:spacing w:line="360" w:lineRule="auto"/>
        <w:rPr>
          <w:rFonts w:ascii="Arial" w:hAnsi="Arial" w:cs="Arial"/>
          <w:sz w:val="26"/>
          <w:szCs w:val="26"/>
        </w:rPr>
      </w:pPr>
    </w:p>
    <w:p w14:paraId="364BE2B8" w14:textId="0206C7F7" w:rsidR="00E53448" w:rsidRPr="00743C24" w:rsidRDefault="00805E82" w:rsidP="00505C55">
      <w:pPr>
        <w:pStyle w:val="Heading1"/>
        <w:rPr>
          <w:sz w:val="22"/>
          <w:szCs w:val="22"/>
        </w:rPr>
      </w:pPr>
      <w:bookmarkStart w:id="0" w:name="_Toc198120574"/>
      <w:r w:rsidRPr="00743C24">
        <w:rPr>
          <w:sz w:val="22"/>
          <w:szCs w:val="22"/>
        </w:rPr>
        <w:lastRenderedPageBreak/>
        <w:t>1. Introduction</w:t>
      </w:r>
      <w:bookmarkEnd w:id="0"/>
    </w:p>
    <w:p w14:paraId="10C27C13" w14:textId="29D4E857" w:rsidR="00805E82" w:rsidRPr="00743C24" w:rsidRDefault="00805E82" w:rsidP="00505C55">
      <w:pPr>
        <w:pStyle w:val="Heading2"/>
        <w:rPr>
          <w:szCs w:val="22"/>
        </w:rPr>
      </w:pPr>
      <w:bookmarkStart w:id="1" w:name="_Toc198120575"/>
      <w:r w:rsidRPr="00743C24">
        <w:rPr>
          <w:szCs w:val="22"/>
        </w:rPr>
        <w:t>1.1 Background</w:t>
      </w:r>
      <w:bookmarkEnd w:id="1"/>
    </w:p>
    <w:p w14:paraId="2F4891F2" w14:textId="468E08D2" w:rsidR="00505C55" w:rsidRPr="00743C24" w:rsidRDefault="00843739" w:rsidP="00505C55">
      <w:pPr>
        <w:spacing w:line="360" w:lineRule="auto"/>
        <w:rPr>
          <w:rFonts w:ascii="Arial" w:hAnsi="Arial" w:cs="Arial"/>
        </w:rPr>
      </w:pPr>
      <w:r w:rsidRPr="00743C24">
        <w:rPr>
          <w:rFonts w:ascii="Arial" w:hAnsi="Arial" w:cs="Arial"/>
          <w:noProof/>
        </w:rPr>
        <w:drawing>
          <wp:anchor distT="0" distB="0" distL="114300" distR="114300" simplePos="0" relativeHeight="251661312" behindDoc="0" locked="0" layoutInCell="1" allowOverlap="1" wp14:anchorId="2486E49A" wp14:editId="51F5496A">
            <wp:simplePos x="0" y="0"/>
            <wp:positionH relativeFrom="margin">
              <wp:align>center</wp:align>
            </wp:positionH>
            <wp:positionV relativeFrom="paragraph">
              <wp:posOffset>2278561</wp:posOffset>
            </wp:positionV>
            <wp:extent cx="4711700" cy="2889885"/>
            <wp:effectExtent l="0" t="0" r="0" b="5715"/>
            <wp:wrapTopAndBottom/>
            <wp:docPr id="20911776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11700" cy="2889885"/>
                    </a:xfrm>
                    <a:prstGeom prst="rect">
                      <a:avLst/>
                    </a:prstGeom>
                    <a:noFill/>
                  </pic:spPr>
                </pic:pic>
              </a:graphicData>
            </a:graphic>
            <wp14:sizeRelH relativeFrom="margin">
              <wp14:pctWidth>0</wp14:pctWidth>
            </wp14:sizeRelH>
            <wp14:sizeRelV relativeFrom="margin">
              <wp14:pctHeight>0</wp14:pctHeight>
            </wp14:sizeRelV>
          </wp:anchor>
        </w:drawing>
      </w:r>
      <w:r w:rsidR="00093B06" w:rsidRPr="00743C24">
        <w:rPr>
          <w:rFonts w:ascii="Arial" w:hAnsi="Arial" w:cs="Arial"/>
        </w:rPr>
        <w:t>Sumitomo Electric Wiring Systems (SEWS-E) is a leading manufacturer of automotive wiring harnesses, connectors, and related systems, serving as a critical supplier to the global automotive industry. Operating in several nations, SEWS-E is a division of the larger Sumitomo Electric Industries Group, with production facilities ideally situated to satisfy the shifting demands of the automotive industry. Wiring harnesses</w:t>
      </w:r>
      <w:r w:rsidRPr="00743C24">
        <w:rPr>
          <w:rFonts w:ascii="Arial" w:hAnsi="Arial" w:cs="Arial"/>
        </w:rPr>
        <w:t xml:space="preserve"> (as seen in </w:t>
      </w:r>
      <w:r w:rsidRPr="00743C24">
        <w:rPr>
          <w:rFonts w:ascii="Arial" w:hAnsi="Arial" w:cs="Arial"/>
          <w:color w:val="BF8F00" w:themeColor="accent4" w:themeShade="BF"/>
        </w:rPr>
        <w:t>Figure 1.</w:t>
      </w:r>
      <w:r w:rsidRPr="00743C24">
        <w:rPr>
          <w:rFonts w:ascii="Arial" w:hAnsi="Arial" w:cs="Arial"/>
        </w:rPr>
        <w:t>)</w:t>
      </w:r>
      <w:r w:rsidR="00093B06" w:rsidRPr="00743C24">
        <w:rPr>
          <w:rFonts w:ascii="Arial" w:hAnsi="Arial" w:cs="Arial"/>
        </w:rPr>
        <w:t xml:space="preserve"> are essential components in modern vehicles, providing the electrical and communication pathways that power various systems, from safety features to infotainment. Due to its dedication to quality and innovation, SEWS-E has established itself as a reliable partner for leading car manufacturers across the globe.</w:t>
      </w:r>
    </w:p>
    <w:p w14:paraId="3AEDF699" w14:textId="6A696F9C" w:rsidR="00093B06" w:rsidRPr="00743C24" w:rsidRDefault="00843739" w:rsidP="00505C55">
      <w:pPr>
        <w:spacing w:line="360" w:lineRule="auto"/>
        <w:rPr>
          <w:rFonts w:ascii="Arial" w:hAnsi="Arial" w:cs="Arial"/>
        </w:rPr>
      </w:pPr>
      <w:r w:rsidRPr="00743C24">
        <w:rPr>
          <w:rFonts w:ascii="Arial" w:hAnsi="Arial" w:cs="Arial"/>
          <w:color w:val="BF8F00" w:themeColor="accent4" w:themeShade="BF"/>
        </w:rPr>
        <w:t xml:space="preserve">Figure 1. </w:t>
      </w:r>
      <w:r w:rsidRPr="00743C24">
        <w:rPr>
          <w:rFonts w:ascii="Arial" w:hAnsi="Arial" w:cs="Arial"/>
        </w:rPr>
        <w:t>Wiring Harness</w:t>
      </w:r>
    </w:p>
    <w:p w14:paraId="5143ADC6" w14:textId="73108DCA" w:rsidR="00093B06" w:rsidRPr="00743C24" w:rsidRDefault="00843739" w:rsidP="00505C55">
      <w:pPr>
        <w:spacing w:line="360" w:lineRule="auto"/>
        <w:rPr>
          <w:rFonts w:ascii="Arial" w:hAnsi="Arial" w:cs="Arial"/>
        </w:rPr>
      </w:pPr>
      <w:r w:rsidRPr="00743C24">
        <w:rPr>
          <w:rFonts w:ascii="Arial" w:hAnsi="Arial" w:cs="Arial"/>
        </w:rPr>
        <w:t>To</w:t>
      </w:r>
      <w:r w:rsidR="00093B06" w:rsidRPr="00743C24">
        <w:rPr>
          <w:rFonts w:ascii="Arial" w:hAnsi="Arial" w:cs="Arial"/>
        </w:rPr>
        <w:t xml:space="preserve"> maximise capacity and sustain efficiency, SEWS-E often moves machinery between facilities in response to changing production demands and global market challenges. However, these machine transfers are complex and pose risks to production schedules, equipment functionality, and operational continuity. These issues are the main topic of this dissertation, especially the function of organised internal audits in reducing the risks connected to the transfer of machinery. SEWS-E can maintain its dedication to producing high-quality products while maximising resources and prolonging equipment lifespan by making sure equipment is kept in optimal condition and taking proactive measures to address possible problems.</w:t>
      </w:r>
    </w:p>
    <w:p w14:paraId="3AF990D2" w14:textId="77777777" w:rsidR="00843739" w:rsidRPr="00743C24" w:rsidRDefault="00843739" w:rsidP="00505C55">
      <w:pPr>
        <w:spacing w:line="360" w:lineRule="auto"/>
        <w:rPr>
          <w:rFonts w:ascii="Arial" w:hAnsi="Arial" w:cs="Arial"/>
        </w:rPr>
      </w:pPr>
    </w:p>
    <w:p w14:paraId="248D6B5F" w14:textId="78EBA676" w:rsidR="00505C55" w:rsidRPr="00743C24" w:rsidRDefault="00505C55" w:rsidP="00811732">
      <w:pPr>
        <w:pStyle w:val="Heading2"/>
        <w:rPr>
          <w:szCs w:val="22"/>
        </w:rPr>
      </w:pPr>
      <w:bookmarkStart w:id="2" w:name="_Toc198120576"/>
      <w:r w:rsidRPr="00743C24">
        <w:rPr>
          <w:szCs w:val="22"/>
        </w:rPr>
        <w:lastRenderedPageBreak/>
        <w:t>1.2 Rationale for the Study</w:t>
      </w:r>
      <w:bookmarkEnd w:id="2"/>
    </w:p>
    <w:p w14:paraId="2AFF9296" w14:textId="237B125D" w:rsidR="00923114" w:rsidRPr="00743C24" w:rsidRDefault="00923114" w:rsidP="00811732">
      <w:pPr>
        <w:spacing w:line="360" w:lineRule="auto"/>
        <w:rPr>
          <w:rFonts w:ascii="Arial" w:hAnsi="Arial" w:cs="Arial"/>
        </w:rPr>
      </w:pPr>
      <w:r w:rsidRPr="00743C24">
        <w:rPr>
          <w:rFonts w:ascii="Arial" w:hAnsi="Arial" w:cs="Arial"/>
          <w:noProof/>
        </w:rPr>
        <w:drawing>
          <wp:anchor distT="0" distB="0" distL="114300" distR="114300" simplePos="0" relativeHeight="251665408" behindDoc="0" locked="0" layoutInCell="1" allowOverlap="1" wp14:anchorId="106B47A3" wp14:editId="1421025A">
            <wp:simplePos x="0" y="0"/>
            <wp:positionH relativeFrom="margin">
              <wp:align>right</wp:align>
            </wp:positionH>
            <wp:positionV relativeFrom="paragraph">
              <wp:posOffset>1219200</wp:posOffset>
            </wp:positionV>
            <wp:extent cx="5734050" cy="3971925"/>
            <wp:effectExtent l="19050" t="19050" r="19050" b="28575"/>
            <wp:wrapTopAndBottom/>
            <wp:docPr id="14585029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3971925"/>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093B06" w:rsidRPr="00743C24">
        <w:rPr>
          <w:rFonts w:ascii="Arial" w:hAnsi="Arial" w:cs="Arial"/>
        </w:rPr>
        <w:t xml:space="preserve">Since Sumitomo Electric Wiring Systems (SEWS-E) operates </w:t>
      </w:r>
      <w:r w:rsidR="00843739" w:rsidRPr="00743C24">
        <w:rPr>
          <w:rFonts w:ascii="Arial" w:hAnsi="Arial" w:cs="Arial"/>
        </w:rPr>
        <w:t>all over the globe</w:t>
      </w:r>
      <w:r w:rsidRPr="00743C24">
        <w:rPr>
          <w:rFonts w:ascii="Arial" w:hAnsi="Arial" w:cs="Arial"/>
        </w:rPr>
        <w:t xml:space="preserve"> (as seen in </w:t>
      </w:r>
      <w:r w:rsidRPr="00743C24">
        <w:rPr>
          <w:rFonts w:ascii="Arial" w:hAnsi="Arial" w:cs="Arial"/>
          <w:color w:val="BF8F00" w:themeColor="accent4" w:themeShade="BF"/>
        </w:rPr>
        <w:t>Figure 2</w:t>
      </w:r>
      <w:r w:rsidRPr="00743C24">
        <w:rPr>
          <w:rFonts w:ascii="Arial" w:hAnsi="Arial" w:cs="Arial"/>
        </w:rPr>
        <w:t>.)</w:t>
      </w:r>
      <w:r w:rsidR="00093B06" w:rsidRPr="00743C24">
        <w:rPr>
          <w:rFonts w:ascii="Arial" w:hAnsi="Arial" w:cs="Arial"/>
        </w:rPr>
        <w:t xml:space="preserve">, it is necessary to regularly move important machinery between foreign facilities meet varying production demands and maximise capacity. These transfers, however, frequently come with </w:t>
      </w:r>
      <w:r w:rsidRPr="00743C24">
        <w:rPr>
          <w:rFonts w:ascii="Arial" w:hAnsi="Arial" w:cs="Arial"/>
        </w:rPr>
        <w:t>several</w:t>
      </w:r>
      <w:r w:rsidR="00093B06" w:rsidRPr="00743C24">
        <w:rPr>
          <w:rFonts w:ascii="Arial" w:hAnsi="Arial" w:cs="Arial"/>
        </w:rPr>
        <w:t xml:space="preserve"> difficulties, such as broken or non-operational equipment, production continuity risks, and missing or damaged parts.</w:t>
      </w:r>
    </w:p>
    <w:p w14:paraId="53797234" w14:textId="40FAB80E" w:rsidR="00870C5A" w:rsidRPr="00743C24" w:rsidRDefault="00870C5A" w:rsidP="00811732">
      <w:pPr>
        <w:spacing w:line="360" w:lineRule="auto"/>
        <w:rPr>
          <w:rFonts w:ascii="Arial" w:hAnsi="Arial" w:cs="Arial"/>
        </w:rPr>
      </w:pPr>
      <w:r w:rsidRPr="00743C24">
        <w:rPr>
          <w:rFonts w:ascii="Arial" w:hAnsi="Arial" w:cs="Arial"/>
          <w:color w:val="BF8F00" w:themeColor="accent4" w:themeShade="BF"/>
        </w:rPr>
        <w:t>Figure 2</w:t>
      </w:r>
      <w:r w:rsidRPr="00743C24">
        <w:rPr>
          <w:rFonts w:ascii="Arial" w:hAnsi="Arial" w:cs="Arial"/>
        </w:rPr>
        <w:t xml:space="preserve">. </w:t>
      </w:r>
      <w:r w:rsidRPr="00743C24">
        <w:rPr>
          <w:rFonts w:ascii="Arial" w:hAnsi="Arial" w:cs="Arial"/>
          <w:i/>
          <w:iCs/>
        </w:rPr>
        <w:t>World Map with SEWS-E’s locations marked</w:t>
      </w:r>
    </w:p>
    <w:p w14:paraId="04247F94" w14:textId="3A9A6A72" w:rsidR="00811732" w:rsidRPr="00743C24" w:rsidRDefault="00811732" w:rsidP="00811732">
      <w:pPr>
        <w:spacing w:line="360" w:lineRule="auto"/>
        <w:rPr>
          <w:rFonts w:ascii="Arial" w:hAnsi="Arial" w:cs="Arial"/>
        </w:rPr>
      </w:pPr>
      <w:r w:rsidRPr="00743C24">
        <w:rPr>
          <w:rFonts w:ascii="Arial" w:hAnsi="Arial" w:cs="Arial"/>
        </w:rPr>
        <w:t>These problems jeopardise not only manufacturing schedules but also the long-term usability of machinery, employee safety, and product quality. Despite efforts to mitigate these risks, gaps in pre-transfer and post-transfer procedures can lead to inefficiencies, unexpected downtime, and increased operational costs. Ensuring that machinery is audited after transfer is critical to maintaining compliance with industry standards, minimi</w:t>
      </w:r>
      <w:r w:rsidR="00CC766A" w:rsidRPr="00743C24">
        <w:rPr>
          <w:rFonts w:ascii="Arial" w:hAnsi="Arial" w:cs="Arial"/>
        </w:rPr>
        <w:t>s</w:t>
      </w:r>
      <w:r w:rsidRPr="00743C24">
        <w:rPr>
          <w:rFonts w:ascii="Arial" w:hAnsi="Arial" w:cs="Arial"/>
        </w:rPr>
        <w:t>ing disruptions, and optimi</w:t>
      </w:r>
      <w:r w:rsidR="00CC766A" w:rsidRPr="00743C24">
        <w:rPr>
          <w:rFonts w:ascii="Arial" w:hAnsi="Arial" w:cs="Arial"/>
        </w:rPr>
        <w:t>s</w:t>
      </w:r>
      <w:r w:rsidRPr="00743C24">
        <w:rPr>
          <w:rFonts w:ascii="Arial" w:hAnsi="Arial" w:cs="Arial"/>
        </w:rPr>
        <w:t>ing performance.</w:t>
      </w:r>
    </w:p>
    <w:p w14:paraId="19B1D7C1" w14:textId="4B1464F5" w:rsidR="00811732" w:rsidRPr="00743C24" w:rsidRDefault="00811732" w:rsidP="00811732">
      <w:pPr>
        <w:spacing w:line="360" w:lineRule="auto"/>
        <w:rPr>
          <w:rFonts w:ascii="Arial" w:hAnsi="Arial" w:cs="Arial"/>
        </w:rPr>
      </w:pPr>
      <w:r w:rsidRPr="00743C24">
        <w:rPr>
          <w:rFonts w:ascii="Arial" w:hAnsi="Arial" w:cs="Arial"/>
        </w:rPr>
        <w:t>However, there remains a lack of standardisation and industry</w:t>
      </w:r>
      <w:r w:rsidR="008860A3">
        <w:rPr>
          <w:rFonts w:ascii="Arial" w:hAnsi="Arial" w:cs="Arial"/>
        </w:rPr>
        <w:t xml:space="preserve"> </w:t>
      </w:r>
      <w:r w:rsidRPr="00743C24">
        <w:rPr>
          <w:rFonts w:ascii="Arial" w:hAnsi="Arial" w:cs="Arial"/>
        </w:rPr>
        <w:t xml:space="preserve">wide best practices regarding the internal audit processes specific to machinery transfers. While general audit frameworks exist (e.g., ISO 9001 for quality management and ISO 45001 for occupational health and safety), they are not always tailored to the complexities of cross-border equipment relocation, regulatory compliance, and logistical constraints. Additionally, limited research </w:t>
      </w:r>
      <w:r w:rsidRPr="00743C24">
        <w:rPr>
          <w:rFonts w:ascii="Arial" w:hAnsi="Arial" w:cs="Arial"/>
        </w:rPr>
        <w:lastRenderedPageBreak/>
        <w:t>has been conducted on how internal audits can proactively identify and prevent failures in machinery transfers, rather than merely detecting issues after they arise.</w:t>
      </w:r>
    </w:p>
    <w:p w14:paraId="1A876024" w14:textId="3BD0B238" w:rsidR="00093B06" w:rsidRPr="00743C24" w:rsidRDefault="00811732" w:rsidP="00811732">
      <w:pPr>
        <w:spacing w:line="360" w:lineRule="auto"/>
        <w:rPr>
          <w:rFonts w:ascii="Arial" w:hAnsi="Arial" w:cs="Arial"/>
        </w:rPr>
      </w:pPr>
      <w:r w:rsidRPr="00743C24">
        <w:rPr>
          <w:rFonts w:ascii="Arial" w:hAnsi="Arial" w:cs="Arial"/>
        </w:rPr>
        <w:t>The purpose of this study is to examine how structured internal audits can reduce these risks, guarantee equipment performance, and increase the lifespan of machinery. By evaluating SEWS-E's current audit procedures and identifying areas for improvement, this research aims to bridge the existing knowledge gap and contribute to more efficient, standardi</w:t>
      </w:r>
      <w:r w:rsidR="00CC766A" w:rsidRPr="00743C24">
        <w:rPr>
          <w:rFonts w:ascii="Arial" w:hAnsi="Arial" w:cs="Arial"/>
        </w:rPr>
        <w:t>s</w:t>
      </w:r>
      <w:r w:rsidRPr="00743C24">
        <w:rPr>
          <w:rFonts w:ascii="Arial" w:hAnsi="Arial" w:cs="Arial"/>
        </w:rPr>
        <w:t>ed internal audit frameworks for machinery transfers. In doing so, this study supports SEWS-E's continuous dedication to resource optimi</w:t>
      </w:r>
      <w:r w:rsidR="00CC766A" w:rsidRPr="00743C24">
        <w:rPr>
          <w:rFonts w:ascii="Arial" w:hAnsi="Arial" w:cs="Arial"/>
        </w:rPr>
        <w:t>s</w:t>
      </w:r>
      <w:r w:rsidRPr="00743C24">
        <w:rPr>
          <w:rFonts w:ascii="Arial" w:hAnsi="Arial" w:cs="Arial"/>
        </w:rPr>
        <w:t>ation and operational excellence in an increasingly competitive manufacturing landscape.</w:t>
      </w:r>
    </w:p>
    <w:p w14:paraId="6DCB4EAE" w14:textId="756E55CD" w:rsidR="00505C55" w:rsidRPr="00743C24" w:rsidRDefault="00505C55" w:rsidP="00811732">
      <w:pPr>
        <w:pStyle w:val="Heading2"/>
        <w:rPr>
          <w:szCs w:val="22"/>
        </w:rPr>
      </w:pPr>
      <w:bookmarkStart w:id="3" w:name="_Toc198120577"/>
      <w:r w:rsidRPr="00743C24">
        <w:rPr>
          <w:szCs w:val="22"/>
        </w:rPr>
        <w:t xml:space="preserve">1.3 </w:t>
      </w:r>
      <w:r w:rsidR="0062281B" w:rsidRPr="00743C24">
        <w:rPr>
          <w:szCs w:val="22"/>
        </w:rPr>
        <w:t xml:space="preserve"> The Role of Structured Internal Audits and </w:t>
      </w:r>
      <w:r w:rsidR="00E2245E" w:rsidRPr="00743C24">
        <w:rPr>
          <w:szCs w:val="22"/>
        </w:rPr>
        <w:t>t</w:t>
      </w:r>
      <w:r w:rsidR="00696F7B" w:rsidRPr="00743C24">
        <w:rPr>
          <w:szCs w:val="22"/>
        </w:rPr>
        <w:t>heir</w:t>
      </w:r>
      <w:r w:rsidR="0062281B" w:rsidRPr="00743C24">
        <w:rPr>
          <w:szCs w:val="22"/>
        </w:rPr>
        <w:t xml:space="preserve"> </w:t>
      </w:r>
      <w:r w:rsidR="009B59F7" w:rsidRPr="00743C24">
        <w:rPr>
          <w:szCs w:val="22"/>
        </w:rPr>
        <w:t>Effectiveness</w:t>
      </w:r>
      <w:bookmarkEnd w:id="3"/>
    </w:p>
    <w:p w14:paraId="07B67533" w14:textId="2CD5174D" w:rsidR="00CB3F9D" w:rsidRPr="00743C24" w:rsidRDefault="00CB3F9D" w:rsidP="00CB3F9D">
      <w:pPr>
        <w:spacing w:line="360" w:lineRule="auto"/>
        <w:rPr>
          <w:rFonts w:ascii="Arial" w:hAnsi="Arial" w:cs="Arial"/>
        </w:rPr>
      </w:pPr>
      <w:r w:rsidRPr="00743C24">
        <w:rPr>
          <w:rFonts w:ascii="Arial" w:hAnsi="Arial" w:cs="Arial"/>
        </w:rPr>
        <w:t>Structured internal audits are a systematic and methodical approach to evaluating the effectiveness of machinery transfer processes. They serve as a crucial mechanism for ensuring that equipment relocations adhere to predefined operational standards, regulatory requirements, and company</w:t>
      </w:r>
      <w:r w:rsidR="008860A3">
        <w:rPr>
          <w:rFonts w:ascii="Arial" w:hAnsi="Arial" w:cs="Arial"/>
        </w:rPr>
        <w:t xml:space="preserve"> </w:t>
      </w:r>
      <w:r w:rsidRPr="00743C24">
        <w:rPr>
          <w:rFonts w:ascii="Arial" w:hAnsi="Arial" w:cs="Arial"/>
        </w:rPr>
        <w:t>specific policies. By following a structured audit framework, organi</w:t>
      </w:r>
      <w:r w:rsidR="00CC766A" w:rsidRPr="00743C24">
        <w:rPr>
          <w:rFonts w:ascii="Arial" w:hAnsi="Arial" w:cs="Arial"/>
        </w:rPr>
        <w:t>s</w:t>
      </w:r>
      <w:r w:rsidRPr="00743C24">
        <w:rPr>
          <w:rFonts w:ascii="Arial" w:hAnsi="Arial" w:cs="Arial"/>
        </w:rPr>
        <w:t xml:space="preserve">ations can systematically assess pre-transfer, </w:t>
      </w:r>
      <w:r w:rsidR="008860A3" w:rsidRPr="00743C24">
        <w:rPr>
          <w:rFonts w:ascii="Arial" w:hAnsi="Arial" w:cs="Arial"/>
        </w:rPr>
        <w:t>in transit</w:t>
      </w:r>
      <w:r w:rsidRPr="00743C24">
        <w:rPr>
          <w:rFonts w:ascii="Arial" w:hAnsi="Arial" w:cs="Arial"/>
        </w:rPr>
        <w:t>, and post-transfer conditions to minimi</w:t>
      </w:r>
      <w:r w:rsidR="00CC766A" w:rsidRPr="00743C24">
        <w:rPr>
          <w:rFonts w:ascii="Arial" w:hAnsi="Arial" w:cs="Arial"/>
        </w:rPr>
        <w:t>s</w:t>
      </w:r>
      <w:r w:rsidRPr="00743C24">
        <w:rPr>
          <w:rFonts w:ascii="Arial" w:hAnsi="Arial" w:cs="Arial"/>
        </w:rPr>
        <w:t>e risks and improve efficiency.</w:t>
      </w:r>
    </w:p>
    <w:p w14:paraId="64B99841" w14:textId="4214673E" w:rsidR="008C427E" w:rsidRPr="00743C24" w:rsidRDefault="00CB3F9D" w:rsidP="00CB3F9D">
      <w:pPr>
        <w:spacing w:line="360" w:lineRule="auto"/>
        <w:rPr>
          <w:rFonts w:ascii="Arial" w:hAnsi="Arial" w:cs="Arial"/>
        </w:rPr>
      </w:pPr>
      <w:r w:rsidRPr="00743C24">
        <w:rPr>
          <w:rFonts w:ascii="Arial" w:hAnsi="Arial" w:cs="Arial"/>
        </w:rPr>
        <w:t>By embedding structured audits into the machinery transfer workflow, SEWS-E can enhance operational efficiency, minimi</w:t>
      </w:r>
      <w:r w:rsidR="00CC766A" w:rsidRPr="00743C24">
        <w:rPr>
          <w:rFonts w:ascii="Arial" w:hAnsi="Arial" w:cs="Arial"/>
        </w:rPr>
        <w:t>s</w:t>
      </w:r>
      <w:r w:rsidRPr="00743C24">
        <w:rPr>
          <w:rFonts w:ascii="Arial" w:hAnsi="Arial" w:cs="Arial"/>
        </w:rPr>
        <w:t>e downtime, ensure regulatory compliance, and extend the lifespan of critical equipment. A robust internal audit framework does not merely identify failures after they occur</w:t>
      </w:r>
      <w:r w:rsidR="008860A3">
        <w:rPr>
          <w:rFonts w:ascii="Arial" w:hAnsi="Arial" w:cs="Arial"/>
        </w:rPr>
        <w:t xml:space="preserve">, </w:t>
      </w:r>
      <w:r w:rsidRPr="00743C24">
        <w:rPr>
          <w:rFonts w:ascii="Arial" w:hAnsi="Arial" w:cs="Arial"/>
        </w:rPr>
        <w:t>it provides a proactive mechanism to prevent breakdowns, reduce costs, and safeguard production continuity.</w:t>
      </w:r>
    </w:p>
    <w:p w14:paraId="52CF62BB" w14:textId="2C4C9277" w:rsidR="008C427E" w:rsidRPr="00743C24" w:rsidRDefault="008C427E" w:rsidP="00811732">
      <w:pPr>
        <w:spacing w:line="360" w:lineRule="auto"/>
        <w:rPr>
          <w:rFonts w:ascii="Arial" w:hAnsi="Arial" w:cs="Arial"/>
        </w:rPr>
      </w:pPr>
      <w:r w:rsidRPr="00743C24">
        <w:rPr>
          <w:rFonts w:ascii="Arial" w:hAnsi="Arial" w:cs="Arial"/>
        </w:rPr>
        <w:t>Research by Hicks and Matthews (2011) highlights the significance of understanding machine-material interactions as a means of achieving sustainable process improvements. This concept is particularly relevant in precision</w:t>
      </w:r>
      <w:r w:rsidR="008860A3">
        <w:rPr>
          <w:rFonts w:ascii="Arial" w:hAnsi="Arial" w:cs="Arial"/>
        </w:rPr>
        <w:t xml:space="preserve"> </w:t>
      </w:r>
      <w:r w:rsidRPr="00743C24">
        <w:rPr>
          <w:rFonts w:ascii="Arial" w:hAnsi="Arial" w:cs="Arial"/>
        </w:rPr>
        <w:t>dependent manufacturing processes, such as crimping operations, where the quality of crimped connections directly affects the performance and reliability of electrical systems. SEWS-E, as a manufacturer speciali</w:t>
      </w:r>
      <w:r w:rsidR="00100F37" w:rsidRPr="00743C24">
        <w:rPr>
          <w:rFonts w:ascii="Arial" w:hAnsi="Arial" w:cs="Arial"/>
        </w:rPr>
        <w:t>s</w:t>
      </w:r>
      <w:r w:rsidRPr="00743C24">
        <w:rPr>
          <w:rFonts w:ascii="Arial" w:hAnsi="Arial" w:cs="Arial"/>
        </w:rPr>
        <w:t>ing in electrical wiring systems, relies heavily on the accuracy and repeatability of such operations. By implementing structured audits, SEWS-E can systematically evaluate crimping processes, detect inconsistencies, and make necessary improvements to ensure high</w:t>
      </w:r>
      <w:r w:rsidR="008860A3">
        <w:rPr>
          <w:rFonts w:ascii="Arial" w:hAnsi="Arial" w:cs="Arial"/>
        </w:rPr>
        <w:t xml:space="preserve"> </w:t>
      </w:r>
      <w:r w:rsidRPr="00743C24">
        <w:rPr>
          <w:rFonts w:ascii="Arial" w:hAnsi="Arial" w:cs="Arial"/>
        </w:rPr>
        <w:t>quality production standards.</w:t>
      </w:r>
    </w:p>
    <w:p w14:paraId="48655170" w14:textId="4C5EBEB4" w:rsidR="008C427E" w:rsidRPr="00743C24" w:rsidRDefault="008C427E" w:rsidP="00811732">
      <w:pPr>
        <w:spacing w:line="360" w:lineRule="auto"/>
        <w:rPr>
          <w:rFonts w:ascii="Arial" w:hAnsi="Arial" w:cs="Arial"/>
        </w:rPr>
      </w:pPr>
      <w:r w:rsidRPr="00743C24">
        <w:rPr>
          <w:rFonts w:ascii="Arial" w:hAnsi="Arial" w:cs="Arial"/>
        </w:rPr>
        <w:t>Additionally, Türetken et al. (2019) emphasi</w:t>
      </w:r>
      <w:r w:rsidR="00FF4E12" w:rsidRPr="00743C24">
        <w:rPr>
          <w:rFonts w:ascii="Arial" w:hAnsi="Arial" w:cs="Arial"/>
        </w:rPr>
        <w:t>s</w:t>
      </w:r>
      <w:r w:rsidRPr="00743C24">
        <w:rPr>
          <w:rFonts w:ascii="Arial" w:hAnsi="Arial" w:cs="Arial"/>
        </w:rPr>
        <w:t>e that the effectiveness of internal audits is influenced by multiple factors, including audit structure, auditor expertise, and organi</w:t>
      </w:r>
      <w:r w:rsidR="00FF4E12" w:rsidRPr="00743C24">
        <w:rPr>
          <w:rFonts w:ascii="Arial" w:hAnsi="Arial" w:cs="Arial"/>
        </w:rPr>
        <w:t>s</w:t>
      </w:r>
      <w:r w:rsidRPr="00743C24">
        <w:rPr>
          <w:rFonts w:ascii="Arial" w:hAnsi="Arial" w:cs="Arial"/>
        </w:rPr>
        <w:t>ational support. Their research suggests that organi</w:t>
      </w:r>
      <w:r w:rsidR="00FF4E12" w:rsidRPr="00743C24">
        <w:rPr>
          <w:rFonts w:ascii="Arial" w:hAnsi="Arial" w:cs="Arial"/>
        </w:rPr>
        <w:t>s</w:t>
      </w:r>
      <w:r w:rsidRPr="00743C24">
        <w:rPr>
          <w:rFonts w:ascii="Arial" w:hAnsi="Arial" w:cs="Arial"/>
        </w:rPr>
        <w:t xml:space="preserve">ations that regularly review and refine their internal audit frameworks can achieve higher levels of process control and compliance, </w:t>
      </w:r>
      <w:r w:rsidRPr="00743C24">
        <w:rPr>
          <w:rFonts w:ascii="Arial" w:hAnsi="Arial" w:cs="Arial"/>
        </w:rPr>
        <w:lastRenderedPageBreak/>
        <w:t>leading to improved operational outcomes. This is particularly relevant for SEWS-E, where structured audits help identify inefficiencies in equipment usage, maintenance practices, and transfer procedures.</w:t>
      </w:r>
    </w:p>
    <w:p w14:paraId="73E7837C" w14:textId="1902D6A6" w:rsidR="008C427E" w:rsidRPr="00743C24" w:rsidRDefault="008C427E" w:rsidP="00811732">
      <w:pPr>
        <w:spacing w:line="360" w:lineRule="auto"/>
        <w:rPr>
          <w:rFonts w:ascii="Arial" w:hAnsi="Arial" w:cs="Arial"/>
        </w:rPr>
      </w:pPr>
      <w:r w:rsidRPr="00743C24">
        <w:rPr>
          <w:rFonts w:ascii="Arial" w:hAnsi="Arial" w:cs="Arial"/>
        </w:rPr>
        <w:t>Furthermore, Moeller (2022) asserts that internal audits are essential in fostering a culture of accountability within organi</w:t>
      </w:r>
      <w:r w:rsidR="00100F37" w:rsidRPr="00743C24">
        <w:rPr>
          <w:rFonts w:ascii="Arial" w:hAnsi="Arial" w:cs="Arial"/>
        </w:rPr>
        <w:t>s</w:t>
      </w:r>
      <w:r w:rsidRPr="00743C24">
        <w:rPr>
          <w:rFonts w:ascii="Arial" w:hAnsi="Arial" w:cs="Arial"/>
        </w:rPr>
        <w:t>ations, ensuring that standard operating procedures (SOPs) are followed consistently. This is particularly valuable in machinery transfers, where deviations from standard protocols can lead to equipment malfunctions, production delays, and increased costs. By incorporating regular and structured audits, SEWS-E can ensure that each stage of machinery transfer is thoroughly assessed, reducing the risk of operational failures and unplanned downtime.</w:t>
      </w:r>
      <w:r w:rsidR="00811732" w:rsidRPr="00743C24">
        <w:rPr>
          <w:rFonts w:ascii="Arial" w:hAnsi="Arial" w:cs="Arial"/>
        </w:rPr>
        <w:t xml:space="preserve"> </w:t>
      </w:r>
    </w:p>
    <w:p w14:paraId="7E63A39C" w14:textId="7E33BBB9" w:rsidR="002A35C2" w:rsidRPr="00743C24" w:rsidRDefault="002A35C2" w:rsidP="002A35C2">
      <w:pPr>
        <w:spacing w:line="360" w:lineRule="auto"/>
        <w:rPr>
          <w:rFonts w:ascii="Arial" w:hAnsi="Arial" w:cs="Arial"/>
        </w:rPr>
      </w:pPr>
      <w:r w:rsidRPr="00743C24">
        <w:rPr>
          <w:rFonts w:ascii="Arial" w:hAnsi="Arial" w:cs="Arial"/>
        </w:rPr>
        <w:t>The insights from these studies reinforce the critical role of structured internal audits in ensuring process stability and continuous improvement. In the context of machinery transfers, internal audits act as a verification mechanism, ensuring that the lessons from research</w:t>
      </w:r>
      <w:r w:rsidR="008860A3">
        <w:rPr>
          <w:rFonts w:ascii="Arial" w:hAnsi="Arial" w:cs="Arial"/>
        </w:rPr>
        <w:t xml:space="preserve">, </w:t>
      </w:r>
      <w:r w:rsidRPr="00743C24">
        <w:rPr>
          <w:rFonts w:ascii="Arial" w:hAnsi="Arial" w:cs="Arial"/>
        </w:rPr>
        <w:t>such as machine-material interactions, audit structuring, and organisational compliance</w:t>
      </w:r>
      <w:r w:rsidR="008860A3">
        <w:rPr>
          <w:rFonts w:ascii="Arial" w:hAnsi="Arial" w:cs="Arial"/>
        </w:rPr>
        <w:t xml:space="preserve">, </w:t>
      </w:r>
      <w:r w:rsidRPr="00743C24">
        <w:rPr>
          <w:rFonts w:ascii="Arial" w:hAnsi="Arial" w:cs="Arial"/>
        </w:rPr>
        <w:t>are actively incorporated into SEWS-E’s operational framework. By aligning internal audits with key manufacturing parameters, such as crimping accuracy, equipment calibration, and maintenance schedules, SEWS-E can systematically detect inefficiencies and implement corrective actions before they escalate into production failures. This directly impacts the consistency and performance of the final wire harness product, where even minor deviations in crimping force or wire positioning can lead to system-wide electrical failures. Structured audits help maintain high manufacturing quality, while also alleviating the complexity of machinery transfers by reducing uncertainty, standardising procedures, and providing assurance across sites.</w:t>
      </w:r>
    </w:p>
    <w:p w14:paraId="3D665BBD" w14:textId="112E406B" w:rsidR="009B59F7" w:rsidRPr="00743C24" w:rsidRDefault="002A35C2" w:rsidP="002A35C2">
      <w:pPr>
        <w:spacing w:line="360" w:lineRule="auto"/>
        <w:rPr>
          <w:rFonts w:ascii="Arial" w:hAnsi="Arial" w:cs="Arial"/>
        </w:rPr>
      </w:pPr>
      <w:r w:rsidRPr="00743C24">
        <w:rPr>
          <w:rFonts w:ascii="Arial" w:hAnsi="Arial" w:cs="Arial"/>
        </w:rPr>
        <w:t>In summary, structured internal audits serve as a proactive tool for identifying inefficiencies, maintaining compliance, and enhancing equipment reliability. Beyond simply detecting errors, they create a closed-loop feedback system that integrates scientific research, operational experience, and industry best practices to optimise machinery transfers. For SEWS-E, an effective audit framework is indispensable not only for minimising operational risks and ensuring seamless equipment transfers but also for driving long-term process improvements and reinforcing a culture of accountability across global manufacturing operations.</w:t>
      </w:r>
    </w:p>
    <w:p w14:paraId="4C81F097" w14:textId="255FE91B" w:rsidR="0065033D" w:rsidRPr="00743C24" w:rsidRDefault="0065033D" w:rsidP="00811732">
      <w:pPr>
        <w:spacing w:line="360" w:lineRule="auto"/>
        <w:rPr>
          <w:rFonts w:ascii="Arial" w:hAnsi="Arial" w:cs="Arial"/>
        </w:rPr>
      </w:pPr>
    </w:p>
    <w:p w14:paraId="617F8551" w14:textId="77777777" w:rsidR="00CB3F9D" w:rsidRPr="00743C24" w:rsidRDefault="00CB3F9D" w:rsidP="00811732">
      <w:pPr>
        <w:spacing w:line="360" w:lineRule="auto"/>
        <w:rPr>
          <w:rFonts w:ascii="Arial" w:hAnsi="Arial" w:cs="Arial"/>
        </w:rPr>
      </w:pPr>
    </w:p>
    <w:p w14:paraId="1185896A" w14:textId="77777777" w:rsidR="00CB3F9D" w:rsidRPr="00743C24" w:rsidRDefault="00CB3F9D" w:rsidP="00811732">
      <w:pPr>
        <w:spacing w:line="360" w:lineRule="auto"/>
        <w:rPr>
          <w:rFonts w:ascii="Arial" w:hAnsi="Arial" w:cs="Arial"/>
        </w:rPr>
      </w:pPr>
    </w:p>
    <w:p w14:paraId="2B965BC7" w14:textId="2155C471" w:rsidR="00505C55" w:rsidRPr="00743C24" w:rsidRDefault="00505C55" w:rsidP="00811732">
      <w:pPr>
        <w:pStyle w:val="Heading1"/>
        <w:rPr>
          <w:sz w:val="22"/>
          <w:szCs w:val="22"/>
        </w:rPr>
      </w:pPr>
      <w:bookmarkStart w:id="4" w:name="_Toc198120578"/>
      <w:r w:rsidRPr="00743C24">
        <w:rPr>
          <w:sz w:val="22"/>
          <w:szCs w:val="22"/>
        </w:rPr>
        <w:lastRenderedPageBreak/>
        <w:t>2. Aims and Objectives</w:t>
      </w:r>
      <w:bookmarkEnd w:id="4"/>
    </w:p>
    <w:p w14:paraId="424BB0CB" w14:textId="32374AC1" w:rsidR="00505C55" w:rsidRPr="00743C24" w:rsidRDefault="00505C55" w:rsidP="00811732">
      <w:pPr>
        <w:pStyle w:val="Heading2"/>
        <w:rPr>
          <w:szCs w:val="22"/>
        </w:rPr>
      </w:pPr>
      <w:bookmarkStart w:id="5" w:name="_Toc198120579"/>
      <w:r w:rsidRPr="00743C24">
        <w:rPr>
          <w:szCs w:val="22"/>
        </w:rPr>
        <w:t>2.1 Primary Aim</w:t>
      </w:r>
      <w:bookmarkEnd w:id="5"/>
    </w:p>
    <w:p w14:paraId="34B5D36F" w14:textId="41CF5273" w:rsidR="009602F4" w:rsidRPr="00743C24" w:rsidRDefault="009602F4" w:rsidP="00811732">
      <w:pPr>
        <w:spacing w:line="360" w:lineRule="auto"/>
        <w:rPr>
          <w:rFonts w:ascii="Arial" w:hAnsi="Arial" w:cs="Arial"/>
        </w:rPr>
      </w:pPr>
      <w:r w:rsidRPr="00743C24">
        <w:rPr>
          <w:rFonts w:ascii="Arial" w:hAnsi="Arial" w:cs="Arial"/>
        </w:rPr>
        <w:t>The primary aim of this dissertation is to assess the internal audit processes applied to machinery transfers within Sumitomo Electric Wiring Systems (SEWS-E), evaluating their effectiveness in mitigating operational risks and improving transfer efficiency. Machinery relocations within SEWS-E pose significant challenges, including equipment damage, missing parts, and disruptions to production. This study aims to analyse how structured internal audits can enhance these transfers by identifying weaknesses, ensuring compliance with company procedures, and improving overall operational reliability.</w:t>
      </w:r>
    </w:p>
    <w:p w14:paraId="0ABEC8F1" w14:textId="499AE7B5" w:rsidR="009602F4" w:rsidRPr="00743C24" w:rsidRDefault="009602F4" w:rsidP="00811732">
      <w:pPr>
        <w:spacing w:line="360" w:lineRule="auto"/>
        <w:rPr>
          <w:rFonts w:ascii="Arial" w:hAnsi="Arial" w:cs="Arial"/>
        </w:rPr>
      </w:pPr>
      <w:r w:rsidRPr="00743C24">
        <w:rPr>
          <w:rFonts w:ascii="Arial" w:hAnsi="Arial" w:cs="Arial"/>
        </w:rPr>
        <w:t>Through this assessment, the study seeks to:</w:t>
      </w:r>
    </w:p>
    <w:p w14:paraId="6A1C721E" w14:textId="7D26EDD8" w:rsidR="009602F4" w:rsidRPr="00743C24" w:rsidRDefault="009602F4" w:rsidP="00811732">
      <w:pPr>
        <w:pStyle w:val="ListParagraph"/>
        <w:numPr>
          <w:ilvl w:val="0"/>
          <w:numId w:val="8"/>
        </w:numPr>
        <w:spacing w:line="360" w:lineRule="auto"/>
        <w:rPr>
          <w:rFonts w:ascii="Arial" w:hAnsi="Arial" w:cs="Arial"/>
        </w:rPr>
      </w:pPr>
      <w:r w:rsidRPr="00743C24">
        <w:rPr>
          <w:rFonts w:ascii="Arial" w:hAnsi="Arial" w:cs="Arial"/>
          <w:b/>
          <w:bCs/>
          <w:color w:val="0070C0"/>
        </w:rPr>
        <w:t>Evaluate</w:t>
      </w:r>
      <w:r w:rsidR="008C427E" w:rsidRPr="00743C24">
        <w:rPr>
          <w:rFonts w:ascii="Arial" w:hAnsi="Arial" w:cs="Arial"/>
          <w:color w:val="0070C0"/>
        </w:rPr>
        <w:t xml:space="preserve"> </w:t>
      </w:r>
      <w:r w:rsidR="008C427E" w:rsidRPr="00743C24">
        <w:rPr>
          <w:rFonts w:ascii="Arial" w:hAnsi="Arial" w:cs="Arial"/>
        </w:rPr>
        <w:t>the role of internal audits in ensuring the seamless transfer of machinery across SEWS-E locations.</w:t>
      </w:r>
    </w:p>
    <w:p w14:paraId="3F38D69C" w14:textId="39386EA6" w:rsidR="008C427E" w:rsidRPr="00743C24" w:rsidRDefault="00040BFD" w:rsidP="00811732">
      <w:pPr>
        <w:pStyle w:val="ListParagraph"/>
        <w:numPr>
          <w:ilvl w:val="0"/>
          <w:numId w:val="8"/>
        </w:numPr>
        <w:spacing w:line="360" w:lineRule="auto"/>
        <w:rPr>
          <w:rFonts w:ascii="Arial" w:hAnsi="Arial" w:cs="Arial"/>
        </w:rPr>
      </w:pPr>
      <w:r w:rsidRPr="00743C24">
        <w:rPr>
          <w:rFonts w:ascii="Arial" w:hAnsi="Arial" w:cs="Arial"/>
          <w:b/>
          <w:bCs/>
          <w:color w:val="0070C0"/>
        </w:rPr>
        <w:t>Analyse</w:t>
      </w:r>
      <w:r w:rsidR="008C427E" w:rsidRPr="00743C24">
        <w:rPr>
          <w:rFonts w:ascii="Arial" w:hAnsi="Arial" w:cs="Arial"/>
          <w:color w:val="0070C0"/>
        </w:rPr>
        <w:t xml:space="preserve"> </w:t>
      </w:r>
      <w:r w:rsidR="008C427E" w:rsidRPr="00743C24">
        <w:rPr>
          <w:rFonts w:ascii="Arial" w:hAnsi="Arial" w:cs="Arial"/>
        </w:rPr>
        <w:t>key risks associated with machinery relocations and their impact on production, quality, and equipment lifespan.</w:t>
      </w:r>
    </w:p>
    <w:p w14:paraId="201BE0F3" w14:textId="35F86F18" w:rsidR="008C427E" w:rsidRPr="00743C24" w:rsidRDefault="008C427E" w:rsidP="00811732">
      <w:pPr>
        <w:pStyle w:val="ListParagraph"/>
        <w:numPr>
          <w:ilvl w:val="0"/>
          <w:numId w:val="8"/>
        </w:numPr>
        <w:spacing w:line="360" w:lineRule="auto"/>
        <w:rPr>
          <w:rFonts w:ascii="Arial" w:hAnsi="Arial" w:cs="Arial"/>
        </w:rPr>
      </w:pPr>
      <w:r w:rsidRPr="00743C24">
        <w:rPr>
          <w:rFonts w:ascii="Arial" w:hAnsi="Arial" w:cs="Arial"/>
          <w:b/>
          <w:bCs/>
          <w:color w:val="0070C0"/>
        </w:rPr>
        <w:t>Compare</w:t>
      </w:r>
      <w:r w:rsidRPr="00743C24">
        <w:rPr>
          <w:rFonts w:ascii="Arial" w:hAnsi="Arial" w:cs="Arial"/>
          <w:color w:val="0070C0"/>
        </w:rPr>
        <w:t xml:space="preserve"> </w:t>
      </w:r>
      <w:r w:rsidRPr="00743C24">
        <w:rPr>
          <w:rFonts w:ascii="Arial" w:hAnsi="Arial" w:cs="Arial"/>
        </w:rPr>
        <w:t>internal audit data from 2023 and 2024 to assess improvements and gaps in the current framework.</w:t>
      </w:r>
    </w:p>
    <w:p w14:paraId="7B2C7A93" w14:textId="26A5280B" w:rsidR="008C427E" w:rsidRPr="00743C24" w:rsidRDefault="008C427E" w:rsidP="00811732">
      <w:pPr>
        <w:pStyle w:val="ListParagraph"/>
        <w:numPr>
          <w:ilvl w:val="0"/>
          <w:numId w:val="8"/>
        </w:numPr>
        <w:spacing w:line="360" w:lineRule="auto"/>
        <w:rPr>
          <w:rFonts w:ascii="Arial" w:hAnsi="Arial" w:cs="Arial"/>
        </w:rPr>
      </w:pPr>
      <w:r w:rsidRPr="00743C24">
        <w:rPr>
          <w:rFonts w:ascii="Arial" w:hAnsi="Arial" w:cs="Arial"/>
          <w:b/>
          <w:bCs/>
          <w:color w:val="0070C0"/>
        </w:rPr>
        <w:t>Recommend</w:t>
      </w:r>
      <w:r w:rsidRPr="00743C24">
        <w:rPr>
          <w:rFonts w:ascii="Arial" w:hAnsi="Arial" w:cs="Arial"/>
          <w:color w:val="0070C0"/>
        </w:rPr>
        <w:t xml:space="preserve"> </w:t>
      </w:r>
      <w:r w:rsidRPr="00743C24">
        <w:rPr>
          <w:rFonts w:ascii="Arial" w:hAnsi="Arial" w:cs="Arial"/>
        </w:rPr>
        <w:t>enhancements to SEWS-E’s internal audit processes to minimi</w:t>
      </w:r>
      <w:r w:rsidR="00100F37" w:rsidRPr="00743C24">
        <w:rPr>
          <w:rFonts w:ascii="Arial" w:hAnsi="Arial" w:cs="Arial"/>
        </w:rPr>
        <w:t>s</w:t>
      </w:r>
      <w:r w:rsidRPr="00743C24">
        <w:rPr>
          <w:rFonts w:ascii="Arial" w:hAnsi="Arial" w:cs="Arial"/>
        </w:rPr>
        <w:t>e downtime, improve machine readiness, and standardi</w:t>
      </w:r>
      <w:r w:rsidR="00100F37" w:rsidRPr="00743C24">
        <w:rPr>
          <w:rFonts w:ascii="Arial" w:hAnsi="Arial" w:cs="Arial"/>
        </w:rPr>
        <w:t>s</w:t>
      </w:r>
      <w:r w:rsidRPr="00743C24">
        <w:rPr>
          <w:rFonts w:ascii="Arial" w:hAnsi="Arial" w:cs="Arial"/>
        </w:rPr>
        <w:t>e transfer procedures.</w:t>
      </w:r>
    </w:p>
    <w:p w14:paraId="6CCA2ADE" w14:textId="49052A9F" w:rsidR="00505C55" w:rsidRPr="00743C24" w:rsidRDefault="00505C55" w:rsidP="00811732">
      <w:pPr>
        <w:pStyle w:val="Heading2"/>
        <w:rPr>
          <w:szCs w:val="22"/>
        </w:rPr>
      </w:pPr>
      <w:bookmarkStart w:id="6" w:name="_Toc198120580"/>
      <w:r w:rsidRPr="00743C24">
        <w:rPr>
          <w:szCs w:val="22"/>
        </w:rPr>
        <w:t>2.2 Specific Objectives</w:t>
      </w:r>
      <w:bookmarkEnd w:id="6"/>
    </w:p>
    <w:p w14:paraId="22DB7FA9" w14:textId="7A8842E1" w:rsidR="00505C55" w:rsidRPr="00743C24" w:rsidRDefault="006972B8" w:rsidP="00811732">
      <w:pPr>
        <w:spacing w:line="360" w:lineRule="auto"/>
        <w:rPr>
          <w:rFonts w:ascii="Arial" w:hAnsi="Arial" w:cs="Arial"/>
        </w:rPr>
      </w:pPr>
      <w:r w:rsidRPr="00743C24">
        <w:rPr>
          <w:rFonts w:ascii="Arial" w:hAnsi="Arial" w:cs="Arial"/>
        </w:rPr>
        <w:t>This dissertation's main goal is to assess how Sumitomo Electric Wiring Systems' (SEWS-E) machinery transfers can be made more dependable and efficient through organised internal audits. This study looks at data from 2023–2024 and current practices to show how important internal audits are for managing risks and improving operational performance.</w:t>
      </w:r>
    </w:p>
    <w:p w14:paraId="6B1DF59F" w14:textId="186EFB9D" w:rsidR="006972B8" w:rsidRPr="00743C24" w:rsidRDefault="006972B8" w:rsidP="008C427E">
      <w:pPr>
        <w:pStyle w:val="ListParagraph"/>
        <w:numPr>
          <w:ilvl w:val="0"/>
          <w:numId w:val="7"/>
        </w:numPr>
        <w:spacing w:line="360" w:lineRule="auto"/>
        <w:rPr>
          <w:rFonts w:ascii="Arial" w:hAnsi="Arial" w:cs="Arial"/>
        </w:rPr>
      </w:pPr>
      <w:r w:rsidRPr="00743C24">
        <w:rPr>
          <w:rFonts w:ascii="Arial" w:hAnsi="Arial" w:cs="Arial"/>
        </w:rPr>
        <w:t xml:space="preserve">To </w:t>
      </w:r>
      <w:r w:rsidR="00E2245E" w:rsidRPr="00743C24">
        <w:rPr>
          <w:rFonts w:ascii="Arial" w:hAnsi="Arial" w:cs="Arial"/>
        </w:rPr>
        <w:t>evaluate</w:t>
      </w:r>
      <w:r w:rsidRPr="00743C24">
        <w:rPr>
          <w:rFonts w:ascii="Arial" w:hAnsi="Arial" w:cs="Arial"/>
        </w:rPr>
        <w:t xml:space="preserve"> the current internal audit processes at SEWS-E with a focus on their application to machinery transfers, identifying strengths and areas for improvement.</w:t>
      </w:r>
    </w:p>
    <w:p w14:paraId="6FEF34A2" w14:textId="3CBC66F2" w:rsidR="006972B8" w:rsidRPr="00743C24" w:rsidRDefault="006972B8" w:rsidP="008C427E">
      <w:pPr>
        <w:pStyle w:val="ListParagraph"/>
        <w:numPr>
          <w:ilvl w:val="0"/>
          <w:numId w:val="7"/>
        </w:numPr>
        <w:spacing w:line="360" w:lineRule="auto"/>
        <w:rPr>
          <w:rFonts w:ascii="Arial" w:hAnsi="Arial" w:cs="Arial"/>
        </w:rPr>
      </w:pPr>
      <w:r w:rsidRPr="00743C24">
        <w:rPr>
          <w:rFonts w:ascii="Arial" w:hAnsi="Arial" w:cs="Arial"/>
        </w:rPr>
        <w:t>To analyse the impact of machinery transfer-related issues, such as non-functional equipment, missing or damaged parts, and delays, on production quality, safety, and equipment lifespan.</w:t>
      </w:r>
    </w:p>
    <w:p w14:paraId="46CADBAE" w14:textId="1686D2AA" w:rsidR="006972B8" w:rsidRPr="00743C24" w:rsidRDefault="006972B8" w:rsidP="008C427E">
      <w:pPr>
        <w:pStyle w:val="ListParagraph"/>
        <w:numPr>
          <w:ilvl w:val="0"/>
          <w:numId w:val="7"/>
        </w:numPr>
        <w:spacing w:line="360" w:lineRule="auto"/>
        <w:rPr>
          <w:rFonts w:ascii="Arial" w:hAnsi="Arial" w:cs="Arial"/>
        </w:rPr>
      </w:pPr>
      <w:r w:rsidRPr="00743C24">
        <w:rPr>
          <w:rFonts w:ascii="Arial" w:hAnsi="Arial" w:cs="Arial"/>
        </w:rPr>
        <w:t xml:space="preserve">To compare </w:t>
      </w:r>
      <w:r w:rsidR="00E2245E" w:rsidRPr="00743C24">
        <w:rPr>
          <w:rFonts w:ascii="Arial" w:hAnsi="Arial" w:cs="Arial"/>
        </w:rPr>
        <w:t xml:space="preserve">finding of audits </w:t>
      </w:r>
      <w:r w:rsidRPr="00743C24">
        <w:rPr>
          <w:rFonts w:ascii="Arial" w:hAnsi="Arial" w:cs="Arial"/>
        </w:rPr>
        <w:t>from 2023 and 2024 to evaluate the effectiveness of</w:t>
      </w:r>
      <w:r w:rsidR="00E2245E" w:rsidRPr="00743C24">
        <w:rPr>
          <w:rFonts w:ascii="Arial" w:hAnsi="Arial" w:cs="Arial"/>
        </w:rPr>
        <w:t xml:space="preserve"> </w:t>
      </w:r>
      <w:r w:rsidRPr="00743C24">
        <w:rPr>
          <w:rFonts w:ascii="Arial" w:hAnsi="Arial" w:cs="Arial"/>
        </w:rPr>
        <w:t>implemented audit strategies over time.</w:t>
      </w:r>
    </w:p>
    <w:p w14:paraId="37A4B192" w14:textId="673939B6" w:rsidR="006972B8" w:rsidRDefault="006972B8" w:rsidP="00505C55">
      <w:pPr>
        <w:pStyle w:val="ListParagraph"/>
        <w:numPr>
          <w:ilvl w:val="0"/>
          <w:numId w:val="7"/>
        </w:numPr>
        <w:spacing w:line="360" w:lineRule="auto"/>
        <w:rPr>
          <w:rFonts w:ascii="Arial" w:hAnsi="Arial" w:cs="Arial"/>
        </w:rPr>
      </w:pPr>
      <w:r w:rsidRPr="00743C24">
        <w:rPr>
          <w:rFonts w:ascii="Arial" w:hAnsi="Arial" w:cs="Arial"/>
        </w:rPr>
        <w:t xml:space="preserve">To identify </w:t>
      </w:r>
      <w:r w:rsidR="00CB3F9D" w:rsidRPr="00743C24">
        <w:rPr>
          <w:rFonts w:ascii="Arial" w:hAnsi="Arial" w:cs="Arial"/>
        </w:rPr>
        <w:t>key factors influencing equipment lifespan during machinery transfers and recommend audit-driven improvements to minimise degradation and operational inefficiencies.</w:t>
      </w:r>
    </w:p>
    <w:p w14:paraId="5FE5E1BC" w14:textId="5CB7F43D" w:rsidR="001A46EF" w:rsidRPr="001A46EF" w:rsidRDefault="001A46EF" w:rsidP="001A46EF">
      <w:pPr>
        <w:pStyle w:val="Heading2"/>
      </w:pPr>
      <w:bookmarkStart w:id="7" w:name="_Toc198120581"/>
      <w:r w:rsidRPr="001A46EF">
        <w:lastRenderedPageBreak/>
        <w:t>2.3 Report Structure</w:t>
      </w:r>
      <w:bookmarkEnd w:id="7"/>
    </w:p>
    <w:p w14:paraId="089C3AD7" w14:textId="77777777" w:rsidR="001A46EF" w:rsidRPr="001A46EF" w:rsidRDefault="001A46EF" w:rsidP="001A46EF">
      <w:pPr>
        <w:spacing w:line="360" w:lineRule="auto"/>
        <w:rPr>
          <w:rFonts w:ascii="Arial" w:hAnsi="Arial" w:cs="Arial"/>
        </w:rPr>
      </w:pPr>
      <w:r w:rsidRPr="001A46EF">
        <w:rPr>
          <w:rFonts w:ascii="Arial" w:hAnsi="Arial" w:cs="Arial"/>
        </w:rPr>
        <w:t>Report Structure</w:t>
      </w:r>
    </w:p>
    <w:p w14:paraId="0F8C0404" w14:textId="2C4ECD52" w:rsidR="001A46EF" w:rsidRPr="001A46EF" w:rsidRDefault="001A46EF" w:rsidP="001A46EF">
      <w:pPr>
        <w:spacing w:line="360" w:lineRule="auto"/>
        <w:rPr>
          <w:rFonts w:ascii="Arial" w:hAnsi="Arial" w:cs="Arial"/>
        </w:rPr>
      </w:pPr>
      <w:r w:rsidRPr="001A46EF">
        <w:rPr>
          <w:rFonts w:ascii="Arial" w:hAnsi="Arial" w:cs="Arial"/>
        </w:rPr>
        <w:t xml:space="preserve">This report is structured across thirteen chapters to explore how internal audit processes can be optimised to improve the reliability and efficiency of machinery transfers within SEWS-E. </w:t>
      </w:r>
    </w:p>
    <w:p w14:paraId="7B8035FA" w14:textId="2FB29412"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1</w:t>
      </w:r>
      <w:r w:rsidRPr="001A46EF">
        <w:rPr>
          <w:rFonts w:ascii="Arial" w:hAnsi="Arial" w:cs="Arial"/>
        </w:rPr>
        <w:t xml:space="preserve"> introduces the background of the study, outlines the rationale for conducting the research, and defines the core aim and objectives.</w:t>
      </w:r>
    </w:p>
    <w:p w14:paraId="258F5C11" w14:textId="4AE0BBB4"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2</w:t>
      </w:r>
      <w:r w:rsidRPr="001A46EF">
        <w:rPr>
          <w:rFonts w:ascii="Arial" w:hAnsi="Arial" w:cs="Arial"/>
        </w:rPr>
        <w:t xml:space="preserve"> clearly presents the primary aim and specific objectives to provide direction and scope for the investigation.</w:t>
      </w:r>
    </w:p>
    <w:p w14:paraId="2EB27E3E" w14:textId="7CA1D190"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3</w:t>
      </w:r>
      <w:r w:rsidRPr="001A46EF">
        <w:rPr>
          <w:rFonts w:ascii="Arial" w:hAnsi="Arial" w:cs="Arial"/>
        </w:rPr>
        <w:t xml:space="preserve"> presents the project timeline, identifying key milestones and scheduling across the audit process period.</w:t>
      </w:r>
    </w:p>
    <w:p w14:paraId="2E7C3577" w14:textId="150C868D"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4</w:t>
      </w:r>
      <w:r w:rsidRPr="001A46EF">
        <w:rPr>
          <w:rFonts w:ascii="Arial" w:hAnsi="Arial" w:cs="Arial"/>
        </w:rPr>
        <w:t xml:space="preserve"> reviews relevant literature on internal auditing in manufacturing, including best practices, audit structure, risk mitigation, and procedural standards that frame the context of this study.</w:t>
      </w:r>
    </w:p>
    <w:p w14:paraId="3BF79C46" w14:textId="732C001E"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5</w:t>
      </w:r>
      <w:r w:rsidRPr="001A46EF">
        <w:rPr>
          <w:rFonts w:ascii="Arial" w:hAnsi="Arial" w:cs="Arial"/>
        </w:rPr>
        <w:t xml:space="preserve"> focuses on SEWS-E’s internal audit process, describing the audit flow chart, data collection methods, SWOT analysis, and the analytical framework</w:t>
      </w:r>
      <w:r>
        <w:rPr>
          <w:rFonts w:ascii="Arial" w:hAnsi="Arial" w:cs="Arial"/>
        </w:rPr>
        <w:t>.</w:t>
      </w:r>
    </w:p>
    <w:p w14:paraId="31677BDC" w14:textId="600D88BF"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6</w:t>
      </w:r>
      <w:r w:rsidRPr="001A46EF">
        <w:rPr>
          <w:rFonts w:ascii="Arial" w:hAnsi="Arial" w:cs="Arial"/>
        </w:rPr>
        <w:t xml:space="preserve"> outlines the work carried out, including the scope of the audits conducted, the criteria used, examples of equipment failures, and how risks were identified and mitigated during the audits.</w:t>
      </w:r>
    </w:p>
    <w:p w14:paraId="3B8A9A08" w14:textId="5D5865CE"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7</w:t>
      </w:r>
      <w:r w:rsidRPr="001A46EF">
        <w:rPr>
          <w:rFonts w:ascii="Arial" w:hAnsi="Arial" w:cs="Arial"/>
        </w:rPr>
        <w:t xml:space="preserve"> presents a comparative analysis of audit results from 2023 and 2024, offering a breakdown of performance by site, machine type, and audit category, as well as identifying key trends and changes over time.</w:t>
      </w:r>
    </w:p>
    <w:p w14:paraId="7DDE7F13" w14:textId="37A3B12E"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8</w:t>
      </w:r>
      <w:r w:rsidRPr="001A46EF">
        <w:rPr>
          <w:rFonts w:ascii="Arial" w:hAnsi="Arial" w:cs="Arial"/>
        </w:rPr>
        <w:t xml:space="preserve"> provides a deeper evaluation of the results, summarising key findings, operational impacts, and a combined data analysis across the audit cycles.</w:t>
      </w:r>
    </w:p>
    <w:p w14:paraId="207800D6" w14:textId="0F8DACA6"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9</w:t>
      </w:r>
      <w:r w:rsidRPr="001A46EF">
        <w:rPr>
          <w:rFonts w:ascii="Arial" w:hAnsi="Arial" w:cs="Arial"/>
        </w:rPr>
        <w:t xml:space="preserve"> delivers a critical discussion on SEWS-E’s audit performance, comparing it with industry best practices, interpreting the significance of the results, and exploring audit effectiveness.</w:t>
      </w:r>
    </w:p>
    <w:p w14:paraId="38B74585" w14:textId="26EC3F57"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10</w:t>
      </w:r>
      <w:r w:rsidRPr="001A46EF">
        <w:rPr>
          <w:rFonts w:ascii="Arial" w:hAnsi="Arial" w:cs="Arial"/>
        </w:rPr>
        <w:t xml:space="preserve"> presents practical recommendations and outlines further opportunities for development, with a focus on audit process improvement, digitalisation, and strategic alignment.</w:t>
      </w:r>
    </w:p>
    <w:p w14:paraId="2575FA36" w14:textId="272D0CCA"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11</w:t>
      </w:r>
      <w:r w:rsidRPr="001A46EF">
        <w:rPr>
          <w:rFonts w:ascii="Arial" w:hAnsi="Arial" w:cs="Arial"/>
        </w:rPr>
        <w:t xml:space="preserve"> concludes the dissertation by summarising the overall findings in relation to the study’s aims and objectives.</w:t>
      </w:r>
    </w:p>
    <w:p w14:paraId="15E15A9F" w14:textId="5AA5F903"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12</w:t>
      </w:r>
      <w:r w:rsidRPr="001A46EF">
        <w:rPr>
          <w:rFonts w:ascii="Arial" w:hAnsi="Arial" w:cs="Arial"/>
        </w:rPr>
        <w:t xml:space="preserve"> lists all references cited throughout the report using the appropriate academic format.</w:t>
      </w:r>
    </w:p>
    <w:p w14:paraId="37BBF6E9" w14:textId="6ACA1A54" w:rsidR="001A46EF" w:rsidRPr="001A46EF" w:rsidRDefault="001A46EF" w:rsidP="001A46EF">
      <w:pPr>
        <w:pStyle w:val="ListParagraph"/>
        <w:numPr>
          <w:ilvl w:val="0"/>
          <w:numId w:val="38"/>
        </w:numPr>
        <w:spacing w:line="360" w:lineRule="auto"/>
        <w:rPr>
          <w:rFonts w:ascii="Arial" w:hAnsi="Arial" w:cs="Arial"/>
        </w:rPr>
      </w:pPr>
      <w:r w:rsidRPr="001A46EF">
        <w:rPr>
          <w:rFonts w:ascii="Arial" w:hAnsi="Arial" w:cs="Arial"/>
          <w:b/>
          <w:bCs/>
        </w:rPr>
        <w:t>Chapter 13</w:t>
      </w:r>
      <w:r w:rsidRPr="001A46EF">
        <w:rPr>
          <w:rFonts w:ascii="Arial" w:hAnsi="Arial" w:cs="Arial"/>
        </w:rPr>
        <w:t xml:space="preserve"> contains appendices, including supporting documents, audit check sheets, and additional visual materials referenced in the main chapters.</w:t>
      </w:r>
    </w:p>
    <w:p w14:paraId="3C13A52D" w14:textId="09DC7DF0" w:rsidR="00505C55" w:rsidRPr="00743C24" w:rsidRDefault="00505C55" w:rsidP="00E56E8E">
      <w:pPr>
        <w:pStyle w:val="Heading1"/>
        <w:rPr>
          <w:sz w:val="22"/>
          <w:szCs w:val="22"/>
        </w:rPr>
      </w:pPr>
      <w:bookmarkStart w:id="8" w:name="_Toc198120582"/>
      <w:r w:rsidRPr="00743C24">
        <w:rPr>
          <w:sz w:val="22"/>
          <w:szCs w:val="22"/>
        </w:rPr>
        <w:lastRenderedPageBreak/>
        <w:t>3. Timing Plan</w:t>
      </w:r>
      <w:bookmarkEnd w:id="8"/>
    </w:p>
    <w:p w14:paraId="03E603DD" w14:textId="631E846C" w:rsidR="00505C55" w:rsidRPr="00743C24" w:rsidRDefault="00505C55" w:rsidP="000502A7">
      <w:pPr>
        <w:pStyle w:val="Heading2"/>
        <w:rPr>
          <w:szCs w:val="22"/>
        </w:rPr>
      </w:pPr>
      <w:bookmarkStart w:id="9" w:name="_Toc198120583"/>
      <w:r w:rsidRPr="00743C24">
        <w:rPr>
          <w:szCs w:val="22"/>
        </w:rPr>
        <w:t>3.1 Project Timeline</w:t>
      </w:r>
      <w:bookmarkEnd w:id="9"/>
    </w:p>
    <w:p w14:paraId="3754B8D8" w14:textId="28557FB1" w:rsidR="0023534E" w:rsidRPr="00743C24" w:rsidRDefault="0023534E" w:rsidP="000502A7">
      <w:pPr>
        <w:spacing w:line="360" w:lineRule="auto"/>
        <w:rPr>
          <w:rFonts w:ascii="Arial" w:hAnsi="Arial" w:cs="Arial"/>
          <w:noProof/>
        </w:rPr>
      </w:pPr>
      <w:r w:rsidRPr="00743C24">
        <w:rPr>
          <w:rFonts w:ascii="Arial" w:hAnsi="Arial" w:cs="Arial"/>
          <w:noProof/>
        </w:rPr>
        <w:t>The project timeline is structured into two primary sections: the audit-based timeline and the dissertation development timeline. The audit-based timeline focuses on conducting structured audits across multiple SEWS-E locations, while the dissertation timeline ensures the research, analysis, and documentation are completed effectively within the designated timeframe.</w:t>
      </w:r>
    </w:p>
    <w:p w14:paraId="27E1A94A" w14:textId="77777777" w:rsidR="00334257" w:rsidRPr="00743C24" w:rsidRDefault="00334257" w:rsidP="000502A7">
      <w:pPr>
        <w:spacing w:line="360" w:lineRule="auto"/>
        <w:rPr>
          <w:rFonts w:ascii="Arial" w:hAnsi="Arial" w:cs="Arial"/>
          <w:noProof/>
        </w:rPr>
      </w:pPr>
    </w:p>
    <w:p w14:paraId="1BE0ABD5" w14:textId="48C174B0" w:rsidR="0023534E" w:rsidRPr="00743C24" w:rsidRDefault="00334257" w:rsidP="000502A7">
      <w:pPr>
        <w:spacing w:line="360" w:lineRule="auto"/>
        <w:rPr>
          <w:rFonts w:ascii="Arial" w:hAnsi="Arial" w:cs="Arial"/>
          <w:noProof/>
        </w:rPr>
      </w:pPr>
      <w:r w:rsidRPr="00743C24">
        <w:rPr>
          <w:rFonts w:ascii="Arial" w:hAnsi="Arial" w:cs="Arial"/>
          <w:noProof/>
        </w:rPr>
        <w:drawing>
          <wp:anchor distT="0" distB="0" distL="114300" distR="114300" simplePos="0" relativeHeight="251666432" behindDoc="0" locked="0" layoutInCell="1" allowOverlap="1" wp14:anchorId="72B8B869" wp14:editId="40A65024">
            <wp:simplePos x="0" y="0"/>
            <wp:positionH relativeFrom="margin">
              <wp:align>center</wp:align>
            </wp:positionH>
            <wp:positionV relativeFrom="paragraph">
              <wp:posOffset>287043</wp:posOffset>
            </wp:positionV>
            <wp:extent cx="7338695" cy="1623695"/>
            <wp:effectExtent l="0" t="0" r="0" b="0"/>
            <wp:wrapTopAndBottom/>
            <wp:docPr id="19398326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338695" cy="1623695"/>
                    </a:xfrm>
                    <a:prstGeom prst="rect">
                      <a:avLst/>
                    </a:prstGeom>
                    <a:noFill/>
                    <a:ln>
                      <a:noFill/>
                    </a:ln>
                  </pic:spPr>
                </pic:pic>
              </a:graphicData>
            </a:graphic>
            <wp14:sizeRelH relativeFrom="page">
              <wp14:pctWidth>0</wp14:pctWidth>
            </wp14:sizeRelH>
            <wp14:sizeRelV relativeFrom="page">
              <wp14:pctHeight>0</wp14:pctHeight>
            </wp14:sizeRelV>
          </wp:anchor>
        </w:drawing>
      </w:r>
      <w:r w:rsidR="0023534E" w:rsidRPr="00743C24">
        <w:rPr>
          <w:rFonts w:ascii="Arial" w:hAnsi="Arial" w:cs="Arial"/>
          <w:noProof/>
        </w:rPr>
        <w:t>Audit-Based Timeline:</w:t>
      </w:r>
    </w:p>
    <w:p w14:paraId="65E8D201" w14:textId="77B5E0C4" w:rsidR="00334257" w:rsidRPr="00743C24" w:rsidRDefault="00334257" w:rsidP="00334257">
      <w:pPr>
        <w:spacing w:line="360" w:lineRule="auto"/>
        <w:rPr>
          <w:rFonts w:ascii="Arial" w:hAnsi="Arial" w:cs="Arial"/>
        </w:rPr>
      </w:pPr>
      <w:r w:rsidRPr="00743C24">
        <w:rPr>
          <w:rFonts w:ascii="Arial" w:hAnsi="Arial" w:cs="Arial"/>
          <w:color w:val="BF8F00" w:themeColor="accent4" w:themeShade="BF"/>
        </w:rPr>
        <w:t>Figure 3</w:t>
      </w:r>
      <w:r w:rsidRPr="00743C24">
        <w:rPr>
          <w:rFonts w:ascii="Arial" w:hAnsi="Arial" w:cs="Arial"/>
        </w:rPr>
        <w:t>. Audit Timing Plan</w:t>
      </w:r>
    </w:p>
    <w:p w14:paraId="019FA3D6" w14:textId="08100DBA" w:rsidR="00E27EC7" w:rsidRPr="00743C24" w:rsidRDefault="0023534E" w:rsidP="00334257">
      <w:pPr>
        <w:spacing w:line="360" w:lineRule="auto"/>
        <w:rPr>
          <w:rFonts w:ascii="Arial" w:hAnsi="Arial" w:cs="Arial"/>
          <w:noProof/>
        </w:rPr>
      </w:pPr>
      <w:r w:rsidRPr="00743C24">
        <w:rPr>
          <w:rFonts w:ascii="Arial" w:hAnsi="Arial" w:cs="Arial"/>
          <w:noProof/>
        </w:rPr>
        <w:t>The audit process involves site visits across key SEWS-E locations, including Egypt (EGY), Morocco (MOR), Romania (ROM), and Tunisia (TUN). These audits aim to assess the internal audit processes for machinery transfers, identifying operational inefficiencies and ensuring compliance with audit standards.</w:t>
      </w:r>
      <w:r w:rsidR="00334257" w:rsidRPr="00743C24">
        <w:rPr>
          <w:rFonts w:ascii="Arial" w:hAnsi="Arial" w:cs="Arial"/>
          <w:noProof/>
        </w:rPr>
        <w:t xml:space="preserve"> </w:t>
      </w:r>
      <w:r w:rsidR="002C07CB" w:rsidRPr="00743C24">
        <w:rPr>
          <w:rFonts w:ascii="Arial" w:hAnsi="Arial" w:cs="Arial"/>
          <w:noProof/>
        </w:rPr>
        <w:t xml:space="preserve">The audits occur over the latter stages of each year, as seen in </w:t>
      </w:r>
      <w:r w:rsidR="002C07CB" w:rsidRPr="00743C24">
        <w:rPr>
          <w:rFonts w:ascii="Arial" w:hAnsi="Arial" w:cs="Arial"/>
          <w:noProof/>
          <w:color w:val="BF8F00" w:themeColor="accent4" w:themeShade="BF"/>
        </w:rPr>
        <w:t>figure 3</w:t>
      </w:r>
      <w:r w:rsidR="002C07CB" w:rsidRPr="00743C24">
        <w:rPr>
          <w:rFonts w:ascii="Arial" w:hAnsi="Arial" w:cs="Arial"/>
          <w:noProof/>
        </w:rPr>
        <w:t xml:space="preserve">. </w:t>
      </w:r>
      <w:r w:rsidRPr="00743C24">
        <w:rPr>
          <w:rFonts w:ascii="Arial" w:hAnsi="Arial" w:cs="Arial"/>
          <w:noProof/>
        </w:rPr>
        <w:t xml:space="preserve">Following each audit, sites are required to submit Corrective Action Plans (CP1 and CP2), detailing the amendments made in response to identified issues. </w:t>
      </w:r>
      <w:r w:rsidR="00E27EC7" w:rsidRPr="00743C24">
        <w:rPr>
          <w:rFonts w:ascii="Arial" w:hAnsi="Arial" w:cs="Arial"/>
          <w:noProof/>
        </w:rPr>
        <w:t xml:space="preserve">This should then be finished by </w:t>
      </w:r>
      <w:r w:rsidR="0059479D" w:rsidRPr="00743C24">
        <w:rPr>
          <w:rFonts w:ascii="Arial" w:hAnsi="Arial" w:cs="Arial"/>
          <w:noProof/>
        </w:rPr>
        <w:t>9</w:t>
      </w:r>
      <w:r w:rsidR="00E27EC7" w:rsidRPr="00743C24">
        <w:rPr>
          <w:rFonts w:ascii="Arial" w:hAnsi="Arial" w:cs="Arial"/>
          <w:noProof/>
        </w:rPr>
        <w:t>0 days from the first audit date, as shown in green highlighted.</w:t>
      </w:r>
    </w:p>
    <w:p w14:paraId="753893F5" w14:textId="3C541B14" w:rsidR="0023534E" w:rsidRPr="00743C24" w:rsidRDefault="0023534E" w:rsidP="00334257">
      <w:pPr>
        <w:spacing w:line="360" w:lineRule="auto"/>
        <w:rPr>
          <w:rFonts w:ascii="Arial" w:hAnsi="Arial" w:cs="Arial"/>
          <w:noProof/>
        </w:rPr>
      </w:pPr>
      <w:r w:rsidRPr="00743C24">
        <w:rPr>
          <w:rFonts w:ascii="Arial" w:hAnsi="Arial" w:cs="Arial"/>
          <w:noProof/>
        </w:rPr>
        <w:t>This is in alignment with SEWS-E’s internal auditing standards. This is shown further in the assignment.</w:t>
      </w:r>
    </w:p>
    <w:p w14:paraId="73A1BF06" w14:textId="77777777" w:rsidR="00334257" w:rsidRPr="00743C24" w:rsidRDefault="00334257" w:rsidP="0023534E">
      <w:pPr>
        <w:spacing w:line="360" w:lineRule="auto"/>
        <w:rPr>
          <w:rFonts w:ascii="Arial" w:hAnsi="Arial" w:cs="Arial"/>
        </w:rPr>
      </w:pPr>
    </w:p>
    <w:p w14:paraId="35117D8E" w14:textId="77777777" w:rsidR="00334257" w:rsidRPr="00743C24" w:rsidRDefault="00334257" w:rsidP="0023534E">
      <w:pPr>
        <w:spacing w:line="360" w:lineRule="auto"/>
        <w:rPr>
          <w:rFonts w:ascii="Arial" w:hAnsi="Arial" w:cs="Arial"/>
        </w:rPr>
      </w:pPr>
    </w:p>
    <w:p w14:paraId="5DA6F231" w14:textId="77777777" w:rsidR="00334257" w:rsidRPr="00743C24" w:rsidRDefault="00334257" w:rsidP="0023534E">
      <w:pPr>
        <w:spacing w:line="360" w:lineRule="auto"/>
        <w:rPr>
          <w:rFonts w:ascii="Arial" w:hAnsi="Arial" w:cs="Arial"/>
        </w:rPr>
      </w:pPr>
    </w:p>
    <w:p w14:paraId="49CF599C" w14:textId="77777777" w:rsidR="00334257" w:rsidRPr="00743C24" w:rsidRDefault="00334257" w:rsidP="0023534E">
      <w:pPr>
        <w:spacing w:line="360" w:lineRule="auto"/>
        <w:rPr>
          <w:rFonts w:ascii="Arial" w:hAnsi="Arial" w:cs="Arial"/>
        </w:rPr>
      </w:pPr>
    </w:p>
    <w:p w14:paraId="46986F93" w14:textId="77777777" w:rsidR="00334257" w:rsidRPr="00743C24" w:rsidRDefault="00334257" w:rsidP="0023534E">
      <w:pPr>
        <w:spacing w:line="360" w:lineRule="auto"/>
        <w:rPr>
          <w:rFonts w:ascii="Arial" w:hAnsi="Arial" w:cs="Arial"/>
        </w:rPr>
      </w:pPr>
    </w:p>
    <w:p w14:paraId="1FD70774" w14:textId="77777777" w:rsidR="00334257" w:rsidRPr="00743C24" w:rsidRDefault="00334257" w:rsidP="0023534E">
      <w:pPr>
        <w:spacing w:line="360" w:lineRule="auto"/>
        <w:rPr>
          <w:rFonts w:ascii="Arial" w:hAnsi="Arial" w:cs="Arial"/>
        </w:rPr>
      </w:pPr>
    </w:p>
    <w:p w14:paraId="6FE8C136" w14:textId="10212104" w:rsidR="000502A7" w:rsidRPr="00743C24" w:rsidRDefault="00334257" w:rsidP="0023534E">
      <w:pPr>
        <w:spacing w:line="360" w:lineRule="auto"/>
        <w:rPr>
          <w:rFonts w:ascii="Arial" w:hAnsi="Arial" w:cs="Arial"/>
        </w:rPr>
      </w:pPr>
      <w:r w:rsidRPr="00743C24">
        <w:rPr>
          <w:rFonts w:ascii="Arial" w:hAnsi="Arial" w:cs="Arial"/>
          <w:noProof/>
        </w:rPr>
        <w:lastRenderedPageBreak/>
        <w:drawing>
          <wp:anchor distT="0" distB="0" distL="114300" distR="114300" simplePos="0" relativeHeight="251667456" behindDoc="0" locked="0" layoutInCell="1" allowOverlap="1" wp14:anchorId="53132D68" wp14:editId="61FC4AC0">
            <wp:simplePos x="0" y="0"/>
            <wp:positionH relativeFrom="margin">
              <wp:align>center</wp:align>
            </wp:positionH>
            <wp:positionV relativeFrom="paragraph">
              <wp:posOffset>314793</wp:posOffset>
            </wp:positionV>
            <wp:extent cx="7321550" cy="1837055"/>
            <wp:effectExtent l="0" t="0" r="0" b="0"/>
            <wp:wrapTopAndBottom/>
            <wp:docPr id="3517168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321550" cy="18370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43C24">
        <w:rPr>
          <w:rFonts w:ascii="Arial" w:hAnsi="Arial" w:cs="Arial"/>
        </w:rPr>
        <w:t>Dissertation Project Timeline:</w:t>
      </w:r>
    </w:p>
    <w:p w14:paraId="44B1E272" w14:textId="6251E292" w:rsidR="00334257" w:rsidRPr="00743C24" w:rsidRDefault="00334257" w:rsidP="00334257">
      <w:pPr>
        <w:spacing w:line="360" w:lineRule="auto"/>
        <w:rPr>
          <w:rFonts w:ascii="Arial" w:hAnsi="Arial" w:cs="Arial"/>
        </w:rPr>
      </w:pPr>
      <w:r w:rsidRPr="00743C24">
        <w:rPr>
          <w:rFonts w:ascii="Arial" w:hAnsi="Arial" w:cs="Arial"/>
          <w:color w:val="BF8F00" w:themeColor="accent4" w:themeShade="BF"/>
        </w:rPr>
        <w:t>Figure 4</w:t>
      </w:r>
      <w:r w:rsidRPr="00743C24">
        <w:rPr>
          <w:rFonts w:ascii="Arial" w:hAnsi="Arial" w:cs="Arial"/>
        </w:rPr>
        <w:t>. Dissertation Project Schedule</w:t>
      </w:r>
    </w:p>
    <w:p w14:paraId="36EFF829" w14:textId="1AD6FCED" w:rsidR="00334257" w:rsidRPr="00743C24" w:rsidRDefault="00334257" w:rsidP="00334257">
      <w:pPr>
        <w:spacing w:line="360" w:lineRule="auto"/>
        <w:rPr>
          <w:rFonts w:ascii="Arial" w:hAnsi="Arial" w:cs="Arial"/>
        </w:rPr>
      </w:pPr>
      <w:r w:rsidRPr="00743C24">
        <w:rPr>
          <w:rFonts w:ascii="Arial" w:hAnsi="Arial" w:cs="Arial"/>
        </w:rPr>
        <w:t>The dissertation timeline runs in parallel with the audit process, ensuring that research and documentation progress in alignment with findings from the audits. Key milestones include:</w:t>
      </w:r>
    </w:p>
    <w:p w14:paraId="1087523E" w14:textId="326BA657" w:rsidR="00334257" w:rsidRPr="00743C24" w:rsidRDefault="00334257" w:rsidP="00334257">
      <w:pPr>
        <w:pStyle w:val="ListParagraph"/>
        <w:numPr>
          <w:ilvl w:val="0"/>
          <w:numId w:val="10"/>
        </w:numPr>
        <w:spacing w:line="360" w:lineRule="auto"/>
        <w:rPr>
          <w:rFonts w:ascii="Arial" w:hAnsi="Arial" w:cs="Arial"/>
        </w:rPr>
      </w:pPr>
      <w:r w:rsidRPr="00743C24">
        <w:rPr>
          <w:rFonts w:ascii="Arial" w:hAnsi="Arial" w:cs="Arial"/>
          <w:b/>
          <w:bCs/>
          <w:color w:val="99CCFF"/>
        </w:rPr>
        <w:t>Project Selection &amp; Initial Submission</w:t>
      </w:r>
      <w:r w:rsidRPr="00743C24">
        <w:rPr>
          <w:rFonts w:ascii="Arial" w:hAnsi="Arial" w:cs="Arial"/>
        </w:rPr>
        <w:t>: The initial phase involved considering various project options before finali</w:t>
      </w:r>
      <w:r w:rsidR="00100F37" w:rsidRPr="00743C24">
        <w:rPr>
          <w:rFonts w:ascii="Arial" w:hAnsi="Arial" w:cs="Arial"/>
        </w:rPr>
        <w:t>s</w:t>
      </w:r>
      <w:r w:rsidRPr="00743C24">
        <w:rPr>
          <w:rFonts w:ascii="Arial" w:hAnsi="Arial" w:cs="Arial"/>
        </w:rPr>
        <w:t>ing the focus on assessing SEWS-E’s internal audit processes. The formal submission of the project proposal marked the start of structured research.</w:t>
      </w:r>
    </w:p>
    <w:p w14:paraId="0AE6BF31" w14:textId="77777777" w:rsidR="00334257" w:rsidRPr="00743C24" w:rsidRDefault="00334257" w:rsidP="00334257">
      <w:pPr>
        <w:pStyle w:val="ListParagraph"/>
        <w:spacing w:line="360" w:lineRule="auto"/>
        <w:rPr>
          <w:rFonts w:ascii="Arial" w:hAnsi="Arial" w:cs="Arial"/>
        </w:rPr>
      </w:pPr>
    </w:p>
    <w:p w14:paraId="326ACC7F" w14:textId="77777777" w:rsidR="00334257" w:rsidRPr="00743C24" w:rsidRDefault="00334257" w:rsidP="00334257">
      <w:pPr>
        <w:pStyle w:val="ListParagraph"/>
        <w:numPr>
          <w:ilvl w:val="0"/>
          <w:numId w:val="10"/>
        </w:numPr>
        <w:spacing w:line="360" w:lineRule="auto"/>
        <w:rPr>
          <w:rFonts w:ascii="Arial" w:hAnsi="Arial" w:cs="Arial"/>
        </w:rPr>
      </w:pPr>
      <w:r w:rsidRPr="00743C24">
        <w:rPr>
          <w:rFonts w:ascii="Arial" w:hAnsi="Arial" w:cs="Arial"/>
          <w:b/>
          <w:bCs/>
          <w:color w:val="A8D08D" w:themeColor="accent6" w:themeTint="99"/>
        </w:rPr>
        <w:t>Information Gathering &amp; Research</w:t>
      </w:r>
      <w:r w:rsidRPr="00743C24">
        <w:rPr>
          <w:rFonts w:ascii="Arial" w:hAnsi="Arial" w:cs="Arial"/>
        </w:rPr>
        <w:t>: As the audits progressed, research efforts intensified, incorporating findings from the site visits, literature reviews, and structured internal audit assessments.</w:t>
      </w:r>
    </w:p>
    <w:p w14:paraId="1F2889B7" w14:textId="77777777" w:rsidR="00334257" w:rsidRPr="00743C24" w:rsidRDefault="00334257" w:rsidP="00334257">
      <w:pPr>
        <w:pStyle w:val="ListParagraph"/>
        <w:spacing w:line="360" w:lineRule="auto"/>
        <w:rPr>
          <w:rFonts w:ascii="Arial" w:hAnsi="Arial" w:cs="Arial"/>
        </w:rPr>
      </w:pPr>
    </w:p>
    <w:p w14:paraId="4633F1EA" w14:textId="77777777" w:rsidR="00334257" w:rsidRPr="00743C24" w:rsidRDefault="00334257" w:rsidP="00334257">
      <w:pPr>
        <w:pStyle w:val="ListParagraph"/>
        <w:numPr>
          <w:ilvl w:val="0"/>
          <w:numId w:val="10"/>
        </w:numPr>
        <w:spacing w:line="360" w:lineRule="auto"/>
        <w:rPr>
          <w:rFonts w:ascii="Arial" w:hAnsi="Arial" w:cs="Arial"/>
        </w:rPr>
      </w:pPr>
      <w:r w:rsidRPr="00743C24">
        <w:rPr>
          <w:rFonts w:ascii="Arial" w:hAnsi="Arial" w:cs="Arial"/>
          <w:b/>
          <w:bCs/>
          <w:color w:val="5B9BD5" w:themeColor="accent5"/>
        </w:rPr>
        <w:t>Dissertation Write-Up (10,000 Words)</w:t>
      </w:r>
      <w:r w:rsidRPr="00743C24">
        <w:rPr>
          <w:rFonts w:ascii="Arial" w:hAnsi="Arial" w:cs="Arial"/>
        </w:rPr>
        <w:t>: The dissertation writing phase extends over several months, ensuring a thorough analysis of audit effectiveness, process improvements, and key recommendations for SEWS-E’s machinery transfer audits.</w:t>
      </w:r>
    </w:p>
    <w:p w14:paraId="1A746D0B" w14:textId="77777777" w:rsidR="00334257" w:rsidRPr="00743C24" w:rsidRDefault="00334257" w:rsidP="00334257">
      <w:pPr>
        <w:pStyle w:val="ListParagraph"/>
        <w:spacing w:line="360" w:lineRule="auto"/>
        <w:rPr>
          <w:rFonts w:ascii="Arial" w:hAnsi="Arial" w:cs="Arial"/>
        </w:rPr>
      </w:pPr>
    </w:p>
    <w:p w14:paraId="51D46650" w14:textId="77777777" w:rsidR="00334257" w:rsidRPr="00743C24" w:rsidRDefault="00334257" w:rsidP="00334257">
      <w:pPr>
        <w:pStyle w:val="ListParagraph"/>
        <w:numPr>
          <w:ilvl w:val="0"/>
          <w:numId w:val="10"/>
        </w:numPr>
        <w:spacing w:line="360" w:lineRule="auto"/>
        <w:rPr>
          <w:rFonts w:ascii="Arial" w:hAnsi="Arial" w:cs="Arial"/>
        </w:rPr>
      </w:pPr>
      <w:r w:rsidRPr="00743C24">
        <w:rPr>
          <w:rFonts w:ascii="Arial" w:hAnsi="Arial" w:cs="Arial"/>
          <w:b/>
          <w:bCs/>
          <w:color w:val="C45911" w:themeColor="accent2" w:themeShade="BF"/>
        </w:rPr>
        <w:t>Interim &amp; Final Viva Presentations</w:t>
      </w:r>
      <w:r w:rsidRPr="00743C24">
        <w:rPr>
          <w:rFonts w:ascii="Arial" w:hAnsi="Arial" w:cs="Arial"/>
        </w:rPr>
        <w:t>: Interim and final viva sessions serve as evaluation points, allowing feedback and refinement of the research findings. These presentations ensure that the dissertation aligns with academic and industry expectations.</w:t>
      </w:r>
    </w:p>
    <w:p w14:paraId="7A661462" w14:textId="77777777" w:rsidR="00334257" w:rsidRPr="00743C24" w:rsidRDefault="00334257" w:rsidP="00334257">
      <w:pPr>
        <w:pStyle w:val="ListParagraph"/>
        <w:spacing w:line="360" w:lineRule="auto"/>
        <w:rPr>
          <w:rFonts w:ascii="Arial" w:hAnsi="Arial" w:cs="Arial"/>
        </w:rPr>
      </w:pPr>
    </w:p>
    <w:p w14:paraId="5D954050" w14:textId="6D4E0012" w:rsidR="000502A7" w:rsidRPr="00743C24" w:rsidRDefault="00334257" w:rsidP="00334257">
      <w:pPr>
        <w:pStyle w:val="ListParagraph"/>
        <w:numPr>
          <w:ilvl w:val="0"/>
          <w:numId w:val="10"/>
        </w:numPr>
        <w:spacing w:line="360" w:lineRule="auto"/>
        <w:rPr>
          <w:rFonts w:ascii="Arial" w:hAnsi="Arial" w:cs="Arial"/>
        </w:rPr>
      </w:pPr>
      <w:r w:rsidRPr="00743C24">
        <w:rPr>
          <w:rFonts w:ascii="Arial" w:hAnsi="Arial" w:cs="Arial"/>
          <w:b/>
          <w:bCs/>
          <w:color w:val="F4B083" w:themeColor="accent2" w:themeTint="99"/>
        </w:rPr>
        <w:t>Poster Completion &amp; Final Submission</w:t>
      </w:r>
      <w:r w:rsidRPr="00743C24">
        <w:rPr>
          <w:rFonts w:ascii="Arial" w:hAnsi="Arial" w:cs="Arial"/>
        </w:rPr>
        <w:t>: The final stages include preparing a poster summari</w:t>
      </w:r>
      <w:r w:rsidR="003A45EC" w:rsidRPr="00743C24">
        <w:rPr>
          <w:rFonts w:ascii="Arial" w:hAnsi="Arial" w:cs="Arial"/>
        </w:rPr>
        <w:t>s</w:t>
      </w:r>
      <w:r w:rsidRPr="00743C24">
        <w:rPr>
          <w:rFonts w:ascii="Arial" w:hAnsi="Arial" w:cs="Arial"/>
        </w:rPr>
        <w:t>ing key findings and formally submitting the dissertation for assessment.</w:t>
      </w:r>
    </w:p>
    <w:p w14:paraId="67E6E26D" w14:textId="77777777" w:rsidR="00334257" w:rsidRPr="00743C24" w:rsidRDefault="00334257" w:rsidP="005316D8">
      <w:pPr>
        <w:rPr>
          <w:rFonts w:ascii="Arial" w:hAnsi="Arial" w:cs="Arial"/>
        </w:rPr>
      </w:pPr>
    </w:p>
    <w:p w14:paraId="20F840EB" w14:textId="77777777" w:rsidR="00334257" w:rsidRPr="00743C24" w:rsidRDefault="00334257" w:rsidP="005316D8">
      <w:pPr>
        <w:rPr>
          <w:rFonts w:ascii="Arial" w:hAnsi="Arial" w:cs="Arial"/>
        </w:rPr>
      </w:pPr>
    </w:p>
    <w:p w14:paraId="2A2ED548" w14:textId="77777777" w:rsidR="00505C55" w:rsidRPr="00743C24" w:rsidRDefault="00505C55" w:rsidP="00E56E8E">
      <w:pPr>
        <w:pStyle w:val="Heading1"/>
        <w:rPr>
          <w:sz w:val="22"/>
          <w:szCs w:val="22"/>
        </w:rPr>
      </w:pPr>
      <w:bookmarkStart w:id="10" w:name="_Toc198120584"/>
      <w:r w:rsidRPr="00743C24">
        <w:rPr>
          <w:sz w:val="22"/>
          <w:szCs w:val="22"/>
        </w:rPr>
        <w:lastRenderedPageBreak/>
        <w:t>4. Literature Review</w:t>
      </w:r>
      <w:bookmarkEnd w:id="10"/>
    </w:p>
    <w:p w14:paraId="61B8F422" w14:textId="545D6429" w:rsidR="00505C55" w:rsidRPr="00743C24" w:rsidRDefault="00505C55" w:rsidP="00FF4E12">
      <w:pPr>
        <w:pStyle w:val="Heading2"/>
        <w:rPr>
          <w:szCs w:val="22"/>
        </w:rPr>
      </w:pPr>
      <w:bookmarkStart w:id="11" w:name="_Toc198120585"/>
      <w:r w:rsidRPr="00743C24">
        <w:rPr>
          <w:szCs w:val="22"/>
        </w:rPr>
        <w:t>4.1 Overview of Internal Auditing Practices</w:t>
      </w:r>
      <w:r w:rsidR="0012620A" w:rsidRPr="00743C24">
        <w:rPr>
          <w:szCs w:val="22"/>
        </w:rPr>
        <w:t xml:space="preserve"> in Manufacturing</w:t>
      </w:r>
      <w:bookmarkEnd w:id="11"/>
    </w:p>
    <w:p w14:paraId="24FD416D" w14:textId="4DD65E07" w:rsidR="00B33959" w:rsidRPr="00743C24" w:rsidRDefault="00B33959" w:rsidP="00B33959">
      <w:pPr>
        <w:spacing w:line="360" w:lineRule="auto"/>
        <w:rPr>
          <w:rFonts w:ascii="Arial" w:hAnsi="Arial" w:cs="Arial"/>
        </w:rPr>
      </w:pPr>
      <w:r w:rsidRPr="00743C24">
        <w:rPr>
          <w:rFonts w:ascii="Arial" w:hAnsi="Arial" w:cs="Arial"/>
        </w:rPr>
        <w:t>Internal auditing in manufacturing is a critical function that ensures compliance with regulatory standards such as ISO 9001 (Quality Management Systems) and ISO 45001 (Occupational Health and Safety Management Systems), enhances operational efficiency, and mitigates risks associated with production processes. According to Thesari et al. (2021), internal audits are integral to identifying weaknesses in manufacturing strategies and processes. Their study highlights that manufacturing audits can illuminate production strategies, enabling organisations to address inefficiencies stemming from a lack of professional oversight.</w:t>
      </w:r>
    </w:p>
    <w:p w14:paraId="4A5BEF52" w14:textId="710DBB6D" w:rsidR="00B33959" w:rsidRPr="00743C24" w:rsidRDefault="00B33959" w:rsidP="00B33959">
      <w:pPr>
        <w:spacing w:line="360" w:lineRule="auto"/>
        <w:rPr>
          <w:rFonts w:ascii="Arial" w:hAnsi="Arial" w:cs="Arial"/>
        </w:rPr>
      </w:pPr>
      <w:r w:rsidRPr="00743C24">
        <w:rPr>
          <w:rFonts w:ascii="Arial" w:hAnsi="Arial" w:cs="Arial"/>
        </w:rPr>
        <w:t>Furthermore, Bernardo et al. (2010) discusses the integration of management system audits, noting that organisations with multiple standardi</w:t>
      </w:r>
      <w:r w:rsidR="00CC766A" w:rsidRPr="00743C24">
        <w:rPr>
          <w:rFonts w:ascii="Arial" w:hAnsi="Arial" w:cs="Arial"/>
        </w:rPr>
        <w:t>s</w:t>
      </w:r>
      <w:r w:rsidRPr="00743C24">
        <w:rPr>
          <w:rFonts w:ascii="Arial" w:hAnsi="Arial" w:cs="Arial"/>
        </w:rPr>
        <w:t>ed management systems can benefit from a cohesive internal audit approach. This perspective aligns with industry standards that advocate for integrated management systems, which streamline processes and promote a culture of quality.</w:t>
      </w:r>
    </w:p>
    <w:p w14:paraId="7EAD46BA" w14:textId="0F4A991E" w:rsidR="00B33959" w:rsidRPr="00743C24" w:rsidRDefault="00B33959" w:rsidP="00B33959">
      <w:pPr>
        <w:spacing w:line="360" w:lineRule="auto"/>
        <w:rPr>
          <w:rFonts w:ascii="Arial" w:hAnsi="Arial" w:cs="Arial"/>
        </w:rPr>
      </w:pPr>
      <w:r w:rsidRPr="00743C24">
        <w:rPr>
          <w:rFonts w:ascii="Arial" w:hAnsi="Arial" w:cs="Arial"/>
        </w:rPr>
        <w:t>A critical comparison of various audit frameworks reveals that different standards, such as ISO 9001 and ISO 45001, offer unique advantages. ISO 9001 emphasi</w:t>
      </w:r>
      <w:r w:rsidR="00CC766A" w:rsidRPr="00743C24">
        <w:rPr>
          <w:rFonts w:ascii="Arial" w:hAnsi="Arial" w:cs="Arial"/>
        </w:rPr>
        <w:t>s</w:t>
      </w:r>
      <w:r w:rsidRPr="00743C24">
        <w:rPr>
          <w:rFonts w:ascii="Arial" w:hAnsi="Arial" w:cs="Arial"/>
        </w:rPr>
        <w:t>es quality management, while ISO 45001 focuses on occupational health and safety. These differing focuses suggest that an integrated approach could enhance overall manufacturing operations through a comprehensive and robust auditing framework (</w:t>
      </w:r>
      <w:r w:rsidRPr="00743C24">
        <w:rPr>
          <w:rFonts w:ascii="Arial" w:hAnsi="Arial" w:cs="Arial"/>
          <w:i/>
          <w:iCs/>
        </w:rPr>
        <w:t>Ma, 2021</w:t>
      </w:r>
      <w:r w:rsidRPr="00743C24">
        <w:rPr>
          <w:rFonts w:ascii="Arial" w:hAnsi="Arial" w:cs="Arial"/>
        </w:rPr>
        <w:t>). The interrelation of these standards helps ensure manufacturing organi</w:t>
      </w:r>
      <w:r w:rsidR="00CC766A" w:rsidRPr="00743C24">
        <w:rPr>
          <w:rFonts w:ascii="Arial" w:hAnsi="Arial" w:cs="Arial"/>
        </w:rPr>
        <w:t>s</w:t>
      </w:r>
      <w:r w:rsidRPr="00743C24">
        <w:rPr>
          <w:rFonts w:ascii="Arial" w:hAnsi="Arial" w:cs="Arial"/>
        </w:rPr>
        <w:t>ations not only maintain quality control but also prioriti</w:t>
      </w:r>
      <w:r w:rsidR="00CC766A" w:rsidRPr="00743C24">
        <w:rPr>
          <w:rFonts w:ascii="Arial" w:hAnsi="Arial" w:cs="Arial"/>
        </w:rPr>
        <w:t>s</w:t>
      </w:r>
      <w:r w:rsidRPr="00743C24">
        <w:rPr>
          <w:rFonts w:ascii="Arial" w:hAnsi="Arial" w:cs="Arial"/>
        </w:rPr>
        <w:t xml:space="preserve">e the safety and well-being of their employees, thereby linking the value of internal audits to broader operational excellence </w:t>
      </w:r>
      <w:r w:rsidRPr="00743C24">
        <w:rPr>
          <w:rFonts w:ascii="Arial" w:hAnsi="Arial" w:cs="Arial"/>
          <w:i/>
          <w:iCs/>
        </w:rPr>
        <w:t>(Ma, 2021</w:t>
      </w:r>
      <w:r w:rsidRPr="00743C24">
        <w:rPr>
          <w:rFonts w:ascii="Arial" w:hAnsi="Arial" w:cs="Arial"/>
        </w:rPr>
        <w:t>).</w:t>
      </w:r>
    </w:p>
    <w:p w14:paraId="23BB3A94" w14:textId="3CA05944" w:rsidR="00B33959" w:rsidRPr="00743C24" w:rsidRDefault="00B33959" w:rsidP="00B33959">
      <w:pPr>
        <w:spacing w:line="360" w:lineRule="auto"/>
        <w:rPr>
          <w:rFonts w:ascii="Arial" w:hAnsi="Arial" w:cs="Arial"/>
        </w:rPr>
      </w:pPr>
      <w:r w:rsidRPr="00743C24">
        <w:rPr>
          <w:rFonts w:ascii="Arial" w:hAnsi="Arial" w:cs="Arial"/>
        </w:rPr>
        <w:t>Moreover, the role of technology in enhancing internal audit practices is significant. The implementation of continuous auditing systems, particularly in ERP-based environments, has been shown to improve audit effectiveness and efficiency. This technological integration allows for real-time monitoring and assessment of manufacturing processes, facilitating timely interventions and improvements. Continuous auditing systems enable organi</w:t>
      </w:r>
      <w:r w:rsidR="00CC766A" w:rsidRPr="00743C24">
        <w:rPr>
          <w:rFonts w:ascii="Arial" w:hAnsi="Arial" w:cs="Arial"/>
        </w:rPr>
        <w:t>s</w:t>
      </w:r>
      <w:r w:rsidRPr="00743C24">
        <w:rPr>
          <w:rFonts w:ascii="Arial" w:hAnsi="Arial" w:cs="Arial"/>
        </w:rPr>
        <w:t>ations to proactively identify and address issues, highlighting the critical role of technology in driving operational efficiency (</w:t>
      </w:r>
      <w:r w:rsidRPr="00743C24">
        <w:rPr>
          <w:rFonts w:ascii="Arial" w:hAnsi="Arial" w:cs="Arial"/>
          <w:i/>
          <w:iCs/>
        </w:rPr>
        <w:t>Kidron et al., 2016</w:t>
      </w:r>
      <w:r w:rsidRPr="00743C24">
        <w:rPr>
          <w:rFonts w:ascii="Arial" w:hAnsi="Arial" w:cs="Arial"/>
        </w:rPr>
        <w:t>).</w:t>
      </w:r>
    </w:p>
    <w:p w14:paraId="32987C15" w14:textId="41B0DC7F" w:rsidR="00B33959" w:rsidRPr="00743C24" w:rsidRDefault="00B33959" w:rsidP="00B33959">
      <w:pPr>
        <w:spacing w:line="360" w:lineRule="auto"/>
        <w:rPr>
          <w:rFonts w:ascii="Arial" w:hAnsi="Arial" w:cs="Arial"/>
        </w:rPr>
      </w:pPr>
      <w:r w:rsidRPr="00743C24">
        <w:rPr>
          <w:rFonts w:ascii="Arial" w:hAnsi="Arial" w:cs="Arial"/>
        </w:rPr>
        <w:t>The necessity for speciali</w:t>
      </w:r>
      <w:r w:rsidR="009E03A5" w:rsidRPr="00743C24">
        <w:rPr>
          <w:rFonts w:ascii="Arial" w:hAnsi="Arial" w:cs="Arial"/>
        </w:rPr>
        <w:t>s</w:t>
      </w:r>
      <w:r w:rsidRPr="00743C24">
        <w:rPr>
          <w:rFonts w:ascii="Arial" w:hAnsi="Arial" w:cs="Arial"/>
        </w:rPr>
        <w:t>ed knowledge in conducting audits is underscored by research indicating that industry speciali</w:t>
      </w:r>
      <w:r w:rsidR="009E03A5" w:rsidRPr="00743C24">
        <w:rPr>
          <w:rFonts w:ascii="Arial" w:hAnsi="Arial" w:cs="Arial"/>
        </w:rPr>
        <w:t>s</w:t>
      </w:r>
      <w:r w:rsidRPr="00743C24">
        <w:rPr>
          <w:rFonts w:ascii="Arial" w:hAnsi="Arial" w:cs="Arial"/>
        </w:rPr>
        <w:t>ation among auditors enhances the quality of audit services. This speciali</w:t>
      </w:r>
      <w:r w:rsidR="00CC766A" w:rsidRPr="00743C24">
        <w:rPr>
          <w:rFonts w:ascii="Arial" w:hAnsi="Arial" w:cs="Arial"/>
        </w:rPr>
        <w:t>s</w:t>
      </w:r>
      <w:r w:rsidRPr="00743C24">
        <w:rPr>
          <w:rFonts w:ascii="Arial" w:hAnsi="Arial" w:cs="Arial"/>
        </w:rPr>
        <w:t>ation is vital in the complex landscape of manufacturing</w:t>
      </w:r>
      <w:r w:rsidR="009E03A5" w:rsidRPr="00743C24">
        <w:rPr>
          <w:rFonts w:ascii="Arial" w:hAnsi="Arial" w:cs="Arial"/>
        </w:rPr>
        <w:t xml:space="preserve">. </w:t>
      </w:r>
      <w:r w:rsidRPr="00743C24">
        <w:rPr>
          <w:rFonts w:ascii="Arial" w:hAnsi="Arial" w:cs="Arial"/>
        </w:rPr>
        <w:t xml:space="preserve">Internal auditors who possess in-depth knowledge of specific manufacturing processes are better positioned to </w:t>
      </w:r>
      <w:r w:rsidRPr="00743C24">
        <w:rPr>
          <w:rFonts w:ascii="Arial" w:hAnsi="Arial" w:cs="Arial"/>
        </w:rPr>
        <w:lastRenderedPageBreak/>
        <w:t>identify risks, contribute to process improvements, and ensure compliance with relevant standards, collectively enhancing the integrity of operations (</w:t>
      </w:r>
      <w:r w:rsidRPr="00743C24">
        <w:rPr>
          <w:rFonts w:ascii="Arial" w:hAnsi="Arial" w:cs="Arial"/>
          <w:i/>
          <w:iCs/>
        </w:rPr>
        <w:t>Sarens, 2012</w:t>
      </w:r>
      <w:r w:rsidR="009E03A5" w:rsidRPr="00743C24">
        <w:rPr>
          <w:rFonts w:ascii="Arial" w:hAnsi="Arial" w:cs="Arial"/>
        </w:rPr>
        <w:t>)</w:t>
      </w:r>
    </w:p>
    <w:p w14:paraId="2183A6F7" w14:textId="2421B515" w:rsidR="00B33959" w:rsidRPr="00743C24" w:rsidRDefault="00B33959" w:rsidP="00B33959">
      <w:pPr>
        <w:spacing w:line="360" w:lineRule="auto"/>
        <w:rPr>
          <w:rFonts w:ascii="Arial" w:hAnsi="Arial" w:cs="Arial"/>
        </w:rPr>
      </w:pPr>
      <w:r w:rsidRPr="00743C24">
        <w:rPr>
          <w:rFonts w:ascii="Arial" w:hAnsi="Arial" w:cs="Arial"/>
        </w:rPr>
        <w:t>The evolution of internal auditing practices has also been influenced by the increasing emphasis on sustainability and corporate governance. Effective internal audit functions are found to contribute positively to corporate governance practices, thereby reducing the likelihood of fraud and enhancing overall organi</w:t>
      </w:r>
      <w:r w:rsidR="009E03A5" w:rsidRPr="00743C24">
        <w:rPr>
          <w:rFonts w:ascii="Arial" w:hAnsi="Arial" w:cs="Arial"/>
        </w:rPr>
        <w:t>s</w:t>
      </w:r>
      <w:r w:rsidRPr="00743C24">
        <w:rPr>
          <w:rFonts w:ascii="Arial" w:hAnsi="Arial" w:cs="Arial"/>
        </w:rPr>
        <w:t>ational integrity. This is particularly pertinent in the context of manufacturing, where the complexities of production processes necessitate robust governance frameworks to ensure compliance and ethical practices (</w:t>
      </w:r>
      <w:r w:rsidRPr="00416750">
        <w:rPr>
          <w:rFonts w:ascii="Arial" w:hAnsi="Arial" w:cs="Arial"/>
          <w:i/>
          <w:iCs/>
        </w:rPr>
        <w:t>Bilal et al., 2018</w:t>
      </w:r>
      <w:r w:rsidR="009E03A5" w:rsidRPr="00743C24">
        <w:rPr>
          <w:rFonts w:ascii="Arial" w:hAnsi="Arial" w:cs="Arial"/>
        </w:rPr>
        <w:t>)</w:t>
      </w:r>
    </w:p>
    <w:p w14:paraId="21C4F9E2" w14:textId="7B071997" w:rsidR="00FF4E12" w:rsidRPr="00743C24" w:rsidRDefault="009E03A5" w:rsidP="00B33959">
      <w:pPr>
        <w:spacing w:line="360" w:lineRule="auto"/>
        <w:rPr>
          <w:rFonts w:ascii="Arial" w:hAnsi="Arial" w:cs="Arial"/>
        </w:rPr>
      </w:pPr>
      <w:r w:rsidRPr="00743C24">
        <w:rPr>
          <w:rFonts w:ascii="Arial" w:hAnsi="Arial" w:cs="Arial"/>
          <w:noProof/>
        </w:rPr>
        <w:drawing>
          <wp:anchor distT="0" distB="0" distL="114300" distR="114300" simplePos="0" relativeHeight="251674624" behindDoc="0" locked="0" layoutInCell="1" allowOverlap="1" wp14:anchorId="02062372" wp14:editId="30B168CC">
            <wp:simplePos x="0" y="0"/>
            <wp:positionH relativeFrom="margin">
              <wp:align>center</wp:align>
            </wp:positionH>
            <wp:positionV relativeFrom="paragraph">
              <wp:posOffset>1708522</wp:posOffset>
            </wp:positionV>
            <wp:extent cx="3890513" cy="3053494"/>
            <wp:effectExtent l="19050" t="19050" r="15240" b="13970"/>
            <wp:wrapTopAndBottom/>
            <wp:docPr id="1" name="Picture 1" descr="Intergrated, Management, Systems, Multiple, Business, I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grated, Management, Systems, Multiple, Business, IM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90513" cy="3053494"/>
                    </a:xfrm>
                    <a:prstGeom prst="rect">
                      <a:avLst/>
                    </a:prstGeom>
                    <a:noFill/>
                    <a:ln>
                      <a:solidFill>
                        <a:schemeClr val="tx1"/>
                      </a:solidFill>
                    </a:ln>
                  </pic:spPr>
                </pic:pic>
              </a:graphicData>
            </a:graphic>
          </wp:anchor>
        </w:drawing>
      </w:r>
      <w:r w:rsidR="00B33959" w:rsidRPr="00743C24">
        <w:rPr>
          <w:rFonts w:ascii="Arial" w:hAnsi="Arial" w:cs="Arial"/>
        </w:rPr>
        <w:t>In conclusion, internal auditing in manufacturing is not a standalone process but a critical element that intersects with various industry standards and frameworks. Ongoing comparisons of these practices and the integration of advanced technologies will be essential to address the dynamic challenges faced by the manufacturing sector</w:t>
      </w:r>
      <w:r w:rsidRPr="00743C24">
        <w:rPr>
          <w:rFonts w:ascii="Arial" w:hAnsi="Arial" w:cs="Arial"/>
        </w:rPr>
        <w:t xml:space="preserve">. </w:t>
      </w:r>
      <w:r w:rsidR="00B33959" w:rsidRPr="00743C24">
        <w:rPr>
          <w:rFonts w:ascii="Arial" w:hAnsi="Arial" w:cs="Arial"/>
        </w:rPr>
        <w:t>By aligning audit frameworks with technological advancements and emphasi</w:t>
      </w:r>
      <w:r w:rsidRPr="00743C24">
        <w:rPr>
          <w:rFonts w:ascii="Arial" w:hAnsi="Arial" w:cs="Arial"/>
        </w:rPr>
        <w:t>s</w:t>
      </w:r>
      <w:r w:rsidR="00B33959" w:rsidRPr="00743C24">
        <w:rPr>
          <w:rFonts w:ascii="Arial" w:hAnsi="Arial" w:cs="Arial"/>
        </w:rPr>
        <w:t>ing the importance of speciali</w:t>
      </w:r>
      <w:r w:rsidR="00CC766A" w:rsidRPr="00743C24">
        <w:rPr>
          <w:rFonts w:ascii="Arial" w:hAnsi="Arial" w:cs="Arial"/>
        </w:rPr>
        <w:t>s</w:t>
      </w:r>
      <w:r w:rsidR="00B33959" w:rsidRPr="00743C24">
        <w:rPr>
          <w:rFonts w:ascii="Arial" w:hAnsi="Arial" w:cs="Arial"/>
        </w:rPr>
        <w:t>ed knowledge, organi</w:t>
      </w:r>
      <w:r w:rsidR="00CC766A" w:rsidRPr="00743C24">
        <w:rPr>
          <w:rFonts w:ascii="Arial" w:hAnsi="Arial" w:cs="Arial"/>
        </w:rPr>
        <w:t>s</w:t>
      </w:r>
      <w:r w:rsidR="00B33959" w:rsidRPr="00743C24">
        <w:rPr>
          <w:rFonts w:ascii="Arial" w:hAnsi="Arial" w:cs="Arial"/>
        </w:rPr>
        <w:t xml:space="preserve">ations can significantly enhance their internal auditing functions, leading to improved operational </w:t>
      </w:r>
      <w:r w:rsidRPr="00743C24">
        <w:rPr>
          <w:rFonts w:ascii="Arial" w:hAnsi="Arial" w:cs="Arial"/>
        </w:rPr>
        <w:t>efficiency</w:t>
      </w:r>
      <w:r w:rsidR="00B33959" w:rsidRPr="00743C24">
        <w:rPr>
          <w:rFonts w:ascii="Arial" w:hAnsi="Arial" w:cs="Arial"/>
        </w:rPr>
        <w:t xml:space="preserve"> and governance.</w:t>
      </w:r>
    </w:p>
    <w:p w14:paraId="6B271D7E" w14:textId="5A9CF833" w:rsidR="00FF4E12" w:rsidRPr="00743C24" w:rsidRDefault="00B33959" w:rsidP="00FF4E12">
      <w:pPr>
        <w:spacing w:line="360" w:lineRule="auto"/>
        <w:rPr>
          <w:rFonts w:ascii="Arial" w:hAnsi="Arial" w:cs="Arial"/>
        </w:rPr>
      </w:pPr>
      <w:r w:rsidRPr="00743C24">
        <w:rPr>
          <w:rFonts w:ascii="Arial" w:hAnsi="Arial" w:cs="Arial"/>
          <w:color w:val="BF8F00" w:themeColor="accent4" w:themeShade="BF"/>
        </w:rPr>
        <w:t>Figure 5</w:t>
      </w:r>
      <w:r w:rsidRPr="00743C24">
        <w:rPr>
          <w:rFonts w:ascii="Arial" w:hAnsi="Arial" w:cs="Arial"/>
        </w:rPr>
        <w:t>. ISO Standards</w:t>
      </w:r>
    </w:p>
    <w:p w14:paraId="3579FA07" w14:textId="77777777" w:rsidR="00FF4E12" w:rsidRPr="00743C24" w:rsidRDefault="00FF4E12" w:rsidP="00FF4E12">
      <w:pPr>
        <w:spacing w:line="360" w:lineRule="auto"/>
        <w:rPr>
          <w:rFonts w:ascii="Arial" w:hAnsi="Arial" w:cs="Arial"/>
        </w:rPr>
      </w:pPr>
    </w:p>
    <w:p w14:paraId="4F2E2C86" w14:textId="77777777" w:rsidR="00FF4E12" w:rsidRPr="00743C24" w:rsidRDefault="00FF4E12" w:rsidP="00FF4E12">
      <w:pPr>
        <w:spacing w:line="360" w:lineRule="auto"/>
        <w:rPr>
          <w:rFonts w:ascii="Arial" w:hAnsi="Arial" w:cs="Arial"/>
        </w:rPr>
      </w:pPr>
    </w:p>
    <w:p w14:paraId="68A8003A" w14:textId="77777777" w:rsidR="00FF4E12" w:rsidRPr="00743C24" w:rsidRDefault="00FF4E12" w:rsidP="00FF4E12">
      <w:pPr>
        <w:spacing w:line="360" w:lineRule="auto"/>
        <w:rPr>
          <w:rFonts w:ascii="Arial" w:hAnsi="Arial" w:cs="Arial"/>
        </w:rPr>
      </w:pPr>
    </w:p>
    <w:p w14:paraId="617F345F" w14:textId="77777777" w:rsidR="00FF4E12" w:rsidRPr="00743C24" w:rsidRDefault="00FF4E12" w:rsidP="00FF4E12">
      <w:pPr>
        <w:spacing w:line="360" w:lineRule="auto"/>
        <w:rPr>
          <w:rFonts w:ascii="Arial" w:hAnsi="Arial" w:cs="Arial"/>
        </w:rPr>
      </w:pPr>
    </w:p>
    <w:p w14:paraId="17C74E18" w14:textId="77777777" w:rsidR="009E03A5" w:rsidRPr="00743C24" w:rsidRDefault="009E03A5" w:rsidP="00FF4E12">
      <w:pPr>
        <w:spacing w:line="360" w:lineRule="auto"/>
        <w:rPr>
          <w:rFonts w:ascii="Arial" w:hAnsi="Arial" w:cs="Arial"/>
        </w:rPr>
      </w:pPr>
    </w:p>
    <w:p w14:paraId="52683792" w14:textId="2913F785" w:rsidR="0012620A" w:rsidRPr="00743C24" w:rsidRDefault="00505C55" w:rsidP="00E56E8E">
      <w:pPr>
        <w:pStyle w:val="Heading2"/>
        <w:rPr>
          <w:szCs w:val="22"/>
        </w:rPr>
      </w:pPr>
      <w:bookmarkStart w:id="12" w:name="_Toc198120586"/>
      <w:r w:rsidRPr="00743C24">
        <w:rPr>
          <w:szCs w:val="22"/>
        </w:rPr>
        <w:lastRenderedPageBreak/>
        <w:t xml:space="preserve">4.2 The Role of </w:t>
      </w:r>
      <w:r w:rsidR="0012620A" w:rsidRPr="00743C24">
        <w:rPr>
          <w:szCs w:val="22"/>
        </w:rPr>
        <w:t>Internal Audits in Machinery Transfers</w:t>
      </w:r>
      <w:bookmarkEnd w:id="12"/>
    </w:p>
    <w:p w14:paraId="26627E18" w14:textId="7133EFB5" w:rsidR="00FF4E12" w:rsidRPr="00743C24" w:rsidRDefault="00FF4E12" w:rsidP="00FF4E12">
      <w:pPr>
        <w:spacing w:line="360" w:lineRule="auto"/>
        <w:rPr>
          <w:rFonts w:ascii="Arial" w:hAnsi="Arial" w:cs="Arial"/>
        </w:rPr>
      </w:pPr>
      <w:r w:rsidRPr="00743C24">
        <w:rPr>
          <w:rFonts w:ascii="Arial" w:hAnsi="Arial" w:cs="Arial"/>
        </w:rPr>
        <w:t>The transfer of machinery within manufacturing contexts presents unique challenges that necessitate thorough internal audits. Internal audits serve as a mechanism to evaluate the effectiveness of machinery transfers, ensuring that all regulatory and procedural standards are met. The literature suggests that internal audits play a pivotal role in risk management during machinery transfers, as they help identify potential risks associated with the transfer process, including compliance risks and operational inefficiencies (</w:t>
      </w:r>
      <w:r w:rsidRPr="00743C24">
        <w:rPr>
          <w:rFonts w:ascii="Arial" w:hAnsi="Arial" w:cs="Arial"/>
          <w:i/>
          <w:iCs/>
        </w:rPr>
        <w:t>Hassan et al., 2021</w:t>
      </w:r>
      <w:r w:rsidRPr="00743C24">
        <w:rPr>
          <w:rFonts w:ascii="Arial" w:hAnsi="Arial" w:cs="Arial"/>
        </w:rPr>
        <w:t>).</w:t>
      </w:r>
    </w:p>
    <w:p w14:paraId="2B8C3051" w14:textId="74B9EF5F" w:rsidR="00FF4E12" w:rsidRPr="00743C24" w:rsidRDefault="00FF4E12" w:rsidP="00FF4E12">
      <w:pPr>
        <w:spacing w:line="360" w:lineRule="auto"/>
        <w:rPr>
          <w:rFonts w:ascii="Arial" w:hAnsi="Arial" w:cs="Arial"/>
        </w:rPr>
      </w:pPr>
      <w:r w:rsidRPr="00743C24">
        <w:rPr>
          <w:rFonts w:ascii="Arial" w:hAnsi="Arial" w:cs="Arial"/>
        </w:rPr>
        <w:t>Hassan et al. Hassan et al. (2021) highlights the importance of integrated audit management effectiveness in enhancing business sustainability, which is particularly relevant during machinery transfers. Their findings suggest that a well-structured internal audit process can significantly mitigate risks associated with machinery transfers, ensuring that organi</w:t>
      </w:r>
      <w:r w:rsidR="00100F37" w:rsidRPr="00743C24">
        <w:rPr>
          <w:rFonts w:ascii="Arial" w:hAnsi="Arial" w:cs="Arial"/>
        </w:rPr>
        <w:t>s</w:t>
      </w:r>
      <w:r w:rsidRPr="00743C24">
        <w:rPr>
          <w:rFonts w:ascii="Arial" w:hAnsi="Arial" w:cs="Arial"/>
        </w:rPr>
        <w:t>ations maintain operational continuity and compliance with industry standards. Furthermore, the integration of advanced auditing technologies, such as AI and data analytics, can enhance the audit process by providing deeper insights into machinery performance and compliance (</w:t>
      </w:r>
      <w:r w:rsidRPr="00743C24">
        <w:rPr>
          <w:rFonts w:ascii="Arial" w:hAnsi="Arial" w:cs="Arial"/>
          <w:i/>
          <w:iCs/>
        </w:rPr>
        <w:t>Shankar et al., 2024</w:t>
      </w:r>
      <w:r w:rsidRPr="00743C24">
        <w:rPr>
          <w:rFonts w:ascii="Arial" w:hAnsi="Arial" w:cs="Arial"/>
        </w:rPr>
        <w:t>).</w:t>
      </w:r>
    </w:p>
    <w:p w14:paraId="3C2665D9" w14:textId="2802AC24" w:rsidR="00FF4E12" w:rsidRPr="00743C24" w:rsidRDefault="00FF4E12" w:rsidP="00FF4E12">
      <w:pPr>
        <w:spacing w:line="360" w:lineRule="auto"/>
        <w:rPr>
          <w:rFonts w:ascii="Arial" w:hAnsi="Arial" w:cs="Arial"/>
        </w:rPr>
      </w:pPr>
      <w:r w:rsidRPr="00743C24">
        <w:rPr>
          <w:rFonts w:ascii="Arial" w:hAnsi="Arial" w:cs="Arial"/>
        </w:rPr>
        <w:t>The significance of internal audits in machinery transfers is also reflected in the need for comprehensive planning and execution of the transfer process. The quality of internal audits can directly impact the success of machinery transfers by ensuring that all aspects of the transfer are meticulously evaluated and documented. This includes assessing the condition of the machinery, compliance with safety standards, and the adequacy of training for personnel involved in the transfer.</w:t>
      </w:r>
    </w:p>
    <w:p w14:paraId="281E082E" w14:textId="139D02E5" w:rsidR="00FF4E12" w:rsidRPr="00743C24" w:rsidRDefault="00FF4E12" w:rsidP="00FF4E12">
      <w:pPr>
        <w:spacing w:line="360" w:lineRule="auto"/>
        <w:rPr>
          <w:rFonts w:ascii="Arial" w:hAnsi="Arial" w:cs="Arial"/>
        </w:rPr>
      </w:pPr>
      <w:r w:rsidRPr="00743C24">
        <w:rPr>
          <w:rFonts w:ascii="Arial" w:hAnsi="Arial" w:cs="Arial"/>
        </w:rPr>
        <w:t>Moreover, the role of internal audits extends beyond mere compliance checks; they also facilitate continuous improvement in machinery transfer processes. By identifying areas for improvement and recommending best practices, internal audits contribute to the overall efficiency and effectiveness of machinery transfers, thereby enhancing organi</w:t>
      </w:r>
      <w:r w:rsidR="00100F37" w:rsidRPr="00743C24">
        <w:rPr>
          <w:rFonts w:ascii="Arial" w:hAnsi="Arial" w:cs="Arial"/>
        </w:rPr>
        <w:t>s</w:t>
      </w:r>
      <w:r w:rsidRPr="00743C24">
        <w:rPr>
          <w:rFonts w:ascii="Arial" w:hAnsi="Arial" w:cs="Arial"/>
        </w:rPr>
        <w:t>ational performance (</w:t>
      </w:r>
      <w:r w:rsidRPr="00743C24">
        <w:rPr>
          <w:rFonts w:ascii="Arial" w:hAnsi="Arial" w:cs="Arial"/>
          <w:i/>
          <w:iCs/>
        </w:rPr>
        <w:t>Martı́nez et al., 2022</w:t>
      </w:r>
      <w:r w:rsidRPr="00743C24">
        <w:rPr>
          <w:rFonts w:ascii="Arial" w:hAnsi="Arial" w:cs="Arial"/>
        </w:rPr>
        <w:t>).</w:t>
      </w:r>
    </w:p>
    <w:p w14:paraId="1E60274A" w14:textId="3A937193" w:rsidR="00FF4E12" w:rsidRPr="00743C24" w:rsidRDefault="00FF4E12" w:rsidP="00FF4E12">
      <w:pPr>
        <w:rPr>
          <w:rFonts w:ascii="Arial" w:hAnsi="Arial" w:cs="Arial"/>
        </w:rPr>
      </w:pPr>
    </w:p>
    <w:p w14:paraId="2500DC4B" w14:textId="769178C2" w:rsidR="008B27F2" w:rsidRPr="00743C24" w:rsidRDefault="008B27F2" w:rsidP="00FF4E12">
      <w:pPr>
        <w:rPr>
          <w:rFonts w:ascii="Arial" w:hAnsi="Arial" w:cs="Arial"/>
        </w:rPr>
      </w:pPr>
    </w:p>
    <w:p w14:paraId="589E4852" w14:textId="77777777" w:rsidR="008B27F2" w:rsidRPr="00743C24" w:rsidRDefault="008B27F2" w:rsidP="00FF4E12">
      <w:pPr>
        <w:rPr>
          <w:rFonts w:ascii="Arial" w:hAnsi="Arial" w:cs="Arial"/>
        </w:rPr>
      </w:pPr>
    </w:p>
    <w:p w14:paraId="23011DEB" w14:textId="77777777" w:rsidR="008B27F2" w:rsidRPr="00743C24" w:rsidRDefault="008B27F2" w:rsidP="00FF4E12">
      <w:pPr>
        <w:rPr>
          <w:rFonts w:ascii="Arial" w:hAnsi="Arial" w:cs="Arial"/>
        </w:rPr>
      </w:pPr>
    </w:p>
    <w:p w14:paraId="66D8A932" w14:textId="77777777" w:rsidR="008B27F2" w:rsidRPr="00743C24" w:rsidRDefault="008B27F2" w:rsidP="00FF4E12">
      <w:pPr>
        <w:rPr>
          <w:rFonts w:ascii="Arial" w:hAnsi="Arial" w:cs="Arial"/>
        </w:rPr>
      </w:pPr>
    </w:p>
    <w:p w14:paraId="56AECF3D" w14:textId="77777777" w:rsidR="008B27F2" w:rsidRDefault="008B27F2" w:rsidP="00FF4E12">
      <w:pPr>
        <w:rPr>
          <w:rFonts w:ascii="Arial" w:hAnsi="Arial" w:cs="Arial"/>
        </w:rPr>
      </w:pPr>
    </w:p>
    <w:p w14:paraId="1ACD85D9" w14:textId="77777777" w:rsidR="00743C24" w:rsidRPr="00743C24" w:rsidRDefault="00743C24" w:rsidP="00FF4E12">
      <w:pPr>
        <w:rPr>
          <w:rFonts w:ascii="Arial" w:hAnsi="Arial" w:cs="Arial"/>
        </w:rPr>
      </w:pPr>
    </w:p>
    <w:p w14:paraId="67AB1E98" w14:textId="77777777" w:rsidR="008B27F2" w:rsidRPr="00743C24" w:rsidRDefault="008B27F2" w:rsidP="00FF4E12">
      <w:pPr>
        <w:rPr>
          <w:rFonts w:ascii="Arial" w:hAnsi="Arial" w:cs="Arial"/>
        </w:rPr>
      </w:pPr>
    </w:p>
    <w:p w14:paraId="7227AAB0" w14:textId="4E3E985E" w:rsidR="00505C55" w:rsidRPr="00743C24" w:rsidRDefault="00505C55" w:rsidP="00951F51">
      <w:pPr>
        <w:pStyle w:val="Heading2"/>
        <w:rPr>
          <w:szCs w:val="22"/>
        </w:rPr>
      </w:pPr>
      <w:bookmarkStart w:id="13" w:name="_Toc198120587"/>
      <w:r w:rsidRPr="00743C24">
        <w:rPr>
          <w:szCs w:val="22"/>
        </w:rPr>
        <w:lastRenderedPageBreak/>
        <w:t xml:space="preserve">4.3 Risk Management </w:t>
      </w:r>
      <w:r w:rsidR="0012620A" w:rsidRPr="00743C24">
        <w:rPr>
          <w:szCs w:val="22"/>
        </w:rPr>
        <w:t xml:space="preserve">Strategies </w:t>
      </w:r>
      <w:r w:rsidRPr="00743C24">
        <w:rPr>
          <w:szCs w:val="22"/>
        </w:rPr>
        <w:t>in Machinery Transfers</w:t>
      </w:r>
      <w:bookmarkEnd w:id="13"/>
    </w:p>
    <w:p w14:paraId="5DD51B82" w14:textId="3ECB852A" w:rsidR="00951F51" w:rsidRPr="00743C24" w:rsidRDefault="00951F51" w:rsidP="00951F51">
      <w:pPr>
        <w:spacing w:line="360" w:lineRule="auto"/>
        <w:rPr>
          <w:rFonts w:ascii="Arial" w:hAnsi="Arial" w:cs="Arial"/>
        </w:rPr>
      </w:pPr>
      <w:r w:rsidRPr="00743C24">
        <w:rPr>
          <w:rFonts w:ascii="Arial" w:hAnsi="Arial" w:cs="Arial"/>
        </w:rPr>
        <w:t>Effective risk management strategies are essential in mitigating the inherent risks associated with machinery transfers. The literature indicates that internal audits are instrumental in identifying and assessing risks throughout the transfer process. For instance, the study by Dagilienė and Kloviené (2019) emphasi</w:t>
      </w:r>
      <w:r w:rsidR="00CC766A" w:rsidRPr="00743C24">
        <w:rPr>
          <w:rFonts w:ascii="Arial" w:hAnsi="Arial" w:cs="Arial"/>
        </w:rPr>
        <w:t>s</w:t>
      </w:r>
      <w:r w:rsidRPr="00743C24">
        <w:rPr>
          <w:rFonts w:ascii="Arial" w:hAnsi="Arial" w:cs="Arial"/>
        </w:rPr>
        <w:t>es the importance of incorporating big data analytics into audit strategies, which can enhance the identification of potential risks and improve decision-making processes.</w:t>
      </w:r>
    </w:p>
    <w:p w14:paraId="6B0636D1" w14:textId="4D4D9E55" w:rsidR="00951F51" w:rsidRPr="00743C24" w:rsidRDefault="00951F51" w:rsidP="00951F51">
      <w:pPr>
        <w:spacing w:line="360" w:lineRule="auto"/>
        <w:rPr>
          <w:rFonts w:ascii="Arial" w:hAnsi="Arial" w:cs="Arial"/>
        </w:rPr>
      </w:pPr>
      <w:r w:rsidRPr="00743C24">
        <w:rPr>
          <w:rFonts w:ascii="Arial" w:hAnsi="Arial" w:cs="Arial"/>
        </w:rPr>
        <w:t>The integration of risk management frameworks into internal audit processes is crucial for ensuring that machinery transfers are conducted smoothly and efficiently. Solely focused audit firms often possess more resources and experience, enabling them to conduct more thorough risk assessments. This is particularly relevant in machinery transfers, where the complexity of operations necessitates a comprehensive understanding of potential risks.</w:t>
      </w:r>
    </w:p>
    <w:p w14:paraId="736CB275" w14:textId="17D73EF5" w:rsidR="00951F51" w:rsidRPr="00743C24" w:rsidRDefault="00951F51" w:rsidP="00951F51">
      <w:pPr>
        <w:spacing w:line="360" w:lineRule="auto"/>
        <w:rPr>
          <w:rFonts w:ascii="Arial" w:hAnsi="Arial" w:cs="Arial"/>
        </w:rPr>
      </w:pPr>
      <w:r w:rsidRPr="00743C24">
        <w:rPr>
          <w:rFonts w:ascii="Arial" w:hAnsi="Arial" w:cs="Arial"/>
        </w:rPr>
        <w:t>Furthermore, literature suggests that implementing integrated internal audit processes can significantly enhance risk management strategies. Hassan et al. (2021) argues that organi</w:t>
      </w:r>
      <w:r w:rsidR="00CC766A" w:rsidRPr="00743C24">
        <w:rPr>
          <w:rFonts w:ascii="Arial" w:hAnsi="Arial" w:cs="Arial"/>
        </w:rPr>
        <w:t>s</w:t>
      </w:r>
      <w:r w:rsidRPr="00743C24">
        <w:rPr>
          <w:rFonts w:ascii="Arial" w:hAnsi="Arial" w:cs="Arial"/>
        </w:rPr>
        <w:t>ations that adopt integrated audit management practices are better equipped to identify and mitigate risks associated with machinery transfers. This integration allows for a holistic view of the organi</w:t>
      </w:r>
      <w:r w:rsidR="00CC766A" w:rsidRPr="00743C24">
        <w:rPr>
          <w:rFonts w:ascii="Arial" w:hAnsi="Arial" w:cs="Arial"/>
        </w:rPr>
        <w:t>s</w:t>
      </w:r>
      <w:r w:rsidRPr="00743C24">
        <w:rPr>
          <w:rFonts w:ascii="Arial" w:hAnsi="Arial" w:cs="Arial"/>
        </w:rPr>
        <w:t>ation’s operations, enabling auditors to identify interdependencies and potential risks that may not be apparent when audits are conducted in isolation.</w:t>
      </w:r>
      <w:r w:rsidR="009F0DB5">
        <w:rPr>
          <w:rFonts w:ascii="Arial" w:hAnsi="Arial" w:cs="Arial"/>
        </w:rPr>
        <w:t xml:space="preserve"> </w:t>
      </w:r>
      <w:r w:rsidR="009F0DB5" w:rsidRPr="009F0DB5">
        <w:rPr>
          <w:rFonts w:ascii="Arial" w:hAnsi="Arial" w:cs="Arial"/>
        </w:rPr>
        <w:t>It’s important to note that audit findings are based solely on what is visually present and verifiable at the time of the audit. This means hidden faults or undocumented conditions may go unnoticed, highlighting the importance of audit preparedness and pre-audit documentation accuracy.</w:t>
      </w:r>
    </w:p>
    <w:p w14:paraId="0E2F0B19" w14:textId="54577663" w:rsidR="00FF4E12" w:rsidRPr="00743C24" w:rsidRDefault="00951F51" w:rsidP="00951F51">
      <w:pPr>
        <w:spacing w:line="360" w:lineRule="auto"/>
        <w:rPr>
          <w:rFonts w:ascii="Arial" w:hAnsi="Arial" w:cs="Arial"/>
        </w:rPr>
      </w:pPr>
      <w:r w:rsidRPr="00743C24">
        <w:rPr>
          <w:rFonts w:ascii="Arial" w:hAnsi="Arial" w:cs="Arial"/>
        </w:rPr>
        <w:t>In addition to identifying risks, internal audits also play a critical role in developing and implementing risk mitigation strategies. The findings of Simon and Douglas (2013) indicate that organi</w:t>
      </w:r>
      <w:r w:rsidR="00CC766A" w:rsidRPr="00743C24">
        <w:rPr>
          <w:rFonts w:ascii="Arial" w:hAnsi="Arial" w:cs="Arial"/>
        </w:rPr>
        <w:t>s</w:t>
      </w:r>
      <w:r w:rsidRPr="00743C24">
        <w:rPr>
          <w:rFonts w:ascii="Arial" w:hAnsi="Arial" w:cs="Arial"/>
        </w:rPr>
        <w:t>ations that effectively integrate risk management into their audit processes are more likely to achieve operational excellence and sustainability. This is particularly relevant in the manufacturing sector, where the successful transfer of machinery can have significant implications for production efficiency and overall business performance.</w:t>
      </w:r>
    </w:p>
    <w:tbl>
      <w:tblPr>
        <w:tblStyle w:val="TableGrid"/>
        <w:tblW w:w="0" w:type="auto"/>
        <w:tblLook w:val="04A0" w:firstRow="1" w:lastRow="0" w:firstColumn="1" w:lastColumn="0" w:noHBand="0" w:noVBand="1"/>
      </w:tblPr>
      <w:tblGrid>
        <w:gridCol w:w="1413"/>
        <w:gridCol w:w="2410"/>
        <w:gridCol w:w="2914"/>
        <w:gridCol w:w="2279"/>
      </w:tblGrid>
      <w:tr w:rsidR="00951F51" w:rsidRPr="00743C24" w14:paraId="715E9156" w14:textId="77777777" w:rsidTr="00951F51">
        <w:tc>
          <w:tcPr>
            <w:tcW w:w="1413" w:type="dxa"/>
            <w:shd w:val="clear" w:color="auto" w:fill="D9D9D9" w:themeFill="background1" w:themeFillShade="D9"/>
          </w:tcPr>
          <w:p w14:paraId="1F7BE89F" w14:textId="1D85A1B5" w:rsidR="00951F51" w:rsidRPr="00743C24" w:rsidRDefault="00951F51" w:rsidP="00743C24">
            <w:pPr>
              <w:rPr>
                <w:rFonts w:ascii="Arial" w:hAnsi="Arial" w:cs="Arial"/>
                <w:sz w:val="20"/>
                <w:szCs w:val="20"/>
              </w:rPr>
            </w:pPr>
            <w:r w:rsidRPr="00743C24">
              <w:rPr>
                <w:rFonts w:ascii="Arial" w:hAnsi="Arial" w:cs="Arial"/>
                <w:sz w:val="20"/>
                <w:szCs w:val="20"/>
              </w:rPr>
              <w:t>Risk Type</w:t>
            </w:r>
          </w:p>
        </w:tc>
        <w:tc>
          <w:tcPr>
            <w:tcW w:w="2410" w:type="dxa"/>
            <w:shd w:val="clear" w:color="auto" w:fill="D9D9D9" w:themeFill="background1" w:themeFillShade="D9"/>
          </w:tcPr>
          <w:p w14:paraId="6F97E198" w14:textId="37B5B755" w:rsidR="00951F51" w:rsidRPr="00743C24" w:rsidRDefault="00951F51" w:rsidP="00743C24">
            <w:pPr>
              <w:rPr>
                <w:rFonts w:ascii="Arial" w:hAnsi="Arial" w:cs="Arial"/>
                <w:sz w:val="20"/>
                <w:szCs w:val="20"/>
              </w:rPr>
            </w:pPr>
            <w:r w:rsidRPr="00743C24">
              <w:rPr>
                <w:rFonts w:ascii="Arial" w:hAnsi="Arial" w:cs="Arial"/>
                <w:sz w:val="20"/>
                <w:szCs w:val="20"/>
              </w:rPr>
              <w:t>Potential Impact</w:t>
            </w:r>
          </w:p>
        </w:tc>
        <w:tc>
          <w:tcPr>
            <w:tcW w:w="2914" w:type="dxa"/>
            <w:shd w:val="clear" w:color="auto" w:fill="D9D9D9" w:themeFill="background1" w:themeFillShade="D9"/>
          </w:tcPr>
          <w:p w14:paraId="30B66926" w14:textId="7916FC09" w:rsidR="00951F51" w:rsidRPr="00743C24" w:rsidRDefault="00951F51" w:rsidP="00743C24">
            <w:pPr>
              <w:rPr>
                <w:rFonts w:ascii="Arial" w:hAnsi="Arial" w:cs="Arial"/>
                <w:sz w:val="20"/>
                <w:szCs w:val="20"/>
              </w:rPr>
            </w:pPr>
            <w:r w:rsidRPr="00743C24">
              <w:rPr>
                <w:rFonts w:ascii="Arial" w:hAnsi="Arial" w:cs="Arial"/>
                <w:sz w:val="20"/>
                <w:szCs w:val="20"/>
              </w:rPr>
              <w:t>Mitigation Strategy</w:t>
            </w:r>
          </w:p>
        </w:tc>
        <w:tc>
          <w:tcPr>
            <w:tcW w:w="2279" w:type="dxa"/>
            <w:shd w:val="clear" w:color="auto" w:fill="D9D9D9" w:themeFill="background1" w:themeFillShade="D9"/>
          </w:tcPr>
          <w:p w14:paraId="60ECA40E" w14:textId="722E5852" w:rsidR="00951F51" w:rsidRPr="00743C24" w:rsidRDefault="00951F51" w:rsidP="00743C24">
            <w:pPr>
              <w:rPr>
                <w:rFonts w:ascii="Arial" w:hAnsi="Arial" w:cs="Arial"/>
                <w:sz w:val="20"/>
                <w:szCs w:val="20"/>
              </w:rPr>
            </w:pPr>
            <w:r w:rsidRPr="00743C24">
              <w:rPr>
                <w:rFonts w:ascii="Arial" w:hAnsi="Arial" w:cs="Arial"/>
                <w:sz w:val="20"/>
                <w:szCs w:val="20"/>
              </w:rPr>
              <w:t>Role of Internal Audits</w:t>
            </w:r>
          </w:p>
        </w:tc>
      </w:tr>
      <w:tr w:rsidR="00951F51" w:rsidRPr="00743C24" w14:paraId="71DD8E9D" w14:textId="77777777" w:rsidTr="00951F51">
        <w:tc>
          <w:tcPr>
            <w:tcW w:w="1413" w:type="dxa"/>
          </w:tcPr>
          <w:p w14:paraId="53FA91CB" w14:textId="2A2B54C4" w:rsidR="00951F51" w:rsidRPr="00743C24" w:rsidRDefault="00951F51" w:rsidP="00743C24">
            <w:pPr>
              <w:rPr>
                <w:rFonts w:ascii="Arial" w:hAnsi="Arial" w:cs="Arial"/>
                <w:sz w:val="20"/>
                <w:szCs w:val="20"/>
              </w:rPr>
            </w:pPr>
            <w:r w:rsidRPr="00743C24">
              <w:rPr>
                <w:rFonts w:ascii="Arial" w:hAnsi="Arial" w:cs="Arial"/>
                <w:sz w:val="20"/>
                <w:szCs w:val="20"/>
              </w:rPr>
              <w:t>Equipment Damage</w:t>
            </w:r>
          </w:p>
        </w:tc>
        <w:tc>
          <w:tcPr>
            <w:tcW w:w="2410" w:type="dxa"/>
          </w:tcPr>
          <w:p w14:paraId="4EB7F4D5" w14:textId="6AD211BA" w:rsidR="00951F51" w:rsidRPr="00743C24" w:rsidRDefault="00951F51" w:rsidP="00743C24">
            <w:pPr>
              <w:rPr>
                <w:rFonts w:ascii="Arial" w:hAnsi="Arial" w:cs="Arial"/>
                <w:sz w:val="20"/>
                <w:szCs w:val="20"/>
              </w:rPr>
            </w:pPr>
            <w:r w:rsidRPr="00743C24">
              <w:rPr>
                <w:rFonts w:ascii="Arial" w:hAnsi="Arial" w:cs="Arial"/>
                <w:sz w:val="20"/>
                <w:szCs w:val="20"/>
              </w:rPr>
              <w:t>Loss of functionality, increased repair costs</w:t>
            </w:r>
          </w:p>
        </w:tc>
        <w:tc>
          <w:tcPr>
            <w:tcW w:w="2914" w:type="dxa"/>
          </w:tcPr>
          <w:p w14:paraId="0238724A" w14:textId="445AB875" w:rsidR="00951F51" w:rsidRPr="00743C24" w:rsidRDefault="00951F51" w:rsidP="00743C24">
            <w:pPr>
              <w:rPr>
                <w:rFonts w:ascii="Arial" w:hAnsi="Arial" w:cs="Arial"/>
                <w:sz w:val="20"/>
                <w:szCs w:val="20"/>
              </w:rPr>
            </w:pPr>
            <w:r w:rsidRPr="00743C24">
              <w:rPr>
                <w:rFonts w:ascii="Arial" w:hAnsi="Arial" w:cs="Arial"/>
                <w:sz w:val="20"/>
                <w:szCs w:val="20"/>
              </w:rPr>
              <w:t>Pre-transfer inspections, secure packaging</w:t>
            </w:r>
          </w:p>
        </w:tc>
        <w:tc>
          <w:tcPr>
            <w:tcW w:w="2279" w:type="dxa"/>
          </w:tcPr>
          <w:p w14:paraId="4A852B5E" w14:textId="64F77D71" w:rsidR="00951F51" w:rsidRPr="00743C24" w:rsidRDefault="00951F51" w:rsidP="00743C24">
            <w:pPr>
              <w:rPr>
                <w:rFonts w:ascii="Arial" w:hAnsi="Arial" w:cs="Arial"/>
                <w:sz w:val="20"/>
                <w:szCs w:val="20"/>
              </w:rPr>
            </w:pPr>
            <w:r w:rsidRPr="00743C24">
              <w:rPr>
                <w:rFonts w:ascii="Arial" w:hAnsi="Arial" w:cs="Arial"/>
                <w:sz w:val="20"/>
                <w:szCs w:val="20"/>
              </w:rPr>
              <w:t>Audit compliance with handling protocols</w:t>
            </w:r>
          </w:p>
        </w:tc>
      </w:tr>
      <w:tr w:rsidR="00951F51" w:rsidRPr="00743C24" w14:paraId="725418F9" w14:textId="77777777" w:rsidTr="00951F51">
        <w:tc>
          <w:tcPr>
            <w:tcW w:w="1413" w:type="dxa"/>
          </w:tcPr>
          <w:p w14:paraId="5BB5093B" w14:textId="1D936512" w:rsidR="00951F51" w:rsidRPr="00743C24" w:rsidRDefault="00951F51" w:rsidP="00743C24">
            <w:pPr>
              <w:rPr>
                <w:rFonts w:ascii="Arial" w:hAnsi="Arial" w:cs="Arial"/>
                <w:sz w:val="20"/>
                <w:szCs w:val="20"/>
              </w:rPr>
            </w:pPr>
            <w:r w:rsidRPr="00743C24">
              <w:rPr>
                <w:rFonts w:ascii="Arial" w:hAnsi="Arial" w:cs="Arial"/>
                <w:sz w:val="20"/>
                <w:szCs w:val="20"/>
              </w:rPr>
              <w:t>Missing or Incomplete Parts</w:t>
            </w:r>
          </w:p>
        </w:tc>
        <w:tc>
          <w:tcPr>
            <w:tcW w:w="2410" w:type="dxa"/>
          </w:tcPr>
          <w:p w14:paraId="4B30015D" w14:textId="6D0BF358" w:rsidR="00951F51" w:rsidRPr="00743C24" w:rsidRDefault="00951F51" w:rsidP="00743C24">
            <w:pPr>
              <w:rPr>
                <w:rFonts w:ascii="Arial" w:hAnsi="Arial" w:cs="Arial"/>
                <w:sz w:val="20"/>
                <w:szCs w:val="20"/>
              </w:rPr>
            </w:pPr>
            <w:r w:rsidRPr="00743C24">
              <w:rPr>
                <w:rFonts w:ascii="Arial" w:hAnsi="Arial" w:cs="Arial"/>
                <w:sz w:val="20"/>
                <w:szCs w:val="20"/>
              </w:rPr>
              <w:t>Production delays, reduced machine efficiency</w:t>
            </w:r>
          </w:p>
        </w:tc>
        <w:tc>
          <w:tcPr>
            <w:tcW w:w="2914" w:type="dxa"/>
          </w:tcPr>
          <w:p w14:paraId="0BB119F7" w14:textId="17619D9A" w:rsidR="00951F51" w:rsidRPr="00743C24" w:rsidRDefault="00951F51" w:rsidP="00743C24">
            <w:pPr>
              <w:rPr>
                <w:rFonts w:ascii="Arial" w:hAnsi="Arial" w:cs="Arial"/>
                <w:sz w:val="20"/>
                <w:szCs w:val="20"/>
              </w:rPr>
            </w:pPr>
            <w:r w:rsidRPr="00743C24">
              <w:rPr>
                <w:rFonts w:ascii="Arial" w:hAnsi="Arial" w:cs="Arial"/>
                <w:sz w:val="20"/>
                <w:szCs w:val="20"/>
              </w:rPr>
              <w:t>Inventory tracking, documentation reviews</w:t>
            </w:r>
          </w:p>
        </w:tc>
        <w:tc>
          <w:tcPr>
            <w:tcW w:w="2279" w:type="dxa"/>
          </w:tcPr>
          <w:p w14:paraId="243DCFA8" w14:textId="12092B92" w:rsidR="00951F51" w:rsidRPr="00743C24" w:rsidRDefault="00951F51" w:rsidP="00743C24">
            <w:pPr>
              <w:rPr>
                <w:rFonts w:ascii="Arial" w:hAnsi="Arial" w:cs="Arial"/>
                <w:sz w:val="20"/>
                <w:szCs w:val="20"/>
              </w:rPr>
            </w:pPr>
            <w:r w:rsidRPr="00743C24">
              <w:rPr>
                <w:rFonts w:ascii="Arial" w:hAnsi="Arial" w:cs="Arial"/>
                <w:sz w:val="20"/>
                <w:szCs w:val="20"/>
              </w:rPr>
              <w:t>Verify completeness of transfer records</w:t>
            </w:r>
          </w:p>
        </w:tc>
      </w:tr>
      <w:tr w:rsidR="00951F51" w:rsidRPr="00743C24" w14:paraId="6056E0BA" w14:textId="77777777" w:rsidTr="00951F51">
        <w:tc>
          <w:tcPr>
            <w:tcW w:w="1413" w:type="dxa"/>
          </w:tcPr>
          <w:p w14:paraId="1F4F0A76" w14:textId="198B53A9" w:rsidR="00951F51" w:rsidRPr="00743C24" w:rsidRDefault="00951F51" w:rsidP="00743C24">
            <w:pPr>
              <w:rPr>
                <w:rFonts w:ascii="Arial" w:hAnsi="Arial" w:cs="Arial"/>
                <w:sz w:val="20"/>
                <w:szCs w:val="20"/>
              </w:rPr>
            </w:pPr>
            <w:r w:rsidRPr="00743C24">
              <w:rPr>
                <w:rFonts w:ascii="Arial" w:hAnsi="Arial" w:cs="Arial"/>
                <w:sz w:val="20"/>
                <w:szCs w:val="20"/>
              </w:rPr>
              <w:t>Regulatory Non-Compliance</w:t>
            </w:r>
          </w:p>
        </w:tc>
        <w:tc>
          <w:tcPr>
            <w:tcW w:w="2410" w:type="dxa"/>
          </w:tcPr>
          <w:p w14:paraId="36510A0A" w14:textId="2273404D" w:rsidR="00951F51" w:rsidRPr="00743C24" w:rsidRDefault="00951F51" w:rsidP="00743C24">
            <w:pPr>
              <w:rPr>
                <w:rFonts w:ascii="Arial" w:hAnsi="Arial" w:cs="Arial"/>
                <w:sz w:val="20"/>
                <w:szCs w:val="20"/>
              </w:rPr>
            </w:pPr>
            <w:r w:rsidRPr="00743C24">
              <w:rPr>
                <w:rFonts w:ascii="Arial" w:hAnsi="Arial" w:cs="Arial"/>
                <w:sz w:val="20"/>
                <w:szCs w:val="20"/>
              </w:rPr>
              <w:t>Legal penalties, reputational damage</w:t>
            </w:r>
          </w:p>
        </w:tc>
        <w:tc>
          <w:tcPr>
            <w:tcW w:w="2914" w:type="dxa"/>
          </w:tcPr>
          <w:p w14:paraId="5DFAEBCF" w14:textId="212180AB" w:rsidR="00951F51" w:rsidRPr="00743C24" w:rsidRDefault="00951F51" w:rsidP="00743C24">
            <w:pPr>
              <w:rPr>
                <w:rFonts w:ascii="Arial" w:hAnsi="Arial" w:cs="Arial"/>
                <w:sz w:val="20"/>
                <w:szCs w:val="20"/>
              </w:rPr>
            </w:pPr>
            <w:r w:rsidRPr="00743C24">
              <w:rPr>
                <w:rFonts w:ascii="Arial" w:hAnsi="Arial" w:cs="Arial"/>
                <w:sz w:val="20"/>
                <w:szCs w:val="20"/>
              </w:rPr>
              <w:t>Compliance audits, adherence to ISO standards</w:t>
            </w:r>
          </w:p>
        </w:tc>
        <w:tc>
          <w:tcPr>
            <w:tcW w:w="2279" w:type="dxa"/>
          </w:tcPr>
          <w:p w14:paraId="7E355DA8" w14:textId="5B13B19C" w:rsidR="00951F51" w:rsidRPr="00743C24" w:rsidRDefault="00951F51" w:rsidP="00743C24">
            <w:pPr>
              <w:rPr>
                <w:rFonts w:ascii="Arial" w:hAnsi="Arial" w:cs="Arial"/>
                <w:sz w:val="20"/>
                <w:szCs w:val="20"/>
              </w:rPr>
            </w:pPr>
            <w:r w:rsidRPr="00743C24">
              <w:rPr>
                <w:rFonts w:ascii="Arial" w:hAnsi="Arial" w:cs="Arial"/>
                <w:sz w:val="20"/>
                <w:szCs w:val="20"/>
              </w:rPr>
              <w:t>Ensure all documentation is in order</w:t>
            </w:r>
          </w:p>
        </w:tc>
      </w:tr>
      <w:tr w:rsidR="00951F51" w:rsidRPr="00743C24" w14:paraId="3564AC0E" w14:textId="77777777" w:rsidTr="00951F51">
        <w:tc>
          <w:tcPr>
            <w:tcW w:w="1413" w:type="dxa"/>
          </w:tcPr>
          <w:p w14:paraId="7FF83295" w14:textId="6CA16294" w:rsidR="00951F51" w:rsidRPr="00743C24" w:rsidRDefault="00951F51" w:rsidP="00743C24">
            <w:pPr>
              <w:rPr>
                <w:rFonts w:ascii="Arial" w:hAnsi="Arial" w:cs="Arial"/>
                <w:sz w:val="20"/>
                <w:szCs w:val="20"/>
              </w:rPr>
            </w:pPr>
            <w:r w:rsidRPr="00743C24">
              <w:rPr>
                <w:rFonts w:ascii="Arial" w:hAnsi="Arial" w:cs="Arial"/>
                <w:sz w:val="20"/>
                <w:szCs w:val="20"/>
              </w:rPr>
              <w:lastRenderedPageBreak/>
              <w:t>Operational Disruptions</w:t>
            </w:r>
          </w:p>
        </w:tc>
        <w:tc>
          <w:tcPr>
            <w:tcW w:w="2410" w:type="dxa"/>
          </w:tcPr>
          <w:p w14:paraId="6FB9775C" w14:textId="491B603D" w:rsidR="00951F51" w:rsidRPr="00743C24" w:rsidRDefault="00951F51" w:rsidP="00743C24">
            <w:pPr>
              <w:rPr>
                <w:rFonts w:ascii="Arial" w:hAnsi="Arial" w:cs="Arial"/>
                <w:sz w:val="20"/>
                <w:szCs w:val="20"/>
              </w:rPr>
            </w:pPr>
            <w:r w:rsidRPr="00743C24">
              <w:rPr>
                <w:rFonts w:ascii="Arial" w:hAnsi="Arial" w:cs="Arial"/>
                <w:sz w:val="20"/>
                <w:szCs w:val="20"/>
              </w:rPr>
              <w:t>Downtime, missed production targets</w:t>
            </w:r>
          </w:p>
        </w:tc>
        <w:tc>
          <w:tcPr>
            <w:tcW w:w="2914" w:type="dxa"/>
          </w:tcPr>
          <w:p w14:paraId="392500BB" w14:textId="56C7F8C1" w:rsidR="00951F51" w:rsidRPr="00743C24" w:rsidRDefault="00951F51" w:rsidP="00743C24">
            <w:pPr>
              <w:rPr>
                <w:rFonts w:ascii="Arial" w:hAnsi="Arial" w:cs="Arial"/>
                <w:sz w:val="20"/>
                <w:szCs w:val="20"/>
              </w:rPr>
            </w:pPr>
            <w:r w:rsidRPr="00743C24">
              <w:rPr>
                <w:rFonts w:ascii="Arial" w:hAnsi="Arial" w:cs="Arial"/>
                <w:sz w:val="20"/>
                <w:szCs w:val="20"/>
              </w:rPr>
              <w:t>Risk assessments, contingency planning</w:t>
            </w:r>
          </w:p>
        </w:tc>
        <w:tc>
          <w:tcPr>
            <w:tcW w:w="2279" w:type="dxa"/>
          </w:tcPr>
          <w:p w14:paraId="5B99C698" w14:textId="1B83B2C2" w:rsidR="00951F51" w:rsidRPr="00743C24" w:rsidRDefault="00951F51" w:rsidP="00743C24">
            <w:pPr>
              <w:rPr>
                <w:rFonts w:ascii="Arial" w:hAnsi="Arial" w:cs="Arial"/>
                <w:sz w:val="20"/>
                <w:szCs w:val="20"/>
              </w:rPr>
            </w:pPr>
            <w:r w:rsidRPr="00743C24">
              <w:rPr>
                <w:rFonts w:ascii="Arial" w:hAnsi="Arial" w:cs="Arial"/>
                <w:sz w:val="20"/>
                <w:szCs w:val="20"/>
              </w:rPr>
              <w:t>Audit readiness of receiving facility</w:t>
            </w:r>
          </w:p>
        </w:tc>
      </w:tr>
      <w:tr w:rsidR="00951F51" w:rsidRPr="00743C24" w14:paraId="224C8EB0" w14:textId="77777777" w:rsidTr="00951F51">
        <w:tc>
          <w:tcPr>
            <w:tcW w:w="1413" w:type="dxa"/>
          </w:tcPr>
          <w:p w14:paraId="72297212" w14:textId="3ECBBEFC" w:rsidR="00951F51" w:rsidRPr="00743C24" w:rsidRDefault="00951F51" w:rsidP="00743C24">
            <w:pPr>
              <w:rPr>
                <w:rFonts w:ascii="Arial" w:hAnsi="Arial" w:cs="Arial"/>
                <w:sz w:val="20"/>
                <w:szCs w:val="20"/>
              </w:rPr>
            </w:pPr>
            <w:r w:rsidRPr="00743C24">
              <w:rPr>
                <w:rFonts w:ascii="Arial" w:hAnsi="Arial" w:cs="Arial"/>
                <w:sz w:val="20"/>
                <w:szCs w:val="20"/>
              </w:rPr>
              <w:t>Workplace Safety Risks</w:t>
            </w:r>
          </w:p>
        </w:tc>
        <w:tc>
          <w:tcPr>
            <w:tcW w:w="2410" w:type="dxa"/>
          </w:tcPr>
          <w:p w14:paraId="3B0A0657" w14:textId="0D521685" w:rsidR="00951F51" w:rsidRPr="00743C24" w:rsidRDefault="00951F51" w:rsidP="00743C24">
            <w:pPr>
              <w:rPr>
                <w:rFonts w:ascii="Arial" w:hAnsi="Arial" w:cs="Arial"/>
                <w:sz w:val="20"/>
                <w:szCs w:val="20"/>
              </w:rPr>
            </w:pPr>
            <w:r w:rsidRPr="00743C24">
              <w:rPr>
                <w:rFonts w:ascii="Arial" w:hAnsi="Arial" w:cs="Arial"/>
                <w:sz w:val="20"/>
                <w:szCs w:val="20"/>
              </w:rPr>
              <w:t>Employee injury, legal liability</w:t>
            </w:r>
          </w:p>
        </w:tc>
        <w:tc>
          <w:tcPr>
            <w:tcW w:w="2914" w:type="dxa"/>
          </w:tcPr>
          <w:p w14:paraId="0AA1FD5E" w14:textId="7EAB2F14" w:rsidR="00951F51" w:rsidRPr="00743C24" w:rsidRDefault="00951F51" w:rsidP="00743C24">
            <w:pPr>
              <w:rPr>
                <w:rFonts w:ascii="Arial" w:hAnsi="Arial" w:cs="Arial"/>
                <w:sz w:val="20"/>
                <w:szCs w:val="20"/>
              </w:rPr>
            </w:pPr>
            <w:r w:rsidRPr="00743C24">
              <w:rPr>
                <w:rFonts w:ascii="Arial" w:hAnsi="Arial" w:cs="Arial"/>
                <w:sz w:val="20"/>
                <w:szCs w:val="20"/>
              </w:rPr>
              <w:t>Safety training, hazard identification</w:t>
            </w:r>
          </w:p>
        </w:tc>
        <w:tc>
          <w:tcPr>
            <w:tcW w:w="2279" w:type="dxa"/>
          </w:tcPr>
          <w:p w14:paraId="0381B6C0" w14:textId="2FECC1DA" w:rsidR="00951F51" w:rsidRPr="00743C24" w:rsidRDefault="00951F51" w:rsidP="00743C24">
            <w:pPr>
              <w:rPr>
                <w:rFonts w:ascii="Arial" w:hAnsi="Arial" w:cs="Arial"/>
                <w:sz w:val="20"/>
                <w:szCs w:val="20"/>
              </w:rPr>
            </w:pPr>
            <w:r w:rsidRPr="00743C24">
              <w:rPr>
                <w:rFonts w:ascii="Arial" w:hAnsi="Arial" w:cs="Arial"/>
                <w:sz w:val="20"/>
                <w:szCs w:val="20"/>
              </w:rPr>
              <w:t>Audit safety compliance during transfer</w:t>
            </w:r>
          </w:p>
        </w:tc>
      </w:tr>
    </w:tbl>
    <w:p w14:paraId="5F1DD6DE" w14:textId="306BF668" w:rsidR="00951F51" w:rsidRPr="00743C24" w:rsidRDefault="00951F51" w:rsidP="00951F51">
      <w:pPr>
        <w:spacing w:line="360" w:lineRule="auto"/>
        <w:rPr>
          <w:rFonts w:ascii="Arial" w:hAnsi="Arial" w:cs="Arial"/>
        </w:rPr>
      </w:pPr>
      <w:r w:rsidRPr="00743C24">
        <w:rPr>
          <w:rFonts w:ascii="Arial" w:hAnsi="Arial" w:cs="Arial"/>
          <w:color w:val="4472C4" w:themeColor="accent1"/>
        </w:rPr>
        <w:t>Table 1</w:t>
      </w:r>
      <w:r w:rsidRPr="00743C24">
        <w:rPr>
          <w:rFonts w:ascii="Arial" w:hAnsi="Arial" w:cs="Arial"/>
        </w:rPr>
        <w:t>. Risk Management Strategies in Machinery Transfers</w:t>
      </w:r>
    </w:p>
    <w:p w14:paraId="1609D361" w14:textId="6CBA6144" w:rsidR="008B27F2" w:rsidRPr="00743C24" w:rsidRDefault="00951F51" w:rsidP="00FF4E12">
      <w:pPr>
        <w:spacing w:line="360" w:lineRule="auto"/>
        <w:rPr>
          <w:rFonts w:ascii="Arial" w:hAnsi="Arial" w:cs="Arial"/>
        </w:rPr>
      </w:pPr>
      <w:r w:rsidRPr="00743C24">
        <w:rPr>
          <w:rFonts w:ascii="Arial" w:hAnsi="Arial" w:cs="Arial"/>
        </w:rPr>
        <w:t>By embedding internal audits into risk management strategies, SEWS-E can ensure that machinery transfers are conducted in a structured and controlled manner, minimi</w:t>
      </w:r>
      <w:r w:rsidR="00CC766A" w:rsidRPr="00743C24">
        <w:rPr>
          <w:rFonts w:ascii="Arial" w:hAnsi="Arial" w:cs="Arial"/>
        </w:rPr>
        <w:t>s</w:t>
      </w:r>
      <w:r w:rsidRPr="00743C24">
        <w:rPr>
          <w:rFonts w:ascii="Arial" w:hAnsi="Arial" w:cs="Arial"/>
        </w:rPr>
        <w:t>ing potential disruptions and financial losses. This proactive approach not only safeguards equipment integrity and operational continuity but also reinforces a culture of compliance and accountability across the organi</w:t>
      </w:r>
      <w:r w:rsidR="00CC766A" w:rsidRPr="00743C24">
        <w:rPr>
          <w:rFonts w:ascii="Arial" w:hAnsi="Arial" w:cs="Arial"/>
        </w:rPr>
        <w:t>s</w:t>
      </w:r>
      <w:r w:rsidRPr="00743C24">
        <w:rPr>
          <w:rFonts w:ascii="Arial" w:hAnsi="Arial" w:cs="Arial"/>
        </w:rPr>
        <w:t>ation.</w:t>
      </w:r>
    </w:p>
    <w:p w14:paraId="76CC0EF5" w14:textId="7F5E38D2" w:rsidR="00505C55" w:rsidRPr="00743C24" w:rsidRDefault="00505C55" w:rsidP="00FF4E12">
      <w:pPr>
        <w:pStyle w:val="Heading2"/>
        <w:rPr>
          <w:szCs w:val="22"/>
        </w:rPr>
      </w:pPr>
      <w:bookmarkStart w:id="14" w:name="_Toc198120588"/>
      <w:r w:rsidRPr="00743C24">
        <w:rPr>
          <w:szCs w:val="22"/>
        </w:rPr>
        <w:t xml:space="preserve">4.4 Comparative Studies in Manufacturing </w:t>
      </w:r>
      <w:r w:rsidR="0012620A" w:rsidRPr="00743C24">
        <w:rPr>
          <w:szCs w:val="22"/>
        </w:rPr>
        <w:t>Audit Processes</w:t>
      </w:r>
      <w:bookmarkEnd w:id="14"/>
    </w:p>
    <w:p w14:paraId="60CEE1BD" w14:textId="35AB43D0" w:rsidR="00FF4E12" w:rsidRPr="00743C24" w:rsidRDefault="00FF4E12" w:rsidP="00FF4E12">
      <w:pPr>
        <w:spacing w:line="360" w:lineRule="auto"/>
        <w:rPr>
          <w:rFonts w:ascii="Arial" w:hAnsi="Arial" w:cs="Arial"/>
        </w:rPr>
      </w:pPr>
      <w:r w:rsidRPr="00743C24">
        <w:rPr>
          <w:rFonts w:ascii="Arial" w:hAnsi="Arial" w:cs="Arial"/>
        </w:rPr>
        <w:t>Comparative studies in manufacturing audit processes provide valuable insights into best practices and areas for improvement. The literature reveals that different manufacturing sectors may adopt varying approaches to internal auditing, influenced by factors such as regulatory requirements, organi</w:t>
      </w:r>
      <w:r w:rsidR="00100F37" w:rsidRPr="00743C24">
        <w:rPr>
          <w:rFonts w:ascii="Arial" w:hAnsi="Arial" w:cs="Arial"/>
        </w:rPr>
        <w:t>s</w:t>
      </w:r>
      <w:r w:rsidRPr="00743C24">
        <w:rPr>
          <w:rFonts w:ascii="Arial" w:hAnsi="Arial" w:cs="Arial"/>
        </w:rPr>
        <w:t>ational culture, and technological advancements. For instance, the study by Novita et al. (2022) highlights the impact of external factors on audit quality in Indonesian manufacturing companies, suggesting that local context plays a significant role in shaping audit practices.</w:t>
      </w:r>
      <w:r w:rsidR="009F0DB5">
        <w:rPr>
          <w:rFonts w:ascii="Arial" w:hAnsi="Arial" w:cs="Arial"/>
        </w:rPr>
        <w:t xml:space="preserve"> </w:t>
      </w:r>
      <w:r w:rsidRPr="00743C24">
        <w:rPr>
          <w:rFonts w:ascii="Arial" w:hAnsi="Arial" w:cs="Arial"/>
        </w:rPr>
        <w:t>Moreover, the comparative analysis of audit processes across different regions can shed light on the effectiveness of various auditing frameworks. As noted by Kruthika et al. (</w:t>
      </w:r>
      <w:r w:rsidRPr="00416750">
        <w:rPr>
          <w:rFonts w:ascii="Arial" w:hAnsi="Arial" w:cs="Arial"/>
          <w:i/>
          <w:iCs/>
        </w:rPr>
        <w:t>Chen et al., 2022</w:t>
      </w:r>
      <w:r w:rsidRPr="00743C24">
        <w:rPr>
          <w:rFonts w:ascii="Arial" w:hAnsi="Arial" w:cs="Arial"/>
        </w:rPr>
        <w:t>), the integration of lean manufacturing principles with audit processes can enhance operational efficiency and sustainability. This suggests that organi</w:t>
      </w:r>
      <w:r w:rsidR="00100F37" w:rsidRPr="00743C24">
        <w:rPr>
          <w:rFonts w:ascii="Arial" w:hAnsi="Arial" w:cs="Arial"/>
        </w:rPr>
        <w:t>s</w:t>
      </w:r>
      <w:r w:rsidRPr="00743C24">
        <w:rPr>
          <w:rFonts w:ascii="Arial" w:hAnsi="Arial" w:cs="Arial"/>
        </w:rPr>
        <w:t>ations can benefit from adopting best practices from other sectors or regions to improve their internal audit processes</w:t>
      </w:r>
      <w:r w:rsidR="008B27F2" w:rsidRPr="00743C24">
        <w:rPr>
          <w:rFonts w:ascii="Arial" w:hAnsi="Arial" w:cs="Arial"/>
        </w:rPr>
        <w:t>.</w:t>
      </w:r>
    </w:p>
    <w:p w14:paraId="014B202E" w14:textId="6B1B2C21" w:rsidR="00951F51" w:rsidRPr="00743C24" w:rsidRDefault="00FF4E12" w:rsidP="00FF4E12">
      <w:pPr>
        <w:spacing w:line="360" w:lineRule="auto"/>
        <w:rPr>
          <w:rFonts w:ascii="Arial" w:hAnsi="Arial" w:cs="Arial"/>
        </w:rPr>
      </w:pPr>
      <w:r w:rsidRPr="00743C24">
        <w:rPr>
          <w:rFonts w:ascii="Arial" w:hAnsi="Arial" w:cs="Arial"/>
        </w:rPr>
        <w:t>The role of audit tenure and auditor independence is also a critical consideration in comparative studies. Research by Pesudo and Nugroho (2022) indicates that longer audit tenures may lead to decreased auditor independence, which can compromise the quality of audits. This finding underscores the importance of maintaining a balance between continuity and independence in audit practices, particularly in the context of machinery transfers where impartial assessments are crucial.</w:t>
      </w:r>
      <w:r w:rsidR="00951F51" w:rsidRPr="00743C24">
        <w:rPr>
          <w:rFonts w:ascii="Arial" w:hAnsi="Arial" w:cs="Arial"/>
        </w:rPr>
        <w:t xml:space="preserve"> </w:t>
      </w:r>
    </w:p>
    <w:p w14:paraId="6E6C7D23" w14:textId="06554BD9" w:rsidR="008B27F2" w:rsidRPr="00743C24" w:rsidRDefault="00FF4E12" w:rsidP="00FF4E12">
      <w:pPr>
        <w:spacing w:line="360" w:lineRule="auto"/>
        <w:rPr>
          <w:rFonts w:ascii="Arial" w:hAnsi="Arial" w:cs="Arial"/>
        </w:rPr>
      </w:pPr>
      <w:r w:rsidRPr="00743C24">
        <w:rPr>
          <w:rFonts w:ascii="Arial" w:hAnsi="Arial" w:cs="Arial"/>
        </w:rPr>
        <w:t>Furthermore, the comparative analysis of audit processes can reveal the effectiveness of different audit methodologies. For example, the study by Akinteye et al. (2023) emphasi</w:t>
      </w:r>
      <w:r w:rsidR="00100F37" w:rsidRPr="00743C24">
        <w:rPr>
          <w:rFonts w:ascii="Arial" w:hAnsi="Arial" w:cs="Arial"/>
        </w:rPr>
        <w:t>s</w:t>
      </w:r>
      <w:r w:rsidRPr="00743C24">
        <w:rPr>
          <w:rFonts w:ascii="Arial" w:hAnsi="Arial" w:cs="Arial"/>
        </w:rPr>
        <w:t>es the importance of a strong internal audit function in enhancing corporate governance practices in the Nigerian manufacturing sector. This highlights the potential for organi</w:t>
      </w:r>
      <w:r w:rsidR="00100F37" w:rsidRPr="00743C24">
        <w:rPr>
          <w:rFonts w:ascii="Arial" w:hAnsi="Arial" w:cs="Arial"/>
        </w:rPr>
        <w:t>s</w:t>
      </w:r>
      <w:r w:rsidRPr="00743C24">
        <w:rPr>
          <w:rFonts w:ascii="Arial" w:hAnsi="Arial" w:cs="Arial"/>
        </w:rPr>
        <w:t>ations to learn from the experiences of others and adopt practices that have been proven to enhance audit quality and effectiveness.</w:t>
      </w:r>
    </w:p>
    <w:p w14:paraId="0D66B1F0" w14:textId="5EAA0CC5" w:rsidR="00505C55" w:rsidRPr="00743C24" w:rsidRDefault="00505C55" w:rsidP="00FF4E12">
      <w:pPr>
        <w:pStyle w:val="Heading2"/>
        <w:rPr>
          <w:szCs w:val="22"/>
        </w:rPr>
      </w:pPr>
      <w:bookmarkStart w:id="15" w:name="_Toc198120589"/>
      <w:r w:rsidRPr="00743C24">
        <w:rPr>
          <w:szCs w:val="22"/>
        </w:rPr>
        <w:lastRenderedPageBreak/>
        <w:t xml:space="preserve">4.5 </w:t>
      </w:r>
      <w:r w:rsidR="0012620A" w:rsidRPr="00743C24">
        <w:rPr>
          <w:szCs w:val="22"/>
        </w:rPr>
        <w:t>Regulatory and Procedural Standards in SEWS-E</w:t>
      </w:r>
      <w:bookmarkEnd w:id="15"/>
    </w:p>
    <w:p w14:paraId="03DA67F7" w14:textId="226ED684" w:rsidR="00BF0134" w:rsidRPr="00BF0134" w:rsidRDefault="00BF0134" w:rsidP="00BF0134">
      <w:pPr>
        <w:spacing w:line="360" w:lineRule="auto"/>
        <w:rPr>
          <w:rFonts w:ascii="Arial" w:hAnsi="Arial" w:cs="Arial"/>
        </w:rPr>
      </w:pPr>
      <w:r w:rsidRPr="00BF0134">
        <w:rPr>
          <w:rFonts w:ascii="Arial" w:hAnsi="Arial" w:cs="Arial"/>
        </w:rPr>
        <w:t>The regulatory and procedural standards governing internal audits in manufacturing, particularly within SEWS-E, are critical for ensuring compliance and operational efficiency. Adherence to established standards is essential for maintaining audit integrity, as noted by Alareeni (2019), who highlights that audit firms' attributes, including size and specialisation, influence audit quality and compliance.</w:t>
      </w:r>
    </w:p>
    <w:p w14:paraId="7A194554" w14:textId="11283B4E" w:rsidR="00BF0134" w:rsidRPr="00BF0134" w:rsidRDefault="00BF0134" w:rsidP="00BF0134">
      <w:pPr>
        <w:spacing w:line="360" w:lineRule="auto"/>
        <w:rPr>
          <w:rFonts w:ascii="Arial" w:hAnsi="Arial" w:cs="Arial"/>
        </w:rPr>
      </w:pPr>
      <w:r w:rsidRPr="00BF0134">
        <w:rPr>
          <w:rFonts w:ascii="Arial" w:hAnsi="Arial" w:cs="Arial"/>
        </w:rPr>
        <w:t>Sumitomo Electric Wiring Systems-Europe (SEWS-E) operates within a highly regulated environment, requiring adherence to various standards like ISO 9001 for quality management and ISO 14001 for environmental management, essential for machinery transfers. The internal audit function must also align with regulatory frameworks like the Automotive Industry Action Group (AIAG) standards. Becker and Döring (2019) suggest that compliance with these standards mitigates risks and enhances reputation.</w:t>
      </w:r>
    </w:p>
    <w:p w14:paraId="4057D167" w14:textId="4F77DF66" w:rsidR="00BF0134" w:rsidRPr="00BF0134" w:rsidRDefault="00BF0134" w:rsidP="00BF0134">
      <w:pPr>
        <w:spacing w:line="360" w:lineRule="auto"/>
        <w:rPr>
          <w:rFonts w:ascii="Arial" w:hAnsi="Arial" w:cs="Arial"/>
        </w:rPr>
      </w:pPr>
      <w:r w:rsidRPr="00BF0134">
        <w:rPr>
          <w:rFonts w:ascii="Arial" w:hAnsi="Arial" w:cs="Arial"/>
        </w:rPr>
        <w:t>The implementation of integrated internal audit processes is crucial for meeting regulatory requirements. Ehiedu and Toria (2021) argue that audit independence and quality are impacted by regulatory frameworks, emphasising the need to align practices with established standards. This is particularly important for machinery transfers, where compliance with safety and operational standards is paramount.</w:t>
      </w:r>
    </w:p>
    <w:p w14:paraId="6E93493E" w14:textId="44C23182" w:rsidR="00BF0134" w:rsidRPr="00BF0134" w:rsidRDefault="00BF0134" w:rsidP="00BF0134">
      <w:pPr>
        <w:spacing w:line="360" w:lineRule="auto"/>
        <w:rPr>
          <w:rFonts w:ascii="Arial" w:hAnsi="Arial" w:cs="Arial"/>
        </w:rPr>
      </w:pPr>
      <w:r w:rsidRPr="00BF0134">
        <w:rPr>
          <w:rFonts w:ascii="Arial" w:hAnsi="Arial" w:cs="Arial"/>
        </w:rPr>
        <w:t>The role of regulatory bodies in overseeing internal audits cannot be overlooked. Regulatory scrutiny can lead to improvements in audit practices, especially for SEWS-E, where adherence to standards is essential for maintaining operational integrity.</w:t>
      </w:r>
    </w:p>
    <w:p w14:paraId="465C892D" w14:textId="68F21FD1" w:rsidR="00BF0134" w:rsidRPr="00BF0134" w:rsidRDefault="00BF0134" w:rsidP="00BF0134">
      <w:pPr>
        <w:spacing w:line="360" w:lineRule="auto"/>
        <w:rPr>
          <w:rFonts w:ascii="Arial" w:hAnsi="Arial" w:cs="Arial"/>
        </w:rPr>
      </w:pPr>
      <w:r w:rsidRPr="00BF0134">
        <w:rPr>
          <w:rFonts w:ascii="Arial" w:hAnsi="Arial" w:cs="Arial"/>
        </w:rPr>
        <w:t>Technological advancements in audit processes can further enhance compliance with regulatory standards. Alzoubi (2019) notes that advanced auditing technologies improve audit effectiveness, helping organisations navigate regulatory complexities. This is particularly relevant for machinery transfers, where compliance with safety and operational standards is critical.</w:t>
      </w:r>
    </w:p>
    <w:p w14:paraId="523056C8" w14:textId="52867080" w:rsidR="00416750" w:rsidRPr="00743C24" w:rsidRDefault="00BF0134" w:rsidP="00505C55">
      <w:pPr>
        <w:spacing w:line="360" w:lineRule="auto"/>
        <w:rPr>
          <w:rFonts w:ascii="Arial" w:hAnsi="Arial" w:cs="Arial"/>
        </w:rPr>
      </w:pPr>
      <w:r w:rsidRPr="00BF0134">
        <w:rPr>
          <w:rFonts w:ascii="Arial" w:hAnsi="Arial" w:cs="Arial"/>
        </w:rPr>
        <w:t>While the literature supports structured internal audits for improving consistency and compliance (</w:t>
      </w:r>
      <w:r w:rsidRPr="00BF0134">
        <w:rPr>
          <w:rFonts w:ascii="Arial" w:hAnsi="Arial" w:cs="Arial"/>
          <w:i/>
          <w:iCs/>
        </w:rPr>
        <w:t>Türetken et al., 2019; Moeller, 2022</w:t>
      </w:r>
      <w:r w:rsidRPr="00BF0134">
        <w:rPr>
          <w:rFonts w:ascii="Arial" w:hAnsi="Arial" w:cs="Arial"/>
        </w:rPr>
        <w:t>), some authors highlight limitations. Hicks and Matthews (2011) focus on machine-material interactions but provide little guidance on adapting audit frameworks for dynamic or customised environments. Traditional ISO-based audits can sometimes lead to procedural compliance that overlooks operator-level challenges (</w:t>
      </w:r>
      <w:r w:rsidRPr="00BF0134">
        <w:rPr>
          <w:rFonts w:ascii="Arial" w:hAnsi="Arial" w:cs="Arial"/>
          <w:i/>
          <w:iCs/>
        </w:rPr>
        <w:t>Dagilienė &amp; Kloviené, 2019</w:t>
      </w:r>
      <w:r w:rsidRPr="00BF0134">
        <w:rPr>
          <w:rFonts w:ascii="Arial" w:hAnsi="Arial" w:cs="Arial"/>
        </w:rPr>
        <w:t>). These tensions underline the need for SEWS-E’s audit system to meet formal standards while staying flexible enough to capture site-specific risks and real-world deviations. Recognising these limitations supports the case for continuous adaptation in SEWS-E’s audit approach.</w:t>
      </w:r>
    </w:p>
    <w:p w14:paraId="187B1C29" w14:textId="673E8330" w:rsidR="00505C55" w:rsidRPr="00743C24" w:rsidRDefault="00505C55" w:rsidP="00E56E8E">
      <w:pPr>
        <w:pStyle w:val="Heading1"/>
        <w:rPr>
          <w:sz w:val="22"/>
          <w:szCs w:val="22"/>
        </w:rPr>
      </w:pPr>
      <w:bookmarkStart w:id="16" w:name="_Toc198120590"/>
      <w:r w:rsidRPr="00743C24">
        <w:rPr>
          <w:sz w:val="22"/>
          <w:szCs w:val="22"/>
        </w:rPr>
        <w:lastRenderedPageBreak/>
        <w:t xml:space="preserve">5. </w:t>
      </w:r>
      <w:r w:rsidR="005D2AC8" w:rsidRPr="00743C24">
        <w:rPr>
          <w:sz w:val="22"/>
          <w:szCs w:val="22"/>
        </w:rPr>
        <w:t>Audit Process</w:t>
      </w:r>
      <w:bookmarkEnd w:id="16"/>
    </w:p>
    <w:p w14:paraId="45F405B8" w14:textId="213F2319" w:rsidR="00505C55" w:rsidRPr="00743C24" w:rsidRDefault="00D44D22" w:rsidP="00E56E8E">
      <w:pPr>
        <w:pStyle w:val="Heading2"/>
        <w:rPr>
          <w:szCs w:val="22"/>
        </w:rPr>
      </w:pPr>
      <w:bookmarkStart w:id="17" w:name="_Toc198120591"/>
      <w:r w:rsidRPr="00743C24">
        <w:rPr>
          <w:noProof/>
          <w:szCs w:val="22"/>
        </w:rPr>
        <w:drawing>
          <wp:anchor distT="0" distB="0" distL="114300" distR="114300" simplePos="0" relativeHeight="251677696" behindDoc="0" locked="0" layoutInCell="1" allowOverlap="1" wp14:anchorId="0364D21B" wp14:editId="690D2615">
            <wp:simplePos x="0" y="0"/>
            <wp:positionH relativeFrom="margin">
              <wp:align>center</wp:align>
            </wp:positionH>
            <wp:positionV relativeFrom="paragraph">
              <wp:posOffset>285115</wp:posOffset>
            </wp:positionV>
            <wp:extent cx="7437120" cy="4739640"/>
            <wp:effectExtent l="19050" t="19050" r="11430" b="22860"/>
            <wp:wrapTopAndBottom/>
            <wp:docPr id="849809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09553" name=""/>
                    <pic:cNvPicPr/>
                  </pic:nvPicPr>
                  <pic:blipFill>
                    <a:blip r:embed="rId16">
                      <a:extLst>
                        <a:ext uri="{28A0092B-C50C-407E-A947-70E740481C1C}">
                          <a14:useLocalDpi xmlns:a14="http://schemas.microsoft.com/office/drawing/2010/main" val="0"/>
                        </a:ext>
                      </a:extLst>
                    </a:blip>
                    <a:stretch>
                      <a:fillRect/>
                    </a:stretch>
                  </pic:blipFill>
                  <pic:spPr>
                    <a:xfrm>
                      <a:off x="0" y="0"/>
                      <a:ext cx="7437120" cy="47396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05C55" w:rsidRPr="00743C24">
        <w:rPr>
          <w:szCs w:val="22"/>
        </w:rPr>
        <w:t xml:space="preserve">5.1 </w:t>
      </w:r>
      <w:r w:rsidR="002125F5" w:rsidRPr="00743C24">
        <w:rPr>
          <w:szCs w:val="22"/>
        </w:rPr>
        <w:t>SEWS-E Internal Audit Flow Chart</w:t>
      </w:r>
      <w:bookmarkEnd w:id="17"/>
    </w:p>
    <w:p w14:paraId="128932D9" w14:textId="75B8A434" w:rsidR="00D44D22" w:rsidRPr="00743C24" w:rsidRDefault="00D44D22" w:rsidP="00D44D22">
      <w:pPr>
        <w:spacing w:line="360" w:lineRule="auto"/>
        <w:rPr>
          <w:rFonts w:ascii="Arial" w:hAnsi="Arial" w:cs="Arial"/>
        </w:rPr>
      </w:pPr>
      <w:r w:rsidRPr="00743C24">
        <w:rPr>
          <w:rFonts w:ascii="Arial" w:hAnsi="Arial" w:cs="Arial"/>
          <w:color w:val="BF8F00" w:themeColor="accent4" w:themeShade="BF"/>
        </w:rPr>
        <w:t>Figure 6</w:t>
      </w:r>
      <w:r w:rsidRPr="00743C24">
        <w:rPr>
          <w:rFonts w:ascii="Arial" w:hAnsi="Arial" w:cs="Arial"/>
        </w:rPr>
        <w:t xml:space="preserve">. SEWS-E Internal Audit </w:t>
      </w:r>
      <w:r w:rsidR="006C418D" w:rsidRPr="00743C24">
        <w:rPr>
          <w:rFonts w:ascii="Arial" w:hAnsi="Arial" w:cs="Arial"/>
        </w:rPr>
        <w:t xml:space="preserve">Process </w:t>
      </w:r>
      <w:r w:rsidRPr="00743C24">
        <w:rPr>
          <w:rFonts w:ascii="Arial" w:hAnsi="Arial" w:cs="Arial"/>
        </w:rPr>
        <w:t>Flow Chart</w:t>
      </w:r>
    </w:p>
    <w:p w14:paraId="22675C47" w14:textId="77777777" w:rsidR="00D44D22" w:rsidRPr="00743C24" w:rsidRDefault="00D44D22" w:rsidP="00D44D22">
      <w:pPr>
        <w:spacing w:line="360" w:lineRule="auto"/>
        <w:rPr>
          <w:rFonts w:ascii="Arial" w:hAnsi="Arial" w:cs="Arial"/>
        </w:rPr>
      </w:pPr>
    </w:p>
    <w:p w14:paraId="7A14AC71" w14:textId="4A6E0095" w:rsidR="00D44D22" w:rsidRPr="00743C24" w:rsidRDefault="00D44D22" w:rsidP="00D44D22">
      <w:pPr>
        <w:spacing w:line="360" w:lineRule="auto"/>
        <w:rPr>
          <w:rFonts w:ascii="Arial" w:hAnsi="Arial" w:cs="Arial"/>
        </w:rPr>
      </w:pPr>
      <w:r w:rsidRPr="00743C24">
        <w:rPr>
          <w:rFonts w:ascii="Arial" w:hAnsi="Arial" w:cs="Arial"/>
        </w:rPr>
        <w:t>The flow chart above illustrates the internal audit process followed by SEWS-E for assessing machinery. The process begins with the initiation and scheduling of the annual audit, followed by site coordination and final checks. Once the audit begins, it proceeds through structured stages: fieldwork, reporting, and follow-up. The follow-up phase ensures that all corrective action plans (CAPs) are implemented effectively within the designated timeframe. If CAPs are not followed, the process loops back to re-evaluate outstanding issues, reinforcing SEWS-E's commitment to continuous improvement and audit integrity. On the next page, more detail is shown into each of these points.</w:t>
      </w:r>
    </w:p>
    <w:p w14:paraId="13A7EC2E" w14:textId="77777777" w:rsidR="00D44D22" w:rsidRPr="00743C24" w:rsidRDefault="00D44D22" w:rsidP="00D44D22">
      <w:pPr>
        <w:spacing w:line="360" w:lineRule="auto"/>
        <w:rPr>
          <w:rFonts w:ascii="Arial" w:hAnsi="Arial" w:cs="Arial"/>
        </w:rPr>
      </w:pPr>
    </w:p>
    <w:p w14:paraId="2FB85EDD" w14:textId="77777777" w:rsidR="00D44D22" w:rsidRPr="00743C24" w:rsidRDefault="00D44D22" w:rsidP="00D44D22">
      <w:pPr>
        <w:spacing w:line="360" w:lineRule="auto"/>
        <w:rPr>
          <w:rFonts w:ascii="Arial" w:hAnsi="Arial" w:cs="Arial"/>
        </w:rPr>
      </w:pPr>
    </w:p>
    <w:p w14:paraId="17AE91BC" w14:textId="77777777" w:rsidR="00D44D22" w:rsidRPr="00743C24" w:rsidRDefault="00D44D22" w:rsidP="00D44D22">
      <w:pPr>
        <w:spacing w:line="360" w:lineRule="auto"/>
        <w:rPr>
          <w:rFonts w:ascii="Arial" w:hAnsi="Arial" w:cs="Arial"/>
        </w:rPr>
      </w:pPr>
    </w:p>
    <w:p w14:paraId="08B3E98C" w14:textId="16420AAF" w:rsidR="00BF0134" w:rsidRDefault="00BF0134" w:rsidP="00334257">
      <w:pPr>
        <w:rPr>
          <w:rFonts w:ascii="Arial" w:hAnsi="Arial" w:cs="Arial"/>
          <w:color w:val="4472C4" w:themeColor="accent1"/>
        </w:rPr>
      </w:pPr>
      <w:r w:rsidRPr="00BF0134">
        <w:rPr>
          <w:rFonts w:ascii="Arial" w:hAnsi="Arial" w:cs="Arial"/>
          <w:noProof/>
          <w:color w:val="4472C4" w:themeColor="accent1"/>
        </w:rPr>
        <w:drawing>
          <wp:inline distT="0" distB="0" distL="0" distR="0" wp14:anchorId="7EA092F1" wp14:editId="7E72C700">
            <wp:extent cx="5800725" cy="7129062"/>
            <wp:effectExtent l="0" t="0" r="0" b="0"/>
            <wp:docPr id="1990440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40777" name=""/>
                    <pic:cNvPicPr/>
                  </pic:nvPicPr>
                  <pic:blipFill>
                    <a:blip r:embed="rId17"/>
                    <a:stretch>
                      <a:fillRect/>
                    </a:stretch>
                  </pic:blipFill>
                  <pic:spPr>
                    <a:xfrm>
                      <a:off x="0" y="0"/>
                      <a:ext cx="5809137" cy="7139401"/>
                    </a:xfrm>
                    <a:prstGeom prst="rect">
                      <a:avLst/>
                    </a:prstGeom>
                  </pic:spPr>
                </pic:pic>
              </a:graphicData>
            </a:graphic>
          </wp:inline>
        </w:drawing>
      </w:r>
    </w:p>
    <w:p w14:paraId="7DB9B9F8" w14:textId="48F8B7E7" w:rsidR="00D44D22" w:rsidRPr="00743C24" w:rsidRDefault="006C418D" w:rsidP="00334257">
      <w:pPr>
        <w:rPr>
          <w:rFonts w:ascii="Arial" w:hAnsi="Arial" w:cs="Arial"/>
        </w:rPr>
      </w:pPr>
      <w:r w:rsidRPr="00743C24">
        <w:rPr>
          <w:rFonts w:ascii="Arial" w:hAnsi="Arial" w:cs="Arial"/>
          <w:color w:val="4472C4" w:themeColor="accent1"/>
        </w:rPr>
        <w:t>Table 2</w:t>
      </w:r>
      <w:r w:rsidRPr="00743C24">
        <w:rPr>
          <w:rFonts w:ascii="Arial" w:hAnsi="Arial" w:cs="Arial"/>
        </w:rPr>
        <w:t>. Overview of SEWS-E Internal Audit Process Stages</w:t>
      </w:r>
    </w:p>
    <w:p w14:paraId="6E000981" w14:textId="77777777" w:rsidR="00D44D22" w:rsidRPr="00743C24" w:rsidRDefault="00D44D22" w:rsidP="00334257">
      <w:pPr>
        <w:rPr>
          <w:rFonts w:ascii="Arial" w:hAnsi="Arial" w:cs="Arial"/>
        </w:rPr>
      </w:pPr>
    </w:p>
    <w:p w14:paraId="5B43F083" w14:textId="77777777" w:rsidR="00D44D22" w:rsidRPr="00743C24" w:rsidRDefault="00D44D22" w:rsidP="00334257">
      <w:pPr>
        <w:rPr>
          <w:rFonts w:ascii="Arial" w:hAnsi="Arial" w:cs="Arial"/>
        </w:rPr>
      </w:pPr>
    </w:p>
    <w:p w14:paraId="7DAEFFE3" w14:textId="77777777" w:rsidR="00D44D22" w:rsidRPr="00743C24" w:rsidRDefault="00D44D22" w:rsidP="00334257">
      <w:pPr>
        <w:rPr>
          <w:rFonts w:ascii="Arial" w:hAnsi="Arial" w:cs="Arial"/>
        </w:rPr>
      </w:pPr>
    </w:p>
    <w:p w14:paraId="2DA8DE25" w14:textId="77777777" w:rsidR="00D44D22" w:rsidRPr="00743C24" w:rsidRDefault="00D44D22" w:rsidP="00334257">
      <w:pPr>
        <w:rPr>
          <w:rFonts w:ascii="Arial" w:hAnsi="Arial" w:cs="Arial"/>
        </w:rPr>
      </w:pPr>
    </w:p>
    <w:p w14:paraId="715E7266" w14:textId="77777777" w:rsidR="00D44D22" w:rsidRPr="00743C24" w:rsidRDefault="00D44D22" w:rsidP="00334257">
      <w:pPr>
        <w:rPr>
          <w:rFonts w:ascii="Arial" w:hAnsi="Arial" w:cs="Arial"/>
        </w:rPr>
      </w:pPr>
    </w:p>
    <w:p w14:paraId="3D8C3FDB" w14:textId="4AE43F18" w:rsidR="00505C55" w:rsidRPr="00743C24" w:rsidRDefault="00505C55" w:rsidP="00E56E8E">
      <w:pPr>
        <w:pStyle w:val="Heading2"/>
        <w:rPr>
          <w:szCs w:val="22"/>
        </w:rPr>
      </w:pPr>
      <w:bookmarkStart w:id="18" w:name="_Toc198120592"/>
      <w:r w:rsidRPr="00743C24">
        <w:rPr>
          <w:szCs w:val="22"/>
        </w:rPr>
        <w:t>5.2 Data Collection Methods:</w:t>
      </w:r>
      <w:bookmarkEnd w:id="18"/>
    </w:p>
    <w:p w14:paraId="27D1E3F3" w14:textId="2EC7B637" w:rsidR="002125F5" w:rsidRPr="00743C24" w:rsidRDefault="002125F5" w:rsidP="006C418D">
      <w:pPr>
        <w:spacing w:line="360" w:lineRule="auto"/>
        <w:rPr>
          <w:rFonts w:ascii="Arial" w:hAnsi="Arial" w:cs="Arial"/>
        </w:rPr>
      </w:pPr>
      <w:r w:rsidRPr="00743C24">
        <w:rPr>
          <w:rFonts w:ascii="Arial" w:hAnsi="Arial" w:cs="Arial"/>
        </w:rPr>
        <w:t>To evaluate the effectiveness of internal audits in machinery transfers at Sumitomo Electric Wiring Systems-Europe (SEWS-E), a mixed-methods approach was employed. This study integrates both qualitative and quantitative data collection techniques, ensuring a comprehensive assessment of audit processes, compliance levels, and operational challenges.</w:t>
      </w:r>
    </w:p>
    <w:p w14:paraId="0C299208" w14:textId="20A52680" w:rsidR="002125F5" w:rsidRPr="00743C24" w:rsidRDefault="006C418D" w:rsidP="006C418D">
      <w:pPr>
        <w:spacing w:line="360" w:lineRule="auto"/>
        <w:rPr>
          <w:rFonts w:ascii="Arial" w:hAnsi="Arial" w:cs="Arial"/>
        </w:rPr>
      </w:pPr>
      <w:r w:rsidRPr="00743C24">
        <w:rPr>
          <w:rFonts w:ascii="Arial" w:hAnsi="Arial" w:cs="Arial"/>
          <w:noProof/>
        </w:rPr>
        <w:drawing>
          <wp:anchor distT="0" distB="0" distL="114300" distR="114300" simplePos="0" relativeHeight="251676672" behindDoc="0" locked="0" layoutInCell="1" allowOverlap="1" wp14:anchorId="3BD5EEAA" wp14:editId="401C819C">
            <wp:simplePos x="0" y="0"/>
            <wp:positionH relativeFrom="margin">
              <wp:align>right</wp:align>
            </wp:positionH>
            <wp:positionV relativeFrom="paragraph">
              <wp:posOffset>1189355</wp:posOffset>
            </wp:positionV>
            <wp:extent cx="2800350" cy="3552825"/>
            <wp:effectExtent l="0" t="0" r="0" b="9525"/>
            <wp:wrapTopAndBottom/>
            <wp:docPr id="14828102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00350" cy="3552825"/>
                    </a:xfrm>
                    <a:prstGeom prst="rect">
                      <a:avLst/>
                    </a:prstGeom>
                    <a:noFill/>
                  </pic:spPr>
                </pic:pic>
              </a:graphicData>
            </a:graphic>
            <wp14:sizeRelH relativeFrom="margin">
              <wp14:pctWidth>0</wp14:pctWidth>
            </wp14:sizeRelH>
            <wp14:sizeRelV relativeFrom="margin">
              <wp14:pctHeight>0</wp14:pctHeight>
            </wp14:sizeRelV>
          </wp:anchor>
        </w:drawing>
      </w:r>
      <w:r w:rsidR="002125F5" w:rsidRPr="00743C24">
        <w:rPr>
          <w:rFonts w:ascii="Arial" w:hAnsi="Arial" w:cs="Arial"/>
          <w:noProof/>
        </w:rPr>
        <w:drawing>
          <wp:anchor distT="0" distB="0" distL="114300" distR="114300" simplePos="0" relativeHeight="251675648" behindDoc="0" locked="0" layoutInCell="1" allowOverlap="1" wp14:anchorId="2DADAF43" wp14:editId="31125137">
            <wp:simplePos x="0" y="0"/>
            <wp:positionH relativeFrom="margin">
              <wp:align>left</wp:align>
            </wp:positionH>
            <wp:positionV relativeFrom="paragraph">
              <wp:posOffset>1284605</wp:posOffset>
            </wp:positionV>
            <wp:extent cx="2762250" cy="3397250"/>
            <wp:effectExtent l="0" t="0" r="0" b="0"/>
            <wp:wrapTopAndBottom/>
            <wp:docPr id="15565526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62250" cy="3397250"/>
                    </a:xfrm>
                    <a:prstGeom prst="rect">
                      <a:avLst/>
                    </a:prstGeom>
                    <a:noFill/>
                  </pic:spPr>
                </pic:pic>
              </a:graphicData>
            </a:graphic>
            <wp14:sizeRelH relativeFrom="margin">
              <wp14:pctWidth>0</wp14:pctWidth>
            </wp14:sizeRelH>
            <wp14:sizeRelV relativeFrom="margin">
              <wp14:pctHeight>0</wp14:pctHeight>
            </wp14:sizeRelV>
          </wp:anchor>
        </w:drawing>
      </w:r>
      <w:r w:rsidR="002125F5" w:rsidRPr="00743C24">
        <w:rPr>
          <w:rFonts w:ascii="Arial" w:hAnsi="Arial" w:cs="Arial"/>
        </w:rPr>
        <w:t>A key component of this research is the use of historical audit data from 2023 and 2024, allowing for a comparative analysis of audit effectiveness over time. Primary data was collected first-hand from SEWS-E manufacturing sites in Egypt, Morocco, Romania, and Tunisia, where on-site audits were observed, and direct discussions with audit teams and operational staff provided insights into practical challenges and best practices.</w:t>
      </w:r>
    </w:p>
    <w:p w14:paraId="644A7A03" w14:textId="77777777" w:rsidR="006C418D" w:rsidRPr="00743C24" w:rsidRDefault="006C418D" w:rsidP="006C418D">
      <w:pPr>
        <w:spacing w:line="360" w:lineRule="auto"/>
        <w:rPr>
          <w:rFonts w:ascii="Arial" w:hAnsi="Arial" w:cs="Arial"/>
        </w:rPr>
      </w:pPr>
    </w:p>
    <w:p w14:paraId="3110B2AB" w14:textId="3E9E58E7" w:rsidR="007E761C" w:rsidRPr="00743C24" w:rsidRDefault="002125F5" w:rsidP="006C418D">
      <w:pPr>
        <w:spacing w:line="360" w:lineRule="auto"/>
        <w:rPr>
          <w:rFonts w:ascii="Arial" w:hAnsi="Arial" w:cs="Arial"/>
        </w:rPr>
      </w:pPr>
      <w:r w:rsidRPr="00743C24">
        <w:rPr>
          <w:rFonts w:ascii="Arial" w:hAnsi="Arial" w:cs="Arial"/>
        </w:rPr>
        <w:t>Additionally, secondary data sources such as internal audit reports, compliance records, and regulatory documentation were analysed to assess long-term trends and recurring inefficiencies in machinery transfers. The combination of first-hand site observations, historical audit performance metrics, and feedback enables a well-rounded evaluation of how internal audits influence machinery transfer efficiency and regulatory adherence at SEWS-E.</w:t>
      </w:r>
    </w:p>
    <w:p w14:paraId="09E9125A" w14:textId="77777777" w:rsidR="006C418D" w:rsidRPr="00743C24" w:rsidRDefault="006C418D" w:rsidP="006C418D">
      <w:pPr>
        <w:spacing w:line="360" w:lineRule="auto"/>
        <w:rPr>
          <w:rFonts w:ascii="Arial" w:hAnsi="Arial" w:cs="Arial"/>
        </w:rPr>
      </w:pPr>
    </w:p>
    <w:p w14:paraId="41AD475D" w14:textId="77777777" w:rsidR="006C418D" w:rsidRPr="00743C24" w:rsidRDefault="006C418D" w:rsidP="006C418D">
      <w:pPr>
        <w:spacing w:line="360" w:lineRule="auto"/>
        <w:rPr>
          <w:rFonts w:ascii="Arial" w:hAnsi="Arial" w:cs="Arial"/>
        </w:rPr>
      </w:pPr>
    </w:p>
    <w:p w14:paraId="71A7E0E5" w14:textId="49BF8A5A" w:rsidR="006C418D" w:rsidRPr="00743C24" w:rsidRDefault="00B84468" w:rsidP="001F20F9">
      <w:pPr>
        <w:pStyle w:val="Heading2"/>
      </w:pPr>
      <w:bookmarkStart w:id="19" w:name="_Toc198120593"/>
      <w:r w:rsidRPr="00743C24">
        <w:lastRenderedPageBreak/>
        <w:t>5.</w:t>
      </w:r>
      <w:r w:rsidR="002125F5" w:rsidRPr="00743C24">
        <w:t>3 Audit Evaluation Approach</w:t>
      </w:r>
      <w:bookmarkEnd w:id="19"/>
    </w:p>
    <w:p w14:paraId="46594425" w14:textId="499711E0" w:rsidR="002A35C2" w:rsidRPr="00743C24" w:rsidRDefault="002A35C2" w:rsidP="002A35C2">
      <w:pPr>
        <w:spacing w:line="360" w:lineRule="auto"/>
        <w:rPr>
          <w:rFonts w:ascii="Arial" w:hAnsi="Arial" w:cs="Arial"/>
        </w:rPr>
      </w:pPr>
      <w:r w:rsidRPr="00743C24">
        <w:rPr>
          <w:rFonts w:ascii="Arial" w:hAnsi="Arial" w:cs="Arial"/>
        </w:rPr>
        <w:t>This study adopts a structured evaluation approach to assess the effectiveness of SEWS-E’s internal audit processes in machinery transfers, integrating both qualitative and quantitative methods. This mixed-methods framework enables a well-rounded understanding of audit performance by combining statistical data (e.g., compliance scores, trend comparisons) with contextual insights gathered from on-site experience.</w:t>
      </w:r>
    </w:p>
    <w:p w14:paraId="0DD790C2" w14:textId="27F8ECEA" w:rsidR="002A35C2" w:rsidRPr="00743C24" w:rsidRDefault="002A35C2" w:rsidP="002A35C2">
      <w:pPr>
        <w:spacing w:line="360" w:lineRule="auto"/>
        <w:rPr>
          <w:rFonts w:ascii="Arial" w:hAnsi="Arial" w:cs="Arial"/>
        </w:rPr>
      </w:pPr>
      <w:r w:rsidRPr="00743C24">
        <w:rPr>
          <w:rFonts w:ascii="Arial" w:hAnsi="Arial" w:cs="Arial"/>
        </w:rPr>
        <w:t>A pragmatic philosophical stance underpins the evaluation, blending positivist elements—used to analyse compliance rates and audit metrics—with interpretivist perspectives that explore qualitative factors such as auditor decision-making, judgement differences, and site-level variations. This is particularly important in the SEWS-E context, where human interpretation plays a crucial role in how audit findings are classified and scored.</w:t>
      </w:r>
    </w:p>
    <w:p w14:paraId="21D9234B" w14:textId="77777777" w:rsidR="002A35C2" w:rsidRPr="00743C24" w:rsidRDefault="002A35C2" w:rsidP="002A35C2">
      <w:pPr>
        <w:spacing w:line="360" w:lineRule="auto"/>
        <w:rPr>
          <w:rFonts w:ascii="Arial" w:hAnsi="Arial" w:cs="Arial"/>
        </w:rPr>
      </w:pPr>
      <w:r w:rsidRPr="00743C24">
        <w:rPr>
          <w:rFonts w:ascii="Arial" w:hAnsi="Arial" w:cs="Arial"/>
        </w:rPr>
        <w:t>A single-case study strategy is used to focus on SEWS-E, allowing in-depth analysis across:</w:t>
      </w:r>
    </w:p>
    <w:p w14:paraId="6BBD0D75" w14:textId="57E73EBF" w:rsidR="002A35C2" w:rsidRPr="00743C24" w:rsidRDefault="002A35C2" w:rsidP="002A35C2">
      <w:pPr>
        <w:pStyle w:val="ListParagraph"/>
        <w:numPr>
          <w:ilvl w:val="0"/>
          <w:numId w:val="37"/>
        </w:numPr>
        <w:spacing w:line="360" w:lineRule="auto"/>
        <w:rPr>
          <w:rFonts w:ascii="Arial" w:hAnsi="Arial" w:cs="Arial"/>
        </w:rPr>
      </w:pPr>
      <w:r w:rsidRPr="00743C24">
        <w:rPr>
          <w:rFonts w:ascii="Arial" w:hAnsi="Arial" w:cs="Arial"/>
        </w:rPr>
        <w:t>Industry-specific compliance trends</w:t>
      </w:r>
    </w:p>
    <w:p w14:paraId="29C85B16" w14:textId="77777777" w:rsidR="002A35C2" w:rsidRPr="00743C24" w:rsidRDefault="002A35C2" w:rsidP="002A35C2">
      <w:pPr>
        <w:pStyle w:val="ListParagraph"/>
        <w:numPr>
          <w:ilvl w:val="0"/>
          <w:numId w:val="37"/>
        </w:numPr>
        <w:spacing w:line="360" w:lineRule="auto"/>
        <w:rPr>
          <w:rFonts w:ascii="Arial" w:hAnsi="Arial" w:cs="Arial"/>
        </w:rPr>
      </w:pPr>
      <w:r w:rsidRPr="00743C24">
        <w:rPr>
          <w:rFonts w:ascii="Arial" w:hAnsi="Arial" w:cs="Arial"/>
        </w:rPr>
        <w:t>Historical audit performance data</w:t>
      </w:r>
    </w:p>
    <w:p w14:paraId="220D9FCA" w14:textId="34728E42" w:rsidR="002A35C2" w:rsidRPr="00743C24" w:rsidRDefault="002A35C2" w:rsidP="002A35C2">
      <w:pPr>
        <w:pStyle w:val="ListParagraph"/>
        <w:numPr>
          <w:ilvl w:val="0"/>
          <w:numId w:val="37"/>
        </w:numPr>
        <w:spacing w:line="360" w:lineRule="auto"/>
        <w:rPr>
          <w:rFonts w:ascii="Arial" w:hAnsi="Arial" w:cs="Arial"/>
        </w:rPr>
      </w:pPr>
      <w:r w:rsidRPr="00743C24">
        <w:rPr>
          <w:rFonts w:ascii="Arial" w:hAnsi="Arial" w:cs="Arial"/>
        </w:rPr>
        <w:t>Regional audit variations (Egypt, Morocco, Romania, Tunisia)</w:t>
      </w:r>
    </w:p>
    <w:p w14:paraId="48D97FA2" w14:textId="065B1E0F" w:rsidR="002A35C2" w:rsidRPr="00743C24" w:rsidRDefault="002A35C2" w:rsidP="002A35C2">
      <w:pPr>
        <w:spacing w:line="360" w:lineRule="auto"/>
        <w:rPr>
          <w:rFonts w:ascii="Arial" w:hAnsi="Arial" w:cs="Arial"/>
        </w:rPr>
      </w:pPr>
      <w:r w:rsidRPr="00743C24">
        <w:rPr>
          <w:rFonts w:ascii="Arial" w:hAnsi="Arial" w:cs="Arial"/>
        </w:rPr>
        <w:t>The study combines deductive reasoning, used to test the effectiveness of the audit framework, with inductive reasoning to identify emerging challenges and latent inconsistencies in scoring practices. One such recurring issue is the subjectivity of audit judgement—particularly in borderline cases where findings may not directly affect product performance but still register as non-conformances (e.g., minor documentation gaps, aesthetic equipment issues, or non-standard component layouts). These “grey areas” highlight the human aspect of auditing and underscore the need for stronger calibration and shared interpretation guidelines among auditors.</w:t>
      </w:r>
    </w:p>
    <w:p w14:paraId="5B024D94" w14:textId="77777777" w:rsidR="002A35C2" w:rsidRPr="00743C24" w:rsidRDefault="002A35C2" w:rsidP="002A35C2">
      <w:pPr>
        <w:spacing w:line="360" w:lineRule="auto"/>
        <w:rPr>
          <w:rFonts w:ascii="Arial" w:hAnsi="Arial" w:cs="Arial"/>
        </w:rPr>
      </w:pPr>
      <w:r w:rsidRPr="00743C24">
        <w:rPr>
          <w:rFonts w:ascii="Arial" w:hAnsi="Arial" w:cs="Arial"/>
        </w:rPr>
        <w:t>In some instances, audit results flagged issues that had minimal impact on product quality or production continuity, yet still negatively affected audit scores. By placing these findings into context—distinguishing between critical and cosmetic failures—the evaluation provides a more nuanced understanding of audit effectiveness and how it could be adjusted to focus on true operational risk. Conversely, when audit findings did impact the product or hindered machine startup (e.g., incorrect parameter settings, missing safety systems), the consequences were clearly aligned with audit objectives and justified rigorous follow-up.</w:t>
      </w:r>
    </w:p>
    <w:p w14:paraId="02FE8128" w14:textId="542B6E31" w:rsidR="00100F37" w:rsidRPr="00743C24" w:rsidRDefault="002A35C2" w:rsidP="009A348B">
      <w:pPr>
        <w:spacing w:line="360" w:lineRule="auto"/>
        <w:rPr>
          <w:rFonts w:ascii="Arial" w:hAnsi="Arial" w:cs="Arial"/>
        </w:rPr>
      </w:pPr>
      <w:r w:rsidRPr="00743C24">
        <w:rPr>
          <w:rFonts w:ascii="Arial" w:hAnsi="Arial" w:cs="Arial"/>
        </w:rPr>
        <w:t>Ultimately, this evaluation approach aims not only to assess audit consistency and reliability, but also to identify where human judgement may distort or dilute audit value, and how the system can be adjusted to ensure both fairness and operational relevance.</w:t>
      </w:r>
    </w:p>
    <w:p w14:paraId="5D96C8F9" w14:textId="275B415F" w:rsidR="009A348B" w:rsidRPr="00743C24" w:rsidRDefault="007E761C" w:rsidP="001F20F9">
      <w:pPr>
        <w:pStyle w:val="Heading2"/>
      </w:pPr>
      <w:bookmarkStart w:id="20" w:name="_Toc198120594"/>
      <w:r w:rsidRPr="00743C24">
        <w:lastRenderedPageBreak/>
        <w:t>5.</w:t>
      </w:r>
      <w:r w:rsidR="002125F5" w:rsidRPr="00743C24">
        <w:t>4</w:t>
      </w:r>
      <w:r w:rsidRPr="00743C24">
        <w:t xml:space="preserve"> </w:t>
      </w:r>
      <w:r w:rsidRPr="00743C24">
        <w:rPr>
          <w:rStyle w:val="Strong"/>
          <w:b w:val="0"/>
          <w:bCs w:val="0"/>
          <w:szCs w:val="22"/>
        </w:rPr>
        <w:t>SWOT Analysis of SEWS-E Internal Audit Processes</w:t>
      </w:r>
      <w:bookmarkEnd w:id="20"/>
    </w:p>
    <w:p w14:paraId="1B7DDC9A" w14:textId="538F4FFE" w:rsidR="00E10833" w:rsidRPr="00E10833" w:rsidRDefault="00E10833" w:rsidP="00E10833">
      <w:pPr>
        <w:spacing w:line="360" w:lineRule="auto"/>
        <w:rPr>
          <w:rFonts w:ascii="Arial" w:hAnsi="Arial" w:cs="Arial"/>
        </w:rPr>
      </w:pPr>
      <w:r>
        <w:rPr>
          <w:rFonts w:ascii="Arial" w:hAnsi="Arial" w:cs="Arial"/>
          <w:noProof/>
          <w:color w:val="4472C4" w:themeColor="accent1"/>
        </w:rPr>
        <w:drawing>
          <wp:anchor distT="0" distB="0" distL="114300" distR="114300" simplePos="0" relativeHeight="251686912" behindDoc="0" locked="0" layoutInCell="1" allowOverlap="1" wp14:anchorId="05E866B7" wp14:editId="38D16152">
            <wp:simplePos x="0" y="0"/>
            <wp:positionH relativeFrom="margin">
              <wp:align>left</wp:align>
            </wp:positionH>
            <wp:positionV relativeFrom="paragraph">
              <wp:posOffset>1007110</wp:posOffset>
            </wp:positionV>
            <wp:extent cx="5723890" cy="7029450"/>
            <wp:effectExtent l="0" t="0" r="0" b="0"/>
            <wp:wrapTopAndBottom/>
            <wp:docPr id="803066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8356" cy="7034809"/>
                    </a:xfrm>
                    <a:prstGeom prst="rect">
                      <a:avLst/>
                    </a:prstGeom>
                    <a:noFill/>
                  </pic:spPr>
                </pic:pic>
              </a:graphicData>
            </a:graphic>
            <wp14:sizeRelH relativeFrom="margin">
              <wp14:pctWidth>0</wp14:pctWidth>
            </wp14:sizeRelH>
            <wp14:sizeRelV relativeFrom="margin">
              <wp14:pctHeight>0</wp14:pctHeight>
            </wp14:sizeRelV>
          </wp:anchor>
        </w:drawing>
      </w:r>
      <w:r w:rsidR="0072171B" w:rsidRPr="00743C24">
        <w:rPr>
          <w:rFonts w:ascii="Arial" w:hAnsi="Arial" w:cs="Arial"/>
        </w:rPr>
        <w:t>To identify internal strengths and external challenges impacting the effectiveness of internal audits in machinery transfers, a SWOT analysis was conducted. This structured approach aids in revealing key areas of operational resilience and opportunities for process enhancement</w:t>
      </w:r>
      <w:r w:rsidR="007E761C" w:rsidRPr="00743C24">
        <w:rPr>
          <w:rFonts w:ascii="Arial" w:hAnsi="Arial" w:cs="Arial"/>
        </w:rPr>
        <w:t xml:space="preserve">. My findings are outlined in the </w:t>
      </w:r>
      <w:r w:rsidR="003A45EC" w:rsidRPr="00743C24">
        <w:rPr>
          <w:rFonts w:ascii="Arial" w:hAnsi="Arial" w:cs="Arial"/>
          <w:color w:val="2F5496" w:themeColor="accent1" w:themeShade="BF"/>
        </w:rPr>
        <w:t xml:space="preserve">table </w:t>
      </w:r>
      <w:r w:rsidR="0072171B" w:rsidRPr="00743C24">
        <w:rPr>
          <w:rFonts w:ascii="Arial" w:hAnsi="Arial" w:cs="Arial"/>
          <w:color w:val="2F5496" w:themeColor="accent1" w:themeShade="BF"/>
        </w:rPr>
        <w:t>3</w:t>
      </w:r>
      <w:r w:rsidR="007E761C" w:rsidRPr="00743C24">
        <w:rPr>
          <w:rFonts w:ascii="Arial" w:hAnsi="Arial" w:cs="Arial"/>
          <w:color w:val="BF8F00" w:themeColor="accent4" w:themeShade="BF"/>
        </w:rPr>
        <w:t xml:space="preserve"> </w:t>
      </w:r>
      <w:r w:rsidR="007E761C" w:rsidRPr="00743C24">
        <w:rPr>
          <w:rFonts w:ascii="Arial" w:hAnsi="Arial" w:cs="Arial"/>
        </w:rPr>
        <w:t>below:</w:t>
      </w:r>
    </w:p>
    <w:p w14:paraId="6074987C" w14:textId="2A9B1B95" w:rsidR="007E761C" w:rsidRPr="00743C24" w:rsidRDefault="007E761C" w:rsidP="00D54D8B">
      <w:pPr>
        <w:spacing w:line="276" w:lineRule="auto"/>
        <w:rPr>
          <w:rFonts w:ascii="Arial" w:hAnsi="Arial" w:cs="Arial"/>
        </w:rPr>
      </w:pPr>
      <w:r w:rsidRPr="00743C24">
        <w:rPr>
          <w:rFonts w:ascii="Arial" w:hAnsi="Arial" w:cs="Arial"/>
          <w:color w:val="4472C4" w:themeColor="accent1"/>
        </w:rPr>
        <w:t>Table</w:t>
      </w:r>
      <w:r w:rsidR="003A45EC" w:rsidRPr="00743C24">
        <w:rPr>
          <w:rFonts w:ascii="Arial" w:hAnsi="Arial" w:cs="Arial"/>
          <w:color w:val="4472C4" w:themeColor="accent1"/>
        </w:rPr>
        <w:t xml:space="preserve"> </w:t>
      </w:r>
      <w:r w:rsidR="006C418D" w:rsidRPr="00743C24">
        <w:rPr>
          <w:rFonts w:ascii="Arial" w:hAnsi="Arial" w:cs="Arial"/>
          <w:color w:val="4472C4" w:themeColor="accent1"/>
        </w:rPr>
        <w:t>3</w:t>
      </w:r>
      <w:r w:rsidRPr="00743C24">
        <w:rPr>
          <w:rFonts w:ascii="Arial" w:hAnsi="Arial" w:cs="Arial"/>
        </w:rPr>
        <w:t>. SWOT Analysis on SEWS-E Internal Audit Processes</w:t>
      </w:r>
      <w:r w:rsidR="00AA5702" w:rsidRPr="00743C24">
        <w:rPr>
          <w:rFonts w:ascii="Arial" w:hAnsi="Arial" w:cs="Arial"/>
        </w:rPr>
        <w:t xml:space="preserve"> </w:t>
      </w:r>
    </w:p>
    <w:p w14:paraId="40482613" w14:textId="77777777" w:rsidR="00D54D8B" w:rsidRPr="00743C24" w:rsidRDefault="00D54D8B" w:rsidP="00D54D8B">
      <w:pPr>
        <w:spacing w:line="360" w:lineRule="auto"/>
        <w:rPr>
          <w:rFonts w:ascii="Arial" w:hAnsi="Arial" w:cs="Arial"/>
        </w:rPr>
      </w:pPr>
    </w:p>
    <w:p w14:paraId="3B5924CE" w14:textId="39D798A7" w:rsidR="0072171B" w:rsidRPr="00743C24" w:rsidRDefault="0072171B" w:rsidP="00D54D8B">
      <w:pPr>
        <w:spacing w:line="360" w:lineRule="auto"/>
        <w:rPr>
          <w:rFonts w:ascii="Arial" w:hAnsi="Arial" w:cs="Arial"/>
        </w:rPr>
      </w:pPr>
      <w:r w:rsidRPr="00743C24">
        <w:rPr>
          <w:rFonts w:ascii="Arial" w:hAnsi="Arial" w:cs="Arial"/>
        </w:rPr>
        <w:lastRenderedPageBreak/>
        <w:t>By mapping the internal audit landscape through SWOT, SEWS-E can prioriti</w:t>
      </w:r>
      <w:r w:rsidR="00D54D8B" w:rsidRPr="00743C24">
        <w:rPr>
          <w:rFonts w:ascii="Arial" w:hAnsi="Arial" w:cs="Arial"/>
        </w:rPr>
        <w:t>s</w:t>
      </w:r>
      <w:r w:rsidRPr="00743C24">
        <w:rPr>
          <w:rFonts w:ascii="Arial" w:hAnsi="Arial" w:cs="Arial"/>
        </w:rPr>
        <w:t>e critical improvements such as enhancing pre-audit awareness and standardi</w:t>
      </w:r>
      <w:r w:rsidR="00CC766A" w:rsidRPr="00743C24">
        <w:rPr>
          <w:rFonts w:ascii="Arial" w:hAnsi="Arial" w:cs="Arial"/>
        </w:rPr>
        <w:t>s</w:t>
      </w:r>
      <w:r w:rsidRPr="00743C24">
        <w:rPr>
          <w:rFonts w:ascii="Arial" w:hAnsi="Arial" w:cs="Arial"/>
        </w:rPr>
        <w:t>ing global audit procedures—strategies that can lead to greater operational consistency and regulatory alignment.</w:t>
      </w:r>
    </w:p>
    <w:p w14:paraId="1B6933C7" w14:textId="5FA0EAB6" w:rsidR="009602F4" w:rsidRPr="00743C24" w:rsidRDefault="009602F4" w:rsidP="00D54D8B">
      <w:pPr>
        <w:spacing w:line="360" w:lineRule="auto"/>
        <w:rPr>
          <w:rFonts w:ascii="Arial" w:hAnsi="Arial" w:cs="Arial"/>
        </w:rPr>
      </w:pPr>
      <w:r w:rsidRPr="00743C24">
        <w:rPr>
          <w:rFonts w:ascii="Arial" w:hAnsi="Arial" w:cs="Arial"/>
        </w:rPr>
        <w:t>The SWOT analysis highlights the strengths of SEWS-E’s internal audit system while identifying key areas requiring improvement. Addressing data accuracy, audit standardisation, and logistical challenges can significantly enhance the effectiveness of machinery transfer audits. Future efforts should focus on leveraging digital tools, increasing audit frequency, and implementing global training programs to ensure seamless machine relocations with minimal operational disruptions.</w:t>
      </w:r>
    </w:p>
    <w:p w14:paraId="11D18A1A" w14:textId="2DF4250C" w:rsidR="007E761C" w:rsidRPr="00743C24" w:rsidRDefault="009602F4" w:rsidP="00D54D8B">
      <w:pPr>
        <w:spacing w:line="360" w:lineRule="auto"/>
        <w:rPr>
          <w:rFonts w:ascii="Arial" w:hAnsi="Arial" w:cs="Arial"/>
        </w:rPr>
      </w:pPr>
      <w:r w:rsidRPr="00743C24">
        <w:rPr>
          <w:rFonts w:ascii="Arial" w:hAnsi="Arial" w:cs="Arial"/>
        </w:rPr>
        <w:t>This SWOT framework serves as a foundation for the subsequent evaluation of audit results (Chapter 7) and the formulation of recommendations (Chapter 10).</w:t>
      </w:r>
    </w:p>
    <w:p w14:paraId="48DC2090" w14:textId="224693FD" w:rsidR="009602F4" w:rsidRPr="00743C24" w:rsidRDefault="009602F4" w:rsidP="00D54D8B">
      <w:pPr>
        <w:spacing w:line="360" w:lineRule="auto"/>
        <w:rPr>
          <w:rFonts w:ascii="Arial" w:hAnsi="Arial" w:cs="Arial"/>
        </w:rPr>
      </w:pPr>
      <w:r w:rsidRPr="00743C24">
        <w:rPr>
          <w:rFonts w:ascii="Arial" w:hAnsi="Arial" w:cs="Arial"/>
        </w:rPr>
        <w:t>To ensure the integrity and effectiveness of SEWS-E’s internal audit processes in machinery transfers, the following play a crucial role:</w:t>
      </w:r>
    </w:p>
    <w:p w14:paraId="3FDA11F9" w14:textId="77777777" w:rsidR="009602F4" w:rsidRPr="00743C24" w:rsidRDefault="009602F4" w:rsidP="00D54D8B">
      <w:pPr>
        <w:spacing w:line="360" w:lineRule="auto"/>
        <w:rPr>
          <w:rFonts w:ascii="Arial" w:hAnsi="Arial" w:cs="Arial"/>
        </w:rPr>
      </w:pPr>
      <w:r w:rsidRPr="00743C24">
        <w:rPr>
          <w:rFonts w:ascii="Arial" w:hAnsi="Arial" w:cs="Arial"/>
        </w:rPr>
        <w:t>Audit Records: Provide documented evidence of internal audit findings, ensuring traceability and accountability.</w:t>
      </w:r>
    </w:p>
    <w:p w14:paraId="2BF0593F" w14:textId="77777777" w:rsidR="009602F4" w:rsidRPr="00743C24" w:rsidRDefault="009602F4" w:rsidP="00D54D8B">
      <w:pPr>
        <w:spacing w:line="360" w:lineRule="auto"/>
        <w:rPr>
          <w:rFonts w:ascii="Arial" w:hAnsi="Arial" w:cs="Arial"/>
        </w:rPr>
      </w:pPr>
      <w:r w:rsidRPr="00743C24">
        <w:rPr>
          <w:rFonts w:ascii="Arial" w:hAnsi="Arial" w:cs="Arial"/>
        </w:rPr>
        <w:t>Equipment Maintenance Logs: Track the condition and servicing history of transferred machines to assess their operational readiness.</w:t>
      </w:r>
    </w:p>
    <w:p w14:paraId="6DBE2AFC" w14:textId="3E9C8CEB" w:rsidR="009602F4" w:rsidRPr="00743C24" w:rsidRDefault="009602F4" w:rsidP="00D54D8B">
      <w:pPr>
        <w:spacing w:line="360" w:lineRule="auto"/>
        <w:rPr>
          <w:rFonts w:ascii="Arial" w:hAnsi="Arial" w:cs="Arial"/>
        </w:rPr>
      </w:pPr>
      <w:r w:rsidRPr="00743C24">
        <w:rPr>
          <w:rFonts w:ascii="Arial" w:hAnsi="Arial" w:cs="Arial"/>
        </w:rPr>
        <w:t>Risk Assessments: Identify and mitigate potential hazards associated with machine transfers, ensuring compliance with safety and quality standards.</w:t>
      </w:r>
    </w:p>
    <w:p w14:paraId="793C52A6" w14:textId="2FE03DE9" w:rsidR="00D54D8B" w:rsidRPr="00743C24" w:rsidRDefault="00D54D8B" w:rsidP="00D54D8B">
      <w:pPr>
        <w:spacing w:line="360" w:lineRule="auto"/>
        <w:rPr>
          <w:rFonts w:ascii="Arial" w:hAnsi="Arial" w:cs="Arial"/>
        </w:rPr>
      </w:pPr>
      <w:r w:rsidRPr="00743C24">
        <w:rPr>
          <w:rFonts w:ascii="Arial" w:hAnsi="Arial" w:cs="Arial"/>
        </w:rPr>
        <w:t>Building upon the insights gathered through the SWOT analysis, the next section outlines the analytical framework used to assess the internal audit system in more depth. Section 5.5 introduces the structured criteria and methodologies applied to evaluate audit effectiveness across SEWS-E’s global operations, ensuring that qualitative and quantitative findings are interpreted through a rigorous and consistent lens.</w:t>
      </w:r>
    </w:p>
    <w:p w14:paraId="61036C07" w14:textId="77777777" w:rsidR="00D54D8B" w:rsidRPr="00743C24" w:rsidRDefault="00D54D8B" w:rsidP="009602F4">
      <w:pPr>
        <w:spacing w:line="360" w:lineRule="auto"/>
        <w:rPr>
          <w:rFonts w:ascii="Arial" w:hAnsi="Arial" w:cs="Arial"/>
        </w:rPr>
      </w:pPr>
    </w:p>
    <w:p w14:paraId="0D41BF8B" w14:textId="77777777" w:rsidR="00D54D8B" w:rsidRPr="00743C24" w:rsidRDefault="00D54D8B" w:rsidP="009602F4">
      <w:pPr>
        <w:spacing w:line="360" w:lineRule="auto"/>
        <w:rPr>
          <w:rFonts w:ascii="Arial" w:hAnsi="Arial" w:cs="Arial"/>
        </w:rPr>
      </w:pPr>
    </w:p>
    <w:p w14:paraId="64F7D986" w14:textId="77777777" w:rsidR="00D54D8B" w:rsidRPr="00743C24" w:rsidRDefault="00D54D8B" w:rsidP="009602F4">
      <w:pPr>
        <w:spacing w:line="360" w:lineRule="auto"/>
        <w:rPr>
          <w:rFonts w:ascii="Arial" w:hAnsi="Arial" w:cs="Arial"/>
        </w:rPr>
      </w:pPr>
    </w:p>
    <w:p w14:paraId="6DEBEE3A" w14:textId="77777777" w:rsidR="00D54D8B" w:rsidRPr="00743C24" w:rsidRDefault="00D54D8B" w:rsidP="009602F4">
      <w:pPr>
        <w:spacing w:line="360" w:lineRule="auto"/>
        <w:rPr>
          <w:rFonts w:ascii="Arial" w:hAnsi="Arial" w:cs="Arial"/>
        </w:rPr>
      </w:pPr>
    </w:p>
    <w:p w14:paraId="78D7CCD5" w14:textId="77777777" w:rsidR="00D54D8B" w:rsidRPr="00743C24" w:rsidRDefault="00D54D8B" w:rsidP="009602F4">
      <w:pPr>
        <w:spacing w:line="360" w:lineRule="auto"/>
        <w:rPr>
          <w:rFonts w:ascii="Arial" w:hAnsi="Arial" w:cs="Arial"/>
        </w:rPr>
      </w:pPr>
    </w:p>
    <w:p w14:paraId="1BEC2BBF" w14:textId="77777777" w:rsidR="00D54D8B" w:rsidRPr="00743C24" w:rsidRDefault="00D54D8B" w:rsidP="009602F4">
      <w:pPr>
        <w:spacing w:line="360" w:lineRule="auto"/>
        <w:rPr>
          <w:rFonts w:ascii="Arial" w:hAnsi="Arial" w:cs="Arial"/>
        </w:rPr>
      </w:pPr>
    </w:p>
    <w:p w14:paraId="6505284D" w14:textId="6168EDCA" w:rsidR="00505C55" w:rsidRPr="00743C24" w:rsidRDefault="00505C55" w:rsidP="00D54D8B">
      <w:pPr>
        <w:pStyle w:val="Heading2"/>
        <w:rPr>
          <w:szCs w:val="22"/>
        </w:rPr>
      </w:pPr>
      <w:bookmarkStart w:id="21" w:name="_Toc198120595"/>
      <w:r w:rsidRPr="00743C24">
        <w:rPr>
          <w:szCs w:val="22"/>
        </w:rPr>
        <w:lastRenderedPageBreak/>
        <w:t>5.</w:t>
      </w:r>
      <w:r w:rsidR="003F7F59" w:rsidRPr="00743C24">
        <w:rPr>
          <w:szCs w:val="22"/>
        </w:rPr>
        <w:t>5</w:t>
      </w:r>
      <w:r w:rsidRPr="00743C24">
        <w:rPr>
          <w:szCs w:val="22"/>
        </w:rPr>
        <w:t xml:space="preserve"> </w:t>
      </w:r>
      <w:r w:rsidR="0012620A" w:rsidRPr="00743C24">
        <w:rPr>
          <w:szCs w:val="22"/>
        </w:rPr>
        <w:t>Analytical Framework for Assessing Internal Audits</w:t>
      </w:r>
      <w:bookmarkEnd w:id="21"/>
    </w:p>
    <w:p w14:paraId="4379440E" w14:textId="4F095732" w:rsidR="00D54D8B" w:rsidRPr="00743C24" w:rsidRDefault="00D54D8B" w:rsidP="00D54D8B">
      <w:pPr>
        <w:spacing w:line="360" w:lineRule="auto"/>
        <w:rPr>
          <w:rFonts w:ascii="Arial" w:hAnsi="Arial" w:cs="Arial"/>
        </w:rPr>
      </w:pPr>
      <w:r w:rsidRPr="00743C24">
        <w:rPr>
          <w:rFonts w:ascii="Arial" w:hAnsi="Arial" w:cs="Arial"/>
        </w:rPr>
        <w:t>To systematically evaluate the effectiveness of internal audits in machinery transfers at SEWS-E, this study adopts an analytical framework that combines audit performance metrics, compliance standards, and process improvement indicators. This framework serves as a tool to critically assess how internal audits contribute to operational control, regulatory alignment, and the overall success of equipment relocation.</w:t>
      </w:r>
    </w:p>
    <w:p w14:paraId="6702AC1A" w14:textId="669075F0" w:rsidR="00D54D8B" w:rsidRPr="00743C24" w:rsidRDefault="00D54D8B" w:rsidP="00D54D8B">
      <w:pPr>
        <w:spacing w:line="360" w:lineRule="auto"/>
        <w:rPr>
          <w:rFonts w:ascii="Arial" w:hAnsi="Arial" w:cs="Arial"/>
        </w:rPr>
      </w:pPr>
      <w:r w:rsidRPr="00743C24">
        <w:rPr>
          <w:rFonts w:ascii="Arial" w:hAnsi="Arial" w:cs="Arial"/>
        </w:rPr>
        <w:t>The framework consists of three core pillars:</w:t>
      </w:r>
    </w:p>
    <w:p w14:paraId="6C9147F2" w14:textId="77777777" w:rsidR="00D54D8B" w:rsidRPr="00743C24" w:rsidRDefault="00D54D8B" w:rsidP="00D54D8B">
      <w:pPr>
        <w:spacing w:line="360" w:lineRule="auto"/>
        <w:rPr>
          <w:rFonts w:ascii="Arial" w:hAnsi="Arial" w:cs="Arial"/>
        </w:rPr>
      </w:pPr>
      <w:r w:rsidRPr="00743C24">
        <w:rPr>
          <w:rFonts w:ascii="Arial" w:hAnsi="Arial" w:cs="Arial"/>
        </w:rPr>
        <w:t>1. Audit Effectiveness Metrics</w:t>
      </w:r>
    </w:p>
    <w:p w14:paraId="4193E5CA" w14:textId="3D3669BA" w:rsidR="00D54D8B" w:rsidRPr="00743C24" w:rsidRDefault="00D54D8B" w:rsidP="00D54D8B">
      <w:pPr>
        <w:spacing w:line="360" w:lineRule="auto"/>
        <w:rPr>
          <w:rFonts w:ascii="Arial" w:hAnsi="Arial" w:cs="Arial"/>
        </w:rPr>
      </w:pPr>
      <w:r w:rsidRPr="00743C24">
        <w:rPr>
          <w:rFonts w:ascii="Arial" w:hAnsi="Arial" w:cs="Arial"/>
        </w:rPr>
        <w:t>This includes measurable indicators used to assess the quality and outcomes of audits:</w:t>
      </w:r>
    </w:p>
    <w:p w14:paraId="65D4AB8B" w14:textId="6B82CA2D" w:rsidR="00D54D8B" w:rsidRPr="00743C24" w:rsidRDefault="00D54D8B" w:rsidP="00D54D8B">
      <w:pPr>
        <w:pStyle w:val="ListParagraph"/>
        <w:numPr>
          <w:ilvl w:val="0"/>
          <w:numId w:val="15"/>
        </w:numPr>
        <w:spacing w:line="360" w:lineRule="auto"/>
        <w:rPr>
          <w:rFonts w:ascii="Arial" w:hAnsi="Arial" w:cs="Arial"/>
        </w:rPr>
      </w:pPr>
      <w:r w:rsidRPr="00743C24">
        <w:rPr>
          <w:rFonts w:ascii="Arial" w:hAnsi="Arial" w:cs="Arial"/>
        </w:rPr>
        <w:t>Non-Conformance Rates: Frequency and severity of audit findings.</w:t>
      </w:r>
    </w:p>
    <w:p w14:paraId="066DD3DA" w14:textId="139316BD" w:rsidR="00D54D8B" w:rsidRPr="00743C24" w:rsidRDefault="00D54D8B" w:rsidP="00D54D8B">
      <w:pPr>
        <w:pStyle w:val="ListParagraph"/>
        <w:numPr>
          <w:ilvl w:val="0"/>
          <w:numId w:val="15"/>
        </w:numPr>
        <w:spacing w:line="360" w:lineRule="auto"/>
        <w:rPr>
          <w:rFonts w:ascii="Arial" w:hAnsi="Arial" w:cs="Arial"/>
        </w:rPr>
      </w:pPr>
      <w:r w:rsidRPr="00743C24">
        <w:rPr>
          <w:rFonts w:ascii="Arial" w:hAnsi="Arial" w:cs="Arial"/>
        </w:rPr>
        <w:t>Corrective Action Completion Time: Duration taken to resolve identified issues.</w:t>
      </w:r>
    </w:p>
    <w:p w14:paraId="43301952" w14:textId="0CDC03D7" w:rsidR="00D54D8B" w:rsidRPr="00743C24" w:rsidRDefault="00D54D8B" w:rsidP="00D54D8B">
      <w:pPr>
        <w:pStyle w:val="ListParagraph"/>
        <w:numPr>
          <w:ilvl w:val="0"/>
          <w:numId w:val="15"/>
        </w:numPr>
        <w:spacing w:line="360" w:lineRule="auto"/>
        <w:rPr>
          <w:rFonts w:ascii="Arial" w:hAnsi="Arial" w:cs="Arial"/>
        </w:rPr>
      </w:pPr>
      <w:r w:rsidRPr="00743C24">
        <w:rPr>
          <w:rFonts w:ascii="Arial" w:hAnsi="Arial" w:cs="Arial"/>
        </w:rPr>
        <w:t>Audit Closure Timeliness: Whether audits are completed within scheduled timeframes.</w:t>
      </w:r>
    </w:p>
    <w:p w14:paraId="27484897" w14:textId="77777777" w:rsidR="00D54D8B" w:rsidRPr="00743C24" w:rsidRDefault="00D54D8B" w:rsidP="00D54D8B">
      <w:pPr>
        <w:spacing w:line="360" w:lineRule="auto"/>
        <w:rPr>
          <w:rFonts w:ascii="Arial" w:hAnsi="Arial" w:cs="Arial"/>
        </w:rPr>
      </w:pPr>
      <w:r w:rsidRPr="00743C24">
        <w:rPr>
          <w:rFonts w:ascii="Arial" w:hAnsi="Arial" w:cs="Arial"/>
        </w:rPr>
        <w:t>2. Compliance and Standardisation Assessment</w:t>
      </w:r>
    </w:p>
    <w:p w14:paraId="250CFAFF" w14:textId="6F8C04E7" w:rsidR="00D54D8B" w:rsidRPr="00743C24" w:rsidRDefault="00D54D8B" w:rsidP="00D54D8B">
      <w:pPr>
        <w:spacing w:line="360" w:lineRule="auto"/>
        <w:rPr>
          <w:rFonts w:ascii="Arial" w:hAnsi="Arial" w:cs="Arial"/>
        </w:rPr>
      </w:pPr>
      <w:r w:rsidRPr="00743C24">
        <w:rPr>
          <w:rFonts w:ascii="Arial" w:hAnsi="Arial" w:cs="Arial"/>
        </w:rPr>
        <w:t>Evaluates how well the audits align with:</w:t>
      </w:r>
    </w:p>
    <w:p w14:paraId="418682BC" w14:textId="69A4FBCA" w:rsidR="00D54D8B" w:rsidRPr="00743C24" w:rsidRDefault="00D54D8B" w:rsidP="00D54D8B">
      <w:pPr>
        <w:pStyle w:val="ListParagraph"/>
        <w:numPr>
          <w:ilvl w:val="0"/>
          <w:numId w:val="14"/>
        </w:numPr>
        <w:spacing w:line="360" w:lineRule="auto"/>
        <w:rPr>
          <w:rFonts w:ascii="Arial" w:hAnsi="Arial" w:cs="Arial"/>
        </w:rPr>
      </w:pPr>
      <w:r w:rsidRPr="00743C24">
        <w:rPr>
          <w:rFonts w:ascii="Arial" w:hAnsi="Arial" w:cs="Arial"/>
        </w:rPr>
        <w:t>Internal SEWS-E standards and best practices.</w:t>
      </w:r>
    </w:p>
    <w:p w14:paraId="4FCC40DE" w14:textId="795C678B" w:rsidR="00D54D8B" w:rsidRPr="00743C24" w:rsidRDefault="00D54D8B" w:rsidP="00D54D8B">
      <w:pPr>
        <w:pStyle w:val="ListParagraph"/>
        <w:numPr>
          <w:ilvl w:val="0"/>
          <w:numId w:val="14"/>
        </w:numPr>
        <w:spacing w:line="360" w:lineRule="auto"/>
        <w:rPr>
          <w:rFonts w:ascii="Arial" w:hAnsi="Arial" w:cs="Arial"/>
        </w:rPr>
      </w:pPr>
      <w:r w:rsidRPr="00743C24">
        <w:rPr>
          <w:rFonts w:ascii="Arial" w:hAnsi="Arial" w:cs="Arial"/>
        </w:rPr>
        <w:t>Regional regulatory requirements in countries such as Egypt, Morocco, Romania, and Tunisia.</w:t>
      </w:r>
    </w:p>
    <w:p w14:paraId="06826C9F" w14:textId="68FD46AA" w:rsidR="00D54D8B" w:rsidRPr="00743C24" w:rsidRDefault="00D54D8B" w:rsidP="00D54D8B">
      <w:pPr>
        <w:pStyle w:val="ListParagraph"/>
        <w:numPr>
          <w:ilvl w:val="0"/>
          <w:numId w:val="14"/>
        </w:numPr>
        <w:spacing w:line="360" w:lineRule="auto"/>
        <w:rPr>
          <w:rFonts w:ascii="Arial" w:hAnsi="Arial" w:cs="Arial"/>
        </w:rPr>
      </w:pPr>
      <w:r w:rsidRPr="00743C24">
        <w:rPr>
          <w:rFonts w:ascii="Arial" w:hAnsi="Arial" w:cs="Arial"/>
        </w:rPr>
        <w:t>Global audit consistency, ensuring that processes and documentation are applied uniformly across different sites.</w:t>
      </w:r>
    </w:p>
    <w:p w14:paraId="548DB48D" w14:textId="77777777" w:rsidR="00D54D8B" w:rsidRPr="00743C24" w:rsidRDefault="00D54D8B" w:rsidP="00D54D8B">
      <w:pPr>
        <w:spacing w:line="360" w:lineRule="auto"/>
        <w:rPr>
          <w:rFonts w:ascii="Arial" w:hAnsi="Arial" w:cs="Arial"/>
        </w:rPr>
      </w:pPr>
      <w:r w:rsidRPr="00743C24">
        <w:rPr>
          <w:rFonts w:ascii="Arial" w:hAnsi="Arial" w:cs="Arial"/>
        </w:rPr>
        <w:t>3. Continuous Improvement Indicators</w:t>
      </w:r>
    </w:p>
    <w:p w14:paraId="4FE0CE33" w14:textId="542574F4" w:rsidR="00D54D8B" w:rsidRPr="00743C24" w:rsidRDefault="00D54D8B" w:rsidP="00D54D8B">
      <w:pPr>
        <w:spacing w:line="360" w:lineRule="auto"/>
        <w:rPr>
          <w:rFonts w:ascii="Arial" w:hAnsi="Arial" w:cs="Arial"/>
        </w:rPr>
      </w:pPr>
      <w:r w:rsidRPr="00743C24">
        <w:rPr>
          <w:rFonts w:ascii="Arial" w:hAnsi="Arial" w:cs="Arial"/>
        </w:rPr>
        <w:t>Focuses on how audit outcomes drive operational enhancements:</w:t>
      </w:r>
    </w:p>
    <w:p w14:paraId="5C995A2D" w14:textId="3C049227" w:rsidR="00D54D8B" w:rsidRPr="00743C24" w:rsidRDefault="00D54D8B" w:rsidP="00D54D8B">
      <w:pPr>
        <w:pStyle w:val="ListParagraph"/>
        <w:numPr>
          <w:ilvl w:val="0"/>
          <w:numId w:val="13"/>
        </w:numPr>
        <w:spacing w:line="360" w:lineRule="auto"/>
        <w:rPr>
          <w:rFonts w:ascii="Arial" w:hAnsi="Arial" w:cs="Arial"/>
        </w:rPr>
      </w:pPr>
      <w:r w:rsidRPr="00743C24">
        <w:rPr>
          <w:rFonts w:ascii="Arial" w:hAnsi="Arial" w:cs="Arial"/>
        </w:rPr>
        <w:t>Recurrent Issue Reduction: Decline in repeated non-conformities over time.</w:t>
      </w:r>
    </w:p>
    <w:p w14:paraId="6B1D6ACC" w14:textId="1667B005" w:rsidR="00D54D8B" w:rsidRPr="00743C24" w:rsidRDefault="00D54D8B" w:rsidP="00D54D8B">
      <w:pPr>
        <w:pStyle w:val="ListParagraph"/>
        <w:numPr>
          <w:ilvl w:val="0"/>
          <w:numId w:val="13"/>
        </w:numPr>
        <w:spacing w:line="360" w:lineRule="auto"/>
        <w:rPr>
          <w:rFonts w:ascii="Arial" w:hAnsi="Arial" w:cs="Arial"/>
        </w:rPr>
      </w:pPr>
      <w:r w:rsidRPr="00743C24">
        <w:rPr>
          <w:rFonts w:ascii="Arial" w:hAnsi="Arial" w:cs="Arial"/>
        </w:rPr>
        <w:t>Training and Knowledge Transfer: Evidence of audit findings being used to enhance team capabilities.</w:t>
      </w:r>
    </w:p>
    <w:p w14:paraId="7086439E" w14:textId="22DBE96B" w:rsidR="003F7F59" w:rsidRDefault="00D54D8B" w:rsidP="00D54D8B">
      <w:pPr>
        <w:spacing w:line="360" w:lineRule="auto"/>
        <w:rPr>
          <w:rFonts w:ascii="Arial" w:hAnsi="Arial" w:cs="Arial"/>
        </w:rPr>
      </w:pPr>
      <w:r w:rsidRPr="00743C24">
        <w:rPr>
          <w:rFonts w:ascii="Arial" w:hAnsi="Arial" w:cs="Arial"/>
        </w:rPr>
        <w:t>This analytical framework uses quantitative data (e.g. audit scores, timelines, and completion rates) allowing for a balanced evaluation of audit efficiency and effectiveness. It also supports trend analysis, enabling SEWS-E to benchmark performance across regions and identify systemic issues that require strategic intervention</w:t>
      </w:r>
      <w:r w:rsidR="008A5F86" w:rsidRPr="00743C24">
        <w:rPr>
          <w:rFonts w:ascii="Arial" w:hAnsi="Arial" w:cs="Arial"/>
        </w:rPr>
        <w:t>.</w:t>
      </w:r>
    </w:p>
    <w:p w14:paraId="4E544920" w14:textId="77777777" w:rsidR="003F11F1" w:rsidRPr="00743C24" w:rsidRDefault="003F11F1" w:rsidP="00D54D8B">
      <w:pPr>
        <w:spacing w:line="360" w:lineRule="auto"/>
        <w:rPr>
          <w:rFonts w:ascii="Arial" w:hAnsi="Arial" w:cs="Arial"/>
        </w:rPr>
      </w:pPr>
    </w:p>
    <w:p w14:paraId="0CC0EB8A" w14:textId="77777777" w:rsidR="00505C55" w:rsidRPr="00743C24" w:rsidRDefault="00505C55" w:rsidP="00E56E8E">
      <w:pPr>
        <w:pStyle w:val="Heading1"/>
        <w:rPr>
          <w:sz w:val="22"/>
          <w:szCs w:val="22"/>
        </w:rPr>
      </w:pPr>
      <w:bookmarkStart w:id="22" w:name="_Toc198120596"/>
      <w:r w:rsidRPr="00743C24">
        <w:rPr>
          <w:sz w:val="22"/>
          <w:szCs w:val="22"/>
        </w:rPr>
        <w:lastRenderedPageBreak/>
        <w:t>6. Work Carried Out</w:t>
      </w:r>
      <w:bookmarkEnd w:id="22"/>
    </w:p>
    <w:p w14:paraId="6018B7EA" w14:textId="77777777" w:rsidR="00505C55" w:rsidRPr="00743C24" w:rsidRDefault="00505C55" w:rsidP="00E56E8E">
      <w:pPr>
        <w:pStyle w:val="Heading2"/>
        <w:rPr>
          <w:szCs w:val="22"/>
        </w:rPr>
      </w:pPr>
      <w:bookmarkStart w:id="23" w:name="_Toc198120597"/>
      <w:r w:rsidRPr="00743C24">
        <w:rPr>
          <w:szCs w:val="22"/>
        </w:rPr>
        <w:t>6.1 Scope of Internal Audits Conducted</w:t>
      </w:r>
      <w:bookmarkEnd w:id="23"/>
    </w:p>
    <w:p w14:paraId="0524D6BF" w14:textId="487C5D92" w:rsidR="000D3970" w:rsidRPr="00743C24" w:rsidRDefault="000D3970" w:rsidP="000D3970">
      <w:pPr>
        <w:spacing w:line="360" w:lineRule="auto"/>
        <w:rPr>
          <w:rFonts w:ascii="Arial" w:hAnsi="Arial" w:cs="Arial"/>
        </w:rPr>
      </w:pPr>
      <w:r w:rsidRPr="00743C24">
        <w:rPr>
          <w:rFonts w:ascii="Arial" w:hAnsi="Arial" w:cs="Arial"/>
        </w:rPr>
        <w:t>As part of this study, internal audits were conducted across four key SEWS-E manufacturing sites: Egypt, Morocco, Romania, and Tunisia. These locations were selected due to their important role in SEWS-E’s global production network.</w:t>
      </w:r>
    </w:p>
    <w:p w14:paraId="7E782049" w14:textId="0B20FFCB" w:rsidR="000D3970" w:rsidRPr="00743C24" w:rsidRDefault="000D3970" w:rsidP="000D3970">
      <w:pPr>
        <w:spacing w:line="360" w:lineRule="auto"/>
        <w:rPr>
          <w:rFonts w:ascii="Arial" w:hAnsi="Arial" w:cs="Arial"/>
        </w:rPr>
      </w:pPr>
      <w:r w:rsidRPr="00743C24">
        <w:rPr>
          <w:rFonts w:ascii="Arial" w:hAnsi="Arial" w:cs="Arial"/>
        </w:rPr>
        <w:t xml:space="preserve">The audits focused specifically on machinery that had been transferred between sites in the period of 2023, and 2024, </w:t>
      </w:r>
      <w:r w:rsidR="00466496" w:rsidRPr="00743C24">
        <w:rPr>
          <w:rFonts w:ascii="Arial" w:hAnsi="Arial" w:cs="Arial"/>
        </w:rPr>
        <w:t>and</w:t>
      </w:r>
      <w:r w:rsidRPr="00743C24">
        <w:rPr>
          <w:rFonts w:ascii="Arial" w:hAnsi="Arial" w:cs="Arial"/>
        </w:rPr>
        <w:t xml:space="preserve"> any machinery in general, to get </w:t>
      </w:r>
      <w:r w:rsidR="0024259D" w:rsidRPr="00743C24">
        <w:rPr>
          <w:rFonts w:ascii="Arial" w:hAnsi="Arial" w:cs="Arial"/>
        </w:rPr>
        <w:t>an</w:t>
      </w:r>
      <w:r w:rsidRPr="00743C24">
        <w:rPr>
          <w:rFonts w:ascii="Arial" w:hAnsi="Arial" w:cs="Arial"/>
        </w:rPr>
        <w:t xml:space="preserve"> overall view of </w:t>
      </w:r>
      <w:r w:rsidR="0024259D" w:rsidRPr="00743C24">
        <w:rPr>
          <w:rFonts w:ascii="Arial" w:hAnsi="Arial" w:cs="Arial"/>
        </w:rPr>
        <w:t>important data</w:t>
      </w:r>
      <w:r w:rsidRPr="00743C24">
        <w:rPr>
          <w:rFonts w:ascii="Arial" w:hAnsi="Arial" w:cs="Arial"/>
        </w:rPr>
        <w:t xml:space="preserve">. A total of </w:t>
      </w:r>
      <w:r w:rsidR="0024259D" w:rsidRPr="00743C24">
        <w:rPr>
          <w:rFonts w:ascii="Arial" w:hAnsi="Arial" w:cs="Arial"/>
        </w:rPr>
        <w:t xml:space="preserve">10 </w:t>
      </w:r>
      <w:r w:rsidRPr="00743C24">
        <w:rPr>
          <w:rFonts w:ascii="Arial" w:hAnsi="Arial" w:cs="Arial"/>
        </w:rPr>
        <w:t>audit events were carried out, each aligned with SEWS-E’s internal audit calendar.</w:t>
      </w:r>
    </w:p>
    <w:tbl>
      <w:tblPr>
        <w:tblStyle w:val="TableGrid"/>
        <w:tblW w:w="0" w:type="auto"/>
        <w:tblLook w:val="04A0" w:firstRow="1" w:lastRow="0" w:firstColumn="1" w:lastColumn="0" w:noHBand="0" w:noVBand="1"/>
      </w:tblPr>
      <w:tblGrid>
        <w:gridCol w:w="1838"/>
        <w:gridCol w:w="1843"/>
        <w:gridCol w:w="1746"/>
        <w:gridCol w:w="1372"/>
        <w:gridCol w:w="1134"/>
        <w:gridCol w:w="1083"/>
      </w:tblGrid>
      <w:tr w:rsidR="0024259D" w:rsidRPr="00743C24" w14:paraId="5F592D05" w14:textId="77777777" w:rsidTr="0024259D">
        <w:trPr>
          <w:trHeight w:val="289"/>
        </w:trPr>
        <w:tc>
          <w:tcPr>
            <w:tcW w:w="1838" w:type="dxa"/>
            <w:shd w:val="clear" w:color="auto" w:fill="D9D9D9" w:themeFill="background1" w:themeFillShade="D9"/>
          </w:tcPr>
          <w:p w14:paraId="5320EAC3" w14:textId="4808CD7D" w:rsidR="0024259D" w:rsidRPr="00743C24" w:rsidRDefault="0024259D" w:rsidP="0024259D">
            <w:pPr>
              <w:spacing w:line="360" w:lineRule="auto"/>
              <w:jc w:val="center"/>
              <w:rPr>
                <w:rFonts w:ascii="Arial" w:hAnsi="Arial" w:cs="Arial"/>
                <w:b/>
                <w:bCs/>
              </w:rPr>
            </w:pPr>
            <w:r w:rsidRPr="00743C24">
              <w:rPr>
                <w:rFonts w:ascii="Arial" w:hAnsi="Arial" w:cs="Arial"/>
                <w:b/>
                <w:bCs/>
              </w:rPr>
              <w:t>Country</w:t>
            </w:r>
          </w:p>
        </w:tc>
        <w:tc>
          <w:tcPr>
            <w:tcW w:w="7178" w:type="dxa"/>
            <w:gridSpan w:val="5"/>
            <w:shd w:val="clear" w:color="auto" w:fill="D9D9D9" w:themeFill="background1" w:themeFillShade="D9"/>
          </w:tcPr>
          <w:p w14:paraId="30DB1248" w14:textId="31E424EB" w:rsidR="0024259D" w:rsidRPr="00743C24" w:rsidRDefault="0024259D" w:rsidP="0024259D">
            <w:pPr>
              <w:spacing w:line="360" w:lineRule="auto"/>
              <w:jc w:val="center"/>
              <w:rPr>
                <w:rFonts w:ascii="Arial" w:hAnsi="Arial" w:cs="Arial"/>
                <w:b/>
                <w:bCs/>
              </w:rPr>
            </w:pPr>
            <w:r w:rsidRPr="00743C24">
              <w:rPr>
                <w:rFonts w:ascii="Arial" w:hAnsi="Arial" w:cs="Arial"/>
                <w:b/>
                <w:bCs/>
              </w:rPr>
              <w:t>Site</w:t>
            </w:r>
          </w:p>
        </w:tc>
      </w:tr>
      <w:tr w:rsidR="0024259D" w:rsidRPr="00743C24" w14:paraId="112746F3" w14:textId="77777777" w:rsidTr="0024259D">
        <w:tc>
          <w:tcPr>
            <w:tcW w:w="1838" w:type="dxa"/>
            <w:shd w:val="clear" w:color="auto" w:fill="F2F2F2" w:themeFill="background1" w:themeFillShade="F2"/>
          </w:tcPr>
          <w:p w14:paraId="7B2102FD" w14:textId="381088B6" w:rsidR="0024259D" w:rsidRPr="00743C24" w:rsidRDefault="0024259D" w:rsidP="0024259D">
            <w:pPr>
              <w:spacing w:line="360" w:lineRule="auto"/>
              <w:jc w:val="center"/>
              <w:rPr>
                <w:rFonts w:ascii="Arial" w:hAnsi="Arial" w:cs="Arial"/>
                <w:b/>
                <w:bCs/>
              </w:rPr>
            </w:pPr>
            <w:r w:rsidRPr="00743C24">
              <w:rPr>
                <w:rFonts w:ascii="Arial" w:hAnsi="Arial" w:cs="Arial"/>
                <w:b/>
                <w:bCs/>
              </w:rPr>
              <w:t>Egypt</w:t>
            </w:r>
          </w:p>
        </w:tc>
        <w:tc>
          <w:tcPr>
            <w:tcW w:w="3589" w:type="dxa"/>
            <w:gridSpan w:val="2"/>
          </w:tcPr>
          <w:p w14:paraId="2055F0E0" w14:textId="13AEA064" w:rsidR="0024259D" w:rsidRPr="00743C24" w:rsidRDefault="0024259D" w:rsidP="0024259D">
            <w:pPr>
              <w:spacing w:line="360" w:lineRule="auto"/>
              <w:jc w:val="center"/>
              <w:rPr>
                <w:rFonts w:ascii="Arial" w:hAnsi="Arial" w:cs="Arial"/>
              </w:rPr>
            </w:pPr>
            <w:r w:rsidRPr="00743C24">
              <w:rPr>
                <w:rFonts w:ascii="Arial" w:hAnsi="Arial" w:cs="Arial"/>
              </w:rPr>
              <w:t>Cairo</w:t>
            </w:r>
          </w:p>
        </w:tc>
        <w:tc>
          <w:tcPr>
            <w:tcW w:w="3589" w:type="dxa"/>
            <w:gridSpan w:val="3"/>
          </w:tcPr>
          <w:p w14:paraId="3C7C8C83" w14:textId="4B1E5511" w:rsidR="0024259D" w:rsidRPr="00743C24" w:rsidRDefault="0024259D" w:rsidP="0024259D">
            <w:pPr>
              <w:spacing w:line="360" w:lineRule="auto"/>
              <w:jc w:val="center"/>
              <w:rPr>
                <w:rFonts w:ascii="Arial" w:hAnsi="Arial" w:cs="Arial"/>
              </w:rPr>
            </w:pPr>
            <w:r w:rsidRPr="00743C24">
              <w:rPr>
                <w:rFonts w:ascii="Arial" w:hAnsi="Arial" w:cs="Arial"/>
              </w:rPr>
              <w:t>Port Said</w:t>
            </w:r>
          </w:p>
        </w:tc>
      </w:tr>
      <w:tr w:rsidR="0024259D" w:rsidRPr="00743C24" w14:paraId="4A54F424" w14:textId="77777777" w:rsidTr="0024259D">
        <w:tc>
          <w:tcPr>
            <w:tcW w:w="1838" w:type="dxa"/>
            <w:shd w:val="clear" w:color="auto" w:fill="F2F2F2" w:themeFill="background1" w:themeFillShade="F2"/>
          </w:tcPr>
          <w:p w14:paraId="2AD98516" w14:textId="0A28801F" w:rsidR="0024259D" w:rsidRPr="00743C24" w:rsidRDefault="0024259D" w:rsidP="0024259D">
            <w:pPr>
              <w:spacing w:line="360" w:lineRule="auto"/>
              <w:jc w:val="center"/>
              <w:rPr>
                <w:rFonts w:ascii="Arial" w:hAnsi="Arial" w:cs="Arial"/>
                <w:b/>
                <w:bCs/>
              </w:rPr>
            </w:pPr>
            <w:r w:rsidRPr="00743C24">
              <w:rPr>
                <w:rFonts w:ascii="Arial" w:hAnsi="Arial" w:cs="Arial"/>
                <w:b/>
                <w:bCs/>
              </w:rPr>
              <w:t>Romania</w:t>
            </w:r>
          </w:p>
        </w:tc>
        <w:tc>
          <w:tcPr>
            <w:tcW w:w="3589" w:type="dxa"/>
            <w:gridSpan w:val="2"/>
          </w:tcPr>
          <w:p w14:paraId="5D605F72" w14:textId="79D497D8" w:rsidR="0024259D" w:rsidRPr="00743C24" w:rsidRDefault="0024259D" w:rsidP="0024259D">
            <w:pPr>
              <w:spacing w:line="360" w:lineRule="auto"/>
              <w:jc w:val="center"/>
              <w:rPr>
                <w:rFonts w:ascii="Arial" w:hAnsi="Arial" w:cs="Arial"/>
              </w:rPr>
            </w:pPr>
            <w:r w:rsidRPr="00743C24">
              <w:rPr>
                <w:rFonts w:ascii="Arial" w:hAnsi="Arial" w:cs="Arial"/>
              </w:rPr>
              <w:t>Deva</w:t>
            </w:r>
          </w:p>
        </w:tc>
        <w:tc>
          <w:tcPr>
            <w:tcW w:w="3589" w:type="dxa"/>
            <w:gridSpan w:val="3"/>
          </w:tcPr>
          <w:p w14:paraId="75D3684B" w14:textId="57AC0D40" w:rsidR="0024259D" w:rsidRPr="00743C24" w:rsidRDefault="0024259D" w:rsidP="0024259D">
            <w:pPr>
              <w:spacing w:line="360" w:lineRule="auto"/>
              <w:jc w:val="center"/>
              <w:rPr>
                <w:rFonts w:ascii="Arial" w:hAnsi="Arial" w:cs="Arial"/>
              </w:rPr>
            </w:pPr>
            <w:r w:rsidRPr="00743C24">
              <w:rPr>
                <w:rFonts w:ascii="Arial" w:hAnsi="Arial" w:cs="Arial"/>
              </w:rPr>
              <w:t>Alba Iulia</w:t>
            </w:r>
          </w:p>
        </w:tc>
      </w:tr>
      <w:tr w:rsidR="0024259D" w:rsidRPr="00743C24" w14:paraId="1E04D002" w14:textId="77777777" w:rsidTr="0024259D">
        <w:tc>
          <w:tcPr>
            <w:tcW w:w="1838" w:type="dxa"/>
            <w:shd w:val="clear" w:color="auto" w:fill="F2F2F2" w:themeFill="background1" w:themeFillShade="F2"/>
          </w:tcPr>
          <w:p w14:paraId="3826DC53" w14:textId="463FC9A2" w:rsidR="0024259D" w:rsidRPr="00743C24" w:rsidRDefault="0024259D" w:rsidP="0024259D">
            <w:pPr>
              <w:spacing w:line="360" w:lineRule="auto"/>
              <w:jc w:val="center"/>
              <w:rPr>
                <w:rFonts w:ascii="Arial" w:hAnsi="Arial" w:cs="Arial"/>
                <w:b/>
                <w:bCs/>
              </w:rPr>
            </w:pPr>
            <w:r w:rsidRPr="00743C24">
              <w:rPr>
                <w:rFonts w:ascii="Arial" w:hAnsi="Arial" w:cs="Arial"/>
                <w:b/>
                <w:bCs/>
              </w:rPr>
              <w:t>Tunisia</w:t>
            </w:r>
          </w:p>
        </w:tc>
        <w:tc>
          <w:tcPr>
            <w:tcW w:w="7178" w:type="dxa"/>
            <w:gridSpan w:val="5"/>
          </w:tcPr>
          <w:p w14:paraId="45DF2E6C" w14:textId="257E11E1" w:rsidR="0024259D" w:rsidRPr="00743C24" w:rsidRDefault="0024259D" w:rsidP="0024259D">
            <w:pPr>
              <w:spacing w:line="360" w:lineRule="auto"/>
              <w:jc w:val="center"/>
              <w:rPr>
                <w:rFonts w:ascii="Arial" w:hAnsi="Arial" w:cs="Arial"/>
              </w:rPr>
            </w:pPr>
            <w:r w:rsidRPr="00743C24">
              <w:rPr>
                <w:rFonts w:ascii="Arial" w:hAnsi="Arial" w:cs="Arial"/>
              </w:rPr>
              <w:t>Monastir</w:t>
            </w:r>
          </w:p>
        </w:tc>
      </w:tr>
      <w:tr w:rsidR="0024259D" w:rsidRPr="00743C24" w14:paraId="31D25601" w14:textId="77777777" w:rsidTr="0024259D">
        <w:tc>
          <w:tcPr>
            <w:tcW w:w="1838" w:type="dxa"/>
            <w:shd w:val="clear" w:color="auto" w:fill="F2F2F2" w:themeFill="background1" w:themeFillShade="F2"/>
          </w:tcPr>
          <w:p w14:paraId="2F715AD5" w14:textId="52A04367" w:rsidR="0024259D" w:rsidRPr="00743C24" w:rsidRDefault="0024259D" w:rsidP="0024259D">
            <w:pPr>
              <w:spacing w:line="360" w:lineRule="auto"/>
              <w:jc w:val="center"/>
              <w:rPr>
                <w:rFonts w:ascii="Arial" w:hAnsi="Arial" w:cs="Arial"/>
                <w:b/>
                <w:bCs/>
              </w:rPr>
            </w:pPr>
            <w:r w:rsidRPr="00743C24">
              <w:rPr>
                <w:rFonts w:ascii="Arial" w:hAnsi="Arial" w:cs="Arial"/>
                <w:b/>
                <w:bCs/>
              </w:rPr>
              <w:t>Morocco</w:t>
            </w:r>
          </w:p>
        </w:tc>
        <w:tc>
          <w:tcPr>
            <w:tcW w:w="1843" w:type="dxa"/>
          </w:tcPr>
          <w:p w14:paraId="40A6FD61" w14:textId="3ABB8B41" w:rsidR="0024259D" w:rsidRPr="00743C24" w:rsidRDefault="0024259D" w:rsidP="0024259D">
            <w:pPr>
              <w:spacing w:line="360" w:lineRule="auto"/>
              <w:jc w:val="center"/>
              <w:rPr>
                <w:rFonts w:ascii="Arial" w:hAnsi="Arial" w:cs="Arial"/>
              </w:rPr>
            </w:pPr>
            <w:r w:rsidRPr="00743C24">
              <w:rPr>
                <w:rFonts w:ascii="Arial" w:hAnsi="Arial" w:cs="Arial"/>
              </w:rPr>
              <w:t>Ain Aouda</w:t>
            </w:r>
          </w:p>
        </w:tc>
        <w:tc>
          <w:tcPr>
            <w:tcW w:w="1746" w:type="dxa"/>
          </w:tcPr>
          <w:p w14:paraId="6153579D" w14:textId="0EB9FE47" w:rsidR="0024259D" w:rsidRPr="00743C24" w:rsidRDefault="0024259D" w:rsidP="0024259D">
            <w:pPr>
              <w:spacing w:line="360" w:lineRule="auto"/>
              <w:jc w:val="center"/>
              <w:rPr>
                <w:rFonts w:ascii="Arial" w:hAnsi="Arial" w:cs="Arial"/>
              </w:rPr>
            </w:pPr>
            <w:r w:rsidRPr="00743C24">
              <w:rPr>
                <w:rFonts w:ascii="Arial" w:hAnsi="Arial" w:cs="Arial"/>
              </w:rPr>
              <w:t>Kenitra 1</w:t>
            </w:r>
          </w:p>
        </w:tc>
        <w:tc>
          <w:tcPr>
            <w:tcW w:w="1372" w:type="dxa"/>
          </w:tcPr>
          <w:p w14:paraId="55551905" w14:textId="03CC5B50" w:rsidR="0024259D" w:rsidRPr="00743C24" w:rsidRDefault="0024259D" w:rsidP="0024259D">
            <w:pPr>
              <w:spacing w:line="360" w:lineRule="auto"/>
              <w:jc w:val="center"/>
              <w:rPr>
                <w:rFonts w:ascii="Arial" w:hAnsi="Arial" w:cs="Arial"/>
              </w:rPr>
            </w:pPr>
            <w:r w:rsidRPr="00743C24">
              <w:rPr>
                <w:rFonts w:ascii="Arial" w:hAnsi="Arial" w:cs="Arial"/>
              </w:rPr>
              <w:t>Kenitra 2</w:t>
            </w:r>
          </w:p>
        </w:tc>
        <w:tc>
          <w:tcPr>
            <w:tcW w:w="1134" w:type="dxa"/>
          </w:tcPr>
          <w:p w14:paraId="53DADAD2" w14:textId="77777777" w:rsidR="0024259D" w:rsidRPr="00743C24" w:rsidRDefault="0024259D" w:rsidP="0024259D">
            <w:pPr>
              <w:spacing w:line="360" w:lineRule="auto"/>
              <w:jc w:val="center"/>
              <w:rPr>
                <w:rFonts w:ascii="Arial" w:hAnsi="Arial" w:cs="Arial"/>
              </w:rPr>
            </w:pPr>
            <w:r w:rsidRPr="00743C24">
              <w:rPr>
                <w:rFonts w:ascii="Arial" w:hAnsi="Arial" w:cs="Arial"/>
              </w:rPr>
              <w:t>MFZ</w:t>
            </w:r>
          </w:p>
        </w:tc>
        <w:tc>
          <w:tcPr>
            <w:tcW w:w="1083" w:type="dxa"/>
          </w:tcPr>
          <w:p w14:paraId="2AB661CA" w14:textId="26AA1052" w:rsidR="0024259D" w:rsidRPr="00743C24" w:rsidRDefault="0024259D" w:rsidP="0024259D">
            <w:pPr>
              <w:spacing w:line="360" w:lineRule="auto"/>
              <w:jc w:val="center"/>
              <w:rPr>
                <w:rFonts w:ascii="Arial" w:hAnsi="Arial" w:cs="Arial"/>
              </w:rPr>
            </w:pPr>
            <w:r w:rsidRPr="00743C24">
              <w:rPr>
                <w:rFonts w:ascii="Arial" w:hAnsi="Arial" w:cs="Arial"/>
              </w:rPr>
              <w:t>Skhirat</w:t>
            </w:r>
          </w:p>
        </w:tc>
      </w:tr>
    </w:tbl>
    <w:p w14:paraId="6B9AFB35" w14:textId="77EE1A0C" w:rsidR="0024259D" w:rsidRPr="00743C24" w:rsidRDefault="0024259D" w:rsidP="000D3970">
      <w:pPr>
        <w:spacing w:line="360" w:lineRule="auto"/>
        <w:rPr>
          <w:rFonts w:ascii="Arial" w:hAnsi="Arial" w:cs="Arial"/>
        </w:rPr>
      </w:pPr>
      <w:r w:rsidRPr="00743C24">
        <w:rPr>
          <w:rFonts w:ascii="Arial" w:hAnsi="Arial" w:cs="Arial"/>
          <w:color w:val="4472C4" w:themeColor="accent1"/>
        </w:rPr>
        <w:t>Table 4</w:t>
      </w:r>
      <w:r w:rsidRPr="00743C24">
        <w:rPr>
          <w:rFonts w:ascii="Arial" w:hAnsi="Arial" w:cs="Arial"/>
        </w:rPr>
        <w:t>. Sites Audited in Countries</w:t>
      </w:r>
    </w:p>
    <w:p w14:paraId="5B85E54C" w14:textId="69E2075B" w:rsidR="000D3970" w:rsidRPr="00743C24" w:rsidRDefault="000D3970" w:rsidP="000D3970">
      <w:pPr>
        <w:spacing w:line="360" w:lineRule="auto"/>
        <w:rPr>
          <w:rFonts w:ascii="Arial" w:hAnsi="Arial" w:cs="Arial"/>
        </w:rPr>
      </w:pPr>
      <w:r w:rsidRPr="00743C24">
        <w:rPr>
          <w:rFonts w:ascii="Arial" w:hAnsi="Arial" w:cs="Arial"/>
        </w:rPr>
        <w:t>Each audit involved a thorough evaluation of machinery conditions both before and after transfer, documentation, and compliance checks against internal standards. The audits also examined the availability and accuracy of key records such as maintenance logs, operator training documentation, and part inventories.</w:t>
      </w:r>
      <w:r w:rsidR="00E73E21" w:rsidRPr="00743C24">
        <w:rPr>
          <w:rFonts w:ascii="Arial" w:hAnsi="Arial" w:cs="Arial"/>
        </w:rPr>
        <w:t xml:space="preserve"> Not to mention the machinery that is </w:t>
      </w:r>
      <w:r w:rsidR="00583866" w:rsidRPr="00743C24">
        <w:rPr>
          <w:rFonts w:ascii="Arial" w:hAnsi="Arial" w:cs="Arial"/>
        </w:rPr>
        <w:t>being</w:t>
      </w:r>
      <w:r w:rsidR="00E73E21" w:rsidRPr="00743C24">
        <w:rPr>
          <w:rFonts w:ascii="Arial" w:hAnsi="Arial" w:cs="Arial"/>
        </w:rPr>
        <w:t xml:space="preserve"> audited, as seen below</w:t>
      </w:r>
      <w:r w:rsidR="008E0BBC" w:rsidRPr="00743C24">
        <w:rPr>
          <w:rFonts w:ascii="Arial" w:hAnsi="Arial" w:cs="Arial"/>
        </w:rPr>
        <w:t xml:space="preserve"> for 2024 audits</w:t>
      </w:r>
      <w:r w:rsidR="00E73E21" w:rsidRPr="00743C24">
        <w:rPr>
          <w:rFonts w:ascii="Arial" w:hAnsi="Arial" w:cs="Arial"/>
        </w:rPr>
        <w:t>:</w:t>
      </w:r>
    </w:p>
    <w:p w14:paraId="0FCA734D" w14:textId="363CD8FF" w:rsidR="00E73E21" w:rsidRPr="00743C24" w:rsidRDefault="00E73E21" w:rsidP="00E73E21">
      <w:pPr>
        <w:pStyle w:val="ListParagraph"/>
        <w:numPr>
          <w:ilvl w:val="0"/>
          <w:numId w:val="16"/>
        </w:numPr>
        <w:spacing w:line="360" w:lineRule="auto"/>
        <w:rPr>
          <w:rFonts w:ascii="Arial" w:hAnsi="Arial" w:cs="Arial"/>
        </w:rPr>
      </w:pPr>
      <w:r w:rsidRPr="00743C24">
        <w:rPr>
          <w:rFonts w:ascii="Arial" w:hAnsi="Arial" w:cs="Arial"/>
        </w:rPr>
        <w:t>C</w:t>
      </w:r>
      <w:r w:rsidR="00583866" w:rsidRPr="00743C24">
        <w:rPr>
          <w:rFonts w:ascii="Arial" w:hAnsi="Arial" w:cs="Arial"/>
        </w:rPr>
        <w:t xml:space="preserve">ut and </w:t>
      </w:r>
      <w:r w:rsidRPr="00743C24">
        <w:rPr>
          <w:rFonts w:ascii="Arial" w:hAnsi="Arial" w:cs="Arial"/>
        </w:rPr>
        <w:t>C</w:t>
      </w:r>
      <w:r w:rsidR="00583866" w:rsidRPr="00743C24">
        <w:rPr>
          <w:rFonts w:ascii="Arial" w:hAnsi="Arial" w:cs="Arial"/>
        </w:rPr>
        <w:t>rimp</w:t>
      </w:r>
      <w:r w:rsidRPr="00743C24">
        <w:rPr>
          <w:rFonts w:ascii="Arial" w:hAnsi="Arial" w:cs="Arial"/>
        </w:rPr>
        <w:t xml:space="preserve"> Machine (x6)</w:t>
      </w:r>
    </w:p>
    <w:p w14:paraId="7800B82F" w14:textId="5743B470" w:rsidR="00E73E21" w:rsidRPr="00743C24" w:rsidRDefault="00E73E21" w:rsidP="00E73E21">
      <w:pPr>
        <w:pStyle w:val="ListParagraph"/>
        <w:numPr>
          <w:ilvl w:val="0"/>
          <w:numId w:val="16"/>
        </w:numPr>
        <w:spacing w:line="360" w:lineRule="auto"/>
        <w:rPr>
          <w:rFonts w:ascii="Arial" w:hAnsi="Arial" w:cs="Arial"/>
        </w:rPr>
      </w:pPr>
      <w:r w:rsidRPr="00743C24">
        <w:rPr>
          <w:rFonts w:ascii="Arial" w:hAnsi="Arial" w:cs="Arial"/>
        </w:rPr>
        <w:t>U</w:t>
      </w:r>
      <w:r w:rsidR="00583866" w:rsidRPr="00743C24">
        <w:rPr>
          <w:rFonts w:ascii="Arial" w:hAnsi="Arial" w:cs="Arial"/>
        </w:rPr>
        <w:t xml:space="preserve">ltra </w:t>
      </w:r>
      <w:r w:rsidRPr="00743C24">
        <w:rPr>
          <w:rFonts w:ascii="Arial" w:hAnsi="Arial" w:cs="Arial"/>
        </w:rPr>
        <w:t>S</w:t>
      </w:r>
      <w:r w:rsidR="00583866" w:rsidRPr="00743C24">
        <w:rPr>
          <w:rFonts w:ascii="Arial" w:hAnsi="Arial" w:cs="Arial"/>
        </w:rPr>
        <w:t xml:space="preserve">onic </w:t>
      </w:r>
      <w:r w:rsidRPr="00743C24">
        <w:rPr>
          <w:rFonts w:ascii="Arial" w:hAnsi="Arial" w:cs="Arial"/>
        </w:rPr>
        <w:t>W</w:t>
      </w:r>
      <w:r w:rsidR="00583866" w:rsidRPr="00743C24">
        <w:rPr>
          <w:rFonts w:ascii="Arial" w:hAnsi="Arial" w:cs="Arial"/>
        </w:rPr>
        <w:t>elding Machine</w:t>
      </w:r>
      <w:r w:rsidRPr="00743C24">
        <w:rPr>
          <w:rFonts w:ascii="Arial" w:hAnsi="Arial" w:cs="Arial"/>
        </w:rPr>
        <w:t xml:space="preserve"> (x4)</w:t>
      </w:r>
    </w:p>
    <w:p w14:paraId="5A4B0B59" w14:textId="2596B028" w:rsidR="00E73E21" w:rsidRPr="00743C24" w:rsidRDefault="00E73E21" w:rsidP="00E73E21">
      <w:pPr>
        <w:pStyle w:val="ListParagraph"/>
        <w:numPr>
          <w:ilvl w:val="0"/>
          <w:numId w:val="16"/>
        </w:numPr>
        <w:spacing w:line="360" w:lineRule="auto"/>
        <w:rPr>
          <w:rFonts w:ascii="Arial" w:hAnsi="Arial" w:cs="Arial"/>
        </w:rPr>
      </w:pPr>
      <w:r w:rsidRPr="00743C24">
        <w:rPr>
          <w:rFonts w:ascii="Arial" w:hAnsi="Arial" w:cs="Arial"/>
        </w:rPr>
        <w:t>Applicators (x4)</w:t>
      </w:r>
    </w:p>
    <w:p w14:paraId="5A05C660" w14:textId="583C392D" w:rsidR="00E73E21" w:rsidRPr="00743C24" w:rsidRDefault="00E73E21" w:rsidP="00E73E21">
      <w:pPr>
        <w:pStyle w:val="ListParagraph"/>
        <w:numPr>
          <w:ilvl w:val="0"/>
          <w:numId w:val="16"/>
        </w:numPr>
        <w:spacing w:line="360" w:lineRule="auto"/>
        <w:rPr>
          <w:rFonts w:ascii="Arial" w:hAnsi="Arial" w:cs="Arial"/>
        </w:rPr>
      </w:pPr>
      <w:r w:rsidRPr="00743C24">
        <w:rPr>
          <w:rFonts w:ascii="Arial" w:hAnsi="Arial" w:cs="Arial"/>
        </w:rPr>
        <w:t>Manual Twist</w:t>
      </w:r>
      <w:r w:rsidR="00583866" w:rsidRPr="00743C24">
        <w:rPr>
          <w:rFonts w:ascii="Arial" w:hAnsi="Arial" w:cs="Arial"/>
        </w:rPr>
        <w:t xml:space="preserve"> Machine</w:t>
      </w:r>
      <w:r w:rsidRPr="00743C24">
        <w:rPr>
          <w:rFonts w:ascii="Arial" w:hAnsi="Arial" w:cs="Arial"/>
        </w:rPr>
        <w:t xml:space="preserve"> (x1)</w:t>
      </w:r>
    </w:p>
    <w:p w14:paraId="60A44E20" w14:textId="19634A8C" w:rsidR="00E73E21" w:rsidRPr="00743C24" w:rsidRDefault="00E73E21" w:rsidP="00E73E21">
      <w:pPr>
        <w:pStyle w:val="ListParagraph"/>
        <w:numPr>
          <w:ilvl w:val="0"/>
          <w:numId w:val="16"/>
        </w:numPr>
        <w:spacing w:line="360" w:lineRule="auto"/>
        <w:rPr>
          <w:rFonts w:ascii="Arial" w:hAnsi="Arial" w:cs="Arial"/>
        </w:rPr>
      </w:pPr>
      <w:r w:rsidRPr="00743C24">
        <w:rPr>
          <w:rFonts w:ascii="Arial" w:hAnsi="Arial" w:cs="Arial"/>
        </w:rPr>
        <w:t>Kappa</w:t>
      </w:r>
      <w:r w:rsidR="00583866" w:rsidRPr="00743C24">
        <w:rPr>
          <w:rFonts w:ascii="Arial" w:hAnsi="Arial" w:cs="Arial"/>
        </w:rPr>
        <w:t xml:space="preserve"> Machine</w:t>
      </w:r>
      <w:r w:rsidRPr="00743C24">
        <w:rPr>
          <w:rFonts w:ascii="Arial" w:hAnsi="Arial" w:cs="Arial"/>
        </w:rPr>
        <w:t xml:space="preserve"> (x1)</w:t>
      </w:r>
    </w:p>
    <w:p w14:paraId="5BF424F8" w14:textId="6BD4A17A" w:rsidR="00E73E21" w:rsidRPr="00743C24" w:rsidRDefault="00E73E21" w:rsidP="00E73E21">
      <w:pPr>
        <w:pStyle w:val="ListParagraph"/>
        <w:numPr>
          <w:ilvl w:val="0"/>
          <w:numId w:val="16"/>
        </w:numPr>
        <w:spacing w:line="360" w:lineRule="auto"/>
        <w:rPr>
          <w:rFonts w:ascii="Arial" w:hAnsi="Arial" w:cs="Arial"/>
        </w:rPr>
      </w:pPr>
      <w:r w:rsidRPr="00743C24">
        <w:rPr>
          <w:rFonts w:ascii="Arial" w:hAnsi="Arial" w:cs="Arial"/>
        </w:rPr>
        <w:t>SUB Splice Press (x4)</w:t>
      </w:r>
    </w:p>
    <w:p w14:paraId="210D4BAB" w14:textId="0F2E3D3E" w:rsidR="000D3970" w:rsidRPr="00743C24" w:rsidRDefault="000D3970" w:rsidP="000D3970">
      <w:pPr>
        <w:spacing w:line="360" w:lineRule="auto"/>
        <w:rPr>
          <w:rFonts w:ascii="Arial" w:hAnsi="Arial" w:cs="Arial"/>
        </w:rPr>
      </w:pPr>
      <w:r w:rsidRPr="00743C24">
        <w:rPr>
          <w:rFonts w:ascii="Arial" w:hAnsi="Arial" w:cs="Arial"/>
        </w:rPr>
        <w:t>By limiting the scope to machinery transfers and not broader production or quality audits, the study ensured a focused and consistent evaluation across all participating sites. This approach also allowed for cross-location comparison and identification of recurring transfer-related issues</w:t>
      </w:r>
      <w:r w:rsidR="00E653C1" w:rsidRPr="00743C24">
        <w:rPr>
          <w:rFonts w:ascii="Arial" w:hAnsi="Arial" w:cs="Arial"/>
        </w:rPr>
        <w:t>, which is what you will see in chapter 7. Comparative Analysis.</w:t>
      </w:r>
    </w:p>
    <w:p w14:paraId="553FA09F" w14:textId="77777777" w:rsidR="000D3970" w:rsidRPr="00743C24" w:rsidRDefault="000D3970" w:rsidP="000D3970">
      <w:pPr>
        <w:rPr>
          <w:rFonts w:ascii="Arial" w:hAnsi="Arial" w:cs="Arial"/>
        </w:rPr>
      </w:pPr>
    </w:p>
    <w:p w14:paraId="68C6C0AB" w14:textId="77777777" w:rsidR="0059479D" w:rsidRDefault="0059479D" w:rsidP="000D3970">
      <w:pPr>
        <w:rPr>
          <w:rFonts w:ascii="Arial" w:hAnsi="Arial" w:cs="Arial"/>
        </w:rPr>
      </w:pPr>
    </w:p>
    <w:p w14:paraId="5275280E" w14:textId="77777777" w:rsidR="00743C24" w:rsidRPr="00743C24" w:rsidRDefault="00743C24" w:rsidP="000D3970">
      <w:pPr>
        <w:rPr>
          <w:rFonts w:ascii="Arial" w:hAnsi="Arial" w:cs="Arial"/>
        </w:rPr>
      </w:pPr>
    </w:p>
    <w:p w14:paraId="2F548159" w14:textId="78F14CAB" w:rsidR="00505C55" w:rsidRPr="00743C24" w:rsidRDefault="00505C55" w:rsidP="00213000">
      <w:pPr>
        <w:pStyle w:val="Heading2"/>
        <w:rPr>
          <w:szCs w:val="22"/>
        </w:rPr>
      </w:pPr>
      <w:bookmarkStart w:id="24" w:name="_Toc198120598"/>
      <w:r w:rsidRPr="00743C24">
        <w:rPr>
          <w:szCs w:val="22"/>
        </w:rPr>
        <w:lastRenderedPageBreak/>
        <w:t>6.2 Audit Criteria</w:t>
      </w:r>
      <w:bookmarkEnd w:id="24"/>
    </w:p>
    <w:p w14:paraId="78CF9EEA" w14:textId="49A47998" w:rsidR="00CB5183" w:rsidRPr="00743C24" w:rsidRDefault="00CB5183" w:rsidP="00213000">
      <w:pPr>
        <w:spacing w:line="360" w:lineRule="auto"/>
        <w:rPr>
          <w:rFonts w:ascii="Arial" w:hAnsi="Arial" w:cs="Arial"/>
        </w:rPr>
      </w:pPr>
      <w:r w:rsidRPr="00743C24">
        <w:rPr>
          <w:rFonts w:ascii="Arial" w:hAnsi="Arial" w:cs="Arial"/>
        </w:rPr>
        <w:t>Full versions of the audit documents (74392 and 74393) are maintained within SEWS-E’s Quality Document Management System. For reference, key sections have been extracted and included in Appendices A and B of this dissertation to demonstrate how judgement criteria, scoring methodology, and corrective action expectations are applied during internal audits</w:t>
      </w:r>
      <w:r w:rsidR="0059479D" w:rsidRPr="00743C24">
        <w:rPr>
          <w:rFonts w:ascii="Arial" w:hAnsi="Arial" w:cs="Arial"/>
        </w:rPr>
        <w:t>.</w:t>
      </w:r>
    </w:p>
    <w:p w14:paraId="431B236A" w14:textId="66008835" w:rsidR="00CB5183" w:rsidRPr="00743C24" w:rsidRDefault="00CB5183" w:rsidP="00CB5183">
      <w:pPr>
        <w:spacing w:line="360" w:lineRule="auto"/>
        <w:jc w:val="center"/>
        <w:rPr>
          <w:rFonts w:ascii="Arial" w:hAnsi="Arial" w:cs="Arial"/>
          <w:b/>
          <w:bCs/>
          <w:color w:val="538135" w:themeColor="accent6" w:themeShade="BF"/>
        </w:rPr>
      </w:pPr>
      <w:r w:rsidRPr="00743C24">
        <w:rPr>
          <w:rFonts w:ascii="Arial" w:hAnsi="Arial" w:cs="Arial"/>
          <w:b/>
          <w:bCs/>
          <w:color w:val="538135" w:themeColor="accent6" w:themeShade="BF"/>
        </w:rPr>
        <w:t>Appendices A - 74392 Audit Check-Sheet</w:t>
      </w:r>
    </w:p>
    <w:p w14:paraId="03241973" w14:textId="0C569E6D" w:rsidR="00CB5183" w:rsidRPr="008860A3" w:rsidRDefault="00CB5183" w:rsidP="008860A3">
      <w:pPr>
        <w:spacing w:line="360" w:lineRule="auto"/>
        <w:jc w:val="center"/>
        <w:rPr>
          <w:rFonts w:ascii="Arial" w:hAnsi="Arial" w:cs="Arial"/>
          <w:b/>
          <w:bCs/>
          <w:color w:val="C00000"/>
        </w:rPr>
      </w:pPr>
      <w:r w:rsidRPr="00743C24">
        <w:rPr>
          <w:rFonts w:ascii="Arial" w:hAnsi="Arial" w:cs="Arial"/>
          <w:b/>
          <w:bCs/>
          <w:color w:val="C00000"/>
        </w:rPr>
        <w:t>Appendices B - 74393 Audit Standard</w:t>
      </w:r>
    </w:p>
    <w:p w14:paraId="600324F3" w14:textId="5E41B0F8" w:rsidR="00161EA9" w:rsidRPr="008860A3" w:rsidRDefault="00161EA9" w:rsidP="00161EA9">
      <w:pPr>
        <w:spacing w:line="360" w:lineRule="auto"/>
        <w:rPr>
          <w:rFonts w:ascii="Arial" w:hAnsi="Arial" w:cs="Arial"/>
        </w:rPr>
      </w:pPr>
      <w:r w:rsidRPr="00743C24">
        <w:rPr>
          <w:rFonts w:ascii="Arial" w:hAnsi="Arial" w:cs="Arial"/>
        </w:rPr>
        <w:t>These documents provide the judgment criteria, assessment structure, and required post-audit procedures that form the basis for evaluating the condition and compliance of transferred machinery</w:t>
      </w:r>
    </w:p>
    <w:p w14:paraId="64AA9A34" w14:textId="38C7B1F7" w:rsidR="00161EA9" w:rsidRPr="00743C24" w:rsidRDefault="008E0BBC" w:rsidP="00161EA9">
      <w:pPr>
        <w:spacing w:line="360" w:lineRule="auto"/>
        <w:rPr>
          <w:rFonts w:ascii="Arial" w:hAnsi="Arial" w:cs="Arial"/>
          <w:b/>
          <w:bCs/>
        </w:rPr>
      </w:pPr>
      <w:r w:rsidRPr="00743C24">
        <w:rPr>
          <w:rFonts w:ascii="Arial" w:hAnsi="Arial" w:cs="Arial"/>
          <w:b/>
          <w:bCs/>
        </w:rPr>
        <w:t>Audit Check-Sheet 74392</w:t>
      </w:r>
    </w:p>
    <w:p w14:paraId="46F3E0D4" w14:textId="378B6B9B" w:rsidR="00541226" w:rsidRPr="00743C24" w:rsidRDefault="00161EA9" w:rsidP="00161EA9">
      <w:pPr>
        <w:spacing w:line="360" w:lineRule="auto"/>
        <w:rPr>
          <w:rFonts w:ascii="Arial" w:hAnsi="Arial" w:cs="Arial"/>
        </w:rPr>
      </w:pPr>
      <w:r w:rsidRPr="00743C24">
        <w:rPr>
          <w:rFonts w:ascii="Arial" w:hAnsi="Arial" w:cs="Arial"/>
        </w:rPr>
        <w:t>The check-sheet applies a binary scoring method, where:</w:t>
      </w:r>
    </w:p>
    <w:p w14:paraId="2EE9E984" w14:textId="348B6C8F" w:rsidR="00161EA9" w:rsidRPr="00743C24" w:rsidRDefault="00161EA9" w:rsidP="00161EA9">
      <w:pPr>
        <w:pStyle w:val="ListParagraph"/>
        <w:numPr>
          <w:ilvl w:val="0"/>
          <w:numId w:val="19"/>
        </w:numPr>
        <w:spacing w:line="360" w:lineRule="auto"/>
        <w:rPr>
          <w:rFonts w:ascii="Arial" w:hAnsi="Arial" w:cs="Arial"/>
        </w:rPr>
      </w:pPr>
      <w:r w:rsidRPr="00743C24">
        <w:rPr>
          <w:rFonts w:ascii="Arial" w:hAnsi="Arial" w:cs="Arial"/>
        </w:rPr>
        <w:t>OK = 1 (Compliant)</w:t>
      </w:r>
    </w:p>
    <w:p w14:paraId="48098068" w14:textId="7554A209" w:rsidR="00161EA9" w:rsidRPr="00743C24" w:rsidRDefault="00161EA9" w:rsidP="00161EA9">
      <w:pPr>
        <w:pStyle w:val="ListParagraph"/>
        <w:numPr>
          <w:ilvl w:val="0"/>
          <w:numId w:val="19"/>
        </w:numPr>
        <w:spacing w:line="360" w:lineRule="auto"/>
        <w:rPr>
          <w:rFonts w:ascii="Arial" w:hAnsi="Arial" w:cs="Arial"/>
        </w:rPr>
      </w:pPr>
      <w:r w:rsidRPr="00743C24">
        <w:rPr>
          <w:rFonts w:ascii="Arial" w:hAnsi="Arial" w:cs="Arial"/>
        </w:rPr>
        <w:t>NOK=0 (Non-Compliant)</w:t>
      </w:r>
    </w:p>
    <w:p w14:paraId="55441054" w14:textId="772E5897" w:rsidR="00161EA9" w:rsidRPr="00743C24" w:rsidRDefault="00161EA9" w:rsidP="00161EA9">
      <w:pPr>
        <w:spacing w:line="360" w:lineRule="auto"/>
        <w:rPr>
          <w:rFonts w:ascii="Arial" w:hAnsi="Arial" w:cs="Arial"/>
        </w:rPr>
      </w:pPr>
      <w:r w:rsidRPr="00743C24">
        <w:rPr>
          <w:rFonts w:ascii="Arial" w:hAnsi="Arial" w:cs="Arial"/>
        </w:rPr>
        <w:t>Audited items can also be grouped into 4 core categories:</w:t>
      </w:r>
    </w:p>
    <w:p w14:paraId="1390C30D" w14:textId="2D8FB65C" w:rsidR="00541226" w:rsidRPr="00743C24" w:rsidRDefault="00541226" w:rsidP="00541226">
      <w:pPr>
        <w:pStyle w:val="ListParagraph"/>
        <w:numPr>
          <w:ilvl w:val="0"/>
          <w:numId w:val="18"/>
        </w:numPr>
        <w:spacing w:line="360" w:lineRule="auto"/>
        <w:rPr>
          <w:rFonts w:ascii="Arial" w:hAnsi="Arial" w:cs="Arial"/>
        </w:rPr>
      </w:pPr>
      <w:r w:rsidRPr="00743C24">
        <w:rPr>
          <w:rFonts w:ascii="Arial" w:hAnsi="Arial" w:cs="Arial"/>
        </w:rPr>
        <w:t>Health and Safety</w:t>
      </w:r>
    </w:p>
    <w:p w14:paraId="4AEA2B72" w14:textId="714E95FD" w:rsidR="00541226" w:rsidRPr="00743C24" w:rsidRDefault="00541226" w:rsidP="00541226">
      <w:pPr>
        <w:pStyle w:val="ListParagraph"/>
        <w:numPr>
          <w:ilvl w:val="0"/>
          <w:numId w:val="18"/>
        </w:numPr>
        <w:spacing w:line="360" w:lineRule="auto"/>
        <w:rPr>
          <w:rFonts w:ascii="Arial" w:hAnsi="Arial" w:cs="Arial"/>
        </w:rPr>
      </w:pPr>
      <w:r w:rsidRPr="00743C24">
        <w:rPr>
          <w:rFonts w:ascii="Arial" w:hAnsi="Arial" w:cs="Arial"/>
        </w:rPr>
        <w:t>Quality</w:t>
      </w:r>
    </w:p>
    <w:p w14:paraId="2D7C71D6" w14:textId="46759F6F" w:rsidR="00541226" w:rsidRPr="00743C24" w:rsidRDefault="00541226" w:rsidP="00541226">
      <w:pPr>
        <w:pStyle w:val="ListParagraph"/>
        <w:numPr>
          <w:ilvl w:val="0"/>
          <w:numId w:val="18"/>
        </w:numPr>
        <w:spacing w:line="360" w:lineRule="auto"/>
        <w:rPr>
          <w:rFonts w:ascii="Arial" w:hAnsi="Arial" w:cs="Arial"/>
        </w:rPr>
      </w:pPr>
      <w:r w:rsidRPr="00743C24">
        <w:rPr>
          <w:rFonts w:ascii="Arial" w:hAnsi="Arial" w:cs="Arial"/>
        </w:rPr>
        <w:t>General Condition</w:t>
      </w:r>
    </w:p>
    <w:p w14:paraId="4016765D" w14:textId="722BA790" w:rsidR="00161EA9" w:rsidRPr="008860A3" w:rsidRDefault="00541226" w:rsidP="00541226">
      <w:pPr>
        <w:pStyle w:val="ListParagraph"/>
        <w:numPr>
          <w:ilvl w:val="0"/>
          <w:numId w:val="18"/>
        </w:numPr>
        <w:spacing w:line="360" w:lineRule="auto"/>
        <w:rPr>
          <w:rFonts w:ascii="Arial" w:hAnsi="Arial" w:cs="Arial"/>
        </w:rPr>
      </w:pPr>
      <w:r w:rsidRPr="00743C24">
        <w:rPr>
          <w:rFonts w:ascii="Arial" w:hAnsi="Arial" w:cs="Arial"/>
        </w:rPr>
        <w:t>Spare Parts</w:t>
      </w:r>
    </w:p>
    <w:p w14:paraId="1FF97C77" w14:textId="5E48FCC5" w:rsidR="00541226" w:rsidRDefault="008860A3" w:rsidP="00541226">
      <w:pPr>
        <w:spacing w:line="360" w:lineRule="auto"/>
        <w:rPr>
          <w:rFonts w:ascii="Arial" w:hAnsi="Arial" w:cs="Arial"/>
        </w:rPr>
      </w:pPr>
      <w:r w:rsidRPr="001A1EF8">
        <w:rPr>
          <w:rFonts w:ascii="Arial" w:hAnsi="Arial" w:cs="Arial"/>
          <w:noProof/>
          <w:sz w:val="20"/>
          <w:szCs w:val="20"/>
        </w:rPr>
        <w:drawing>
          <wp:anchor distT="0" distB="0" distL="114300" distR="114300" simplePos="0" relativeHeight="251688960" behindDoc="1" locked="0" layoutInCell="1" allowOverlap="1" wp14:anchorId="1CF422E6" wp14:editId="77CE51E3">
            <wp:simplePos x="0" y="0"/>
            <wp:positionH relativeFrom="margin">
              <wp:align>center</wp:align>
            </wp:positionH>
            <wp:positionV relativeFrom="paragraph">
              <wp:posOffset>719686</wp:posOffset>
            </wp:positionV>
            <wp:extent cx="7042505" cy="2721148"/>
            <wp:effectExtent l="0" t="0" r="6350" b="3175"/>
            <wp:wrapNone/>
            <wp:docPr id="123790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048375"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042505" cy="2721148"/>
                    </a:xfrm>
                    <a:prstGeom prst="rect">
                      <a:avLst/>
                    </a:prstGeom>
                  </pic:spPr>
                </pic:pic>
              </a:graphicData>
            </a:graphic>
            <wp14:sizeRelH relativeFrom="margin">
              <wp14:pctWidth>0</wp14:pctWidth>
            </wp14:sizeRelH>
            <wp14:sizeRelV relativeFrom="margin">
              <wp14:pctHeight>0</wp14:pctHeight>
            </wp14:sizeRelV>
          </wp:anchor>
        </w:drawing>
      </w:r>
      <w:r w:rsidR="00161EA9" w:rsidRPr="00743C24">
        <w:rPr>
          <w:rFonts w:ascii="Arial" w:hAnsi="Arial" w:cs="Arial"/>
        </w:rPr>
        <w:t>This structure enables comparative analysis of audit performance across machinery types and sites.</w:t>
      </w:r>
      <w:r>
        <w:rPr>
          <w:rFonts w:ascii="Arial" w:hAnsi="Arial" w:cs="Arial"/>
        </w:rPr>
        <w:t xml:space="preserve"> Example of ‘</w:t>
      </w:r>
      <w:r w:rsidRPr="008860A3">
        <w:rPr>
          <w:rFonts w:ascii="Arial" w:hAnsi="Arial" w:cs="Arial"/>
          <w:color w:val="C45911" w:themeColor="accent2" w:themeShade="BF"/>
        </w:rPr>
        <w:t>Manual Twist</w:t>
      </w:r>
      <w:r>
        <w:rPr>
          <w:rFonts w:ascii="Arial" w:hAnsi="Arial" w:cs="Arial"/>
        </w:rPr>
        <w:t>’ check list below:</w:t>
      </w:r>
    </w:p>
    <w:p w14:paraId="029100FF" w14:textId="3083B7D8" w:rsidR="008860A3" w:rsidRPr="00743C24" w:rsidRDefault="008860A3" w:rsidP="00541226">
      <w:pPr>
        <w:spacing w:line="360" w:lineRule="auto"/>
        <w:rPr>
          <w:rFonts w:ascii="Arial" w:hAnsi="Arial" w:cs="Arial"/>
        </w:rPr>
      </w:pPr>
    </w:p>
    <w:p w14:paraId="29829CA9" w14:textId="0847602F" w:rsidR="00161EA9" w:rsidRPr="00743C24" w:rsidRDefault="00161EA9" w:rsidP="00161EA9">
      <w:pPr>
        <w:spacing w:line="360" w:lineRule="auto"/>
        <w:rPr>
          <w:rFonts w:ascii="Arial" w:hAnsi="Arial" w:cs="Arial"/>
        </w:rPr>
      </w:pPr>
    </w:p>
    <w:p w14:paraId="0655BE48" w14:textId="48AAFE4C" w:rsidR="00161EA9" w:rsidRPr="00743C24" w:rsidRDefault="00161EA9" w:rsidP="00161EA9">
      <w:pPr>
        <w:spacing w:line="360" w:lineRule="auto"/>
        <w:rPr>
          <w:rFonts w:ascii="Arial" w:hAnsi="Arial" w:cs="Arial"/>
        </w:rPr>
      </w:pPr>
    </w:p>
    <w:p w14:paraId="7D2AF383" w14:textId="77777777" w:rsidR="00CB5183" w:rsidRPr="00743C24" w:rsidRDefault="00CB5183" w:rsidP="00161EA9">
      <w:pPr>
        <w:spacing w:line="360" w:lineRule="auto"/>
        <w:rPr>
          <w:rFonts w:ascii="Arial" w:hAnsi="Arial" w:cs="Arial"/>
        </w:rPr>
      </w:pPr>
    </w:p>
    <w:p w14:paraId="05CFC65E" w14:textId="77777777" w:rsidR="00161EA9" w:rsidRPr="00743C24" w:rsidRDefault="00161EA9" w:rsidP="00161EA9">
      <w:pPr>
        <w:spacing w:line="360" w:lineRule="auto"/>
        <w:rPr>
          <w:rFonts w:ascii="Arial" w:hAnsi="Arial" w:cs="Arial"/>
        </w:rPr>
      </w:pPr>
    </w:p>
    <w:p w14:paraId="5910DE55" w14:textId="77777777" w:rsidR="00161EA9" w:rsidRPr="00743C24" w:rsidRDefault="00161EA9" w:rsidP="00161EA9">
      <w:pPr>
        <w:spacing w:line="360" w:lineRule="auto"/>
        <w:rPr>
          <w:rFonts w:ascii="Arial" w:hAnsi="Arial" w:cs="Arial"/>
        </w:rPr>
      </w:pPr>
    </w:p>
    <w:p w14:paraId="6F2FE0A3" w14:textId="77777777" w:rsidR="00A66493" w:rsidRDefault="00A66493" w:rsidP="00161EA9">
      <w:pPr>
        <w:spacing w:line="360" w:lineRule="auto"/>
        <w:rPr>
          <w:rFonts w:ascii="Arial" w:hAnsi="Arial" w:cs="Arial"/>
          <w:b/>
          <w:bCs/>
        </w:rPr>
      </w:pPr>
    </w:p>
    <w:p w14:paraId="26C1CFD5" w14:textId="4D3E6EDD" w:rsidR="00161EA9" w:rsidRPr="00743C24" w:rsidRDefault="00161EA9" w:rsidP="00161EA9">
      <w:pPr>
        <w:spacing w:line="360" w:lineRule="auto"/>
        <w:rPr>
          <w:rFonts w:ascii="Arial" w:hAnsi="Arial" w:cs="Arial"/>
          <w:b/>
          <w:bCs/>
        </w:rPr>
      </w:pPr>
      <w:r w:rsidRPr="00743C24">
        <w:rPr>
          <w:rFonts w:ascii="Arial" w:hAnsi="Arial" w:cs="Arial"/>
          <w:b/>
          <w:bCs/>
        </w:rPr>
        <w:lastRenderedPageBreak/>
        <w:t xml:space="preserve">Audit </w:t>
      </w:r>
      <w:r w:rsidR="0059479D" w:rsidRPr="00743C24">
        <w:rPr>
          <w:rFonts w:ascii="Arial" w:hAnsi="Arial" w:cs="Arial"/>
          <w:b/>
          <w:bCs/>
        </w:rPr>
        <w:t>Standard 74393</w:t>
      </w:r>
    </w:p>
    <w:p w14:paraId="04979932" w14:textId="744EE24C" w:rsidR="00161EA9" w:rsidRPr="00743C24" w:rsidRDefault="00161EA9" w:rsidP="00161EA9">
      <w:pPr>
        <w:spacing w:line="360" w:lineRule="auto"/>
        <w:rPr>
          <w:rFonts w:ascii="Arial" w:hAnsi="Arial" w:cs="Arial"/>
        </w:rPr>
      </w:pPr>
      <w:r w:rsidRPr="00743C24">
        <w:rPr>
          <w:rFonts w:ascii="Arial" w:hAnsi="Arial" w:cs="Arial"/>
        </w:rPr>
        <w:t>This document outlines broader procedural requirements, including:</w:t>
      </w:r>
    </w:p>
    <w:p w14:paraId="2132D6EE" w14:textId="5A8FB4A9" w:rsidR="00161EA9" w:rsidRPr="00743C24" w:rsidRDefault="00161EA9" w:rsidP="00161EA9">
      <w:pPr>
        <w:pStyle w:val="ListParagraph"/>
        <w:numPr>
          <w:ilvl w:val="0"/>
          <w:numId w:val="20"/>
        </w:numPr>
        <w:spacing w:line="360" w:lineRule="auto"/>
        <w:rPr>
          <w:rFonts w:ascii="Arial" w:hAnsi="Arial" w:cs="Arial"/>
        </w:rPr>
      </w:pPr>
      <w:r w:rsidRPr="00743C24">
        <w:rPr>
          <w:rFonts w:ascii="Arial" w:hAnsi="Arial" w:cs="Arial"/>
        </w:rPr>
        <w:t>Completion of a Corrective Action Plan within 90 days of the audit date</w:t>
      </w:r>
    </w:p>
    <w:p w14:paraId="6F21D935" w14:textId="098A4BC9" w:rsidR="00161EA9" w:rsidRPr="00743C24" w:rsidRDefault="00161EA9" w:rsidP="00161EA9">
      <w:pPr>
        <w:pStyle w:val="ListParagraph"/>
        <w:numPr>
          <w:ilvl w:val="0"/>
          <w:numId w:val="20"/>
        </w:numPr>
        <w:spacing w:line="360" w:lineRule="auto"/>
        <w:rPr>
          <w:rFonts w:ascii="Arial" w:hAnsi="Arial" w:cs="Arial"/>
        </w:rPr>
      </w:pPr>
      <w:r w:rsidRPr="00743C24">
        <w:rPr>
          <w:rFonts w:ascii="Arial" w:hAnsi="Arial" w:cs="Arial"/>
        </w:rPr>
        <w:t>Submission of a monthly status report on unresolved non-conformities</w:t>
      </w:r>
    </w:p>
    <w:p w14:paraId="19DDCDD7" w14:textId="0096B467" w:rsidR="0059479D" w:rsidRPr="00743C24" w:rsidRDefault="00161EA9" w:rsidP="00161EA9">
      <w:pPr>
        <w:pStyle w:val="ListParagraph"/>
        <w:numPr>
          <w:ilvl w:val="0"/>
          <w:numId w:val="20"/>
        </w:numPr>
        <w:spacing w:line="360" w:lineRule="auto"/>
        <w:rPr>
          <w:rFonts w:ascii="Arial" w:hAnsi="Arial" w:cs="Arial"/>
        </w:rPr>
      </w:pPr>
      <w:r w:rsidRPr="00743C24">
        <w:rPr>
          <w:rFonts w:ascii="Arial" w:hAnsi="Arial" w:cs="Arial"/>
        </w:rPr>
        <w:t>Escalation to weekly reports if corrective actions extend beyond the 90-day window, requiring written justification</w:t>
      </w:r>
      <w:r w:rsidR="0059479D" w:rsidRPr="00743C24">
        <w:rPr>
          <w:rFonts w:ascii="Arial" w:hAnsi="Arial" w:cs="Arial"/>
        </w:rPr>
        <w:t>.</w:t>
      </w:r>
    </w:p>
    <w:p w14:paraId="3418ECE9" w14:textId="3D3F1FFA" w:rsidR="0059479D" w:rsidRPr="00743C24" w:rsidRDefault="0059479D" w:rsidP="00213000">
      <w:pPr>
        <w:spacing w:line="360" w:lineRule="auto"/>
        <w:rPr>
          <w:rFonts w:ascii="Arial" w:hAnsi="Arial" w:cs="Arial"/>
        </w:rPr>
      </w:pPr>
      <w:r w:rsidRPr="00743C24">
        <w:rPr>
          <w:rFonts w:ascii="Arial" w:hAnsi="Arial" w:cs="Arial"/>
          <w:noProof/>
        </w:rPr>
        <w:drawing>
          <wp:inline distT="0" distB="0" distL="0" distR="0" wp14:anchorId="5E9F437F" wp14:editId="3111BDB5">
            <wp:extent cx="5731510" cy="1156335"/>
            <wp:effectExtent l="19050" t="19050" r="21590" b="24765"/>
            <wp:docPr id="1053940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940943" name=""/>
                    <pic:cNvPicPr/>
                  </pic:nvPicPr>
                  <pic:blipFill>
                    <a:blip r:embed="rId22"/>
                    <a:stretch>
                      <a:fillRect/>
                    </a:stretch>
                  </pic:blipFill>
                  <pic:spPr>
                    <a:xfrm>
                      <a:off x="0" y="0"/>
                      <a:ext cx="5731510" cy="1156335"/>
                    </a:xfrm>
                    <a:prstGeom prst="rect">
                      <a:avLst/>
                    </a:prstGeom>
                    <a:ln>
                      <a:solidFill>
                        <a:schemeClr val="tx1"/>
                      </a:solidFill>
                    </a:ln>
                  </pic:spPr>
                </pic:pic>
              </a:graphicData>
            </a:graphic>
          </wp:inline>
        </w:drawing>
      </w:r>
    </w:p>
    <w:p w14:paraId="0C0ADB7E" w14:textId="68D171C5" w:rsidR="00161EA9" w:rsidRPr="00743C24" w:rsidRDefault="00161EA9" w:rsidP="00161EA9">
      <w:pPr>
        <w:spacing w:line="360" w:lineRule="auto"/>
        <w:rPr>
          <w:rFonts w:ascii="Arial" w:hAnsi="Arial" w:cs="Arial"/>
        </w:rPr>
      </w:pPr>
      <w:r w:rsidRPr="00743C24">
        <w:rPr>
          <w:rFonts w:ascii="Arial" w:hAnsi="Arial" w:cs="Arial"/>
        </w:rPr>
        <w:t>The standard also defines operational guidelines to minimise disruption during audits. These include:</w:t>
      </w:r>
    </w:p>
    <w:p w14:paraId="02ABDF62" w14:textId="460685F5" w:rsidR="00161EA9" w:rsidRPr="00743C24" w:rsidRDefault="00161EA9" w:rsidP="00161EA9">
      <w:pPr>
        <w:pStyle w:val="ListParagraph"/>
        <w:numPr>
          <w:ilvl w:val="0"/>
          <w:numId w:val="21"/>
        </w:numPr>
        <w:spacing w:line="360" w:lineRule="auto"/>
        <w:rPr>
          <w:rFonts w:ascii="Arial" w:hAnsi="Arial" w:cs="Arial"/>
        </w:rPr>
      </w:pPr>
      <w:r w:rsidRPr="00743C24">
        <w:rPr>
          <w:rFonts w:ascii="Arial" w:hAnsi="Arial" w:cs="Arial"/>
        </w:rPr>
        <w:t>Machinery selected for audit must be stopped briefly for inspection</w:t>
      </w:r>
    </w:p>
    <w:p w14:paraId="6274FD00" w14:textId="034DD75B" w:rsidR="00161EA9" w:rsidRPr="00743C24" w:rsidRDefault="00161EA9" w:rsidP="00161EA9">
      <w:pPr>
        <w:pStyle w:val="ListParagraph"/>
        <w:numPr>
          <w:ilvl w:val="0"/>
          <w:numId w:val="21"/>
        </w:numPr>
        <w:spacing w:line="360" w:lineRule="auto"/>
        <w:rPr>
          <w:rFonts w:ascii="Arial" w:hAnsi="Arial" w:cs="Arial"/>
        </w:rPr>
      </w:pPr>
      <w:r w:rsidRPr="00743C24">
        <w:rPr>
          <w:rFonts w:ascii="Arial" w:hAnsi="Arial" w:cs="Arial"/>
        </w:rPr>
        <w:t>A lean audit team structure is maintained (typically 2 auditors and 2 auditees)</w:t>
      </w:r>
    </w:p>
    <w:p w14:paraId="468F0554" w14:textId="5C4B7F3F" w:rsidR="00161EA9" w:rsidRPr="00743C24" w:rsidRDefault="00161EA9" w:rsidP="00161EA9">
      <w:pPr>
        <w:pStyle w:val="ListParagraph"/>
        <w:numPr>
          <w:ilvl w:val="0"/>
          <w:numId w:val="21"/>
        </w:numPr>
        <w:spacing w:line="360" w:lineRule="auto"/>
        <w:rPr>
          <w:rFonts w:ascii="Arial" w:hAnsi="Arial" w:cs="Arial"/>
        </w:rPr>
      </w:pPr>
      <w:r w:rsidRPr="00743C24">
        <w:rPr>
          <w:rFonts w:ascii="Arial" w:hAnsi="Arial" w:cs="Arial"/>
        </w:rPr>
        <w:t>Site Champions and machine specialists must be available throughout the audit</w:t>
      </w:r>
    </w:p>
    <w:p w14:paraId="738C3F5D" w14:textId="575D6EC7" w:rsidR="00161EA9" w:rsidRPr="00743C24" w:rsidRDefault="00161EA9" w:rsidP="00161EA9">
      <w:pPr>
        <w:pStyle w:val="ListParagraph"/>
        <w:numPr>
          <w:ilvl w:val="0"/>
          <w:numId w:val="21"/>
        </w:numPr>
        <w:spacing w:line="360" w:lineRule="auto"/>
        <w:rPr>
          <w:rFonts w:ascii="Arial" w:hAnsi="Arial" w:cs="Arial"/>
        </w:rPr>
      </w:pPr>
      <w:r w:rsidRPr="00743C24">
        <w:rPr>
          <w:rFonts w:ascii="Arial" w:hAnsi="Arial" w:cs="Arial"/>
        </w:rPr>
        <w:t>Administrator access, passwords, and setup keys must be prepared in advance</w:t>
      </w:r>
    </w:p>
    <w:p w14:paraId="368F173F" w14:textId="366F9F6F" w:rsidR="00161EA9" w:rsidRPr="00743C24" w:rsidRDefault="00161EA9" w:rsidP="00161EA9">
      <w:pPr>
        <w:pStyle w:val="ListParagraph"/>
        <w:numPr>
          <w:ilvl w:val="0"/>
          <w:numId w:val="21"/>
        </w:numPr>
        <w:spacing w:line="360" w:lineRule="auto"/>
        <w:rPr>
          <w:rFonts w:ascii="Arial" w:hAnsi="Arial" w:cs="Arial"/>
        </w:rPr>
      </w:pPr>
      <w:r w:rsidRPr="00743C24">
        <w:rPr>
          <w:rFonts w:ascii="Arial" w:hAnsi="Arial" w:cs="Arial"/>
        </w:rPr>
        <w:t>All relevant documentation (maintenance logs, spare part records, technical sheets) should be readily accessible</w:t>
      </w:r>
    </w:p>
    <w:p w14:paraId="634CD0DB" w14:textId="734448AD" w:rsidR="00161EA9" w:rsidRPr="00743C24" w:rsidRDefault="00161EA9" w:rsidP="00161EA9">
      <w:pPr>
        <w:pStyle w:val="ListParagraph"/>
        <w:numPr>
          <w:ilvl w:val="0"/>
          <w:numId w:val="21"/>
        </w:numPr>
        <w:spacing w:line="360" w:lineRule="auto"/>
        <w:rPr>
          <w:rFonts w:ascii="Arial" w:hAnsi="Arial" w:cs="Arial"/>
        </w:rPr>
      </w:pPr>
      <w:r w:rsidRPr="00743C24">
        <w:rPr>
          <w:rFonts w:ascii="Arial" w:hAnsi="Arial" w:cs="Arial"/>
        </w:rPr>
        <w:t>No repairs are to be performed on machinery during the audit process</w:t>
      </w:r>
    </w:p>
    <w:p w14:paraId="1F032F05" w14:textId="14F54045" w:rsidR="00541226" w:rsidRPr="00743C24" w:rsidRDefault="00161EA9" w:rsidP="00161EA9">
      <w:pPr>
        <w:pStyle w:val="ListParagraph"/>
        <w:numPr>
          <w:ilvl w:val="0"/>
          <w:numId w:val="21"/>
        </w:numPr>
        <w:spacing w:line="360" w:lineRule="auto"/>
        <w:rPr>
          <w:rFonts w:ascii="Arial" w:hAnsi="Arial" w:cs="Arial"/>
        </w:rPr>
      </w:pPr>
      <w:r w:rsidRPr="00743C24">
        <w:rPr>
          <w:rFonts w:ascii="Arial" w:hAnsi="Arial" w:cs="Arial"/>
        </w:rPr>
        <w:t>Importantly, machines are evaluated against company-wide audit standards, not local procedures, to maintain consistency in global audit outcomes</w:t>
      </w:r>
      <w:r w:rsidR="008E0BBC" w:rsidRPr="00743C24">
        <w:rPr>
          <w:rFonts w:ascii="Arial" w:hAnsi="Arial" w:cs="Arial"/>
        </w:rPr>
        <w:t>.</w:t>
      </w:r>
      <w:r w:rsidR="00213000" w:rsidRPr="00743C24">
        <w:rPr>
          <w:rFonts w:ascii="Arial" w:hAnsi="Arial" w:cs="Arial"/>
        </w:rPr>
        <w:t xml:space="preserve"> </w:t>
      </w:r>
    </w:p>
    <w:p w14:paraId="012A9C80" w14:textId="77777777" w:rsidR="00541226" w:rsidRPr="00743C24" w:rsidRDefault="00541226" w:rsidP="00541226">
      <w:pPr>
        <w:spacing w:line="360" w:lineRule="auto"/>
        <w:rPr>
          <w:rFonts w:ascii="Arial" w:hAnsi="Arial" w:cs="Arial"/>
        </w:rPr>
      </w:pPr>
    </w:p>
    <w:p w14:paraId="07D3F37B" w14:textId="77777777" w:rsidR="00541226" w:rsidRPr="00743C24" w:rsidRDefault="00541226" w:rsidP="00541226">
      <w:pPr>
        <w:spacing w:line="360" w:lineRule="auto"/>
        <w:rPr>
          <w:rFonts w:ascii="Arial" w:hAnsi="Arial" w:cs="Arial"/>
        </w:rPr>
      </w:pPr>
    </w:p>
    <w:p w14:paraId="6D44BA47" w14:textId="77777777" w:rsidR="00541226" w:rsidRPr="00743C24" w:rsidRDefault="00541226" w:rsidP="00541226">
      <w:pPr>
        <w:spacing w:line="360" w:lineRule="auto"/>
        <w:rPr>
          <w:rFonts w:ascii="Arial" w:hAnsi="Arial" w:cs="Arial"/>
        </w:rPr>
      </w:pPr>
    </w:p>
    <w:p w14:paraId="12927648" w14:textId="77777777" w:rsidR="00541226" w:rsidRPr="00743C24" w:rsidRDefault="00541226" w:rsidP="00541226">
      <w:pPr>
        <w:spacing w:line="360" w:lineRule="auto"/>
        <w:rPr>
          <w:rFonts w:ascii="Arial" w:hAnsi="Arial" w:cs="Arial"/>
        </w:rPr>
      </w:pPr>
    </w:p>
    <w:p w14:paraId="5B97D6D4" w14:textId="77777777" w:rsidR="00161EA9" w:rsidRPr="00743C24" w:rsidRDefault="00161EA9" w:rsidP="00541226">
      <w:pPr>
        <w:spacing w:line="360" w:lineRule="auto"/>
        <w:rPr>
          <w:rFonts w:ascii="Arial" w:hAnsi="Arial" w:cs="Arial"/>
        </w:rPr>
      </w:pPr>
    </w:p>
    <w:p w14:paraId="76F56569" w14:textId="77777777" w:rsidR="00541226" w:rsidRPr="00743C24" w:rsidRDefault="00541226" w:rsidP="00541226">
      <w:pPr>
        <w:spacing w:line="360" w:lineRule="auto"/>
        <w:rPr>
          <w:rFonts w:ascii="Arial" w:hAnsi="Arial" w:cs="Arial"/>
        </w:rPr>
      </w:pPr>
    </w:p>
    <w:p w14:paraId="3D25682A" w14:textId="77777777" w:rsidR="00541226" w:rsidRDefault="00541226" w:rsidP="00541226">
      <w:pPr>
        <w:spacing w:line="360" w:lineRule="auto"/>
        <w:rPr>
          <w:rFonts w:ascii="Arial" w:hAnsi="Arial" w:cs="Arial"/>
        </w:rPr>
      </w:pPr>
    </w:p>
    <w:p w14:paraId="547B9633" w14:textId="77777777" w:rsidR="008860A3" w:rsidRPr="00743C24" w:rsidRDefault="008860A3" w:rsidP="00541226">
      <w:pPr>
        <w:spacing w:line="360" w:lineRule="auto"/>
        <w:rPr>
          <w:rFonts w:ascii="Arial" w:hAnsi="Arial" w:cs="Arial"/>
        </w:rPr>
      </w:pPr>
    </w:p>
    <w:p w14:paraId="7D34ECEE" w14:textId="77777777" w:rsidR="00743CDE" w:rsidRPr="00743C24" w:rsidRDefault="00505C55" w:rsidP="00EA2C0D">
      <w:pPr>
        <w:pStyle w:val="Heading2"/>
        <w:rPr>
          <w:szCs w:val="22"/>
        </w:rPr>
      </w:pPr>
      <w:bookmarkStart w:id="25" w:name="_Toc198120599"/>
      <w:r w:rsidRPr="00743C24">
        <w:rPr>
          <w:szCs w:val="22"/>
        </w:rPr>
        <w:lastRenderedPageBreak/>
        <w:t xml:space="preserve">6.3 </w:t>
      </w:r>
      <w:r w:rsidR="0012620A" w:rsidRPr="00743C24">
        <w:rPr>
          <w:szCs w:val="22"/>
        </w:rPr>
        <w:t xml:space="preserve">Machine Condition </w:t>
      </w:r>
      <w:r w:rsidR="00743CDE" w:rsidRPr="00743C24">
        <w:rPr>
          <w:szCs w:val="22"/>
        </w:rPr>
        <w:t>Failure Examples</w:t>
      </w:r>
      <w:bookmarkEnd w:id="25"/>
    </w:p>
    <w:p w14:paraId="7C360E9F" w14:textId="7B7AA74D" w:rsidR="00213000" w:rsidRPr="00743C24" w:rsidRDefault="00EA2C0D" w:rsidP="00EA2C0D">
      <w:pPr>
        <w:spacing w:line="360" w:lineRule="auto"/>
        <w:rPr>
          <w:rFonts w:ascii="Arial" w:hAnsi="Arial" w:cs="Arial"/>
        </w:rPr>
      </w:pPr>
      <w:r w:rsidRPr="00743C24">
        <w:rPr>
          <w:rFonts w:ascii="Arial" w:hAnsi="Arial" w:cs="Arial"/>
        </w:rPr>
        <w:t>Following the audit criteria outlined in Section 6.2, machinery audits were carried out using the standardised SEWS-E check-sheet. Below are examples from the 2023 audit results where specific failures were marked as NOK (Not OK)</w:t>
      </w:r>
      <w:r w:rsidR="008860A3">
        <w:rPr>
          <w:rFonts w:ascii="Arial" w:hAnsi="Arial" w:cs="Arial"/>
        </w:rPr>
        <w:t xml:space="preserve">, </w:t>
      </w:r>
      <w:r w:rsidRPr="00743C24">
        <w:rPr>
          <w:rFonts w:ascii="Arial" w:hAnsi="Arial" w:cs="Arial"/>
        </w:rPr>
        <w:t>resulting in a score of 0 for the relevant audit points.</w:t>
      </w:r>
    </w:p>
    <w:p w14:paraId="1B158B30" w14:textId="499C2DB5" w:rsidR="00EA2C0D" w:rsidRPr="00743C24" w:rsidRDefault="00EA2C0D" w:rsidP="00EA2C0D">
      <w:pPr>
        <w:spacing w:line="360" w:lineRule="auto"/>
        <w:rPr>
          <w:rFonts w:ascii="Arial" w:hAnsi="Arial" w:cs="Arial"/>
        </w:rPr>
      </w:pPr>
      <w:r w:rsidRPr="00743C24">
        <w:rPr>
          <w:rFonts w:ascii="Arial" w:hAnsi="Arial" w:cs="Arial"/>
        </w:rPr>
        <w:t>In some instances, a single failure could affect multiple audit criteria. For example, the absence of a CFA system might trigger multiple NOK scores across categories that rely on CFA functionality. In such cases, one fault can generate two or more points marked as NOK.</w:t>
      </w:r>
    </w:p>
    <w:p w14:paraId="345D9E15" w14:textId="30BB2FDC" w:rsidR="00213000" w:rsidRPr="00743C24" w:rsidRDefault="00EA2C0D" w:rsidP="00EA2C0D">
      <w:pPr>
        <w:spacing w:line="360" w:lineRule="auto"/>
        <w:rPr>
          <w:rFonts w:ascii="Arial" w:hAnsi="Arial" w:cs="Arial"/>
        </w:rPr>
      </w:pPr>
      <w:r w:rsidRPr="00743C24">
        <w:rPr>
          <w:rFonts w:ascii="Arial" w:hAnsi="Arial" w:cs="Arial"/>
        </w:rPr>
        <w:t>However, auditors apply discretion where necessary. If a machine does not include a particular feature or software by design, and it is impossible for it to meet that criterion, the item is marked N/A rather than penalised</w:t>
      </w:r>
      <w:r w:rsidR="008860A3">
        <w:rPr>
          <w:rFonts w:ascii="Arial" w:hAnsi="Arial" w:cs="Arial"/>
        </w:rPr>
        <w:t xml:space="preserve">, </w:t>
      </w:r>
      <w:r w:rsidRPr="00743C24">
        <w:rPr>
          <w:rFonts w:ascii="Arial" w:hAnsi="Arial" w:cs="Arial"/>
        </w:rPr>
        <w:t>ensuring fairness and contextual understanding of the audit results</w:t>
      </w:r>
      <w:r w:rsidR="00213000" w:rsidRPr="00743C24">
        <w:rPr>
          <w:rFonts w:ascii="Arial" w:hAnsi="Arial" w:cs="Arial"/>
        </w:rPr>
        <w:t>.</w:t>
      </w:r>
    </w:p>
    <w:p w14:paraId="00B817D2" w14:textId="7F4787DA" w:rsidR="00541226" w:rsidRPr="00743C24" w:rsidRDefault="00541226" w:rsidP="00EA2C0D">
      <w:pPr>
        <w:spacing w:line="360" w:lineRule="auto"/>
        <w:rPr>
          <w:rFonts w:ascii="Arial" w:hAnsi="Arial" w:cs="Arial"/>
        </w:rPr>
      </w:pPr>
      <w:r w:rsidRPr="00743C24">
        <w:rPr>
          <w:rFonts w:ascii="Arial" w:hAnsi="Arial" w:cs="Arial"/>
          <w:noProof/>
          <w:color w:val="BF8F00" w:themeColor="accent4" w:themeShade="BF"/>
        </w:rPr>
        <w:drawing>
          <wp:anchor distT="0" distB="0" distL="114300" distR="114300" simplePos="0" relativeHeight="251678720" behindDoc="0" locked="0" layoutInCell="1" allowOverlap="1" wp14:anchorId="6F5E0E16" wp14:editId="20C3DAA1">
            <wp:simplePos x="0" y="0"/>
            <wp:positionH relativeFrom="margin">
              <wp:align>center</wp:align>
            </wp:positionH>
            <wp:positionV relativeFrom="paragraph">
              <wp:posOffset>476220</wp:posOffset>
            </wp:positionV>
            <wp:extent cx="6642100" cy="4366895"/>
            <wp:effectExtent l="19050" t="19050" r="25400" b="14605"/>
            <wp:wrapTopAndBottom/>
            <wp:docPr id="20450776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642100" cy="436689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EA2C0D" w:rsidRPr="00743C24">
        <w:rPr>
          <w:rFonts w:ascii="Arial" w:hAnsi="Arial" w:cs="Arial"/>
        </w:rPr>
        <w:t xml:space="preserve">See </w:t>
      </w:r>
      <w:r w:rsidR="00EA2C0D" w:rsidRPr="00743C24">
        <w:rPr>
          <w:rFonts w:ascii="Arial" w:hAnsi="Arial" w:cs="Arial"/>
          <w:color w:val="BF8F00" w:themeColor="accent4" w:themeShade="BF"/>
        </w:rPr>
        <w:t>Figure 7</w:t>
      </w:r>
      <w:r w:rsidR="00EA2C0D" w:rsidRPr="00743C24">
        <w:rPr>
          <w:rFonts w:ascii="Arial" w:hAnsi="Arial" w:cs="Arial"/>
        </w:rPr>
        <w:t xml:space="preserve"> for a set of real-world examples of NOK findings from an audited USW (Ultrasonic Welding) machine in 2023</w:t>
      </w:r>
      <w:r w:rsidRPr="00743C24">
        <w:rPr>
          <w:rFonts w:ascii="Arial" w:hAnsi="Arial" w:cs="Arial"/>
        </w:rPr>
        <w:t>.</w:t>
      </w:r>
    </w:p>
    <w:p w14:paraId="431E18AB" w14:textId="550DFA75" w:rsidR="00EA2C0D" w:rsidRPr="00743C24" w:rsidRDefault="008A5F86" w:rsidP="00EA2C0D">
      <w:pPr>
        <w:spacing w:line="360" w:lineRule="auto"/>
        <w:rPr>
          <w:rFonts w:ascii="Arial" w:hAnsi="Arial" w:cs="Arial"/>
        </w:rPr>
      </w:pPr>
      <w:r w:rsidRPr="00743C24">
        <w:rPr>
          <w:rFonts w:ascii="Arial" w:hAnsi="Arial" w:cs="Arial"/>
          <w:color w:val="BF8F00" w:themeColor="accent4" w:themeShade="BF"/>
        </w:rPr>
        <w:t xml:space="preserve">Figure </w:t>
      </w:r>
      <w:r w:rsidR="00541226" w:rsidRPr="00743C24">
        <w:rPr>
          <w:rFonts w:ascii="Arial" w:hAnsi="Arial" w:cs="Arial"/>
          <w:color w:val="BF8F00" w:themeColor="accent4" w:themeShade="BF"/>
        </w:rPr>
        <w:t>7</w:t>
      </w:r>
      <w:r w:rsidRPr="00743C24">
        <w:rPr>
          <w:rFonts w:ascii="Arial" w:hAnsi="Arial" w:cs="Arial"/>
        </w:rPr>
        <w:t>: Example of</w:t>
      </w:r>
      <w:r w:rsidR="00743CDE" w:rsidRPr="00743C24">
        <w:rPr>
          <w:rFonts w:ascii="Arial" w:hAnsi="Arial" w:cs="Arial"/>
        </w:rPr>
        <w:t xml:space="preserve"> NOK Criteria</w:t>
      </w:r>
      <w:r w:rsidR="00541226" w:rsidRPr="00743C24">
        <w:rPr>
          <w:rFonts w:ascii="Arial" w:hAnsi="Arial" w:cs="Arial"/>
        </w:rPr>
        <w:t xml:space="preserve"> (USW Machine)</w:t>
      </w:r>
    </w:p>
    <w:p w14:paraId="45DD130B" w14:textId="77777777" w:rsidR="008860A3" w:rsidRPr="00743C24" w:rsidRDefault="008860A3" w:rsidP="00EA2C0D">
      <w:pPr>
        <w:spacing w:line="360" w:lineRule="auto"/>
        <w:rPr>
          <w:rFonts w:ascii="Arial" w:hAnsi="Arial" w:cs="Arial"/>
        </w:rPr>
      </w:pPr>
    </w:p>
    <w:p w14:paraId="2078857A" w14:textId="4AA550EB" w:rsidR="00EA2C0D" w:rsidRPr="00743C24" w:rsidRDefault="00EA2C0D" w:rsidP="00EA2C0D">
      <w:pPr>
        <w:spacing w:line="360" w:lineRule="auto"/>
        <w:rPr>
          <w:rFonts w:ascii="Arial" w:hAnsi="Arial" w:cs="Arial"/>
        </w:rPr>
      </w:pPr>
      <w:r w:rsidRPr="00743C24">
        <w:rPr>
          <w:rFonts w:ascii="Arial" w:hAnsi="Arial" w:cs="Arial"/>
        </w:rPr>
        <w:lastRenderedPageBreak/>
        <w:t>Failures include:</w:t>
      </w:r>
    </w:p>
    <w:p w14:paraId="00F056BE" w14:textId="61AA0A91"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Missing emergency stop button</w:t>
      </w:r>
    </w:p>
    <w:p w14:paraId="4ACDB552" w14:textId="669D6EE7"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No password protection on control systems</w:t>
      </w:r>
    </w:p>
    <w:p w14:paraId="54299FD2" w14:textId="06E900DF"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Incorrect micrometre types</w:t>
      </w:r>
    </w:p>
    <w:p w14:paraId="0292D4AF" w14:textId="1249CA82"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Damaged pull test equipment</w:t>
      </w:r>
    </w:p>
    <w:p w14:paraId="57F3A879" w14:textId="2A088133"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Wrong generator configuration (weld parameters)</w:t>
      </w:r>
    </w:p>
    <w:p w14:paraId="59082F24" w14:textId="50B9C22B"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Obstructed visibility or poor lighting</w:t>
      </w:r>
    </w:p>
    <w:p w14:paraId="2AFBE0D6" w14:textId="497DDBBF"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Holes and safety hazards in the work area</w:t>
      </w:r>
    </w:p>
    <w:p w14:paraId="75DBCE71" w14:textId="02C91F12"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Worn-out Sonotrode</w:t>
      </w:r>
    </w:p>
    <w:p w14:paraId="66AE3C4B" w14:textId="45EABD06"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Exposed or unorganised electrical connections</w:t>
      </w:r>
    </w:p>
    <w:p w14:paraId="0D789BF7" w14:textId="32D9A65D"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Unsecured or missing machine covers</w:t>
      </w:r>
    </w:p>
    <w:p w14:paraId="495AD74B" w14:textId="67041843" w:rsidR="00EA2C0D" w:rsidRPr="00743C24" w:rsidRDefault="00EA2C0D" w:rsidP="00EA2C0D">
      <w:pPr>
        <w:pStyle w:val="ListParagraph"/>
        <w:numPr>
          <w:ilvl w:val="0"/>
          <w:numId w:val="22"/>
        </w:numPr>
        <w:spacing w:line="360" w:lineRule="auto"/>
        <w:rPr>
          <w:rFonts w:ascii="Arial" w:hAnsi="Arial" w:cs="Arial"/>
        </w:rPr>
      </w:pPr>
      <w:r w:rsidRPr="00743C24">
        <w:rPr>
          <w:rFonts w:ascii="Arial" w:hAnsi="Arial" w:cs="Arial"/>
        </w:rPr>
        <w:t>Lack of active parts condition tracking</w:t>
      </w:r>
    </w:p>
    <w:p w14:paraId="05FBD458" w14:textId="5CA42BA9" w:rsidR="003A1A27" w:rsidRPr="00743C24" w:rsidRDefault="00EA2C0D" w:rsidP="00EA2C0D">
      <w:pPr>
        <w:spacing w:line="360" w:lineRule="auto"/>
        <w:rPr>
          <w:rFonts w:ascii="Arial" w:hAnsi="Arial" w:cs="Arial"/>
        </w:rPr>
      </w:pPr>
      <w:r w:rsidRPr="00743C24">
        <w:rPr>
          <w:rFonts w:ascii="Arial" w:hAnsi="Arial" w:cs="Arial"/>
        </w:rPr>
        <w:t>These failures have a direct impact on the audit outcome, safety compliance, and overall machine readiness for operation post-transfer.</w:t>
      </w:r>
    </w:p>
    <w:p w14:paraId="1F228721" w14:textId="24BF9CBC" w:rsidR="00505C55" w:rsidRPr="00743C24" w:rsidRDefault="00505C55" w:rsidP="00EA2C0D">
      <w:pPr>
        <w:pStyle w:val="Heading2"/>
        <w:rPr>
          <w:szCs w:val="22"/>
        </w:rPr>
      </w:pPr>
      <w:bookmarkStart w:id="26" w:name="_Toc198120600"/>
      <w:r w:rsidRPr="00743C24">
        <w:rPr>
          <w:szCs w:val="22"/>
        </w:rPr>
        <w:t>6.4 Identification of Risks and Mitigation Strategies</w:t>
      </w:r>
      <w:bookmarkEnd w:id="26"/>
    </w:p>
    <w:p w14:paraId="15EFF294" w14:textId="1D57A7F1" w:rsidR="008E0BBC" w:rsidRPr="00743C24" w:rsidRDefault="00EA2C0D" w:rsidP="000D3970">
      <w:pPr>
        <w:spacing w:line="360" w:lineRule="auto"/>
        <w:rPr>
          <w:rFonts w:ascii="Arial" w:hAnsi="Arial" w:cs="Arial"/>
        </w:rPr>
      </w:pPr>
      <w:r w:rsidRPr="00743C24">
        <w:rPr>
          <w:rFonts w:ascii="Arial" w:hAnsi="Arial" w:cs="Arial"/>
        </w:rPr>
        <w:t>Through the internal audit process, several recurring risk themes emerged that impacted the effectiveness, safety, and efficiency of machinery transfers across SEWS-E sites. These risks were identified using the standardised audit criteria (Section 6.2) and cross-referenced with site-level feedback and on-the-ground observations.</w:t>
      </w:r>
    </w:p>
    <w:p w14:paraId="522B50E7" w14:textId="77777777" w:rsidR="00CB5183" w:rsidRPr="00743C24" w:rsidRDefault="00EA2C0D" w:rsidP="000D3970">
      <w:pPr>
        <w:spacing w:line="360" w:lineRule="auto"/>
        <w:rPr>
          <w:rFonts w:ascii="Arial" w:hAnsi="Arial" w:cs="Arial"/>
          <w:b/>
          <w:bCs/>
        </w:rPr>
      </w:pPr>
      <w:r w:rsidRPr="00743C24">
        <w:rPr>
          <w:rFonts w:ascii="Arial" w:hAnsi="Arial" w:cs="Arial"/>
          <w:b/>
          <w:bCs/>
        </w:rPr>
        <w:t>Commo</w:t>
      </w:r>
      <w:r w:rsidR="00CB5183" w:rsidRPr="00743C24">
        <w:rPr>
          <w:rFonts w:ascii="Arial" w:hAnsi="Arial" w:cs="Arial"/>
          <w:b/>
          <w:bCs/>
        </w:rPr>
        <w:t>n</w:t>
      </w:r>
      <w:r w:rsidRPr="00743C24">
        <w:rPr>
          <w:rFonts w:ascii="Arial" w:hAnsi="Arial" w:cs="Arial"/>
          <w:b/>
          <w:bCs/>
        </w:rPr>
        <w:t xml:space="preserve"> Risk Themes</w:t>
      </w:r>
    </w:p>
    <w:p w14:paraId="7C0FA970" w14:textId="72A229D2" w:rsidR="008E0BBC" w:rsidRPr="00743C24" w:rsidRDefault="00EA2C0D" w:rsidP="000D3970">
      <w:pPr>
        <w:spacing w:line="360" w:lineRule="auto"/>
        <w:rPr>
          <w:rFonts w:ascii="Arial" w:hAnsi="Arial" w:cs="Arial"/>
          <w:b/>
          <w:bCs/>
        </w:rPr>
      </w:pPr>
      <w:r w:rsidRPr="00743C24">
        <w:rPr>
          <w:rFonts w:ascii="Arial" w:hAnsi="Arial" w:cs="Arial"/>
        </w:rPr>
        <w:t>Across all audited regions, the following key risk categories were consistently observed:</w:t>
      </w:r>
    </w:p>
    <w:p w14:paraId="4028906E" w14:textId="28E0456F" w:rsidR="00EA2C0D" w:rsidRPr="00743C24" w:rsidRDefault="00EA2C0D" w:rsidP="00EA2C0D">
      <w:pPr>
        <w:pStyle w:val="ListParagraph"/>
        <w:numPr>
          <w:ilvl w:val="0"/>
          <w:numId w:val="23"/>
        </w:numPr>
        <w:spacing w:line="360" w:lineRule="auto"/>
        <w:rPr>
          <w:rFonts w:ascii="Arial" w:hAnsi="Arial" w:cs="Arial"/>
        </w:rPr>
      </w:pPr>
      <w:r w:rsidRPr="00743C24">
        <w:rPr>
          <w:rFonts w:ascii="Arial" w:hAnsi="Arial" w:cs="Arial"/>
        </w:rPr>
        <w:t>Health and Safety Deficiencies</w:t>
      </w:r>
    </w:p>
    <w:p w14:paraId="14554317" w14:textId="3E415213" w:rsidR="00EA2C0D" w:rsidRPr="00743C24" w:rsidRDefault="00EA2C0D" w:rsidP="00EA2C0D">
      <w:pPr>
        <w:pStyle w:val="ListParagraph"/>
        <w:spacing w:line="360" w:lineRule="auto"/>
        <w:rPr>
          <w:rFonts w:ascii="Arial" w:hAnsi="Arial" w:cs="Arial"/>
        </w:rPr>
      </w:pPr>
      <w:r w:rsidRPr="00743C24">
        <w:rPr>
          <w:rFonts w:ascii="Arial" w:hAnsi="Arial" w:cs="Arial"/>
        </w:rPr>
        <w:t xml:space="preserve">Examples include missing emergency stop buttons, exposed live electrical components, and unsecured machine covers. </w:t>
      </w:r>
    </w:p>
    <w:p w14:paraId="5C7FB146" w14:textId="7B6AEE9E" w:rsidR="00EA2C0D" w:rsidRPr="00743C24" w:rsidRDefault="00EA2C0D" w:rsidP="00EA2C0D">
      <w:pPr>
        <w:pStyle w:val="ListParagraph"/>
        <w:numPr>
          <w:ilvl w:val="0"/>
          <w:numId w:val="23"/>
        </w:numPr>
        <w:spacing w:line="360" w:lineRule="auto"/>
        <w:rPr>
          <w:rFonts w:ascii="Arial" w:hAnsi="Arial" w:cs="Arial"/>
        </w:rPr>
      </w:pPr>
      <w:r w:rsidRPr="00743C24">
        <w:rPr>
          <w:rFonts w:ascii="Arial" w:hAnsi="Arial" w:cs="Arial"/>
        </w:rPr>
        <w:t>Lack of System Access Control</w:t>
      </w:r>
    </w:p>
    <w:p w14:paraId="535CA1DD" w14:textId="048025A2" w:rsidR="00EA2C0D" w:rsidRPr="00743C24" w:rsidRDefault="00EA2C0D" w:rsidP="00EA2C0D">
      <w:pPr>
        <w:pStyle w:val="ListParagraph"/>
        <w:spacing w:line="360" w:lineRule="auto"/>
        <w:rPr>
          <w:rFonts w:ascii="Arial" w:hAnsi="Arial" w:cs="Arial"/>
        </w:rPr>
      </w:pPr>
      <w:r w:rsidRPr="00743C24">
        <w:rPr>
          <w:rFonts w:ascii="Arial" w:hAnsi="Arial" w:cs="Arial"/>
        </w:rPr>
        <w:t>Machines without set passwords or administrative access controls were common, compromising both system integrity and audit trail reliability</w:t>
      </w:r>
    </w:p>
    <w:p w14:paraId="3469DD7D" w14:textId="4771F6AF" w:rsidR="00EA2C0D" w:rsidRPr="00743C24" w:rsidRDefault="00EA2C0D" w:rsidP="00EA2C0D">
      <w:pPr>
        <w:pStyle w:val="ListParagraph"/>
        <w:numPr>
          <w:ilvl w:val="0"/>
          <w:numId w:val="23"/>
        </w:numPr>
        <w:spacing w:line="360" w:lineRule="auto"/>
        <w:rPr>
          <w:rFonts w:ascii="Arial" w:hAnsi="Arial" w:cs="Arial"/>
        </w:rPr>
      </w:pPr>
      <w:r w:rsidRPr="00743C24">
        <w:rPr>
          <w:rFonts w:ascii="Arial" w:hAnsi="Arial" w:cs="Arial"/>
        </w:rPr>
        <w:t>Equipment Configuration Errors</w:t>
      </w:r>
    </w:p>
    <w:p w14:paraId="36B65D0B" w14:textId="2A2D082E" w:rsidR="00CB5183" w:rsidRPr="00743C24" w:rsidRDefault="007E1FAB" w:rsidP="00CB5183">
      <w:pPr>
        <w:pStyle w:val="ListParagraph"/>
        <w:spacing w:line="360" w:lineRule="auto"/>
        <w:rPr>
          <w:rFonts w:ascii="Arial" w:hAnsi="Arial" w:cs="Arial"/>
        </w:rPr>
      </w:pPr>
      <w:r w:rsidRPr="00743C24">
        <w:rPr>
          <w:rFonts w:ascii="Arial" w:hAnsi="Arial" w:cs="Arial"/>
        </w:rPr>
        <w:t>Incorrect generator parameters, use of outdated or incompatible tooling (e.g., wrong micrometre type, broken ruler), and non-standard setups led to performance issues</w:t>
      </w:r>
      <w:r w:rsidR="00CB5183" w:rsidRPr="00743C24">
        <w:rPr>
          <w:rFonts w:ascii="Arial" w:hAnsi="Arial" w:cs="Arial"/>
        </w:rPr>
        <w:t>.</w:t>
      </w:r>
    </w:p>
    <w:p w14:paraId="747611A0" w14:textId="09328E41" w:rsidR="007E1FAB" w:rsidRPr="00743C24" w:rsidRDefault="007E1FAB" w:rsidP="007E1FAB">
      <w:pPr>
        <w:pStyle w:val="ListParagraph"/>
        <w:numPr>
          <w:ilvl w:val="0"/>
          <w:numId w:val="23"/>
        </w:numPr>
        <w:spacing w:line="360" w:lineRule="auto"/>
        <w:rPr>
          <w:rFonts w:ascii="Arial" w:hAnsi="Arial" w:cs="Arial"/>
        </w:rPr>
      </w:pPr>
      <w:r w:rsidRPr="00743C24">
        <w:rPr>
          <w:rFonts w:ascii="Arial" w:hAnsi="Arial" w:cs="Arial"/>
        </w:rPr>
        <w:t>Environmental and Operational Hazards</w:t>
      </w:r>
    </w:p>
    <w:p w14:paraId="4667B94D" w14:textId="3E44572D" w:rsidR="007E1FAB" w:rsidRPr="00743C24" w:rsidRDefault="007E1FAB" w:rsidP="007E1FAB">
      <w:pPr>
        <w:pStyle w:val="ListParagraph"/>
        <w:spacing w:line="360" w:lineRule="auto"/>
        <w:rPr>
          <w:rFonts w:ascii="Arial" w:hAnsi="Arial" w:cs="Arial"/>
        </w:rPr>
      </w:pPr>
      <w:r w:rsidRPr="00743C24">
        <w:rPr>
          <w:rFonts w:ascii="Arial" w:hAnsi="Arial" w:cs="Arial"/>
        </w:rPr>
        <w:t>Poor visibility, cluttered workspaces, and physical damage (e.g., holes in machine bases) introduced risks that affected both operability and audit performance.</w:t>
      </w:r>
    </w:p>
    <w:p w14:paraId="77C72228" w14:textId="77777777" w:rsidR="003A1A27" w:rsidRPr="00743C24" w:rsidRDefault="003A1A27" w:rsidP="003A1A27">
      <w:pPr>
        <w:spacing w:line="360" w:lineRule="auto"/>
        <w:rPr>
          <w:rFonts w:ascii="Arial" w:hAnsi="Arial" w:cs="Arial"/>
          <w:b/>
          <w:bCs/>
        </w:rPr>
      </w:pPr>
      <w:r w:rsidRPr="00743C24">
        <w:rPr>
          <w:rFonts w:ascii="Arial" w:hAnsi="Arial" w:cs="Arial"/>
          <w:b/>
          <w:bCs/>
        </w:rPr>
        <w:lastRenderedPageBreak/>
        <w:t>Risk Assessment Process</w:t>
      </w:r>
    </w:p>
    <w:p w14:paraId="2FA17CC5" w14:textId="3C3498CF" w:rsidR="003A1A27" w:rsidRPr="00743C24" w:rsidRDefault="003A1A27" w:rsidP="003A1A27">
      <w:pPr>
        <w:spacing w:line="360" w:lineRule="auto"/>
        <w:rPr>
          <w:rFonts w:ascii="Arial" w:hAnsi="Arial" w:cs="Arial"/>
        </w:rPr>
      </w:pPr>
      <w:r w:rsidRPr="00743C24">
        <w:rPr>
          <w:rFonts w:ascii="Arial" w:hAnsi="Arial" w:cs="Arial"/>
        </w:rPr>
        <w:t>SEWS-E uses an informal severity</w:t>
      </w:r>
      <w:r w:rsidR="008860A3">
        <w:rPr>
          <w:rFonts w:ascii="Arial" w:hAnsi="Arial" w:cs="Arial"/>
        </w:rPr>
        <w:t xml:space="preserve"> </w:t>
      </w:r>
      <w:r w:rsidRPr="00743C24">
        <w:rPr>
          <w:rFonts w:ascii="Arial" w:hAnsi="Arial" w:cs="Arial"/>
        </w:rPr>
        <w:t>based approach during audits, where findings are judged by their criticality:</w:t>
      </w:r>
    </w:p>
    <w:p w14:paraId="6489F69E" w14:textId="5AAE40C3" w:rsidR="003A1A27" w:rsidRPr="00743C24" w:rsidRDefault="003A1A27" w:rsidP="003A1A27">
      <w:pPr>
        <w:pStyle w:val="ListParagraph"/>
        <w:numPr>
          <w:ilvl w:val="0"/>
          <w:numId w:val="23"/>
        </w:numPr>
        <w:spacing w:line="360" w:lineRule="auto"/>
        <w:rPr>
          <w:rFonts w:ascii="Arial" w:hAnsi="Arial" w:cs="Arial"/>
        </w:rPr>
      </w:pPr>
      <w:r w:rsidRPr="00743C24">
        <w:rPr>
          <w:rFonts w:ascii="Arial" w:hAnsi="Arial" w:cs="Arial"/>
        </w:rPr>
        <w:t>High-risk issues (e.g., missing E-stops, exposed electrics) are flagged for immediate action due to their potential to cause injury or halt operations.</w:t>
      </w:r>
    </w:p>
    <w:p w14:paraId="3AB96B49" w14:textId="4D762E73" w:rsidR="003A1A27" w:rsidRPr="00743C24" w:rsidRDefault="003A1A27" w:rsidP="003A1A27">
      <w:pPr>
        <w:pStyle w:val="ListParagraph"/>
        <w:numPr>
          <w:ilvl w:val="0"/>
          <w:numId w:val="23"/>
        </w:numPr>
        <w:spacing w:line="360" w:lineRule="auto"/>
        <w:rPr>
          <w:rFonts w:ascii="Arial" w:hAnsi="Arial" w:cs="Arial"/>
        </w:rPr>
      </w:pPr>
      <w:r w:rsidRPr="00743C24">
        <w:rPr>
          <w:rFonts w:ascii="Arial" w:hAnsi="Arial" w:cs="Arial"/>
        </w:rPr>
        <w:t>Medium-risk issues, such as tooling errors or access control gaps, are tracked and corrected under the CAP system within 90 days.</w:t>
      </w:r>
    </w:p>
    <w:p w14:paraId="63EB6ECF" w14:textId="7655AD7A" w:rsidR="003A1A27" w:rsidRPr="00743C24" w:rsidRDefault="003A1A27" w:rsidP="00FE5CD5">
      <w:pPr>
        <w:pStyle w:val="ListParagraph"/>
        <w:numPr>
          <w:ilvl w:val="0"/>
          <w:numId w:val="23"/>
        </w:numPr>
        <w:spacing w:line="360" w:lineRule="auto"/>
        <w:rPr>
          <w:rFonts w:ascii="Arial" w:hAnsi="Arial" w:cs="Arial"/>
        </w:rPr>
      </w:pPr>
      <w:r w:rsidRPr="00743C24">
        <w:rPr>
          <w:rFonts w:ascii="Arial" w:hAnsi="Arial" w:cs="Arial"/>
        </w:rPr>
        <w:t>Low-risk findings, such as outdated labels or minor documentation inconsistencies, are noted but addressed with lower priority unless they impact compliance or repeat across audits.</w:t>
      </w:r>
    </w:p>
    <w:p w14:paraId="1849E545" w14:textId="07A5CB21" w:rsidR="007E1FAB" w:rsidRPr="00743C24" w:rsidRDefault="007E1FAB" w:rsidP="007E1FAB">
      <w:pPr>
        <w:spacing w:line="360" w:lineRule="auto"/>
        <w:rPr>
          <w:rFonts w:ascii="Arial" w:hAnsi="Arial" w:cs="Arial"/>
          <w:b/>
          <w:bCs/>
        </w:rPr>
      </w:pPr>
      <w:r w:rsidRPr="00743C24">
        <w:rPr>
          <w:rFonts w:ascii="Arial" w:hAnsi="Arial" w:cs="Arial"/>
          <w:b/>
          <w:bCs/>
        </w:rPr>
        <w:t>Mitigation Strategies Implemented</w:t>
      </w:r>
    </w:p>
    <w:p w14:paraId="697BD8A5" w14:textId="4933C024" w:rsidR="007E1FAB" w:rsidRPr="00743C24" w:rsidRDefault="007E1FAB" w:rsidP="007E1FAB">
      <w:pPr>
        <w:spacing w:line="360" w:lineRule="auto"/>
        <w:rPr>
          <w:rFonts w:ascii="Arial" w:hAnsi="Arial" w:cs="Arial"/>
        </w:rPr>
      </w:pPr>
      <w:r w:rsidRPr="00743C24">
        <w:rPr>
          <w:rFonts w:ascii="Arial" w:hAnsi="Arial" w:cs="Arial"/>
        </w:rPr>
        <w:t>To address and reduce these risks, SEWS-E adopted the following practical mitigation strategies:</w:t>
      </w:r>
    </w:p>
    <w:p w14:paraId="11F96AFB" w14:textId="2B9B8AAD" w:rsidR="007E1FAB" w:rsidRPr="00743C24" w:rsidRDefault="007E1FAB" w:rsidP="007E1FAB">
      <w:pPr>
        <w:pStyle w:val="ListParagraph"/>
        <w:numPr>
          <w:ilvl w:val="0"/>
          <w:numId w:val="23"/>
        </w:numPr>
        <w:spacing w:line="360" w:lineRule="auto"/>
        <w:rPr>
          <w:rFonts w:ascii="Arial" w:hAnsi="Arial" w:cs="Arial"/>
        </w:rPr>
      </w:pPr>
      <w:r w:rsidRPr="00743C24">
        <w:rPr>
          <w:rFonts w:ascii="Arial" w:hAnsi="Arial" w:cs="Arial"/>
        </w:rPr>
        <w:t>Pre-Audit Briefings</w:t>
      </w:r>
    </w:p>
    <w:p w14:paraId="3ED6B9D0" w14:textId="09CB3893" w:rsidR="007E1FAB" w:rsidRPr="00743C24" w:rsidRDefault="007E1FAB" w:rsidP="007E1FAB">
      <w:pPr>
        <w:pStyle w:val="ListParagraph"/>
        <w:spacing w:line="360" w:lineRule="auto"/>
        <w:rPr>
          <w:rFonts w:ascii="Arial" w:hAnsi="Arial" w:cs="Arial"/>
        </w:rPr>
      </w:pPr>
      <w:r w:rsidRPr="00743C24">
        <w:rPr>
          <w:rFonts w:ascii="Arial" w:hAnsi="Arial" w:cs="Arial"/>
        </w:rPr>
        <w:t>Conducted standardised audit training and awareness sessions at each site to align understanding of expectations and reduce subjective judgment.</w:t>
      </w:r>
    </w:p>
    <w:p w14:paraId="1E607E26" w14:textId="226180FA" w:rsidR="007E1FAB" w:rsidRPr="00743C24" w:rsidRDefault="007E1FAB" w:rsidP="007E1FAB">
      <w:pPr>
        <w:pStyle w:val="ListParagraph"/>
        <w:numPr>
          <w:ilvl w:val="0"/>
          <w:numId w:val="23"/>
        </w:numPr>
        <w:spacing w:line="360" w:lineRule="auto"/>
        <w:rPr>
          <w:rFonts w:ascii="Arial" w:hAnsi="Arial" w:cs="Arial"/>
        </w:rPr>
      </w:pPr>
      <w:r w:rsidRPr="00743C24">
        <w:rPr>
          <w:rFonts w:ascii="Arial" w:hAnsi="Arial" w:cs="Arial"/>
        </w:rPr>
        <w:t>Corrective Action Plan</w:t>
      </w:r>
    </w:p>
    <w:p w14:paraId="6AB19F39" w14:textId="07EFC6F0" w:rsidR="007E1FAB" w:rsidRPr="00743C24" w:rsidRDefault="007E1FAB" w:rsidP="007E1FAB">
      <w:pPr>
        <w:pStyle w:val="ListParagraph"/>
        <w:spacing w:line="360" w:lineRule="auto"/>
        <w:rPr>
          <w:rFonts w:ascii="Arial" w:hAnsi="Arial" w:cs="Arial"/>
        </w:rPr>
      </w:pPr>
      <w:r w:rsidRPr="00743C24">
        <w:rPr>
          <w:rFonts w:ascii="Arial" w:hAnsi="Arial" w:cs="Arial"/>
        </w:rPr>
        <w:t>Non-conformities were logged in the audit system, triggering a structured CAP with deadlines, responsibility assignments, and review checkpoints (per Standard 74393).</w:t>
      </w:r>
    </w:p>
    <w:p w14:paraId="2D447D2B" w14:textId="1CC91C66" w:rsidR="007E1FAB" w:rsidRPr="00743C24" w:rsidRDefault="007E1FAB" w:rsidP="007E1FAB">
      <w:pPr>
        <w:pStyle w:val="ListParagraph"/>
        <w:numPr>
          <w:ilvl w:val="0"/>
          <w:numId w:val="23"/>
        </w:numPr>
        <w:spacing w:line="360" w:lineRule="auto"/>
        <w:rPr>
          <w:rFonts w:ascii="Arial" w:hAnsi="Arial" w:cs="Arial"/>
        </w:rPr>
      </w:pPr>
      <w:r w:rsidRPr="00743C24">
        <w:rPr>
          <w:rFonts w:ascii="Arial" w:hAnsi="Arial" w:cs="Arial"/>
        </w:rPr>
        <w:t>Audit Champion Roles</w:t>
      </w:r>
    </w:p>
    <w:p w14:paraId="17712B1A" w14:textId="43DD0E6C" w:rsidR="007E1FAB" w:rsidRPr="00743C24" w:rsidRDefault="007E1FAB" w:rsidP="007E1FAB">
      <w:pPr>
        <w:pStyle w:val="ListParagraph"/>
        <w:spacing w:line="360" w:lineRule="auto"/>
        <w:rPr>
          <w:rFonts w:ascii="Arial" w:hAnsi="Arial" w:cs="Arial"/>
        </w:rPr>
      </w:pPr>
      <w:r w:rsidRPr="00743C24">
        <w:rPr>
          <w:rFonts w:ascii="Arial" w:hAnsi="Arial" w:cs="Arial"/>
        </w:rPr>
        <w:t>Each site designated a local audit champion to support auditors, provide access credentials, coordinate with maintenance teams, and facilitate real-time issue resolution.</w:t>
      </w:r>
    </w:p>
    <w:p w14:paraId="30EF180D" w14:textId="41D0C25D" w:rsidR="007E1FAB" w:rsidRPr="00743C24" w:rsidRDefault="007E1FAB" w:rsidP="007E1FAB">
      <w:pPr>
        <w:pStyle w:val="ListParagraph"/>
        <w:numPr>
          <w:ilvl w:val="0"/>
          <w:numId w:val="23"/>
        </w:numPr>
        <w:spacing w:line="360" w:lineRule="auto"/>
        <w:rPr>
          <w:rFonts w:ascii="Arial" w:hAnsi="Arial" w:cs="Arial"/>
        </w:rPr>
      </w:pPr>
      <w:r w:rsidRPr="00743C24">
        <w:rPr>
          <w:rFonts w:ascii="Arial" w:hAnsi="Arial" w:cs="Arial"/>
        </w:rPr>
        <w:t>CAP Weekly Escalations</w:t>
      </w:r>
    </w:p>
    <w:p w14:paraId="409B47A6" w14:textId="4EFD11E5" w:rsidR="007E1FAB" w:rsidRPr="00743C24" w:rsidRDefault="007E1FAB" w:rsidP="007E1FAB">
      <w:pPr>
        <w:pStyle w:val="ListParagraph"/>
        <w:spacing w:line="360" w:lineRule="auto"/>
        <w:rPr>
          <w:rFonts w:ascii="Arial" w:hAnsi="Arial" w:cs="Arial"/>
        </w:rPr>
      </w:pPr>
      <w:r w:rsidRPr="00743C24">
        <w:rPr>
          <w:rFonts w:ascii="Arial" w:hAnsi="Arial" w:cs="Arial"/>
        </w:rPr>
        <w:t>Where CAP completion exceeded the 90-day threshold, weekly reports were mandated with justifications and site-level management follow-up, as defined in the audit standard.</w:t>
      </w:r>
    </w:p>
    <w:p w14:paraId="154FB649" w14:textId="492BF11F" w:rsidR="007E1FAB" w:rsidRPr="00743C24" w:rsidRDefault="007E1FAB" w:rsidP="007E1FAB">
      <w:pPr>
        <w:spacing w:line="360" w:lineRule="auto"/>
        <w:rPr>
          <w:rFonts w:ascii="Arial" w:hAnsi="Arial" w:cs="Arial"/>
        </w:rPr>
      </w:pPr>
      <w:r w:rsidRPr="00743C24">
        <w:rPr>
          <w:rFonts w:ascii="Arial" w:hAnsi="Arial" w:cs="Arial"/>
        </w:rPr>
        <w:t>Identifying and actively addressing these risks ensures that SEWS-E’s machinery audits do more than measure</w:t>
      </w:r>
      <w:r w:rsidR="008860A3">
        <w:rPr>
          <w:rFonts w:ascii="Arial" w:hAnsi="Arial" w:cs="Arial"/>
        </w:rPr>
        <w:t xml:space="preserve">, </w:t>
      </w:r>
      <w:r w:rsidRPr="00743C24">
        <w:rPr>
          <w:rFonts w:ascii="Arial" w:hAnsi="Arial" w:cs="Arial"/>
        </w:rPr>
        <w:t>they drive continuous improvement. By implementing both localised and group-wide mitigation strategies, SEWS-E strengthens not only compliance but also operational resilience in global machinery transfers.</w:t>
      </w:r>
    </w:p>
    <w:p w14:paraId="1210186B" w14:textId="77777777" w:rsidR="008E0BBC" w:rsidRPr="00743C24" w:rsidRDefault="008E0BBC" w:rsidP="000D3970">
      <w:pPr>
        <w:spacing w:line="360" w:lineRule="auto"/>
        <w:rPr>
          <w:rFonts w:ascii="Arial" w:hAnsi="Arial" w:cs="Arial"/>
        </w:rPr>
      </w:pPr>
    </w:p>
    <w:p w14:paraId="31C25E03" w14:textId="77777777" w:rsidR="008E0BBC" w:rsidRPr="00743C24" w:rsidRDefault="008E0BBC" w:rsidP="000D3970">
      <w:pPr>
        <w:spacing w:line="360" w:lineRule="auto"/>
        <w:rPr>
          <w:rFonts w:ascii="Arial" w:hAnsi="Arial" w:cs="Arial"/>
        </w:rPr>
      </w:pPr>
    </w:p>
    <w:p w14:paraId="396A8448" w14:textId="23C7BAA8" w:rsidR="00505C55" w:rsidRPr="00743C24" w:rsidRDefault="00505C55" w:rsidP="00D06A2D">
      <w:pPr>
        <w:pStyle w:val="Heading1"/>
        <w:rPr>
          <w:sz w:val="22"/>
          <w:szCs w:val="22"/>
        </w:rPr>
      </w:pPr>
      <w:bookmarkStart w:id="27" w:name="_Toc198120601"/>
      <w:r w:rsidRPr="00743C24">
        <w:rPr>
          <w:sz w:val="22"/>
          <w:szCs w:val="22"/>
        </w:rPr>
        <w:lastRenderedPageBreak/>
        <w:t>7. Comparative Analysis: 2023/24 Data</w:t>
      </w:r>
      <w:bookmarkEnd w:id="27"/>
    </w:p>
    <w:p w14:paraId="46618590" w14:textId="244FC9B5" w:rsidR="00505C55" w:rsidRPr="00743C24" w:rsidRDefault="00957B0C" w:rsidP="00D06A2D">
      <w:pPr>
        <w:pStyle w:val="Heading2"/>
        <w:rPr>
          <w:szCs w:val="22"/>
        </w:rPr>
      </w:pPr>
      <w:r w:rsidRPr="00743C24">
        <w:rPr>
          <w:noProof/>
          <w:szCs w:val="22"/>
        </w:rPr>
        <w:t xml:space="preserve"> </w:t>
      </w:r>
      <w:bookmarkStart w:id="28" w:name="_Toc198120602"/>
      <w:r w:rsidR="00505C55" w:rsidRPr="00743C24">
        <w:rPr>
          <w:szCs w:val="22"/>
        </w:rPr>
        <w:t>7.1 Overview of 2023 Audit Results</w:t>
      </w:r>
      <w:bookmarkEnd w:id="28"/>
    </w:p>
    <w:p w14:paraId="31029186" w14:textId="1A617BD3" w:rsidR="00D06A2D" w:rsidRPr="00743C24" w:rsidRDefault="00D06A2D" w:rsidP="00D06A2D">
      <w:pPr>
        <w:spacing w:line="360" w:lineRule="auto"/>
        <w:rPr>
          <w:rFonts w:ascii="Arial" w:hAnsi="Arial" w:cs="Arial"/>
        </w:rPr>
      </w:pPr>
      <w:r w:rsidRPr="00743C24">
        <w:rPr>
          <w:rFonts w:ascii="Arial" w:hAnsi="Arial" w:cs="Arial"/>
        </w:rPr>
        <w:t>The 2023 internal audits conducted across SEWS-E sites marked the first evaluation across multiple regions and machine categories. These results provide valuable insight into performance consistency, areas for improvement, and best practice benchmarking.</w:t>
      </w:r>
    </w:p>
    <w:p w14:paraId="118074AB" w14:textId="28D81FB3" w:rsidR="00D06A2D" w:rsidRPr="00743C24" w:rsidRDefault="00D06A2D" w:rsidP="00D06A2D">
      <w:pPr>
        <w:spacing w:line="360" w:lineRule="auto"/>
        <w:rPr>
          <w:rFonts w:ascii="Arial" w:hAnsi="Arial" w:cs="Arial"/>
          <w:b/>
          <w:bCs/>
        </w:rPr>
      </w:pPr>
      <w:r w:rsidRPr="00743C24">
        <w:rPr>
          <w:rFonts w:ascii="Arial" w:hAnsi="Arial" w:cs="Arial"/>
          <w:noProof/>
        </w:rPr>
        <w:drawing>
          <wp:anchor distT="0" distB="0" distL="114300" distR="114300" simplePos="0" relativeHeight="251663360" behindDoc="0" locked="0" layoutInCell="1" allowOverlap="1" wp14:anchorId="6A7DA24D" wp14:editId="7F8B353F">
            <wp:simplePos x="0" y="0"/>
            <wp:positionH relativeFrom="margin">
              <wp:align>center</wp:align>
            </wp:positionH>
            <wp:positionV relativeFrom="paragraph">
              <wp:posOffset>241610</wp:posOffset>
            </wp:positionV>
            <wp:extent cx="6875145" cy="2670810"/>
            <wp:effectExtent l="19050" t="19050" r="20955" b="15240"/>
            <wp:wrapTopAndBottom/>
            <wp:docPr id="6" name="Picture 5">
              <a:extLst xmlns:a="http://schemas.openxmlformats.org/drawingml/2006/main">
                <a:ext uri="{FF2B5EF4-FFF2-40B4-BE49-F238E27FC236}">
                  <a16:creationId xmlns:a16="http://schemas.microsoft.com/office/drawing/2014/main" id="{7CCB1906-734F-3D77-95E2-FCAAD38822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CCB1906-734F-3D77-95E2-FCAAD3882220}"/>
                        </a:ext>
                      </a:extLst>
                    </pic:cNvPr>
                    <pic:cNvPicPr>
                      <a:picLocks noChangeAspect="1"/>
                    </pic:cNvPicPr>
                  </pic:nvPicPr>
                  <pic:blipFill>
                    <a:blip r:embed="rId24"/>
                    <a:stretch>
                      <a:fillRect/>
                    </a:stretch>
                  </pic:blipFill>
                  <pic:spPr>
                    <a:xfrm>
                      <a:off x="0" y="0"/>
                      <a:ext cx="6875145" cy="267081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743C24">
        <w:rPr>
          <w:rFonts w:ascii="Arial" w:hAnsi="Arial" w:cs="Arial"/>
          <w:b/>
          <w:bCs/>
        </w:rPr>
        <w:t>Overall Site Performance</w:t>
      </w:r>
    </w:p>
    <w:p w14:paraId="6DDF0BF6" w14:textId="35976579" w:rsidR="00D06A2D" w:rsidRPr="00743C24" w:rsidRDefault="00D06A2D" w:rsidP="00D06A2D">
      <w:pPr>
        <w:spacing w:line="360" w:lineRule="auto"/>
        <w:rPr>
          <w:rFonts w:ascii="Arial" w:hAnsi="Arial" w:cs="Arial"/>
        </w:rPr>
      </w:pPr>
      <w:r w:rsidRPr="00743C24">
        <w:rPr>
          <w:rFonts w:ascii="Arial" w:hAnsi="Arial" w:cs="Arial"/>
          <w:color w:val="BF8F00" w:themeColor="accent4" w:themeShade="BF"/>
        </w:rPr>
        <w:t>Figure 8</w:t>
      </w:r>
      <w:r w:rsidRPr="00743C24">
        <w:rPr>
          <w:rFonts w:ascii="Arial" w:hAnsi="Arial" w:cs="Arial"/>
        </w:rPr>
        <w:t>: SEWS-E Audit Scores by Machine and Country (2023)</w:t>
      </w:r>
    </w:p>
    <w:p w14:paraId="470BEDE0" w14:textId="5F243A83" w:rsidR="00D06A2D" w:rsidRPr="00743C24" w:rsidRDefault="00D06A2D" w:rsidP="00D06A2D">
      <w:pPr>
        <w:spacing w:line="360" w:lineRule="auto"/>
        <w:rPr>
          <w:rFonts w:ascii="Arial" w:hAnsi="Arial" w:cs="Arial"/>
        </w:rPr>
      </w:pPr>
      <w:r w:rsidRPr="00743C24">
        <w:rPr>
          <w:rFonts w:ascii="Arial" w:hAnsi="Arial" w:cs="Arial"/>
        </w:rPr>
        <w:t>The total site scores, represented by the purple dots in the first chart, show a relatively consistent audit performance across countries, with most sites scoring in the low-to-mid 80% range:</w:t>
      </w:r>
    </w:p>
    <w:p w14:paraId="4752845B" w14:textId="0BE58E55" w:rsidR="00D06A2D" w:rsidRPr="00743C24" w:rsidRDefault="00D06A2D" w:rsidP="00D06A2D">
      <w:pPr>
        <w:pStyle w:val="ListParagraph"/>
        <w:numPr>
          <w:ilvl w:val="0"/>
          <w:numId w:val="23"/>
        </w:numPr>
        <w:spacing w:line="360" w:lineRule="auto"/>
        <w:rPr>
          <w:rFonts w:ascii="Arial" w:hAnsi="Arial" w:cs="Arial"/>
        </w:rPr>
      </w:pPr>
      <w:r w:rsidRPr="00743C24">
        <w:rPr>
          <w:rFonts w:ascii="Arial" w:hAnsi="Arial" w:cs="Arial"/>
        </w:rPr>
        <w:t>Romania achieved the highest site score at 86.7%, indicating strong cross-category compliance.</w:t>
      </w:r>
    </w:p>
    <w:p w14:paraId="485A45E6" w14:textId="087C01E5" w:rsidR="00D06A2D" w:rsidRPr="00743C24" w:rsidRDefault="00D06A2D" w:rsidP="00D06A2D">
      <w:pPr>
        <w:pStyle w:val="ListParagraph"/>
        <w:numPr>
          <w:ilvl w:val="0"/>
          <w:numId w:val="23"/>
        </w:numPr>
        <w:spacing w:line="360" w:lineRule="auto"/>
        <w:rPr>
          <w:rFonts w:ascii="Arial" w:hAnsi="Arial" w:cs="Arial"/>
        </w:rPr>
      </w:pPr>
      <w:r w:rsidRPr="00743C24">
        <w:rPr>
          <w:rFonts w:ascii="Arial" w:hAnsi="Arial" w:cs="Arial"/>
        </w:rPr>
        <w:t>Egypt and Monastir</w:t>
      </w:r>
      <w:r w:rsidR="00663603" w:rsidRPr="00743C24">
        <w:rPr>
          <w:rFonts w:ascii="Arial" w:hAnsi="Arial" w:cs="Arial"/>
        </w:rPr>
        <w:t xml:space="preserve"> (Tunisia)</w:t>
      </w:r>
      <w:r w:rsidRPr="00743C24">
        <w:rPr>
          <w:rFonts w:ascii="Arial" w:hAnsi="Arial" w:cs="Arial"/>
        </w:rPr>
        <w:t xml:space="preserve"> followed closely with 83.4% and 82.6%, respectively.</w:t>
      </w:r>
    </w:p>
    <w:p w14:paraId="57B6924F" w14:textId="68EAE2D5" w:rsidR="00D06A2D" w:rsidRPr="00743C24" w:rsidRDefault="00D06A2D" w:rsidP="00D06A2D">
      <w:pPr>
        <w:pStyle w:val="ListParagraph"/>
        <w:numPr>
          <w:ilvl w:val="0"/>
          <w:numId w:val="23"/>
        </w:numPr>
        <w:spacing w:line="360" w:lineRule="auto"/>
        <w:rPr>
          <w:rFonts w:ascii="Arial" w:hAnsi="Arial" w:cs="Arial"/>
        </w:rPr>
      </w:pPr>
      <w:r w:rsidRPr="00743C24">
        <w:rPr>
          <w:rFonts w:ascii="Arial" w:hAnsi="Arial" w:cs="Arial"/>
        </w:rPr>
        <w:t>Morocco recorded the lowest site-wide score at 81.1%, primarily due to lower scores in certain machine categories like Applicators and Presses.</w:t>
      </w:r>
    </w:p>
    <w:p w14:paraId="073DF49F" w14:textId="7C365508" w:rsidR="00D06A2D" w:rsidRPr="00743C24" w:rsidRDefault="00D06A2D" w:rsidP="00D06A2D">
      <w:pPr>
        <w:pStyle w:val="ListParagraph"/>
        <w:numPr>
          <w:ilvl w:val="0"/>
          <w:numId w:val="23"/>
        </w:numPr>
        <w:spacing w:line="360" w:lineRule="auto"/>
        <w:rPr>
          <w:rFonts w:ascii="Arial" w:hAnsi="Arial" w:cs="Arial"/>
        </w:rPr>
      </w:pPr>
      <w:r w:rsidRPr="00743C24">
        <w:rPr>
          <w:rFonts w:ascii="Arial" w:hAnsi="Arial" w:cs="Arial"/>
        </w:rPr>
        <w:t>SEWS-E’s average across all locations was 82.</w:t>
      </w:r>
      <w:r w:rsidR="00B34666" w:rsidRPr="00743C24">
        <w:rPr>
          <w:rFonts w:ascii="Arial" w:hAnsi="Arial" w:cs="Arial"/>
        </w:rPr>
        <w:t>8</w:t>
      </w:r>
      <w:r w:rsidRPr="00743C24">
        <w:rPr>
          <w:rFonts w:ascii="Arial" w:hAnsi="Arial" w:cs="Arial"/>
        </w:rPr>
        <w:t>%.</w:t>
      </w:r>
    </w:p>
    <w:p w14:paraId="1217C52E" w14:textId="77777777" w:rsidR="00D06A2D" w:rsidRPr="00743C24" w:rsidRDefault="00D06A2D" w:rsidP="00D06A2D">
      <w:pPr>
        <w:spacing w:line="360" w:lineRule="auto"/>
        <w:rPr>
          <w:rFonts w:ascii="Arial" w:hAnsi="Arial" w:cs="Arial"/>
        </w:rPr>
      </w:pPr>
    </w:p>
    <w:p w14:paraId="3C345C06" w14:textId="34F43F71" w:rsidR="00D06A2D" w:rsidRPr="00743C24" w:rsidRDefault="00D06A2D" w:rsidP="00D06A2D">
      <w:pPr>
        <w:spacing w:line="360" w:lineRule="auto"/>
        <w:rPr>
          <w:rFonts w:ascii="Arial" w:hAnsi="Arial" w:cs="Arial"/>
        </w:rPr>
      </w:pPr>
      <w:r w:rsidRPr="00743C24">
        <w:rPr>
          <w:rFonts w:ascii="Arial" w:hAnsi="Arial" w:cs="Arial"/>
        </w:rPr>
        <w:t>This suggests a stable internal audit framework overall, with slight regional differences that could be addressed through targeted process improvements and training.</w:t>
      </w:r>
    </w:p>
    <w:p w14:paraId="01AF4F97" w14:textId="6113F7EC" w:rsidR="00870C5A" w:rsidRPr="00743C24" w:rsidRDefault="00870C5A" w:rsidP="00D06A2D">
      <w:pPr>
        <w:spacing w:line="360" w:lineRule="auto"/>
        <w:rPr>
          <w:rFonts w:ascii="Arial" w:hAnsi="Arial" w:cs="Arial"/>
        </w:rPr>
      </w:pPr>
    </w:p>
    <w:p w14:paraId="524170CC" w14:textId="20F4DA5F" w:rsidR="00893D36" w:rsidRPr="00743C24" w:rsidRDefault="00D06A2D" w:rsidP="00D06A2D">
      <w:pPr>
        <w:spacing w:line="360" w:lineRule="auto"/>
        <w:rPr>
          <w:rFonts w:ascii="Arial" w:hAnsi="Arial" w:cs="Arial"/>
          <w:b/>
          <w:bCs/>
        </w:rPr>
      </w:pPr>
      <w:r w:rsidRPr="00743C24">
        <w:rPr>
          <w:rFonts w:ascii="Arial" w:hAnsi="Arial" w:cs="Arial"/>
          <w:b/>
          <w:bCs/>
          <w:noProof/>
        </w:rPr>
        <w:lastRenderedPageBreak/>
        <w:drawing>
          <wp:anchor distT="0" distB="0" distL="114300" distR="114300" simplePos="0" relativeHeight="251664384" behindDoc="0" locked="0" layoutInCell="1" allowOverlap="1" wp14:anchorId="4ECCB127" wp14:editId="31AC22A6">
            <wp:simplePos x="0" y="0"/>
            <wp:positionH relativeFrom="margin">
              <wp:align>center</wp:align>
            </wp:positionH>
            <wp:positionV relativeFrom="paragraph">
              <wp:posOffset>306055</wp:posOffset>
            </wp:positionV>
            <wp:extent cx="6841490" cy="2308860"/>
            <wp:effectExtent l="19050" t="19050" r="16510" b="15240"/>
            <wp:wrapTopAndBottom/>
            <wp:docPr id="13" name="Picture 12">
              <a:extLst xmlns:a="http://schemas.openxmlformats.org/drawingml/2006/main">
                <a:ext uri="{FF2B5EF4-FFF2-40B4-BE49-F238E27FC236}">
                  <a16:creationId xmlns:a16="http://schemas.microsoft.com/office/drawing/2014/main" id="{67EFB491-FD1B-1FD2-C974-4E5B87F3C9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67EFB491-FD1B-1FD2-C974-4E5B87F3C965}"/>
                        </a:ext>
                      </a:extLst>
                    </pic:cNvPr>
                    <pic:cNvPicPr>
                      <a:picLocks noChangeAspect="1"/>
                    </pic:cNvPicPr>
                  </pic:nvPicPr>
                  <pic:blipFill>
                    <a:blip r:embed="rId25"/>
                    <a:stretch>
                      <a:fillRect/>
                    </a:stretch>
                  </pic:blipFill>
                  <pic:spPr>
                    <a:xfrm>
                      <a:off x="0" y="0"/>
                      <a:ext cx="6841490" cy="230886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743C24">
        <w:rPr>
          <w:rFonts w:ascii="Arial" w:hAnsi="Arial" w:cs="Arial"/>
          <w:b/>
          <w:bCs/>
        </w:rPr>
        <w:t>Performance by Machine Category</w:t>
      </w:r>
    </w:p>
    <w:p w14:paraId="174F26BE" w14:textId="22D751B6" w:rsidR="00D06A2D" w:rsidRPr="00743C24" w:rsidRDefault="00D06A2D" w:rsidP="00D06A2D">
      <w:pPr>
        <w:spacing w:line="360" w:lineRule="auto"/>
        <w:rPr>
          <w:rFonts w:ascii="Arial" w:hAnsi="Arial" w:cs="Arial"/>
        </w:rPr>
      </w:pPr>
      <w:r w:rsidRPr="00743C24">
        <w:rPr>
          <w:rFonts w:ascii="Arial" w:hAnsi="Arial" w:cs="Arial"/>
          <w:color w:val="BF8F00" w:themeColor="accent4" w:themeShade="BF"/>
        </w:rPr>
        <w:t>Figure 9</w:t>
      </w:r>
      <w:r w:rsidRPr="00743C24">
        <w:rPr>
          <w:rFonts w:ascii="Arial" w:hAnsi="Arial" w:cs="Arial"/>
        </w:rPr>
        <w:t>.  Audit Scores by Machine Type</w:t>
      </w:r>
      <w:r w:rsidR="007C4478" w:rsidRPr="00743C24">
        <w:rPr>
          <w:rFonts w:ascii="Arial" w:hAnsi="Arial" w:cs="Arial"/>
        </w:rPr>
        <w:t xml:space="preserve"> (2023)</w:t>
      </w:r>
    </w:p>
    <w:p w14:paraId="30832653" w14:textId="7EE0AB78" w:rsidR="00D06A2D" w:rsidRPr="00743C24" w:rsidRDefault="00D06A2D" w:rsidP="00D06A2D">
      <w:pPr>
        <w:spacing w:line="360" w:lineRule="auto"/>
        <w:rPr>
          <w:rFonts w:ascii="Arial" w:hAnsi="Arial" w:cs="Arial"/>
        </w:rPr>
      </w:pPr>
      <w:r w:rsidRPr="00743C24">
        <w:rPr>
          <w:rFonts w:ascii="Arial" w:hAnsi="Arial" w:cs="Arial"/>
        </w:rPr>
        <w:t>As shown in the second chart, audit scores by machine type reveal where standards were upheld and where gaps remain:</w:t>
      </w:r>
    </w:p>
    <w:p w14:paraId="59122669" w14:textId="79F402C6" w:rsidR="00D06A2D" w:rsidRPr="00743C24" w:rsidRDefault="00D06A2D" w:rsidP="00D06A2D">
      <w:pPr>
        <w:spacing w:line="360" w:lineRule="auto"/>
        <w:rPr>
          <w:rFonts w:ascii="Arial" w:hAnsi="Arial" w:cs="Arial"/>
        </w:rPr>
      </w:pPr>
      <w:r w:rsidRPr="00743C24">
        <w:rPr>
          <w:rFonts w:ascii="Arial" w:hAnsi="Arial" w:cs="Arial"/>
        </w:rPr>
        <w:t xml:space="preserve">As shown in </w:t>
      </w:r>
      <w:r w:rsidRPr="00743C24">
        <w:rPr>
          <w:rFonts w:ascii="Arial" w:hAnsi="Arial" w:cs="Arial"/>
          <w:color w:val="BF8F00" w:themeColor="accent4" w:themeShade="BF"/>
        </w:rPr>
        <w:t>figure 9</w:t>
      </w:r>
      <w:r w:rsidRPr="00743C24">
        <w:rPr>
          <w:rFonts w:ascii="Arial" w:hAnsi="Arial" w:cs="Arial"/>
        </w:rPr>
        <w:t>, audit scores by machine type reveal where standards were upheld and where gaps remain:</w:t>
      </w:r>
    </w:p>
    <w:p w14:paraId="62D262C7" w14:textId="3076FEFE" w:rsidR="00D06A2D" w:rsidRPr="00743C24" w:rsidRDefault="00D06A2D" w:rsidP="00D06A2D">
      <w:pPr>
        <w:pStyle w:val="ListParagraph"/>
        <w:numPr>
          <w:ilvl w:val="0"/>
          <w:numId w:val="24"/>
        </w:numPr>
        <w:spacing w:line="360" w:lineRule="auto"/>
        <w:rPr>
          <w:rFonts w:ascii="Arial" w:hAnsi="Arial" w:cs="Arial"/>
        </w:rPr>
      </w:pPr>
      <w:r w:rsidRPr="00743C24">
        <w:rPr>
          <w:rFonts w:ascii="Arial" w:hAnsi="Arial" w:cs="Arial"/>
        </w:rPr>
        <w:t>Kappa (90.5%) and Man Twist (89.2%) machines performed exceptionally well, suggesting strong compliance in setup and operational readiness.</w:t>
      </w:r>
    </w:p>
    <w:p w14:paraId="577AEE53" w14:textId="0251C1CB" w:rsidR="00D06A2D" w:rsidRPr="00743C24" w:rsidRDefault="00D06A2D" w:rsidP="00D06A2D">
      <w:pPr>
        <w:pStyle w:val="ListParagraph"/>
        <w:numPr>
          <w:ilvl w:val="0"/>
          <w:numId w:val="24"/>
        </w:numPr>
        <w:spacing w:line="360" w:lineRule="auto"/>
        <w:rPr>
          <w:rFonts w:ascii="Arial" w:hAnsi="Arial" w:cs="Arial"/>
        </w:rPr>
      </w:pPr>
      <w:r w:rsidRPr="00743C24">
        <w:rPr>
          <w:rFonts w:ascii="Arial" w:hAnsi="Arial" w:cs="Arial"/>
        </w:rPr>
        <w:t>Applicators (83.1%) and CC (82.5%) machines also performed above average, showing general audit readiness.</w:t>
      </w:r>
    </w:p>
    <w:p w14:paraId="370EA979" w14:textId="17D2A552" w:rsidR="00D06A2D" w:rsidRPr="00743C24" w:rsidRDefault="00D06A2D" w:rsidP="00D06A2D">
      <w:pPr>
        <w:pStyle w:val="ListParagraph"/>
        <w:numPr>
          <w:ilvl w:val="0"/>
          <w:numId w:val="24"/>
        </w:numPr>
        <w:spacing w:line="360" w:lineRule="auto"/>
        <w:rPr>
          <w:rFonts w:ascii="Arial" w:hAnsi="Arial" w:cs="Arial"/>
        </w:rPr>
      </w:pPr>
      <w:r w:rsidRPr="00743C24">
        <w:rPr>
          <w:rFonts w:ascii="Arial" w:hAnsi="Arial" w:cs="Arial"/>
        </w:rPr>
        <w:t>Presses (78.6%) had slightly lower compliance, with room for standardisation improvements.</w:t>
      </w:r>
    </w:p>
    <w:p w14:paraId="64C6DE76" w14:textId="324FA567" w:rsidR="00893D36" w:rsidRPr="00743C24" w:rsidRDefault="00D06A2D" w:rsidP="00D06A2D">
      <w:pPr>
        <w:pStyle w:val="ListParagraph"/>
        <w:numPr>
          <w:ilvl w:val="0"/>
          <w:numId w:val="24"/>
        </w:numPr>
        <w:spacing w:line="360" w:lineRule="auto"/>
        <w:rPr>
          <w:rFonts w:ascii="Arial" w:hAnsi="Arial" w:cs="Arial"/>
        </w:rPr>
      </w:pPr>
      <w:r w:rsidRPr="00743C24">
        <w:rPr>
          <w:rFonts w:ascii="Arial" w:hAnsi="Arial" w:cs="Arial"/>
        </w:rPr>
        <w:t>USW machines (73.3%) scored the lowest, echoing the issues previously highlighted in Section 6.3. This reinforces the need for attention to operator access (e.g., passwords), component conditions (e.g., worn-out sonotrodes), and safety-critical hardware (e.g., emergency stops).</w:t>
      </w:r>
    </w:p>
    <w:p w14:paraId="11010925" w14:textId="4346FC76" w:rsidR="00E27EC7" w:rsidRPr="00743C24" w:rsidRDefault="00E27EC7" w:rsidP="00D06A2D">
      <w:pPr>
        <w:spacing w:line="360" w:lineRule="auto"/>
        <w:rPr>
          <w:rFonts w:ascii="Arial" w:hAnsi="Arial" w:cs="Arial"/>
        </w:rPr>
      </w:pPr>
    </w:p>
    <w:p w14:paraId="78F2B1A1" w14:textId="700B780A" w:rsidR="00E27EC7" w:rsidRPr="00743C24" w:rsidRDefault="00E27EC7" w:rsidP="00D06A2D">
      <w:pPr>
        <w:spacing w:line="360" w:lineRule="auto"/>
        <w:rPr>
          <w:rFonts w:ascii="Arial" w:hAnsi="Arial" w:cs="Arial"/>
        </w:rPr>
      </w:pPr>
    </w:p>
    <w:p w14:paraId="7C35C420" w14:textId="3214A462" w:rsidR="00E27EC7" w:rsidRPr="00743C24" w:rsidRDefault="00E27EC7" w:rsidP="00893D36">
      <w:pPr>
        <w:rPr>
          <w:rFonts w:ascii="Arial" w:hAnsi="Arial" w:cs="Arial"/>
        </w:rPr>
      </w:pPr>
    </w:p>
    <w:p w14:paraId="02BADA22" w14:textId="77777777" w:rsidR="00D06A2D" w:rsidRPr="00743C24" w:rsidRDefault="00D06A2D" w:rsidP="00893D36">
      <w:pPr>
        <w:rPr>
          <w:rFonts w:ascii="Arial" w:hAnsi="Arial" w:cs="Arial"/>
        </w:rPr>
      </w:pPr>
    </w:p>
    <w:p w14:paraId="52751F4D" w14:textId="77777777" w:rsidR="00D06A2D" w:rsidRPr="00743C24" w:rsidRDefault="00D06A2D" w:rsidP="00893D36">
      <w:pPr>
        <w:rPr>
          <w:rFonts w:ascii="Arial" w:hAnsi="Arial" w:cs="Arial"/>
        </w:rPr>
      </w:pPr>
    </w:p>
    <w:p w14:paraId="6A1939A5" w14:textId="77777777" w:rsidR="00D06A2D" w:rsidRPr="00743C24" w:rsidRDefault="00D06A2D" w:rsidP="00893D36">
      <w:pPr>
        <w:rPr>
          <w:rFonts w:ascii="Arial" w:hAnsi="Arial" w:cs="Arial"/>
        </w:rPr>
      </w:pPr>
    </w:p>
    <w:p w14:paraId="01B958FC" w14:textId="77777777" w:rsidR="00D06A2D" w:rsidRPr="00743C24" w:rsidRDefault="00D06A2D" w:rsidP="00893D36">
      <w:pPr>
        <w:rPr>
          <w:rFonts w:ascii="Arial" w:hAnsi="Arial" w:cs="Arial"/>
        </w:rPr>
      </w:pPr>
    </w:p>
    <w:p w14:paraId="3B20E81F" w14:textId="302FF46D" w:rsidR="00D06A2D" w:rsidRPr="00743C24" w:rsidRDefault="007C4478" w:rsidP="007C4478">
      <w:pPr>
        <w:spacing w:line="360" w:lineRule="auto"/>
        <w:rPr>
          <w:rFonts w:ascii="Arial" w:hAnsi="Arial" w:cs="Arial"/>
          <w:b/>
          <w:bCs/>
        </w:rPr>
      </w:pPr>
      <w:r w:rsidRPr="00743C24">
        <w:rPr>
          <w:rFonts w:ascii="Arial" w:hAnsi="Arial" w:cs="Arial"/>
          <w:b/>
          <w:bCs/>
          <w:noProof/>
        </w:rPr>
        <w:lastRenderedPageBreak/>
        <w:drawing>
          <wp:anchor distT="0" distB="0" distL="114300" distR="114300" simplePos="0" relativeHeight="251670528" behindDoc="0" locked="0" layoutInCell="1" allowOverlap="1" wp14:anchorId="789D05DE" wp14:editId="5CFDF5F4">
            <wp:simplePos x="0" y="0"/>
            <wp:positionH relativeFrom="margin">
              <wp:align>center</wp:align>
            </wp:positionH>
            <wp:positionV relativeFrom="paragraph">
              <wp:posOffset>315728</wp:posOffset>
            </wp:positionV>
            <wp:extent cx="6873240" cy="2380615"/>
            <wp:effectExtent l="19050" t="19050" r="22860" b="19685"/>
            <wp:wrapTopAndBottom/>
            <wp:docPr id="17" name="Picture 16">
              <a:extLst xmlns:a="http://schemas.openxmlformats.org/drawingml/2006/main">
                <a:ext uri="{FF2B5EF4-FFF2-40B4-BE49-F238E27FC236}">
                  <a16:creationId xmlns:a16="http://schemas.microsoft.com/office/drawing/2014/main" id="{AA4509E6-2FBA-6ABE-198C-EF42DAE051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AA4509E6-2FBA-6ABE-198C-EF42DAE0515A}"/>
                        </a:ext>
                      </a:extLst>
                    </pic:cNvPr>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6873240" cy="238061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D06A2D" w:rsidRPr="00743C24">
        <w:rPr>
          <w:rFonts w:ascii="Arial" w:hAnsi="Arial" w:cs="Arial"/>
          <w:b/>
          <w:bCs/>
        </w:rPr>
        <w:t>Category-Level Performance</w:t>
      </w:r>
    </w:p>
    <w:p w14:paraId="4BA4A209" w14:textId="5FA2A9DE" w:rsidR="00D06A2D" w:rsidRPr="00743C24" w:rsidRDefault="007C4478" w:rsidP="007C4478">
      <w:pPr>
        <w:spacing w:line="360" w:lineRule="auto"/>
        <w:rPr>
          <w:rFonts w:ascii="Arial" w:hAnsi="Arial" w:cs="Arial"/>
        </w:rPr>
      </w:pPr>
      <w:r w:rsidRPr="00743C24">
        <w:rPr>
          <w:rFonts w:ascii="Arial" w:hAnsi="Arial" w:cs="Arial"/>
          <w:color w:val="BF8F00" w:themeColor="accent4" w:themeShade="BF"/>
        </w:rPr>
        <w:t>Figure 10</w:t>
      </w:r>
      <w:r w:rsidRPr="00743C24">
        <w:rPr>
          <w:rFonts w:ascii="Arial" w:hAnsi="Arial" w:cs="Arial"/>
        </w:rPr>
        <w:t xml:space="preserve">. </w:t>
      </w:r>
      <w:bookmarkStart w:id="29" w:name="_Hlk195087417"/>
      <w:r w:rsidRPr="00743C24">
        <w:rPr>
          <w:rFonts w:ascii="Arial" w:hAnsi="Arial" w:cs="Arial"/>
        </w:rPr>
        <w:t>Audit Scores by Category (2023)</w:t>
      </w:r>
      <w:bookmarkEnd w:id="29"/>
    </w:p>
    <w:p w14:paraId="0A561F75" w14:textId="3222928D" w:rsidR="007C4478" w:rsidRPr="00743C24" w:rsidRDefault="007C4478" w:rsidP="007C4478">
      <w:pPr>
        <w:spacing w:line="360" w:lineRule="auto"/>
        <w:rPr>
          <w:rFonts w:ascii="Arial" w:hAnsi="Arial" w:cs="Arial"/>
        </w:rPr>
      </w:pPr>
      <w:r w:rsidRPr="00743C24">
        <w:rPr>
          <w:rFonts w:ascii="Arial" w:hAnsi="Arial" w:cs="Arial"/>
          <w:color w:val="BF8F00" w:themeColor="accent4" w:themeShade="BF"/>
        </w:rPr>
        <w:t>Figure 10</w:t>
      </w:r>
      <w:r w:rsidRPr="00743C24">
        <w:rPr>
          <w:rFonts w:ascii="Arial" w:hAnsi="Arial" w:cs="Arial"/>
        </w:rPr>
        <w:t>.’s chart highlights performance by audit checklist category across regions:</w:t>
      </w:r>
    </w:p>
    <w:p w14:paraId="4307E8A1" w14:textId="2ED5977B" w:rsidR="007C4478" w:rsidRPr="00743C24" w:rsidRDefault="007C4478" w:rsidP="007C4478">
      <w:pPr>
        <w:pStyle w:val="ListParagraph"/>
        <w:numPr>
          <w:ilvl w:val="0"/>
          <w:numId w:val="25"/>
        </w:numPr>
        <w:spacing w:line="360" w:lineRule="auto"/>
        <w:rPr>
          <w:rFonts w:ascii="Arial" w:hAnsi="Arial" w:cs="Arial"/>
        </w:rPr>
      </w:pPr>
      <w:r w:rsidRPr="00743C24">
        <w:rPr>
          <w:rFonts w:ascii="Arial" w:hAnsi="Arial" w:cs="Arial"/>
        </w:rPr>
        <w:t>Quality was the strongest scoring area across most regions, particularly in Egypt (86%) and Romania (92%), demonstrating adherence to process documentation and quality standards.</w:t>
      </w:r>
    </w:p>
    <w:p w14:paraId="0304CEFF" w14:textId="5321210D" w:rsidR="007C4478" w:rsidRPr="00743C24" w:rsidRDefault="007C4478" w:rsidP="007C4478">
      <w:pPr>
        <w:pStyle w:val="ListParagraph"/>
        <w:numPr>
          <w:ilvl w:val="0"/>
          <w:numId w:val="25"/>
        </w:numPr>
        <w:spacing w:line="360" w:lineRule="auto"/>
        <w:rPr>
          <w:rFonts w:ascii="Arial" w:hAnsi="Arial" w:cs="Arial"/>
        </w:rPr>
      </w:pPr>
      <w:r w:rsidRPr="00743C24">
        <w:rPr>
          <w:rFonts w:ascii="Arial" w:hAnsi="Arial" w:cs="Arial"/>
        </w:rPr>
        <w:t>General Condition showed solid performance overall, especially in Tunisia (87%) and Romania (81%).</w:t>
      </w:r>
    </w:p>
    <w:p w14:paraId="25FD232C" w14:textId="38FDC19F" w:rsidR="007C4478" w:rsidRPr="00743C24" w:rsidRDefault="007C4478" w:rsidP="007C4478">
      <w:pPr>
        <w:pStyle w:val="ListParagraph"/>
        <w:numPr>
          <w:ilvl w:val="0"/>
          <w:numId w:val="25"/>
        </w:numPr>
        <w:spacing w:line="360" w:lineRule="auto"/>
        <w:rPr>
          <w:rFonts w:ascii="Arial" w:hAnsi="Arial" w:cs="Arial"/>
        </w:rPr>
      </w:pPr>
      <w:r w:rsidRPr="00743C24">
        <w:rPr>
          <w:rFonts w:ascii="Arial" w:hAnsi="Arial" w:cs="Arial"/>
        </w:rPr>
        <w:t>Spare Parts compliance varied more significantly, ranging from 62% in Romania to 84% in Morocco, pointing to inconsistencies in spare parts availability and documentation.</w:t>
      </w:r>
    </w:p>
    <w:p w14:paraId="7B3B0EBF" w14:textId="77777777" w:rsidR="007C4478" w:rsidRPr="00743C24" w:rsidRDefault="007C4478" w:rsidP="007C4478">
      <w:pPr>
        <w:pStyle w:val="ListParagraph"/>
        <w:numPr>
          <w:ilvl w:val="0"/>
          <w:numId w:val="25"/>
        </w:numPr>
        <w:spacing w:line="360" w:lineRule="auto"/>
        <w:rPr>
          <w:rFonts w:ascii="Arial" w:hAnsi="Arial" w:cs="Arial"/>
        </w:rPr>
      </w:pPr>
      <w:r w:rsidRPr="00743C24">
        <w:rPr>
          <w:rFonts w:ascii="Arial" w:hAnsi="Arial" w:cs="Arial"/>
        </w:rPr>
        <w:t>Health and Safety (H&amp;S) remains a critical area for attention, with the lowest scores seen in Morocco (71%) and Romania (72%), indicating potential gaps in machine safeguarding, emergency procedures, or signage.</w:t>
      </w:r>
    </w:p>
    <w:p w14:paraId="23B1A555" w14:textId="77777777" w:rsidR="007C4478" w:rsidRPr="00743C24" w:rsidRDefault="007C4478" w:rsidP="007C4478">
      <w:pPr>
        <w:spacing w:line="360" w:lineRule="auto"/>
        <w:rPr>
          <w:rFonts w:ascii="Arial" w:hAnsi="Arial" w:cs="Arial"/>
        </w:rPr>
      </w:pPr>
    </w:p>
    <w:p w14:paraId="2A914ED6" w14:textId="71206FBD" w:rsidR="007C4478" w:rsidRPr="00743C24" w:rsidRDefault="007C4478" w:rsidP="007C4478">
      <w:pPr>
        <w:spacing w:line="360" w:lineRule="auto"/>
        <w:rPr>
          <w:rFonts w:ascii="Arial" w:hAnsi="Arial" w:cs="Arial"/>
        </w:rPr>
      </w:pPr>
      <w:r w:rsidRPr="00743C24">
        <w:rPr>
          <w:rFonts w:ascii="Arial" w:hAnsi="Arial" w:cs="Arial"/>
        </w:rPr>
        <w:t>This breakdown enables SEWS-E to direct specific initiatives for H&amp;S reinforcement and spare parts management improvements at site level.</w:t>
      </w:r>
    </w:p>
    <w:p w14:paraId="5B661D49" w14:textId="35B8CCEE" w:rsidR="00D06A2D" w:rsidRPr="00743C24" w:rsidRDefault="00D06A2D" w:rsidP="007C4478">
      <w:pPr>
        <w:spacing w:line="360" w:lineRule="auto"/>
        <w:rPr>
          <w:rFonts w:ascii="Arial" w:hAnsi="Arial" w:cs="Arial"/>
        </w:rPr>
      </w:pPr>
    </w:p>
    <w:p w14:paraId="48C8CE9F" w14:textId="2DBE458C" w:rsidR="00D06A2D" w:rsidRPr="00743C24" w:rsidRDefault="00D06A2D" w:rsidP="007C4478">
      <w:pPr>
        <w:spacing w:line="360" w:lineRule="auto"/>
        <w:rPr>
          <w:rFonts w:ascii="Arial" w:hAnsi="Arial" w:cs="Arial"/>
        </w:rPr>
      </w:pPr>
    </w:p>
    <w:p w14:paraId="023D6D1A" w14:textId="7EC84284" w:rsidR="00D06A2D" w:rsidRPr="00743C24" w:rsidRDefault="00D06A2D" w:rsidP="007C4478">
      <w:pPr>
        <w:spacing w:line="360" w:lineRule="auto"/>
        <w:rPr>
          <w:rFonts w:ascii="Arial" w:hAnsi="Arial" w:cs="Arial"/>
        </w:rPr>
      </w:pPr>
    </w:p>
    <w:p w14:paraId="560AB5F1" w14:textId="51C67A72" w:rsidR="00D06A2D" w:rsidRPr="00743C24" w:rsidRDefault="00D06A2D" w:rsidP="00893D36">
      <w:pPr>
        <w:rPr>
          <w:rFonts w:ascii="Arial" w:hAnsi="Arial" w:cs="Arial"/>
        </w:rPr>
      </w:pPr>
    </w:p>
    <w:p w14:paraId="42D75BA2" w14:textId="619B994C" w:rsidR="00D06A2D" w:rsidRPr="00743C24" w:rsidRDefault="00D06A2D" w:rsidP="00893D36">
      <w:pPr>
        <w:rPr>
          <w:rFonts w:ascii="Arial" w:hAnsi="Arial" w:cs="Arial"/>
        </w:rPr>
      </w:pPr>
    </w:p>
    <w:p w14:paraId="4E665303" w14:textId="77777777" w:rsidR="00E27EC7" w:rsidRPr="00743C24" w:rsidRDefault="00E27EC7" w:rsidP="00893D36">
      <w:pPr>
        <w:rPr>
          <w:rFonts w:ascii="Arial" w:hAnsi="Arial" w:cs="Arial"/>
        </w:rPr>
      </w:pPr>
    </w:p>
    <w:p w14:paraId="264DC320" w14:textId="40317544" w:rsidR="00505C55" w:rsidRPr="00743C24" w:rsidRDefault="00505C55" w:rsidP="007C4478">
      <w:pPr>
        <w:pStyle w:val="Heading2"/>
        <w:rPr>
          <w:szCs w:val="22"/>
        </w:rPr>
      </w:pPr>
      <w:bookmarkStart w:id="30" w:name="_Toc198120603"/>
      <w:r w:rsidRPr="00743C24">
        <w:rPr>
          <w:szCs w:val="22"/>
        </w:rPr>
        <w:lastRenderedPageBreak/>
        <w:t>7.2 Overview of 2024 Audit Results</w:t>
      </w:r>
      <w:bookmarkEnd w:id="30"/>
    </w:p>
    <w:p w14:paraId="013EB54E" w14:textId="6BBB6ED5" w:rsidR="007C4478" w:rsidRPr="00743C24" w:rsidRDefault="007C4478" w:rsidP="007C4478">
      <w:pPr>
        <w:spacing w:line="360" w:lineRule="auto"/>
        <w:rPr>
          <w:rFonts w:ascii="Arial" w:hAnsi="Arial" w:cs="Arial"/>
          <w:b/>
          <w:bCs/>
        </w:rPr>
      </w:pPr>
      <w:r w:rsidRPr="00743C24">
        <w:rPr>
          <w:rFonts w:ascii="Arial" w:hAnsi="Arial" w:cs="Arial"/>
          <w:b/>
          <w:bCs/>
          <w:noProof/>
        </w:rPr>
        <w:drawing>
          <wp:anchor distT="0" distB="0" distL="114300" distR="114300" simplePos="0" relativeHeight="251671552" behindDoc="0" locked="0" layoutInCell="1" allowOverlap="1" wp14:anchorId="4CE8D96C" wp14:editId="31D92541">
            <wp:simplePos x="0" y="0"/>
            <wp:positionH relativeFrom="margin">
              <wp:align>center</wp:align>
            </wp:positionH>
            <wp:positionV relativeFrom="paragraph">
              <wp:posOffset>207970</wp:posOffset>
            </wp:positionV>
            <wp:extent cx="6795135" cy="1905000"/>
            <wp:effectExtent l="19050" t="19050" r="24765" b="19050"/>
            <wp:wrapTopAndBottom/>
            <wp:docPr id="10793171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795135" cy="19050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743C24">
        <w:rPr>
          <w:rFonts w:ascii="Arial" w:hAnsi="Arial" w:cs="Arial"/>
          <w:b/>
          <w:bCs/>
        </w:rPr>
        <w:t>Overall Site Performance</w:t>
      </w:r>
    </w:p>
    <w:p w14:paraId="3DBC57C0" w14:textId="693A18F7" w:rsidR="007C4478" w:rsidRPr="00743C24" w:rsidRDefault="007C4478" w:rsidP="007C4478">
      <w:pPr>
        <w:spacing w:line="360" w:lineRule="auto"/>
        <w:rPr>
          <w:rFonts w:ascii="Arial" w:hAnsi="Arial" w:cs="Arial"/>
        </w:rPr>
      </w:pPr>
      <w:r w:rsidRPr="00743C24">
        <w:rPr>
          <w:rFonts w:ascii="Arial" w:hAnsi="Arial" w:cs="Arial"/>
          <w:color w:val="BF8F00" w:themeColor="accent4" w:themeShade="BF"/>
        </w:rPr>
        <w:t>Figure 11</w:t>
      </w:r>
      <w:r w:rsidRPr="00743C24">
        <w:rPr>
          <w:rFonts w:ascii="Arial" w:hAnsi="Arial" w:cs="Arial"/>
        </w:rPr>
        <w:t>. SEWS-E Audit Scores by Machine and Country (2024)</w:t>
      </w:r>
    </w:p>
    <w:p w14:paraId="6C3F875A" w14:textId="056981C7" w:rsidR="007C4478" w:rsidRPr="00743C24" w:rsidRDefault="007C4478" w:rsidP="007C4478">
      <w:pPr>
        <w:pStyle w:val="ListParagraph"/>
        <w:numPr>
          <w:ilvl w:val="0"/>
          <w:numId w:val="26"/>
        </w:numPr>
        <w:spacing w:line="360" w:lineRule="auto"/>
        <w:rPr>
          <w:rFonts w:ascii="Arial" w:hAnsi="Arial" w:cs="Arial"/>
        </w:rPr>
      </w:pPr>
      <w:r w:rsidRPr="00743C24">
        <w:rPr>
          <w:rFonts w:ascii="Arial" w:hAnsi="Arial" w:cs="Arial"/>
        </w:rPr>
        <w:t xml:space="preserve">Average Total Site Score across SEWS-E sits at 86.5%, </w:t>
      </w:r>
      <w:r w:rsidR="00E925AC" w:rsidRPr="00743C24">
        <w:rPr>
          <w:rFonts w:ascii="Arial" w:hAnsi="Arial" w:cs="Arial"/>
        </w:rPr>
        <w:t>improving</w:t>
      </w:r>
      <w:r w:rsidRPr="00743C24">
        <w:rPr>
          <w:rFonts w:ascii="Arial" w:hAnsi="Arial" w:cs="Arial"/>
        </w:rPr>
        <w:t xml:space="preserve"> </w:t>
      </w:r>
      <w:r w:rsidR="00E925AC" w:rsidRPr="00743C24">
        <w:rPr>
          <w:rFonts w:ascii="Arial" w:hAnsi="Arial" w:cs="Arial"/>
        </w:rPr>
        <w:t>slightly on</w:t>
      </w:r>
      <w:r w:rsidRPr="00743C24">
        <w:rPr>
          <w:rFonts w:ascii="Arial" w:hAnsi="Arial" w:cs="Arial"/>
        </w:rPr>
        <w:t xml:space="preserve"> 2023.</w:t>
      </w:r>
    </w:p>
    <w:p w14:paraId="7BB4A30F" w14:textId="15F0D43C" w:rsidR="007C4478" w:rsidRPr="00743C24" w:rsidRDefault="007C4478" w:rsidP="007C4478">
      <w:pPr>
        <w:pStyle w:val="ListParagraph"/>
        <w:numPr>
          <w:ilvl w:val="0"/>
          <w:numId w:val="26"/>
        </w:numPr>
        <w:spacing w:line="360" w:lineRule="auto"/>
        <w:rPr>
          <w:rFonts w:ascii="Arial" w:hAnsi="Arial" w:cs="Arial"/>
        </w:rPr>
      </w:pPr>
      <w:r w:rsidRPr="00743C24">
        <w:rPr>
          <w:rFonts w:ascii="Arial" w:hAnsi="Arial" w:cs="Arial"/>
        </w:rPr>
        <w:t>Egypt (88%) led with the highest total audit scores.</w:t>
      </w:r>
    </w:p>
    <w:p w14:paraId="4DF54DD3" w14:textId="3F382147" w:rsidR="007C4478" w:rsidRPr="00743C24" w:rsidRDefault="007C4478" w:rsidP="007C4478">
      <w:pPr>
        <w:pStyle w:val="ListParagraph"/>
        <w:numPr>
          <w:ilvl w:val="0"/>
          <w:numId w:val="26"/>
        </w:numPr>
        <w:spacing w:line="360" w:lineRule="auto"/>
        <w:rPr>
          <w:rFonts w:ascii="Arial" w:hAnsi="Arial" w:cs="Arial"/>
        </w:rPr>
      </w:pPr>
      <w:r w:rsidRPr="00743C24">
        <w:rPr>
          <w:rFonts w:ascii="Arial" w:hAnsi="Arial" w:cs="Arial"/>
        </w:rPr>
        <w:t>Morocco (86%) and Egypt (86%) and Monastir</w:t>
      </w:r>
      <w:r w:rsidR="00663603" w:rsidRPr="00743C24">
        <w:rPr>
          <w:rFonts w:ascii="Arial" w:hAnsi="Arial" w:cs="Arial"/>
        </w:rPr>
        <w:t xml:space="preserve"> (Tunisia)</w:t>
      </w:r>
      <w:r w:rsidRPr="00743C24">
        <w:rPr>
          <w:rFonts w:ascii="Arial" w:hAnsi="Arial" w:cs="Arial"/>
        </w:rPr>
        <w:t xml:space="preserve"> (86%) demonstrated solid performance with slight variances across machine types, all averaging the same.</w:t>
      </w:r>
    </w:p>
    <w:p w14:paraId="35EBB82D" w14:textId="6C271B4C" w:rsidR="00E27EC7" w:rsidRPr="00743C24" w:rsidRDefault="00E27EC7" w:rsidP="007C4478">
      <w:pPr>
        <w:spacing w:line="360" w:lineRule="auto"/>
        <w:rPr>
          <w:rFonts w:ascii="Arial" w:hAnsi="Arial" w:cs="Arial"/>
        </w:rPr>
      </w:pPr>
    </w:p>
    <w:p w14:paraId="2862DBF0" w14:textId="031DCF4C" w:rsidR="00E27EC7" w:rsidRPr="00743C24" w:rsidRDefault="00E925AC" w:rsidP="007C4478">
      <w:pPr>
        <w:spacing w:line="360" w:lineRule="auto"/>
        <w:rPr>
          <w:rFonts w:ascii="Arial" w:hAnsi="Arial" w:cs="Arial"/>
          <w:b/>
          <w:bCs/>
        </w:rPr>
      </w:pPr>
      <w:r w:rsidRPr="00743C24">
        <w:rPr>
          <w:rFonts w:ascii="Arial" w:hAnsi="Arial" w:cs="Arial"/>
          <w:b/>
          <w:bCs/>
          <w:noProof/>
        </w:rPr>
        <w:drawing>
          <wp:anchor distT="0" distB="0" distL="114300" distR="114300" simplePos="0" relativeHeight="251672576" behindDoc="0" locked="0" layoutInCell="1" allowOverlap="1" wp14:anchorId="133C308E" wp14:editId="5D1806D8">
            <wp:simplePos x="0" y="0"/>
            <wp:positionH relativeFrom="margin">
              <wp:align>center</wp:align>
            </wp:positionH>
            <wp:positionV relativeFrom="paragraph">
              <wp:posOffset>287995</wp:posOffset>
            </wp:positionV>
            <wp:extent cx="6931025" cy="1745615"/>
            <wp:effectExtent l="19050" t="19050" r="22225" b="26035"/>
            <wp:wrapTopAndBottom/>
            <wp:docPr id="18697064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931025" cy="17456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743C24">
        <w:rPr>
          <w:rFonts w:ascii="Arial" w:hAnsi="Arial" w:cs="Arial"/>
          <w:b/>
          <w:bCs/>
        </w:rPr>
        <w:t>Performance by Machine Category</w:t>
      </w:r>
    </w:p>
    <w:p w14:paraId="05AB47F9" w14:textId="3E4E2CCE" w:rsidR="00E925AC" w:rsidRPr="00743C24" w:rsidRDefault="00E925AC" w:rsidP="007C4478">
      <w:pPr>
        <w:spacing w:line="360" w:lineRule="auto"/>
        <w:rPr>
          <w:rFonts w:ascii="Arial" w:hAnsi="Arial" w:cs="Arial"/>
        </w:rPr>
      </w:pPr>
      <w:r w:rsidRPr="00743C24">
        <w:rPr>
          <w:rFonts w:ascii="Arial" w:hAnsi="Arial" w:cs="Arial"/>
          <w:color w:val="BF8F00" w:themeColor="accent4" w:themeShade="BF"/>
        </w:rPr>
        <w:t>Figure 12</w:t>
      </w:r>
      <w:r w:rsidRPr="00743C24">
        <w:rPr>
          <w:rFonts w:ascii="Arial" w:hAnsi="Arial" w:cs="Arial"/>
        </w:rPr>
        <w:t>. Audit Scores by Machine Type (2024)</w:t>
      </w:r>
    </w:p>
    <w:p w14:paraId="05FE6BED" w14:textId="2940F1D3" w:rsidR="00E925AC" w:rsidRPr="00743C24" w:rsidRDefault="00E925AC" w:rsidP="00E925AC">
      <w:pPr>
        <w:pStyle w:val="ListParagraph"/>
        <w:numPr>
          <w:ilvl w:val="0"/>
          <w:numId w:val="27"/>
        </w:numPr>
        <w:spacing w:line="360" w:lineRule="auto"/>
        <w:rPr>
          <w:rFonts w:ascii="Arial" w:hAnsi="Arial" w:cs="Arial"/>
        </w:rPr>
      </w:pPr>
      <w:r w:rsidRPr="00743C24">
        <w:rPr>
          <w:rFonts w:ascii="Arial" w:hAnsi="Arial" w:cs="Arial"/>
        </w:rPr>
        <w:t>Applicators become a top-performing machine category with an average score of 90.9%, showing strong maintenance and audit readiness, overtaking Kappa from 2023 data.</w:t>
      </w:r>
    </w:p>
    <w:p w14:paraId="02D1143C" w14:textId="2ABE0756" w:rsidR="00E925AC" w:rsidRPr="00743C24" w:rsidRDefault="00E925AC" w:rsidP="00E925AC">
      <w:pPr>
        <w:pStyle w:val="ListParagraph"/>
        <w:numPr>
          <w:ilvl w:val="0"/>
          <w:numId w:val="27"/>
        </w:numPr>
        <w:spacing w:line="360" w:lineRule="auto"/>
        <w:rPr>
          <w:rFonts w:ascii="Arial" w:hAnsi="Arial" w:cs="Arial"/>
        </w:rPr>
      </w:pPr>
      <w:r w:rsidRPr="00743C24">
        <w:rPr>
          <w:rFonts w:ascii="Arial" w:hAnsi="Arial" w:cs="Arial"/>
        </w:rPr>
        <w:t>Kappa (88.5%) and Man Twist (88.5%) also performed well, reflecting solid technical conditions across sites.</w:t>
      </w:r>
    </w:p>
    <w:p w14:paraId="4D40E0D7" w14:textId="2A01E6E3" w:rsidR="00E925AC" w:rsidRPr="00743C24" w:rsidRDefault="00E925AC" w:rsidP="00E925AC">
      <w:pPr>
        <w:pStyle w:val="ListParagraph"/>
        <w:numPr>
          <w:ilvl w:val="0"/>
          <w:numId w:val="27"/>
        </w:numPr>
        <w:spacing w:line="360" w:lineRule="auto"/>
        <w:rPr>
          <w:rFonts w:ascii="Arial" w:hAnsi="Arial" w:cs="Arial"/>
        </w:rPr>
      </w:pPr>
      <w:r w:rsidRPr="00743C24">
        <w:rPr>
          <w:rFonts w:ascii="Arial" w:hAnsi="Arial" w:cs="Arial"/>
        </w:rPr>
        <w:t>CC (86.2%), Presses (84.8%), and USW (84.9%) showed room for improvement, with USW again ranking lowest — despite a noticeable gain over 2023's result of 73.3%.</w:t>
      </w:r>
    </w:p>
    <w:p w14:paraId="194E1032" w14:textId="7B6BB8F6" w:rsidR="007C4478" w:rsidRPr="00743C24" w:rsidRDefault="007C4478" w:rsidP="007C4478">
      <w:pPr>
        <w:spacing w:line="360" w:lineRule="auto"/>
        <w:rPr>
          <w:rFonts w:ascii="Arial" w:hAnsi="Arial" w:cs="Arial"/>
        </w:rPr>
      </w:pPr>
    </w:p>
    <w:p w14:paraId="6023CA86" w14:textId="6EA3BF3C" w:rsidR="007C4478" w:rsidRPr="00743C24" w:rsidRDefault="00E925AC" w:rsidP="00893D36">
      <w:pPr>
        <w:rPr>
          <w:rFonts w:ascii="Arial" w:hAnsi="Arial" w:cs="Arial"/>
          <w:b/>
          <w:bCs/>
        </w:rPr>
      </w:pPr>
      <w:r w:rsidRPr="00743C24">
        <w:rPr>
          <w:rFonts w:ascii="Arial" w:hAnsi="Arial" w:cs="Arial"/>
          <w:noProof/>
        </w:rPr>
        <w:drawing>
          <wp:anchor distT="0" distB="0" distL="114300" distR="114300" simplePos="0" relativeHeight="251673600" behindDoc="0" locked="0" layoutInCell="1" allowOverlap="1" wp14:anchorId="292F431F" wp14:editId="1AEC4308">
            <wp:simplePos x="0" y="0"/>
            <wp:positionH relativeFrom="margin">
              <wp:align>center</wp:align>
            </wp:positionH>
            <wp:positionV relativeFrom="paragraph">
              <wp:posOffset>271116</wp:posOffset>
            </wp:positionV>
            <wp:extent cx="6869430" cy="2351405"/>
            <wp:effectExtent l="19050" t="19050" r="26670" b="10795"/>
            <wp:wrapTopAndBottom/>
            <wp:docPr id="21018960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869430" cy="235140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743C24">
        <w:rPr>
          <w:rFonts w:ascii="Arial" w:hAnsi="Arial" w:cs="Arial"/>
          <w:b/>
          <w:bCs/>
        </w:rPr>
        <w:t>Category Level Performance</w:t>
      </w:r>
    </w:p>
    <w:p w14:paraId="65DD1AAB" w14:textId="03B49B18" w:rsidR="007C4478" w:rsidRPr="00743C24" w:rsidRDefault="00E925AC" w:rsidP="00893D36">
      <w:pPr>
        <w:rPr>
          <w:rFonts w:ascii="Arial" w:hAnsi="Arial" w:cs="Arial"/>
        </w:rPr>
      </w:pPr>
      <w:r w:rsidRPr="00743C24">
        <w:rPr>
          <w:rFonts w:ascii="Arial" w:hAnsi="Arial" w:cs="Arial"/>
          <w:color w:val="BF8F00" w:themeColor="accent4" w:themeShade="BF"/>
        </w:rPr>
        <w:t>Figure 13</w:t>
      </w:r>
      <w:r w:rsidRPr="00743C24">
        <w:rPr>
          <w:rFonts w:ascii="Arial" w:hAnsi="Arial" w:cs="Arial"/>
        </w:rPr>
        <w:t>. Audit Scores by Category (2024)</w:t>
      </w:r>
    </w:p>
    <w:p w14:paraId="088DD88C" w14:textId="4255DC24" w:rsidR="00E925AC" w:rsidRPr="00743C24" w:rsidRDefault="00E925AC" w:rsidP="005932CC">
      <w:pPr>
        <w:pStyle w:val="ListParagraph"/>
        <w:numPr>
          <w:ilvl w:val="0"/>
          <w:numId w:val="28"/>
        </w:numPr>
        <w:spacing w:line="360" w:lineRule="auto"/>
        <w:rPr>
          <w:rFonts w:ascii="Arial" w:hAnsi="Arial" w:cs="Arial"/>
        </w:rPr>
      </w:pPr>
      <w:r w:rsidRPr="00743C24">
        <w:rPr>
          <w:rFonts w:ascii="Arial" w:hAnsi="Arial" w:cs="Arial"/>
        </w:rPr>
        <w:t>Quality became the weakest performing audit item overall — especially notable in Tunisia (81%) and Morocco (81%).</w:t>
      </w:r>
    </w:p>
    <w:p w14:paraId="0D7C48DE" w14:textId="559D9699" w:rsidR="00E925AC" w:rsidRPr="00743C24" w:rsidRDefault="00E925AC" w:rsidP="005932CC">
      <w:pPr>
        <w:pStyle w:val="ListParagraph"/>
        <w:numPr>
          <w:ilvl w:val="0"/>
          <w:numId w:val="28"/>
        </w:numPr>
        <w:spacing w:line="360" w:lineRule="auto"/>
        <w:rPr>
          <w:rFonts w:ascii="Arial" w:hAnsi="Arial" w:cs="Arial"/>
        </w:rPr>
      </w:pPr>
      <w:r w:rsidRPr="00743C24">
        <w:rPr>
          <w:rFonts w:ascii="Arial" w:hAnsi="Arial" w:cs="Arial"/>
        </w:rPr>
        <w:t>Health and Safety was the strongest category in all sites, with Egypt (93%) and Tunisia (92%) leading.</w:t>
      </w:r>
    </w:p>
    <w:p w14:paraId="74041D6D" w14:textId="6DD26396" w:rsidR="00E925AC" w:rsidRPr="00743C24" w:rsidRDefault="00E925AC" w:rsidP="005932CC">
      <w:pPr>
        <w:pStyle w:val="ListParagraph"/>
        <w:numPr>
          <w:ilvl w:val="0"/>
          <w:numId w:val="28"/>
        </w:numPr>
        <w:spacing w:line="360" w:lineRule="auto"/>
        <w:rPr>
          <w:rFonts w:ascii="Arial" w:hAnsi="Arial" w:cs="Arial"/>
        </w:rPr>
      </w:pPr>
      <w:r w:rsidRPr="00743C24">
        <w:rPr>
          <w:rFonts w:ascii="Arial" w:hAnsi="Arial" w:cs="Arial"/>
        </w:rPr>
        <w:t>Romania had the worse average across the board, not getting 90%+ in any category.</w:t>
      </w:r>
    </w:p>
    <w:p w14:paraId="2A3C9978" w14:textId="77777777" w:rsidR="00E925AC" w:rsidRPr="00743C24" w:rsidRDefault="00E925AC" w:rsidP="00C4222E">
      <w:pPr>
        <w:spacing w:line="360" w:lineRule="auto"/>
        <w:rPr>
          <w:rFonts w:ascii="Arial" w:hAnsi="Arial" w:cs="Arial"/>
        </w:rPr>
      </w:pPr>
    </w:p>
    <w:p w14:paraId="332ADE3A" w14:textId="7769A06E" w:rsidR="00E925AC" w:rsidRPr="00743C24" w:rsidRDefault="00E925AC" w:rsidP="00C4222E">
      <w:pPr>
        <w:spacing w:line="360" w:lineRule="auto"/>
        <w:rPr>
          <w:rFonts w:ascii="Arial" w:hAnsi="Arial" w:cs="Arial"/>
        </w:rPr>
      </w:pPr>
      <w:r w:rsidRPr="00743C24">
        <w:rPr>
          <w:rFonts w:ascii="Arial" w:hAnsi="Arial" w:cs="Arial"/>
        </w:rPr>
        <w:t>The overall SEWS-E category scores reflect strong adherence in General Condition (88%) and H&amp;S (90%), while Quality (84%) and Spare Parts (86%) remain focus areas for continuous improvement.</w:t>
      </w:r>
    </w:p>
    <w:p w14:paraId="1E0D53EB" w14:textId="5EBE16D1" w:rsidR="007C4478" w:rsidRPr="00743C24" w:rsidRDefault="007C4478" w:rsidP="00C4222E">
      <w:pPr>
        <w:spacing w:line="360" w:lineRule="auto"/>
        <w:rPr>
          <w:rFonts w:ascii="Arial" w:hAnsi="Arial" w:cs="Arial"/>
        </w:rPr>
      </w:pPr>
    </w:p>
    <w:p w14:paraId="4B78FFDD" w14:textId="4F9DB7F1" w:rsidR="007C4478" w:rsidRPr="00743C24" w:rsidRDefault="007C4478" w:rsidP="00C4222E">
      <w:pPr>
        <w:spacing w:line="360" w:lineRule="auto"/>
        <w:rPr>
          <w:rFonts w:ascii="Arial" w:hAnsi="Arial" w:cs="Arial"/>
        </w:rPr>
      </w:pPr>
    </w:p>
    <w:p w14:paraId="78A9AF2E" w14:textId="370E9A31" w:rsidR="007C4478" w:rsidRPr="00743C24" w:rsidRDefault="007C4478" w:rsidP="00893D36">
      <w:pPr>
        <w:rPr>
          <w:rFonts w:ascii="Arial" w:hAnsi="Arial" w:cs="Arial"/>
        </w:rPr>
      </w:pPr>
    </w:p>
    <w:p w14:paraId="5182727C" w14:textId="40743C56" w:rsidR="007C4478" w:rsidRPr="00743C24" w:rsidRDefault="007C4478" w:rsidP="00893D36">
      <w:pPr>
        <w:rPr>
          <w:rFonts w:ascii="Arial" w:hAnsi="Arial" w:cs="Arial"/>
        </w:rPr>
      </w:pPr>
    </w:p>
    <w:p w14:paraId="0963A559" w14:textId="04FD21B7" w:rsidR="007C4478" w:rsidRPr="00743C24" w:rsidRDefault="007C4478" w:rsidP="00893D36">
      <w:pPr>
        <w:rPr>
          <w:rFonts w:ascii="Arial" w:hAnsi="Arial" w:cs="Arial"/>
        </w:rPr>
      </w:pPr>
    </w:p>
    <w:p w14:paraId="72296AE5" w14:textId="0939EE2B" w:rsidR="007C4478" w:rsidRPr="00743C24" w:rsidRDefault="007C4478" w:rsidP="00893D36">
      <w:pPr>
        <w:rPr>
          <w:rFonts w:ascii="Arial" w:hAnsi="Arial" w:cs="Arial"/>
        </w:rPr>
      </w:pPr>
    </w:p>
    <w:p w14:paraId="566DA1C5" w14:textId="04DF5AAC" w:rsidR="007C4478" w:rsidRPr="00743C24" w:rsidRDefault="007C4478" w:rsidP="00893D36">
      <w:pPr>
        <w:rPr>
          <w:rFonts w:ascii="Arial" w:hAnsi="Arial" w:cs="Arial"/>
        </w:rPr>
      </w:pPr>
    </w:p>
    <w:p w14:paraId="130A7690" w14:textId="6381BF36" w:rsidR="007C4478" w:rsidRPr="00743C24" w:rsidRDefault="007C4478" w:rsidP="00893D36">
      <w:pPr>
        <w:rPr>
          <w:rFonts w:ascii="Arial" w:hAnsi="Arial" w:cs="Arial"/>
        </w:rPr>
      </w:pPr>
    </w:p>
    <w:p w14:paraId="06B1D111" w14:textId="37A07D36" w:rsidR="007C4478" w:rsidRPr="00743C24" w:rsidRDefault="007C4478" w:rsidP="00893D36">
      <w:pPr>
        <w:rPr>
          <w:rFonts w:ascii="Arial" w:hAnsi="Arial" w:cs="Arial"/>
        </w:rPr>
      </w:pPr>
    </w:p>
    <w:p w14:paraId="0BFED8C4" w14:textId="64CAB3D3" w:rsidR="007C4478" w:rsidRPr="00743C24" w:rsidRDefault="007C4478" w:rsidP="00893D36">
      <w:pPr>
        <w:rPr>
          <w:rFonts w:ascii="Arial" w:hAnsi="Arial" w:cs="Arial"/>
        </w:rPr>
      </w:pPr>
    </w:p>
    <w:p w14:paraId="196345DA" w14:textId="77777777" w:rsidR="00B34666" w:rsidRPr="00743C24" w:rsidRDefault="00B34666" w:rsidP="00893D36">
      <w:pPr>
        <w:rPr>
          <w:rFonts w:ascii="Arial" w:hAnsi="Arial" w:cs="Arial"/>
        </w:rPr>
      </w:pPr>
    </w:p>
    <w:p w14:paraId="104365FD" w14:textId="5F431955" w:rsidR="00505C55" w:rsidRPr="00743C24" w:rsidRDefault="00505C55" w:rsidP="00E56E8E">
      <w:pPr>
        <w:pStyle w:val="Heading2"/>
        <w:rPr>
          <w:szCs w:val="22"/>
        </w:rPr>
      </w:pPr>
      <w:bookmarkStart w:id="31" w:name="_Toc198120604"/>
      <w:r w:rsidRPr="00743C24">
        <w:rPr>
          <w:szCs w:val="22"/>
        </w:rPr>
        <w:lastRenderedPageBreak/>
        <w:t>7.3 Key Findings: Trends and Differences</w:t>
      </w:r>
      <w:bookmarkEnd w:id="31"/>
    </w:p>
    <w:p w14:paraId="417F69AD" w14:textId="5F7711C2" w:rsidR="00B66D10" w:rsidRPr="00743C24" w:rsidRDefault="00C4222E" w:rsidP="00B66D10">
      <w:pPr>
        <w:spacing w:line="360" w:lineRule="auto"/>
        <w:rPr>
          <w:rFonts w:ascii="Arial" w:hAnsi="Arial" w:cs="Arial"/>
        </w:rPr>
      </w:pPr>
      <w:r w:rsidRPr="00743C24">
        <w:rPr>
          <w:rFonts w:ascii="Arial" w:hAnsi="Arial" w:cs="Arial"/>
        </w:rPr>
        <w:t>To assess the progression of audit performance across SEWS-E, this section provides a comparative analysis of results from 2023 and 2024, focusing on site-level scores, machine-specific trends, and checklist category outcomes</w:t>
      </w:r>
      <w:r w:rsidR="00B66D10" w:rsidRPr="00743C24">
        <w:rPr>
          <w:rFonts w:ascii="Arial" w:hAnsi="Arial" w:cs="Arial"/>
        </w:rPr>
        <w:t>.</w:t>
      </w:r>
    </w:p>
    <w:tbl>
      <w:tblPr>
        <w:tblW w:w="4400" w:type="dxa"/>
        <w:tblLook w:val="04A0" w:firstRow="1" w:lastRow="0" w:firstColumn="1" w:lastColumn="0" w:noHBand="0" w:noVBand="1"/>
      </w:tblPr>
      <w:tblGrid>
        <w:gridCol w:w="1097"/>
        <w:gridCol w:w="960"/>
        <w:gridCol w:w="960"/>
        <w:gridCol w:w="1520"/>
      </w:tblGrid>
      <w:tr w:rsidR="00ED3BC3" w:rsidRPr="00743C24" w14:paraId="547C9B63" w14:textId="77777777" w:rsidTr="00D82B97">
        <w:trPr>
          <w:trHeight w:val="300"/>
        </w:trPr>
        <w:tc>
          <w:tcPr>
            <w:tcW w:w="960" w:type="dxa"/>
            <w:vMerge w:val="restart"/>
            <w:tcBorders>
              <w:top w:val="single" w:sz="8" w:space="0" w:color="auto"/>
              <w:left w:val="single" w:sz="8" w:space="0" w:color="auto"/>
              <w:bottom w:val="single" w:sz="8" w:space="0" w:color="000000"/>
              <w:right w:val="single" w:sz="8" w:space="0" w:color="auto"/>
            </w:tcBorders>
            <w:shd w:val="clear" w:color="auto" w:fill="D9D9D9" w:themeFill="background1" w:themeFillShade="D9"/>
            <w:noWrap/>
            <w:vAlign w:val="center"/>
            <w:hideMark/>
          </w:tcPr>
          <w:p w14:paraId="722A905F"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Country</w:t>
            </w:r>
          </w:p>
        </w:tc>
        <w:tc>
          <w:tcPr>
            <w:tcW w:w="1920" w:type="dxa"/>
            <w:gridSpan w:val="2"/>
            <w:tcBorders>
              <w:top w:val="single" w:sz="8" w:space="0" w:color="auto"/>
              <w:left w:val="nil"/>
              <w:bottom w:val="single" w:sz="8" w:space="0" w:color="auto"/>
              <w:right w:val="single" w:sz="8" w:space="0" w:color="000000"/>
            </w:tcBorders>
            <w:shd w:val="clear" w:color="auto" w:fill="D9D9D9" w:themeFill="background1" w:themeFillShade="D9"/>
            <w:noWrap/>
            <w:vAlign w:val="center"/>
            <w:hideMark/>
          </w:tcPr>
          <w:p w14:paraId="65F193AE"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Result / 100 (%)</w:t>
            </w:r>
          </w:p>
        </w:tc>
        <w:tc>
          <w:tcPr>
            <w:tcW w:w="1520" w:type="dxa"/>
            <w:vMerge w:val="restart"/>
            <w:tcBorders>
              <w:top w:val="single" w:sz="8" w:space="0" w:color="auto"/>
              <w:left w:val="single" w:sz="8" w:space="0" w:color="auto"/>
              <w:bottom w:val="single" w:sz="8" w:space="0" w:color="000000"/>
              <w:right w:val="single" w:sz="8" w:space="0" w:color="auto"/>
            </w:tcBorders>
            <w:shd w:val="clear" w:color="auto" w:fill="D9D9D9" w:themeFill="background1" w:themeFillShade="D9"/>
            <w:vAlign w:val="center"/>
            <w:hideMark/>
          </w:tcPr>
          <w:p w14:paraId="7FBB6E1F" w14:textId="0F96D6C1"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 xml:space="preserve">% Difference </w:t>
            </w:r>
          </w:p>
        </w:tc>
      </w:tr>
      <w:tr w:rsidR="00ED3BC3" w:rsidRPr="00743C24" w14:paraId="3DA0B201" w14:textId="77777777" w:rsidTr="00D82B97">
        <w:trPr>
          <w:trHeight w:val="300"/>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4B62162E" w14:textId="77777777" w:rsidR="00ED3BC3" w:rsidRPr="00743C24" w:rsidRDefault="00ED3BC3" w:rsidP="00F51556">
            <w:pPr>
              <w:spacing w:after="0" w:line="276" w:lineRule="auto"/>
              <w:rPr>
                <w:rFonts w:ascii="Arial" w:eastAsia="Times New Roman" w:hAnsi="Arial" w:cs="Arial"/>
                <w:color w:val="000000"/>
                <w:kern w:val="0"/>
                <w14:ligatures w14:val="none"/>
              </w:rPr>
            </w:pPr>
          </w:p>
        </w:tc>
        <w:tc>
          <w:tcPr>
            <w:tcW w:w="960" w:type="dxa"/>
            <w:tcBorders>
              <w:top w:val="nil"/>
              <w:left w:val="nil"/>
              <w:bottom w:val="single" w:sz="8" w:space="0" w:color="auto"/>
              <w:right w:val="single" w:sz="8" w:space="0" w:color="auto"/>
            </w:tcBorders>
            <w:shd w:val="clear" w:color="auto" w:fill="D9D9D9" w:themeFill="background1" w:themeFillShade="D9"/>
            <w:noWrap/>
            <w:vAlign w:val="center"/>
            <w:hideMark/>
          </w:tcPr>
          <w:p w14:paraId="0CF9CE29" w14:textId="77777777" w:rsidR="00ED3BC3" w:rsidRPr="00743C24" w:rsidRDefault="00ED3BC3" w:rsidP="00F51556">
            <w:pPr>
              <w:spacing w:after="0" w:line="276" w:lineRule="auto"/>
              <w:jc w:val="center"/>
              <w:rPr>
                <w:rFonts w:ascii="Arial" w:eastAsia="Times New Roman" w:hAnsi="Arial" w:cs="Arial"/>
                <w:b/>
                <w:bCs/>
                <w:color w:val="000000"/>
                <w:kern w:val="0"/>
                <w14:ligatures w14:val="none"/>
              </w:rPr>
            </w:pPr>
            <w:r w:rsidRPr="00743C24">
              <w:rPr>
                <w:rFonts w:ascii="Arial" w:eastAsia="Times New Roman" w:hAnsi="Arial" w:cs="Arial"/>
                <w:b/>
                <w:bCs/>
                <w:color w:val="000000"/>
                <w:kern w:val="0"/>
                <w14:ligatures w14:val="none"/>
              </w:rPr>
              <w:t>2023</w:t>
            </w:r>
          </w:p>
        </w:tc>
        <w:tc>
          <w:tcPr>
            <w:tcW w:w="960" w:type="dxa"/>
            <w:tcBorders>
              <w:top w:val="nil"/>
              <w:left w:val="nil"/>
              <w:bottom w:val="single" w:sz="8" w:space="0" w:color="auto"/>
              <w:right w:val="single" w:sz="8" w:space="0" w:color="auto"/>
            </w:tcBorders>
            <w:shd w:val="clear" w:color="auto" w:fill="D9D9D9" w:themeFill="background1" w:themeFillShade="D9"/>
            <w:noWrap/>
            <w:vAlign w:val="center"/>
            <w:hideMark/>
          </w:tcPr>
          <w:p w14:paraId="6666C080" w14:textId="77777777" w:rsidR="00ED3BC3" w:rsidRPr="00743C24" w:rsidRDefault="00ED3BC3" w:rsidP="00F51556">
            <w:pPr>
              <w:spacing w:after="0" w:line="276" w:lineRule="auto"/>
              <w:jc w:val="center"/>
              <w:rPr>
                <w:rFonts w:ascii="Arial" w:eastAsia="Times New Roman" w:hAnsi="Arial" w:cs="Arial"/>
                <w:b/>
                <w:bCs/>
                <w:color w:val="000000"/>
                <w:kern w:val="0"/>
                <w14:ligatures w14:val="none"/>
              </w:rPr>
            </w:pPr>
            <w:r w:rsidRPr="00743C24">
              <w:rPr>
                <w:rFonts w:ascii="Arial" w:eastAsia="Times New Roman" w:hAnsi="Arial" w:cs="Arial"/>
                <w:b/>
                <w:bCs/>
                <w:color w:val="000000"/>
                <w:kern w:val="0"/>
                <w14:ligatures w14:val="none"/>
              </w:rPr>
              <w:t>2024</w:t>
            </w:r>
          </w:p>
        </w:tc>
        <w:tc>
          <w:tcPr>
            <w:tcW w:w="1520" w:type="dxa"/>
            <w:vMerge/>
            <w:tcBorders>
              <w:top w:val="single" w:sz="8" w:space="0" w:color="auto"/>
              <w:left w:val="single" w:sz="8" w:space="0" w:color="auto"/>
              <w:bottom w:val="single" w:sz="8" w:space="0" w:color="000000"/>
              <w:right w:val="single" w:sz="8" w:space="0" w:color="auto"/>
            </w:tcBorders>
            <w:vAlign w:val="center"/>
            <w:hideMark/>
          </w:tcPr>
          <w:p w14:paraId="0EF3E4E4" w14:textId="77777777" w:rsidR="00ED3BC3" w:rsidRPr="00743C24" w:rsidRDefault="00ED3BC3" w:rsidP="00F51556">
            <w:pPr>
              <w:spacing w:after="0" w:line="276" w:lineRule="auto"/>
              <w:rPr>
                <w:rFonts w:ascii="Arial" w:eastAsia="Times New Roman" w:hAnsi="Arial" w:cs="Arial"/>
                <w:color w:val="000000"/>
                <w:kern w:val="0"/>
                <w14:ligatures w14:val="none"/>
              </w:rPr>
            </w:pPr>
          </w:p>
        </w:tc>
      </w:tr>
      <w:tr w:rsidR="00ED3BC3" w:rsidRPr="00743C24" w14:paraId="4B7D4397" w14:textId="77777777" w:rsidTr="00ED3BC3">
        <w:trPr>
          <w:trHeight w:val="288"/>
        </w:trPr>
        <w:tc>
          <w:tcPr>
            <w:tcW w:w="960" w:type="dxa"/>
            <w:tcBorders>
              <w:top w:val="nil"/>
              <w:left w:val="single" w:sz="8" w:space="0" w:color="auto"/>
              <w:bottom w:val="single" w:sz="4" w:space="0" w:color="auto"/>
              <w:right w:val="single" w:sz="8" w:space="0" w:color="auto"/>
            </w:tcBorders>
            <w:shd w:val="clear" w:color="auto" w:fill="auto"/>
            <w:noWrap/>
            <w:vAlign w:val="center"/>
            <w:hideMark/>
          </w:tcPr>
          <w:p w14:paraId="58D9AC86"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Morocco</w:t>
            </w:r>
          </w:p>
        </w:tc>
        <w:tc>
          <w:tcPr>
            <w:tcW w:w="960" w:type="dxa"/>
            <w:tcBorders>
              <w:top w:val="nil"/>
              <w:left w:val="nil"/>
              <w:bottom w:val="single" w:sz="4" w:space="0" w:color="auto"/>
              <w:right w:val="single" w:sz="8" w:space="0" w:color="auto"/>
            </w:tcBorders>
            <w:shd w:val="clear" w:color="auto" w:fill="auto"/>
            <w:noWrap/>
            <w:vAlign w:val="center"/>
            <w:hideMark/>
          </w:tcPr>
          <w:p w14:paraId="31BC7A8E"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81.1</w:t>
            </w:r>
          </w:p>
        </w:tc>
        <w:tc>
          <w:tcPr>
            <w:tcW w:w="960" w:type="dxa"/>
            <w:tcBorders>
              <w:top w:val="nil"/>
              <w:left w:val="nil"/>
              <w:bottom w:val="single" w:sz="4" w:space="0" w:color="auto"/>
              <w:right w:val="single" w:sz="8" w:space="0" w:color="auto"/>
            </w:tcBorders>
            <w:shd w:val="clear" w:color="auto" w:fill="auto"/>
            <w:noWrap/>
            <w:vAlign w:val="center"/>
            <w:hideMark/>
          </w:tcPr>
          <w:p w14:paraId="26B66650"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86</w:t>
            </w:r>
          </w:p>
        </w:tc>
        <w:tc>
          <w:tcPr>
            <w:tcW w:w="1520" w:type="dxa"/>
            <w:tcBorders>
              <w:top w:val="nil"/>
              <w:left w:val="nil"/>
              <w:bottom w:val="single" w:sz="4" w:space="0" w:color="auto"/>
              <w:right w:val="single" w:sz="8" w:space="0" w:color="auto"/>
            </w:tcBorders>
            <w:shd w:val="clear" w:color="000000" w:fill="B5E6A2"/>
            <w:noWrap/>
            <w:vAlign w:val="center"/>
            <w:hideMark/>
          </w:tcPr>
          <w:p w14:paraId="3E7FE4E7"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6.04</w:t>
            </w:r>
          </w:p>
        </w:tc>
      </w:tr>
      <w:tr w:rsidR="00ED3BC3" w:rsidRPr="00743C24" w14:paraId="3051F2AD" w14:textId="77777777" w:rsidTr="00ED3BC3">
        <w:trPr>
          <w:trHeight w:val="288"/>
        </w:trPr>
        <w:tc>
          <w:tcPr>
            <w:tcW w:w="960" w:type="dxa"/>
            <w:tcBorders>
              <w:top w:val="nil"/>
              <w:left w:val="single" w:sz="8" w:space="0" w:color="auto"/>
              <w:bottom w:val="single" w:sz="4" w:space="0" w:color="auto"/>
              <w:right w:val="single" w:sz="8" w:space="0" w:color="auto"/>
            </w:tcBorders>
            <w:shd w:val="clear" w:color="auto" w:fill="auto"/>
            <w:noWrap/>
            <w:vAlign w:val="center"/>
            <w:hideMark/>
          </w:tcPr>
          <w:p w14:paraId="1F96D13F"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Egypt</w:t>
            </w:r>
          </w:p>
        </w:tc>
        <w:tc>
          <w:tcPr>
            <w:tcW w:w="960" w:type="dxa"/>
            <w:tcBorders>
              <w:top w:val="nil"/>
              <w:left w:val="nil"/>
              <w:bottom w:val="single" w:sz="4" w:space="0" w:color="auto"/>
              <w:right w:val="single" w:sz="8" w:space="0" w:color="auto"/>
            </w:tcBorders>
            <w:shd w:val="clear" w:color="auto" w:fill="auto"/>
            <w:noWrap/>
            <w:vAlign w:val="center"/>
            <w:hideMark/>
          </w:tcPr>
          <w:p w14:paraId="77E62C1C"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83.4</w:t>
            </w:r>
          </w:p>
        </w:tc>
        <w:tc>
          <w:tcPr>
            <w:tcW w:w="960" w:type="dxa"/>
            <w:tcBorders>
              <w:top w:val="nil"/>
              <w:left w:val="nil"/>
              <w:bottom w:val="single" w:sz="4" w:space="0" w:color="auto"/>
              <w:right w:val="single" w:sz="8" w:space="0" w:color="auto"/>
            </w:tcBorders>
            <w:shd w:val="clear" w:color="auto" w:fill="auto"/>
            <w:noWrap/>
            <w:vAlign w:val="center"/>
            <w:hideMark/>
          </w:tcPr>
          <w:p w14:paraId="54372049"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88</w:t>
            </w:r>
          </w:p>
        </w:tc>
        <w:tc>
          <w:tcPr>
            <w:tcW w:w="1520" w:type="dxa"/>
            <w:tcBorders>
              <w:top w:val="nil"/>
              <w:left w:val="nil"/>
              <w:bottom w:val="single" w:sz="4" w:space="0" w:color="auto"/>
              <w:right w:val="single" w:sz="8" w:space="0" w:color="auto"/>
            </w:tcBorders>
            <w:shd w:val="clear" w:color="000000" w:fill="B5E6A2"/>
            <w:noWrap/>
            <w:vAlign w:val="center"/>
            <w:hideMark/>
          </w:tcPr>
          <w:p w14:paraId="61DE82EF"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5.52</w:t>
            </w:r>
          </w:p>
        </w:tc>
      </w:tr>
      <w:tr w:rsidR="00ED3BC3" w:rsidRPr="00743C24" w14:paraId="35585DE5" w14:textId="77777777" w:rsidTr="00ED3BC3">
        <w:trPr>
          <w:trHeight w:val="288"/>
        </w:trPr>
        <w:tc>
          <w:tcPr>
            <w:tcW w:w="960" w:type="dxa"/>
            <w:tcBorders>
              <w:top w:val="nil"/>
              <w:left w:val="single" w:sz="8" w:space="0" w:color="auto"/>
              <w:bottom w:val="single" w:sz="4" w:space="0" w:color="auto"/>
              <w:right w:val="single" w:sz="8" w:space="0" w:color="auto"/>
            </w:tcBorders>
            <w:shd w:val="clear" w:color="auto" w:fill="auto"/>
            <w:noWrap/>
            <w:vAlign w:val="center"/>
            <w:hideMark/>
          </w:tcPr>
          <w:p w14:paraId="52D7A73F"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Romania</w:t>
            </w:r>
          </w:p>
        </w:tc>
        <w:tc>
          <w:tcPr>
            <w:tcW w:w="960" w:type="dxa"/>
            <w:tcBorders>
              <w:top w:val="nil"/>
              <w:left w:val="nil"/>
              <w:bottom w:val="single" w:sz="4" w:space="0" w:color="auto"/>
              <w:right w:val="single" w:sz="8" w:space="0" w:color="auto"/>
            </w:tcBorders>
            <w:shd w:val="clear" w:color="auto" w:fill="auto"/>
            <w:noWrap/>
            <w:vAlign w:val="center"/>
            <w:hideMark/>
          </w:tcPr>
          <w:p w14:paraId="3637F1E8"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86.7</w:t>
            </w:r>
          </w:p>
        </w:tc>
        <w:tc>
          <w:tcPr>
            <w:tcW w:w="960" w:type="dxa"/>
            <w:tcBorders>
              <w:top w:val="nil"/>
              <w:left w:val="nil"/>
              <w:bottom w:val="single" w:sz="4" w:space="0" w:color="auto"/>
              <w:right w:val="single" w:sz="8" w:space="0" w:color="auto"/>
            </w:tcBorders>
            <w:shd w:val="clear" w:color="auto" w:fill="auto"/>
            <w:noWrap/>
            <w:vAlign w:val="center"/>
            <w:hideMark/>
          </w:tcPr>
          <w:p w14:paraId="1B4818D7"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86</w:t>
            </w:r>
          </w:p>
        </w:tc>
        <w:tc>
          <w:tcPr>
            <w:tcW w:w="1520" w:type="dxa"/>
            <w:tcBorders>
              <w:top w:val="nil"/>
              <w:left w:val="nil"/>
              <w:bottom w:val="single" w:sz="4" w:space="0" w:color="auto"/>
              <w:right w:val="single" w:sz="8" w:space="0" w:color="auto"/>
            </w:tcBorders>
            <w:shd w:val="clear" w:color="000000" w:fill="F7C7AC"/>
            <w:noWrap/>
            <w:vAlign w:val="center"/>
            <w:hideMark/>
          </w:tcPr>
          <w:p w14:paraId="37EDB57D"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-0.81</w:t>
            </w:r>
          </w:p>
        </w:tc>
      </w:tr>
      <w:tr w:rsidR="00ED3BC3" w:rsidRPr="00743C24" w14:paraId="57BF3674" w14:textId="77777777" w:rsidTr="00ED3BC3">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1A16D9BC"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Monastir</w:t>
            </w:r>
          </w:p>
        </w:tc>
        <w:tc>
          <w:tcPr>
            <w:tcW w:w="960" w:type="dxa"/>
            <w:tcBorders>
              <w:top w:val="nil"/>
              <w:left w:val="nil"/>
              <w:bottom w:val="single" w:sz="8" w:space="0" w:color="auto"/>
              <w:right w:val="single" w:sz="8" w:space="0" w:color="auto"/>
            </w:tcBorders>
            <w:shd w:val="clear" w:color="auto" w:fill="auto"/>
            <w:noWrap/>
            <w:vAlign w:val="center"/>
            <w:hideMark/>
          </w:tcPr>
          <w:p w14:paraId="79ABB5F8"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82.6</w:t>
            </w:r>
          </w:p>
        </w:tc>
        <w:tc>
          <w:tcPr>
            <w:tcW w:w="960" w:type="dxa"/>
            <w:tcBorders>
              <w:top w:val="nil"/>
              <w:left w:val="nil"/>
              <w:bottom w:val="single" w:sz="8" w:space="0" w:color="auto"/>
              <w:right w:val="single" w:sz="8" w:space="0" w:color="auto"/>
            </w:tcBorders>
            <w:shd w:val="clear" w:color="auto" w:fill="auto"/>
            <w:noWrap/>
            <w:vAlign w:val="center"/>
            <w:hideMark/>
          </w:tcPr>
          <w:p w14:paraId="4B70DF88"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86</w:t>
            </w:r>
          </w:p>
        </w:tc>
        <w:tc>
          <w:tcPr>
            <w:tcW w:w="1520" w:type="dxa"/>
            <w:tcBorders>
              <w:top w:val="nil"/>
              <w:left w:val="nil"/>
              <w:bottom w:val="single" w:sz="8" w:space="0" w:color="auto"/>
              <w:right w:val="single" w:sz="8" w:space="0" w:color="auto"/>
            </w:tcBorders>
            <w:shd w:val="clear" w:color="000000" w:fill="B5E6A2"/>
            <w:noWrap/>
            <w:vAlign w:val="center"/>
            <w:hideMark/>
          </w:tcPr>
          <w:p w14:paraId="443C48BC" w14:textId="77777777" w:rsidR="00ED3BC3" w:rsidRPr="00743C24" w:rsidRDefault="00ED3BC3"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4.12</w:t>
            </w:r>
          </w:p>
        </w:tc>
      </w:tr>
    </w:tbl>
    <w:p w14:paraId="4A923CBB" w14:textId="19C8A939" w:rsidR="00B66D10" w:rsidRPr="00743C24" w:rsidRDefault="00ED3BC3" w:rsidP="00B66D10">
      <w:pPr>
        <w:spacing w:line="360" w:lineRule="auto"/>
        <w:rPr>
          <w:rFonts w:ascii="Arial" w:hAnsi="Arial" w:cs="Arial"/>
        </w:rPr>
      </w:pPr>
      <w:r w:rsidRPr="00743C24">
        <w:rPr>
          <w:rFonts w:ascii="Arial" w:hAnsi="Arial" w:cs="Arial"/>
          <w:color w:val="4472C4" w:themeColor="accent1"/>
        </w:rPr>
        <w:t xml:space="preserve">Table </w:t>
      </w:r>
      <w:r w:rsidR="00743C24">
        <w:rPr>
          <w:rFonts w:ascii="Arial" w:hAnsi="Arial" w:cs="Arial"/>
          <w:color w:val="4472C4" w:themeColor="accent1"/>
        </w:rPr>
        <w:t>5</w:t>
      </w:r>
      <w:r w:rsidRPr="00743C24">
        <w:rPr>
          <w:rFonts w:ascii="Arial" w:hAnsi="Arial" w:cs="Arial"/>
        </w:rPr>
        <w:t xml:space="preserve">: </w:t>
      </w:r>
      <w:r w:rsidR="00F51556" w:rsidRPr="00743C24">
        <w:rPr>
          <w:rFonts w:ascii="Arial" w:hAnsi="Arial" w:cs="Arial"/>
        </w:rPr>
        <w:t>Country Performance Comparison</w:t>
      </w:r>
    </w:p>
    <w:p w14:paraId="39A43A0C" w14:textId="44D82B1E" w:rsidR="00F51556" w:rsidRPr="00743C24" w:rsidRDefault="00F51556" w:rsidP="00B66D10">
      <w:pPr>
        <w:spacing w:line="360" w:lineRule="auto"/>
        <w:rPr>
          <w:rFonts w:ascii="Arial" w:hAnsi="Arial" w:cs="Arial"/>
        </w:rPr>
      </w:pPr>
      <w:r w:rsidRPr="00743C24">
        <w:rPr>
          <w:rFonts w:ascii="Arial" w:hAnsi="Arial" w:cs="Arial"/>
        </w:rPr>
        <w:t xml:space="preserve">Morocco demonstrated the most notable improvement, with an increase of </w:t>
      </w:r>
      <w:r w:rsidRPr="00743C24">
        <w:rPr>
          <w:rFonts w:ascii="Arial" w:hAnsi="Arial" w:cs="Arial"/>
          <w:color w:val="70AD47" w:themeColor="accent6"/>
        </w:rPr>
        <w:t>+6.04%</w:t>
      </w:r>
      <w:r w:rsidRPr="00743C24">
        <w:rPr>
          <w:rFonts w:ascii="Arial" w:hAnsi="Arial" w:cs="Arial"/>
        </w:rPr>
        <w:t xml:space="preserve">, reaching a total score of 86%. Egypt followed closely, improving by </w:t>
      </w:r>
      <w:r w:rsidRPr="00743C24">
        <w:rPr>
          <w:rFonts w:ascii="Arial" w:hAnsi="Arial" w:cs="Arial"/>
          <w:color w:val="70AD47" w:themeColor="accent6"/>
        </w:rPr>
        <w:t>+5.52%</w:t>
      </w:r>
      <w:r w:rsidRPr="00743C24">
        <w:rPr>
          <w:rFonts w:ascii="Arial" w:hAnsi="Arial" w:cs="Arial"/>
        </w:rPr>
        <w:t xml:space="preserve"> and attaining the highest total site score of 88% across the SEWS-E group. Monastir also made gains, rising by </w:t>
      </w:r>
      <w:r w:rsidRPr="00743C24">
        <w:rPr>
          <w:rFonts w:ascii="Arial" w:hAnsi="Arial" w:cs="Arial"/>
          <w:color w:val="70AD47" w:themeColor="accent6"/>
        </w:rPr>
        <w:t>+4.12%</w:t>
      </w:r>
      <w:r w:rsidRPr="00743C24">
        <w:rPr>
          <w:rFonts w:ascii="Arial" w:hAnsi="Arial" w:cs="Arial"/>
        </w:rPr>
        <w:t xml:space="preserve">, aligning closely with the regional average. </w:t>
      </w:r>
      <w:r w:rsidR="00C4222E" w:rsidRPr="00743C24">
        <w:rPr>
          <w:rFonts w:ascii="Arial" w:hAnsi="Arial" w:cs="Arial"/>
        </w:rPr>
        <w:t xml:space="preserve">Romania maintained a high performance (86%) but recorded a marginal decline of </w:t>
      </w:r>
      <w:r w:rsidR="00C4222E" w:rsidRPr="00743C24">
        <w:rPr>
          <w:rFonts w:ascii="Arial" w:hAnsi="Arial" w:cs="Arial"/>
          <w:color w:val="FF0000"/>
        </w:rPr>
        <w:t>-0.81%</w:t>
      </w:r>
      <w:r w:rsidR="00C4222E" w:rsidRPr="00743C24">
        <w:rPr>
          <w:rFonts w:ascii="Arial" w:hAnsi="Arial" w:cs="Arial"/>
        </w:rPr>
        <w:t>, potentially indicating a plateau in audit maturity rather than operational regression</w:t>
      </w:r>
      <w:r w:rsidRPr="00743C24">
        <w:rPr>
          <w:rFonts w:ascii="Arial" w:hAnsi="Arial" w:cs="Arial"/>
        </w:rPr>
        <w:t>.</w:t>
      </w:r>
    </w:p>
    <w:p w14:paraId="1E6F5389" w14:textId="77777777" w:rsidR="00F51556" w:rsidRPr="00743C24" w:rsidRDefault="00F51556" w:rsidP="00B66D10">
      <w:pPr>
        <w:spacing w:line="360" w:lineRule="auto"/>
        <w:rPr>
          <w:rFonts w:ascii="Arial" w:hAnsi="Arial" w:cs="Arial"/>
        </w:rPr>
      </w:pPr>
    </w:p>
    <w:tbl>
      <w:tblPr>
        <w:tblW w:w="5377" w:type="dxa"/>
        <w:tblLayout w:type="fixed"/>
        <w:tblLook w:val="04A0" w:firstRow="1" w:lastRow="0" w:firstColumn="1" w:lastColumn="0" w:noHBand="0" w:noVBand="1"/>
      </w:tblPr>
      <w:tblGrid>
        <w:gridCol w:w="1691"/>
        <w:gridCol w:w="851"/>
        <w:gridCol w:w="992"/>
        <w:gridCol w:w="1843"/>
      </w:tblGrid>
      <w:tr w:rsidR="00F51556" w:rsidRPr="00743C24" w14:paraId="3A585DDF" w14:textId="77777777" w:rsidTr="00D82B97">
        <w:trPr>
          <w:trHeight w:val="300"/>
        </w:trPr>
        <w:tc>
          <w:tcPr>
            <w:tcW w:w="1691" w:type="dxa"/>
            <w:vMerge w:val="restart"/>
            <w:tcBorders>
              <w:top w:val="single" w:sz="8" w:space="0" w:color="auto"/>
              <w:left w:val="single" w:sz="8" w:space="0" w:color="auto"/>
              <w:bottom w:val="single" w:sz="8" w:space="0" w:color="000000"/>
              <w:right w:val="single" w:sz="8" w:space="0" w:color="auto"/>
            </w:tcBorders>
            <w:shd w:val="clear" w:color="auto" w:fill="D9D9D9" w:themeFill="background1" w:themeFillShade="D9"/>
            <w:noWrap/>
            <w:vAlign w:val="center"/>
            <w:hideMark/>
          </w:tcPr>
          <w:p w14:paraId="2321C6B3"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Machine Type</w:t>
            </w:r>
          </w:p>
        </w:tc>
        <w:tc>
          <w:tcPr>
            <w:tcW w:w="1843" w:type="dxa"/>
            <w:gridSpan w:val="2"/>
            <w:tcBorders>
              <w:top w:val="single" w:sz="8" w:space="0" w:color="auto"/>
              <w:left w:val="nil"/>
              <w:bottom w:val="single" w:sz="8" w:space="0" w:color="auto"/>
              <w:right w:val="single" w:sz="8" w:space="0" w:color="000000"/>
            </w:tcBorders>
            <w:shd w:val="clear" w:color="auto" w:fill="D9D9D9" w:themeFill="background1" w:themeFillShade="D9"/>
            <w:noWrap/>
            <w:vAlign w:val="center"/>
            <w:hideMark/>
          </w:tcPr>
          <w:p w14:paraId="61D08476"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Result / 100 (%)</w:t>
            </w:r>
          </w:p>
        </w:tc>
        <w:tc>
          <w:tcPr>
            <w:tcW w:w="1843" w:type="dxa"/>
            <w:vMerge w:val="restart"/>
            <w:tcBorders>
              <w:top w:val="single" w:sz="8" w:space="0" w:color="auto"/>
              <w:left w:val="single" w:sz="8" w:space="0" w:color="auto"/>
              <w:bottom w:val="single" w:sz="8" w:space="0" w:color="000000"/>
              <w:right w:val="single" w:sz="8" w:space="0" w:color="auto"/>
            </w:tcBorders>
            <w:shd w:val="clear" w:color="auto" w:fill="D9D9D9" w:themeFill="background1" w:themeFillShade="D9"/>
            <w:vAlign w:val="center"/>
            <w:hideMark/>
          </w:tcPr>
          <w:p w14:paraId="17768EFE" w14:textId="0A8AF2F2"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 xml:space="preserve">% Difference </w:t>
            </w:r>
          </w:p>
        </w:tc>
      </w:tr>
      <w:tr w:rsidR="00F51556" w:rsidRPr="00743C24" w14:paraId="11886B9D" w14:textId="77777777" w:rsidTr="00D82B97">
        <w:trPr>
          <w:trHeight w:val="300"/>
        </w:trPr>
        <w:tc>
          <w:tcPr>
            <w:tcW w:w="1691" w:type="dxa"/>
            <w:vMerge/>
            <w:tcBorders>
              <w:top w:val="single" w:sz="8" w:space="0" w:color="auto"/>
              <w:left w:val="single" w:sz="8" w:space="0" w:color="auto"/>
              <w:bottom w:val="single" w:sz="8" w:space="0" w:color="000000"/>
              <w:right w:val="single" w:sz="8" w:space="0" w:color="auto"/>
            </w:tcBorders>
            <w:vAlign w:val="center"/>
            <w:hideMark/>
          </w:tcPr>
          <w:p w14:paraId="6B16054E" w14:textId="77777777" w:rsidR="00F51556" w:rsidRPr="00743C24" w:rsidRDefault="00F51556" w:rsidP="00F51556">
            <w:pPr>
              <w:spacing w:after="0" w:line="276" w:lineRule="auto"/>
              <w:rPr>
                <w:rFonts w:ascii="Arial" w:eastAsia="Times New Roman" w:hAnsi="Arial" w:cs="Arial"/>
                <w:color w:val="000000"/>
                <w:kern w:val="0"/>
                <w14:ligatures w14:val="none"/>
              </w:rPr>
            </w:pPr>
          </w:p>
        </w:tc>
        <w:tc>
          <w:tcPr>
            <w:tcW w:w="851" w:type="dxa"/>
            <w:tcBorders>
              <w:top w:val="nil"/>
              <w:left w:val="nil"/>
              <w:bottom w:val="single" w:sz="8" w:space="0" w:color="auto"/>
              <w:right w:val="single" w:sz="8" w:space="0" w:color="auto"/>
            </w:tcBorders>
            <w:shd w:val="clear" w:color="auto" w:fill="D9D9D9" w:themeFill="background1" w:themeFillShade="D9"/>
            <w:noWrap/>
            <w:vAlign w:val="center"/>
            <w:hideMark/>
          </w:tcPr>
          <w:p w14:paraId="46D6849C" w14:textId="77777777" w:rsidR="00F51556" w:rsidRPr="00743C24" w:rsidRDefault="00F51556" w:rsidP="00F51556">
            <w:pPr>
              <w:spacing w:after="0" w:line="276" w:lineRule="auto"/>
              <w:jc w:val="center"/>
              <w:rPr>
                <w:rFonts w:ascii="Arial" w:eastAsia="Times New Roman" w:hAnsi="Arial" w:cs="Arial"/>
                <w:b/>
                <w:bCs/>
                <w:color w:val="000000"/>
                <w:kern w:val="0"/>
                <w14:ligatures w14:val="none"/>
              </w:rPr>
            </w:pPr>
            <w:r w:rsidRPr="00743C24">
              <w:rPr>
                <w:rFonts w:ascii="Arial" w:eastAsia="Times New Roman" w:hAnsi="Arial" w:cs="Arial"/>
                <w:b/>
                <w:bCs/>
                <w:color w:val="000000"/>
                <w:kern w:val="0"/>
                <w14:ligatures w14:val="none"/>
              </w:rPr>
              <w:t>2023</w:t>
            </w:r>
          </w:p>
        </w:tc>
        <w:tc>
          <w:tcPr>
            <w:tcW w:w="992" w:type="dxa"/>
            <w:tcBorders>
              <w:top w:val="nil"/>
              <w:left w:val="nil"/>
              <w:bottom w:val="single" w:sz="8" w:space="0" w:color="auto"/>
              <w:right w:val="single" w:sz="8" w:space="0" w:color="auto"/>
            </w:tcBorders>
            <w:shd w:val="clear" w:color="auto" w:fill="D9D9D9" w:themeFill="background1" w:themeFillShade="D9"/>
            <w:noWrap/>
            <w:vAlign w:val="center"/>
            <w:hideMark/>
          </w:tcPr>
          <w:p w14:paraId="2EAA3781" w14:textId="77777777" w:rsidR="00F51556" w:rsidRPr="00743C24" w:rsidRDefault="00F51556" w:rsidP="00F51556">
            <w:pPr>
              <w:spacing w:after="0" w:line="276" w:lineRule="auto"/>
              <w:jc w:val="center"/>
              <w:rPr>
                <w:rFonts w:ascii="Arial" w:eastAsia="Times New Roman" w:hAnsi="Arial" w:cs="Arial"/>
                <w:b/>
                <w:bCs/>
                <w:color w:val="000000"/>
                <w:kern w:val="0"/>
                <w14:ligatures w14:val="none"/>
              </w:rPr>
            </w:pPr>
            <w:r w:rsidRPr="00743C24">
              <w:rPr>
                <w:rFonts w:ascii="Arial" w:eastAsia="Times New Roman" w:hAnsi="Arial" w:cs="Arial"/>
                <w:b/>
                <w:bCs/>
                <w:color w:val="000000"/>
                <w:kern w:val="0"/>
                <w14:ligatures w14:val="none"/>
              </w:rPr>
              <w:t>2024</w:t>
            </w:r>
          </w:p>
        </w:tc>
        <w:tc>
          <w:tcPr>
            <w:tcW w:w="1843" w:type="dxa"/>
            <w:vMerge/>
            <w:tcBorders>
              <w:top w:val="single" w:sz="8" w:space="0" w:color="auto"/>
              <w:left w:val="single" w:sz="8" w:space="0" w:color="auto"/>
              <w:bottom w:val="single" w:sz="8" w:space="0" w:color="000000"/>
              <w:right w:val="single" w:sz="8" w:space="0" w:color="auto"/>
            </w:tcBorders>
            <w:vAlign w:val="center"/>
            <w:hideMark/>
          </w:tcPr>
          <w:p w14:paraId="532019BE" w14:textId="77777777" w:rsidR="00F51556" w:rsidRPr="00743C24" w:rsidRDefault="00F51556" w:rsidP="00F51556">
            <w:pPr>
              <w:spacing w:after="0" w:line="276" w:lineRule="auto"/>
              <w:rPr>
                <w:rFonts w:ascii="Arial" w:eastAsia="Times New Roman" w:hAnsi="Arial" w:cs="Arial"/>
                <w:color w:val="000000"/>
                <w:kern w:val="0"/>
                <w14:ligatures w14:val="none"/>
              </w:rPr>
            </w:pPr>
          </w:p>
        </w:tc>
      </w:tr>
      <w:tr w:rsidR="00F51556" w:rsidRPr="00743C24" w14:paraId="1E1979ED" w14:textId="77777777" w:rsidTr="00F51556">
        <w:trPr>
          <w:trHeight w:val="288"/>
        </w:trPr>
        <w:tc>
          <w:tcPr>
            <w:tcW w:w="1691" w:type="dxa"/>
            <w:tcBorders>
              <w:top w:val="nil"/>
              <w:left w:val="single" w:sz="4" w:space="0" w:color="auto"/>
              <w:bottom w:val="single" w:sz="4" w:space="0" w:color="auto"/>
              <w:right w:val="single" w:sz="4" w:space="0" w:color="auto"/>
            </w:tcBorders>
            <w:shd w:val="clear" w:color="auto" w:fill="auto"/>
            <w:noWrap/>
            <w:vAlign w:val="center"/>
            <w:hideMark/>
          </w:tcPr>
          <w:p w14:paraId="3995147E"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CC</w:t>
            </w:r>
          </w:p>
        </w:tc>
        <w:tc>
          <w:tcPr>
            <w:tcW w:w="851" w:type="dxa"/>
            <w:tcBorders>
              <w:top w:val="nil"/>
              <w:left w:val="nil"/>
              <w:bottom w:val="single" w:sz="4" w:space="0" w:color="auto"/>
              <w:right w:val="single" w:sz="4" w:space="0" w:color="auto"/>
            </w:tcBorders>
            <w:shd w:val="clear" w:color="auto" w:fill="auto"/>
            <w:noWrap/>
            <w:vAlign w:val="center"/>
            <w:hideMark/>
          </w:tcPr>
          <w:p w14:paraId="273FF0EE"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82.5</w:t>
            </w:r>
          </w:p>
        </w:tc>
        <w:tc>
          <w:tcPr>
            <w:tcW w:w="992" w:type="dxa"/>
            <w:tcBorders>
              <w:top w:val="nil"/>
              <w:left w:val="nil"/>
              <w:bottom w:val="single" w:sz="4" w:space="0" w:color="auto"/>
              <w:right w:val="single" w:sz="4" w:space="0" w:color="auto"/>
            </w:tcBorders>
            <w:shd w:val="clear" w:color="auto" w:fill="auto"/>
            <w:noWrap/>
            <w:vAlign w:val="center"/>
            <w:hideMark/>
          </w:tcPr>
          <w:p w14:paraId="5B0A950E"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86.2</w:t>
            </w:r>
          </w:p>
        </w:tc>
        <w:tc>
          <w:tcPr>
            <w:tcW w:w="1843" w:type="dxa"/>
            <w:tcBorders>
              <w:top w:val="nil"/>
              <w:left w:val="nil"/>
              <w:bottom w:val="single" w:sz="4" w:space="0" w:color="auto"/>
              <w:right w:val="single" w:sz="4" w:space="0" w:color="auto"/>
            </w:tcBorders>
            <w:shd w:val="clear" w:color="000000" w:fill="B5E6A2"/>
            <w:noWrap/>
            <w:vAlign w:val="center"/>
            <w:hideMark/>
          </w:tcPr>
          <w:p w14:paraId="40051593"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4.48</w:t>
            </w:r>
          </w:p>
        </w:tc>
      </w:tr>
      <w:tr w:rsidR="00F51556" w:rsidRPr="00743C24" w14:paraId="566C0DC9" w14:textId="77777777" w:rsidTr="00F51556">
        <w:trPr>
          <w:trHeight w:val="288"/>
        </w:trPr>
        <w:tc>
          <w:tcPr>
            <w:tcW w:w="1691" w:type="dxa"/>
            <w:tcBorders>
              <w:top w:val="nil"/>
              <w:left w:val="single" w:sz="4" w:space="0" w:color="auto"/>
              <w:bottom w:val="single" w:sz="4" w:space="0" w:color="auto"/>
              <w:right w:val="single" w:sz="4" w:space="0" w:color="auto"/>
            </w:tcBorders>
            <w:shd w:val="clear" w:color="auto" w:fill="auto"/>
            <w:noWrap/>
            <w:vAlign w:val="center"/>
            <w:hideMark/>
          </w:tcPr>
          <w:p w14:paraId="5267448D"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USW</w:t>
            </w:r>
          </w:p>
        </w:tc>
        <w:tc>
          <w:tcPr>
            <w:tcW w:w="851" w:type="dxa"/>
            <w:tcBorders>
              <w:top w:val="nil"/>
              <w:left w:val="nil"/>
              <w:bottom w:val="single" w:sz="4" w:space="0" w:color="auto"/>
              <w:right w:val="single" w:sz="4" w:space="0" w:color="auto"/>
            </w:tcBorders>
            <w:shd w:val="clear" w:color="auto" w:fill="auto"/>
            <w:noWrap/>
            <w:vAlign w:val="center"/>
            <w:hideMark/>
          </w:tcPr>
          <w:p w14:paraId="5EBDABB0"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73.3</w:t>
            </w:r>
          </w:p>
        </w:tc>
        <w:tc>
          <w:tcPr>
            <w:tcW w:w="992" w:type="dxa"/>
            <w:tcBorders>
              <w:top w:val="nil"/>
              <w:left w:val="nil"/>
              <w:bottom w:val="single" w:sz="4" w:space="0" w:color="auto"/>
              <w:right w:val="single" w:sz="4" w:space="0" w:color="auto"/>
            </w:tcBorders>
            <w:shd w:val="clear" w:color="auto" w:fill="auto"/>
            <w:noWrap/>
            <w:vAlign w:val="center"/>
            <w:hideMark/>
          </w:tcPr>
          <w:p w14:paraId="2D70704E"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84.9</w:t>
            </w:r>
          </w:p>
        </w:tc>
        <w:tc>
          <w:tcPr>
            <w:tcW w:w="1843" w:type="dxa"/>
            <w:tcBorders>
              <w:top w:val="nil"/>
              <w:left w:val="nil"/>
              <w:bottom w:val="single" w:sz="4" w:space="0" w:color="auto"/>
              <w:right w:val="single" w:sz="4" w:space="0" w:color="auto"/>
            </w:tcBorders>
            <w:shd w:val="clear" w:color="000000" w:fill="B5E6A2"/>
            <w:noWrap/>
            <w:vAlign w:val="center"/>
            <w:hideMark/>
          </w:tcPr>
          <w:p w14:paraId="4D91335B"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15.83</w:t>
            </w:r>
          </w:p>
        </w:tc>
      </w:tr>
      <w:tr w:rsidR="00F51556" w:rsidRPr="00743C24" w14:paraId="1346F896" w14:textId="77777777" w:rsidTr="00F51556">
        <w:trPr>
          <w:trHeight w:val="288"/>
        </w:trPr>
        <w:tc>
          <w:tcPr>
            <w:tcW w:w="1691" w:type="dxa"/>
            <w:tcBorders>
              <w:top w:val="nil"/>
              <w:left w:val="single" w:sz="4" w:space="0" w:color="auto"/>
              <w:bottom w:val="single" w:sz="4" w:space="0" w:color="auto"/>
              <w:right w:val="single" w:sz="4" w:space="0" w:color="auto"/>
            </w:tcBorders>
            <w:shd w:val="clear" w:color="auto" w:fill="auto"/>
            <w:noWrap/>
            <w:vAlign w:val="center"/>
            <w:hideMark/>
          </w:tcPr>
          <w:p w14:paraId="0A59CF29"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Applicators</w:t>
            </w:r>
          </w:p>
        </w:tc>
        <w:tc>
          <w:tcPr>
            <w:tcW w:w="851" w:type="dxa"/>
            <w:tcBorders>
              <w:top w:val="nil"/>
              <w:left w:val="nil"/>
              <w:bottom w:val="single" w:sz="4" w:space="0" w:color="auto"/>
              <w:right w:val="single" w:sz="4" w:space="0" w:color="auto"/>
            </w:tcBorders>
            <w:shd w:val="clear" w:color="auto" w:fill="auto"/>
            <w:noWrap/>
            <w:vAlign w:val="center"/>
            <w:hideMark/>
          </w:tcPr>
          <w:p w14:paraId="326D0407"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83.1</w:t>
            </w:r>
          </w:p>
        </w:tc>
        <w:tc>
          <w:tcPr>
            <w:tcW w:w="992" w:type="dxa"/>
            <w:tcBorders>
              <w:top w:val="nil"/>
              <w:left w:val="nil"/>
              <w:bottom w:val="single" w:sz="4" w:space="0" w:color="auto"/>
              <w:right w:val="single" w:sz="4" w:space="0" w:color="auto"/>
            </w:tcBorders>
            <w:shd w:val="clear" w:color="auto" w:fill="auto"/>
            <w:noWrap/>
            <w:vAlign w:val="center"/>
            <w:hideMark/>
          </w:tcPr>
          <w:p w14:paraId="1B4059DC"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90.9</w:t>
            </w:r>
          </w:p>
        </w:tc>
        <w:tc>
          <w:tcPr>
            <w:tcW w:w="1843" w:type="dxa"/>
            <w:tcBorders>
              <w:top w:val="nil"/>
              <w:left w:val="nil"/>
              <w:bottom w:val="single" w:sz="4" w:space="0" w:color="auto"/>
              <w:right w:val="single" w:sz="4" w:space="0" w:color="auto"/>
            </w:tcBorders>
            <w:shd w:val="clear" w:color="000000" w:fill="B5E6A2"/>
            <w:noWrap/>
            <w:vAlign w:val="center"/>
            <w:hideMark/>
          </w:tcPr>
          <w:p w14:paraId="0EC4142F"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9.39</w:t>
            </w:r>
          </w:p>
        </w:tc>
      </w:tr>
      <w:tr w:rsidR="00F51556" w:rsidRPr="00743C24" w14:paraId="47AE1AFC" w14:textId="77777777" w:rsidTr="00F51556">
        <w:trPr>
          <w:trHeight w:val="288"/>
        </w:trPr>
        <w:tc>
          <w:tcPr>
            <w:tcW w:w="1691" w:type="dxa"/>
            <w:tcBorders>
              <w:top w:val="nil"/>
              <w:left w:val="single" w:sz="4" w:space="0" w:color="auto"/>
              <w:bottom w:val="single" w:sz="4" w:space="0" w:color="auto"/>
              <w:right w:val="single" w:sz="4" w:space="0" w:color="auto"/>
            </w:tcBorders>
            <w:shd w:val="clear" w:color="auto" w:fill="auto"/>
            <w:noWrap/>
            <w:vAlign w:val="center"/>
            <w:hideMark/>
          </w:tcPr>
          <w:p w14:paraId="24BB5E19"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Presses</w:t>
            </w:r>
          </w:p>
        </w:tc>
        <w:tc>
          <w:tcPr>
            <w:tcW w:w="851" w:type="dxa"/>
            <w:tcBorders>
              <w:top w:val="nil"/>
              <w:left w:val="nil"/>
              <w:bottom w:val="single" w:sz="4" w:space="0" w:color="auto"/>
              <w:right w:val="single" w:sz="4" w:space="0" w:color="auto"/>
            </w:tcBorders>
            <w:shd w:val="clear" w:color="auto" w:fill="auto"/>
            <w:noWrap/>
            <w:vAlign w:val="center"/>
            <w:hideMark/>
          </w:tcPr>
          <w:p w14:paraId="4315A31F"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78.6</w:t>
            </w:r>
          </w:p>
        </w:tc>
        <w:tc>
          <w:tcPr>
            <w:tcW w:w="992" w:type="dxa"/>
            <w:tcBorders>
              <w:top w:val="nil"/>
              <w:left w:val="nil"/>
              <w:bottom w:val="single" w:sz="4" w:space="0" w:color="auto"/>
              <w:right w:val="single" w:sz="4" w:space="0" w:color="auto"/>
            </w:tcBorders>
            <w:shd w:val="clear" w:color="auto" w:fill="auto"/>
            <w:noWrap/>
            <w:vAlign w:val="center"/>
            <w:hideMark/>
          </w:tcPr>
          <w:p w14:paraId="301FC563"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84.8</w:t>
            </w:r>
          </w:p>
        </w:tc>
        <w:tc>
          <w:tcPr>
            <w:tcW w:w="1843" w:type="dxa"/>
            <w:tcBorders>
              <w:top w:val="nil"/>
              <w:left w:val="nil"/>
              <w:bottom w:val="single" w:sz="4" w:space="0" w:color="auto"/>
              <w:right w:val="single" w:sz="4" w:space="0" w:color="auto"/>
            </w:tcBorders>
            <w:shd w:val="clear" w:color="000000" w:fill="B5E6A2"/>
            <w:noWrap/>
            <w:vAlign w:val="center"/>
            <w:hideMark/>
          </w:tcPr>
          <w:p w14:paraId="4DE43ABC"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7.89</w:t>
            </w:r>
          </w:p>
        </w:tc>
      </w:tr>
      <w:tr w:rsidR="00F51556" w:rsidRPr="00743C24" w14:paraId="0B8059BF" w14:textId="77777777" w:rsidTr="00F51556">
        <w:trPr>
          <w:trHeight w:val="288"/>
        </w:trPr>
        <w:tc>
          <w:tcPr>
            <w:tcW w:w="1691" w:type="dxa"/>
            <w:tcBorders>
              <w:top w:val="nil"/>
              <w:left w:val="single" w:sz="4" w:space="0" w:color="auto"/>
              <w:bottom w:val="single" w:sz="4" w:space="0" w:color="auto"/>
              <w:right w:val="single" w:sz="4" w:space="0" w:color="auto"/>
            </w:tcBorders>
            <w:shd w:val="clear" w:color="auto" w:fill="auto"/>
            <w:noWrap/>
            <w:vAlign w:val="center"/>
            <w:hideMark/>
          </w:tcPr>
          <w:p w14:paraId="7D4E0378"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Kappa</w:t>
            </w:r>
          </w:p>
        </w:tc>
        <w:tc>
          <w:tcPr>
            <w:tcW w:w="851" w:type="dxa"/>
            <w:tcBorders>
              <w:top w:val="nil"/>
              <w:left w:val="nil"/>
              <w:bottom w:val="single" w:sz="4" w:space="0" w:color="auto"/>
              <w:right w:val="single" w:sz="4" w:space="0" w:color="auto"/>
            </w:tcBorders>
            <w:shd w:val="clear" w:color="auto" w:fill="auto"/>
            <w:noWrap/>
            <w:vAlign w:val="center"/>
            <w:hideMark/>
          </w:tcPr>
          <w:p w14:paraId="34E80F33"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90.5</w:t>
            </w:r>
          </w:p>
        </w:tc>
        <w:tc>
          <w:tcPr>
            <w:tcW w:w="992" w:type="dxa"/>
            <w:tcBorders>
              <w:top w:val="nil"/>
              <w:left w:val="nil"/>
              <w:bottom w:val="single" w:sz="4" w:space="0" w:color="auto"/>
              <w:right w:val="single" w:sz="4" w:space="0" w:color="auto"/>
            </w:tcBorders>
            <w:shd w:val="clear" w:color="auto" w:fill="auto"/>
            <w:noWrap/>
            <w:vAlign w:val="center"/>
            <w:hideMark/>
          </w:tcPr>
          <w:p w14:paraId="459BF410"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88.5</w:t>
            </w:r>
          </w:p>
        </w:tc>
        <w:tc>
          <w:tcPr>
            <w:tcW w:w="1843" w:type="dxa"/>
            <w:tcBorders>
              <w:top w:val="nil"/>
              <w:left w:val="nil"/>
              <w:bottom w:val="single" w:sz="4" w:space="0" w:color="auto"/>
              <w:right w:val="single" w:sz="4" w:space="0" w:color="auto"/>
            </w:tcBorders>
            <w:shd w:val="clear" w:color="000000" w:fill="F7C7AC"/>
            <w:noWrap/>
            <w:vAlign w:val="center"/>
            <w:hideMark/>
          </w:tcPr>
          <w:p w14:paraId="0AEEF02B"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-2.21</w:t>
            </w:r>
          </w:p>
        </w:tc>
      </w:tr>
      <w:tr w:rsidR="00F51556" w:rsidRPr="00743C24" w14:paraId="7A6B4D6C" w14:textId="77777777" w:rsidTr="00F51556">
        <w:trPr>
          <w:trHeight w:val="288"/>
        </w:trPr>
        <w:tc>
          <w:tcPr>
            <w:tcW w:w="1691" w:type="dxa"/>
            <w:tcBorders>
              <w:top w:val="nil"/>
              <w:left w:val="single" w:sz="4" w:space="0" w:color="auto"/>
              <w:bottom w:val="single" w:sz="4" w:space="0" w:color="auto"/>
              <w:right w:val="single" w:sz="4" w:space="0" w:color="auto"/>
            </w:tcBorders>
            <w:shd w:val="clear" w:color="auto" w:fill="auto"/>
            <w:noWrap/>
            <w:vAlign w:val="center"/>
            <w:hideMark/>
          </w:tcPr>
          <w:p w14:paraId="55FFA9BC"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Manual Twist</w:t>
            </w:r>
          </w:p>
        </w:tc>
        <w:tc>
          <w:tcPr>
            <w:tcW w:w="851" w:type="dxa"/>
            <w:tcBorders>
              <w:top w:val="nil"/>
              <w:left w:val="nil"/>
              <w:bottom w:val="single" w:sz="4" w:space="0" w:color="auto"/>
              <w:right w:val="single" w:sz="4" w:space="0" w:color="auto"/>
            </w:tcBorders>
            <w:shd w:val="clear" w:color="auto" w:fill="auto"/>
            <w:noWrap/>
            <w:vAlign w:val="center"/>
            <w:hideMark/>
          </w:tcPr>
          <w:p w14:paraId="4C1F77B9"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89.2</w:t>
            </w:r>
          </w:p>
        </w:tc>
        <w:tc>
          <w:tcPr>
            <w:tcW w:w="992" w:type="dxa"/>
            <w:tcBorders>
              <w:top w:val="nil"/>
              <w:left w:val="nil"/>
              <w:bottom w:val="single" w:sz="4" w:space="0" w:color="auto"/>
              <w:right w:val="single" w:sz="4" w:space="0" w:color="auto"/>
            </w:tcBorders>
            <w:shd w:val="clear" w:color="auto" w:fill="auto"/>
            <w:noWrap/>
            <w:vAlign w:val="center"/>
            <w:hideMark/>
          </w:tcPr>
          <w:p w14:paraId="6E40D9A8"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88.5</w:t>
            </w:r>
          </w:p>
        </w:tc>
        <w:tc>
          <w:tcPr>
            <w:tcW w:w="1843" w:type="dxa"/>
            <w:tcBorders>
              <w:top w:val="nil"/>
              <w:left w:val="nil"/>
              <w:bottom w:val="single" w:sz="4" w:space="0" w:color="auto"/>
              <w:right w:val="single" w:sz="4" w:space="0" w:color="auto"/>
            </w:tcBorders>
            <w:shd w:val="clear" w:color="000000" w:fill="F7C7AC"/>
            <w:noWrap/>
            <w:vAlign w:val="center"/>
            <w:hideMark/>
          </w:tcPr>
          <w:p w14:paraId="48EAFFFC" w14:textId="77777777" w:rsidR="00F51556" w:rsidRPr="00743C24" w:rsidRDefault="00F51556" w:rsidP="00F51556">
            <w:pPr>
              <w:spacing w:after="0" w:line="276"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-0.78</w:t>
            </w:r>
          </w:p>
        </w:tc>
      </w:tr>
    </w:tbl>
    <w:p w14:paraId="7AF6828E" w14:textId="14BE2353" w:rsidR="00F51556" w:rsidRPr="00743C24" w:rsidRDefault="00F51556" w:rsidP="00B66D10">
      <w:pPr>
        <w:spacing w:line="360" w:lineRule="auto"/>
        <w:rPr>
          <w:rFonts w:ascii="Arial" w:hAnsi="Arial" w:cs="Arial"/>
        </w:rPr>
      </w:pPr>
      <w:r w:rsidRPr="00743C24">
        <w:rPr>
          <w:rFonts w:ascii="Arial" w:hAnsi="Arial" w:cs="Arial"/>
          <w:color w:val="4472C4" w:themeColor="accent1"/>
        </w:rPr>
        <w:t xml:space="preserve">Table </w:t>
      </w:r>
      <w:r w:rsidR="00743C24">
        <w:rPr>
          <w:rFonts w:ascii="Arial" w:hAnsi="Arial" w:cs="Arial"/>
          <w:color w:val="4472C4" w:themeColor="accent1"/>
        </w:rPr>
        <w:t>6</w:t>
      </w:r>
      <w:r w:rsidRPr="00743C24">
        <w:rPr>
          <w:rFonts w:ascii="Arial" w:hAnsi="Arial" w:cs="Arial"/>
        </w:rPr>
        <w:t>: Machine Type Comparison</w:t>
      </w:r>
    </w:p>
    <w:p w14:paraId="1F56F4F1" w14:textId="14E321ED" w:rsidR="00F51556" w:rsidRPr="00743C24" w:rsidRDefault="00F51556" w:rsidP="00B66D10">
      <w:pPr>
        <w:spacing w:line="360" w:lineRule="auto"/>
        <w:rPr>
          <w:rFonts w:ascii="Arial" w:hAnsi="Arial" w:cs="Arial"/>
        </w:rPr>
      </w:pPr>
      <w:r w:rsidRPr="00743C24">
        <w:rPr>
          <w:rFonts w:ascii="Arial" w:hAnsi="Arial" w:cs="Arial"/>
        </w:rPr>
        <w:t xml:space="preserve">In terms of equipment, USW machines showed the most substantial gain, increasing by </w:t>
      </w:r>
      <w:r w:rsidRPr="00743C24">
        <w:rPr>
          <w:rFonts w:ascii="Arial" w:hAnsi="Arial" w:cs="Arial"/>
          <w:color w:val="70AD47" w:themeColor="accent6"/>
        </w:rPr>
        <w:t>+15.83%</w:t>
      </w:r>
      <w:r w:rsidRPr="00743C24">
        <w:rPr>
          <w:rFonts w:ascii="Arial" w:hAnsi="Arial" w:cs="Arial"/>
        </w:rPr>
        <w:t>. This reflects targeted interventions such as improvements in operator ergonomics, notably the repositioning of emergency stop buttons. Similarly, Applicators (</w:t>
      </w:r>
      <w:r w:rsidRPr="00743C24">
        <w:rPr>
          <w:rFonts w:ascii="Arial" w:hAnsi="Arial" w:cs="Arial"/>
          <w:color w:val="70AD47" w:themeColor="accent6"/>
        </w:rPr>
        <w:t>+9.39%</w:t>
      </w:r>
      <w:r w:rsidRPr="00743C24">
        <w:rPr>
          <w:rFonts w:ascii="Arial" w:hAnsi="Arial" w:cs="Arial"/>
        </w:rPr>
        <w:t>) and Presses (</w:t>
      </w:r>
      <w:r w:rsidRPr="00743C24">
        <w:rPr>
          <w:rFonts w:ascii="Arial" w:hAnsi="Arial" w:cs="Arial"/>
          <w:color w:val="70AD47" w:themeColor="accent6"/>
        </w:rPr>
        <w:t>+7.89%</w:t>
      </w:r>
      <w:r w:rsidRPr="00743C24">
        <w:rPr>
          <w:rFonts w:ascii="Arial" w:hAnsi="Arial" w:cs="Arial"/>
        </w:rPr>
        <w:t>) demonstrated marked improvement, indicating effective investment in both maintenance and standardi</w:t>
      </w:r>
      <w:r w:rsidR="00CC766A" w:rsidRPr="00743C24">
        <w:rPr>
          <w:rFonts w:ascii="Arial" w:hAnsi="Arial" w:cs="Arial"/>
        </w:rPr>
        <w:t>s</w:t>
      </w:r>
      <w:r w:rsidRPr="00743C24">
        <w:rPr>
          <w:rFonts w:ascii="Arial" w:hAnsi="Arial" w:cs="Arial"/>
        </w:rPr>
        <w:t>ation. However, Kappa (</w:t>
      </w:r>
      <w:r w:rsidRPr="00743C24">
        <w:rPr>
          <w:rFonts w:ascii="Arial" w:hAnsi="Arial" w:cs="Arial"/>
          <w:color w:val="FF0000"/>
        </w:rPr>
        <w:t>-2.21%</w:t>
      </w:r>
      <w:r w:rsidRPr="00743C24">
        <w:rPr>
          <w:rFonts w:ascii="Arial" w:hAnsi="Arial" w:cs="Arial"/>
        </w:rPr>
        <w:t>) and Manual Twist(</w:t>
      </w:r>
      <w:r w:rsidRPr="00743C24">
        <w:rPr>
          <w:rFonts w:ascii="Arial" w:hAnsi="Arial" w:cs="Arial"/>
          <w:color w:val="FF0000"/>
        </w:rPr>
        <w:t>-0.78%</w:t>
      </w:r>
      <w:r w:rsidRPr="00743C24">
        <w:rPr>
          <w:rFonts w:ascii="Arial" w:hAnsi="Arial" w:cs="Arial"/>
        </w:rPr>
        <w:t>) machines recorded slight declines, though this may be partially attributed to a reduced sample size in 2024, with only one unit of each type audited versus two in the previous year — thus limiting comparative depth.</w:t>
      </w:r>
    </w:p>
    <w:p w14:paraId="7FF72754" w14:textId="77777777" w:rsidR="005932CC" w:rsidRPr="00743C24" w:rsidRDefault="005932CC" w:rsidP="00B66D10">
      <w:pPr>
        <w:spacing w:line="360" w:lineRule="auto"/>
        <w:rPr>
          <w:rFonts w:ascii="Arial" w:hAnsi="Arial" w:cs="Arial"/>
        </w:rPr>
      </w:pPr>
    </w:p>
    <w:tbl>
      <w:tblPr>
        <w:tblW w:w="5691" w:type="dxa"/>
        <w:tblLook w:val="04A0" w:firstRow="1" w:lastRow="0" w:firstColumn="1" w:lastColumn="0" w:noHBand="0" w:noVBand="1"/>
      </w:tblPr>
      <w:tblGrid>
        <w:gridCol w:w="2258"/>
        <w:gridCol w:w="706"/>
        <w:gridCol w:w="1219"/>
        <w:gridCol w:w="1732"/>
      </w:tblGrid>
      <w:tr w:rsidR="00F51556" w:rsidRPr="00743C24" w14:paraId="7D855E8D" w14:textId="77777777" w:rsidTr="00D82B97">
        <w:trPr>
          <w:trHeight w:val="300"/>
        </w:trPr>
        <w:tc>
          <w:tcPr>
            <w:tcW w:w="2258" w:type="dxa"/>
            <w:vMerge w:val="restart"/>
            <w:tcBorders>
              <w:top w:val="single" w:sz="8" w:space="0" w:color="auto"/>
              <w:left w:val="single" w:sz="8" w:space="0" w:color="auto"/>
              <w:bottom w:val="single" w:sz="8" w:space="0" w:color="000000"/>
              <w:right w:val="single" w:sz="8" w:space="0" w:color="auto"/>
            </w:tcBorders>
            <w:shd w:val="clear" w:color="auto" w:fill="D9D9D9" w:themeFill="background1" w:themeFillShade="D9"/>
            <w:noWrap/>
            <w:vAlign w:val="center"/>
            <w:hideMark/>
          </w:tcPr>
          <w:p w14:paraId="0D4A4559"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lastRenderedPageBreak/>
              <w:t>Category</w:t>
            </w:r>
          </w:p>
        </w:tc>
        <w:tc>
          <w:tcPr>
            <w:tcW w:w="1701" w:type="dxa"/>
            <w:gridSpan w:val="2"/>
            <w:tcBorders>
              <w:top w:val="single" w:sz="8" w:space="0" w:color="auto"/>
              <w:left w:val="nil"/>
              <w:bottom w:val="single" w:sz="8" w:space="0" w:color="auto"/>
              <w:right w:val="single" w:sz="8" w:space="0" w:color="000000"/>
            </w:tcBorders>
            <w:shd w:val="clear" w:color="auto" w:fill="D9D9D9" w:themeFill="background1" w:themeFillShade="D9"/>
            <w:noWrap/>
            <w:vAlign w:val="center"/>
            <w:hideMark/>
          </w:tcPr>
          <w:p w14:paraId="75532465"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Result / 100 (%)</w:t>
            </w:r>
          </w:p>
        </w:tc>
        <w:tc>
          <w:tcPr>
            <w:tcW w:w="1732" w:type="dxa"/>
            <w:vMerge w:val="restart"/>
            <w:tcBorders>
              <w:top w:val="single" w:sz="8" w:space="0" w:color="auto"/>
              <w:left w:val="single" w:sz="8" w:space="0" w:color="auto"/>
              <w:bottom w:val="single" w:sz="8" w:space="0" w:color="000000"/>
              <w:right w:val="single" w:sz="8" w:space="0" w:color="auto"/>
            </w:tcBorders>
            <w:shd w:val="clear" w:color="auto" w:fill="D9D9D9" w:themeFill="background1" w:themeFillShade="D9"/>
            <w:vAlign w:val="center"/>
            <w:hideMark/>
          </w:tcPr>
          <w:p w14:paraId="11A83852" w14:textId="28B95D5E"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 xml:space="preserve">% Difference </w:t>
            </w:r>
          </w:p>
        </w:tc>
      </w:tr>
      <w:tr w:rsidR="00F51556" w:rsidRPr="00743C24" w14:paraId="4E7C19E9" w14:textId="77777777" w:rsidTr="00D82B97">
        <w:trPr>
          <w:trHeight w:val="300"/>
        </w:trPr>
        <w:tc>
          <w:tcPr>
            <w:tcW w:w="2258" w:type="dxa"/>
            <w:vMerge/>
            <w:tcBorders>
              <w:top w:val="single" w:sz="8" w:space="0" w:color="auto"/>
              <w:left w:val="single" w:sz="8" w:space="0" w:color="auto"/>
              <w:bottom w:val="single" w:sz="8" w:space="0" w:color="000000"/>
              <w:right w:val="single" w:sz="8" w:space="0" w:color="auto"/>
            </w:tcBorders>
            <w:vAlign w:val="center"/>
            <w:hideMark/>
          </w:tcPr>
          <w:p w14:paraId="00895358" w14:textId="77777777" w:rsidR="00F51556" w:rsidRPr="00743C24" w:rsidRDefault="00F51556" w:rsidP="00F51556">
            <w:pPr>
              <w:spacing w:after="0" w:line="240" w:lineRule="auto"/>
              <w:rPr>
                <w:rFonts w:ascii="Arial" w:eastAsia="Times New Roman" w:hAnsi="Arial" w:cs="Arial"/>
                <w:color w:val="000000"/>
                <w:kern w:val="0"/>
                <w14:ligatures w14:val="none"/>
              </w:rPr>
            </w:pPr>
          </w:p>
        </w:tc>
        <w:tc>
          <w:tcPr>
            <w:tcW w:w="482" w:type="dxa"/>
            <w:tcBorders>
              <w:top w:val="nil"/>
              <w:left w:val="nil"/>
              <w:bottom w:val="single" w:sz="8" w:space="0" w:color="auto"/>
              <w:right w:val="single" w:sz="8" w:space="0" w:color="auto"/>
            </w:tcBorders>
            <w:shd w:val="clear" w:color="auto" w:fill="D9D9D9" w:themeFill="background1" w:themeFillShade="D9"/>
            <w:noWrap/>
            <w:vAlign w:val="center"/>
            <w:hideMark/>
          </w:tcPr>
          <w:p w14:paraId="2F4EFDDC" w14:textId="77777777" w:rsidR="00F51556" w:rsidRPr="00743C24" w:rsidRDefault="00F51556" w:rsidP="00F51556">
            <w:pPr>
              <w:spacing w:after="0" w:line="240" w:lineRule="auto"/>
              <w:jc w:val="center"/>
              <w:rPr>
                <w:rFonts w:ascii="Arial" w:eastAsia="Times New Roman" w:hAnsi="Arial" w:cs="Arial"/>
                <w:b/>
                <w:bCs/>
                <w:color w:val="000000"/>
                <w:kern w:val="0"/>
                <w14:ligatures w14:val="none"/>
              </w:rPr>
            </w:pPr>
            <w:r w:rsidRPr="00743C24">
              <w:rPr>
                <w:rFonts w:ascii="Arial" w:eastAsia="Times New Roman" w:hAnsi="Arial" w:cs="Arial"/>
                <w:b/>
                <w:bCs/>
                <w:color w:val="000000"/>
                <w:kern w:val="0"/>
                <w14:ligatures w14:val="none"/>
              </w:rPr>
              <w:t>2023</w:t>
            </w:r>
          </w:p>
        </w:tc>
        <w:tc>
          <w:tcPr>
            <w:tcW w:w="1219" w:type="dxa"/>
            <w:tcBorders>
              <w:top w:val="nil"/>
              <w:left w:val="nil"/>
              <w:bottom w:val="single" w:sz="8" w:space="0" w:color="auto"/>
              <w:right w:val="single" w:sz="8" w:space="0" w:color="auto"/>
            </w:tcBorders>
            <w:shd w:val="clear" w:color="auto" w:fill="D9D9D9" w:themeFill="background1" w:themeFillShade="D9"/>
            <w:noWrap/>
            <w:vAlign w:val="center"/>
            <w:hideMark/>
          </w:tcPr>
          <w:p w14:paraId="046D9ED1" w14:textId="77777777" w:rsidR="00F51556" w:rsidRPr="00743C24" w:rsidRDefault="00F51556" w:rsidP="00F51556">
            <w:pPr>
              <w:spacing w:after="0" w:line="240" w:lineRule="auto"/>
              <w:jc w:val="center"/>
              <w:rPr>
                <w:rFonts w:ascii="Arial" w:eastAsia="Times New Roman" w:hAnsi="Arial" w:cs="Arial"/>
                <w:b/>
                <w:bCs/>
                <w:color w:val="000000"/>
                <w:kern w:val="0"/>
                <w14:ligatures w14:val="none"/>
              </w:rPr>
            </w:pPr>
            <w:r w:rsidRPr="00743C24">
              <w:rPr>
                <w:rFonts w:ascii="Arial" w:eastAsia="Times New Roman" w:hAnsi="Arial" w:cs="Arial"/>
                <w:b/>
                <w:bCs/>
                <w:color w:val="000000"/>
                <w:kern w:val="0"/>
                <w14:ligatures w14:val="none"/>
              </w:rPr>
              <w:t>2024</w:t>
            </w:r>
          </w:p>
        </w:tc>
        <w:tc>
          <w:tcPr>
            <w:tcW w:w="1732" w:type="dxa"/>
            <w:vMerge/>
            <w:tcBorders>
              <w:top w:val="single" w:sz="8" w:space="0" w:color="auto"/>
              <w:left w:val="single" w:sz="8" w:space="0" w:color="auto"/>
              <w:bottom w:val="single" w:sz="8" w:space="0" w:color="000000"/>
              <w:right w:val="single" w:sz="8" w:space="0" w:color="auto"/>
            </w:tcBorders>
            <w:vAlign w:val="center"/>
            <w:hideMark/>
          </w:tcPr>
          <w:p w14:paraId="7C727840" w14:textId="77777777" w:rsidR="00F51556" w:rsidRPr="00743C24" w:rsidRDefault="00F51556" w:rsidP="00F51556">
            <w:pPr>
              <w:spacing w:after="0" w:line="240" w:lineRule="auto"/>
              <w:rPr>
                <w:rFonts w:ascii="Arial" w:eastAsia="Times New Roman" w:hAnsi="Arial" w:cs="Arial"/>
                <w:color w:val="000000"/>
                <w:kern w:val="0"/>
                <w14:ligatures w14:val="none"/>
              </w:rPr>
            </w:pPr>
          </w:p>
        </w:tc>
      </w:tr>
      <w:tr w:rsidR="00F51556" w:rsidRPr="00743C24" w14:paraId="22803B5A" w14:textId="77777777" w:rsidTr="00D82B97">
        <w:trPr>
          <w:trHeight w:val="288"/>
        </w:trPr>
        <w:tc>
          <w:tcPr>
            <w:tcW w:w="2258" w:type="dxa"/>
            <w:tcBorders>
              <w:top w:val="nil"/>
              <w:left w:val="single" w:sz="8" w:space="0" w:color="auto"/>
              <w:bottom w:val="single" w:sz="4" w:space="0" w:color="auto"/>
              <w:right w:val="single" w:sz="8" w:space="0" w:color="auto"/>
            </w:tcBorders>
            <w:shd w:val="clear" w:color="auto" w:fill="auto"/>
            <w:noWrap/>
            <w:vAlign w:val="center"/>
            <w:hideMark/>
          </w:tcPr>
          <w:p w14:paraId="09FADC09"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Health and Safety</w:t>
            </w:r>
          </w:p>
        </w:tc>
        <w:tc>
          <w:tcPr>
            <w:tcW w:w="482" w:type="dxa"/>
            <w:tcBorders>
              <w:top w:val="nil"/>
              <w:left w:val="nil"/>
              <w:bottom w:val="nil"/>
              <w:right w:val="nil"/>
            </w:tcBorders>
            <w:shd w:val="clear" w:color="auto" w:fill="auto"/>
            <w:noWrap/>
            <w:vAlign w:val="center"/>
            <w:hideMark/>
          </w:tcPr>
          <w:p w14:paraId="77D7F752"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74</w:t>
            </w:r>
          </w:p>
        </w:tc>
        <w:tc>
          <w:tcPr>
            <w:tcW w:w="1219" w:type="dxa"/>
            <w:tcBorders>
              <w:top w:val="nil"/>
              <w:left w:val="single" w:sz="8" w:space="0" w:color="auto"/>
              <w:bottom w:val="single" w:sz="4" w:space="0" w:color="auto"/>
              <w:right w:val="single" w:sz="8" w:space="0" w:color="auto"/>
            </w:tcBorders>
            <w:shd w:val="clear" w:color="auto" w:fill="auto"/>
            <w:noWrap/>
            <w:vAlign w:val="center"/>
            <w:hideMark/>
          </w:tcPr>
          <w:p w14:paraId="3337EB84"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90</w:t>
            </w:r>
          </w:p>
        </w:tc>
        <w:tc>
          <w:tcPr>
            <w:tcW w:w="1732" w:type="dxa"/>
            <w:tcBorders>
              <w:top w:val="nil"/>
              <w:left w:val="nil"/>
              <w:bottom w:val="single" w:sz="4" w:space="0" w:color="auto"/>
              <w:right w:val="single" w:sz="8" w:space="0" w:color="auto"/>
            </w:tcBorders>
            <w:shd w:val="clear" w:color="000000" w:fill="B5E6A2"/>
            <w:noWrap/>
            <w:vAlign w:val="center"/>
            <w:hideMark/>
          </w:tcPr>
          <w:p w14:paraId="035301FF"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21.62</w:t>
            </w:r>
          </w:p>
        </w:tc>
      </w:tr>
      <w:tr w:rsidR="00F51556" w:rsidRPr="00743C24" w14:paraId="42DA3CCA" w14:textId="77777777" w:rsidTr="00D82B97">
        <w:trPr>
          <w:trHeight w:val="288"/>
        </w:trPr>
        <w:tc>
          <w:tcPr>
            <w:tcW w:w="2258" w:type="dxa"/>
            <w:tcBorders>
              <w:top w:val="nil"/>
              <w:left w:val="single" w:sz="8" w:space="0" w:color="auto"/>
              <w:bottom w:val="single" w:sz="4" w:space="0" w:color="auto"/>
              <w:right w:val="single" w:sz="8" w:space="0" w:color="auto"/>
            </w:tcBorders>
            <w:shd w:val="clear" w:color="auto" w:fill="auto"/>
            <w:noWrap/>
            <w:vAlign w:val="center"/>
            <w:hideMark/>
          </w:tcPr>
          <w:p w14:paraId="2C71A984"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Quality</w:t>
            </w:r>
          </w:p>
        </w:tc>
        <w:tc>
          <w:tcPr>
            <w:tcW w:w="482" w:type="dxa"/>
            <w:tcBorders>
              <w:top w:val="single" w:sz="4" w:space="0" w:color="auto"/>
              <w:left w:val="nil"/>
              <w:bottom w:val="single" w:sz="4" w:space="0" w:color="auto"/>
              <w:right w:val="single" w:sz="8" w:space="0" w:color="auto"/>
            </w:tcBorders>
            <w:shd w:val="clear" w:color="auto" w:fill="auto"/>
            <w:noWrap/>
            <w:vAlign w:val="center"/>
            <w:hideMark/>
          </w:tcPr>
          <w:p w14:paraId="1F80F1D1"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78</w:t>
            </w:r>
          </w:p>
        </w:tc>
        <w:tc>
          <w:tcPr>
            <w:tcW w:w="1219" w:type="dxa"/>
            <w:tcBorders>
              <w:top w:val="nil"/>
              <w:left w:val="nil"/>
              <w:bottom w:val="single" w:sz="4" w:space="0" w:color="auto"/>
              <w:right w:val="single" w:sz="8" w:space="0" w:color="auto"/>
            </w:tcBorders>
            <w:shd w:val="clear" w:color="auto" w:fill="auto"/>
            <w:noWrap/>
            <w:vAlign w:val="center"/>
            <w:hideMark/>
          </w:tcPr>
          <w:p w14:paraId="30C98FA1"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84</w:t>
            </w:r>
          </w:p>
        </w:tc>
        <w:tc>
          <w:tcPr>
            <w:tcW w:w="1732" w:type="dxa"/>
            <w:tcBorders>
              <w:top w:val="nil"/>
              <w:left w:val="nil"/>
              <w:bottom w:val="single" w:sz="4" w:space="0" w:color="auto"/>
              <w:right w:val="single" w:sz="8" w:space="0" w:color="auto"/>
            </w:tcBorders>
            <w:shd w:val="clear" w:color="000000" w:fill="B5E6A2"/>
            <w:noWrap/>
            <w:vAlign w:val="center"/>
            <w:hideMark/>
          </w:tcPr>
          <w:p w14:paraId="3F97EFE0"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7.69</w:t>
            </w:r>
          </w:p>
        </w:tc>
      </w:tr>
      <w:tr w:rsidR="00F51556" w:rsidRPr="00743C24" w14:paraId="67E2FAB3" w14:textId="77777777" w:rsidTr="00D82B97">
        <w:trPr>
          <w:trHeight w:val="288"/>
        </w:trPr>
        <w:tc>
          <w:tcPr>
            <w:tcW w:w="2258" w:type="dxa"/>
            <w:tcBorders>
              <w:top w:val="nil"/>
              <w:left w:val="single" w:sz="8" w:space="0" w:color="auto"/>
              <w:bottom w:val="single" w:sz="4" w:space="0" w:color="auto"/>
              <w:right w:val="single" w:sz="8" w:space="0" w:color="auto"/>
            </w:tcBorders>
            <w:shd w:val="clear" w:color="auto" w:fill="auto"/>
            <w:noWrap/>
            <w:vAlign w:val="center"/>
            <w:hideMark/>
          </w:tcPr>
          <w:p w14:paraId="495AF81C"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General Condition</w:t>
            </w:r>
          </w:p>
        </w:tc>
        <w:tc>
          <w:tcPr>
            <w:tcW w:w="482" w:type="dxa"/>
            <w:tcBorders>
              <w:top w:val="nil"/>
              <w:left w:val="nil"/>
              <w:bottom w:val="single" w:sz="4" w:space="0" w:color="auto"/>
              <w:right w:val="single" w:sz="8" w:space="0" w:color="auto"/>
            </w:tcBorders>
            <w:shd w:val="clear" w:color="auto" w:fill="auto"/>
            <w:noWrap/>
            <w:vAlign w:val="center"/>
            <w:hideMark/>
          </w:tcPr>
          <w:p w14:paraId="41ED2523"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81</w:t>
            </w:r>
          </w:p>
        </w:tc>
        <w:tc>
          <w:tcPr>
            <w:tcW w:w="1219" w:type="dxa"/>
            <w:tcBorders>
              <w:top w:val="nil"/>
              <w:left w:val="nil"/>
              <w:bottom w:val="single" w:sz="4" w:space="0" w:color="auto"/>
              <w:right w:val="single" w:sz="8" w:space="0" w:color="auto"/>
            </w:tcBorders>
            <w:shd w:val="clear" w:color="auto" w:fill="auto"/>
            <w:noWrap/>
            <w:vAlign w:val="center"/>
            <w:hideMark/>
          </w:tcPr>
          <w:p w14:paraId="41B676D2"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88</w:t>
            </w:r>
          </w:p>
        </w:tc>
        <w:tc>
          <w:tcPr>
            <w:tcW w:w="1732" w:type="dxa"/>
            <w:tcBorders>
              <w:top w:val="nil"/>
              <w:left w:val="nil"/>
              <w:bottom w:val="single" w:sz="4" w:space="0" w:color="auto"/>
              <w:right w:val="single" w:sz="8" w:space="0" w:color="auto"/>
            </w:tcBorders>
            <w:shd w:val="clear" w:color="000000" w:fill="B5E6A2"/>
            <w:noWrap/>
            <w:vAlign w:val="center"/>
            <w:hideMark/>
          </w:tcPr>
          <w:p w14:paraId="0FF93E98"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8.64</w:t>
            </w:r>
          </w:p>
        </w:tc>
      </w:tr>
      <w:tr w:rsidR="00F51556" w:rsidRPr="00743C24" w14:paraId="4A0D6947" w14:textId="77777777" w:rsidTr="00D82B97">
        <w:trPr>
          <w:trHeight w:val="300"/>
        </w:trPr>
        <w:tc>
          <w:tcPr>
            <w:tcW w:w="2258" w:type="dxa"/>
            <w:tcBorders>
              <w:top w:val="nil"/>
              <w:left w:val="single" w:sz="8" w:space="0" w:color="auto"/>
              <w:bottom w:val="single" w:sz="8" w:space="0" w:color="auto"/>
              <w:right w:val="single" w:sz="8" w:space="0" w:color="auto"/>
            </w:tcBorders>
            <w:shd w:val="clear" w:color="auto" w:fill="auto"/>
            <w:noWrap/>
            <w:vAlign w:val="center"/>
            <w:hideMark/>
          </w:tcPr>
          <w:p w14:paraId="09B888B0"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Spare Parts</w:t>
            </w:r>
          </w:p>
        </w:tc>
        <w:tc>
          <w:tcPr>
            <w:tcW w:w="482" w:type="dxa"/>
            <w:tcBorders>
              <w:top w:val="nil"/>
              <w:left w:val="nil"/>
              <w:bottom w:val="single" w:sz="8" w:space="0" w:color="auto"/>
              <w:right w:val="single" w:sz="8" w:space="0" w:color="auto"/>
            </w:tcBorders>
            <w:shd w:val="clear" w:color="auto" w:fill="auto"/>
            <w:noWrap/>
            <w:vAlign w:val="center"/>
            <w:hideMark/>
          </w:tcPr>
          <w:p w14:paraId="07606B62"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78</w:t>
            </w:r>
          </w:p>
        </w:tc>
        <w:tc>
          <w:tcPr>
            <w:tcW w:w="1219" w:type="dxa"/>
            <w:tcBorders>
              <w:top w:val="nil"/>
              <w:left w:val="nil"/>
              <w:bottom w:val="single" w:sz="8" w:space="0" w:color="auto"/>
              <w:right w:val="single" w:sz="8" w:space="0" w:color="auto"/>
            </w:tcBorders>
            <w:shd w:val="clear" w:color="auto" w:fill="auto"/>
            <w:noWrap/>
            <w:vAlign w:val="center"/>
            <w:hideMark/>
          </w:tcPr>
          <w:p w14:paraId="19043EDC"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86</w:t>
            </w:r>
          </w:p>
        </w:tc>
        <w:tc>
          <w:tcPr>
            <w:tcW w:w="1732" w:type="dxa"/>
            <w:tcBorders>
              <w:top w:val="nil"/>
              <w:left w:val="nil"/>
              <w:bottom w:val="single" w:sz="8" w:space="0" w:color="auto"/>
              <w:right w:val="single" w:sz="8" w:space="0" w:color="auto"/>
            </w:tcBorders>
            <w:shd w:val="clear" w:color="000000" w:fill="B5E6A2"/>
            <w:noWrap/>
            <w:vAlign w:val="center"/>
            <w:hideMark/>
          </w:tcPr>
          <w:p w14:paraId="52EC307F" w14:textId="77777777" w:rsidR="00F51556" w:rsidRPr="00743C24" w:rsidRDefault="00F51556" w:rsidP="00F51556">
            <w:pPr>
              <w:spacing w:after="0" w:line="240" w:lineRule="auto"/>
              <w:jc w:val="center"/>
              <w:rPr>
                <w:rFonts w:ascii="Arial" w:eastAsia="Times New Roman" w:hAnsi="Arial" w:cs="Arial"/>
                <w:color w:val="000000"/>
                <w:kern w:val="0"/>
                <w14:ligatures w14:val="none"/>
              </w:rPr>
            </w:pPr>
            <w:r w:rsidRPr="00743C24">
              <w:rPr>
                <w:rFonts w:ascii="Arial" w:eastAsia="Times New Roman" w:hAnsi="Arial" w:cs="Arial"/>
                <w:color w:val="000000"/>
                <w:kern w:val="0"/>
                <w14:ligatures w14:val="none"/>
              </w:rPr>
              <w:t>10.26</w:t>
            </w:r>
          </w:p>
        </w:tc>
      </w:tr>
    </w:tbl>
    <w:p w14:paraId="1A5F0759" w14:textId="7695ED44" w:rsidR="00F51556" w:rsidRPr="00743C24" w:rsidRDefault="00F51556" w:rsidP="00B66D10">
      <w:pPr>
        <w:spacing w:line="360" w:lineRule="auto"/>
        <w:rPr>
          <w:rFonts w:ascii="Arial" w:hAnsi="Arial" w:cs="Arial"/>
        </w:rPr>
      </w:pPr>
      <w:r w:rsidRPr="00743C24">
        <w:rPr>
          <w:rFonts w:ascii="Arial" w:hAnsi="Arial" w:cs="Arial"/>
          <w:color w:val="4472C4" w:themeColor="accent1"/>
        </w:rPr>
        <w:t xml:space="preserve">Table </w:t>
      </w:r>
      <w:r w:rsidR="00743C24">
        <w:rPr>
          <w:rFonts w:ascii="Arial" w:hAnsi="Arial" w:cs="Arial"/>
          <w:color w:val="4472C4" w:themeColor="accent1"/>
        </w:rPr>
        <w:t>7</w:t>
      </w:r>
      <w:r w:rsidRPr="00743C24">
        <w:rPr>
          <w:rFonts w:ascii="Arial" w:hAnsi="Arial" w:cs="Arial"/>
        </w:rPr>
        <w:t>: Audit Category Comparison</w:t>
      </w:r>
    </w:p>
    <w:p w14:paraId="699D7BFB" w14:textId="72112F44" w:rsidR="00F51556" w:rsidRPr="00743C24" w:rsidRDefault="00F51556" w:rsidP="00C4222E">
      <w:pPr>
        <w:spacing w:line="360" w:lineRule="auto"/>
        <w:rPr>
          <w:rFonts w:ascii="Arial" w:hAnsi="Arial" w:cs="Arial"/>
        </w:rPr>
      </w:pPr>
      <w:r w:rsidRPr="00743C24">
        <w:rPr>
          <w:rFonts w:ascii="Arial" w:hAnsi="Arial" w:cs="Arial"/>
        </w:rPr>
        <w:t xml:space="preserve">The most dramatic category improvement was observed in Health and Safety, which rose from 74% to 90%, representing a </w:t>
      </w:r>
      <w:r w:rsidRPr="00743C24">
        <w:rPr>
          <w:rFonts w:ascii="Arial" w:hAnsi="Arial" w:cs="Arial"/>
          <w:color w:val="70AD47" w:themeColor="accent6"/>
        </w:rPr>
        <w:t xml:space="preserve">+21.62% </w:t>
      </w:r>
      <w:r w:rsidRPr="00743C24">
        <w:rPr>
          <w:rFonts w:ascii="Arial" w:hAnsi="Arial" w:cs="Arial"/>
        </w:rPr>
        <w:t>increase. This is likely a result of stricter safety checks, better risk assessments, and focused attention on safety-critical components such as guards, sharp edges, and emergency protocols. Improvements in Spare Parts (</w:t>
      </w:r>
      <w:r w:rsidRPr="00743C24">
        <w:rPr>
          <w:rFonts w:ascii="Arial" w:hAnsi="Arial" w:cs="Arial"/>
          <w:color w:val="70AD47" w:themeColor="accent6"/>
        </w:rPr>
        <w:t>+10.26%</w:t>
      </w:r>
      <w:r w:rsidRPr="00743C24">
        <w:rPr>
          <w:rFonts w:ascii="Arial" w:hAnsi="Arial" w:cs="Arial"/>
        </w:rPr>
        <w:t>), General Condition (</w:t>
      </w:r>
      <w:r w:rsidRPr="00743C24">
        <w:rPr>
          <w:rFonts w:ascii="Arial" w:hAnsi="Arial" w:cs="Arial"/>
          <w:color w:val="70AD47" w:themeColor="accent6"/>
        </w:rPr>
        <w:t>+8.64%</w:t>
      </w:r>
      <w:r w:rsidRPr="00743C24">
        <w:rPr>
          <w:rFonts w:ascii="Arial" w:hAnsi="Arial" w:cs="Arial"/>
        </w:rPr>
        <w:t>), and Quality (</w:t>
      </w:r>
      <w:r w:rsidRPr="00743C24">
        <w:rPr>
          <w:rFonts w:ascii="Arial" w:hAnsi="Arial" w:cs="Arial"/>
          <w:color w:val="70AD47" w:themeColor="accent6"/>
        </w:rPr>
        <w:t>+7.69%</w:t>
      </w:r>
      <w:r w:rsidRPr="00743C24">
        <w:rPr>
          <w:rFonts w:ascii="Arial" w:hAnsi="Arial" w:cs="Arial"/>
        </w:rPr>
        <w:t>) also reflect a more comprehensive and proactive maintenance culture across sites.</w:t>
      </w:r>
    </w:p>
    <w:p w14:paraId="4A8B50B4" w14:textId="2E5D962D" w:rsidR="00F51556" w:rsidRDefault="00BF0134" w:rsidP="00B66D10">
      <w:pPr>
        <w:spacing w:line="360" w:lineRule="auto"/>
        <w:rPr>
          <w:rFonts w:ascii="Arial" w:hAnsi="Arial" w:cs="Arial"/>
        </w:rPr>
      </w:pPr>
      <w:r w:rsidRPr="00BF0134">
        <w:rPr>
          <w:rFonts w:ascii="Arial" w:hAnsi="Arial" w:cs="Arial"/>
        </w:rPr>
        <w:t>These findings inform SEWS-E’s internal audit planning, training, and cross-site benchmarking. The 2024 audit introduced changes to enhance consistency and relevance, including treating tower lights as non-standard to reflect realistic production environments. Ergonomic enhancements, like repositioning the USW emergency stop button, aligned audits with operator experience. Revised Audit Score Cards and Check Sheets improved clarity, reduced subjectivity, and standardized scoring. MLS Preventive Maintenance reviews addressed prior configuration issues, while new machine protection criteria, focusing on sharp edges, reflected updated safety standards. Older machines were flagged for closer inspection to distinguish wear from systemic issues. These updates aimed to make audits more meaningful, shifting from box-ticking to driving process improvement. Effective audits require engaged auditors and site teams, consistent judgment, and a culture of accountability. SEWS-E’s audit system now emphasi</w:t>
      </w:r>
      <w:r w:rsidR="009E0292">
        <w:rPr>
          <w:rFonts w:ascii="Arial" w:hAnsi="Arial" w:cs="Arial"/>
        </w:rPr>
        <w:t>s</w:t>
      </w:r>
      <w:r w:rsidRPr="00BF0134">
        <w:rPr>
          <w:rFonts w:ascii="Arial" w:hAnsi="Arial" w:cs="Arial"/>
        </w:rPr>
        <w:t>es continuous improvement over mere compliance</w:t>
      </w:r>
      <w:r w:rsidR="00DA0EBC" w:rsidRPr="00743C24">
        <w:rPr>
          <w:rFonts w:ascii="Arial" w:hAnsi="Arial" w:cs="Arial"/>
        </w:rPr>
        <w:t>.</w:t>
      </w:r>
    </w:p>
    <w:p w14:paraId="74A40CA2" w14:textId="77777777" w:rsidR="00BF0134" w:rsidRDefault="00BF0134" w:rsidP="00B66D10">
      <w:pPr>
        <w:spacing w:line="360" w:lineRule="auto"/>
        <w:rPr>
          <w:rFonts w:ascii="Arial" w:hAnsi="Arial" w:cs="Arial"/>
        </w:rPr>
      </w:pPr>
    </w:p>
    <w:p w14:paraId="244073AF" w14:textId="77777777" w:rsidR="00BF0134" w:rsidRDefault="00BF0134" w:rsidP="00B66D10">
      <w:pPr>
        <w:spacing w:line="360" w:lineRule="auto"/>
        <w:rPr>
          <w:rFonts w:ascii="Arial" w:hAnsi="Arial" w:cs="Arial"/>
        </w:rPr>
      </w:pPr>
    </w:p>
    <w:p w14:paraId="4ED80234" w14:textId="77777777" w:rsidR="00BF0134" w:rsidRDefault="00BF0134" w:rsidP="00B66D10">
      <w:pPr>
        <w:spacing w:line="360" w:lineRule="auto"/>
        <w:rPr>
          <w:rFonts w:ascii="Arial" w:hAnsi="Arial" w:cs="Arial"/>
        </w:rPr>
      </w:pPr>
    </w:p>
    <w:p w14:paraId="53339199" w14:textId="77777777" w:rsidR="00BF0134" w:rsidRDefault="00BF0134" w:rsidP="00B66D10">
      <w:pPr>
        <w:spacing w:line="360" w:lineRule="auto"/>
        <w:rPr>
          <w:rFonts w:ascii="Arial" w:hAnsi="Arial" w:cs="Arial"/>
        </w:rPr>
      </w:pPr>
    </w:p>
    <w:p w14:paraId="58F644BA" w14:textId="77777777" w:rsidR="00BF0134" w:rsidRDefault="00BF0134" w:rsidP="00B66D10">
      <w:pPr>
        <w:spacing w:line="360" w:lineRule="auto"/>
        <w:rPr>
          <w:rFonts w:ascii="Arial" w:hAnsi="Arial" w:cs="Arial"/>
        </w:rPr>
      </w:pPr>
    </w:p>
    <w:p w14:paraId="43D4BD12" w14:textId="77777777" w:rsidR="00BF0134" w:rsidRDefault="00BF0134" w:rsidP="00B66D10">
      <w:pPr>
        <w:spacing w:line="360" w:lineRule="auto"/>
        <w:rPr>
          <w:rFonts w:ascii="Arial" w:hAnsi="Arial" w:cs="Arial"/>
        </w:rPr>
      </w:pPr>
    </w:p>
    <w:p w14:paraId="1D5B9D30" w14:textId="77777777" w:rsidR="00BF0134" w:rsidRPr="00743C24" w:rsidRDefault="00BF0134" w:rsidP="00B66D10">
      <w:pPr>
        <w:spacing w:line="360" w:lineRule="auto"/>
        <w:rPr>
          <w:rFonts w:ascii="Arial" w:hAnsi="Arial" w:cs="Arial"/>
        </w:rPr>
      </w:pPr>
    </w:p>
    <w:p w14:paraId="2D62A519" w14:textId="601284D9" w:rsidR="00505C55" w:rsidRPr="00743C24" w:rsidRDefault="00505C55" w:rsidP="000E67C4">
      <w:pPr>
        <w:pStyle w:val="Heading1"/>
        <w:rPr>
          <w:sz w:val="22"/>
          <w:szCs w:val="22"/>
        </w:rPr>
      </w:pPr>
      <w:bookmarkStart w:id="32" w:name="_Toc198120605"/>
      <w:r w:rsidRPr="00743C24">
        <w:rPr>
          <w:sz w:val="22"/>
          <w:szCs w:val="22"/>
        </w:rPr>
        <w:lastRenderedPageBreak/>
        <w:t>8. Results</w:t>
      </w:r>
      <w:bookmarkEnd w:id="32"/>
    </w:p>
    <w:p w14:paraId="3C646A27" w14:textId="710718A3" w:rsidR="00505C55" w:rsidRPr="00743C24" w:rsidRDefault="00505C55" w:rsidP="000E67C4">
      <w:pPr>
        <w:pStyle w:val="Heading2"/>
        <w:rPr>
          <w:szCs w:val="22"/>
        </w:rPr>
      </w:pPr>
      <w:bookmarkStart w:id="33" w:name="_Toc198120606"/>
      <w:r w:rsidRPr="00743C24">
        <w:rPr>
          <w:szCs w:val="22"/>
        </w:rPr>
        <w:t xml:space="preserve">8.1 </w:t>
      </w:r>
      <w:r w:rsidR="000E67C4" w:rsidRPr="00743C24">
        <w:rPr>
          <w:szCs w:val="22"/>
        </w:rPr>
        <w:t xml:space="preserve">Thematic </w:t>
      </w:r>
      <w:r w:rsidR="00BC0CD4" w:rsidRPr="00743C24">
        <w:rPr>
          <w:szCs w:val="22"/>
        </w:rPr>
        <w:t xml:space="preserve">Summary of </w:t>
      </w:r>
      <w:r w:rsidR="000E67C4" w:rsidRPr="00743C24">
        <w:rPr>
          <w:szCs w:val="22"/>
        </w:rPr>
        <w:t>Audit Findings</w:t>
      </w:r>
      <w:bookmarkEnd w:id="33"/>
    </w:p>
    <w:p w14:paraId="237FC634" w14:textId="67513F67" w:rsidR="00BC0CD4" w:rsidRPr="00743C24" w:rsidRDefault="000E67C4" w:rsidP="000E67C4">
      <w:pPr>
        <w:spacing w:line="360" w:lineRule="auto"/>
        <w:rPr>
          <w:rFonts w:ascii="Arial" w:hAnsi="Arial" w:cs="Arial"/>
        </w:rPr>
      </w:pPr>
      <w:r w:rsidRPr="00743C24">
        <w:rPr>
          <w:rFonts w:ascii="Arial" w:hAnsi="Arial" w:cs="Arial"/>
        </w:rPr>
        <w:t>Beyond the score-based improvements identified in Chapter 7, the 2023 and 2024 audits revealed recurring themes in the types of failures encountered. These themes were consistent across multiple sites and machine types, highlighting process vulnerabilities that impact both operational efficiency and equipment reliability</w:t>
      </w:r>
      <w:r w:rsidR="00F21F7D" w:rsidRPr="00743C24">
        <w:rPr>
          <w:rFonts w:ascii="Arial" w:hAnsi="Arial" w:cs="Arial"/>
        </w:rPr>
        <w:t>.</w:t>
      </w:r>
    </w:p>
    <w:p w14:paraId="22A18326" w14:textId="4F6A6F46" w:rsidR="000E67C4" w:rsidRPr="00743C24" w:rsidRDefault="000E67C4" w:rsidP="000E67C4">
      <w:pPr>
        <w:spacing w:line="360" w:lineRule="auto"/>
        <w:rPr>
          <w:rFonts w:ascii="Arial" w:hAnsi="Arial" w:cs="Arial"/>
        </w:rPr>
      </w:pPr>
      <w:r w:rsidRPr="00743C24">
        <w:rPr>
          <w:rFonts w:ascii="Arial" w:hAnsi="Arial" w:cs="Arial"/>
        </w:rPr>
        <w:t>Most Frequent Failure Themes (NOK Criteria)</w:t>
      </w:r>
    </w:p>
    <w:p w14:paraId="66D700E3" w14:textId="18F6164B" w:rsidR="000E67C4" w:rsidRPr="00743C24" w:rsidRDefault="000E67C4" w:rsidP="000E67C4">
      <w:pPr>
        <w:spacing w:line="360" w:lineRule="auto"/>
        <w:rPr>
          <w:rFonts w:ascii="Arial" w:hAnsi="Arial" w:cs="Arial"/>
        </w:rPr>
      </w:pPr>
      <w:r w:rsidRPr="00743C24">
        <w:rPr>
          <w:rFonts w:ascii="Arial" w:hAnsi="Arial" w:cs="Arial"/>
        </w:rPr>
        <w:t>Across all audits, the following issued appeared most frequently:</w:t>
      </w:r>
    </w:p>
    <w:p w14:paraId="3BDE3CD7" w14:textId="77777777"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Missing or non-functional emergency stop systems</w:t>
      </w:r>
    </w:p>
    <w:p w14:paraId="0BAC62BB" w14:textId="5DF8C358"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Holes in equipment</w:t>
      </w:r>
    </w:p>
    <w:p w14:paraId="57D0DA59" w14:textId="6CE78F88"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Electrical Connections on Display (Should be hidden)</w:t>
      </w:r>
    </w:p>
    <w:p w14:paraId="025564CC" w14:textId="77777777"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Lack of password protection or user access control</w:t>
      </w:r>
    </w:p>
    <w:p w14:paraId="21089F22" w14:textId="65D60948"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Grippers in bad state</w:t>
      </w:r>
    </w:p>
    <w:p w14:paraId="62CD9798" w14:textId="77777777"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Inaccurate or outdated preventive maintenance records</w:t>
      </w:r>
    </w:p>
    <w:p w14:paraId="043D9490" w14:textId="6048F96C"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Worn out belts and wheels</w:t>
      </w:r>
    </w:p>
    <w:p w14:paraId="497912D5" w14:textId="77777777"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Absence of documented spare part tracking</w:t>
      </w:r>
    </w:p>
    <w:p w14:paraId="44D449E6" w14:textId="6B4E7E32"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Wire inlet guide system</w:t>
      </w:r>
    </w:p>
    <w:p w14:paraId="1F23D233" w14:textId="34C0CD9E"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 xml:space="preserve">Incorrect or misconfigured tooling (e.g., wrong </w:t>
      </w:r>
      <w:r w:rsidR="00085E79" w:rsidRPr="00743C24">
        <w:rPr>
          <w:rFonts w:ascii="Arial" w:hAnsi="Arial" w:cs="Arial"/>
        </w:rPr>
        <w:t>micrometres</w:t>
      </w:r>
      <w:r w:rsidRPr="00743C24">
        <w:rPr>
          <w:rFonts w:ascii="Arial" w:hAnsi="Arial" w:cs="Arial"/>
        </w:rPr>
        <w:t xml:space="preserve"> or weld settings)</w:t>
      </w:r>
    </w:p>
    <w:p w14:paraId="3C43B99B" w14:textId="49DF1471"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Missing Spare Parts, or Incorrect Quantity</w:t>
      </w:r>
    </w:p>
    <w:p w14:paraId="33712F8D" w14:textId="6B21DABC"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Missing or incomplete documentation at machine level.</w:t>
      </w:r>
    </w:p>
    <w:p w14:paraId="40E87839" w14:textId="376A346A" w:rsidR="000E67C4" w:rsidRPr="00743C24" w:rsidRDefault="000E67C4" w:rsidP="000E67C4">
      <w:pPr>
        <w:pStyle w:val="ListParagraph"/>
        <w:numPr>
          <w:ilvl w:val="0"/>
          <w:numId w:val="32"/>
        </w:numPr>
        <w:spacing w:line="360" w:lineRule="auto"/>
        <w:rPr>
          <w:rFonts w:ascii="Arial" w:hAnsi="Arial" w:cs="Arial"/>
        </w:rPr>
      </w:pPr>
      <w:r w:rsidRPr="00743C24">
        <w:rPr>
          <w:rFonts w:ascii="Arial" w:hAnsi="Arial" w:cs="Arial"/>
        </w:rPr>
        <w:t>Missing covers</w:t>
      </w:r>
    </w:p>
    <w:p w14:paraId="297E650D" w14:textId="57E917C0" w:rsidR="000E67C4" w:rsidRPr="00743C24" w:rsidRDefault="000E67C4" w:rsidP="000E67C4">
      <w:pPr>
        <w:spacing w:line="360" w:lineRule="auto"/>
        <w:rPr>
          <w:rFonts w:ascii="Arial" w:hAnsi="Arial" w:cs="Arial"/>
        </w:rPr>
      </w:pPr>
      <w:r w:rsidRPr="00743C24">
        <w:rPr>
          <w:rFonts w:ascii="Arial" w:hAnsi="Arial" w:cs="Arial"/>
        </w:rPr>
        <w:t>These findings indicate not just technical gaps, but also procedural weaknesses in equipment handover, audit preparation, and compliance management.</w:t>
      </w:r>
    </w:p>
    <w:p w14:paraId="6F04E00E" w14:textId="19BCA3FF" w:rsidR="000E67C4" w:rsidRPr="00743C24" w:rsidRDefault="000E67C4" w:rsidP="000E67C4">
      <w:pPr>
        <w:spacing w:line="360" w:lineRule="auto"/>
        <w:rPr>
          <w:rFonts w:ascii="Arial" w:hAnsi="Arial" w:cs="Arial"/>
        </w:rPr>
      </w:pPr>
      <w:r w:rsidRPr="00743C24">
        <w:rPr>
          <w:rFonts w:ascii="Arial" w:hAnsi="Arial" w:cs="Arial"/>
        </w:rPr>
        <w:t>Audit Process Observations</w:t>
      </w:r>
    </w:p>
    <w:p w14:paraId="333EFC4E" w14:textId="5264C1B9" w:rsidR="000E67C4" w:rsidRPr="00743C24" w:rsidRDefault="000E67C4" w:rsidP="000E67C4">
      <w:pPr>
        <w:spacing w:line="360" w:lineRule="auto"/>
        <w:rPr>
          <w:rFonts w:ascii="Arial" w:hAnsi="Arial" w:cs="Arial"/>
        </w:rPr>
      </w:pPr>
      <w:r w:rsidRPr="00743C24">
        <w:rPr>
          <w:rFonts w:ascii="Arial" w:hAnsi="Arial" w:cs="Arial"/>
        </w:rPr>
        <w:t>In addition to technical failures, the audits also revealed inconsistencies in the audit process itself:</w:t>
      </w:r>
    </w:p>
    <w:p w14:paraId="12621C3F" w14:textId="0C92DC5C" w:rsidR="000E67C4" w:rsidRPr="00743C24" w:rsidRDefault="000E67C4" w:rsidP="000E67C4">
      <w:pPr>
        <w:pStyle w:val="ListParagraph"/>
        <w:numPr>
          <w:ilvl w:val="0"/>
          <w:numId w:val="33"/>
        </w:numPr>
        <w:spacing w:line="360" w:lineRule="auto"/>
        <w:rPr>
          <w:rFonts w:ascii="Arial" w:hAnsi="Arial" w:cs="Arial"/>
        </w:rPr>
      </w:pPr>
      <w:r w:rsidRPr="00743C24">
        <w:rPr>
          <w:rFonts w:ascii="Arial" w:hAnsi="Arial" w:cs="Arial"/>
        </w:rPr>
        <w:t>Auditors often relied on local machine experts to find missing documentation, introducing delays, including waiting times for finding spare parts.</w:t>
      </w:r>
    </w:p>
    <w:p w14:paraId="41A732E7" w14:textId="216B7494" w:rsidR="000E67C4" w:rsidRPr="00743C24" w:rsidRDefault="000E67C4" w:rsidP="000E67C4">
      <w:pPr>
        <w:pStyle w:val="ListParagraph"/>
        <w:numPr>
          <w:ilvl w:val="0"/>
          <w:numId w:val="33"/>
        </w:numPr>
        <w:spacing w:line="360" w:lineRule="auto"/>
        <w:rPr>
          <w:rFonts w:ascii="Arial" w:hAnsi="Arial" w:cs="Arial"/>
        </w:rPr>
      </w:pPr>
      <w:r w:rsidRPr="00743C24">
        <w:rPr>
          <w:rFonts w:ascii="Arial" w:hAnsi="Arial" w:cs="Arial"/>
        </w:rPr>
        <w:t>Some check sheet criteria (especially for older or customised machines) were marked as “N/A” inconsistently between regions</w:t>
      </w:r>
    </w:p>
    <w:p w14:paraId="328D6DD4" w14:textId="17022D4C" w:rsidR="00536D24" w:rsidRPr="00743C24" w:rsidRDefault="000E67C4" w:rsidP="00F21F7D">
      <w:pPr>
        <w:pStyle w:val="ListParagraph"/>
        <w:numPr>
          <w:ilvl w:val="0"/>
          <w:numId w:val="33"/>
        </w:numPr>
        <w:spacing w:line="360" w:lineRule="auto"/>
        <w:rPr>
          <w:rFonts w:ascii="Arial" w:hAnsi="Arial" w:cs="Arial"/>
        </w:rPr>
      </w:pPr>
      <w:r w:rsidRPr="00743C24">
        <w:rPr>
          <w:rFonts w:ascii="Arial" w:hAnsi="Arial" w:cs="Arial"/>
        </w:rPr>
        <w:t>There was variation in evidence capture quality, particularly when digital photo evidence was optional rather than required</w:t>
      </w:r>
    </w:p>
    <w:p w14:paraId="73492B3D" w14:textId="08572AE5" w:rsidR="00505C55" w:rsidRPr="00743C24" w:rsidRDefault="00505C55" w:rsidP="00202EA1">
      <w:pPr>
        <w:pStyle w:val="Heading2"/>
        <w:rPr>
          <w:szCs w:val="22"/>
        </w:rPr>
      </w:pPr>
      <w:bookmarkStart w:id="34" w:name="_Toc198120607"/>
      <w:r w:rsidRPr="00743C24">
        <w:rPr>
          <w:szCs w:val="22"/>
        </w:rPr>
        <w:lastRenderedPageBreak/>
        <w:t xml:space="preserve">8.2 </w:t>
      </w:r>
      <w:r w:rsidR="00BC0CD4" w:rsidRPr="00743C24">
        <w:rPr>
          <w:szCs w:val="22"/>
        </w:rPr>
        <w:t>Operational Impact</w:t>
      </w:r>
      <w:bookmarkEnd w:id="34"/>
    </w:p>
    <w:p w14:paraId="07799201" w14:textId="400B0E78" w:rsidR="00BF0134" w:rsidRPr="00BF0134" w:rsidRDefault="00BF0134" w:rsidP="00BF0134">
      <w:pPr>
        <w:spacing w:line="360" w:lineRule="auto"/>
        <w:rPr>
          <w:rFonts w:ascii="Arial" w:hAnsi="Arial" w:cs="Arial"/>
        </w:rPr>
      </w:pPr>
      <w:r w:rsidRPr="00BF0134">
        <w:rPr>
          <w:rFonts w:ascii="Arial" w:hAnsi="Arial" w:cs="Arial"/>
        </w:rPr>
        <w:t>The operational impact of the audit findings was particularly evident in areas like machine readiness, transfer delays, and production stability. Several frequent failures, such as missing emergency stop systems, exposed electrical connections, and worn components, posed direct safety hazards, requiring immediate intervention before equipment could be approved for use. Missing spare parts, incorrect documentation, or lack of password protection led to unplanned delays during machinery relocation, especially when transferred machines were not fully verified prior to shipment. This often resulted in additional on-site checks, repeated calibration efforts, and operator retraining.</w:t>
      </w:r>
    </w:p>
    <w:p w14:paraId="62F2904B" w14:textId="0336DDF3" w:rsidR="00BF0134" w:rsidRPr="00BF0134" w:rsidRDefault="00BF0134" w:rsidP="00BF0134">
      <w:pPr>
        <w:spacing w:line="360" w:lineRule="auto"/>
        <w:rPr>
          <w:rFonts w:ascii="Arial" w:hAnsi="Arial" w:cs="Arial"/>
        </w:rPr>
      </w:pPr>
      <w:r w:rsidRPr="00BF0134">
        <w:rPr>
          <w:rFonts w:ascii="Arial" w:hAnsi="Arial" w:cs="Arial"/>
        </w:rPr>
        <w:t>A recurring issue was inconsistent or outdated preventive maintenance (PM) records, causing uncertainty about machinery condition, leading to hesitation or rejection from receiving sites. The lack of clear service history made it difficult to schedule part replacements or assess risk, resulting in avoidable downtime. Additionally, the absence of spare part tracking in regions like Egypt and Romania disrupted first-run operations, where critical components were unavailable or incorrectly logged. Non-technical issues, such as missing covers or incomplete documentation, also created delays by violating compliance requirements and prompting follow-up reviews.</w:t>
      </w:r>
    </w:p>
    <w:p w14:paraId="61B2E27E" w14:textId="12863422" w:rsidR="00BC0CD4" w:rsidRPr="00743C24" w:rsidRDefault="00BF0134" w:rsidP="00BF0134">
      <w:pPr>
        <w:spacing w:line="360" w:lineRule="auto"/>
        <w:rPr>
          <w:rFonts w:ascii="Arial" w:hAnsi="Arial" w:cs="Arial"/>
        </w:rPr>
      </w:pPr>
      <w:r w:rsidRPr="00BF0134">
        <w:rPr>
          <w:rFonts w:ascii="Arial" w:hAnsi="Arial" w:cs="Arial"/>
        </w:rPr>
        <w:t>These issues show how small procedural lapses can have a significant impact on machinery transfer outcomes. Internal audits serve as a strategic safeguard against production disruption, inefficiency, and reduced equipment lifespan. Catching these issues pre-transfer helps SEWS-E avoid larger failures and maintain cross-regional manufacturing continuity.</w:t>
      </w:r>
    </w:p>
    <w:p w14:paraId="590CB187" w14:textId="36AD7395" w:rsidR="00505C55" w:rsidRPr="00743C24" w:rsidRDefault="00505C55" w:rsidP="00F21F7D">
      <w:pPr>
        <w:pStyle w:val="Heading2"/>
        <w:rPr>
          <w:szCs w:val="22"/>
        </w:rPr>
      </w:pPr>
      <w:bookmarkStart w:id="35" w:name="_Toc198120608"/>
      <w:r w:rsidRPr="00743C24">
        <w:rPr>
          <w:szCs w:val="22"/>
        </w:rPr>
        <w:t xml:space="preserve">8.3 </w:t>
      </w:r>
      <w:r w:rsidR="00BC0CD4" w:rsidRPr="00743C24">
        <w:rPr>
          <w:szCs w:val="22"/>
        </w:rPr>
        <w:t>Combined Data Analysis</w:t>
      </w:r>
      <w:bookmarkEnd w:id="35"/>
    </w:p>
    <w:p w14:paraId="6CEBBBEB" w14:textId="5CFD0082" w:rsidR="00BF0134" w:rsidRPr="00BF0134" w:rsidRDefault="00BF0134" w:rsidP="00BF0134">
      <w:pPr>
        <w:spacing w:line="360" w:lineRule="auto"/>
        <w:rPr>
          <w:rFonts w:ascii="Arial" w:hAnsi="Arial" w:cs="Arial"/>
        </w:rPr>
      </w:pPr>
      <w:r w:rsidRPr="00BF0134">
        <w:rPr>
          <w:rFonts w:ascii="Arial" w:hAnsi="Arial" w:cs="Arial"/>
        </w:rPr>
        <w:t>The combined analysis of 2023 and 2024 audit data reveals interconnected trends across regions, machine types, and audit categories. Performance improvements are not uniform, with gains in one area often correlating with losses or stagnation in others.</w:t>
      </w:r>
    </w:p>
    <w:p w14:paraId="3706E660" w14:textId="2ECA4B46" w:rsidR="00BF0134" w:rsidRPr="00BF0134" w:rsidRDefault="00BF0134" w:rsidP="00BF0134">
      <w:pPr>
        <w:spacing w:line="360" w:lineRule="auto"/>
        <w:rPr>
          <w:rFonts w:ascii="Arial" w:hAnsi="Arial" w:cs="Arial"/>
        </w:rPr>
      </w:pPr>
      <w:r w:rsidRPr="00BF0134">
        <w:rPr>
          <w:rFonts w:ascii="Arial" w:hAnsi="Arial" w:cs="Arial"/>
        </w:rPr>
        <w:t>Regions with high overall site scores (e.g., Egypt and Romania) performed well in General Condition and Health &amp; Safety, indicating a strong maintenance and compliance culture. However, even high</w:t>
      </w:r>
      <w:r w:rsidR="008860A3">
        <w:rPr>
          <w:rFonts w:ascii="Arial" w:hAnsi="Arial" w:cs="Arial"/>
        </w:rPr>
        <w:t xml:space="preserve"> </w:t>
      </w:r>
      <w:r w:rsidRPr="00BF0134">
        <w:rPr>
          <w:rFonts w:ascii="Arial" w:hAnsi="Arial" w:cs="Arial"/>
        </w:rPr>
        <w:t>scoring sites struggled with Spare Parts tracking, the most variable category across locations. This suggests that documentation and stock control remain weak, even where mechanical or safety conditions are satisfactory.</w:t>
      </w:r>
    </w:p>
    <w:p w14:paraId="62731F94" w14:textId="15B507E8" w:rsidR="00BF0134" w:rsidRPr="00BF0134" w:rsidRDefault="00BF0134" w:rsidP="00BF0134">
      <w:pPr>
        <w:spacing w:line="360" w:lineRule="auto"/>
        <w:rPr>
          <w:rFonts w:ascii="Arial" w:hAnsi="Arial" w:cs="Arial"/>
        </w:rPr>
      </w:pPr>
      <w:r w:rsidRPr="00BF0134">
        <w:rPr>
          <w:rFonts w:ascii="Arial" w:hAnsi="Arial" w:cs="Arial"/>
        </w:rPr>
        <w:t xml:space="preserve">Machine types like Applicators and Man Twist maintained high scores across all categories, while machines like USW showed sharp improvements in Health &amp; Safety but underperformed in documentation and spare parts, reflecting a partial recovery from prior </w:t>
      </w:r>
      <w:r w:rsidRPr="00BF0134">
        <w:rPr>
          <w:rFonts w:ascii="Arial" w:hAnsi="Arial" w:cs="Arial"/>
        </w:rPr>
        <w:lastRenderedPageBreak/>
        <w:t>weaknesses. This supports the observation that machine-specific training and configuration play a major role in audit outcomes, sometimes more than site culture alone.</w:t>
      </w:r>
    </w:p>
    <w:p w14:paraId="18299508" w14:textId="57570D7E" w:rsidR="0003395D" w:rsidRPr="00743C24" w:rsidRDefault="00BF0134" w:rsidP="00BF0134">
      <w:pPr>
        <w:spacing w:line="360" w:lineRule="auto"/>
        <w:rPr>
          <w:rFonts w:ascii="Arial" w:hAnsi="Arial" w:cs="Arial"/>
        </w:rPr>
      </w:pPr>
      <w:r w:rsidRPr="00BF0134">
        <w:rPr>
          <w:rFonts w:ascii="Arial" w:hAnsi="Arial" w:cs="Arial"/>
        </w:rPr>
        <w:t>The most significant performance gain occurred in Health &amp; Safety (+21.62%), reflecting the global push for safer environments and audit tool refinements. However, these gains were not always accompanied by improvements in Quality or Documentation, suggesting selective focus in audit efforts.</w:t>
      </w:r>
    </w:p>
    <w:p w14:paraId="28F6F9B4" w14:textId="552EE680" w:rsidR="0003395D" w:rsidRPr="00743C24" w:rsidRDefault="0003395D" w:rsidP="00176317">
      <w:pPr>
        <w:spacing w:line="360" w:lineRule="auto"/>
        <w:rPr>
          <w:rFonts w:ascii="Arial" w:hAnsi="Arial" w:cs="Arial"/>
        </w:rPr>
      </w:pPr>
      <w:r w:rsidRPr="00743C24">
        <w:rPr>
          <w:rFonts w:ascii="Arial" w:hAnsi="Arial" w:cs="Arial"/>
          <w:color w:val="BF8F00" w:themeColor="accent4" w:themeShade="BF"/>
        </w:rPr>
        <w:t>Figure 14</w:t>
      </w:r>
      <w:r w:rsidRPr="00743C24">
        <w:rPr>
          <w:rFonts w:ascii="Arial" w:hAnsi="Arial" w:cs="Arial"/>
        </w:rPr>
        <w:t xml:space="preserve">. below shows the overall improvement that sites have made across the board at SEWS-E sites. This graph is made from data used from </w:t>
      </w:r>
      <w:r w:rsidRPr="00743C24">
        <w:rPr>
          <w:rFonts w:ascii="Arial" w:hAnsi="Arial" w:cs="Arial"/>
          <w:color w:val="4472C4" w:themeColor="accent1"/>
        </w:rPr>
        <w:t>Table 6</w:t>
      </w:r>
      <w:r w:rsidRPr="00743C24">
        <w:rPr>
          <w:rFonts w:ascii="Arial" w:hAnsi="Arial" w:cs="Arial"/>
        </w:rPr>
        <w:t>.</w:t>
      </w:r>
    </w:p>
    <w:p w14:paraId="7733B148" w14:textId="25A503EB" w:rsidR="0003395D" w:rsidRPr="00743C24" w:rsidRDefault="0003395D" w:rsidP="00176317">
      <w:pPr>
        <w:spacing w:line="360" w:lineRule="auto"/>
        <w:rPr>
          <w:rFonts w:ascii="Arial" w:hAnsi="Arial" w:cs="Arial"/>
        </w:rPr>
      </w:pPr>
      <w:r w:rsidRPr="00743C24">
        <w:rPr>
          <w:rFonts w:ascii="Arial" w:hAnsi="Arial" w:cs="Arial"/>
          <w:noProof/>
        </w:rPr>
        <w:drawing>
          <wp:anchor distT="0" distB="0" distL="114300" distR="114300" simplePos="0" relativeHeight="251679744" behindDoc="0" locked="0" layoutInCell="1" allowOverlap="1" wp14:anchorId="321B5F03" wp14:editId="46941C5F">
            <wp:simplePos x="0" y="0"/>
            <wp:positionH relativeFrom="margin">
              <wp:align>center</wp:align>
            </wp:positionH>
            <wp:positionV relativeFrom="paragraph">
              <wp:posOffset>233887</wp:posOffset>
            </wp:positionV>
            <wp:extent cx="6230679" cy="3934047"/>
            <wp:effectExtent l="0" t="0" r="17780" b="9525"/>
            <wp:wrapTopAndBottom/>
            <wp:docPr id="898719932" name="Chart 1">
              <a:extLst xmlns:a="http://schemas.openxmlformats.org/drawingml/2006/main">
                <a:ext uri="{FF2B5EF4-FFF2-40B4-BE49-F238E27FC236}">
                  <a16:creationId xmlns:a16="http://schemas.microsoft.com/office/drawing/2014/main" id="{210581BC-FDCE-2AD8-9E0E-D224FBFE3B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14:paraId="6A5875DF" w14:textId="79693FE1" w:rsidR="00176317" w:rsidRDefault="00176317" w:rsidP="00176317">
      <w:pPr>
        <w:spacing w:line="360" w:lineRule="auto"/>
        <w:rPr>
          <w:rFonts w:ascii="Arial" w:hAnsi="Arial" w:cs="Arial"/>
        </w:rPr>
      </w:pPr>
      <w:r w:rsidRPr="00743C24">
        <w:rPr>
          <w:rFonts w:ascii="Arial" w:hAnsi="Arial" w:cs="Arial"/>
          <w:color w:val="BF8F00" w:themeColor="accent4" w:themeShade="BF"/>
        </w:rPr>
        <w:t>Figure 14</w:t>
      </w:r>
      <w:r w:rsidRPr="00743C24">
        <w:rPr>
          <w:rFonts w:ascii="Arial" w:hAnsi="Arial" w:cs="Arial"/>
        </w:rPr>
        <w:t>. Overall Site Performance 2023 VS 2024</w:t>
      </w:r>
    </w:p>
    <w:p w14:paraId="706DB8D5" w14:textId="77777777" w:rsidR="00BF0134" w:rsidRDefault="00BF0134" w:rsidP="00176317">
      <w:pPr>
        <w:spacing w:line="360" w:lineRule="auto"/>
        <w:rPr>
          <w:rFonts w:ascii="Arial" w:hAnsi="Arial" w:cs="Arial"/>
        </w:rPr>
      </w:pPr>
    </w:p>
    <w:p w14:paraId="32B8EF4C" w14:textId="77777777" w:rsidR="00BF0134" w:rsidRDefault="00BF0134" w:rsidP="00176317">
      <w:pPr>
        <w:spacing w:line="360" w:lineRule="auto"/>
        <w:rPr>
          <w:rFonts w:ascii="Arial" w:hAnsi="Arial" w:cs="Arial"/>
        </w:rPr>
      </w:pPr>
    </w:p>
    <w:p w14:paraId="357F459A" w14:textId="77777777" w:rsidR="00BF0134" w:rsidRDefault="00BF0134" w:rsidP="00176317">
      <w:pPr>
        <w:spacing w:line="360" w:lineRule="auto"/>
        <w:rPr>
          <w:rFonts w:ascii="Arial" w:hAnsi="Arial" w:cs="Arial"/>
        </w:rPr>
      </w:pPr>
    </w:p>
    <w:p w14:paraId="77C5C154" w14:textId="77777777" w:rsidR="00BF0134" w:rsidRDefault="00BF0134" w:rsidP="00176317">
      <w:pPr>
        <w:spacing w:line="360" w:lineRule="auto"/>
        <w:rPr>
          <w:rFonts w:ascii="Arial" w:hAnsi="Arial" w:cs="Arial"/>
        </w:rPr>
      </w:pPr>
    </w:p>
    <w:p w14:paraId="1AA3B7C3" w14:textId="77777777" w:rsidR="00BF0134" w:rsidRDefault="00BF0134" w:rsidP="00176317">
      <w:pPr>
        <w:spacing w:line="360" w:lineRule="auto"/>
        <w:rPr>
          <w:rFonts w:ascii="Arial" w:hAnsi="Arial" w:cs="Arial"/>
        </w:rPr>
      </w:pPr>
    </w:p>
    <w:p w14:paraId="553F58BC" w14:textId="77777777" w:rsidR="00BF0134" w:rsidRPr="00743C24" w:rsidRDefault="00BF0134" w:rsidP="00176317">
      <w:pPr>
        <w:spacing w:line="360" w:lineRule="auto"/>
        <w:rPr>
          <w:rFonts w:ascii="Arial" w:hAnsi="Arial" w:cs="Arial"/>
        </w:rPr>
      </w:pPr>
    </w:p>
    <w:p w14:paraId="3B0507C9" w14:textId="77777777" w:rsidR="00505C55" w:rsidRPr="00743C24" w:rsidRDefault="00505C55" w:rsidP="00F422E9">
      <w:pPr>
        <w:pStyle w:val="Heading1"/>
        <w:rPr>
          <w:sz w:val="22"/>
          <w:szCs w:val="22"/>
        </w:rPr>
      </w:pPr>
      <w:bookmarkStart w:id="36" w:name="_Toc198120609"/>
      <w:r w:rsidRPr="00743C24">
        <w:rPr>
          <w:sz w:val="22"/>
          <w:szCs w:val="22"/>
        </w:rPr>
        <w:lastRenderedPageBreak/>
        <w:t>9. Discussion and Conclusions</w:t>
      </w:r>
      <w:bookmarkEnd w:id="36"/>
    </w:p>
    <w:p w14:paraId="4B088E0C" w14:textId="380EEFB9" w:rsidR="00505C55" w:rsidRPr="00743C24" w:rsidRDefault="00505C55" w:rsidP="00F422E9">
      <w:pPr>
        <w:pStyle w:val="Heading2"/>
        <w:rPr>
          <w:szCs w:val="22"/>
        </w:rPr>
      </w:pPr>
      <w:bookmarkStart w:id="37" w:name="_Toc198120610"/>
      <w:r w:rsidRPr="00743C24">
        <w:rPr>
          <w:szCs w:val="22"/>
        </w:rPr>
        <w:t xml:space="preserve">9.1 </w:t>
      </w:r>
      <w:r w:rsidR="00F422E9" w:rsidRPr="00743C24">
        <w:rPr>
          <w:szCs w:val="22"/>
        </w:rPr>
        <w:t>Evaluating SEWS-E’s Audit Process Performance</w:t>
      </w:r>
      <w:bookmarkEnd w:id="37"/>
    </w:p>
    <w:p w14:paraId="3D44C053" w14:textId="20F6187F" w:rsidR="00F422E9" w:rsidRPr="00743C24" w:rsidRDefault="00F422E9" w:rsidP="00F422E9">
      <w:pPr>
        <w:spacing w:line="360" w:lineRule="auto"/>
        <w:rPr>
          <w:rFonts w:ascii="Arial" w:hAnsi="Arial" w:cs="Arial"/>
        </w:rPr>
      </w:pPr>
      <w:r w:rsidRPr="00743C24">
        <w:rPr>
          <w:rFonts w:ascii="Arial" w:hAnsi="Arial" w:cs="Arial"/>
        </w:rPr>
        <w:t>The internal audit process at SEWS-E demonstrates a well-structured and disciplined framework for assessing the readiness, safety, and compliance of machinery transfers across its international manufacturing sites. The consistent use of check sheet 74392 and standard 74393, along with fixed audit timelines and corrective action procedures, reflects a mature audit framework rooted in traceability, repeatability, and accountability. However, while the system design appears robust on paper, the actual performance across sites reveals both strengths and areas of inconsistency.</w:t>
      </w:r>
    </w:p>
    <w:p w14:paraId="4F6C3888" w14:textId="61AC1031" w:rsidR="00F422E9" w:rsidRPr="00743C24" w:rsidRDefault="00F422E9" w:rsidP="00F422E9">
      <w:pPr>
        <w:spacing w:line="360" w:lineRule="auto"/>
        <w:rPr>
          <w:rFonts w:ascii="Arial" w:hAnsi="Arial" w:cs="Arial"/>
        </w:rPr>
      </w:pPr>
      <w:r w:rsidRPr="00743C24">
        <w:rPr>
          <w:rFonts w:ascii="Arial" w:hAnsi="Arial" w:cs="Arial"/>
        </w:rPr>
        <w:t>The audits conducted in 2023 and 2024 indicate that the audit process is most effective when implemented with full site engagement, technical preparation, and available documentation. Sites that achieved higher overall scores, such as Egypt and Romania, consistently demonstrated a clear understanding of audit expectations, stronger pre-audit preparation, and quicker access to records such as maintenance logs and spare parts inventories. These findings suggest that audit performance is not only a reflection of machine condition, but also of how well the audit process is embedded in local operational routines.</w:t>
      </w:r>
    </w:p>
    <w:p w14:paraId="71AA41FB" w14:textId="5E0ECE73" w:rsidR="00F422E9" w:rsidRPr="00743C24" w:rsidRDefault="00F422E9" w:rsidP="00F422E9">
      <w:pPr>
        <w:spacing w:line="360" w:lineRule="auto"/>
        <w:rPr>
          <w:rFonts w:ascii="Arial" w:hAnsi="Arial" w:cs="Arial"/>
        </w:rPr>
      </w:pPr>
      <w:r w:rsidRPr="00743C24">
        <w:rPr>
          <w:rFonts w:ascii="Arial" w:hAnsi="Arial" w:cs="Arial"/>
        </w:rPr>
        <w:t>A key strength of the SEWS-E audit process lies in its scoring transparency and post-audit corrective action structure. The use of binary scoring (OK/NOK) reduces ambiguity in evaluation, while the 90-day Corrective Action Plan (CAP) window</w:t>
      </w:r>
      <w:r w:rsidR="008860A3">
        <w:rPr>
          <w:rFonts w:ascii="Arial" w:hAnsi="Arial" w:cs="Arial"/>
        </w:rPr>
        <w:t xml:space="preserve">, </w:t>
      </w:r>
      <w:r w:rsidRPr="00743C24">
        <w:rPr>
          <w:rFonts w:ascii="Arial" w:hAnsi="Arial" w:cs="Arial"/>
        </w:rPr>
        <w:t>supported by escalation to weekly reports</w:t>
      </w:r>
      <w:r w:rsidR="008860A3">
        <w:rPr>
          <w:rFonts w:ascii="Arial" w:hAnsi="Arial" w:cs="Arial"/>
        </w:rPr>
        <w:t xml:space="preserve">, </w:t>
      </w:r>
      <w:r w:rsidRPr="00743C24">
        <w:rPr>
          <w:rFonts w:ascii="Arial" w:hAnsi="Arial" w:cs="Arial"/>
        </w:rPr>
        <w:t>ensures that findings are addressed with measurable timelines. Additionally, the increasing use of visual evidence (e.g., photos of NOK findings) in 2024 supports the objectivity of results and builds trust in the process across departments.</w:t>
      </w:r>
    </w:p>
    <w:p w14:paraId="702331F3" w14:textId="332D080C" w:rsidR="00F422E9" w:rsidRPr="00743C24" w:rsidRDefault="00F422E9" w:rsidP="00F422E9">
      <w:pPr>
        <w:spacing w:line="360" w:lineRule="auto"/>
        <w:rPr>
          <w:rFonts w:ascii="Arial" w:hAnsi="Arial" w:cs="Arial"/>
        </w:rPr>
      </w:pPr>
      <w:r w:rsidRPr="00743C24">
        <w:rPr>
          <w:rFonts w:ascii="Arial" w:hAnsi="Arial" w:cs="Arial"/>
        </w:rPr>
        <w:t>However, several challenges and inconsistencies were identified through the audit cycle. Firstly, variation in auditor interpretation was evident, particularly in areas involving subjective judgement such as "General Condition" or "Spare Parts adequacy". This was further complicated when audits involved machines over three years old or custom configurations, where the standard checklist did not always apply directly. Secondly, there were disparities in how sites collected and submitted supporting evidence</w:t>
      </w:r>
      <w:r w:rsidR="008860A3">
        <w:rPr>
          <w:rFonts w:ascii="Arial" w:hAnsi="Arial" w:cs="Arial"/>
        </w:rPr>
        <w:t xml:space="preserve">, </w:t>
      </w:r>
      <w:r w:rsidRPr="00743C24">
        <w:rPr>
          <w:rFonts w:ascii="Arial" w:hAnsi="Arial" w:cs="Arial"/>
        </w:rPr>
        <w:t>with some audits relying heavily on local champions or verbal explanations rather than documented proof, which introduces subjectivity and potential bias. Lastly, while the audit process is designed to be minimally disruptive, its effectiveness is sometimes reduced by limited access to passwords, unavailable specialists, or missing documentation at the time of auditing.</w:t>
      </w:r>
    </w:p>
    <w:p w14:paraId="785E60B4" w14:textId="190243F1" w:rsidR="00F422E9" w:rsidRPr="00743C24" w:rsidRDefault="00F422E9" w:rsidP="00F422E9">
      <w:pPr>
        <w:spacing w:line="360" w:lineRule="auto"/>
        <w:rPr>
          <w:rFonts w:ascii="Arial" w:hAnsi="Arial" w:cs="Arial"/>
        </w:rPr>
      </w:pPr>
      <w:r w:rsidRPr="00743C24">
        <w:rPr>
          <w:rFonts w:ascii="Arial" w:hAnsi="Arial" w:cs="Arial"/>
        </w:rPr>
        <w:lastRenderedPageBreak/>
        <w:t>Despite these limitations, the process has proven itself as an effective operational control mechanism when fully executed. The improvements seen between 2023 and 2024</w:t>
      </w:r>
      <w:r w:rsidR="008860A3">
        <w:rPr>
          <w:rFonts w:ascii="Arial" w:hAnsi="Arial" w:cs="Arial"/>
        </w:rPr>
        <w:t>,</w:t>
      </w:r>
      <w:r w:rsidRPr="00743C24">
        <w:rPr>
          <w:rFonts w:ascii="Arial" w:hAnsi="Arial" w:cs="Arial"/>
        </w:rPr>
        <w:t xml:space="preserve"> particularly in Health &amp; Safety and machine-specific audit categories</w:t>
      </w:r>
      <w:r w:rsidR="008860A3">
        <w:rPr>
          <w:rFonts w:ascii="Arial" w:hAnsi="Arial" w:cs="Arial"/>
        </w:rPr>
        <w:t xml:space="preserve">, </w:t>
      </w:r>
      <w:r w:rsidRPr="00743C24">
        <w:rPr>
          <w:rFonts w:ascii="Arial" w:hAnsi="Arial" w:cs="Arial"/>
        </w:rPr>
        <w:t>show that the audit framework has the capacity to drive measurable improvements in both compliance and machinery reliability. What remains crucial moving forward is ensuring consistency in audit execution, standardising judgement criteria for non-standard machinery, and improving digitalisation to reduce audit delays and documentation discrepancies.</w:t>
      </w:r>
    </w:p>
    <w:p w14:paraId="333A4A79" w14:textId="06687FFF" w:rsidR="00505C55" w:rsidRPr="00743C24" w:rsidRDefault="00505C55" w:rsidP="00F422E9">
      <w:pPr>
        <w:pStyle w:val="Heading2"/>
        <w:rPr>
          <w:szCs w:val="22"/>
        </w:rPr>
      </w:pPr>
      <w:bookmarkStart w:id="38" w:name="_Toc198120611"/>
      <w:r w:rsidRPr="00743C24">
        <w:rPr>
          <w:szCs w:val="22"/>
        </w:rPr>
        <w:t>9.</w:t>
      </w:r>
      <w:r w:rsidR="00BC0CD4" w:rsidRPr="00743C24">
        <w:rPr>
          <w:szCs w:val="22"/>
        </w:rPr>
        <w:t>2</w:t>
      </w:r>
      <w:r w:rsidRPr="00743C24">
        <w:rPr>
          <w:szCs w:val="22"/>
        </w:rPr>
        <w:t xml:space="preserve"> </w:t>
      </w:r>
      <w:r w:rsidR="00F422E9" w:rsidRPr="00743C24">
        <w:rPr>
          <w:szCs w:val="22"/>
        </w:rPr>
        <w:t>Comparison with Industry Best Practises</w:t>
      </w:r>
      <w:bookmarkEnd w:id="38"/>
    </w:p>
    <w:p w14:paraId="5F15761D" w14:textId="0C27B1BA" w:rsidR="00F422E9" w:rsidRPr="00743C24" w:rsidRDefault="00F422E9" w:rsidP="00F422E9">
      <w:pPr>
        <w:spacing w:line="360" w:lineRule="auto"/>
        <w:rPr>
          <w:rFonts w:ascii="Arial" w:hAnsi="Arial" w:cs="Arial"/>
        </w:rPr>
      </w:pPr>
      <w:r w:rsidRPr="00743C24">
        <w:rPr>
          <w:rFonts w:ascii="Arial" w:hAnsi="Arial" w:cs="Arial"/>
        </w:rPr>
        <w:t>To evaluate the maturity and effectiveness of SEWS-E’s internal audit process, it is essential to compare it against recognised best practices in manufacturing and quality auditing. Standards such as ISO 9001 (Quality Management Systems) and ISO 19011 (Guidelines for Auditing Management Systems) provide globally accepted frameworks that emphasise consistency, evidence-based evaluation, auditor independence, and risk-driven planning.</w:t>
      </w:r>
    </w:p>
    <w:p w14:paraId="45775EE3" w14:textId="3B248FAB" w:rsidR="00023CA6" w:rsidRPr="00743C24" w:rsidRDefault="00F422E9" w:rsidP="00F422E9">
      <w:pPr>
        <w:spacing w:line="360" w:lineRule="auto"/>
        <w:rPr>
          <w:rFonts w:ascii="Arial" w:hAnsi="Arial" w:cs="Arial"/>
        </w:rPr>
      </w:pPr>
      <w:r w:rsidRPr="00743C24">
        <w:rPr>
          <w:rFonts w:ascii="Arial" w:hAnsi="Arial" w:cs="Arial"/>
        </w:rPr>
        <w:t>SEWS-E’s internal audit structure demonstrates alignment with many of these best practices, particularly in its use of standardised check sheets, fixed audit timelines, and structured Corrective Action Plans (CAPs). The inclusion of pre-defined scoring systems and evidence-based findings also supports objectivity in most cases. However, there are still several areas where SEWS-E falls short of full alignment, particularly in terms of digital integration, auditor independence, and the application of risk-based audit planning.</w:t>
      </w:r>
    </w:p>
    <w:tbl>
      <w:tblPr>
        <w:tblStyle w:val="TableGrid"/>
        <w:tblW w:w="9776" w:type="dxa"/>
        <w:tblLook w:val="04A0" w:firstRow="1" w:lastRow="0" w:firstColumn="1" w:lastColumn="0" w:noHBand="0" w:noVBand="1"/>
      </w:tblPr>
      <w:tblGrid>
        <w:gridCol w:w="2122"/>
        <w:gridCol w:w="2835"/>
        <w:gridCol w:w="3435"/>
        <w:gridCol w:w="1384"/>
      </w:tblGrid>
      <w:tr w:rsidR="00023CA6" w:rsidRPr="00743C24" w14:paraId="7FBF6041" w14:textId="77777777" w:rsidTr="00743C24">
        <w:tc>
          <w:tcPr>
            <w:tcW w:w="2122" w:type="dxa"/>
            <w:shd w:val="clear" w:color="auto" w:fill="D9D9D9" w:themeFill="background1" w:themeFillShade="D9"/>
          </w:tcPr>
          <w:p w14:paraId="3AC4BFDC" w14:textId="76DF8508" w:rsidR="00F422E9" w:rsidRPr="00743C24" w:rsidRDefault="00F422E9" w:rsidP="00743C24">
            <w:pPr>
              <w:rPr>
                <w:rFonts w:ascii="Arial" w:hAnsi="Arial" w:cs="Arial"/>
                <w:sz w:val="20"/>
                <w:szCs w:val="20"/>
              </w:rPr>
            </w:pPr>
            <w:r w:rsidRPr="00743C24">
              <w:rPr>
                <w:rFonts w:ascii="Arial" w:hAnsi="Arial" w:cs="Arial"/>
                <w:sz w:val="20"/>
                <w:szCs w:val="20"/>
              </w:rPr>
              <w:t>Audit Element</w:t>
            </w:r>
          </w:p>
        </w:tc>
        <w:tc>
          <w:tcPr>
            <w:tcW w:w="2835" w:type="dxa"/>
            <w:shd w:val="clear" w:color="auto" w:fill="D9D9D9" w:themeFill="background1" w:themeFillShade="D9"/>
          </w:tcPr>
          <w:p w14:paraId="290130A4" w14:textId="2DDC9BA9" w:rsidR="00F422E9" w:rsidRPr="00743C24" w:rsidRDefault="00F422E9" w:rsidP="00743C24">
            <w:pPr>
              <w:rPr>
                <w:rFonts w:ascii="Arial" w:hAnsi="Arial" w:cs="Arial"/>
                <w:sz w:val="20"/>
                <w:szCs w:val="20"/>
              </w:rPr>
            </w:pPr>
            <w:r w:rsidRPr="00743C24">
              <w:rPr>
                <w:rFonts w:ascii="Arial" w:hAnsi="Arial" w:cs="Arial"/>
                <w:sz w:val="20"/>
                <w:szCs w:val="20"/>
              </w:rPr>
              <w:t>SEWS-E Practise</w:t>
            </w:r>
          </w:p>
        </w:tc>
        <w:tc>
          <w:tcPr>
            <w:tcW w:w="3435" w:type="dxa"/>
            <w:shd w:val="clear" w:color="auto" w:fill="D9D9D9" w:themeFill="background1" w:themeFillShade="D9"/>
          </w:tcPr>
          <w:p w14:paraId="2DB3D5A0" w14:textId="4D178A53" w:rsidR="00F422E9" w:rsidRPr="00743C24" w:rsidRDefault="00F422E9" w:rsidP="00743C24">
            <w:pPr>
              <w:rPr>
                <w:rFonts w:ascii="Arial" w:hAnsi="Arial" w:cs="Arial"/>
                <w:sz w:val="20"/>
                <w:szCs w:val="20"/>
              </w:rPr>
            </w:pPr>
            <w:r w:rsidRPr="00743C24">
              <w:rPr>
                <w:rFonts w:ascii="Arial" w:hAnsi="Arial" w:cs="Arial"/>
                <w:sz w:val="20"/>
                <w:szCs w:val="20"/>
              </w:rPr>
              <w:t>Industry Best Practise (ISO 19011 / Literature)</w:t>
            </w:r>
          </w:p>
        </w:tc>
        <w:tc>
          <w:tcPr>
            <w:tcW w:w="1384" w:type="dxa"/>
            <w:shd w:val="clear" w:color="auto" w:fill="D9D9D9" w:themeFill="background1" w:themeFillShade="D9"/>
          </w:tcPr>
          <w:p w14:paraId="671730FE" w14:textId="0D3099FD" w:rsidR="00F422E9" w:rsidRPr="00743C24" w:rsidRDefault="00F422E9" w:rsidP="00743C24">
            <w:pPr>
              <w:rPr>
                <w:rFonts w:ascii="Arial" w:hAnsi="Arial" w:cs="Arial"/>
                <w:sz w:val="20"/>
                <w:szCs w:val="20"/>
              </w:rPr>
            </w:pPr>
            <w:r w:rsidRPr="00743C24">
              <w:rPr>
                <w:rFonts w:ascii="Arial" w:hAnsi="Arial" w:cs="Arial"/>
                <w:sz w:val="20"/>
                <w:szCs w:val="20"/>
              </w:rPr>
              <w:t>Alignment</w:t>
            </w:r>
          </w:p>
        </w:tc>
      </w:tr>
      <w:tr w:rsidR="00F422E9" w:rsidRPr="00743C24" w14:paraId="636D8612" w14:textId="77777777" w:rsidTr="00743C24">
        <w:tc>
          <w:tcPr>
            <w:tcW w:w="2122" w:type="dxa"/>
          </w:tcPr>
          <w:p w14:paraId="6BDC919A" w14:textId="70300AC6" w:rsidR="00F422E9" w:rsidRPr="00743C24" w:rsidRDefault="00F422E9" w:rsidP="00743C24">
            <w:pPr>
              <w:rPr>
                <w:rFonts w:ascii="Arial" w:hAnsi="Arial" w:cs="Arial"/>
                <w:b/>
                <w:bCs/>
                <w:sz w:val="20"/>
                <w:szCs w:val="20"/>
              </w:rPr>
            </w:pPr>
            <w:r w:rsidRPr="00743C24">
              <w:rPr>
                <w:rFonts w:ascii="Arial" w:hAnsi="Arial" w:cs="Arial"/>
                <w:b/>
                <w:bCs/>
                <w:sz w:val="20"/>
                <w:szCs w:val="20"/>
              </w:rPr>
              <w:t>Audit Planning</w:t>
            </w:r>
          </w:p>
        </w:tc>
        <w:tc>
          <w:tcPr>
            <w:tcW w:w="2835" w:type="dxa"/>
          </w:tcPr>
          <w:p w14:paraId="07CAA1AE" w14:textId="37E50249" w:rsidR="00F422E9" w:rsidRPr="00743C24" w:rsidRDefault="00023CA6" w:rsidP="00743C24">
            <w:pPr>
              <w:rPr>
                <w:rFonts w:ascii="Arial" w:hAnsi="Arial" w:cs="Arial"/>
                <w:sz w:val="20"/>
                <w:szCs w:val="20"/>
              </w:rPr>
            </w:pPr>
            <w:r w:rsidRPr="00743C24">
              <w:rPr>
                <w:rFonts w:ascii="Arial" w:hAnsi="Arial" w:cs="Arial"/>
                <w:sz w:val="20"/>
                <w:szCs w:val="20"/>
              </w:rPr>
              <w:t>Fixed annual schedule; check sheet-based</w:t>
            </w:r>
          </w:p>
        </w:tc>
        <w:tc>
          <w:tcPr>
            <w:tcW w:w="3435" w:type="dxa"/>
          </w:tcPr>
          <w:p w14:paraId="03A956DF" w14:textId="18C68552" w:rsidR="00F422E9" w:rsidRPr="00743C24" w:rsidRDefault="00023CA6" w:rsidP="00743C24">
            <w:pPr>
              <w:rPr>
                <w:rFonts w:ascii="Arial" w:hAnsi="Arial" w:cs="Arial"/>
                <w:sz w:val="20"/>
                <w:szCs w:val="20"/>
              </w:rPr>
            </w:pPr>
            <w:r w:rsidRPr="00743C24">
              <w:rPr>
                <w:rFonts w:ascii="Arial" w:hAnsi="Arial" w:cs="Arial"/>
                <w:sz w:val="20"/>
                <w:szCs w:val="20"/>
              </w:rPr>
              <w:t>Risk-based planning considering past performance and operational risk</w:t>
            </w:r>
          </w:p>
        </w:tc>
        <w:tc>
          <w:tcPr>
            <w:tcW w:w="1384" w:type="dxa"/>
            <w:shd w:val="clear" w:color="auto" w:fill="FFC000"/>
          </w:tcPr>
          <w:p w14:paraId="12766781" w14:textId="6782B092" w:rsidR="00F422E9" w:rsidRPr="00743C24" w:rsidRDefault="00023CA6" w:rsidP="00743C24">
            <w:pPr>
              <w:rPr>
                <w:rFonts w:ascii="Arial" w:hAnsi="Arial" w:cs="Arial"/>
                <w:sz w:val="20"/>
                <w:szCs w:val="20"/>
              </w:rPr>
            </w:pPr>
            <w:r w:rsidRPr="00743C24">
              <w:rPr>
                <w:rFonts w:ascii="Arial" w:hAnsi="Arial" w:cs="Arial"/>
                <w:sz w:val="20"/>
                <w:szCs w:val="20"/>
              </w:rPr>
              <w:t>Partial</w:t>
            </w:r>
          </w:p>
        </w:tc>
      </w:tr>
      <w:tr w:rsidR="00F422E9" w:rsidRPr="00743C24" w14:paraId="68A9610C" w14:textId="77777777" w:rsidTr="00743C24">
        <w:tc>
          <w:tcPr>
            <w:tcW w:w="2122" w:type="dxa"/>
          </w:tcPr>
          <w:p w14:paraId="7BBD41F1" w14:textId="5B708A31" w:rsidR="00F422E9" w:rsidRPr="00743C24" w:rsidRDefault="00F422E9" w:rsidP="00743C24">
            <w:pPr>
              <w:rPr>
                <w:rFonts w:ascii="Arial" w:hAnsi="Arial" w:cs="Arial"/>
                <w:b/>
                <w:bCs/>
                <w:sz w:val="20"/>
                <w:szCs w:val="20"/>
              </w:rPr>
            </w:pPr>
            <w:r w:rsidRPr="00743C24">
              <w:rPr>
                <w:rFonts w:ascii="Arial" w:hAnsi="Arial" w:cs="Arial"/>
                <w:b/>
                <w:bCs/>
                <w:sz w:val="20"/>
                <w:szCs w:val="20"/>
              </w:rPr>
              <w:t>Scoring Criteria</w:t>
            </w:r>
          </w:p>
        </w:tc>
        <w:tc>
          <w:tcPr>
            <w:tcW w:w="2835" w:type="dxa"/>
          </w:tcPr>
          <w:p w14:paraId="2697BFDA" w14:textId="6A023991" w:rsidR="00F422E9" w:rsidRPr="00743C24" w:rsidRDefault="00023CA6" w:rsidP="00743C24">
            <w:pPr>
              <w:rPr>
                <w:rFonts w:ascii="Arial" w:hAnsi="Arial" w:cs="Arial"/>
                <w:sz w:val="20"/>
                <w:szCs w:val="20"/>
              </w:rPr>
            </w:pPr>
            <w:r w:rsidRPr="00743C24">
              <w:rPr>
                <w:rFonts w:ascii="Arial" w:hAnsi="Arial" w:cs="Arial"/>
                <w:sz w:val="20"/>
                <w:szCs w:val="20"/>
              </w:rPr>
              <w:t>Binary scoring (OK = 1, NOK = 0); clear judgement standards (74392/74393)</w:t>
            </w:r>
          </w:p>
        </w:tc>
        <w:tc>
          <w:tcPr>
            <w:tcW w:w="3435" w:type="dxa"/>
          </w:tcPr>
          <w:p w14:paraId="26A7C711" w14:textId="1222F631" w:rsidR="00F422E9" w:rsidRPr="00743C24" w:rsidRDefault="00023CA6" w:rsidP="00743C24">
            <w:pPr>
              <w:rPr>
                <w:rFonts w:ascii="Arial" w:hAnsi="Arial" w:cs="Arial"/>
                <w:sz w:val="20"/>
                <w:szCs w:val="20"/>
              </w:rPr>
            </w:pPr>
            <w:r w:rsidRPr="00743C24">
              <w:rPr>
                <w:rFonts w:ascii="Arial" w:hAnsi="Arial" w:cs="Arial"/>
                <w:sz w:val="20"/>
                <w:szCs w:val="20"/>
              </w:rPr>
              <w:t>Clearly defined, consistent criteria with justification and audit trails</w:t>
            </w:r>
          </w:p>
        </w:tc>
        <w:tc>
          <w:tcPr>
            <w:tcW w:w="1384" w:type="dxa"/>
            <w:shd w:val="clear" w:color="auto" w:fill="A8D08D" w:themeFill="accent6" w:themeFillTint="99"/>
          </w:tcPr>
          <w:p w14:paraId="0D8CABD9" w14:textId="0ABCA181" w:rsidR="00F422E9" w:rsidRPr="00743C24" w:rsidRDefault="00023CA6" w:rsidP="00743C24">
            <w:pPr>
              <w:rPr>
                <w:rFonts w:ascii="Arial" w:hAnsi="Arial" w:cs="Arial"/>
                <w:sz w:val="20"/>
                <w:szCs w:val="20"/>
              </w:rPr>
            </w:pPr>
            <w:r w:rsidRPr="00743C24">
              <w:rPr>
                <w:rFonts w:ascii="Arial" w:hAnsi="Arial" w:cs="Arial"/>
                <w:sz w:val="20"/>
                <w:szCs w:val="20"/>
              </w:rPr>
              <w:t>Full Alignment</w:t>
            </w:r>
          </w:p>
        </w:tc>
      </w:tr>
      <w:tr w:rsidR="00F422E9" w:rsidRPr="00743C24" w14:paraId="48DFC6FA" w14:textId="77777777" w:rsidTr="00743C24">
        <w:tc>
          <w:tcPr>
            <w:tcW w:w="2122" w:type="dxa"/>
          </w:tcPr>
          <w:p w14:paraId="44FCF28F" w14:textId="35C24E5E" w:rsidR="00F422E9" w:rsidRPr="00743C24" w:rsidRDefault="00F422E9" w:rsidP="00743C24">
            <w:pPr>
              <w:rPr>
                <w:rFonts w:ascii="Arial" w:hAnsi="Arial" w:cs="Arial"/>
                <w:b/>
                <w:bCs/>
                <w:sz w:val="20"/>
                <w:szCs w:val="20"/>
              </w:rPr>
            </w:pPr>
            <w:r w:rsidRPr="00743C24">
              <w:rPr>
                <w:rFonts w:ascii="Arial" w:hAnsi="Arial" w:cs="Arial"/>
                <w:b/>
                <w:bCs/>
                <w:sz w:val="20"/>
                <w:szCs w:val="20"/>
              </w:rPr>
              <w:t>Corrective Action Framework</w:t>
            </w:r>
          </w:p>
        </w:tc>
        <w:tc>
          <w:tcPr>
            <w:tcW w:w="2835" w:type="dxa"/>
          </w:tcPr>
          <w:p w14:paraId="36F232B0" w14:textId="27746056" w:rsidR="00F422E9" w:rsidRPr="00743C24" w:rsidRDefault="00023CA6" w:rsidP="00743C24">
            <w:pPr>
              <w:rPr>
                <w:rFonts w:ascii="Arial" w:hAnsi="Arial" w:cs="Arial"/>
                <w:sz w:val="20"/>
                <w:szCs w:val="20"/>
              </w:rPr>
            </w:pPr>
            <w:r w:rsidRPr="00743C24">
              <w:rPr>
                <w:rFonts w:ascii="Arial" w:hAnsi="Arial" w:cs="Arial"/>
                <w:sz w:val="20"/>
                <w:szCs w:val="20"/>
              </w:rPr>
              <w:t>90-day CAP window + escalation to weekly reports</w:t>
            </w:r>
          </w:p>
        </w:tc>
        <w:tc>
          <w:tcPr>
            <w:tcW w:w="3435" w:type="dxa"/>
          </w:tcPr>
          <w:p w14:paraId="048F6282" w14:textId="08275941" w:rsidR="00F422E9" w:rsidRPr="00743C24" w:rsidRDefault="00023CA6" w:rsidP="00743C24">
            <w:pPr>
              <w:rPr>
                <w:rFonts w:ascii="Arial" w:hAnsi="Arial" w:cs="Arial"/>
                <w:sz w:val="20"/>
                <w:szCs w:val="20"/>
              </w:rPr>
            </w:pPr>
            <w:r w:rsidRPr="00743C24">
              <w:rPr>
                <w:rFonts w:ascii="Arial" w:hAnsi="Arial" w:cs="Arial"/>
                <w:sz w:val="20"/>
                <w:szCs w:val="20"/>
              </w:rPr>
              <w:t>Time-bound CAPs with accountability and closure tracking</w:t>
            </w:r>
          </w:p>
        </w:tc>
        <w:tc>
          <w:tcPr>
            <w:tcW w:w="1384" w:type="dxa"/>
            <w:shd w:val="clear" w:color="auto" w:fill="A8D08D" w:themeFill="accent6" w:themeFillTint="99"/>
          </w:tcPr>
          <w:p w14:paraId="0BC2BD2B" w14:textId="3564E7B4" w:rsidR="00F422E9" w:rsidRPr="00743C24" w:rsidRDefault="00023CA6" w:rsidP="00743C24">
            <w:pPr>
              <w:rPr>
                <w:rFonts w:ascii="Arial" w:hAnsi="Arial" w:cs="Arial"/>
                <w:sz w:val="20"/>
                <w:szCs w:val="20"/>
              </w:rPr>
            </w:pPr>
            <w:r w:rsidRPr="00743C24">
              <w:rPr>
                <w:rFonts w:ascii="Arial" w:hAnsi="Arial" w:cs="Arial"/>
                <w:sz w:val="20"/>
                <w:szCs w:val="20"/>
              </w:rPr>
              <w:t>Full Alignment</w:t>
            </w:r>
          </w:p>
        </w:tc>
      </w:tr>
      <w:tr w:rsidR="00F422E9" w:rsidRPr="00743C24" w14:paraId="3FF34A0A" w14:textId="77777777" w:rsidTr="00743C24">
        <w:tc>
          <w:tcPr>
            <w:tcW w:w="2122" w:type="dxa"/>
          </w:tcPr>
          <w:p w14:paraId="4BE1530A" w14:textId="4AE8A413" w:rsidR="00F422E9" w:rsidRPr="00743C24" w:rsidRDefault="00F422E9" w:rsidP="00743C24">
            <w:pPr>
              <w:rPr>
                <w:rFonts w:ascii="Arial" w:hAnsi="Arial" w:cs="Arial"/>
                <w:b/>
                <w:bCs/>
                <w:sz w:val="20"/>
                <w:szCs w:val="20"/>
              </w:rPr>
            </w:pPr>
            <w:r w:rsidRPr="00743C24">
              <w:rPr>
                <w:rFonts w:ascii="Arial" w:hAnsi="Arial" w:cs="Arial"/>
                <w:b/>
                <w:bCs/>
                <w:sz w:val="20"/>
                <w:szCs w:val="20"/>
              </w:rPr>
              <w:t>Auditor Objectivity</w:t>
            </w:r>
          </w:p>
        </w:tc>
        <w:tc>
          <w:tcPr>
            <w:tcW w:w="2835" w:type="dxa"/>
          </w:tcPr>
          <w:p w14:paraId="1E3B87E4" w14:textId="67F1764B" w:rsidR="00F422E9" w:rsidRPr="00743C24" w:rsidRDefault="00023CA6" w:rsidP="00743C24">
            <w:pPr>
              <w:rPr>
                <w:rFonts w:ascii="Arial" w:hAnsi="Arial" w:cs="Arial"/>
                <w:sz w:val="20"/>
                <w:szCs w:val="20"/>
              </w:rPr>
            </w:pPr>
            <w:r w:rsidRPr="00743C24">
              <w:rPr>
                <w:rFonts w:ascii="Arial" w:hAnsi="Arial" w:cs="Arial"/>
                <w:sz w:val="20"/>
                <w:szCs w:val="20"/>
              </w:rPr>
              <w:t>CE team audits external sites, supported by local staff</w:t>
            </w:r>
          </w:p>
        </w:tc>
        <w:tc>
          <w:tcPr>
            <w:tcW w:w="343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23CA6" w:rsidRPr="00743C24" w14:paraId="3D0066CE" w14:textId="77777777" w:rsidTr="00023CA6">
              <w:trPr>
                <w:tblCellSpacing w:w="15" w:type="dxa"/>
              </w:trPr>
              <w:tc>
                <w:tcPr>
                  <w:tcW w:w="0" w:type="auto"/>
                  <w:vAlign w:val="center"/>
                  <w:hideMark/>
                </w:tcPr>
                <w:p w14:paraId="156E214E" w14:textId="77777777" w:rsidR="00023CA6" w:rsidRPr="00743C24" w:rsidRDefault="00023CA6" w:rsidP="00743C24">
                  <w:pPr>
                    <w:spacing w:after="0" w:line="240" w:lineRule="auto"/>
                    <w:rPr>
                      <w:rFonts w:ascii="Arial" w:hAnsi="Arial" w:cs="Arial"/>
                      <w:sz w:val="20"/>
                      <w:szCs w:val="20"/>
                    </w:rPr>
                  </w:pPr>
                </w:p>
              </w:tc>
            </w:tr>
          </w:tbl>
          <w:p w14:paraId="5374D2E3" w14:textId="77777777" w:rsidR="00023CA6" w:rsidRPr="00743C24" w:rsidRDefault="00023CA6" w:rsidP="00743C24">
            <w:pPr>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19"/>
            </w:tblGrid>
            <w:tr w:rsidR="00023CA6" w:rsidRPr="00743C24" w14:paraId="661AAFE2" w14:textId="77777777" w:rsidTr="00023CA6">
              <w:trPr>
                <w:tblCellSpacing w:w="15" w:type="dxa"/>
              </w:trPr>
              <w:tc>
                <w:tcPr>
                  <w:tcW w:w="0" w:type="auto"/>
                  <w:vAlign w:val="center"/>
                  <w:hideMark/>
                </w:tcPr>
                <w:p w14:paraId="43CB3771" w14:textId="77777777" w:rsidR="00023CA6" w:rsidRPr="00743C24" w:rsidRDefault="00023CA6" w:rsidP="00743C24">
                  <w:pPr>
                    <w:spacing w:after="0" w:line="240" w:lineRule="auto"/>
                    <w:rPr>
                      <w:rFonts w:ascii="Arial" w:hAnsi="Arial" w:cs="Arial"/>
                      <w:sz w:val="20"/>
                      <w:szCs w:val="20"/>
                    </w:rPr>
                  </w:pPr>
                  <w:r w:rsidRPr="00743C24">
                    <w:rPr>
                      <w:rFonts w:ascii="Arial" w:hAnsi="Arial" w:cs="Arial"/>
                      <w:sz w:val="20"/>
                      <w:szCs w:val="20"/>
                    </w:rPr>
                    <w:t>Independence from audited process and personnel</w:t>
                  </w:r>
                </w:p>
              </w:tc>
            </w:tr>
          </w:tbl>
          <w:p w14:paraId="6CD906D3" w14:textId="77777777" w:rsidR="00F422E9" w:rsidRPr="00743C24" w:rsidRDefault="00F422E9" w:rsidP="00743C24">
            <w:pPr>
              <w:rPr>
                <w:rFonts w:ascii="Arial" w:hAnsi="Arial" w:cs="Arial"/>
                <w:sz w:val="20"/>
                <w:szCs w:val="20"/>
              </w:rPr>
            </w:pPr>
          </w:p>
        </w:tc>
        <w:tc>
          <w:tcPr>
            <w:tcW w:w="1384" w:type="dxa"/>
            <w:shd w:val="clear" w:color="auto" w:fill="FFC000"/>
          </w:tcPr>
          <w:p w14:paraId="5CE7B40D" w14:textId="31391CCC" w:rsidR="00F422E9" w:rsidRPr="00743C24" w:rsidRDefault="00023CA6" w:rsidP="00743C24">
            <w:pPr>
              <w:rPr>
                <w:rFonts w:ascii="Arial" w:hAnsi="Arial" w:cs="Arial"/>
                <w:sz w:val="20"/>
                <w:szCs w:val="20"/>
              </w:rPr>
            </w:pPr>
            <w:r w:rsidRPr="00743C24">
              <w:rPr>
                <w:rFonts w:ascii="Arial" w:hAnsi="Arial" w:cs="Arial"/>
                <w:sz w:val="20"/>
                <w:szCs w:val="20"/>
              </w:rPr>
              <w:t>Partial</w:t>
            </w:r>
          </w:p>
        </w:tc>
      </w:tr>
      <w:tr w:rsidR="00F422E9" w:rsidRPr="00743C24" w14:paraId="5120F066" w14:textId="77777777" w:rsidTr="00743C24">
        <w:tc>
          <w:tcPr>
            <w:tcW w:w="2122" w:type="dxa"/>
          </w:tcPr>
          <w:p w14:paraId="736C2A03" w14:textId="7C29DB2B" w:rsidR="00F422E9" w:rsidRPr="00743C24" w:rsidRDefault="00F422E9" w:rsidP="00743C24">
            <w:pPr>
              <w:rPr>
                <w:rFonts w:ascii="Arial" w:hAnsi="Arial" w:cs="Arial"/>
                <w:b/>
                <w:bCs/>
                <w:sz w:val="20"/>
                <w:szCs w:val="20"/>
              </w:rPr>
            </w:pPr>
            <w:r w:rsidRPr="00743C24">
              <w:rPr>
                <w:rFonts w:ascii="Arial" w:hAnsi="Arial" w:cs="Arial"/>
                <w:b/>
                <w:bCs/>
                <w:sz w:val="20"/>
                <w:szCs w:val="20"/>
              </w:rPr>
              <w:t>Evidence Collection</w:t>
            </w:r>
          </w:p>
        </w:tc>
        <w:tc>
          <w:tcPr>
            <w:tcW w:w="283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23CA6" w:rsidRPr="00743C24" w14:paraId="4D9BD209" w14:textId="77777777" w:rsidTr="00023CA6">
              <w:trPr>
                <w:tblCellSpacing w:w="15" w:type="dxa"/>
              </w:trPr>
              <w:tc>
                <w:tcPr>
                  <w:tcW w:w="0" w:type="auto"/>
                  <w:vAlign w:val="center"/>
                  <w:hideMark/>
                </w:tcPr>
                <w:p w14:paraId="14F672B9" w14:textId="77777777" w:rsidR="00023CA6" w:rsidRPr="00743C24" w:rsidRDefault="00023CA6" w:rsidP="00743C24">
                  <w:pPr>
                    <w:spacing w:after="0" w:line="240" w:lineRule="auto"/>
                    <w:rPr>
                      <w:rFonts w:ascii="Arial" w:hAnsi="Arial" w:cs="Arial"/>
                      <w:sz w:val="20"/>
                      <w:szCs w:val="20"/>
                    </w:rPr>
                  </w:pPr>
                </w:p>
              </w:tc>
            </w:tr>
          </w:tbl>
          <w:p w14:paraId="6DD59143" w14:textId="77777777" w:rsidR="00023CA6" w:rsidRPr="00743C24" w:rsidRDefault="00023CA6" w:rsidP="00743C24">
            <w:pPr>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19"/>
            </w:tblGrid>
            <w:tr w:rsidR="00023CA6" w:rsidRPr="00743C24" w14:paraId="73B2B885" w14:textId="77777777" w:rsidTr="00023CA6">
              <w:trPr>
                <w:tblCellSpacing w:w="15" w:type="dxa"/>
              </w:trPr>
              <w:tc>
                <w:tcPr>
                  <w:tcW w:w="0" w:type="auto"/>
                  <w:vAlign w:val="center"/>
                  <w:hideMark/>
                </w:tcPr>
                <w:p w14:paraId="3532AA0E" w14:textId="77777777" w:rsidR="00023CA6" w:rsidRPr="00743C24" w:rsidRDefault="00023CA6" w:rsidP="00743C24">
                  <w:pPr>
                    <w:spacing w:after="0" w:line="240" w:lineRule="auto"/>
                    <w:rPr>
                      <w:rFonts w:ascii="Arial" w:hAnsi="Arial" w:cs="Arial"/>
                      <w:sz w:val="20"/>
                      <w:szCs w:val="20"/>
                    </w:rPr>
                  </w:pPr>
                  <w:r w:rsidRPr="00743C24">
                    <w:rPr>
                      <w:rFonts w:ascii="Arial" w:hAnsi="Arial" w:cs="Arial"/>
                      <w:sz w:val="20"/>
                      <w:szCs w:val="20"/>
                    </w:rPr>
                    <w:t>Improving use of photo evidence; some gaps in record submission</w:t>
                  </w:r>
                </w:p>
              </w:tc>
            </w:tr>
          </w:tbl>
          <w:p w14:paraId="1794A0C4" w14:textId="77777777" w:rsidR="00F422E9" w:rsidRPr="00743C24" w:rsidRDefault="00F422E9" w:rsidP="00743C24">
            <w:pPr>
              <w:rPr>
                <w:rFonts w:ascii="Arial" w:hAnsi="Arial" w:cs="Arial"/>
                <w:sz w:val="20"/>
                <w:szCs w:val="20"/>
              </w:rPr>
            </w:pPr>
          </w:p>
        </w:tc>
        <w:tc>
          <w:tcPr>
            <w:tcW w:w="3435" w:type="dxa"/>
          </w:tcPr>
          <w:p w14:paraId="3BE8336E" w14:textId="7513B0E3" w:rsidR="00F422E9" w:rsidRPr="00743C24" w:rsidRDefault="00023CA6" w:rsidP="00743C24">
            <w:pPr>
              <w:rPr>
                <w:rFonts w:ascii="Arial" w:hAnsi="Arial" w:cs="Arial"/>
                <w:sz w:val="20"/>
                <w:szCs w:val="20"/>
              </w:rPr>
            </w:pPr>
            <w:r w:rsidRPr="00743C24">
              <w:rPr>
                <w:rFonts w:ascii="Arial" w:hAnsi="Arial" w:cs="Arial"/>
                <w:sz w:val="20"/>
                <w:szCs w:val="20"/>
              </w:rPr>
              <w:t>Evidence-based findings mandatory; digital traceability encouraged</w:t>
            </w:r>
          </w:p>
        </w:tc>
        <w:tc>
          <w:tcPr>
            <w:tcW w:w="1384" w:type="dxa"/>
            <w:shd w:val="clear" w:color="auto" w:fill="FFC000"/>
          </w:tcPr>
          <w:p w14:paraId="5609CD97" w14:textId="7712922D" w:rsidR="00F422E9" w:rsidRPr="00743C24" w:rsidRDefault="00023CA6" w:rsidP="00743C24">
            <w:pPr>
              <w:rPr>
                <w:rFonts w:ascii="Arial" w:hAnsi="Arial" w:cs="Arial"/>
                <w:sz w:val="20"/>
                <w:szCs w:val="20"/>
              </w:rPr>
            </w:pPr>
            <w:r w:rsidRPr="00743C24">
              <w:rPr>
                <w:rFonts w:ascii="Arial" w:hAnsi="Arial" w:cs="Arial"/>
                <w:sz w:val="20"/>
                <w:szCs w:val="20"/>
              </w:rPr>
              <w:t>Partial</w:t>
            </w:r>
          </w:p>
        </w:tc>
      </w:tr>
      <w:tr w:rsidR="00F422E9" w:rsidRPr="00743C24" w14:paraId="7D8332CC" w14:textId="77777777" w:rsidTr="00743C24">
        <w:tc>
          <w:tcPr>
            <w:tcW w:w="2122" w:type="dxa"/>
          </w:tcPr>
          <w:p w14:paraId="77B34B06" w14:textId="08C5F3D8" w:rsidR="00F422E9" w:rsidRPr="00743C24" w:rsidRDefault="00F422E9" w:rsidP="00743C24">
            <w:pPr>
              <w:rPr>
                <w:rFonts w:ascii="Arial" w:hAnsi="Arial" w:cs="Arial"/>
                <w:b/>
                <w:bCs/>
                <w:sz w:val="20"/>
                <w:szCs w:val="20"/>
              </w:rPr>
            </w:pPr>
            <w:r w:rsidRPr="00743C24">
              <w:rPr>
                <w:rFonts w:ascii="Arial" w:hAnsi="Arial" w:cs="Arial"/>
                <w:b/>
                <w:bCs/>
                <w:sz w:val="20"/>
                <w:szCs w:val="20"/>
              </w:rPr>
              <w:t>Audit Tools</w:t>
            </w:r>
          </w:p>
        </w:tc>
        <w:tc>
          <w:tcPr>
            <w:tcW w:w="2835" w:type="dxa"/>
          </w:tcPr>
          <w:p w14:paraId="34521A72" w14:textId="5B710FC9" w:rsidR="00F422E9" w:rsidRPr="00743C24" w:rsidRDefault="00023CA6" w:rsidP="00743C24">
            <w:pPr>
              <w:rPr>
                <w:rFonts w:ascii="Arial" w:hAnsi="Arial" w:cs="Arial"/>
                <w:sz w:val="20"/>
                <w:szCs w:val="20"/>
              </w:rPr>
            </w:pPr>
            <w:r w:rsidRPr="00743C24">
              <w:rPr>
                <w:rFonts w:ascii="Arial" w:hAnsi="Arial" w:cs="Arial"/>
                <w:sz w:val="20"/>
                <w:szCs w:val="20"/>
              </w:rPr>
              <w:t>Mostly manual check sheets; limited use of analytics</w:t>
            </w:r>
          </w:p>
        </w:tc>
        <w:tc>
          <w:tcPr>
            <w:tcW w:w="3435" w:type="dxa"/>
          </w:tcPr>
          <w:p w14:paraId="4CCD453B" w14:textId="78785F0C" w:rsidR="00F422E9" w:rsidRPr="00743C24" w:rsidRDefault="00023CA6" w:rsidP="00743C24">
            <w:pPr>
              <w:rPr>
                <w:rFonts w:ascii="Arial" w:hAnsi="Arial" w:cs="Arial"/>
                <w:sz w:val="20"/>
                <w:szCs w:val="20"/>
              </w:rPr>
            </w:pPr>
            <w:r w:rsidRPr="00743C24">
              <w:rPr>
                <w:rFonts w:ascii="Arial" w:hAnsi="Arial" w:cs="Arial"/>
                <w:sz w:val="20"/>
                <w:szCs w:val="20"/>
              </w:rPr>
              <w:t>Digital audit platforms with tracking, dashboards, and real-time scoring</w:t>
            </w:r>
          </w:p>
        </w:tc>
        <w:tc>
          <w:tcPr>
            <w:tcW w:w="1384" w:type="dxa"/>
            <w:shd w:val="clear" w:color="auto" w:fill="FF0000"/>
          </w:tcPr>
          <w:p w14:paraId="79E5BCA6" w14:textId="7364C98B" w:rsidR="00F422E9" w:rsidRPr="00743C24" w:rsidRDefault="00023CA6" w:rsidP="00743C24">
            <w:pPr>
              <w:rPr>
                <w:rFonts w:ascii="Arial" w:hAnsi="Arial" w:cs="Arial"/>
                <w:sz w:val="20"/>
                <w:szCs w:val="20"/>
              </w:rPr>
            </w:pPr>
            <w:r w:rsidRPr="00743C24">
              <w:rPr>
                <w:rFonts w:ascii="Arial" w:hAnsi="Arial" w:cs="Arial"/>
                <w:sz w:val="20"/>
                <w:szCs w:val="20"/>
              </w:rPr>
              <w:t>Needs Improvement</w:t>
            </w:r>
          </w:p>
        </w:tc>
      </w:tr>
      <w:tr w:rsidR="00F422E9" w:rsidRPr="00743C24" w14:paraId="7252BD11" w14:textId="77777777" w:rsidTr="00743C24">
        <w:tc>
          <w:tcPr>
            <w:tcW w:w="2122" w:type="dxa"/>
          </w:tcPr>
          <w:p w14:paraId="2D40BE1D" w14:textId="2F547D6B" w:rsidR="00F422E9" w:rsidRPr="00743C24" w:rsidRDefault="00023CA6" w:rsidP="00743C24">
            <w:pPr>
              <w:rPr>
                <w:rFonts w:ascii="Arial" w:hAnsi="Arial" w:cs="Arial"/>
                <w:b/>
                <w:bCs/>
                <w:sz w:val="20"/>
                <w:szCs w:val="20"/>
              </w:rPr>
            </w:pPr>
            <w:r w:rsidRPr="00743C24">
              <w:rPr>
                <w:rFonts w:ascii="Arial" w:hAnsi="Arial" w:cs="Arial"/>
                <w:b/>
                <w:bCs/>
                <w:sz w:val="20"/>
                <w:szCs w:val="20"/>
              </w:rPr>
              <w:t>Cross-Site Standardisation</w:t>
            </w:r>
          </w:p>
        </w:tc>
        <w:tc>
          <w:tcPr>
            <w:tcW w:w="2835" w:type="dxa"/>
          </w:tcPr>
          <w:p w14:paraId="27CA17B5" w14:textId="6B3DD54E" w:rsidR="00F422E9" w:rsidRPr="00743C24" w:rsidRDefault="00023CA6" w:rsidP="00743C24">
            <w:pPr>
              <w:rPr>
                <w:rFonts w:ascii="Arial" w:hAnsi="Arial" w:cs="Arial"/>
                <w:sz w:val="20"/>
                <w:szCs w:val="20"/>
              </w:rPr>
            </w:pPr>
            <w:r w:rsidRPr="00743C24">
              <w:rPr>
                <w:rFonts w:ascii="Arial" w:hAnsi="Arial" w:cs="Arial"/>
                <w:sz w:val="20"/>
                <w:szCs w:val="20"/>
              </w:rPr>
              <w:t>Central audit criteria, but local variation in execution</w:t>
            </w:r>
          </w:p>
        </w:tc>
        <w:tc>
          <w:tcPr>
            <w:tcW w:w="3435" w:type="dxa"/>
          </w:tcPr>
          <w:p w14:paraId="0EFC44F0" w14:textId="5AF0BF7E" w:rsidR="00F422E9" w:rsidRPr="00743C24" w:rsidRDefault="00023CA6" w:rsidP="00743C24">
            <w:pPr>
              <w:rPr>
                <w:rFonts w:ascii="Arial" w:hAnsi="Arial" w:cs="Arial"/>
                <w:sz w:val="20"/>
                <w:szCs w:val="20"/>
              </w:rPr>
            </w:pPr>
            <w:r w:rsidRPr="00743C24">
              <w:rPr>
                <w:rFonts w:ascii="Arial" w:hAnsi="Arial" w:cs="Arial"/>
                <w:sz w:val="20"/>
                <w:szCs w:val="20"/>
              </w:rPr>
              <w:t>Uniform standards, supported by training and calibration</w:t>
            </w:r>
          </w:p>
        </w:tc>
        <w:tc>
          <w:tcPr>
            <w:tcW w:w="1384" w:type="dxa"/>
            <w:shd w:val="clear" w:color="auto" w:fill="FFC000"/>
          </w:tcPr>
          <w:p w14:paraId="7EED57EB" w14:textId="7BCF293A" w:rsidR="00F422E9" w:rsidRPr="00743C24" w:rsidRDefault="00023CA6" w:rsidP="00743C24">
            <w:pPr>
              <w:rPr>
                <w:rFonts w:ascii="Arial" w:hAnsi="Arial" w:cs="Arial"/>
                <w:sz w:val="20"/>
                <w:szCs w:val="20"/>
              </w:rPr>
            </w:pPr>
            <w:r w:rsidRPr="00743C24">
              <w:rPr>
                <w:rFonts w:ascii="Arial" w:hAnsi="Arial" w:cs="Arial"/>
                <w:sz w:val="20"/>
                <w:szCs w:val="20"/>
              </w:rPr>
              <w:t>Partial</w:t>
            </w:r>
          </w:p>
        </w:tc>
      </w:tr>
      <w:tr w:rsidR="00F422E9" w:rsidRPr="00743C24" w14:paraId="4084930A" w14:textId="77777777" w:rsidTr="00743C24">
        <w:tc>
          <w:tcPr>
            <w:tcW w:w="2122" w:type="dxa"/>
          </w:tcPr>
          <w:p w14:paraId="6B2C2830" w14:textId="67255F0A" w:rsidR="00F422E9" w:rsidRPr="00743C24" w:rsidRDefault="00023CA6" w:rsidP="00743C24">
            <w:pPr>
              <w:rPr>
                <w:rFonts w:ascii="Arial" w:hAnsi="Arial" w:cs="Arial"/>
                <w:b/>
                <w:bCs/>
                <w:sz w:val="20"/>
                <w:szCs w:val="20"/>
              </w:rPr>
            </w:pPr>
            <w:r w:rsidRPr="00743C24">
              <w:rPr>
                <w:rFonts w:ascii="Arial" w:hAnsi="Arial" w:cs="Arial"/>
                <w:b/>
                <w:bCs/>
                <w:sz w:val="20"/>
                <w:szCs w:val="20"/>
              </w:rPr>
              <w:t>Training and Auditor Calibration</w:t>
            </w:r>
          </w:p>
        </w:tc>
        <w:tc>
          <w:tcPr>
            <w:tcW w:w="2835" w:type="dxa"/>
          </w:tcPr>
          <w:p w14:paraId="180EB2C0" w14:textId="25177171" w:rsidR="00F422E9" w:rsidRPr="00743C24" w:rsidRDefault="00023CA6" w:rsidP="00743C24">
            <w:pPr>
              <w:rPr>
                <w:rFonts w:ascii="Arial" w:hAnsi="Arial" w:cs="Arial"/>
                <w:sz w:val="20"/>
                <w:szCs w:val="20"/>
              </w:rPr>
            </w:pPr>
            <w:r w:rsidRPr="00743C24">
              <w:rPr>
                <w:rFonts w:ascii="Arial" w:hAnsi="Arial" w:cs="Arial"/>
                <w:sz w:val="20"/>
                <w:szCs w:val="20"/>
              </w:rPr>
              <w:t>Limited; mostly reliant on audit team experience</w:t>
            </w:r>
          </w:p>
        </w:tc>
        <w:tc>
          <w:tcPr>
            <w:tcW w:w="3435" w:type="dxa"/>
          </w:tcPr>
          <w:p w14:paraId="06EC263A" w14:textId="6E3D5B6C" w:rsidR="00F422E9" w:rsidRPr="00743C24" w:rsidRDefault="00023CA6" w:rsidP="00743C24">
            <w:pPr>
              <w:rPr>
                <w:rFonts w:ascii="Arial" w:hAnsi="Arial" w:cs="Arial"/>
                <w:sz w:val="20"/>
                <w:szCs w:val="20"/>
              </w:rPr>
            </w:pPr>
            <w:r w:rsidRPr="00743C24">
              <w:rPr>
                <w:rFonts w:ascii="Arial" w:hAnsi="Arial" w:cs="Arial"/>
                <w:sz w:val="20"/>
                <w:szCs w:val="20"/>
              </w:rPr>
              <w:t>Structured auditor training and calibration sessions</w:t>
            </w:r>
          </w:p>
        </w:tc>
        <w:tc>
          <w:tcPr>
            <w:tcW w:w="1384" w:type="dxa"/>
            <w:shd w:val="clear" w:color="auto" w:fill="FF0000"/>
          </w:tcPr>
          <w:p w14:paraId="2C833492" w14:textId="7489ECC7" w:rsidR="00F422E9" w:rsidRPr="00743C24" w:rsidRDefault="00023CA6" w:rsidP="00743C24">
            <w:pPr>
              <w:rPr>
                <w:rFonts w:ascii="Arial" w:hAnsi="Arial" w:cs="Arial"/>
                <w:sz w:val="20"/>
                <w:szCs w:val="20"/>
              </w:rPr>
            </w:pPr>
            <w:r w:rsidRPr="00743C24">
              <w:rPr>
                <w:rFonts w:ascii="Arial" w:hAnsi="Arial" w:cs="Arial"/>
                <w:sz w:val="20"/>
                <w:szCs w:val="20"/>
              </w:rPr>
              <w:t>Lacking</w:t>
            </w:r>
          </w:p>
        </w:tc>
      </w:tr>
    </w:tbl>
    <w:p w14:paraId="1B1BF6A6" w14:textId="2FAB92F6" w:rsidR="00023CA6" w:rsidRPr="00743C24" w:rsidRDefault="00023CA6" w:rsidP="00F422E9">
      <w:pPr>
        <w:spacing w:line="360" w:lineRule="auto"/>
        <w:rPr>
          <w:rFonts w:ascii="Arial" w:hAnsi="Arial" w:cs="Arial"/>
        </w:rPr>
      </w:pPr>
      <w:r w:rsidRPr="00743C24">
        <w:rPr>
          <w:rFonts w:ascii="Arial" w:hAnsi="Arial" w:cs="Arial"/>
          <w:color w:val="4472C4" w:themeColor="accent1"/>
        </w:rPr>
        <w:t xml:space="preserve">Table </w:t>
      </w:r>
      <w:r w:rsidR="00743C24">
        <w:rPr>
          <w:rFonts w:ascii="Arial" w:hAnsi="Arial" w:cs="Arial"/>
          <w:color w:val="4472C4" w:themeColor="accent1"/>
        </w:rPr>
        <w:t>8</w:t>
      </w:r>
      <w:r w:rsidRPr="00743C24">
        <w:rPr>
          <w:rFonts w:ascii="Arial" w:hAnsi="Arial" w:cs="Arial"/>
        </w:rPr>
        <w:t>. SEWS-E Internal Audit Process vs. Industry Best Practises</w:t>
      </w:r>
    </w:p>
    <w:p w14:paraId="4833678B" w14:textId="69FF02A6" w:rsidR="00023CA6" w:rsidRPr="00743C24" w:rsidRDefault="00023CA6" w:rsidP="00023CA6">
      <w:pPr>
        <w:spacing w:line="360" w:lineRule="auto"/>
        <w:rPr>
          <w:rFonts w:ascii="Arial" w:hAnsi="Arial" w:cs="Arial"/>
        </w:rPr>
      </w:pPr>
      <w:r w:rsidRPr="00743C24">
        <w:rPr>
          <w:rFonts w:ascii="Arial" w:hAnsi="Arial" w:cs="Arial"/>
        </w:rPr>
        <w:lastRenderedPageBreak/>
        <w:t>SEWS-E’s framework closely mirrors the procedural backbone of best practice auditing, especially in its structure and CAP design. However, to fully align with ISO and modern digital audit trends, the company should consider adopting risk-based audit planning, improved evidence traceability, and a more digitally integrated audit platform. This would also enable real-time tracking of recurring non-conformities and facilitate cross-regional benchmarking.</w:t>
      </w:r>
    </w:p>
    <w:p w14:paraId="72238ED3" w14:textId="0B64A997" w:rsidR="00023CA6" w:rsidRPr="00743C24" w:rsidRDefault="00023CA6" w:rsidP="00023CA6">
      <w:pPr>
        <w:spacing w:line="360" w:lineRule="auto"/>
        <w:rPr>
          <w:rFonts w:ascii="Arial" w:hAnsi="Arial" w:cs="Arial"/>
        </w:rPr>
      </w:pPr>
      <w:r w:rsidRPr="00743C24">
        <w:rPr>
          <w:rFonts w:ascii="Arial" w:hAnsi="Arial" w:cs="Arial"/>
        </w:rPr>
        <w:t>According to Hassan et al. (2021), audit systems that incorporate both structured criteria and digital tools are not only more consistent, but also more predictive</w:t>
      </w:r>
      <w:r w:rsidR="008860A3">
        <w:rPr>
          <w:rFonts w:ascii="Arial" w:hAnsi="Arial" w:cs="Arial"/>
        </w:rPr>
        <w:t xml:space="preserve">, </w:t>
      </w:r>
      <w:r w:rsidRPr="00743C24">
        <w:rPr>
          <w:rFonts w:ascii="Arial" w:hAnsi="Arial" w:cs="Arial"/>
        </w:rPr>
        <w:t>allowing organisations to act on patterns before issues escalate. Additionally, Moeller (2022) argues that audit maturity is defined not only by the existence of a framework, but by how adaptable, scalable, and insight-driven it becomes over time.</w:t>
      </w:r>
    </w:p>
    <w:p w14:paraId="046329C1" w14:textId="592B378D" w:rsidR="00023CA6" w:rsidRPr="00743C24" w:rsidRDefault="00023CA6" w:rsidP="00023CA6">
      <w:pPr>
        <w:spacing w:line="360" w:lineRule="auto"/>
        <w:rPr>
          <w:rFonts w:ascii="Arial" w:hAnsi="Arial" w:cs="Arial"/>
        </w:rPr>
      </w:pPr>
      <w:r w:rsidRPr="00743C24">
        <w:rPr>
          <w:rFonts w:ascii="Arial" w:hAnsi="Arial" w:cs="Arial"/>
        </w:rPr>
        <w:t>In this context, SEWS-E’s audit process demonstrates the core principles of compliance, but is still in the transitional phase between procedural auditing and insight-driven auditing. Closing this gap will be crucial in maximising audit value and long-term machinery performance control.</w:t>
      </w:r>
    </w:p>
    <w:p w14:paraId="6EA21DD5" w14:textId="14880A1B" w:rsidR="00023CA6" w:rsidRPr="00743C24" w:rsidRDefault="00023CA6" w:rsidP="00023CA6">
      <w:pPr>
        <w:pStyle w:val="Heading2"/>
        <w:rPr>
          <w:szCs w:val="22"/>
        </w:rPr>
      </w:pPr>
      <w:bookmarkStart w:id="39" w:name="_Toc198120612"/>
      <w:r w:rsidRPr="00743C24">
        <w:rPr>
          <w:szCs w:val="22"/>
        </w:rPr>
        <w:t>9.3. Interpreting the Results and Audit Effectiveness</w:t>
      </w:r>
      <w:bookmarkEnd w:id="39"/>
    </w:p>
    <w:p w14:paraId="4E5AE2AE" w14:textId="4C76D461" w:rsidR="00023CA6" w:rsidRPr="00743C24" w:rsidRDefault="00023CA6" w:rsidP="00023CA6">
      <w:pPr>
        <w:spacing w:line="360" w:lineRule="auto"/>
        <w:rPr>
          <w:rFonts w:ascii="Arial" w:hAnsi="Arial" w:cs="Arial"/>
        </w:rPr>
      </w:pPr>
      <w:r w:rsidRPr="00743C24">
        <w:rPr>
          <w:rFonts w:ascii="Arial" w:hAnsi="Arial" w:cs="Arial"/>
        </w:rPr>
        <w:t>The audit results from 2023 and 2024 reflect a system that is functionally effective but variably applied. While average audit scores improved across almost all machine types and regions, the distribution of performance</w:t>
      </w:r>
      <w:r w:rsidR="008860A3">
        <w:rPr>
          <w:rFonts w:ascii="Arial" w:hAnsi="Arial" w:cs="Arial"/>
        </w:rPr>
        <w:t>,</w:t>
      </w:r>
      <w:r w:rsidRPr="00743C24">
        <w:rPr>
          <w:rFonts w:ascii="Arial" w:hAnsi="Arial" w:cs="Arial"/>
        </w:rPr>
        <w:t xml:space="preserve"> and the nature of the most frequent failures</w:t>
      </w:r>
      <w:r w:rsidR="008860A3">
        <w:rPr>
          <w:rFonts w:ascii="Arial" w:hAnsi="Arial" w:cs="Arial"/>
        </w:rPr>
        <w:t xml:space="preserve">, </w:t>
      </w:r>
      <w:r w:rsidRPr="00743C24">
        <w:rPr>
          <w:rFonts w:ascii="Arial" w:hAnsi="Arial" w:cs="Arial"/>
        </w:rPr>
        <w:t>suggests that the internal audit process at SEWS-E is currently stronger at identifying issues than it is at preventing recurrence or standardising compliance across sites.</w:t>
      </w:r>
    </w:p>
    <w:p w14:paraId="7C4B673E" w14:textId="4CB9C527" w:rsidR="00023CA6" w:rsidRPr="00743C24" w:rsidRDefault="00023CA6" w:rsidP="00023CA6">
      <w:pPr>
        <w:spacing w:line="360" w:lineRule="auto"/>
        <w:rPr>
          <w:rFonts w:ascii="Arial" w:hAnsi="Arial" w:cs="Arial"/>
        </w:rPr>
      </w:pPr>
      <w:r w:rsidRPr="00743C24">
        <w:rPr>
          <w:rFonts w:ascii="Arial" w:hAnsi="Arial" w:cs="Arial"/>
        </w:rPr>
        <w:t>The significant improvement in Health and Safety scores (</w:t>
      </w:r>
      <w:r w:rsidRPr="00743C24">
        <w:rPr>
          <w:rFonts w:ascii="Arial" w:hAnsi="Arial" w:cs="Arial"/>
          <w:color w:val="70AD47" w:themeColor="accent6"/>
        </w:rPr>
        <w:t>+21.62%</w:t>
      </w:r>
      <w:r w:rsidRPr="00743C24">
        <w:rPr>
          <w:rFonts w:ascii="Arial" w:hAnsi="Arial" w:cs="Arial"/>
        </w:rPr>
        <w:t xml:space="preserve">) demonstrates the power of focused audit criteria revisions, auditor awareness, and cross-site communication. This trend confirms that the audit system </w:t>
      </w:r>
      <w:r w:rsidR="00743C24" w:rsidRPr="00743C24">
        <w:rPr>
          <w:rFonts w:ascii="Arial" w:hAnsi="Arial" w:cs="Arial"/>
        </w:rPr>
        <w:t>can drive</w:t>
      </w:r>
      <w:r w:rsidRPr="00743C24">
        <w:rPr>
          <w:rFonts w:ascii="Arial" w:hAnsi="Arial" w:cs="Arial"/>
        </w:rPr>
        <w:t xml:space="preserve"> targeted improvement when aligned with clearly communicated expectations. Similarly, improvements in machine types like USW (</w:t>
      </w:r>
      <w:r w:rsidRPr="00743C24">
        <w:rPr>
          <w:rFonts w:ascii="Arial" w:hAnsi="Arial" w:cs="Arial"/>
          <w:color w:val="70AD47" w:themeColor="accent6"/>
        </w:rPr>
        <w:t>+15.83%</w:t>
      </w:r>
      <w:r w:rsidRPr="00743C24">
        <w:rPr>
          <w:rFonts w:ascii="Arial" w:hAnsi="Arial" w:cs="Arial"/>
        </w:rPr>
        <w:t>) show that audits, when followed by structured Corrective Action Plans (CAPs), can directly influence machinery condition and performance.</w:t>
      </w:r>
    </w:p>
    <w:p w14:paraId="5DC143A0" w14:textId="24A46F25" w:rsidR="00023CA6" w:rsidRPr="00743C24" w:rsidRDefault="00023CA6" w:rsidP="00023CA6">
      <w:pPr>
        <w:spacing w:line="360" w:lineRule="auto"/>
        <w:rPr>
          <w:rFonts w:ascii="Arial" w:hAnsi="Arial" w:cs="Arial"/>
        </w:rPr>
      </w:pPr>
      <w:r w:rsidRPr="00743C24">
        <w:rPr>
          <w:rFonts w:ascii="Arial" w:hAnsi="Arial" w:cs="Arial"/>
        </w:rPr>
        <w:t>However, the more modest or inconsistent improvements in areas such as Spare Parts (</w:t>
      </w:r>
      <w:r w:rsidRPr="00743C24">
        <w:rPr>
          <w:rFonts w:ascii="Arial" w:hAnsi="Arial" w:cs="Arial"/>
          <w:color w:val="70AD47" w:themeColor="accent6"/>
        </w:rPr>
        <w:t>+10.26%</w:t>
      </w:r>
      <w:r w:rsidRPr="00743C24">
        <w:rPr>
          <w:rFonts w:ascii="Arial" w:hAnsi="Arial" w:cs="Arial"/>
        </w:rPr>
        <w:t>) and Documentation/Quality categories suggest that deeper systemic or procedural issues remain unaddressed. In some regions, recurring failures were linked to poor visibility of spare part inventories, outdated maintenance logs, or incomplete machine documentation — problems that audits repeatedly identified but which were slower to resolve. This points to an audit system that is accurate in diagnosis, but dependent on local site culture and capability for implementation of corrective actions.</w:t>
      </w:r>
    </w:p>
    <w:p w14:paraId="3BFE5F04" w14:textId="1E7912E2" w:rsidR="00023CA6" w:rsidRPr="00743C24" w:rsidRDefault="00023CA6" w:rsidP="0032349B">
      <w:pPr>
        <w:spacing w:line="360" w:lineRule="auto"/>
        <w:rPr>
          <w:rFonts w:ascii="Arial" w:hAnsi="Arial" w:cs="Arial"/>
        </w:rPr>
      </w:pPr>
      <w:r w:rsidRPr="00743C24">
        <w:rPr>
          <w:rFonts w:ascii="Arial" w:hAnsi="Arial" w:cs="Arial"/>
        </w:rPr>
        <w:lastRenderedPageBreak/>
        <w:t>Furthermore, inconsistencies in scoring application, particularly around N/A decisions or borderline OK/NOK judgments, introduce a level of subjectivity that can affect comparability across sites. While the binary scoring model provides clarity, it lacks nuance for more complex or age-dependent machine setups. This can reduce the overall sensitivity of the audit process, making it harder to differentiate between sites that are marginally non-compliant and those with more severe issues.</w:t>
      </w:r>
    </w:p>
    <w:p w14:paraId="36C8A2D5" w14:textId="25D62DB6" w:rsidR="00023CA6" w:rsidRPr="00743C24" w:rsidRDefault="00023CA6" w:rsidP="0032349B">
      <w:pPr>
        <w:spacing w:line="360" w:lineRule="auto"/>
        <w:rPr>
          <w:rFonts w:ascii="Arial" w:hAnsi="Arial" w:cs="Arial"/>
        </w:rPr>
      </w:pPr>
      <w:r w:rsidRPr="00743C24">
        <w:rPr>
          <w:rFonts w:ascii="Arial" w:hAnsi="Arial" w:cs="Arial"/>
        </w:rPr>
        <w:t>The audits also revealed that follow-up consistency is a major factor in overall effectiveness. Sites with clear ownership of CAPs, active Audit Champions, and regular progress tracking consistently achieved higher resolution rates and fewer repeat issues. This reinforces the importance of embedding the audit process into site culture, rather than treating it as a once-per-year exercise.</w:t>
      </w:r>
    </w:p>
    <w:p w14:paraId="7B5BD3FD" w14:textId="0A4CAD5F" w:rsidR="00023CA6" w:rsidRDefault="00023CA6" w:rsidP="0032349B">
      <w:pPr>
        <w:spacing w:line="360" w:lineRule="auto"/>
        <w:rPr>
          <w:rFonts w:ascii="Arial" w:hAnsi="Arial" w:cs="Arial"/>
        </w:rPr>
      </w:pPr>
      <w:r w:rsidRPr="00743C24">
        <w:rPr>
          <w:rFonts w:ascii="Arial" w:hAnsi="Arial" w:cs="Arial"/>
        </w:rPr>
        <w:t>SEWS-E’s audit process demonstrates a solid level of effectiveness, especially in identifying and flagging critical machinery issues. However, its true value is currently limited by variability in follow-up execution, procedural interpretation, and digital integration. The audit system is evolving from a compliance-checking mechanism into a more strategic performance management tool, but continued investment in consistency, training, and systems support will be required to fully realise its potential.</w:t>
      </w:r>
    </w:p>
    <w:p w14:paraId="3A8DB77C" w14:textId="69C4DAAC" w:rsidR="009F0DB5" w:rsidRDefault="009F0DB5" w:rsidP="0032349B">
      <w:pPr>
        <w:spacing w:line="360" w:lineRule="auto"/>
        <w:rPr>
          <w:rFonts w:ascii="Arial" w:hAnsi="Arial" w:cs="Arial"/>
        </w:rPr>
      </w:pPr>
      <w:r w:rsidRPr="009F0DB5">
        <w:rPr>
          <w:rFonts w:ascii="Arial" w:hAnsi="Arial" w:cs="Arial"/>
        </w:rPr>
        <w:t>Throughout this dissertation, the term “audit” has been used to describe structured evaluations conducted on transferred machinery. However, in practice, these evaluations often function more as operational readiness assessments or condition verification reviews. Using language such as ‘technical inspection’, ‘machine readiness check’, or ‘condition verification process’ could help encourage site engagement and reduce perceptions of audits being punitive or overly formal.</w:t>
      </w:r>
    </w:p>
    <w:p w14:paraId="7A1351E4" w14:textId="52398359" w:rsidR="00C43959" w:rsidRDefault="00C43959" w:rsidP="0032349B">
      <w:pPr>
        <w:spacing w:line="360" w:lineRule="auto"/>
        <w:rPr>
          <w:rFonts w:ascii="Arial" w:hAnsi="Arial" w:cs="Arial"/>
        </w:rPr>
      </w:pPr>
      <w:r w:rsidRPr="00C43959">
        <w:rPr>
          <w:rFonts w:ascii="Arial" w:hAnsi="Arial" w:cs="Arial"/>
        </w:rPr>
        <w:t>Although SEWS-E’s audit structure seeks to standardise evaluations across sites, local cultural factors and working practices may influence audit outcomes. Variations in health and safety emphasis, operational discipline, and interpretation of quality standards were observed between regions, suggesting that even within a common framework, local context subtly shapes audit results. These ambiguities underline the importance of auditor calibration sessions and cross-site benchmark comparisons to minimise subjective drift and promote global consistency.</w:t>
      </w:r>
    </w:p>
    <w:p w14:paraId="3FA3CF4D" w14:textId="77777777" w:rsidR="009F0DB5" w:rsidRDefault="009F0DB5" w:rsidP="0032349B">
      <w:pPr>
        <w:spacing w:line="360" w:lineRule="auto"/>
        <w:rPr>
          <w:rFonts w:ascii="Arial" w:hAnsi="Arial" w:cs="Arial"/>
        </w:rPr>
      </w:pPr>
    </w:p>
    <w:p w14:paraId="6886CE1D" w14:textId="77777777" w:rsidR="009F0DB5" w:rsidRDefault="009F0DB5" w:rsidP="0032349B">
      <w:pPr>
        <w:spacing w:line="360" w:lineRule="auto"/>
        <w:rPr>
          <w:rFonts w:ascii="Arial" w:hAnsi="Arial" w:cs="Arial"/>
        </w:rPr>
      </w:pPr>
    </w:p>
    <w:p w14:paraId="4B90F00F" w14:textId="77777777" w:rsidR="009F0DB5" w:rsidRPr="00743C24" w:rsidRDefault="009F0DB5" w:rsidP="0032349B">
      <w:pPr>
        <w:spacing w:line="360" w:lineRule="auto"/>
        <w:rPr>
          <w:rFonts w:ascii="Arial" w:hAnsi="Arial" w:cs="Arial"/>
        </w:rPr>
      </w:pPr>
    </w:p>
    <w:p w14:paraId="6A78486A" w14:textId="27E9AFFF" w:rsidR="0032349B" w:rsidRPr="00743C24" w:rsidRDefault="0032349B" w:rsidP="0032349B">
      <w:pPr>
        <w:spacing w:line="360" w:lineRule="auto"/>
        <w:rPr>
          <w:rFonts w:ascii="Arial" w:hAnsi="Arial" w:cs="Arial"/>
        </w:rPr>
      </w:pPr>
      <w:r w:rsidRPr="00743C24">
        <w:rPr>
          <w:rFonts w:ascii="Arial" w:hAnsi="Arial" w:cs="Arial"/>
        </w:rPr>
        <w:lastRenderedPageBreak/>
        <w:t>9.4 Implications for SEWS-E and the Wider Industry</w:t>
      </w:r>
    </w:p>
    <w:p w14:paraId="2A63E751" w14:textId="025C1E2B" w:rsidR="001850B9" w:rsidRPr="001850B9" w:rsidRDefault="001850B9" w:rsidP="001850B9">
      <w:pPr>
        <w:spacing w:line="360" w:lineRule="auto"/>
        <w:rPr>
          <w:rFonts w:ascii="Arial" w:hAnsi="Arial" w:cs="Arial"/>
        </w:rPr>
      </w:pPr>
      <w:r w:rsidRPr="001850B9">
        <w:rPr>
          <w:rFonts w:ascii="Arial" w:hAnsi="Arial" w:cs="Arial"/>
        </w:rPr>
        <w:t>The findings of this study carry clear operational and strategic implications for SEWS-E and other manufacturers managing complex machinery transfers across international sites. When applied consistently and supported by site-level engagement, the internal audit process has proven effective in identifying equipment risks, enforcing compliance, and maintaining production integrity. However, variability in audit outcomes and issue resolution between regions highlights a need for greater standardisation, digitalisation, and cultural alignment. Research shows that internal audits universally act as guardians of organisational integrity, reinforcing the need to view them as strategic assets rather than compliance tools (</w:t>
      </w:r>
      <w:r w:rsidRPr="001850B9">
        <w:rPr>
          <w:rFonts w:ascii="Arial" w:hAnsi="Arial" w:cs="Arial"/>
          <w:i/>
          <w:iCs/>
        </w:rPr>
        <w:t>Sari, 2022</w:t>
      </w:r>
      <w:r w:rsidRPr="001850B9">
        <w:rPr>
          <w:rFonts w:ascii="Arial" w:hAnsi="Arial" w:cs="Arial"/>
        </w:rPr>
        <w:t>).</w:t>
      </w:r>
    </w:p>
    <w:p w14:paraId="0AABD647" w14:textId="5B39178B" w:rsidR="001850B9" w:rsidRPr="001850B9" w:rsidRDefault="001850B9" w:rsidP="001850B9">
      <w:pPr>
        <w:spacing w:line="360" w:lineRule="auto"/>
        <w:rPr>
          <w:rFonts w:ascii="Arial" w:hAnsi="Arial" w:cs="Arial"/>
        </w:rPr>
      </w:pPr>
      <w:r w:rsidRPr="001850B9">
        <w:rPr>
          <w:rFonts w:ascii="Arial" w:hAnsi="Arial" w:cs="Arial"/>
        </w:rPr>
        <w:t>For SEWS-E, audit results suggest embedding the process into each site’s daily operations is essential. Introducing clearer expectations for documentation, access control, and audit preparation</w:t>
      </w:r>
      <w:r w:rsidR="008860A3">
        <w:rPr>
          <w:rFonts w:ascii="Arial" w:hAnsi="Arial" w:cs="Arial"/>
        </w:rPr>
        <w:t xml:space="preserve">, </w:t>
      </w:r>
      <w:r w:rsidRPr="001850B9">
        <w:rPr>
          <w:rFonts w:ascii="Arial" w:hAnsi="Arial" w:cs="Arial"/>
        </w:rPr>
        <w:t>along with investments in auditor training and digital tracking</w:t>
      </w:r>
      <w:r w:rsidR="008860A3">
        <w:rPr>
          <w:rFonts w:ascii="Arial" w:hAnsi="Arial" w:cs="Arial"/>
        </w:rPr>
        <w:t xml:space="preserve">, </w:t>
      </w:r>
      <w:r w:rsidRPr="001850B9">
        <w:rPr>
          <w:rFonts w:ascii="Arial" w:hAnsi="Arial" w:cs="Arial"/>
        </w:rPr>
        <w:t>would improve follow-up and cross-site comparability. This supports findings that effective internal audits positively influence operational performance and governance (</w:t>
      </w:r>
      <w:r w:rsidRPr="001850B9">
        <w:rPr>
          <w:rFonts w:ascii="Arial" w:hAnsi="Arial" w:cs="Arial"/>
          <w:i/>
          <w:iCs/>
        </w:rPr>
        <w:t>Lihuan, 2022</w:t>
      </w:r>
      <w:r w:rsidRPr="001850B9">
        <w:rPr>
          <w:rFonts w:ascii="Arial" w:hAnsi="Arial" w:cs="Arial"/>
        </w:rPr>
        <w:t>). Additionally, a centralised dashboard to monitor recurring failures, CAP completion rates, and audit consistency could help shift audits from static tools to dynamic performance monitors.</w:t>
      </w:r>
    </w:p>
    <w:p w14:paraId="50A71246" w14:textId="146EDD6E" w:rsidR="001850B9" w:rsidRPr="001850B9" w:rsidRDefault="001850B9" w:rsidP="001850B9">
      <w:pPr>
        <w:spacing w:line="360" w:lineRule="auto"/>
        <w:rPr>
          <w:rFonts w:ascii="Arial" w:hAnsi="Arial" w:cs="Arial"/>
        </w:rPr>
      </w:pPr>
      <w:r w:rsidRPr="001850B9">
        <w:rPr>
          <w:rFonts w:ascii="Arial" w:hAnsi="Arial" w:cs="Arial"/>
        </w:rPr>
        <w:t>These findings underline that audits must do more than enforce compliance</w:t>
      </w:r>
      <w:r w:rsidR="008860A3">
        <w:rPr>
          <w:rFonts w:ascii="Arial" w:hAnsi="Arial" w:cs="Arial"/>
        </w:rPr>
        <w:t xml:space="preserve">, </w:t>
      </w:r>
      <w:r w:rsidRPr="001850B9">
        <w:rPr>
          <w:rFonts w:ascii="Arial" w:hAnsi="Arial" w:cs="Arial"/>
        </w:rPr>
        <w:t>they should generate insights, support continuous improvement, and adapt to operational complexity. Many manufacturers face similar challenges when transferring machinery: inconsistent maintenance histories, undocumented settings, and misaligned expectations. A standardised audit system identifying regional capability gaps can offer a competitive edge by reducing downtime, improving safety, and extending equipment lifespan (</w:t>
      </w:r>
      <w:r w:rsidRPr="001850B9">
        <w:rPr>
          <w:rFonts w:ascii="Arial" w:hAnsi="Arial" w:cs="Arial"/>
          <w:i/>
          <w:iCs/>
        </w:rPr>
        <w:t>Hassan et al., 2021</w:t>
      </w:r>
      <w:r w:rsidRPr="001850B9">
        <w:rPr>
          <w:rFonts w:ascii="Arial" w:hAnsi="Arial" w:cs="Arial"/>
        </w:rPr>
        <w:t>).</w:t>
      </w:r>
    </w:p>
    <w:p w14:paraId="0365E092" w14:textId="70C9D96A" w:rsidR="001850B9" w:rsidRPr="001850B9" w:rsidRDefault="001850B9" w:rsidP="001850B9">
      <w:pPr>
        <w:spacing w:line="360" w:lineRule="auto"/>
        <w:rPr>
          <w:rFonts w:ascii="Arial" w:hAnsi="Arial" w:cs="Arial"/>
        </w:rPr>
      </w:pPr>
      <w:r w:rsidRPr="001850B9">
        <w:rPr>
          <w:rFonts w:ascii="Arial" w:hAnsi="Arial" w:cs="Arial"/>
        </w:rPr>
        <w:t>This aligns with Industry 4.0 trends, where real-time data, predictive maintenance, and smart auditing are becoming critical. Structured audits form the foundation for integrating digital tools like AI-driven monitoring and analytics. Enhancing audit-based machinery transfers supports operational sustainability by extending equipment life, reducing scrap, and conserving resources</w:t>
      </w:r>
      <w:r w:rsidR="008860A3">
        <w:rPr>
          <w:rFonts w:ascii="Arial" w:hAnsi="Arial" w:cs="Arial"/>
        </w:rPr>
        <w:t xml:space="preserve">, </w:t>
      </w:r>
      <w:r w:rsidRPr="001850B9">
        <w:rPr>
          <w:rFonts w:ascii="Arial" w:hAnsi="Arial" w:cs="Arial"/>
        </w:rPr>
        <w:t>key goals in an era of environmental accountability.</w:t>
      </w:r>
    </w:p>
    <w:p w14:paraId="063F4BC5" w14:textId="79AC59C7" w:rsidR="001850B9" w:rsidRDefault="001850B9" w:rsidP="001850B9">
      <w:pPr>
        <w:spacing w:line="360" w:lineRule="auto"/>
        <w:rPr>
          <w:rFonts w:ascii="Arial" w:hAnsi="Arial" w:cs="Arial"/>
        </w:rPr>
      </w:pPr>
      <w:r w:rsidRPr="001850B9">
        <w:rPr>
          <w:rFonts w:ascii="Arial" w:hAnsi="Arial" w:cs="Arial"/>
        </w:rPr>
        <w:t>Finally, internal audit processes must evolve with Industry 4.0. As systems become more digitised and decentralised, audits should transition to real-time, data-supported models incorporating preventive maintenance, equipment history, and performance metrics. Digital audit capabilities will enhance monitoring in fast-changing environments.</w:t>
      </w:r>
    </w:p>
    <w:p w14:paraId="382AB212" w14:textId="77777777" w:rsidR="008860A3" w:rsidRDefault="008860A3" w:rsidP="001850B9">
      <w:pPr>
        <w:spacing w:line="360" w:lineRule="auto"/>
        <w:rPr>
          <w:rFonts w:ascii="Arial" w:hAnsi="Arial" w:cs="Arial"/>
        </w:rPr>
      </w:pPr>
    </w:p>
    <w:p w14:paraId="5F11C8E4" w14:textId="77777777" w:rsidR="001850B9" w:rsidRPr="00743C24" w:rsidRDefault="001850B9" w:rsidP="001850B9">
      <w:pPr>
        <w:spacing w:line="360" w:lineRule="auto"/>
        <w:rPr>
          <w:rFonts w:ascii="Arial" w:hAnsi="Arial" w:cs="Arial"/>
        </w:rPr>
      </w:pPr>
    </w:p>
    <w:p w14:paraId="06EF22F5" w14:textId="0CE5081A" w:rsidR="00505C55" w:rsidRPr="00743C24" w:rsidRDefault="00505C55" w:rsidP="00F422E9">
      <w:pPr>
        <w:pStyle w:val="Heading1"/>
        <w:rPr>
          <w:sz w:val="22"/>
          <w:szCs w:val="22"/>
        </w:rPr>
      </w:pPr>
      <w:bookmarkStart w:id="40" w:name="_Toc198120613"/>
      <w:r w:rsidRPr="00743C24">
        <w:rPr>
          <w:sz w:val="22"/>
          <w:szCs w:val="22"/>
        </w:rPr>
        <w:lastRenderedPageBreak/>
        <w:t>10. Recommendations and Further Work</w:t>
      </w:r>
      <w:bookmarkEnd w:id="40"/>
    </w:p>
    <w:p w14:paraId="57F626C3" w14:textId="0AC23137" w:rsidR="00474620" w:rsidRPr="00743C24" w:rsidRDefault="00505C55" w:rsidP="00F422E9">
      <w:pPr>
        <w:pStyle w:val="Heading2"/>
        <w:rPr>
          <w:szCs w:val="22"/>
        </w:rPr>
      </w:pPr>
      <w:bookmarkStart w:id="41" w:name="_Toc198120614"/>
      <w:r w:rsidRPr="00743C24">
        <w:rPr>
          <w:szCs w:val="22"/>
        </w:rPr>
        <w:t xml:space="preserve">10.1 </w:t>
      </w:r>
      <w:r w:rsidR="003B5A71" w:rsidRPr="00743C24">
        <w:rPr>
          <w:szCs w:val="22"/>
        </w:rPr>
        <w:t>Strategic Recommendations to Enhance the Audit Process</w:t>
      </w:r>
      <w:bookmarkEnd w:id="41"/>
    </w:p>
    <w:p w14:paraId="6CC0D077" w14:textId="160A6CE6" w:rsidR="00BC0CD4" w:rsidRPr="00743C24" w:rsidRDefault="003E0D9A" w:rsidP="00F422E9">
      <w:pPr>
        <w:spacing w:line="360" w:lineRule="auto"/>
        <w:rPr>
          <w:rFonts w:ascii="Arial" w:hAnsi="Arial" w:cs="Arial"/>
        </w:rPr>
      </w:pPr>
      <w:r w:rsidRPr="00743C24">
        <w:rPr>
          <w:rFonts w:ascii="Arial" w:hAnsi="Arial" w:cs="Arial"/>
        </w:rPr>
        <w:t>The core aim of this dissertation has been to assess and evaluate the effectiveness of internal audit processes related to machinery transfers at SEWS-E. Based on the findings, several targeted recommendations are proposed to strengthen the audit process and align it more closely with industry best practices. These actions focus not only on improving compliance outcomes but also on elevating the strategic value of audits</w:t>
      </w:r>
      <w:r w:rsidR="00D42B8B" w:rsidRPr="00743C24">
        <w:rPr>
          <w:rFonts w:ascii="Arial" w:hAnsi="Arial" w:cs="Arial"/>
        </w:rPr>
        <w:t xml:space="preserve"> </w:t>
      </w:r>
      <w:r w:rsidRPr="00743C24">
        <w:rPr>
          <w:rFonts w:ascii="Arial" w:hAnsi="Arial" w:cs="Arial"/>
        </w:rPr>
        <w:t>wider operations.</w:t>
      </w:r>
    </w:p>
    <w:p w14:paraId="2F5DC28E" w14:textId="37715936" w:rsidR="003E0D9A" w:rsidRPr="00743C24" w:rsidRDefault="003E0D9A" w:rsidP="00F422E9">
      <w:pPr>
        <w:spacing w:line="360" w:lineRule="auto"/>
        <w:rPr>
          <w:rFonts w:ascii="Arial" w:hAnsi="Arial" w:cs="Arial"/>
        </w:rPr>
      </w:pPr>
      <w:r w:rsidRPr="00743C24">
        <w:rPr>
          <w:rFonts w:ascii="Arial" w:hAnsi="Arial" w:cs="Arial"/>
        </w:rPr>
        <w:t>1. Digital Audit Checklist and Centralised Reporting</w:t>
      </w:r>
    </w:p>
    <w:p w14:paraId="161095F8" w14:textId="5320B274" w:rsidR="003E0D9A" w:rsidRPr="00743C24" w:rsidRDefault="003E0D9A" w:rsidP="003E0D9A">
      <w:pPr>
        <w:spacing w:line="360" w:lineRule="auto"/>
        <w:rPr>
          <w:rFonts w:ascii="Arial" w:hAnsi="Arial" w:cs="Arial"/>
        </w:rPr>
      </w:pPr>
      <w:r w:rsidRPr="00743C24">
        <w:rPr>
          <w:rFonts w:ascii="Arial" w:hAnsi="Arial" w:cs="Arial"/>
        </w:rPr>
        <w:t>Transitioning from manual or Excel-based audit forms to a digital platform would significantly enhance the audit process. A digitised system should:</w:t>
      </w:r>
    </w:p>
    <w:p w14:paraId="232D2982" w14:textId="286ADB7E" w:rsidR="003E0D9A" w:rsidRPr="00743C24" w:rsidRDefault="003E0D9A" w:rsidP="003E0D9A">
      <w:pPr>
        <w:pStyle w:val="ListParagraph"/>
        <w:numPr>
          <w:ilvl w:val="0"/>
          <w:numId w:val="34"/>
        </w:numPr>
        <w:spacing w:line="360" w:lineRule="auto"/>
        <w:rPr>
          <w:rFonts w:ascii="Arial" w:hAnsi="Arial" w:cs="Arial"/>
        </w:rPr>
      </w:pPr>
      <w:r w:rsidRPr="00743C24">
        <w:rPr>
          <w:rFonts w:ascii="Arial" w:hAnsi="Arial" w:cs="Arial"/>
        </w:rPr>
        <w:t>Standardise checklists across regions</w:t>
      </w:r>
    </w:p>
    <w:p w14:paraId="4DE19E76" w14:textId="267331F7" w:rsidR="003E0D9A" w:rsidRPr="00743C24" w:rsidRDefault="003E0D9A" w:rsidP="003E0D9A">
      <w:pPr>
        <w:pStyle w:val="ListParagraph"/>
        <w:numPr>
          <w:ilvl w:val="0"/>
          <w:numId w:val="34"/>
        </w:numPr>
        <w:spacing w:line="360" w:lineRule="auto"/>
        <w:rPr>
          <w:rFonts w:ascii="Arial" w:hAnsi="Arial" w:cs="Arial"/>
        </w:rPr>
      </w:pPr>
      <w:r w:rsidRPr="00743C24">
        <w:rPr>
          <w:rFonts w:ascii="Arial" w:hAnsi="Arial" w:cs="Arial"/>
        </w:rPr>
        <w:t>Allow real-time data capture and evidence uploads</w:t>
      </w:r>
    </w:p>
    <w:p w14:paraId="2AF76AE5" w14:textId="6388F393" w:rsidR="003E0D9A" w:rsidRDefault="003E0D9A" w:rsidP="003E0D9A">
      <w:pPr>
        <w:pStyle w:val="ListParagraph"/>
        <w:numPr>
          <w:ilvl w:val="0"/>
          <w:numId w:val="34"/>
        </w:numPr>
        <w:spacing w:line="360" w:lineRule="auto"/>
        <w:rPr>
          <w:rFonts w:ascii="Arial" w:hAnsi="Arial" w:cs="Arial"/>
        </w:rPr>
      </w:pPr>
      <w:r w:rsidRPr="00743C24">
        <w:rPr>
          <w:rFonts w:ascii="Arial" w:hAnsi="Arial" w:cs="Arial"/>
        </w:rPr>
        <w:t>Generate automated reports and trend analysis This would improve consistency, reduce errors, and streamline the corrective action tracking process.</w:t>
      </w:r>
    </w:p>
    <w:p w14:paraId="1C5B8935" w14:textId="18372338" w:rsidR="00C43959" w:rsidRPr="00C43959" w:rsidRDefault="00C43959" w:rsidP="00C43959">
      <w:pPr>
        <w:spacing w:line="360" w:lineRule="auto"/>
        <w:rPr>
          <w:rFonts w:ascii="Arial" w:hAnsi="Arial" w:cs="Arial"/>
        </w:rPr>
      </w:pPr>
      <w:r w:rsidRPr="00C43959">
        <w:rPr>
          <w:rFonts w:ascii="Arial" w:hAnsi="Arial" w:cs="Arial"/>
        </w:rPr>
        <w:t>Recent research by Shankar et al. (2024) highlights the potential for AI-enabled drones and autonomous technologies to transform manufacturing audits, offering opportunities for SEWS-E to explore more agile, real-time auditing solutions in future iterations of its audit framework.</w:t>
      </w:r>
    </w:p>
    <w:p w14:paraId="7211B6CF" w14:textId="1CE97903" w:rsidR="003E0D9A" w:rsidRPr="00743C24" w:rsidRDefault="003E0D9A" w:rsidP="003E0D9A">
      <w:pPr>
        <w:spacing w:line="360" w:lineRule="auto"/>
        <w:rPr>
          <w:rFonts w:ascii="Arial" w:hAnsi="Arial" w:cs="Arial"/>
        </w:rPr>
      </w:pPr>
      <w:r w:rsidRPr="00743C24">
        <w:rPr>
          <w:rFonts w:ascii="Arial" w:hAnsi="Arial" w:cs="Arial"/>
        </w:rPr>
        <w:t>2. Risk-Based Audit Frequency</w:t>
      </w:r>
    </w:p>
    <w:p w14:paraId="3D37C412" w14:textId="37A04A3F" w:rsidR="003E0D9A" w:rsidRPr="00743C24" w:rsidRDefault="003E0D9A" w:rsidP="003E0D9A">
      <w:pPr>
        <w:spacing w:line="360" w:lineRule="auto"/>
        <w:rPr>
          <w:rFonts w:ascii="Arial" w:hAnsi="Arial" w:cs="Arial"/>
        </w:rPr>
      </w:pPr>
      <w:r w:rsidRPr="00743C24">
        <w:rPr>
          <w:rFonts w:ascii="Arial" w:hAnsi="Arial" w:cs="Arial"/>
        </w:rPr>
        <w:t>As mentioned, this is a yearly occurrence, if we adopt a risk-based audit approach that increases audit frequency for high-risk machinery or sites with a history of poor compliance, this allows for resource prioritisation and ensures that audit efforts are focused where they can have the most impact.</w:t>
      </w:r>
    </w:p>
    <w:p w14:paraId="77BCBC31" w14:textId="00FCA587" w:rsidR="003E0D9A" w:rsidRPr="00743C24" w:rsidRDefault="003E0D9A" w:rsidP="003E0D9A">
      <w:pPr>
        <w:spacing w:line="360" w:lineRule="auto"/>
        <w:rPr>
          <w:rFonts w:ascii="Arial" w:hAnsi="Arial" w:cs="Arial"/>
        </w:rPr>
      </w:pPr>
      <w:r w:rsidRPr="00743C24">
        <w:rPr>
          <w:rFonts w:ascii="Arial" w:hAnsi="Arial" w:cs="Arial"/>
        </w:rPr>
        <w:t>3. Enhanced Auditor Training and Process Familiarisation</w:t>
      </w:r>
    </w:p>
    <w:p w14:paraId="55A5F16C" w14:textId="5A5E14FF" w:rsidR="003E0D9A" w:rsidRPr="00743C24" w:rsidRDefault="003E0D9A" w:rsidP="003E0D9A">
      <w:pPr>
        <w:spacing w:line="360" w:lineRule="auto"/>
        <w:rPr>
          <w:rFonts w:ascii="Arial" w:hAnsi="Arial" w:cs="Arial"/>
        </w:rPr>
      </w:pPr>
      <w:r w:rsidRPr="00743C24">
        <w:rPr>
          <w:rFonts w:ascii="Arial" w:hAnsi="Arial" w:cs="Arial"/>
        </w:rPr>
        <w:t>Develop a structured auditor training programme (to ensure all CE Team is trained</w:t>
      </w:r>
      <w:r w:rsidR="00D42B8B" w:rsidRPr="00743C24">
        <w:rPr>
          <w:rFonts w:ascii="Arial" w:hAnsi="Arial" w:cs="Arial"/>
        </w:rPr>
        <w:t xml:space="preserve">) </w:t>
      </w:r>
      <w:r w:rsidRPr="00743C24">
        <w:rPr>
          <w:rFonts w:ascii="Arial" w:hAnsi="Arial" w:cs="Arial"/>
        </w:rPr>
        <w:t>covering:</w:t>
      </w:r>
    </w:p>
    <w:p w14:paraId="55710557" w14:textId="73304DDA" w:rsidR="003E0D9A" w:rsidRPr="00743C24" w:rsidRDefault="003E0D9A" w:rsidP="003E0D9A">
      <w:pPr>
        <w:pStyle w:val="ListParagraph"/>
        <w:numPr>
          <w:ilvl w:val="0"/>
          <w:numId w:val="35"/>
        </w:numPr>
        <w:spacing w:line="360" w:lineRule="auto"/>
        <w:rPr>
          <w:rFonts w:ascii="Arial" w:hAnsi="Arial" w:cs="Arial"/>
        </w:rPr>
      </w:pPr>
      <w:r w:rsidRPr="00743C24">
        <w:rPr>
          <w:rFonts w:ascii="Arial" w:hAnsi="Arial" w:cs="Arial"/>
        </w:rPr>
        <w:t>Interpretation and application of audit criteria</w:t>
      </w:r>
    </w:p>
    <w:p w14:paraId="0E62D70B" w14:textId="1F2798B6" w:rsidR="003E0D9A" w:rsidRPr="00743C24" w:rsidRDefault="003E0D9A" w:rsidP="003E0D9A">
      <w:pPr>
        <w:pStyle w:val="ListParagraph"/>
        <w:numPr>
          <w:ilvl w:val="0"/>
          <w:numId w:val="35"/>
        </w:numPr>
        <w:spacing w:line="360" w:lineRule="auto"/>
        <w:rPr>
          <w:rFonts w:ascii="Arial" w:hAnsi="Arial" w:cs="Arial"/>
        </w:rPr>
      </w:pPr>
      <w:r w:rsidRPr="00743C24">
        <w:rPr>
          <w:rFonts w:ascii="Arial" w:hAnsi="Arial" w:cs="Arial"/>
        </w:rPr>
        <w:t>Common machinery configurations and failure modes</w:t>
      </w:r>
    </w:p>
    <w:p w14:paraId="4237B05E" w14:textId="00E08183" w:rsidR="003E0D9A" w:rsidRPr="00743C24" w:rsidRDefault="003E0D9A" w:rsidP="003E0D9A">
      <w:pPr>
        <w:pStyle w:val="ListParagraph"/>
        <w:numPr>
          <w:ilvl w:val="0"/>
          <w:numId w:val="35"/>
        </w:numPr>
        <w:spacing w:line="360" w:lineRule="auto"/>
        <w:rPr>
          <w:rFonts w:ascii="Arial" w:hAnsi="Arial" w:cs="Arial"/>
        </w:rPr>
      </w:pPr>
      <w:r w:rsidRPr="00743C24">
        <w:rPr>
          <w:rFonts w:ascii="Arial" w:hAnsi="Arial" w:cs="Arial"/>
        </w:rPr>
        <w:t>Evidence collection techniques (including photo documentation) This would improve audit quality and reduce variability between auditors.</w:t>
      </w:r>
    </w:p>
    <w:p w14:paraId="1CCF7B84" w14:textId="262E625E" w:rsidR="003E0D9A" w:rsidRPr="00743C24" w:rsidRDefault="003E0D9A" w:rsidP="003E0D9A">
      <w:pPr>
        <w:spacing w:line="360" w:lineRule="auto"/>
        <w:rPr>
          <w:rFonts w:ascii="Arial" w:hAnsi="Arial" w:cs="Arial"/>
        </w:rPr>
      </w:pPr>
      <w:r w:rsidRPr="00743C24">
        <w:rPr>
          <w:rFonts w:ascii="Arial" w:hAnsi="Arial" w:cs="Arial"/>
        </w:rPr>
        <w:t>4. Audit KPI Dashboard and Data Transparency</w:t>
      </w:r>
    </w:p>
    <w:p w14:paraId="7A76564F" w14:textId="5D63397D" w:rsidR="003E0D9A" w:rsidRPr="00743C24" w:rsidRDefault="003E0D9A" w:rsidP="003E0D9A">
      <w:pPr>
        <w:spacing w:line="360" w:lineRule="auto"/>
        <w:rPr>
          <w:rFonts w:ascii="Arial" w:hAnsi="Arial" w:cs="Arial"/>
        </w:rPr>
      </w:pPr>
      <w:r w:rsidRPr="00743C24">
        <w:rPr>
          <w:rFonts w:ascii="Arial" w:hAnsi="Arial" w:cs="Arial"/>
        </w:rPr>
        <w:t>Implement a visual dashboard that tracks key performance indicators (KPIs) such as:</w:t>
      </w:r>
    </w:p>
    <w:p w14:paraId="43CDE30E" w14:textId="77777777" w:rsidR="003E0D9A" w:rsidRPr="00743C24" w:rsidRDefault="003E0D9A" w:rsidP="003E0D9A">
      <w:pPr>
        <w:pStyle w:val="ListParagraph"/>
        <w:numPr>
          <w:ilvl w:val="0"/>
          <w:numId w:val="36"/>
        </w:numPr>
        <w:spacing w:line="360" w:lineRule="auto"/>
        <w:rPr>
          <w:rFonts w:ascii="Arial" w:hAnsi="Arial" w:cs="Arial"/>
        </w:rPr>
      </w:pPr>
      <w:r w:rsidRPr="00743C24">
        <w:rPr>
          <w:rFonts w:ascii="Arial" w:hAnsi="Arial" w:cs="Arial"/>
        </w:rPr>
        <w:lastRenderedPageBreak/>
        <w:t>Audit scores by region and machine type</w:t>
      </w:r>
    </w:p>
    <w:p w14:paraId="71A5C434" w14:textId="77777777" w:rsidR="00D42B8B" w:rsidRPr="00743C24" w:rsidRDefault="003E0D9A" w:rsidP="00D42B8B">
      <w:pPr>
        <w:pStyle w:val="ListParagraph"/>
        <w:numPr>
          <w:ilvl w:val="0"/>
          <w:numId w:val="36"/>
        </w:numPr>
        <w:spacing w:line="360" w:lineRule="auto"/>
        <w:rPr>
          <w:rFonts w:ascii="Arial" w:hAnsi="Arial" w:cs="Arial"/>
        </w:rPr>
      </w:pPr>
      <w:r w:rsidRPr="00743C24">
        <w:rPr>
          <w:rFonts w:ascii="Arial" w:hAnsi="Arial" w:cs="Arial"/>
        </w:rPr>
        <w:t>CAP closure rates</w:t>
      </w:r>
    </w:p>
    <w:p w14:paraId="60B4FDD5" w14:textId="28F38B61" w:rsidR="003E0D9A" w:rsidRPr="00743C24" w:rsidRDefault="003E0D9A" w:rsidP="003E0D9A">
      <w:pPr>
        <w:pStyle w:val="ListParagraph"/>
        <w:numPr>
          <w:ilvl w:val="0"/>
          <w:numId w:val="36"/>
        </w:numPr>
        <w:spacing w:line="360" w:lineRule="auto"/>
        <w:rPr>
          <w:rFonts w:ascii="Arial" w:hAnsi="Arial" w:cs="Arial"/>
        </w:rPr>
      </w:pPr>
      <w:r w:rsidRPr="00743C24">
        <w:rPr>
          <w:rFonts w:ascii="Arial" w:hAnsi="Arial" w:cs="Arial"/>
        </w:rPr>
        <w:t>Most common recurring failures Such a tool would enhance visibility, encourage accountability, and allow for continuous improvement of the audit process.</w:t>
      </w:r>
    </w:p>
    <w:p w14:paraId="37D64869" w14:textId="56C713FE" w:rsidR="00E56E8E" w:rsidRPr="00743C24" w:rsidRDefault="00E56E8E" w:rsidP="00F422E9">
      <w:pPr>
        <w:pStyle w:val="Heading2"/>
        <w:rPr>
          <w:szCs w:val="22"/>
        </w:rPr>
      </w:pPr>
      <w:bookmarkStart w:id="42" w:name="_Toc198120615"/>
      <w:r w:rsidRPr="00743C24">
        <w:rPr>
          <w:szCs w:val="22"/>
        </w:rPr>
        <w:t xml:space="preserve">10.2 </w:t>
      </w:r>
      <w:r w:rsidR="003B5A71" w:rsidRPr="00743C24">
        <w:rPr>
          <w:szCs w:val="22"/>
        </w:rPr>
        <w:t>Further Development and Research Opportunities</w:t>
      </w:r>
      <w:bookmarkEnd w:id="42"/>
    </w:p>
    <w:p w14:paraId="72FB17BF" w14:textId="325F0B6A" w:rsidR="003E0D9A" w:rsidRPr="00743C24" w:rsidRDefault="003E0D9A" w:rsidP="003E0D9A">
      <w:pPr>
        <w:spacing w:line="360" w:lineRule="auto"/>
        <w:rPr>
          <w:rFonts w:ascii="Arial" w:hAnsi="Arial" w:cs="Arial"/>
        </w:rPr>
      </w:pPr>
      <w:r w:rsidRPr="00743C24">
        <w:rPr>
          <w:rFonts w:ascii="Arial" w:hAnsi="Arial" w:cs="Arial"/>
        </w:rPr>
        <w:t>While this study has focused on internal audits related specifically to machinery transfers, the insights gained highlight broader opportunities for development, both within SEWS-E and the wider industry. One clear avenue for expansion lies in extending the audit process to encompass additional operational areas</w:t>
      </w:r>
      <w:r w:rsidR="008860A3">
        <w:rPr>
          <w:rFonts w:ascii="Arial" w:hAnsi="Arial" w:cs="Arial"/>
        </w:rPr>
        <w:t xml:space="preserve">, </w:t>
      </w:r>
      <w:r w:rsidRPr="00743C24">
        <w:rPr>
          <w:rFonts w:ascii="Arial" w:hAnsi="Arial" w:cs="Arial"/>
        </w:rPr>
        <w:t>such as production line equipment, packaging systems, or digital control infrastructure. These systems are often equally critical to manufacturing efficiency yet may fall outside the current audit scope. By integrating them, SEWS-E could move toward a more holistic asset assurance strategy, where all critical plant components are systematically assessed for readiness, reliability, and compliance.</w:t>
      </w:r>
    </w:p>
    <w:p w14:paraId="747B415D" w14:textId="30DFAA29" w:rsidR="003E0D9A" w:rsidRPr="00743C24" w:rsidRDefault="003E0D9A" w:rsidP="003E0D9A">
      <w:pPr>
        <w:spacing w:line="360" w:lineRule="auto"/>
        <w:rPr>
          <w:rFonts w:ascii="Arial" w:hAnsi="Arial" w:cs="Arial"/>
        </w:rPr>
      </w:pPr>
      <w:r w:rsidRPr="00743C24">
        <w:rPr>
          <w:rFonts w:ascii="Arial" w:hAnsi="Arial" w:cs="Arial"/>
        </w:rPr>
        <w:t>Beyond scope expansion, technological innovation offers significant potential to transform how audits are conducted. For example, the use of AI-assisted audits</w:t>
      </w:r>
      <w:r w:rsidR="008860A3">
        <w:rPr>
          <w:rFonts w:ascii="Arial" w:hAnsi="Arial" w:cs="Arial"/>
        </w:rPr>
        <w:t xml:space="preserve">, </w:t>
      </w:r>
      <w:r w:rsidRPr="00743C24">
        <w:rPr>
          <w:rFonts w:ascii="Arial" w:hAnsi="Arial" w:cs="Arial"/>
        </w:rPr>
        <w:t>through automated image analysis, anomaly detection, or natural language generation for CAPs</w:t>
      </w:r>
      <w:r w:rsidR="008860A3">
        <w:rPr>
          <w:rFonts w:ascii="Arial" w:hAnsi="Arial" w:cs="Arial"/>
        </w:rPr>
        <w:t xml:space="preserve">, </w:t>
      </w:r>
      <w:r w:rsidRPr="00743C24">
        <w:rPr>
          <w:rFonts w:ascii="Arial" w:hAnsi="Arial" w:cs="Arial"/>
        </w:rPr>
        <w:t>could streamline reporting, reduce subjectivity, and enhance trend identification. Additionally, drone or mobile scanning systems could be employed in large or high-risk machinery areas to perform visual inspections or thermal analysis, supporting faster and safer audit execution. While such technologies are still emerging in the manufacturing sector, their adoption could mark a significant leap in audit efficiency and data richness.</w:t>
      </w:r>
    </w:p>
    <w:p w14:paraId="7F011A4A" w14:textId="28513D8A" w:rsidR="006F16B6" w:rsidRPr="00743C24" w:rsidRDefault="003E0D9A" w:rsidP="00F422E9">
      <w:pPr>
        <w:spacing w:line="360" w:lineRule="auto"/>
        <w:rPr>
          <w:rFonts w:ascii="Arial" w:hAnsi="Arial" w:cs="Arial"/>
        </w:rPr>
      </w:pPr>
      <w:r w:rsidRPr="00743C24">
        <w:rPr>
          <w:rFonts w:ascii="Arial" w:hAnsi="Arial" w:cs="Arial"/>
        </w:rPr>
        <w:t>From an engineering perspective, the findings in this study underscore the importance of structured audit processes not only as compliance tools but as strategic mechanisms for asset longevity and operational stability. Audits play a key role in identifying risks before they result in costly downtime, safety incidents, or product defects. Future research could explore the correlation between audit maturity and long-term equipment performance, offering valuable insight into how engineering and quality assurance systems interact over time. Similarly, investigating how audit frameworks align with broader maintenance philosophies</w:t>
      </w:r>
      <w:r w:rsidR="00C43959">
        <w:rPr>
          <w:rFonts w:ascii="Arial" w:hAnsi="Arial" w:cs="Arial"/>
        </w:rPr>
        <w:t xml:space="preserve"> </w:t>
      </w:r>
      <w:r w:rsidRPr="00743C24">
        <w:rPr>
          <w:rFonts w:ascii="Arial" w:hAnsi="Arial" w:cs="Arial"/>
        </w:rPr>
        <w:t>such as Total Productive Maintenance (TPM) or Reliability-Centered Maintenance (RCM)</w:t>
      </w:r>
      <w:r w:rsidR="00C43959">
        <w:rPr>
          <w:rFonts w:ascii="Arial" w:hAnsi="Arial" w:cs="Arial"/>
        </w:rPr>
        <w:t xml:space="preserve"> </w:t>
      </w:r>
      <w:r w:rsidRPr="00743C24">
        <w:rPr>
          <w:rFonts w:ascii="Arial" w:hAnsi="Arial" w:cs="Arial"/>
        </w:rPr>
        <w:t>could provide pathways for integrating audits more deeply into engineering strategy.</w:t>
      </w:r>
      <w:r w:rsidR="00C43959">
        <w:rPr>
          <w:rFonts w:ascii="Arial" w:hAnsi="Arial" w:cs="Arial"/>
        </w:rPr>
        <w:t xml:space="preserve"> </w:t>
      </w:r>
      <w:r w:rsidRPr="00743C24">
        <w:rPr>
          <w:rFonts w:ascii="Arial" w:hAnsi="Arial" w:cs="Arial"/>
        </w:rPr>
        <w:t>Lastly, SEWS-E and similar organisations would benefit from cross-industry benchmarking or academic collaboration to share audit frameworks, digital tools, and standardisation practices. As manufacturing becomes increasingly global and data-driven, the internal audit process must evolve alongside it — shifting from a documentation exercise to a proactive, intelligence-led function that safeguards equipment, people, and performance</w:t>
      </w:r>
      <w:r w:rsidR="00C43959">
        <w:rPr>
          <w:rFonts w:ascii="Arial" w:hAnsi="Arial" w:cs="Arial"/>
        </w:rPr>
        <w:t>.</w:t>
      </w:r>
    </w:p>
    <w:p w14:paraId="7227BB4F" w14:textId="0FA29E71" w:rsidR="006F16B6" w:rsidRPr="00743C24" w:rsidRDefault="006F16B6" w:rsidP="006F16B6">
      <w:pPr>
        <w:pStyle w:val="Heading1"/>
        <w:rPr>
          <w:sz w:val="22"/>
          <w:szCs w:val="22"/>
        </w:rPr>
      </w:pPr>
      <w:bookmarkStart w:id="43" w:name="_Toc198120616"/>
      <w:r w:rsidRPr="00743C24">
        <w:rPr>
          <w:sz w:val="22"/>
          <w:szCs w:val="22"/>
        </w:rPr>
        <w:lastRenderedPageBreak/>
        <w:t>11. Conclusion</w:t>
      </w:r>
      <w:bookmarkEnd w:id="43"/>
    </w:p>
    <w:p w14:paraId="15EB2AB0" w14:textId="13C38600" w:rsidR="006F16B6" w:rsidRDefault="006F16B6" w:rsidP="006F16B6">
      <w:pPr>
        <w:spacing w:line="360" w:lineRule="auto"/>
        <w:rPr>
          <w:rFonts w:ascii="Arial" w:hAnsi="Arial" w:cs="Arial"/>
        </w:rPr>
      </w:pPr>
      <w:r w:rsidRPr="00743C24">
        <w:rPr>
          <w:rFonts w:ascii="Arial" w:hAnsi="Arial" w:cs="Arial"/>
        </w:rPr>
        <w:t>This dissertation set out to evaluate the internal audit processes employed by Sumitomo Electric Wiring Systems-Europe (SEWS-E) in the context of machinery transfers</w:t>
      </w:r>
      <w:r w:rsidR="008860A3">
        <w:rPr>
          <w:rFonts w:ascii="Arial" w:hAnsi="Arial" w:cs="Arial"/>
        </w:rPr>
        <w:t xml:space="preserve">, </w:t>
      </w:r>
      <w:r w:rsidRPr="00743C24">
        <w:rPr>
          <w:rFonts w:ascii="Arial" w:hAnsi="Arial" w:cs="Arial"/>
        </w:rPr>
        <w:t xml:space="preserve">a high-risk, operationally sensitive element of global manufacturing. Through a mixed-methods approach, comparative data analysis, the study has confirmed that structured internal audits are not only instrumental in identifying risks and ensuring regulatory compliance, but also central to operational resilience and equipment longevity. The findings demonstrate that while SEWS-E’s audit framework is methodical and largely effective, enhancements in standardisation, digitalisation, auditor training, and risk-based prioritisation are necessary to realise its full potential. Importantly, the study has underscored that audits should be embraced not merely as tools of accountability, but as strategic drivers of continuous </w:t>
      </w:r>
      <w:r w:rsidRPr="002721E3">
        <w:rPr>
          <w:rFonts w:ascii="Arial" w:hAnsi="Arial" w:cs="Arial"/>
          <w:u w:val="single"/>
        </w:rPr>
        <w:t>improvement</w:t>
      </w:r>
      <w:r w:rsidR="00EA0996">
        <w:rPr>
          <w:rFonts w:ascii="Arial" w:hAnsi="Arial" w:cs="Arial"/>
        </w:rPr>
        <w:t xml:space="preserve">, </w:t>
      </w:r>
      <w:r w:rsidRPr="00743C24">
        <w:rPr>
          <w:rFonts w:ascii="Arial" w:hAnsi="Arial" w:cs="Arial"/>
        </w:rPr>
        <w:t>especially in industries where mechanical precision and production consistency are paramount. As SEWS-E continues to scale its operations and adapt to a rapidly evolving manufacturing landscape, a more agile, data-integrated, and behaviourally aware audit process will be essential for maintaining quality, reducing downtime, and supporting sustainable growth.</w:t>
      </w:r>
    </w:p>
    <w:p w14:paraId="0D0FF03B" w14:textId="62DD3614" w:rsidR="00C43959" w:rsidRPr="00743C24" w:rsidRDefault="00C43959" w:rsidP="006F16B6">
      <w:pPr>
        <w:spacing w:line="360" w:lineRule="auto"/>
        <w:rPr>
          <w:rFonts w:ascii="Arial" w:hAnsi="Arial" w:cs="Arial"/>
        </w:rPr>
      </w:pPr>
      <w:r w:rsidRPr="00C43959">
        <w:rPr>
          <w:rFonts w:ascii="Arial" w:hAnsi="Arial" w:cs="Arial"/>
        </w:rPr>
        <w:t>While this study offers valuable insights into the internal audit processes of SEWS-E's machinery transfers, certain limitations should be acknowledged. Firstly, the research is based on a single-case study focused solely on SEWS-E, which may limit the generalisability of findings to other industries or companies with different operational scales. Secondly, while audits were conducted across four countries (Egypt, Morocco, Romania, and Tunisia), broader geographic coverage could reveal additional variations influenced by regional practices or regulatory environments. The inherent subjectivity of auditor judgement also presents a constraint, as human interpretation of criteria can introduce inconsistency even within a structured framework. Finally, the data spans only two consecutive years (2023–2024), offering a valuable snapshot but limiting the ability to capture long-term audit evolution trends. Acknowledging these limitations provides context for interpreting the study’s findings and identifies opportunities for future research.</w:t>
      </w:r>
      <w:r w:rsidR="0011312A">
        <w:rPr>
          <w:rFonts w:ascii="Arial" w:hAnsi="Arial" w:cs="Arial"/>
        </w:rPr>
        <w:t xml:space="preserve">   </w:t>
      </w:r>
    </w:p>
    <w:p w14:paraId="0DDB49EA" w14:textId="77777777" w:rsidR="00474620" w:rsidRPr="001A1EF8" w:rsidRDefault="00474620" w:rsidP="006F16B6">
      <w:pPr>
        <w:spacing w:line="360" w:lineRule="auto"/>
        <w:rPr>
          <w:rFonts w:ascii="Arial" w:hAnsi="Arial" w:cs="Arial"/>
        </w:rPr>
      </w:pPr>
    </w:p>
    <w:p w14:paraId="05792646" w14:textId="77777777" w:rsidR="006F16B6" w:rsidRPr="001A1EF8" w:rsidRDefault="006F16B6" w:rsidP="006F16B6">
      <w:pPr>
        <w:spacing w:line="360" w:lineRule="auto"/>
        <w:rPr>
          <w:rFonts w:ascii="Arial" w:hAnsi="Arial" w:cs="Arial"/>
        </w:rPr>
      </w:pPr>
    </w:p>
    <w:p w14:paraId="7BDD30F5" w14:textId="77777777" w:rsidR="006F16B6" w:rsidRPr="001A1EF8" w:rsidRDefault="006F16B6" w:rsidP="006F16B6">
      <w:pPr>
        <w:spacing w:line="360" w:lineRule="auto"/>
        <w:rPr>
          <w:rFonts w:ascii="Arial" w:hAnsi="Arial" w:cs="Arial"/>
        </w:rPr>
      </w:pPr>
    </w:p>
    <w:p w14:paraId="39971784" w14:textId="77777777" w:rsidR="006F16B6" w:rsidRPr="001A1EF8" w:rsidRDefault="006F16B6" w:rsidP="006F16B6">
      <w:pPr>
        <w:spacing w:line="360" w:lineRule="auto"/>
        <w:rPr>
          <w:rFonts w:ascii="Arial" w:hAnsi="Arial" w:cs="Arial"/>
        </w:rPr>
      </w:pPr>
    </w:p>
    <w:p w14:paraId="0DC4DA66" w14:textId="1B8ED675" w:rsidR="00474620" w:rsidRPr="001A1EF8" w:rsidRDefault="005D58F5" w:rsidP="00F422E9">
      <w:pPr>
        <w:tabs>
          <w:tab w:val="left" w:pos="6024"/>
        </w:tabs>
        <w:spacing w:line="360" w:lineRule="auto"/>
        <w:rPr>
          <w:rFonts w:ascii="Arial" w:hAnsi="Arial" w:cs="Arial"/>
        </w:rPr>
      </w:pPr>
      <w:r w:rsidRPr="001A1EF8">
        <w:rPr>
          <w:rFonts w:ascii="Arial" w:hAnsi="Arial" w:cs="Arial"/>
        </w:rPr>
        <w:tab/>
      </w:r>
    </w:p>
    <w:p w14:paraId="2BB7BC15" w14:textId="2D476F72" w:rsidR="00A86182" w:rsidRPr="001A1EF8" w:rsidRDefault="00E56E8E" w:rsidP="00F422E9">
      <w:pPr>
        <w:pStyle w:val="Heading1"/>
        <w:rPr>
          <w:sz w:val="22"/>
          <w:szCs w:val="22"/>
        </w:rPr>
      </w:pPr>
      <w:bookmarkStart w:id="44" w:name="_Toc198120617"/>
      <w:r w:rsidRPr="001A1EF8">
        <w:rPr>
          <w:sz w:val="22"/>
          <w:szCs w:val="22"/>
        </w:rPr>
        <w:lastRenderedPageBreak/>
        <w:t>1</w:t>
      </w:r>
      <w:r w:rsidR="006F16B6" w:rsidRPr="001A1EF8">
        <w:rPr>
          <w:sz w:val="22"/>
          <w:szCs w:val="22"/>
        </w:rPr>
        <w:t>2</w:t>
      </w:r>
      <w:r w:rsidR="002975B4" w:rsidRPr="001A1EF8">
        <w:rPr>
          <w:sz w:val="22"/>
          <w:szCs w:val="22"/>
        </w:rPr>
        <w:t>. References</w:t>
      </w:r>
      <w:bookmarkEnd w:id="44"/>
    </w:p>
    <w:p w14:paraId="4134A386" w14:textId="258C1840"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Akinteye, S.A., Itoe, M.M., Vutumu, A., Akinwande, O. and Ochei, D. (2023) The role of internal audit in enhancing corporate governance practices in the Nigerian manufacturing sector. Research Journal of Finance and Accounting. </w:t>
      </w:r>
      <w:hyperlink r:id="rId31" w:history="1">
        <w:r w:rsidRPr="00E132B2">
          <w:rPr>
            <w:rStyle w:val="Hyperlink"/>
            <w:rFonts w:ascii="Arial" w:hAnsi="Arial" w:cs="Arial"/>
            <w:spacing w:val="1"/>
            <w:sz w:val="20"/>
            <w:szCs w:val="20"/>
            <w:shd w:val="clear" w:color="auto" w:fill="FFFFFF"/>
          </w:rPr>
          <w:t>https://doi.org/10.7176/rjfa/14-10-04</w:t>
        </w:r>
      </w:hyperlink>
    </w:p>
    <w:p w14:paraId="03A361AD" w14:textId="7ACE7FB8"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Alareeni, B. (2019) The associations between audit firm attributes and audit quality-specific indicators. Managerial Auditing Journal, 34(1), pp. 6–43. </w:t>
      </w:r>
      <w:hyperlink r:id="rId32" w:history="1">
        <w:r w:rsidRPr="00E132B2">
          <w:rPr>
            <w:rStyle w:val="Hyperlink"/>
            <w:rFonts w:ascii="Arial" w:hAnsi="Arial" w:cs="Arial"/>
            <w:spacing w:val="1"/>
            <w:sz w:val="20"/>
            <w:szCs w:val="20"/>
            <w:shd w:val="clear" w:color="auto" w:fill="FFFFFF"/>
          </w:rPr>
          <w:t>https://doi.org/10.1108/maj-05-2017-1559</w:t>
        </w:r>
      </w:hyperlink>
    </w:p>
    <w:p w14:paraId="0BE2750B" w14:textId="25FF842C"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Bernardo, M., Fa, M.C., Karapetrović, S. and Heras, I. (2010) An empirical study on the integration of management system audits. Journal of Cleaner Production, 18(5), pp. 486–495. </w:t>
      </w:r>
      <w:hyperlink r:id="rId33" w:history="1">
        <w:r w:rsidRPr="00E132B2">
          <w:rPr>
            <w:rStyle w:val="Hyperlink"/>
            <w:rFonts w:ascii="Arial" w:hAnsi="Arial" w:cs="Arial"/>
            <w:spacing w:val="1"/>
            <w:sz w:val="20"/>
            <w:szCs w:val="20"/>
            <w:shd w:val="clear" w:color="auto" w:fill="FFFFFF"/>
          </w:rPr>
          <w:t>https://doi.org/10.1016/j.jclepro.2009.12.001</w:t>
        </w:r>
      </w:hyperlink>
    </w:p>
    <w:p w14:paraId="6374A633" w14:textId="453EB833"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Bilal, Z.O., Twafik, O.I. and Bakhit, A.K. (2018) The influence of internal auditing on effective corporate governance in the banking sector in Oman. European Scientific Journal, 14(7), pp. 257. </w:t>
      </w:r>
      <w:hyperlink r:id="rId34" w:history="1">
        <w:r w:rsidRPr="00E132B2">
          <w:rPr>
            <w:rStyle w:val="Hyperlink"/>
            <w:rFonts w:ascii="Arial" w:hAnsi="Arial" w:cs="Arial"/>
            <w:spacing w:val="1"/>
            <w:sz w:val="20"/>
            <w:szCs w:val="20"/>
            <w:shd w:val="clear" w:color="auto" w:fill="FFFFFF"/>
          </w:rPr>
          <w:t>https://doi.org/10.19044/esj.2018.v14n7p257</w:t>
        </w:r>
      </w:hyperlink>
    </w:p>
    <w:p w14:paraId="107B293D" w14:textId="4473412D"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Chen, P., He, Q. and Xiang, H. (2022) Enhancing the resilience of sustainable supplier management through combination with lean and audit. In: Supply Chain – Recent Advances and New Perspectives in the Industry 4.0 Era. </w:t>
      </w:r>
      <w:hyperlink r:id="rId35" w:history="1">
        <w:r w:rsidRPr="00E132B2">
          <w:rPr>
            <w:rStyle w:val="Hyperlink"/>
            <w:rFonts w:ascii="Arial" w:hAnsi="Arial" w:cs="Arial"/>
            <w:spacing w:val="1"/>
            <w:sz w:val="20"/>
            <w:szCs w:val="20"/>
            <w:shd w:val="clear" w:color="auto" w:fill="FFFFFF"/>
          </w:rPr>
          <w:t>https://doi.org/10.5772/intechopen.102465</w:t>
        </w:r>
      </w:hyperlink>
    </w:p>
    <w:p w14:paraId="26D6954B" w14:textId="6963ED8F"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Dagilienė, L. and Klovienė, L. (2019) Motivation to use big data and big data analytics in external auditing. Managerial Auditing Journal, 34(7), pp. 750–782. </w:t>
      </w:r>
      <w:hyperlink r:id="rId36" w:history="1">
        <w:r w:rsidRPr="00E132B2">
          <w:rPr>
            <w:rStyle w:val="Hyperlink"/>
            <w:rFonts w:ascii="Arial" w:hAnsi="Arial" w:cs="Arial"/>
            <w:spacing w:val="1"/>
            <w:sz w:val="20"/>
            <w:szCs w:val="20"/>
            <w:shd w:val="clear" w:color="auto" w:fill="FFFFFF"/>
          </w:rPr>
          <w:t>https://doi.org/10.1108/maj-01-2018-1773</w:t>
        </w:r>
      </w:hyperlink>
    </w:p>
    <w:p w14:paraId="163E94A6" w14:textId="76C8F774"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DeFond, M.L. and Lennox, C.S. (2017) Do PCAOB inspections improve the quality of internal control audits? Journal of Accounting Research, 55(3), pp. 591–627. </w:t>
      </w:r>
      <w:hyperlink r:id="rId37" w:history="1">
        <w:r w:rsidRPr="00E132B2">
          <w:rPr>
            <w:rStyle w:val="Hyperlink"/>
            <w:rFonts w:ascii="Arial" w:hAnsi="Arial" w:cs="Arial"/>
            <w:spacing w:val="1"/>
            <w:sz w:val="20"/>
            <w:szCs w:val="20"/>
            <w:shd w:val="clear" w:color="auto" w:fill="FFFFFF"/>
          </w:rPr>
          <w:t>https://doi.org/10.1111/1475-679x.12151</w:t>
        </w:r>
      </w:hyperlink>
    </w:p>
    <w:p w14:paraId="23C6F149" w14:textId="2E0052D9"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Hassan, N.A., Zailani, S. and Rahman, M.K. (2021) Impact of integrated audit management effectiveness on business sustainability in manufacturing firms. Management Research Review, 44(12), pp. 1599–1622. </w:t>
      </w:r>
      <w:hyperlink r:id="rId38" w:history="1">
        <w:r w:rsidRPr="00E132B2">
          <w:rPr>
            <w:rStyle w:val="Hyperlink"/>
            <w:rFonts w:ascii="Arial" w:hAnsi="Arial" w:cs="Arial"/>
            <w:spacing w:val="1"/>
            <w:sz w:val="20"/>
            <w:szCs w:val="20"/>
            <w:shd w:val="clear" w:color="auto" w:fill="FFFFFF"/>
          </w:rPr>
          <w:t>https://doi.org/10.1108/mrr-10-2020-0658</w:t>
        </w:r>
      </w:hyperlink>
    </w:p>
    <w:p w14:paraId="3D0FA1CE" w14:textId="6E013202"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Hicks, B. and Matthews, J. (2011) Realizing sustainable process improvement through an understanding of machine–material interaction: part 1 – a methodology for audit, investigation, and improvement. Proceedings of the Institution of Mechanical Engineers, Part E: Journal of Process Mechanical Engineering, 226(1), pp. 12–28. </w:t>
      </w:r>
      <w:hyperlink r:id="rId39" w:history="1">
        <w:r w:rsidRPr="00E132B2">
          <w:rPr>
            <w:rStyle w:val="Hyperlink"/>
            <w:rFonts w:ascii="Arial" w:hAnsi="Arial" w:cs="Arial"/>
            <w:spacing w:val="1"/>
            <w:sz w:val="20"/>
            <w:szCs w:val="20"/>
            <w:shd w:val="clear" w:color="auto" w:fill="FFFFFF"/>
          </w:rPr>
          <w:t>https://doi.org/10.1177/0954408911400008</w:t>
        </w:r>
      </w:hyperlink>
    </w:p>
    <w:p w14:paraId="132FEBDD" w14:textId="7C572E4D"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Kidron, A., Ofek, Y. and Cohen, H. (2016) New perspective on the black box of internal auditing and organisational change. Managerial Auditing Journal, 31(8/9), pp. 804–820. </w:t>
      </w:r>
      <w:hyperlink r:id="rId40" w:history="1">
        <w:r w:rsidRPr="00E132B2">
          <w:rPr>
            <w:rStyle w:val="Hyperlink"/>
            <w:rFonts w:ascii="Arial" w:hAnsi="Arial" w:cs="Arial"/>
            <w:spacing w:val="1"/>
            <w:sz w:val="20"/>
            <w:szCs w:val="20"/>
            <w:shd w:val="clear" w:color="auto" w:fill="FFFFFF"/>
          </w:rPr>
          <w:t>https://doi.org/10.1108/maj-07-2015-1220</w:t>
        </w:r>
      </w:hyperlink>
    </w:p>
    <w:p w14:paraId="11BF0ECD" w14:textId="7FCA806B"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Lihuan, Z. (2022) Factors affecting internal audit effectiveness: a research in China SMEs. Academic Journal of Business and Management, 4(15). </w:t>
      </w:r>
      <w:hyperlink r:id="rId41" w:history="1">
        <w:r w:rsidRPr="00E132B2">
          <w:rPr>
            <w:rStyle w:val="Hyperlink"/>
            <w:rFonts w:ascii="Arial" w:hAnsi="Arial" w:cs="Arial"/>
            <w:spacing w:val="1"/>
            <w:sz w:val="20"/>
            <w:szCs w:val="20"/>
            <w:shd w:val="clear" w:color="auto" w:fill="FFFFFF"/>
          </w:rPr>
          <w:t>https://doi.org/10.25236/ajbm.2022.041519</w:t>
        </w:r>
      </w:hyperlink>
    </w:p>
    <w:p w14:paraId="5E196BF1" w14:textId="09CEADEE"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Ma, Y. (2021) Full coverage of internal audit based on value chain analysis. Journal of Finance and Accounting, 9(6), pp. 230. </w:t>
      </w:r>
      <w:hyperlink r:id="rId42" w:history="1">
        <w:r w:rsidRPr="00E132B2">
          <w:rPr>
            <w:rStyle w:val="Hyperlink"/>
            <w:rFonts w:ascii="Arial" w:hAnsi="Arial" w:cs="Arial"/>
            <w:spacing w:val="1"/>
            <w:sz w:val="20"/>
            <w:szCs w:val="20"/>
            <w:shd w:val="clear" w:color="auto" w:fill="FFFFFF"/>
          </w:rPr>
          <w:t>https://doi.org/10.11648/j.jfa.20210906.13</w:t>
        </w:r>
      </w:hyperlink>
    </w:p>
    <w:p w14:paraId="3EFEA3E9" w14:textId="1E4454DA"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hint="eastAsia"/>
          <w:color w:val="333A3F"/>
          <w:spacing w:val="1"/>
          <w:sz w:val="20"/>
          <w:szCs w:val="20"/>
          <w:shd w:val="clear" w:color="auto" w:fill="FFFFFF"/>
        </w:rPr>
        <w:t>Martínez, P., Mohsen, O., Al</w:t>
      </w:r>
      <w:r w:rsidRPr="00416750">
        <w:rPr>
          <w:rFonts w:ascii="Arial" w:hAnsi="Arial" w:cs="Arial" w:hint="eastAsia"/>
          <w:color w:val="333A3F"/>
          <w:spacing w:val="1"/>
          <w:sz w:val="20"/>
          <w:szCs w:val="20"/>
          <w:shd w:val="clear" w:color="auto" w:fill="FFFFFF"/>
        </w:rPr>
        <w:t>‐</w:t>
      </w:r>
      <w:r w:rsidRPr="00416750">
        <w:rPr>
          <w:rFonts w:ascii="Arial" w:hAnsi="Arial" w:cs="Arial" w:hint="eastAsia"/>
          <w:color w:val="333A3F"/>
          <w:spacing w:val="1"/>
          <w:sz w:val="20"/>
          <w:szCs w:val="20"/>
          <w:shd w:val="clear" w:color="auto" w:fill="FFFFFF"/>
        </w:rPr>
        <w:t>Hussein, M. and Ahmad, R. (2022) Vision-based automated waste audits: a use case from the window manufacturing industry. The International Journal of Advanced Manufacturing Technology, 119(11-12), pp. 7735</w:t>
      </w:r>
      <w:r w:rsidRPr="00416750">
        <w:rPr>
          <w:rFonts w:ascii="Arial" w:hAnsi="Arial" w:cs="Arial" w:hint="eastAsia"/>
          <w:color w:val="333A3F"/>
          <w:spacing w:val="1"/>
          <w:sz w:val="20"/>
          <w:szCs w:val="20"/>
          <w:shd w:val="clear" w:color="auto" w:fill="FFFFFF"/>
        </w:rPr>
        <w:t>–</w:t>
      </w:r>
      <w:r w:rsidRPr="00416750">
        <w:rPr>
          <w:rFonts w:ascii="Arial" w:hAnsi="Arial" w:cs="Arial" w:hint="eastAsia"/>
          <w:color w:val="333A3F"/>
          <w:spacing w:val="1"/>
          <w:sz w:val="20"/>
          <w:szCs w:val="20"/>
          <w:shd w:val="clear" w:color="auto" w:fill="FFFFFF"/>
        </w:rPr>
        <w:t xml:space="preserve">7749. </w:t>
      </w:r>
      <w:hyperlink r:id="rId43" w:history="1">
        <w:r w:rsidRPr="00E132B2">
          <w:rPr>
            <w:rStyle w:val="Hyperlink"/>
            <w:rFonts w:ascii="Arial" w:hAnsi="Arial" w:cs="Arial" w:hint="eastAsia"/>
            <w:spacing w:val="1"/>
            <w:sz w:val="20"/>
            <w:szCs w:val="20"/>
            <w:shd w:val="clear" w:color="auto" w:fill="FFFFFF"/>
          </w:rPr>
          <w:t>https://doi.org</w:t>
        </w:r>
        <w:r w:rsidRPr="00E132B2">
          <w:rPr>
            <w:rStyle w:val="Hyperlink"/>
            <w:rFonts w:ascii="Arial" w:hAnsi="Arial" w:cs="Arial"/>
            <w:spacing w:val="1"/>
            <w:sz w:val="20"/>
            <w:szCs w:val="20"/>
            <w:shd w:val="clear" w:color="auto" w:fill="FFFFFF"/>
          </w:rPr>
          <w:t>/10.1007/s00170-022-08730-2</w:t>
        </w:r>
      </w:hyperlink>
    </w:p>
    <w:p w14:paraId="49E2EF7F" w14:textId="0AF98226"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Moeller, R.R. (2022) Brink’s Modern Internal Auditing: A Common Body of Knowledge. 9th ed. Hoboken, NJ: Wiley. </w:t>
      </w:r>
      <w:hyperlink r:id="rId44" w:history="1">
        <w:r w:rsidRPr="00E132B2">
          <w:rPr>
            <w:rStyle w:val="Hyperlink"/>
            <w:rFonts w:ascii="Arial" w:hAnsi="Arial" w:cs="Arial"/>
            <w:spacing w:val="1"/>
            <w:sz w:val="20"/>
            <w:szCs w:val="20"/>
            <w:shd w:val="clear" w:color="auto" w:fill="FFFFFF"/>
          </w:rPr>
          <w:t>https://onlinelibrary.wiley.com/doi/book/10.1002/9781118371558</w:t>
        </w:r>
      </w:hyperlink>
    </w:p>
    <w:p w14:paraId="220AAA6A" w14:textId="77777777" w:rsidR="00416750" w:rsidRPr="00416750" w:rsidRDefault="00416750" w:rsidP="00416750">
      <w:pPr>
        <w:spacing w:line="276" w:lineRule="auto"/>
        <w:rPr>
          <w:rFonts w:ascii="Arial" w:hAnsi="Arial" w:cs="Arial"/>
          <w:color w:val="333A3F"/>
          <w:spacing w:val="1"/>
          <w:sz w:val="20"/>
          <w:szCs w:val="20"/>
          <w:shd w:val="clear" w:color="auto" w:fill="FFFFFF"/>
        </w:rPr>
      </w:pPr>
    </w:p>
    <w:p w14:paraId="2396E495" w14:textId="229B5553"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lastRenderedPageBreak/>
        <w:t xml:space="preserve">Novita, W., Nopiana, P.R. and Putri, Y.A. (2022) Analysis of external factors affecting audit quality in Indonesia. International Journal of Islamic Business and Management Review, 2(1), pp. 88–98. </w:t>
      </w:r>
      <w:hyperlink r:id="rId45" w:history="1">
        <w:r w:rsidRPr="00E132B2">
          <w:rPr>
            <w:rStyle w:val="Hyperlink"/>
            <w:rFonts w:ascii="Arial" w:hAnsi="Arial" w:cs="Arial"/>
            <w:spacing w:val="1"/>
            <w:sz w:val="20"/>
            <w:szCs w:val="20"/>
            <w:shd w:val="clear" w:color="auto" w:fill="FFFFFF"/>
          </w:rPr>
          <w:t>https://doi.org/10.54099/ijibmr.v2i1.143</w:t>
        </w:r>
      </w:hyperlink>
    </w:p>
    <w:p w14:paraId="1F8C05C6" w14:textId="03487A6D"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Pesudo, D. and Nugroho, K.D. (2022) Audit tenure, audit firm reputation and audit quality study on Indonesian manufacture companies. Jurnal AKSI (Akuntansi Dan Sistem Informasi), 7(1). </w:t>
      </w:r>
      <w:hyperlink r:id="rId46" w:history="1">
        <w:r w:rsidRPr="00E132B2">
          <w:rPr>
            <w:rStyle w:val="Hyperlink"/>
            <w:rFonts w:ascii="Arial" w:hAnsi="Arial" w:cs="Arial"/>
            <w:spacing w:val="1"/>
            <w:sz w:val="20"/>
            <w:szCs w:val="20"/>
            <w:shd w:val="clear" w:color="auto" w:fill="FFFFFF"/>
          </w:rPr>
          <w:t>https://doi.org/10.32486/aksi.v7i1.262</w:t>
        </w:r>
      </w:hyperlink>
    </w:p>
    <w:p w14:paraId="2563BEA0" w14:textId="7E9072F6"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Sari, D. (2022) Analysis of the role of internal audit in enhancing company's internal control. Golden Ratio of Auditing Research, 2(1), pp. 23–32. </w:t>
      </w:r>
      <w:hyperlink r:id="rId47" w:history="1">
        <w:r w:rsidRPr="00E132B2">
          <w:rPr>
            <w:rStyle w:val="Hyperlink"/>
            <w:rFonts w:ascii="Arial" w:hAnsi="Arial" w:cs="Arial"/>
            <w:spacing w:val="1"/>
            <w:sz w:val="20"/>
            <w:szCs w:val="20"/>
            <w:shd w:val="clear" w:color="auto" w:fill="FFFFFF"/>
          </w:rPr>
          <w:t>https://doi.org/10.52970/grar.v2i1.369</w:t>
        </w:r>
      </w:hyperlink>
    </w:p>
    <w:p w14:paraId="2BD19490" w14:textId="520EECFD"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Sarens, G., Abdolmohammadi, M.J. and Lenz, R. (2012) Factors associated with the internal audit function's role in corporate governance. Journal of Applied Accounting Research, 13(2), pp. 191–204. </w:t>
      </w:r>
      <w:hyperlink r:id="rId48" w:history="1">
        <w:r w:rsidRPr="00E132B2">
          <w:rPr>
            <w:rStyle w:val="Hyperlink"/>
            <w:rFonts w:ascii="Arial" w:hAnsi="Arial" w:cs="Arial"/>
            <w:spacing w:val="1"/>
            <w:sz w:val="20"/>
            <w:szCs w:val="20"/>
            <w:shd w:val="clear" w:color="auto" w:fill="FFFFFF"/>
          </w:rPr>
          <w:t>https://doi.org/10.1108/09675421211254876</w:t>
        </w:r>
      </w:hyperlink>
    </w:p>
    <w:p w14:paraId="06AABB5D" w14:textId="110EC23E" w:rsidR="00416750" w:rsidRDefault="00416750" w:rsidP="00C43959">
      <w:pPr>
        <w:spacing w:line="240" w:lineRule="auto"/>
        <w:rPr>
          <w:rFonts w:ascii="Arial" w:hAnsi="Arial" w:cs="Arial"/>
          <w:color w:val="333A3F"/>
          <w:spacing w:val="1"/>
          <w:sz w:val="20"/>
          <w:szCs w:val="20"/>
          <w:shd w:val="clear" w:color="auto" w:fill="FFFFFF"/>
        </w:rPr>
      </w:pPr>
      <w:r w:rsidRPr="00416750">
        <w:rPr>
          <w:rFonts w:ascii="Arial" w:hAnsi="Arial" w:cs="Arial" w:hint="eastAsia"/>
          <w:color w:val="333A3F"/>
          <w:spacing w:val="1"/>
          <w:sz w:val="20"/>
          <w:szCs w:val="20"/>
          <w:shd w:val="clear" w:color="auto" w:fill="FFFFFF"/>
        </w:rPr>
        <w:t>Shankar, A., Behl, A., Pereira, V., Chavan, M. and Chirico, F. (2024) Exploring enablers and inhibitors of AI</w:t>
      </w:r>
      <w:r w:rsidRPr="00416750">
        <w:rPr>
          <w:rFonts w:ascii="Arial" w:hAnsi="Arial" w:cs="Arial" w:hint="eastAsia"/>
          <w:color w:val="333A3F"/>
          <w:spacing w:val="1"/>
          <w:sz w:val="20"/>
          <w:szCs w:val="20"/>
          <w:shd w:val="clear" w:color="auto" w:fill="FFFFFF"/>
        </w:rPr>
        <w:t>‐</w:t>
      </w:r>
      <w:r w:rsidRPr="00416750">
        <w:rPr>
          <w:rFonts w:ascii="Arial" w:hAnsi="Arial" w:cs="Arial" w:hint="eastAsia"/>
          <w:color w:val="333A3F"/>
          <w:spacing w:val="1"/>
          <w:sz w:val="20"/>
          <w:szCs w:val="20"/>
          <w:shd w:val="clear" w:color="auto" w:fill="FFFFFF"/>
        </w:rPr>
        <w:t>enabled drones for manufacturing process audits: a mixed</w:t>
      </w:r>
      <w:r w:rsidRPr="00416750">
        <w:rPr>
          <w:rFonts w:ascii="Arial" w:hAnsi="Arial" w:cs="Arial" w:hint="eastAsia"/>
          <w:color w:val="333A3F"/>
          <w:spacing w:val="1"/>
          <w:sz w:val="20"/>
          <w:szCs w:val="20"/>
          <w:shd w:val="clear" w:color="auto" w:fill="FFFFFF"/>
        </w:rPr>
        <w:t>‐</w:t>
      </w:r>
      <w:r w:rsidRPr="00416750">
        <w:rPr>
          <w:rFonts w:ascii="Arial" w:hAnsi="Arial" w:cs="Arial" w:hint="eastAsia"/>
          <w:color w:val="333A3F"/>
          <w:spacing w:val="1"/>
          <w:sz w:val="20"/>
          <w:szCs w:val="20"/>
          <w:shd w:val="clear" w:color="auto" w:fill="FFFFFF"/>
        </w:rPr>
        <w:t>method approach. Business</w:t>
      </w:r>
      <w:r w:rsidR="00C43959">
        <w:rPr>
          <w:rFonts w:ascii="Arial" w:hAnsi="Arial" w:cs="Arial"/>
          <w:color w:val="333A3F"/>
          <w:spacing w:val="1"/>
          <w:sz w:val="20"/>
          <w:szCs w:val="20"/>
          <w:shd w:val="clear" w:color="auto" w:fill="FFFFFF"/>
        </w:rPr>
        <w:t xml:space="preserve"> </w:t>
      </w:r>
      <w:r w:rsidRPr="00416750">
        <w:rPr>
          <w:rFonts w:ascii="Arial" w:hAnsi="Arial" w:cs="Arial" w:hint="eastAsia"/>
          <w:color w:val="333A3F"/>
          <w:spacing w:val="1"/>
          <w:sz w:val="20"/>
          <w:szCs w:val="20"/>
          <w:shd w:val="clear" w:color="auto" w:fill="FFFFFF"/>
        </w:rPr>
        <w:t>Strategy and the Environment, 33(5), pp. 3749</w:t>
      </w:r>
      <w:r w:rsidRPr="00416750">
        <w:rPr>
          <w:rFonts w:ascii="Arial" w:hAnsi="Arial" w:cs="Arial" w:hint="eastAsia"/>
          <w:color w:val="333A3F"/>
          <w:spacing w:val="1"/>
          <w:sz w:val="20"/>
          <w:szCs w:val="20"/>
          <w:shd w:val="clear" w:color="auto" w:fill="FFFFFF"/>
        </w:rPr>
        <w:t>–</w:t>
      </w:r>
      <w:r w:rsidRPr="00416750">
        <w:rPr>
          <w:rFonts w:ascii="Arial" w:hAnsi="Arial" w:cs="Arial" w:hint="eastAsia"/>
          <w:color w:val="333A3F"/>
          <w:spacing w:val="1"/>
          <w:sz w:val="20"/>
          <w:szCs w:val="20"/>
          <w:shd w:val="clear" w:color="auto" w:fill="FFFFFF"/>
        </w:rPr>
        <w:t xml:space="preserve">3768. </w:t>
      </w:r>
      <w:hyperlink r:id="rId49" w:history="1">
        <w:r w:rsidRPr="00E132B2">
          <w:rPr>
            <w:rStyle w:val="Hyperlink"/>
            <w:rFonts w:ascii="Arial" w:hAnsi="Arial" w:cs="Arial" w:hint="eastAsia"/>
            <w:spacing w:val="1"/>
            <w:sz w:val="20"/>
            <w:szCs w:val="20"/>
            <w:shd w:val="clear" w:color="auto" w:fill="FFFFFF"/>
          </w:rPr>
          <w:t>https://doi</w:t>
        </w:r>
        <w:r w:rsidRPr="00E132B2">
          <w:rPr>
            <w:rStyle w:val="Hyperlink"/>
            <w:rFonts w:ascii="Arial" w:hAnsi="Arial" w:cs="Arial"/>
            <w:spacing w:val="1"/>
            <w:sz w:val="20"/>
            <w:szCs w:val="20"/>
            <w:shd w:val="clear" w:color="auto" w:fill="FFFFFF"/>
          </w:rPr>
          <w:t>.org/10.1002/bse.3679</w:t>
        </w:r>
      </w:hyperlink>
    </w:p>
    <w:p w14:paraId="07E3EF2D" w14:textId="09293205"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Simon, A. and Douglas, A. (2013) Integrating management systems: does the location matter? International Journal of Quality and Reliability Management, 30(6), pp. 675–689. </w:t>
      </w:r>
      <w:hyperlink r:id="rId50" w:history="1">
        <w:r w:rsidRPr="00E132B2">
          <w:rPr>
            <w:rStyle w:val="Hyperlink"/>
            <w:rFonts w:ascii="Arial" w:hAnsi="Arial" w:cs="Arial"/>
            <w:spacing w:val="1"/>
            <w:sz w:val="20"/>
            <w:szCs w:val="20"/>
            <w:shd w:val="clear" w:color="auto" w:fill="FFFFFF"/>
          </w:rPr>
          <w:t>https://doi.org/10.1108/02656711311325629</w:t>
        </w:r>
      </w:hyperlink>
    </w:p>
    <w:p w14:paraId="1FF312BD" w14:textId="21F60FFF" w:rsid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Thesari, S.S., Tonello, R., Trojan, F. and Lizot, L. (2021) The application of manufacturing audits to identify and analyze production strategies: study carried out in a small graphics company. Revista Gestão da Produção Operações e Sistemas, 16(3), pp. 21. </w:t>
      </w:r>
      <w:hyperlink r:id="rId51" w:history="1">
        <w:r w:rsidRPr="00E132B2">
          <w:rPr>
            <w:rStyle w:val="Hyperlink"/>
            <w:rFonts w:ascii="Arial" w:hAnsi="Arial" w:cs="Arial"/>
            <w:spacing w:val="1"/>
            <w:sz w:val="20"/>
            <w:szCs w:val="20"/>
            <w:shd w:val="clear" w:color="auto" w:fill="FFFFFF"/>
          </w:rPr>
          <w:t>https://doi.org/10.15675/gepros.v16i3.2501</w:t>
        </w:r>
      </w:hyperlink>
    </w:p>
    <w:p w14:paraId="0EA04C69" w14:textId="436798E6" w:rsidR="008B27F2" w:rsidRPr="00416750" w:rsidRDefault="00416750" w:rsidP="00416750">
      <w:pPr>
        <w:spacing w:line="276" w:lineRule="auto"/>
        <w:rPr>
          <w:rFonts w:ascii="Arial" w:hAnsi="Arial" w:cs="Arial"/>
          <w:color w:val="333A3F"/>
          <w:spacing w:val="1"/>
          <w:sz w:val="20"/>
          <w:szCs w:val="20"/>
          <w:shd w:val="clear" w:color="auto" w:fill="FFFFFF"/>
        </w:rPr>
      </w:pPr>
      <w:r w:rsidRPr="00416750">
        <w:rPr>
          <w:rFonts w:ascii="Arial" w:hAnsi="Arial" w:cs="Arial"/>
          <w:color w:val="333A3F"/>
          <w:spacing w:val="1"/>
          <w:sz w:val="20"/>
          <w:szCs w:val="20"/>
          <w:shd w:val="clear" w:color="auto" w:fill="FFFFFF"/>
        </w:rPr>
        <w:t xml:space="preserve">Türetken, O., Jethefer, S. and Özkan, B. (2019) Internal audit effectiveness: operationalization and influencing factors. Managerial Auditing Journal, 35(2), pp. 238–271. </w:t>
      </w:r>
      <w:hyperlink r:id="rId52" w:history="1">
        <w:r w:rsidRPr="00E132B2">
          <w:rPr>
            <w:rStyle w:val="Hyperlink"/>
            <w:rFonts w:ascii="Arial" w:hAnsi="Arial" w:cs="Arial"/>
            <w:spacing w:val="1"/>
            <w:sz w:val="20"/>
            <w:szCs w:val="20"/>
            <w:shd w:val="clear" w:color="auto" w:fill="FFFFFF"/>
          </w:rPr>
          <w:t>https://www.emerald.com/insight/content/doi/10.1108/maj-08-2018-1980/full/html</w:t>
        </w:r>
      </w:hyperlink>
    </w:p>
    <w:p w14:paraId="63877F5C" w14:textId="77777777" w:rsidR="006F16B6" w:rsidRPr="001A1EF8" w:rsidRDefault="006F16B6" w:rsidP="001342E9">
      <w:pPr>
        <w:spacing w:line="240" w:lineRule="auto"/>
        <w:rPr>
          <w:rFonts w:ascii="Arial" w:hAnsi="Arial" w:cs="Arial"/>
          <w:spacing w:val="1"/>
          <w:sz w:val="20"/>
          <w:szCs w:val="20"/>
          <w:shd w:val="clear" w:color="auto" w:fill="FFFFFF"/>
        </w:rPr>
      </w:pPr>
    </w:p>
    <w:p w14:paraId="5AB9605E" w14:textId="77777777" w:rsidR="006F16B6" w:rsidRPr="001A1EF8" w:rsidRDefault="006F16B6" w:rsidP="001342E9">
      <w:pPr>
        <w:spacing w:line="240" w:lineRule="auto"/>
        <w:rPr>
          <w:rFonts w:ascii="Arial" w:hAnsi="Arial" w:cs="Arial"/>
          <w:spacing w:val="1"/>
          <w:sz w:val="20"/>
          <w:szCs w:val="20"/>
          <w:shd w:val="clear" w:color="auto" w:fill="FFFFFF"/>
        </w:rPr>
      </w:pPr>
    </w:p>
    <w:p w14:paraId="2D2C5433" w14:textId="77777777" w:rsidR="006F16B6" w:rsidRPr="001A1EF8" w:rsidRDefault="006F16B6" w:rsidP="001342E9">
      <w:pPr>
        <w:spacing w:line="240" w:lineRule="auto"/>
        <w:rPr>
          <w:rFonts w:ascii="Arial" w:hAnsi="Arial" w:cs="Arial"/>
          <w:spacing w:val="1"/>
          <w:sz w:val="20"/>
          <w:szCs w:val="20"/>
          <w:shd w:val="clear" w:color="auto" w:fill="FFFFFF"/>
        </w:rPr>
      </w:pPr>
    </w:p>
    <w:p w14:paraId="5A7FDCE8" w14:textId="77777777" w:rsidR="006F16B6" w:rsidRPr="001A1EF8" w:rsidRDefault="006F16B6" w:rsidP="001342E9">
      <w:pPr>
        <w:spacing w:line="240" w:lineRule="auto"/>
        <w:rPr>
          <w:rFonts w:ascii="Arial" w:hAnsi="Arial" w:cs="Arial"/>
          <w:spacing w:val="1"/>
          <w:sz w:val="20"/>
          <w:szCs w:val="20"/>
          <w:shd w:val="clear" w:color="auto" w:fill="FFFFFF"/>
        </w:rPr>
      </w:pPr>
    </w:p>
    <w:p w14:paraId="24179F25" w14:textId="77777777" w:rsidR="006F16B6" w:rsidRPr="001A1EF8" w:rsidRDefault="006F16B6" w:rsidP="001342E9">
      <w:pPr>
        <w:spacing w:line="240" w:lineRule="auto"/>
        <w:rPr>
          <w:rFonts w:ascii="Arial" w:hAnsi="Arial" w:cs="Arial"/>
          <w:spacing w:val="1"/>
          <w:sz w:val="20"/>
          <w:szCs w:val="20"/>
          <w:shd w:val="clear" w:color="auto" w:fill="FFFFFF"/>
        </w:rPr>
      </w:pPr>
    </w:p>
    <w:p w14:paraId="0ECDDC38" w14:textId="77777777" w:rsidR="006F16B6" w:rsidRPr="001A1EF8" w:rsidRDefault="006F16B6" w:rsidP="001342E9">
      <w:pPr>
        <w:spacing w:line="240" w:lineRule="auto"/>
        <w:rPr>
          <w:rFonts w:ascii="Arial" w:hAnsi="Arial" w:cs="Arial"/>
          <w:spacing w:val="1"/>
          <w:sz w:val="20"/>
          <w:szCs w:val="20"/>
          <w:shd w:val="clear" w:color="auto" w:fill="FFFFFF"/>
        </w:rPr>
      </w:pPr>
    </w:p>
    <w:p w14:paraId="514AAC99" w14:textId="77777777" w:rsidR="006F16B6" w:rsidRPr="001A1EF8" w:rsidRDefault="006F16B6" w:rsidP="001342E9">
      <w:pPr>
        <w:spacing w:line="240" w:lineRule="auto"/>
        <w:rPr>
          <w:rFonts w:ascii="Arial" w:hAnsi="Arial" w:cs="Arial"/>
          <w:spacing w:val="1"/>
          <w:sz w:val="20"/>
          <w:szCs w:val="20"/>
          <w:shd w:val="clear" w:color="auto" w:fill="FFFFFF"/>
        </w:rPr>
      </w:pPr>
    </w:p>
    <w:p w14:paraId="13092C75" w14:textId="77777777" w:rsidR="006F16B6" w:rsidRDefault="006F16B6" w:rsidP="001342E9">
      <w:pPr>
        <w:spacing w:line="240" w:lineRule="auto"/>
        <w:rPr>
          <w:rFonts w:ascii="Arial" w:hAnsi="Arial" w:cs="Arial"/>
          <w:spacing w:val="1"/>
          <w:sz w:val="20"/>
          <w:szCs w:val="20"/>
          <w:shd w:val="clear" w:color="auto" w:fill="FFFFFF"/>
        </w:rPr>
      </w:pPr>
    </w:p>
    <w:p w14:paraId="404A2A08" w14:textId="77777777" w:rsidR="00743C24" w:rsidRDefault="00743C24" w:rsidP="001342E9">
      <w:pPr>
        <w:spacing w:line="240" w:lineRule="auto"/>
        <w:rPr>
          <w:rFonts w:ascii="Arial" w:hAnsi="Arial" w:cs="Arial"/>
          <w:spacing w:val="1"/>
          <w:sz w:val="20"/>
          <w:szCs w:val="20"/>
          <w:shd w:val="clear" w:color="auto" w:fill="FFFFFF"/>
        </w:rPr>
      </w:pPr>
    </w:p>
    <w:p w14:paraId="15C48D03" w14:textId="77777777" w:rsidR="00743C24" w:rsidRDefault="00743C24" w:rsidP="001342E9">
      <w:pPr>
        <w:spacing w:line="240" w:lineRule="auto"/>
        <w:rPr>
          <w:rFonts w:ascii="Arial" w:hAnsi="Arial" w:cs="Arial"/>
          <w:spacing w:val="1"/>
          <w:sz w:val="20"/>
          <w:szCs w:val="20"/>
          <w:shd w:val="clear" w:color="auto" w:fill="FFFFFF"/>
        </w:rPr>
      </w:pPr>
    </w:p>
    <w:p w14:paraId="48919401" w14:textId="77777777" w:rsidR="00743C24" w:rsidRDefault="00743C24" w:rsidP="001342E9">
      <w:pPr>
        <w:spacing w:line="240" w:lineRule="auto"/>
        <w:rPr>
          <w:rFonts w:ascii="Arial" w:hAnsi="Arial" w:cs="Arial"/>
          <w:spacing w:val="1"/>
          <w:sz w:val="20"/>
          <w:szCs w:val="20"/>
          <w:shd w:val="clear" w:color="auto" w:fill="FFFFFF"/>
        </w:rPr>
      </w:pPr>
    </w:p>
    <w:p w14:paraId="3C8A1A22" w14:textId="77777777" w:rsidR="00743C24" w:rsidRDefault="00743C24" w:rsidP="001342E9">
      <w:pPr>
        <w:spacing w:line="240" w:lineRule="auto"/>
        <w:rPr>
          <w:rFonts w:ascii="Arial" w:hAnsi="Arial" w:cs="Arial"/>
          <w:spacing w:val="1"/>
          <w:sz w:val="20"/>
          <w:szCs w:val="20"/>
          <w:shd w:val="clear" w:color="auto" w:fill="FFFFFF"/>
        </w:rPr>
      </w:pPr>
    </w:p>
    <w:p w14:paraId="7DC9819C" w14:textId="77777777" w:rsidR="00743C24" w:rsidRDefault="00743C24" w:rsidP="001342E9">
      <w:pPr>
        <w:spacing w:line="240" w:lineRule="auto"/>
        <w:rPr>
          <w:rFonts w:ascii="Arial" w:hAnsi="Arial" w:cs="Arial"/>
          <w:spacing w:val="1"/>
          <w:sz w:val="20"/>
          <w:szCs w:val="20"/>
          <w:shd w:val="clear" w:color="auto" w:fill="FFFFFF"/>
        </w:rPr>
      </w:pPr>
    </w:p>
    <w:p w14:paraId="20CB7225" w14:textId="77777777" w:rsidR="00743C24" w:rsidRDefault="00743C24" w:rsidP="001342E9">
      <w:pPr>
        <w:spacing w:line="240" w:lineRule="auto"/>
        <w:rPr>
          <w:rFonts w:ascii="Arial" w:hAnsi="Arial" w:cs="Arial"/>
          <w:spacing w:val="1"/>
          <w:sz w:val="20"/>
          <w:szCs w:val="20"/>
          <w:shd w:val="clear" w:color="auto" w:fill="FFFFFF"/>
        </w:rPr>
      </w:pPr>
    </w:p>
    <w:p w14:paraId="2B3DBF41" w14:textId="77777777" w:rsidR="00743C24" w:rsidRDefault="00743C24" w:rsidP="001342E9">
      <w:pPr>
        <w:spacing w:line="240" w:lineRule="auto"/>
        <w:rPr>
          <w:rFonts w:ascii="Arial" w:hAnsi="Arial" w:cs="Arial"/>
          <w:spacing w:val="1"/>
          <w:sz w:val="20"/>
          <w:szCs w:val="20"/>
          <w:shd w:val="clear" w:color="auto" w:fill="FFFFFF"/>
        </w:rPr>
      </w:pPr>
    </w:p>
    <w:p w14:paraId="551BBE41" w14:textId="77777777" w:rsidR="00743C24" w:rsidRDefault="00743C24" w:rsidP="001342E9">
      <w:pPr>
        <w:spacing w:line="240" w:lineRule="auto"/>
        <w:rPr>
          <w:rFonts w:ascii="Arial" w:hAnsi="Arial" w:cs="Arial"/>
          <w:spacing w:val="1"/>
          <w:sz w:val="20"/>
          <w:szCs w:val="20"/>
          <w:shd w:val="clear" w:color="auto" w:fill="FFFFFF"/>
        </w:rPr>
      </w:pPr>
    </w:p>
    <w:p w14:paraId="5E7A6969" w14:textId="77777777" w:rsidR="00743C24" w:rsidRPr="001A1EF8" w:rsidRDefault="00743C24" w:rsidP="001342E9">
      <w:pPr>
        <w:spacing w:line="240" w:lineRule="auto"/>
        <w:rPr>
          <w:rFonts w:ascii="Arial" w:hAnsi="Arial" w:cs="Arial"/>
          <w:spacing w:val="1"/>
          <w:sz w:val="20"/>
          <w:szCs w:val="20"/>
          <w:shd w:val="clear" w:color="auto" w:fill="FFFFFF"/>
        </w:rPr>
      </w:pPr>
    </w:p>
    <w:p w14:paraId="2068CEE1" w14:textId="2B8212C5" w:rsidR="00A33D59" w:rsidRPr="001A1EF8" w:rsidRDefault="00A86182" w:rsidP="00505C55">
      <w:pPr>
        <w:spacing w:line="360" w:lineRule="auto"/>
        <w:rPr>
          <w:rFonts w:ascii="Arial" w:hAnsi="Arial" w:cs="Arial"/>
          <w:b/>
          <w:bCs/>
          <w:i/>
          <w:iCs/>
          <w:sz w:val="20"/>
          <w:szCs w:val="20"/>
        </w:rPr>
      </w:pPr>
      <w:r w:rsidRPr="001A1EF8">
        <w:rPr>
          <w:rFonts w:ascii="Arial" w:hAnsi="Arial" w:cs="Arial"/>
          <w:b/>
          <w:bCs/>
          <w:i/>
          <w:iCs/>
          <w:sz w:val="20"/>
          <w:szCs w:val="20"/>
        </w:rPr>
        <w:t>Image</w:t>
      </w:r>
    </w:p>
    <w:p w14:paraId="7633977A" w14:textId="29A24F33" w:rsidR="002C1AD3" w:rsidRPr="001A1EF8" w:rsidRDefault="002C1AD3" w:rsidP="00505C55">
      <w:pPr>
        <w:spacing w:line="360" w:lineRule="auto"/>
        <w:rPr>
          <w:rFonts w:ascii="Arial" w:hAnsi="Arial" w:cs="Arial"/>
          <w:color w:val="BF8F00" w:themeColor="accent4" w:themeShade="BF"/>
          <w:sz w:val="20"/>
          <w:szCs w:val="20"/>
        </w:rPr>
      </w:pPr>
      <w:r w:rsidRPr="001A1EF8">
        <w:rPr>
          <w:rFonts w:ascii="Arial" w:hAnsi="Arial" w:cs="Arial"/>
          <w:color w:val="BF8F00" w:themeColor="accent4" w:themeShade="BF"/>
          <w:sz w:val="20"/>
          <w:szCs w:val="20"/>
        </w:rPr>
        <w:t>Figure 1.</w:t>
      </w:r>
      <w:r w:rsidR="00843739" w:rsidRPr="001A1EF8">
        <w:rPr>
          <w:rFonts w:ascii="Arial" w:hAnsi="Arial" w:cs="Arial"/>
          <w:color w:val="BF8F00" w:themeColor="accent4" w:themeShade="BF"/>
          <w:sz w:val="20"/>
          <w:szCs w:val="20"/>
        </w:rPr>
        <w:t xml:space="preserve"> </w:t>
      </w:r>
      <w:r w:rsidR="00843739" w:rsidRPr="001A1EF8">
        <w:rPr>
          <w:rFonts w:ascii="Arial" w:hAnsi="Arial" w:cs="Arial"/>
          <w:sz w:val="20"/>
          <w:szCs w:val="20"/>
        </w:rPr>
        <w:t>Example of Wiring Harness at SEWS-E</w:t>
      </w:r>
      <w:r w:rsidR="00843739" w:rsidRPr="001A1EF8">
        <w:rPr>
          <w:rFonts w:ascii="Arial" w:hAnsi="Arial" w:cs="Arial"/>
          <w:color w:val="BF8F00" w:themeColor="accent4" w:themeShade="BF"/>
          <w:sz w:val="20"/>
          <w:szCs w:val="20"/>
        </w:rPr>
        <w:t xml:space="preserve"> </w:t>
      </w:r>
      <w:hyperlink r:id="rId53" w:history="1">
        <w:r w:rsidR="00843739" w:rsidRPr="001A1EF8">
          <w:rPr>
            <w:rStyle w:val="Hyperlink"/>
            <w:rFonts w:ascii="Arial" w:hAnsi="Arial" w:cs="Arial"/>
            <w:sz w:val="20"/>
            <w:szCs w:val="20"/>
          </w:rPr>
          <w:t>https://www.sews-e.com/</w:t>
        </w:r>
      </w:hyperlink>
    </w:p>
    <w:p w14:paraId="5E47D784" w14:textId="7231B2C0" w:rsidR="00A86182" w:rsidRPr="001A1EF8" w:rsidRDefault="00A86182" w:rsidP="00505C55">
      <w:pPr>
        <w:spacing w:line="360" w:lineRule="auto"/>
        <w:rPr>
          <w:rStyle w:val="Hyperlink"/>
          <w:rFonts w:ascii="Arial" w:hAnsi="Arial" w:cs="Arial"/>
          <w:sz w:val="20"/>
          <w:szCs w:val="20"/>
        </w:rPr>
      </w:pPr>
      <w:r w:rsidRPr="001A1EF8">
        <w:rPr>
          <w:rFonts w:ascii="Arial" w:hAnsi="Arial" w:cs="Arial"/>
          <w:color w:val="BF8F00" w:themeColor="accent4" w:themeShade="BF"/>
          <w:sz w:val="20"/>
          <w:szCs w:val="20"/>
        </w:rPr>
        <w:t xml:space="preserve">Figure </w:t>
      </w:r>
      <w:r w:rsidR="002C1AD3" w:rsidRPr="001A1EF8">
        <w:rPr>
          <w:rFonts w:ascii="Arial" w:hAnsi="Arial" w:cs="Arial"/>
          <w:color w:val="BF8F00" w:themeColor="accent4" w:themeShade="BF"/>
          <w:sz w:val="20"/>
          <w:szCs w:val="20"/>
        </w:rPr>
        <w:t>2</w:t>
      </w:r>
      <w:r w:rsidRPr="001A1EF8">
        <w:rPr>
          <w:rFonts w:ascii="Arial" w:hAnsi="Arial" w:cs="Arial"/>
          <w:color w:val="BF8F00" w:themeColor="accent4" w:themeShade="BF"/>
          <w:sz w:val="20"/>
          <w:szCs w:val="20"/>
        </w:rPr>
        <w:t>.</w:t>
      </w:r>
      <w:r w:rsidR="008C427E" w:rsidRPr="001A1EF8">
        <w:rPr>
          <w:rFonts w:ascii="Arial" w:hAnsi="Arial" w:cs="Arial"/>
          <w:color w:val="BF8F00" w:themeColor="accent4" w:themeShade="BF"/>
          <w:sz w:val="20"/>
          <w:szCs w:val="20"/>
        </w:rPr>
        <w:t xml:space="preserve"> </w:t>
      </w:r>
      <w:r w:rsidR="008C427E" w:rsidRPr="001A1EF8">
        <w:rPr>
          <w:rFonts w:ascii="Arial" w:hAnsi="Arial" w:cs="Arial"/>
          <w:sz w:val="20"/>
          <w:szCs w:val="20"/>
        </w:rPr>
        <w:t xml:space="preserve">World Map with SEWS-E Locations </w:t>
      </w:r>
      <w:hyperlink r:id="rId54" w:history="1">
        <w:r w:rsidR="008C427E" w:rsidRPr="001A1EF8">
          <w:rPr>
            <w:rStyle w:val="Hyperlink"/>
            <w:rFonts w:ascii="Arial" w:hAnsi="Arial" w:cs="Arial"/>
            <w:sz w:val="20"/>
            <w:szCs w:val="20"/>
          </w:rPr>
          <w:t>https://www.sews-e.com/</w:t>
        </w:r>
      </w:hyperlink>
    </w:p>
    <w:p w14:paraId="159C325C" w14:textId="7D0430D6" w:rsidR="003D7962" w:rsidRPr="001A1EF8" w:rsidRDefault="003D7962" w:rsidP="00505C55">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3. </w:t>
      </w:r>
      <w:r w:rsidR="00334257" w:rsidRPr="001A1EF8">
        <w:rPr>
          <w:rFonts w:ascii="Arial" w:hAnsi="Arial" w:cs="Arial"/>
          <w:sz w:val="20"/>
          <w:szCs w:val="20"/>
        </w:rPr>
        <w:t xml:space="preserve">Audit Timing Plan </w:t>
      </w:r>
      <w:r w:rsidR="003A45EC" w:rsidRPr="001A1EF8">
        <w:rPr>
          <w:rFonts w:ascii="Arial" w:hAnsi="Arial" w:cs="Arial"/>
          <w:sz w:val="20"/>
          <w:szCs w:val="20"/>
        </w:rPr>
        <w:t xml:space="preserve">(Created by </w:t>
      </w:r>
      <w:r w:rsidR="00CB3F9D" w:rsidRPr="001A1EF8">
        <w:rPr>
          <w:rFonts w:ascii="Arial" w:hAnsi="Arial" w:cs="Arial"/>
          <w:sz w:val="20"/>
          <w:szCs w:val="20"/>
        </w:rPr>
        <w:t>Author</w:t>
      </w:r>
      <w:r w:rsidR="003A45EC" w:rsidRPr="001A1EF8">
        <w:rPr>
          <w:rFonts w:ascii="Arial" w:hAnsi="Arial" w:cs="Arial"/>
          <w:sz w:val="20"/>
          <w:szCs w:val="20"/>
        </w:rPr>
        <w:t>)</w:t>
      </w:r>
    </w:p>
    <w:p w14:paraId="58911301" w14:textId="61FB33EF" w:rsidR="00E56E8E" w:rsidRPr="001A1EF8" w:rsidRDefault="00145F08" w:rsidP="00B33959">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4. </w:t>
      </w:r>
      <w:r w:rsidR="00334257" w:rsidRPr="001A1EF8">
        <w:rPr>
          <w:rFonts w:ascii="Arial" w:hAnsi="Arial" w:cs="Arial"/>
          <w:sz w:val="20"/>
          <w:szCs w:val="20"/>
        </w:rPr>
        <w:t>Dissertation Project Schedule</w:t>
      </w:r>
      <w:r w:rsidR="003A45EC" w:rsidRPr="001A1EF8">
        <w:rPr>
          <w:rFonts w:ascii="Arial" w:hAnsi="Arial" w:cs="Arial"/>
          <w:sz w:val="20"/>
          <w:szCs w:val="20"/>
        </w:rPr>
        <w:t xml:space="preserve"> (Created by </w:t>
      </w:r>
      <w:r w:rsidR="00CB3F9D" w:rsidRPr="001A1EF8">
        <w:rPr>
          <w:rFonts w:ascii="Arial" w:hAnsi="Arial" w:cs="Arial"/>
          <w:sz w:val="20"/>
          <w:szCs w:val="20"/>
        </w:rPr>
        <w:t>Author</w:t>
      </w:r>
      <w:r w:rsidR="003A45EC" w:rsidRPr="001A1EF8">
        <w:rPr>
          <w:rFonts w:ascii="Arial" w:hAnsi="Arial" w:cs="Arial"/>
          <w:sz w:val="20"/>
          <w:szCs w:val="20"/>
        </w:rPr>
        <w:t>)</w:t>
      </w:r>
    </w:p>
    <w:p w14:paraId="357961E7" w14:textId="4FD7A5C1" w:rsidR="00B33959" w:rsidRPr="001A1EF8" w:rsidRDefault="00B33959" w:rsidP="00B33959">
      <w:pPr>
        <w:spacing w:line="360" w:lineRule="auto"/>
        <w:rPr>
          <w:rFonts w:ascii="Arial" w:hAnsi="Arial" w:cs="Arial"/>
          <w:sz w:val="20"/>
          <w:szCs w:val="20"/>
        </w:rPr>
      </w:pPr>
      <w:r w:rsidRPr="001A1EF8">
        <w:rPr>
          <w:rFonts w:ascii="Arial" w:hAnsi="Arial" w:cs="Arial"/>
          <w:color w:val="BF8F00" w:themeColor="accent4" w:themeShade="BF"/>
          <w:sz w:val="20"/>
          <w:szCs w:val="20"/>
        </w:rPr>
        <w:t>Figure 5</w:t>
      </w:r>
      <w:r w:rsidRPr="001A1EF8">
        <w:rPr>
          <w:rFonts w:ascii="Arial" w:hAnsi="Arial" w:cs="Arial"/>
          <w:sz w:val="20"/>
          <w:szCs w:val="20"/>
        </w:rPr>
        <w:t xml:space="preserve">. ISO Standards </w:t>
      </w:r>
      <w:hyperlink r:id="rId55" w:history="1">
        <w:r w:rsidRPr="001A1EF8">
          <w:rPr>
            <w:rStyle w:val="Hyperlink"/>
            <w:rFonts w:ascii="Arial" w:hAnsi="Arial" w:cs="Arial"/>
            <w:sz w:val="20"/>
            <w:szCs w:val="20"/>
          </w:rPr>
          <w:t>https://www.google.com/url?sa=i&amp;url=http%3A%2F%2Fwww.qspsolutions.co.uk%2Fservices%2Fims%2Findex.html&amp;psig=AOvVaw0bSDFREIaChXyaNCJQBrVS&amp;ust=1743602411821000&amp;source=images&amp;cd=vfe&amp;opi=89978449&amp;ved=0CBcQjhxqFwoTCIj4sKn_towDFQAAAAAdAAAAABAE</w:t>
        </w:r>
      </w:hyperlink>
    </w:p>
    <w:p w14:paraId="01468F5E" w14:textId="0AF6BAFB" w:rsidR="003955A5" w:rsidRPr="001A1EF8" w:rsidRDefault="00D44D22" w:rsidP="00B33959">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6. </w:t>
      </w:r>
      <w:r w:rsidRPr="001A1EF8">
        <w:rPr>
          <w:rFonts w:ascii="Arial" w:hAnsi="Arial" w:cs="Arial"/>
          <w:sz w:val="20"/>
          <w:szCs w:val="20"/>
        </w:rPr>
        <w:t xml:space="preserve">SEWS-E </w:t>
      </w:r>
      <w:r w:rsidR="006C418D" w:rsidRPr="001A1EF8">
        <w:rPr>
          <w:rFonts w:ascii="Arial" w:hAnsi="Arial" w:cs="Arial"/>
          <w:sz w:val="20"/>
          <w:szCs w:val="20"/>
        </w:rPr>
        <w:t xml:space="preserve">Internal Audit </w:t>
      </w:r>
      <w:r w:rsidRPr="001A1EF8">
        <w:rPr>
          <w:rFonts w:ascii="Arial" w:hAnsi="Arial" w:cs="Arial"/>
          <w:sz w:val="20"/>
          <w:szCs w:val="20"/>
        </w:rPr>
        <w:t>Process Flow Chart (Created by Author via drawio)</w:t>
      </w:r>
    </w:p>
    <w:p w14:paraId="089B962E" w14:textId="399980A1" w:rsidR="006F16B6" w:rsidRPr="001A1EF8" w:rsidRDefault="006F16B6" w:rsidP="006F16B6">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7. </w:t>
      </w:r>
      <w:r w:rsidRPr="001A1EF8">
        <w:rPr>
          <w:rFonts w:ascii="Arial" w:hAnsi="Arial" w:cs="Arial"/>
          <w:sz w:val="20"/>
          <w:szCs w:val="20"/>
        </w:rPr>
        <w:t>Example of NOK Criteria (USW Machine)</w:t>
      </w:r>
      <w:r w:rsidRPr="001A1EF8">
        <w:rPr>
          <w:rFonts w:ascii="Arial" w:hAnsi="Arial" w:cs="Arial"/>
          <w:sz w:val="20"/>
          <w:szCs w:val="20"/>
        </w:rPr>
        <w:tab/>
        <w:t>(Created by Author)</w:t>
      </w:r>
    </w:p>
    <w:p w14:paraId="53DD2266" w14:textId="00596953" w:rsidR="006F16B6" w:rsidRPr="001A1EF8" w:rsidRDefault="006F16B6" w:rsidP="006F16B6">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8. </w:t>
      </w:r>
      <w:r w:rsidRPr="001A1EF8">
        <w:rPr>
          <w:rFonts w:ascii="Arial" w:hAnsi="Arial" w:cs="Arial"/>
          <w:sz w:val="20"/>
          <w:szCs w:val="20"/>
        </w:rPr>
        <w:t>SEWS-E Audit Scores by Machine and Country (2023) (Created by Author)</w:t>
      </w:r>
    </w:p>
    <w:p w14:paraId="657D8C07" w14:textId="4BA49785" w:rsidR="006F16B6" w:rsidRPr="001A1EF8" w:rsidRDefault="006F16B6" w:rsidP="006F16B6">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9. </w:t>
      </w:r>
      <w:r w:rsidRPr="001A1EF8">
        <w:rPr>
          <w:rFonts w:ascii="Arial" w:hAnsi="Arial" w:cs="Arial"/>
          <w:sz w:val="20"/>
          <w:szCs w:val="20"/>
        </w:rPr>
        <w:t>Audit Scores by Machine Type (2023) (Created by Author)</w:t>
      </w:r>
    </w:p>
    <w:p w14:paraId="1C71D4BE" w14:textId="62EDB968" w:rsidR="006F16B6" w:rsidRPr="001A1EF8" w:rsidRDefault="006F16B6" w:rsidP="006F16B6">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10. </w:t>
      </w:r>
      <w:r w:rsidRPr="001A1EF8">
        <w:rPr>
          <w:rFonts w:ascii="Arial" w:hAnsi="Arial" w:cs="Arial"/>
          <w:sz w:val="20"/>
          <w:szCs w:val="20"/>
        </w:rPr>
        <w:t>Audit Scores by Category (2023) (Created by Author)</w:t>
      </w:r>
    </w:p>
    <w:p w14:paraId="55FB3B96" w14:textId="638A09C9" w:rsidR="006F16B6" w:rsidRPr="001A1EF8" w:rsidRDefault="006F16B6" w:rsidP="006F16B6">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11. </w:t>
      </w:r>
      <w:r w:rsidRPr="001A1EF8">
        <w:rPr>
          <w:rFonts w:ascii="Arial" w:hAnsi="Arial" w:cs="Arial"/>
          <w:sz w:val="20"/>
          <w:szCs w:val="20"/>
        </w:rPr>
        <w:t>SEWS-E Audit Scores by Machine and Country (2024) (Created by Author)</w:t>
      </w:r>
    </w:p>
    <w:p w14:paraId="2229DD09" w14:textId="2191933E" w:rsidR="006F16B6" w:rsidRPr="001A1EF8" w:rsidRDefault="006F16B6" w:rsidP="006F16B6">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12. </w:t>
      </w:r>
      <w:r w:rsidRPr="001A1EF8">
        <w:rPr>
          <w:rFonts w:ascii="Arial" w:hAnsi="Arial" w:cs="Arial"/>
          <w:sz w:val="20"/>
          <w:szCs w:val="20"/>
        </w:rPr>
        <w:t>Audit Scores by Machine Type (2024) (Created by Author)</w:t>
      </w:r>
    </w:p>
    <w:p w14:paraId="3B115931" w14:textId="3A96BFE2" w:rsidR="006F16B6" w:rsidRPr="001A1EF8" w:rsidRDefault="006F16B6" w:rsidP="006F16B6">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13. </w:t>
      </w:r>
      <w:r w:rsidRPr="001A1EF8">
        <w:rPr>
          <w:rFonts w:ascii="Arial" w:hAnsi="Arial" w:cs="Arial"/>
          <w:sz w:val="20"/>
          <w:szCs w:val="20"/>
        </w:rPr>
        <w:t>Audit Scores by Category (2024) (Created by Author)</w:t>
      </w:r>
    </w:p>
    <w:p w14:paraId="5F741FA0" w14:textId="46F425A8" w:rsidR="006F16B6" w:rsidRPr="001A1EF8" w:rsidRDefault="006F16B6" w:rsidP="006F16B6">
      <w:pPr>
        <w:spacing w:line="360" w:lineRule="auto"/>
        <w:rPr>
          <w:rFonts w:ascii="Arial" w:hAnsi="Arial" w:cs="Arial"/>
          <w:sz w:val="20"/>
          <w:szCs w:val="20"/>
        </w:rPr>
      </w:pPr>
      <w:r w:rsidRPr="001A1EF8">
        <w:rPr>
          <w:rFonts w:ascii="Arial" w:hAnsi="Arial" w:cs="Arial"/>
          <w:color w:val="BF8F00" w:themeColor="accent4" w:themeShade="BF"/>
          <w:sz w:val="20"/>
          <w:szCs w:val="20"/>
        </w:rPr>
        <w:t xml:space="preserve">Figure 14. </w:t>
      </w:r>
      <w:r w:rsidRPr="001A1EF8">
        <w:rPr>
          <w:rFonts w:ascii="Arial" w:hAnsi="Arial" w:cs="Arial"/>
          <w:sz w:val="20"/>
          <w:szCs w:val="20"/>
        </w:rPr>
        <w:t>Overall Site Performance 2023 vs 2024 (Created by Author)</w:t>
      </w:r>
    </w:p>
    <w:p w14:paraId="43725584" w14:textId="77777777" w:rsidR="00B33959" w:rsidRPr="001A1EF8" w:rsidRDefault="00B33959" w:rsidP="00B33959">
      <w:pPr>
        <w:rPr>
          <w:sz w:val="20"/>
          <w:szCs w:val="20"/>
        </w:rPr>
      </w:pPr>
    </w:p>
    <w:p w14:paraId="1E2201F3" w14:textId="77777777" w:rsidR="003955A5" w:rsidRPr="001A1EF8" w:rsidRDefault="003955A5" w:rsidP="00B33959">
      <w:pPr>
        <w:rPr>
          <w:sz w:val="20"/>
          <w:szCs w:val="20"/>
        </w:rPr>
      </w:pPr>
    </w:p>
    <w:p w14:paraId="48A810D2" w14:textId="77777777" w:rsidR="003955A5" w:rsidRPr="001A1EF8" w:rsidRDefault="003955A5" w:rsidP="00B33959">
      <w:pPr>
        <w:rPr>
          <w:sz w:val="20"/>
          <w:szCs w:val="20"/>
        </w:rPr>
      </w:pPr>
    </w:p>
    <w:p w14:paraId="2B6366DB" w14:textId="77777777" w:rsidR="003955A5" w:rsidRPr="001A1EF8" w:rsidRDefault="003955A5" w:rsidP="00B33959">
      <w:pPr>
        <w:rPr>
          <w:sz w:val="20"/>
          <w:szCs w:val="20"/>
        </w:rPr>
      </w:pPr>
    </w:p>
    <w:p w14:paraId="15337EE5" w14:textId="77777777" w:rsidR="003955A5" w:rsidRPr="001A1EF8" w:rsidRDefault="003955A5" w:rsidP="00B33959">
      <w:pPr>
        <w:rPr>
          <w:sz w:val="20"/>
          <w:szCs w:val="20"/>
        </w:rPr>
      </w:pPr>
    </w:p>
    <w:p w14:paraId="022F3D3E" w14:textId="77777777" w:rsidR="003955A5" w:rsidRPr="001A1EF8" w:rsidRDefault="003955A5" w:rsidP="00B33959">
      <w:pPr>
        <w:rPr>
          <w:sz w:val="20"/>
          <w:szCs w:val="20"/>
        </w:rPr>
      </w:pPr>
    </w:p>
    <w:p w14:paraId="0C780E6D" w14:textId="77777777" w:rsidR="003955A5" w:rsidRPr="001A1EF8" w:rsidRDefault="003955A5" w:rsidP="00B33959">
      <w:pPr>
        <w:rPr>
          <w:sz w:val="20"/>
          <w:szCs w:val="20"/>
        </w:rPr>
      </w:pPr>
    </w:p>
    <w:p w14:paraId="4D155F69" w14:textId="77777777" w:rsidR="003955A5" w:rsidRPr="001A1EF8" w:rsidRDefault="003955A5" w:rsidP="00B33959">
      <w:pPr>
        <w:rPr>
          <w:sz w:val="20"/>
          <w:szCs w:val="20"/>
        </w:rPr>
      </w:pPr>
    </w:p>
    <w:p w14:paraId="226CB2FB" w14:textId="77777777" w:rsidR="003955A5" w:rsidRDefault="003955A5" w:rsidP="00B33959">
      <w:pPr>
        <w:rPr>
          <w:sz w:val="20"/>
          <w:szCs w:val="20"/>
        </w:rPr>
      </w:pPr>
    </w:p>
    <w:p w14:paraId="1C5BED49" w14:textId="77777777" w:rsidR="00743C24" w:rsidRDefault="00743C24" w:rsidP="00B33959">
      <w:pPr>
        <w:rPr>
          <w:sz w:val="20"/>
          <w:szCs w:val="20"/>
        </w:rPr>
      </w:pPr>
    </w:p>
    <w:p w14:paraId="69581D5C" w14:textId="77777777" w:rsidR="00743C24" w:rsidRDefault="00743C24" w:rsidP="00B33959">
      <w:pPr>
        <w:rPr>
          <w:sz w:val="20"/>
          <w:szCs w:val="20"/>
        </w:rPr>
      </w:pPr>
    </w:p>
    <w:p w14:paraId="5A51DC3A" w14:textId="77777777" w:rsidR="003955A5" w:rsidRPr="001A1EF8" w:rsidRDefault="003955A5" w:rsidP="00B33959">
      <w:pPr>
        <w:rPr>
          <w:sz w:val="20"/>
          <w:szCs w:val="20"/>
        </w:rPr>
      </w:pPr>
    </w:p>
    <w:p w14:paraId="32AD7A2C" w14:textId="2C4AEFDB" w:rsidR="00E56E8E" w:rsidRPr="001A1EF8" w:rsidRDefault="001A1EF8" w:rsidP="00E56E8E">
      <w:pPr>
        <w:pStyle w:val="Heading1"/>
        <w:rPr>
          <w:sz w:val="22"/>
          <w:szCs w:val="22"/>
        </w:rPr>
      </w:pPr>
      <w:bookmarkStart w:id="45" w:name="_Toc198120618"/>
      <w:r>
        <w:rPr>
          <w:sz w:val="22"/>
          <w:szCs w:val="22"/>
        </w:rPr>
        <w:lastRenderedPageBreak/>
        <w:t xml:space="preserve">13. </w:t>
      </w:r>
      <w:r w:rsidR="00E56E8E" w:rsidRPr="001A1EF8">
        <w:rPr>
          <w:sz w:val="22"/>
          <w:szCs w:val="22"/>
        </w:rPr>
        <w:t>Appendices</w:t>
      </w:r>
      <w:bookmarkEnd w:id="45"/>
    </w:p>
    <w:p w14:paraId="6C3E5B99" w14:textId="1AB6E7CF" w:rsidR="00CB5183" w:rsidRPr="001A1EF8" w:rsidRDefault="00CB5183" w:rsidP="00CB5183">
      <w:pPr>
        <w:rPr>
          <w:rFonts w:ascii="Arial" w:hAnsi="Arial" w:cs="Arial"/>
          <w:color w:val="538135" w:themeColor="accent6" w:themeShade="BF"/>
          <w:sz w:val="20"/>
          <w:szCs w:val="20"/>
        </w:rPr>
      </w:pPr>
      <w:r w:rsidRPr="001A1EF8">
        <w:rPr>
          <w:rFonts w:ascii="Arial" w:hAnsi="Arial" w:cs="Arial"/>
          <w:color w:val="538135" w:themeColor="accent6" w:themeShade="BF"/>
          <w:sz w:val="20"/>
          <w:szCs w:val="20"/>
        </w:rPr>
        <w:t>Appendix A – Extract from Audit Check Sheet 74392</w:t>
      </w:r>
    </w:p>
    <w:p w14:paraId="322BD2B1" w14:textId="2C988694" w:rsidR="007B462C" w:rsidRDefault="00CB5183" w:rsidP="00CB5183">
      <w:pPr>
        <w:rPr>
          <w:rFonts w:ascii="Arial" w:hAnsi="Arial" w:cs="Arial"/>
          <w:sz w:val="20"/>
          <w:szCs w:val="20"/>
        </w:rPr>
      </w:pPr>
      <w:r w:rsidRPr="001A1EF8">
        <w:rPr>
          <w:rFonts w:ascii="Arial" w:hAnsi="Arial" w:cs="Arial"/>
          <w:sz w:val="20"/>
          <w:szCs w:val="20"/>
        </w:rPr>
        <w:t>This appendix shows a visual example of the scoring criteria and judgement method used in SEWS-E’s internal audit check sheets. The OK/NOK system is applied per category, covering H&amp;S, Quality, General Condition, and Spare Parts.</w:t>
      </w:r>
      <w:r w:rsidR="007B462C">
        <w:rPr>
          <w:rFonts w:ascii="Arial" w:hAnsi="Arial" w:cs="Arial"/>
          <w:sz w:val="20"/>
          <w:szCs w:val="20"/>
        </w:rPr>
        <w:t xml:space="preserve"> All </w:t>
      </w:r>
      <w:r w:rsidR="00EA0996">
        <w:rPr>
          <w:rFonts w:ascii="Arial" w:hAnsi="Arial" w:cs="Arial"/>
          <w:sz w:val="20"/>
          <w:szCs w:val="20"/>
        </w:rPr>
        <w:t xml:space="preserve">5 </w:t>
      </w:r>
      <w:r w:rsidR="007B462C">
        <w:rPr>
          <w:rFonts w:ascii="Arial" w:hAnsi="Arial" w:cs="Arial"/>
          <w:sz w:val="20"/>
          <w:szCs w:val="20"/>
        </w:rPr>
        <w:t>pages</w:t>
      </w:r>
      <w:r w:rsidR="00EA0996">
        <w:rPr>
          <w:rFonts w:ascii="Arial" w:hAnsi="Arial" w:cs="Arial"/>
          <w:sz w:val="20"/>
          <w:szCs w:val="20"/>
        </w:rPr>
        <w:t xml:space="preserve"> of machine types</w:t>
      </w:r>
      <w:r w:rsidR="007B462C">
        <w:rPr>
          <w:rFonts w:ascii="Arial" w:hAnsi="Arial" w:cs="Arial"/>
          <w:sz w:val="20"/>
          <w:szCs w:val="20"/>
        </w:rPr>
        <w:t xml:space="preserve"> shown </w:t>
      </w:r>
      <w:r w:rsidR="00EA0996">
        <w:rPr>
          <w:rFonts w:ascii="Arial" w:hAnsi="Arial" w:cs="Arial"/>
          <w:sz w:val="20"/>
          <w:szCs w:val="20"/>
        </w:rPr>
        <w:t>on following pages</w:t>
      </w:r>
      <w:r w:rsidR="007B462C">
        <w:rPr>
          <w:rFonts w:ascii="Arial" w:hAnsi="Arial" w:cs="Arial"/>
          <w:sz w:val="20"/>
          <w:szCs w:val="20"/>
        </w:rPr>
        <w:t>:</w:t>
      </w:r>
    </w:p>
    <w:p w14:paraId="12A36B0C" w14:textId="77777777" w:rsidR="007B462C" w:rsidRDefault="007B462C" w:rsidP="00CB5183">
      <w:pPr>
        <w:rPr>
          <w:rFonts w:ascii="Arial" w:hAnsi="Arial" w:cs="Arial"/>
          <w:sz w:val="20"/>
          <w:szCs w:val="20"/>
        </w:rPr>
      </w:pPr>
    </w:p>
    <w:p w14:paraId="355F34FB" w14:textId="77777777" w:rsidR="007B462C" w:rsidRDefault="007B462C" w:rsidP="00CB5183">
      <w:pPr>
        <w:rPr>
          <w:rFonts w:ascii="Arial" w:hAnsi="Arial" w:cs="Arial"/>
          <w:sz w:val="20"/>
          <w:szCs w:val="20"/>
        </w:rPr>
      </w:pPr>
    </w:p>
    <w:p w14:paraId="7747C5D0" w14:textId="77777777" w:rsidR="007B462C" w:rsidRDefault="007B462C" w:rsidP="00CB5183">
      <w:pPr>
        <w:rPr>
          <w:rFonts w:ascii="Arial" w:hAnsi="Arial" w:cs="Arial"/>
          <w:sz w:val="20"/>
          <w:szCs w:val="20"/>
        </w:rPr>
      </w:pPr>
    </w:p>
    <w:p w14:paraId="2820346B" w14:textId="77777777" w:rsidR="007B462C" w:rsidRDefault="007B462C" w:rsidP="00CB5183">
      <w:pPr>
        <w:rPr>
          <w:rFonts w:ascii="Arial" w:hAnsi="Arial" w:cs="Arial"/>
          <w:sz w:val="20"/>
          <w:szCs w:val="20"/>
        </w:rPr>
      </w:pPr>
    </w:p>
    <w:p w14:paraId="4C9522B3" w14:textId="77777777" w:rsidR="007B462C" w:rsidRDefault="007B462C" w:rsidP="00CB5183">
      <w:pPr>
        <w:rPr>
          <w:rFonts w:ascii="Arial" w:hAnsi="Arial" w:cs="Arial"/>
          <w:sz w:val="20"/>
          <w:szCs w:val="20"/>
        </w:rPr>
      </w:pPr>
    </w:p>
    <w:p w14:paraId="78AF9D85" w14:textId="77777777" w:rsidR="007B462C" w:rsidRDefault="007B462C" w:rsidP="00CB5183">
      <w:pPr>
        <w:rPr>
          <w:rFonts w:ascii="Arial" w:hAnsi="Arial" w:cs="Arial"/>
          <w:sz w:val="20"/>
          <w:szCs w:val="20"/>
        </w:rPr>
      </w:pPr>
    </w:p>
    <w:p w14:paraId="63D7CAD7" w14:textId="77777777" w:rsidR="007B462C" w:rsidRDefault="007B462C" w:rsidP="00CB5183">
      <w:pPr>
        <w:rPr>
          <w:rFonts w:ascii="Arial" w:hAnsi="Arial" w:cs="Arial"/>
          <w:sz w:val="20"/>
          <w:szCs w:val="20"/>
        </w:rPr>
      </w:pPr>
    </w:p>
    <w:p w14:paraId="173B2A5B" w14:textId="77777777" w:rsidR="007B462C" w:rsidRDefault="007B462C" w:rsidP="00CB5183">
      <w:pPr>
        <w:rPr>
          <w:rFonts w:ascii="Arial" w:hAnsi="Arial" w:cs="Arial"/>
          <w:sz w:val="20"/>
          <w:szCs w:val="20"/>
        </w:rPr>
      </w:pPr>
    </w:p>
    <w:p w14:paraId="1D03BBEB" w14:textId="77777777" w:rsidR="007B462C" w:rsidRDefault="007B462C" w:rsidP="00CB5183">
      <w:pPr>
        <w:rPr>
          <w:rFonts w:ascii="Arial" w:hAnsi="Arial" w:cs="Arial"/>
          <w:sz w:val="20"/>
          <w:szCs w:val="20"/>
        </w:rPr>
      </w:pPr>
    </w:p>
    <w:p w14:paraId="2A44DDDA" w14:textId="77777777" w:rsidR="007B462C" w:rsidRDefault="007B462C" w:rsidP="00CB5183">
      <w:pPr>
        <w:rPr>
          <w:rFonts w:ascii="Arial" w:hAnsi="Arial" w:cs="Arial"/>
          <w:sz w:val="20"/>
          <w:szCs w:val="20"/>
        </w:rPr>
      </w:pPr>
    </w:p>
    <w:p w14:paraId="26F49C6B" w14:textId="77777777" w:rsidR="007B462C" w:rsidRDefault="007B462C" w:rsidP="00CB5183">
      <w:pPr>
        <w:rPr>
          <w:rFonts w:ascii="Arial" w:hAnsi="Arial" w:cs="Arial"/>
          <w:sz w:val="20"/>
          <w:szCs w:val="20"/>
        </w:rPr>
      </w:pPr>
    </w:p>
    <w:p w14:paraId="4AFD40DF" w14:textId="77777777" w:rsidR="007B462C" w:rsidRDefault="007B462C" w:rsidP="00CB5183">
      <w:pPr>
        <w:rPr>
          <w:rFonts w:ascii="Arial" w:hAnsi="Arial" w:cs="Arial"/>
          <w:sz w:val="20"/>
          <w:szCs w:val="20"/>
        </w:rPr>
      </w:pPr>
    </w:p>
    <w:p w14:paraId="7495750F" w14:textId="77777777" w:rsidR="007B462C" w:rsidRDefault="007B462C" w:rsidP="00CB5183">
      <w:pPr>
        <w:rPr>
          <w:rFonts w:ascii="Arial" w:hAnsi="Arial" w:cs="Arial"/>
          <w:sz w:val="20"/>
          <w:szCs w:val="20"/>
        </w:rPr>
      </w:pPr>
    </w:p>
    <w:p w14:paraId="5E285F66" w14:textId="77777777" w:rsidR="007B462C" w:rsidRDefault="007B462C" w:rsidP="00CB5183">
      <w:pPr>
        <w:rPr>
          <w:rFonts w:ascii="Arial" w:hAnsi="Arial" w:cs="Arial"/>
          <w:sz w:val="20"/>
          <w:szCs w:val="20"/>
        </w:rPr>
      </w:pPr>
    </w:p>
    <w:p w14:paraId="3E1DF5CE" w14:textId="77777777" w:rsidR="007B462C" w:rsidRDefault="007B462C" w:rsidP="00CB5183">
      <w:pPr>
        <w:rPr>
          <w:rFonts w:ascii="Arial" w:hAnsi="Arial" w:cs="Arial"/>
          <w:sz w:val="20"/>
          <w:szCs w:val="20"/>
        </w:rPr>
      </w:pPr>
    </w:p>
    <w:p w14:paraId="2371AE09" w14:textId="77777777" w:rsidR="007B462C" w:rsidRDefault="007B462C" w:rsidP="00CB5183">
      <w:pPr>
        <w:rPr>
          <w:rFonts w:ascii="Arial" w:hAnsi="Arial" w:cs="Arial"/>
          <w:sz w:val="20"/>
          <w:szCs w:val="20"/>
        </w:rPr>
      </w:pPr>
    </w:p>
    <w:p w14:paraId="18D1CA6A" w14:textId="77777777" w:rsidR="007B462C" w:rsidRDefault="007B462C" w:rsidP="00CB5183">
      <w:pPr>
        <w:rPr>
          <w:rFonts w:ascii="Arial" w:hAnsi="Arial" w:cs="Arial"/>
          <w:sz w:val="20"/>
          <w:szCs w:val="20"/>
        </w:rPr>
      </w:pPr>
    </w:p>
    <w:p w14:paraId="4A245258" w14:textId="77777777" w:rsidR="007B462C" w:rsidRDefault="007B462C" w:rsidP="00CB5183">
      <w:pPr>
        <w:rPr>
          <w:rFonts w:ascii="Arial" w:hAnsi="Arial" w:cs="Arial"/>
          <w:sz w:val="20"/>
          <w:szCs w:val="20"/>
        </w:rPr>
      </w:pPr>
    </w:p>
    <w:p w14:paraId="0705525D" w14:textId="77777777" w:rsidR="007B462C" w:rsidRDefault="007B462C" w:rsidP="00CB5183">
      <w:pPr>
        <w:rPr>
          <w:rFonts w:ascii="Arial" w:hAnsi="Arial" w:cs="Arial"/>
          <w:sz w:val="20"/>
          <w:szCs w:val="20"/>
        </w:rPr>
      </w:pPr>
    </w:p>
    <w:p w14:paraId="0925D890" w14:textId="77777777" w:rsidR="007B462C" w:rsidRDefault="007B462C" w:rsidP="00CB5183">
      <w:pPr>
        <w:rPr>
          <w:rFonts w:ascii="Arial" w:hAnsi="Arial" w:cs="Arial"/>
          <w:sz w:val="20"/>
          <w:szCs w:val="20"/>
        </w:rPr>
      </w:pPr>
    </w:p>
    <w:p w14:paraId="56686242" w14:textId="77777777" w:rsidR="007B462C" w:rsidRDefault="007B462C" w:rsidP="00CB5183">
      <w:pPr>
        <w:rPr>
          <w:rFonts w:ascii="Arial" w:hAnsi="Arial" w:cs="Arial"/>
          <w:sz w:val="20"/>
          <w:szCs w:val="20"/>
        </w:rPr>
      </w:pPr>
    </w:p>
    <w:p w14:paraId="5A136FDA" w14:textId="77777777" w:rsidR="007B462C" w:rsidRDefault="007B462C" w:rsidP="00CB5183">
      <w:pPr>
        <w:rPr>
          <w:rFonts w:ascii="Arial" w:hAnsi="Arial" w:cs="Arial"/>
          <w:sz w:val="20"/>
          <w:szCs w:val="20"/>
        </w:rPr>
      </w:pPr>
    </w:p>
    <w:p w14:paraId="23CEF1CD" w14:textId="77777777" w:rsidR="007B462C" w:rsidRDefault="007B462C" w:rsidP="00CB5183">
      <w:pPr>
        <w:rPr>
          <w:rFonts w:ascii="Arial" w:hAnsi="Arial" w:cs="Arial"/>
          <w:sz w:val="20"/>
          <w:szCs w:val="20"/>
        </w:rPr>
      </w:pPr>
    </w:p>
    <w:p w14:paraId="213888D4" w14:textId="77777777" w:rsidR="007B462C" w:rsidRDefault="007B462C" w:rsidP="00CB5183">
      <w:pPr>
        <w:rPr>
          <w:rFonts w:ascii="Arial" w:hAnsi="Arial" w:cs="Arial"/>
          <w:sz w:val="20"/>
          <w:szCs w:val="20"/>
        </w:rPr>
      </w:pPr>
    </w:p>
    <w:p w14:paraId="6231E1C8" w14:textId="77777777" w:rsidR="007B462C" w:rsidRDefault="007B462C" w:rsidP="00CB5183">
      <w:pPr>
        <w:rPr>
          <w:rFonts w:ascii="Arial" w:hAnsi="Arial" w:cs="Arial"/>
          <w:sz w:val="20"/>
          <w:szCs w:val="20"/>
        </w:rPr>
      </w:pPr>
    </w:p>
    <w:p w14:paraId="245F5BED" w14:textId="77777777" w:rsidR="007B462C" w:rsidRDefault="007B462C" w:rsidP="00CB5183">
      <w:pPr>
        <w:rPr>
          <w:rFonts w:ascii="Arial" w:hAnsi="Arial" w:cs="Arial"/>
          <w:sz w:val="20"/>
          <w:szCs w:val="20"/>
        </w:rPr>
      </w:pPr>
    </w:p>
    <w:p w14:paraId="0011ADBB" w14:textId="77777777" w:rsidR="007B462C" w:rsidRDefault="007B462C" w:rsidP="00CB5183">
      <w:pPr>
        <w:rPr>
          <w:rFonts w:ascii="Arial" w:hAnsi="Arial" w:cs="Arial"/>
          <w:sz w:val="20"/>
          <w:szCs w:val="20"/>
        </w:rPr>
      </w:pPr>
    </w:p>
    <w:p w14:paraId="319B9BF5" w14:textId="77777777" w:rsidR="007B462C" w:rsidRDefault="007B462C" w:rsidP="00CB5183">
      <w:pPr>
        <w:rPr>
          <w:rFonts w:ascii="Arial" w:hAnsi="Arial" w:cs="Arial"/>
          <w:sz w:val="20"/>
          <w:szCs w:val="20"/>
        </w:rPr>
      </w:pPr>
    </w:p>
    <w:p w14:paraId="4FE841A0" w14:textId="77777777" w:rsidR="007B462C" w:rsidRDefault="007B462C" w:rsidP="00CB5183">
      <w:pPr>
        <w:rPr>
          <w:rFonts w:ascii="Arial" w:hAnsi="Arial" w:cs="Arial"/>
          <w:sz w:val="20"/>
          <w:szCs w:val="20"/>
        </w:rPr>
      </w:pPr>
    </w:p>
    <w:p w14:paraId="2359441C" w14:textId="77777777" w:rsidR="007B462C" w:rsidRDefault="007B462C" w:rsidP="00CB5183">
      <w:pPr>
        <w:rPr>
          <w:rFonts w:ascii="Arial" w:hAnsi="Arial" w:cs="Arial"/>
          <w:sz w:val="20"/>
          <w:szCs w:val="20"/>
        </w:rPr>
      </w:pPr>
    </w:p>
    <w:p w14:paraId="5BD28A73" w14:textId="77777777" w:rsidR="007B462C" w:rsidRDefault="007B462C" w:rsidP="00CB5183">
      <w:pPr>
        <w:rPr>
          <w:rFonts w:ascii="Arial" w:hAnsi="Arial" w:cs="Arial"/>
          <w:sz w:val="20"/>
          <w:szCs w:val="20"/>
        </w:rPr>
      </w:pPr>
    </w:p>
    <w:p w14:paraId="57E6C787" w14:textId="7098B173" w:rsidR="007B462C" w:rsidRDefault="007B462C" w:rsidP="00CB5183">
      <w:pPr>
        <w:rPr>
          <w:rFonts w:ascii="Arial" w:hAnsi="Arial" w:cs="Arial"/>
          <w:sz w:val="20"/>
          <w:szCs w:val="20"/>
        </w:rPr>
      </w:pPr>
    </w:p>
    <w:p w14:paraId="4144A4DD" w14:textId="77777777" w:rsidR="007B462C" w:rsidRDefault="007B462C" w:rsidP="00CB5183">
      <w:pPr>
        <w:rPr>
          <w:rFonts w:ascii="Arial" w:hAnsi="Arial" w:cs="Arial"/>
          <w:sz w:val="20"/>
          <w:szCs w:val="20"/>
        </w:rPr>
      </w:pPr>
    </w:p>
    <w:p w14:paraId="14B5E300" w14:textId="77777777" w:rsidR="007B462C" w:rsidRDefault="007B462C" w:rsidP="00CB5183">
      <w:pPr>
        <w:rPr>
          <w:rFonts w:ascii="Arial" w:hAnsi="Arial" w:cs="Arial"/>
          <w:sz w:val="20"/>
          <w:szCs w:val="20"/>
        </w:rPr>
      </w:pPr>
    </w:p>
    <w:p w14:paraId="6F53B31B" w14:textId="4817E237" w:rsidR="002B5003" w:rsidRDefault="002B5003" w:rsidP="00CB5183">
      <w:pPr>
        <w:rPr>
          <w:rFonts w:ascii="Arial" w:hAnsi="Arial" w:cs="Arial"/>
          <w:sz w:val="20"/>
          <w:szCs w:val="20"/>
        </w:rPr>
      </w:pPr>
    </w:p>
    <w:p w14:paraId="1A820037" w14:textId="574E31F8" w:rsidR="007B462C" w:rsidRPr="001A1EF8" w:rsidRDefault="007B462C" w:rsidP="00CB5183">
      <w:pPr>
        <w:rPr>
          <w:rFonts w:ascii="Arial" w:hAnsi="Arial" w:cs="Arial"/>
          <w:sz w:val="20"/>
          <w:szCs w:val="20"/>
        </w:rPr>
      </w:pPr>
      <w:r>
        <w:rPr>
          <w:noProof/>
        </w:rPr>
        <w:drawing>
          <wp:anchor distT="0" distB="0" distL="114300" distR="114300" simplePos="0" relativeHeight="251689984" behindDoc="1" locked="0" layoutInCell="1" allowOverlap="1" wp14:anchorId="5033E974" wp14:editId="1A439057">
            <wp:simplePos x="0" y="0"/>
            <wp:positionH relativeFrom="margin">
              <wp:align>center</wp:align>
            </wp:positionH>
            <wp:positionV relativeFrom="paragraph">
              <wp:posOffset>384764</wp:posOffset>
            </wp:positionV>
            <wp:extent cx="10584257" cy="5465898"/>
            <wp:effectExtent l="6667" t="0" r="0" b="0"/>
            <wp:wrapNone/>
            <wp:docPr id="15755928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b="27006"/>
                    <a:stretch/>
                  </pic:blipFill>
                  <pic:spPr bwMode="auto">
                    <a:xfrm rot="5400000">
                      <a:off x="0" y="0"/>
                      <a:ext cx="10584257" cy="546589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1E817C" w14:textId="360961AB" w:rsidR="003955A5" w:rsidRPr="001A1EF8" w:rsidRDefault="003955A5" w:rsidP="00CB5183">
      <w:pPr>
        <w:rPr>
          <w:rFonts w:ascii="Arial" w:hAnsi="Arial" w:cs="Arial"/>
          <w:sz w:val="20"/>
          <w:szCs w:val="20"/>
        </w:rPr>
      </w:pPr>
    </w:p>
    <w:p w14:paraId="70E879D8" w14:textId="77777777" w:rsidR="002B5003" w:rsidRDefault="002B5003" w:rsidP="003955A5">
      <w:pPr>
        <w:rPr>
          <w:rFonts w:ascii="Arial" w:hAnsi="Arial" w:cs="Arial"/>
          <w:color w:val="C00000"/>
          <w:sz w:val="20"/>
          <w:szCs w:val="20"/>
        </w:rPr>
      </w:pPr>
    </w:p>
    <w:p w14:paraId="442A0DF9" w14:textId="16B576CC" w:rsidR="002B5003" w:rsidRDefault="002B5003" w:rsidP="003955A5">
      <w:pPr>
        <w:rPr>
          <w:rFonts w:ascii="Arial" w:hAnsi="Arial" w:cs="Arial"/>
          <w:color w:val="C00000"/>
          <w:sz w:val="20"/>
          <w:szCs w:val="20"/>
        </w:rPr>
      </w:pPr>
    </w:p>
    <w:p w14:paraId="589C02DC" w14:textId="1D284DA9" w:rsidR="007B462C" w:rsidRDefault="007B462C" w:rsidP="003955A5">
      <w:pPr>
        <w:rPr>
          <w:rFonts w:ascii="Arial" w:hAnsi="Arial" w:cs="Arial"/>
          <w:color w:val="C00000"/>
          <w:sz w:val="20"/>
          <w:szCs w:val="20"/>
        </w:rPr>
      </w:pPr>
    </w:p>
    <w:p w14:paraId="07AF73CA" w14:textId="77777777" w:rsidR="007B462C" w:rsidRDefault="007B462C" w:rsidP="003955A5">
      <w:pPr>
        <w:rPr>
          <w:rFonts w:ascii="Arial" w:hAnsi="Arial" w:cs="Arial"/>
          <w:color w:val="C00000"/>
          <w:sz w:val="20"/>
          <w:szCs w:val="20"/>
        </w:rPr>
      </w:pPr>
    </w:p>
    <w:p w14:paraId="37F1B037" w14:textId="77777777" w:rsidR="007B462C" w:rsidRDefault="007B462C" w:rsidP="003955A5">
      <w:pPr>
        <w:rPr>
          <w:rFonts w:ascii="Arial" w:hAnsi="Arial" w:cs="Arial"/>
          <w:color w:val="C00000"/>
          <w:sz w:val="20"/>
          <w:szCs w:val="20"/>
        </w:rPr>
      </w:pPr>
    </w:p>
    <w:p w14:paraId="3EF2D4F6" w14:textId="77777777" w:rsidR="007B462C" w:rsidRDefault="007B462C" w:rsidP="003955A5">
      <w:pPr>
        <w:rPr>
          <w:rFonts w:ascii="Arial" w:hAnsi="Arial" w:cs="Arial"/>
          <w:color w:val="C00000"/>
          <w:sz w:val="20"/>
          <w:szCs w:val="20"/>
        </w:rPr>
      </w:pPr>
    </w:p>
    <w:p w14:paraId="3C6972B4" w14:textId="77777777" w:rsidR="007B462C" w:rsidRDefault="007B462C" w:rsidP="003955A5">
      <w:pPr>
        <w:rPr>
          <w:rFonts w:ascii="Arial" w:hAnsi="Arial" w:cs="Arial"/>
          <w:color w:val="C00000"/>
          <w:sz w:val="20"/>
          <w:szCs w:val="20"/>
        </w:rPr>
      </w:pPr>
    </w:p>
    <w:p w14:paraId="35B76A6B" w14:textId="77777777" w:rsidR="007B462C" w:rsidRDefault="007B462C" w:rsidP="003955A5">
      <w:pPr>
        <w:rPr>
          <w:rFonts w:ascii="Arial" w:hAnsi="Arial" w:cs="Arial"/>
          <w:color w:val="C00000"/>
          <w:sz w:val="20"/>
          <w:szCs w:val="20"/>
        </w:rPr>
      </w:pPr>
    </w:p>
    <w:p w14:paraId="6B849FA1" w14:textId="77777777" w:rsidR="007B462C" w:rsidRDefault="007B462C" w:rsidP="003955A5">
      <w:pPr>
        <w:rPr>
          <w:rFonts w:ascii="Arial" w:hAnsi="Arial" w:cs="Arial"/>
          <w:color w:val="C00000"/>
          <w:sz w:val="20"/>
          <w:szCs w:val="20"/>
        </w:rPr>
      </w:pPr>
    </w:p>
    <w:p w14:paraId="6F46D64A" w14:textId="77777777" w:rsidR="007B462C" w:rsidRDefault="007B462C" w:rsidP="003955A5">
      <w:pPr>
        <w:rPr>
          <w:rFonts w:ascii="Arial" w:hAnsi="Arial" w:cs="Arial"/>
          <w:color w:val="C00000"/>
          <w:sz w:val="20"/>
          <w:szCs w:val="20"/>
        </w:rPr>
      </w:pPr>
    </w:p>
    <w:p w14:paraId="5627D4BE" w14:textId="77777777" w:rsidR="007B462C" w:rsidRDefault="007B462C" w:rsidP="003955A5">
      <w:pPr>
        <w:rPr>
          <w:rFonts w:ascii="Arial" w:hAnsi="Arial" w:cs="Arial"/>
          <w:color w:val="C00000"/>
          <w:sz w:val="20"/>
          <w:szCs w:val="20"/>
        </w:rPr>
      </w:pPr>
    </w:p>
    <w:p w14:paraId="54FDC442" w14:textId="77777777" w:rsidR="007B462C" w:rsidRDefault="007B462C" w:rsidP="003955A5">
      <w:pPr>
        <w:rPr>
          <w:rFonts w:ascii="Arial" w:hAnsi="Arial" w:cs="Arial"/>
          <w:color w:val="C00000"/>
          <w:sz w:val="20"/>
          <w:szCs w:val="20"/>
        </w:rPr>
      </w:pPr>
    </w:p>
    <w:p w14:paraId="230B1520" w14:textId="77777777" w:rsidR="007B462C" w:rsidRDefault="007B462C" w:rsidP="003955A5">
      <w:pPr>
        <w:rPr>
          <w:rFonts w:ascii="Arial" w:hAnsi="Arial" w:cs="Arial"/>
          <w:color w:val="C00000"/>
          <w:sz w:val="20"/>
          <w:szCs w:val="20"/>
        </w:rPr>
      </w:pPr>
    </w:p>
    <w:p w14:paraId="6AC74595" w14:textId="77777777" w:rsidR="007B462C" w:rsidRDefault="007B462C" w:rsidP="003955A5">
      <w:pPr>
        <w:rPr>
          <w:rFonts w:ascii="Arial" w:hAnsi="Arial" w:cs="Arial"/>
          <w:color w:val="C00000"/>
          <w:sz w:val="20"/>
          <w:szCs w:val="20"/>
        </w:rPr>
      </w:pPr>
    </w:p>
    <w:p w14:paraId="23ED09B7" w14:textId="77777777" w:rsidR="007B462C" w:rsidRDefault="007B462C" w:rsidP="003955A5">
      <w:pPr>
        <w:rPr>
          <w:rFonts w:ascii="Arial" w:hAnsi="Arial" w:cs="Arial"/>
          <w:color w:val="C00000"/>
          <w:sz w:val="20"/>
          <w:szCs w:val="20"/>
        </w:rPr>
      </w:pPr>
    </w:p>
    <w:p w14:paraId="5C4A7834" w14:textId="77777777" w:rsidR="007B462C" w:rsidRDefault="007B462C" w:rsidP="003955A5">
      <w:pPr>
        <w:rPr>
          <w:rFonts w:ascii="Arial" w:hAnsi="Arial" w:cs="Arial"/>
          <w:color w:val="C00000"/>
          <w:sz w:val="20"/>
          <w:szCs w:val="20"/>
        </w:rPr>
      </w:pPr>
    </w:p>
    <w:p w14:paraId="7F0FF590" w14:textId="77777777" w:rsidR="007B462C" w:rsidRDefault="007B462C" w:rsidP="003955A5">
      <w:pPr>
        <w:rPr>
          <w:rFonts w:ascii="Arial" w:hAnsi="Arial" w:cs="Arial"/>
          <w:color w:val="C00000"/>
          <w:sz w:val="20"/>
          <w:szCs w:val="20"/>
        </w:rPr>
      </w:pPr>
    </w:p>
    <w:p w14:paraId="6D9B0B83" w14:textId="77777777" w:rsidR="007B462C" w:rsidRDefault="007B462C" w:rsidP="003955A5">
      <w:pPr>
        <w:rPr>
          <w:rFonts w:ascii="Arial" w:hAnsi="Arial" w:cs="Arial"/>
          <w:color w:val="C00000"/>
          <w:sz w:val="20"/>
          <w:szCs w:val="20"/>
        </w:rPr>
      </w:pPr>
    </w:p>
    <w:p w14:paraId="03CCF6B7" w14:textId="77777777" w:rsidR="007B462C" w:rsidRDefault="007B462C" w:rsidP="003955A5">
      <w:pPr>
        <w:rPr>
          <w:rFonts w:ascii="Arial" w:hAnsi="Arial" w:cs="Arial"/>
          <w:color w:val="C00000"/>
          <w:sz w:val="20"/>
          <w:szCs w:val="20"/>
        </w:rPr>
      </w:pPr>
    </w:p>
    <w:p w14:paraId="427D0D9C" w14:textId="77777777" w:rsidR="007B462C" w:rsidRDefault="007B462C" w:rsidP="003955A5">
      <w:pPr>
        <w:rPr>
          <w:rFonts w:ascii="Arial" w:hAnsi="Arial" w:cs="Arial"/>
          <w:color w:val="C00000"/>
          <w:sz w:val="20"/>
          <w:szCs w:val="20"/>
        </w:rPr>
      </w:pPr>
    </w:p>
    <w:p w14:paraId="12C76D97" w14:textId="77777777" w:rsidR="007B462C" w:rsidRDefault="007B462C" w:rsidP="003955A5">
      <w:pPr>
        <w:rPr>
          <w:rFonts w:ascii="Arial" w:hAnsi="Arial" w:cs="Arial"/>
          <w:color w:val="C00000"/>
          <w:sz w:val="20"/>
          <w:szCs w:val="20"/>
        </w:rPr>
      </w:pPr>
    </w:p>
    <w:p w14:paraId="051B0909" w14:textId="77777777" w:rsidR="007B462C" w:rsidRDefault="007B462C" w:rsidP="003955A5">
      <w:pPr>
        <w:rPr>
          <w:rFonts w:ascii="Arial" w:hAnsi="Arial" w:cs="Arial"/>
          <w:color w:val="C00000"/>
          <w:sz w:val="20"/>
          <w:szCs w:val="20"/>
        </w:rPr>
      </w:pPr>
    </w:p>
    <w:p w14:paraId="31D4361D" w14:textId="77777777" w:rsidR="007B462C" w:rsidRDefault="007B462C" w:rsidP="003955A5">
      <w:pPr>
        <w:rPr>
          <w:rFonts w:ascii="Arial" w:hAnsi="Arial" w:cs="Arial"/>
          <w:color w:val="C00000"/>
          <w:sz w:val="20"/>
          <w:szCs w:val="20"/>
        </w:rPr>
      </w:pPr>
    </w:p>
    <w:p w14:paraId="1314C69E" w14:textId="77777777" w:rsidR="007B462C" w:rsidRDefault="007B462C" w:rsidP="003955A5">
      <w:pPr>
        <w:rPr>
          <w:rFonts w:ascii="Arial" w:hAnsi="Arial" w:cs="Arial"/>
          <w:color w:val="C00000"/>
          <w:sz w:val="20"/>
          <w:szCs w:val="20"/>
        </w:rPr>
      </w:pPr>
    </w:p>
    <w:p w14:paraId="6D334A3A" w14:textId="77777777" w:rsidR="007B462C" w:rsidRDefault="007B462C" w:rsidP="003955A5">
      <w:pPr>
        <w:rPr>
          <w:rFonts w:ascii="Arial" w:hAnsi="Arial" w:cs="Arial"/>
          <w:color w:val="C00000"/>
          <w:sz w:val="20"/>
          <w:szCs w:val="20"/>
        </w:rPr>
      </w:pPr>
    </w:p>
    <w:p w14:paraId="7BBB2F73" w14:textId="77777777" w:rsidR="007B462C" w:rsidRDefault="007B462C" w:rsidP="003955A5">
      <w:pPr>
        <w:rPr>
          <w:rFonts w:ascii="Arial" w:hAnsi="Arial" w:cs="Arial"/>
          <w:color w:val="C00000"/>
          <w:sz w:val="20"/>
          <w:szCs w:val="20"/>
        </w:rPr>
      </w:pPr>
    </w:p>
    <w:p w14:paraId="5836808D" w14:textId="77777777" w:rsidR="007B462C" w:rsidRDefault="007B462C" w:rsidP="003955A5">
      <w:pPr>
        <w:rPr>
          <w:rFonts w:ascii="Arial" w:hAnsi="Arial" w:cs="Arial"/>
          <w:color w:val="C00000"/>
          <w:sz w:val="20"/>
          <w:szCs w:val="20"/>
        </w:rPr>
      </w:pPr>
    </w:p>
    <w:p w14:paraId="0249F719" w14:textId="21918A27" w:rsidR="007B462C" w:rsidRDefault="007B462C" w:rsidP="003955A5">
      <w:pPr>
        <w:rPr>
          <w:rFonts w:ascii="Arial" w:hAnsi="Arial" w:cs="Arial"/>
          <w:color w:val="C00000"/>
          <w:sz w:val="20"/>
          <w:szCs w:val="20"/>
        </w:rPr>
      </w:pPr>
    </w:p>
    <w:p w14:paraId="3D24B361" w14:textId="27055328" w:rsidR="00EA0996" w:rsidRDefault="00EA0996" w:rsidP="003955A5">
      <w:pPr>
        <w:rPr>
          <w:rFonts w:ascii="Arial" w:hAnsi="Arial" w:cs="Arial"/>
          <w:color w:val="C00000"/>
          <w:sz w:val="20"/>
          <w:szCs w:val="20"/>
        </w:rPr>
      </w:pPr>
    </w:p>
    <w:p w14:paraId="2DABFBEB" w14:textId="1C3F0011" w:rsidR="00EA0996" w:rsidRDefault="00EA0996" w:rsidP="003955A5">
      <w:pPr>
        <w:rPr>
          <w:rFonts w:ascii="Arial" w:hAnsi="Arial" w:cs="Arial"/>
          <w:color w:val="C00000"/>
          <w:sz w:val="20"/>
          <w:szCs w:val="20"/>
        </w:rPr>
      </w:pPr>
    </w:p>
    <w:p w14:paraId="36A4B216" w14:textId="1E0DA2F9" w:rsidR="00EA0996" w:rsidRDefault="00EA0996" w:rsidP="003955A5">
      <w:pPr>
        <w:rPr>
          <w:rFonts w:ascii="Arial" w:hAnsi="Arial" w:cs="Arial"/>
          <w:color w:val="C00000"/>
          <w:sz w:val="20"/>
          <w:szCs w:val="20"/>
        </w:rPr>
      </w:pPr>
    </w:p>
    <w:p w14:paraId="1E315EDE" w14:textId="0C31F085" w:rsidR="00EA0996" w:rsidRDefault="00EA0996" w:rsidP="003955A5">
      <w:pPr>
        <w:rPr>
          <w:rFonts w:ascii="Arial" w:hAnsi="Arial" w:cs="Arial"/>
          <w:color w:val="C00000"/>
          <w:sz w:val="20"/>
          <w:szCs w:val="20"/>
        </w:rPr>
      </w:pPr>
      <w:r>
        <w:rPr>
          <w:noProof/>
        </w:rPr>
        <w:drawing>
          <wp:anchor distT="0" distB="0" distL="114300" distR="114300" simplePos="0" relativeHeight="251691008" behindDoc="1" locked="0" layoutInCell="1" allowOverlap="1" wp14:anchorId="3B21F675" wp14:editId="5268D1C0">
            <wp:simplePos x="0" y="0"/>
            <wp:positionH relativeFrom="margin">
              <wp:align>center</wp:align>
            </wp:positionH>
            <wp:positionV relativeFrom="paragraph">
              <wp:posOffset>231185</wp:posOffset>
            </wp:positionV>
            <wp:extent cx="10476230" cy="6247765"/>
            <wp:effectExtent l="0" t="318" r="953" b="952"/>
            <wp:wrapNone/>
            <wp:docPr id="5005854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b="15735"/>
                    <a:stretch/>
                  </pic:blipFill>
                  <pic:spPr bwMode="auto">
                    <a:xfrm rot="5400000">
                      <a:off x="0" y="0"/>
                      <a:ext cx="10476230" cy="62477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C5495D" w14:textId="77777777" w:rsidR="00EA0996" w:rsidRDefault="00EA0996" w:rsidP="003955A5">
      <w:pPr>
        <w:rPr>
          <w:rFonts w:ascii="Arial" w:hAnsi="Arial" w:cs="Arial"/>
          <w:color w:val="C00000"/>
          <w:sz w:val="20"/>
          <w:szCs w:val="20"/>
        </w:rPr>
      </w:pPr>
    </w:p>
    <w:p w14:paraId="52F82D10" w14:textId="77777777" w:rsidR="00EA0996" w:rsidRDefault="00EA0996" w:rsidP="003955A5">
      <w:pPr>
        <w:rPr>
          <w:rFonts w:ascii="Arial" w:hAnsi="Arial" w:cs="Arial"/>
          <w:color w:val="C00000"/>
          <w:sz w:val="20"/>
          <w:szCs w:val="20"/>
        </w:rPr>
      </w:pPr>
    </w:p>
    <w:p w14:paraId="27096EB8" w14:textId="77777777" w:rsidR="00EA0996" w:rsidRDefault="00EA0996" w:rsidP="003955A5">
      <w:pPr>
        <w:rPr>
          <w:rFonts w:ascii="Arial" w:hAnsi="Arial" w:cs="Arial"/>
          <w:color w:val="C00000"/>
          <w:sz w:val="20"/>
          <w:szCs w:val="20"/>
        </w:rPr>
      </w:pPr>
    </w:p>
    <w:p w14:paraId="22122395" w14:textId="77777777" w:rsidR="00EA0996" w:rsidRDefault="00EA0996" w:rsidP="003955A5">
      <w:pPr>
        <w:rPr>
          <w:rFonts w:ascii="Arial" w:hAnsi="Arial" w:cs="Arial"/>
          <w:color w:val="C00000"/>
          <w:sz w:val="20"/>
          <w:szCs w:val="20"/>
        </w:rPr>
      </w:pPr>
    </w:p>
    <w:p w14:paraId="6F62DF48" w14:textId="77777777" w:rsidR="00EA0996" w:rsidRDefault="00EA0996" w:rsidP="003955A5">
      <w:pPr>
        <w:rPr>
          <w:rFonts w:ascii="Arial" w:hAnsi="Arial" w:cs="Arial"/>
          <w:color w:val="C00000"/>
          <w:sz w:val="20"/>
          <w:szCs w:val="20"/>
        </w:rPr>
      </w:pPr>
    </w:p>
    <w:p w14:paraId="4E4CDC30" w14:textId="77777777" w:rsidR="00EA0996" w:rsidRDefault="00EA0996" w:rsidP="003955A5">
      <w:pPr>
        <w:rPr>
          <w:rFonts w:ascii="Arial" w:hAnsi="Arial" w:cs="Arial"/>
          <w:color w:val="C00000"/>
          <w:sz w:val="20"/>
          <w:szCs w:val="20"/>
        </w:rPr>
      </w:pPr>
    </w:p>
    <w:p w14:paraId="46CC1BB7" w14:textId="77777777" w:rsidR="00EA0996" w:rsidRDefault="00EA0996" w:rsidP="003955A5">
      <w:pPr>
        <w:rPr>
          <w:rFonts w:ascii="Arial" w:hAnsi="Arial" w:cs="Arial"/>
          <w:color w:val="C00000"/>
          <w:sz w:val="20"/>
          <w:szCs w:val="20"/>
        </w:rPr>
      </w:pPr>
    </w:p>
    <w:p w14:paraId="603D2637" w14:textId="77777777" w:rsidR="00EA0996" w:rsidRDefault="00EA0996" w:rsidP="003955A5">
      <w:pPr>
        <w:rPr>
          <w:rFonts w:ascii="Arial" w:hAnsi="Arial" w:cs="Arial"/>
          <w:color w:val="C00000"/>
          <w:sz w:val="20"/>
          <w:szCs w:val="20"/>
        </w:rPr>
      </w:pPr>
    </w:p>
    <w:p w14:paraId="25419914" w14:textId="77777777" w:rsidR="00EA0996" w:rsidRDefault="00EA0996" w:rsidP="003955A5">
      <w:pPr>
        <w:rPr>
          <w:rFonts w:ascii="Arial" w:hAnsi="Arial" w:cs="Arial"/>
          <w:color w:val="C00000"/>
          <w:sz w:val="20"/>
          <w:szCs w:val="20"/>
        </w:rPr>
      </w:pPr>
    </w:p>
    <w:p w14:paraId="1E98DDD4" w14:textId="77777777" w:rsidR="00EA0996" w:rsidRDefault="00EA0996" w:rsidP="003955A5">
      <w:pPr>
        <w:rPr>
          <w:rFonts w:ascii="Arial" w:hAnsi="Arial" w:cs="Arial"/>
          <w:color w:val="C00000"/>
          <w:sz w:val="20"/>
          <w:szCs w:val="20"/>
        </w:rPr>
      </w:pPr>
    </w:p>
    <w:p w14:paraId="5B9E69E8" w14:textId="77777777" w:rsidR="00EA0996" w:rsidRDefault="00EA0996" w:rsidP="003955A5">
      <w:pPr>
        <w:rPr>
          <w:rFonts w:ascii="Arial" w:hAnsi="Arial" w:cs="Arial"/>
          <w:color w:val="C00000"/>
          <w:sz w:val="20"/>
          <w:szCs w:val="20"/>
        </w:rPr>
      </w:pPr>
    </w:p>
    <w:p w14:paraId="4694CF7C" w14:textId="77777777" w:rsidR="00EA0996" w:rsidRDefault="00EA0996" w:rsidP="003955A5">
      <w:pPr>
        <w:rPr>
          <w:rFonts w:ascii="Arial" w:hAnsi="Arial" w:cs="Arial"/>
          <w:color w:val="C00000"/>
          <w:sz w:val="20"/>
          <w:szCs w:val="20"/>
        </w:rPr>
      </w:pPr>
    </w:p>
    <w:p w14:paraId="5A2F80C5" w14:textId="77777777" w:rsidR="00EA0996" w:rsidRDefault="00EA0996" w:rsidP="003955A5">
      <w:pPr>
        <w:rPr>
          <w:rFonts w:ascii="Arial" w:hAnsi="Arial" w:cs="Arial"/>
          <w:color w:val="C00000"/>
          <w:sz w:val="20"/>
          <w:szCs w:val="20"/>
        </w:rPr>
      </w:pPr>
    </w:p>
    <w:p w14:paraId="289F39D4" w14:textId="77777777" w:rsidR="00EA0996" w:rsidRDefault="00EA0996" w:rsidP="003955A5">
      <w:pPr>
        <w:rPr>
          <w:rFonts w:ascii="Arial" w:hAnsi="Arial" w:cs="Arial"/>
          <w:color w:val="C00000"/>
          <w:sz w:val="20"/>
          <w:szCs w:val="20"/>
        </w:rPr>
      </w:pPr>
    </w:p>
    <w:p w14:paraId="10A5649E" w14:textId="77777777" w:rsidR="00EA0996" w:rsidRDefault="00EA0996" w:rsidP="003955A5">
      <w:pPr>
        <w:rPr>
          <w:rFonts w:ascii="Arial" w:hAnsi="Arial" w:cs="Arial"/>
          <w:color w:val="C00000"/>
          <w:sz w:val="20"/>
          <w:szCs w:val="20"/>
        </w:rPr>
      </w:pPr>
    </w:p>
    <w:p w14:paraId="25CACD42" w14:textId="77777777" w:rsidR="00EA0996" w:rsidRDefault="00EA0996" w:rsidP="003955A5">
      <w:pPr>
        <w:rPr>
          <w:rFonts w:ascii="Arial" w:hAnsi="Arial" w:cs="Arial"/>
          <w:color w:val="C00000"/>
          <w:sz w:val="20"/>
          <w:szCs w:val="20"/>
        </w:rPr>
      </w:pPr>
    </w:p>
    <w:p w14:paraId="2625BA3F" w14:textId="77777777" w:rsidR="00EA0996" w:rsidRDefault="00EA0996" w:rsidP="003955A5">
      <w:pPr>
        <w:rPr>
          <w:rFonts w:ascii="Arial" w:hAnsi="Arial" w:cs="Arial"/>
          <w:color w:val="C00000"/>
          <w:sz w:val="20"/>
          <w:szCs w:val="20"/>
        </w:rPr>
      </w:pPr>
    </w:p>
    <w:p w14:paraId="4FA85CDF" w14:textId="77777777" w:rsidR="00EA0996" w:rsidRDefault="00EA0996" w:rsidP="003955A5">
      <w:pPr>
        <w:rPr>
          <w:rFonts w:ascii="Arial" w:hAnsi="Arial" w:cs="Arial"/>
          <w:color w:val="C00000"/>
          <w:sz w:val="20"/>
          <w:szCs w:val="20"/>
        </w:rPr>
      </w:pPr>
    </w:p>
    <w:p w14:paraId="5344B779" w14:textId="77777777" w:rsidR="00EA0996" w:rsidRDefault="00EA0996" w:rsidP="003955A5">
      <w:pPr>
        <w:rPr>
          <w:rFonts w:ascii="Arial" w:hAnsi="Arial" w:cs="Arial"/>
          <w:color w:val="C00000"/>
          <w:sz w:val="20"/>
          <w:szCs w:val="20"/>
        </w:rPr>
      </w:pPr>
    </w:p>
    <w:p w14:paraId="32924F3B" w14:textId="77777777" w:rsidR="00EA0996" w:rsidRDefault="00EA0996" w:rsidP="003955A5">
      <w:pPr>
        <w:rPr>
          <w:rFonts w:ascii="Arial" w:hAnsi="Arial" w:cs="Arial"/>
          <w:color w:val="C00000"/>
          <w:sz w:val="20"/>
          <w:szCs w:val="20"/>
        </w:rPr>
      </w:pPr>
    </w:p>
    <w:p w14:paraId="555D587F" w14:textId="77777777" w:rsidR="00EA0996" w:rsidRDefault="00EA0996" w:rsidP="003955A5">
      <w:pPr>
        <w:rPr>
          <w:rFonts w:ascii="Arial" w:hAnsi="Arial" w:cs="Arial"/>
          <w:color w:val="C00000"/>
          <w:sz w:val="20"/>
          <w:szCs w:val="20"/>
        </w:rPr>
      </w:pPr>
    </w:p>
    <w:p w14:paraId="4A779198" w14:textId="77777777" w:rsidR="00EA0996" w:rsidRDefault="00EA0996" w:rsidP="003955A5">
      <w:pPr>
        <w:rPr>
          <w:rFonts w:ascii="Arial" w:hAnsi="Arial" w:cs="Arial"/>
          <w:color w:val="C00000"/>
          <w:sz w:val="20"/>
          <w:szCs w:val="20"/>
        </w:rPr>
      </w:pPr>
    </w:p>
    <w:p w14:paraId="2E755FE1" w14:textId="77777777" w:rsidR="00EA0996" w:rsidRDefault="00EA0996" w:rsidP="003955A5">
      <w:pPr>
        <w:rPr>
          <w:rFonts w:ascii="Arial" w:hAnsi="Arial" w:cs="Arial"/>
          <w:color w:val="C00000"/>
          <w:sz w:val="20"/>
          <w:szCs w:val="20"/>
        </w:rPr>
      </w:pPr>
    </w:p>
    <w:p w14:paraId="66B6053F" w14:textId="77777777" w:rsidR="00EA0996" w:rsidRDefault="00EA0996" w:rsidP="003955A5">
      <w:pPr>
        <w:rPr>
          <w:rFonts w:ascii="Arial" w:hAnsi="Arial" w:cs="Arial"/>
          <w:color w:val="C00000"/>
          <w:sz w:val="20"/>
          <w:szCs w:val="20"/>
        </w:rPr>
      </w:pPr>
    </w:p>
    <w:p w14:paraId="05ACDFA8" w14:textId="77777777" w:rsidR="00EA0996" w:rsidRDefault="00EA0996" w:rsidP="003955A5">
      <w:pPr>
        <w:rPr>
          <w:rFonts w:ascii="Arial" w:hAnsi="Arial" w:cs="Arial"/>
          <w:color w:val="C00000"/>
          <w:sz w:val="20"/>
          <w:szCs w:val="20"/>
        </w:rPr>
      </w:pPr>
    </w:p>
    <w:p w14:paraId="0D0DC913" w14:textId="77777777" w:rsidR="00EA0996" w:rsidRDefault="00EA0996" w:rsidP="003955A5">
      <w:pPr>
        <w:rPr>
          <w:rFonts w:ascii="Arial" w:hAnsi="Arial" w:cs="Arial"/>
          <w:color w:val="C00000"/>
          <w:sz w:val="20"/>
          <w:szCs w:val="20"/>
        </w:rPr>
      </w:pPr>
    </w:p>
    <w:p w14:paraId="2464B508" w14:textId="77777777" w:rsidR="00EA0996" w:rsidRDefault="00EA0996" w:rsidP="003955A5">
      <w:pPr>
        <w:rPr>
          <w:rFonts w:ascii="Arial" w:hAnsi="Arial" w:cs="Arial"/>
          <w:color w:val="C00000"/>
          <w:sz w:val="20"/>
          <w:szCs w:val="20"/>
        </w:rPr>
      </w:pPr>
    </w:p>
    <w:p w14:paraId="78BF9818" w14:textId="77777777" w:rsidR="00EA0996" w:rsidRDefault="00EA0996" w:rsidP="003955A5">
      <w:pPr>
        <w:rPr>
          <w:rFonts w:ascii="Arial" w:hAnsi="Arial" w:cs="Arial"/>
          <w:color w:val="C00000"/>
          <w:sz w:val="20"/>
          <w:szCs w:val="20"/>
        </w:rPr>
      </w:pPr>
    </w:p>
    <w:p w14:paraId="11C0F039" w14:textId="77777777" w:rsidR="00EA0996" w:rsidRDefault="00EA0996" w:rsidP="003955A5">
      <w:pPr>
        <w:rPr>
          <w:rFonts w:ascii="Arial" w:hAnsi="Arial" w:cs="Arial"/>
          <w:color w:val="C00000"/>
          <w:sz w:val="20"/>
          <w:szCs w:val="20"/>
        </w:rPr>
      </w:pPr>
    </w:p>
    <w:p w14:paraId="0D831208" w14:textId="69395E82" w:rsidR="00EA0996" w:rsidRDefault="00EA0996" w:rsidP="003955A5">
      <w:pPr>
        <w:rPr>
          <w:rFonts w:ascii="Arial" w:hAnsi="Arial" w:cs="Arial"/>
          <w:color w:val="C00000"/>
          <w:sz w:val="20"/>
          <w:szCs w:val="20"/>
        </w:rPr>
      </w:pPr>
    </w:p>
    <w:p w14:paraId="4C685DD1" w14:textId="77777777" w:rsidR="00EA0996" w:rsidRDefault="00EA0996" w:rsidP="003955A5">
      <w:pPr>
        <w:rPr>
          <w:rFonts w:ascii="Arial" w:hAnsi="Arial" w:cs="Arial"/>
          <w:color w:val="C00000"/>
          <w:sz w:val="20"/>
          <w:szCs w:val="20"/>
        </w:rPr>
      </w:pPr>
    </w:p>
    <w:p w14:paraId="788D79B7" w14:textId="558744E6" w:rsidR="00EA0996" w:rsidRDefault="00EA0996" w:rsidP="003955A5">
      <w:pPr>
        <w:rPr>
          <w:rFonts w:ascii="Arial" w:hAnsi="Arial" w:cs="Arial"/>
          <w:color w:val="C00000"/>
          <w:sz w:val="20"/>
          <w:szCs w:val="20"/>
        </w:rPr>
      </w:pPr>
    </w:p>
    <w:p w14:paraId="55FFEE15" w14:textId="589FA1C8" w:rsidR="00EA0996" w:rsidRDefault="00EA0996" w:rsidP="003955A5">
      <w:pPr>
        <w:rPr>
          <w:rFonts w:ascii="Arial" w:hAnsi="Arial" w:cs="Arial"/>
          <w:color w:val="C00000"/>
          <w:sz w:val="20"/>
          <w:szCs w:val="20"/>
        </w:rPr>
      </w:pPr>
    </w:p>
    <w:p w14:paraId="5D86CAB3" w14:textId="3A03E469" w:rsidR="00EA0996" w:rsidRDefault="00EA0996" w:rsidP="003955A5">
      <w:pPr>
        <w:rPr>
          <w:rFonts w:ascii="Arial" w:hAnsi="Arial" w:cs="Arial"/>
          <w:color w:val="C00000"/>
          <w:sz w:val="20"/>
          <w:szCs w:val="20"/>
        </w:rPr>
      </w:pPr>
    </w:p>
    <w:p w14:paraId="06A86EB5" w14:textId="020520A4" w:rsidR="00EA0996" w:rsidRDefault="00EA0996" w:rsidP="003955A5">
      <w:pPr>
        <w:rPr>
          <w:rFonts w:ascii="Arial" w:hAnsi="Arial" w:cs="Arial"/>
          <w:color w:val="C00000"/>
          <w:sz w:val="20"/>
          <w:szCs w:val="20"/>
        </w:rPr>
      </w:pPr>
    </w:p>
    <w:p w14:paraId="098FB460" w14:textId="6F66CA66" w:rsidR="00EA0996" w:rsidRDefault="00EA0996" w:rsidP="003955A5">
      <w:pPr>
        <w:rPr>
          <w:rFonts w:ascii="Arial" w:hAnsi="Arial" w:cs="Arial"/>
          <w:color w:val="C00000"/>
          <w:sz w:val="20"/>
          <w:szCs w:val="20"/>
        </w:rPr>
      </w:pPr>
    </w:p>
    <w:p w14:paraId="5CB19A1A" w14:textId="5350ED85" w:rsidR="00EA0996" w:rsidRDefault="00EA0996" w:rsidP="003955A5">
      <w:pPr>
        <w:rPr>
          <w:rFonts w:ascii="Arial" w:hAnsi="Arial" w:cs="Arial"/>
          <w:color w:val="C00000"/>
          <w:sz w:val="20"/>
          <w:szCs w:val="20"/>
        </w:rPr>
      </w:pPr>
    </w:p>
    <w:p w14:paraId="3AC49702" w14:textId="6DAFE3DC" w:rsidR="00EA0996" w:rsidRDefault="00EA0996" w:rsidP="003955A5">
      <w:pPr>
        <w:rPr>
          <w:rFonts w:ascii="Arial" w:hAnsi="Arial" w:cs="Arial"/>
          <w:color w:val="C00000"/>
          <w:sz w:val="20"/>
          <w:szCs w:val="20"/>
        </w:rPr>
      </w:pPr>
    </w:p>
    <w:p w14:paraId="52D04FF1" w14:textId="0FC55A39" w:rsidR="00EA0996" w:rsidRDefault="00EA0996" w:rsidP="00EA0996">
      <w:pPr>
        <w:tabs>
          <w:tab w:val="left" w:pos="3943"/>
        </w:tabs>
        <w:rPr>
          <w:rFonts w:ascii="Arial" w:hAnsi="Arial" w:cs="Arial"/>
          <w:color w:val="C00000"/>
          <w:sz w:val="20"/>
          <w:szCs w:val="20"/>
        </w:rPr>
      </w:pPr>
      <w:r>
        <w:rPr>
          <w:noProof/>
        </w:rPr>
        <w:drawing>
          <wp:anchor distT="0" distB="0" distL="114300" distR="114300" simplePos="0" relativeHeight="251692032" behindDoc="1" locked="0" layoutInCell="1" allowOverlap="1" wp14:anchorId="5F4B29F4" wp14:editId="25DE0B6B">
            <wp:simplePos x="0" y="0"/>
            <wp:positionH relativeFrom="margin">
              <wp:align>center</wp:align>
            </wp:positionH>
            <wp:positionV relativeFrom="paragraph">
              <wp:posOffset>433796</wp:posOffset>
            </wp:positionV>
            <wp:extent cx="10495731" cy="3329024"/>
            <wp:effectExtent l="1905" t="0" r="3175" b="3175"/>
            <wp:wrapNone/>
            <wp:docPr id="2520064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b="55184"/>
                    <a:stretch/>
                  </pic:blipFill>
                  <pic:spPr bwMode="auto">
                    <a:xfrm rot="5400000">
                      <a:off x="0" y="0"/>
                      <a:ext cx="10495731" cy="332902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color w:val="C00000"/>
          <w:sz w:val="20"/>
          <w:szCs w:val="20"/>
        </w:rPr>
        <w:tab/>
      </w:r>
    </w:p>
    <w:p w14:paraId="041F9118" w14:textId="55BBAABF" w:rsidR="00EA0996" w:rsidRDefault="00EA0996" w:rsidP="003955A5">
      <w:pPr>
        <w:rPr>
          <w:rFonts w:ascii="Arial" w:hAnsi="Arial" w:cs="Arial"/>
          <w:color w:val="C00000"/>
          <w:sz w:val="20"/>
          <w:szCs w:val="20"/>
        </w:rPr>
      </w:pPr>
    </w:p>
    <w:p w14:paraId="16EC9004" w14:textId="6094891B" w:rsidR="00EA0996" w:rsidRDefault="00EA0996" w:rsidP="003955A5">
      <w:pPr>
        <w:rPr>
          <w:rFonts w:ascii="Arial" w:hAnsi="Arial" w:cs="Arial"/>
          <w:color w:val="C00000"/>
          <w:sz w:val="20"/>
          <w:szCs w:val="20"/>
        </w:rPr>
      </w:pPr>
    </w:p>
    <w:p w14:paraId="02569A3A" w14:textId="77777777" w:rsidR="00EA0996" w:rsidRDefault="00EA0996" w:rsidP="003955A5">
      <w:pPr>
        <w:rPr>
          <w:rFonts w:ascii="Arial" w:hAnsi="Arial" w:cs="Arial"/>
          <w:color w:val="C00000"/>
          <w:sz w:val="20"/>
          <w:szCs w:val="20"/>
        </w:rPr>
      </w:pPr>
    </w:p>
    <w:p w14:paraId="4998743C" w14:textId="77777777" w:rsidR="00EA0996" w:rsidRDefault="00EA0996" w:rsidP="003955A5">
      <w:pPr>
        <w:rPr>
          <w:rFonts w:ascii="Arial" w:hAnsi="Arial" w:cs="Arial"/>
          <w:color w:val="C00000"/>
          <w:sz w:val="20"/>
          <w:szCs w:val="20"/>
        </w:rPr>
      </w:pPr>
    </w:p>
    <w:p w14:paraId="104A456D" w14:textId="77777777" w:rsidR="00EA0996" w:rsidRDefault="00EA0996" w:rsidP="003955A5">
      <w:pPr>
        <w:rPr>
          <w:rFonts w:ascii="Arial" w:hAnsi="Arial" w:cs="Arial"/>
          <w:color w:val="C00000"/>
          <w:sz w:val="20"/>
          <w:szCs w:val="20"/>
        </w:rPr>
      </w:pPr>
    </w:p>
    <w:p w14:paraId="614C78E1" w14:textId="77777777" w:rsidR="00EA0996" w:rsidRDefault="00EA0996" w:rsidP="003955A5">
      <w:pPr>
        <w:rPr>
          <w:rFonts w:ascii="Arial" w:hAnsi="Arial" w:cs="Arial"/>
          <w:color w:val="C00000"/>
          <w:sz w:val="20"/>
          <w:szCs w:val="20"/>
        </w:rPr>
      </w:pPr>
    </w:p>
    <w:p w14:paraId="482A0DEF" w14:textId="77777777" w:rsidR="00EA0996" w:rsidRDefault="00EA0996" w:rsidP="003955A5">
      <w:pPr>
        <w:rPr>
          <w:rFonts w:ascii="Arial" w:hAnsi="Arial" w:cs="Arial"/>
          <w:color w:val="C00000"/>
          <w:sz w:val="20"/>
          <w:szCs w:val="20"/>
        </w:rPr>
      </w:pPr>
    </w:p>
    <w:p w14:paraId="1E622EC6" w14:textId="77777777" w:rsidR="00EA0996" w:rsidRDefault="00EA0996" w:rsidP="003955A5">
      <w:pPr>
        <w:rPr>
          <w:rFonts w:ascii="Arial" w:hAnsi="Arial" w:cs="Arial"/>
          <w:color w:val="C00000"/>
          <w:sz w:val="20"/>
          <w:szCs w:val="20"/>
        </w:rPr>
      </w:pPr>
    </w:p>
    <w:p w14:paraId="70729CBD" w14:textId="77777777" w:rsidR="00EA0996" w:rsidRDefault="00EA0996" w:rsidP="003955A5">
      <w:pPr>
        <w:rPr>
          <w:rFonts w:ascii="Arial" w:hAnsi="Arial" w:cs="Arial"/>
          <w:color w:val="C00000"/>
          <w:sz w:val="20"/>
          <w:szCs w:val="20"/>
        </w:rPr>
      </w:pPr>
    </w:p>
    <w:p w14:paraId="64ADCB3D" w14:textId="77777777" w:rsidR="00EA0996" w:rsidRDefault="00EA0996" w:rsidP="003955A5">
      <w:pPr>
        <w:rPr>
          <w:rFonts w:ascii="Arial" w:hAnsi="Arial" w:cs="Arial"/>
          <w:color w:val="C00000"/>
          <w:sz w:val="20"/>
          <w:szCs w:val="20"/>
        </w:rPr>
      </w:pPr>
    </w:p>
    <w:p w14:paraId="0A9AC66E" w14:textId="77777777" w:rsidR="00EA0996" w:rsidRDefault="00EA0996" w:rsidP="003955A5">
      <w:pPr>
        <w:rPr>
          <w:rFonts w:ascii="Arial" w:hAnsi="Arial" w:cs="Arial"/>
          <w:color w:val="C00000"/>
          <w:sz w:val="20"/>
          <w:szCs w:val="20"/>
        </w:rPr>
      </w:pPr>
    </w:p>
    <w:p w14:paraId="190F3E43" w14:textId="77777777" w:rsidR="00EA0996" w:rsidRDefault="00EA0996" w:rsidP="003955A5">
      <w:pPr>
        <w:rPr>
          <w:rFonts w:ascii="Arial" w:hAnsi="Arial" w:cs="Arial"/>
          <w:color w:val="C00000"/>
          <w:sz w:val="20"/>
          <w:szCs w:val="20"/>
        </w:rPr>
      </w:pPr>
    </w:p>
    <w:p w14:paraId="0428E45C" w14:textId="77777777" w:rsidR="00EA0996" w:rsidRDefault="00EA0996" w:rsidP="003955A5">
      <w:pPr>
        <w:rPr>
          <w:rFonts w:ascii="Arial" w:hAnsi="Arial" w:cs="Arial"/>
          <w:color w:val="C00000"/>
          <w:sz w:val="20"/>
          <w:szCs w:val="20"/>
        </w:rPr>
      </w:pPr>
    </w:p>
    <w:p w14:paraId="6FDC794C" w14:textId="77777777" w:rsidR="00EA0996" w:rsidRDefault="00EA0996" w:rsidP="003955A5">
      <w:pPr>
        <w:rPr>
          <w:rFonts w:ascii="Arial" w:hAnsi="Arial" w:cs="Arial"/>
          <w:color w:val="C00000"/>
          <w:sz w:val="20"/>
          <w:szCs w:val="20"/>
        </w:rPr>
      </w:pPr>
    </w:p>
    <w:p w14:paraId="7007CDE1" w14:textId="77777777" w:rsidR="00EA0996" w:rsidRDefault="00EA0996" w:rsidP="003955A5">
      <w:pPr>
        <w:rPr>
          <w:rFonts w:ascii="Arial" w:hAnsi="Arial" w:cs="Arial"/>
          <w:color w:val="C00000"/>
          <w:sz w:val="20"/>
          <w:szCs w:val="20"/>
        </w:rPr>
      </w:pPr>
    </w:p>
    <w:p w14:paraId="13653AFA" w14:textId="77777777" w:rsidR="00EA0996" w:rsidRDefault="00EA0996" w:rsidP="003955A5">
      <w:pPr>
        <w:rPr>
          <w:rFonts w:ascii="Arial" w:hAnsi="Arial" w:cs="Arial"/>
          <w:color w:val="C00000"/>
          <w:sz w:val="20"/>
          <w:szCs w:val="20"/>
        </w:rPr>
      </w:pPr>
    </w:p>
    <w:p w14:paraId="2BC5B6AE" w14:textId="77777777" w:rsidR="00EA0996" w:rsidRDefault="00EA0996" w:rsidP="003955A5">
      <w:pPr>
        <w:rPr>
          <w:rFonts w:ascii="Arial" w:hAnsi="Arial" w:cs="Arial"/>
          <w:color w:val="C00000"/>
          <w:sz w:val="20"/>
          <w:szCs w:val="20"/>
        </w:rPr>
      </w:pPr>
    </w:p>
    <w:p w14:paraId="5A4379B6" w14:textId="77777777" w:rsidR="00EA0996" w:rsidRDefault="00EA0996" w:rsidP="003955A5">
      <w:pPr>
        <w:rPr>
          <w:rFonts w:ascii="Arial" w:hAnsi="Arial" w:cs="Arial"/>
          <w:color w:val="C00000"/>
          <w:sz w:val="20"/>
          <w:szCs w:val="20"/>
        </w:rPr>
      </w:pPr>
    </w:p>
    <w:p w14:paraId="644905B1" w14:textId="77777777" w:rsidR="00EA0996" w:rsidRDefault="00EA0996" w:rsidP="003955A5">
      <w:pPr>
        <w:rPr>
          <w:rFonts w:ascii="Arial" w:hAnsi="Arial" w:cs="Arial"/>
          <w:color w:val="C00000"/>
          <w:sz w:val="20"/>
          <w:szCs w:val="20"/>
        </w:rPr>
      </w:pPr>
    </w:p>
    <w:p w14:paraId="32B9F756" w14:textId="77777777" w:rsidR="00EA0996" w:rsidRDefault="00EA0996" w:rsidP="003955A5">
      <w:pPr>
        <w:rPr>
          <w:rFonts w:ascii="Arial" w:hAnsi="Arial" w:cs="Arial"/>
          <w:color w:val="C00000"/>
          <w:sz w:val="20"/>
          <w:szCs w:val="20"/>
        </w:rPr>
      </w:pPr>
    </w:p>
    <w:p w14:paraId="2BF864C5" w14:textId="77777777" w:rsidR="00EA0996" w:rsidRDefault="00EA0996" w:rsidP="003955A5">
      <w:pPr>
        <w:rPr>
          <w:rFonts w:ascii="Arial" w:hAnsi="Arial" w:cs="Arial"/>
          <w:color w:val="C00000"/>
          <w:sz w:val="20"/>
          <w:szCs w:val="20"/>
        </w:rPr>
      </w:pPr>
    </w:p>
    <w:p w14:paraId="466CFA5A" w14:textId="77777777" w:rsidR="00EA0996" w:rsidRDefault="00EA0996" w:rsidP="003955A5">
      <w:pPr>
        <w:rPr>
          <w:rFonts w:ascii="Arial" w:hAnsi="Arial" w:cs="Arial"/>
          <w:color w:val="C00000"/>
          <w:sz w:val="20"/>
          <w:szCs w:val="20"/>
        </w:rPr>
      </w:pPr>
    </w:p>
    <w:p w14:paraId="21E0E9B8" w14:textId="77777777" w:rsidR="00EA0996" w:rsidRDefault="00EA0996" w:rsidP="003955A5">
      <w:pPr>
        <w:rPr>
          <w:rFonts w:ascii="Arial" w:hAnsi="Arial" w:cs="Arial"/>
          <w:color w:val="C00000"/>
          <w:sz w:val="20"/>
          <w:szCs w:val="20"/>
        </w:rPr>
      </w:pPr>
    </w:p>
    <w:p w14:paraId="74B1014C" w14:textId="77777777" w:rsidR="00EA0996" w:rsidRDefault="00EA0996" w:rsidP="003955A5">
      <w:pPr>
        <w:rPr>
          <w:rFonts w:ascii="Arial" w:hAnsi="Arial" w:cs="Arial"/>
          <w:color w:val="C00000"/>
          <w:sz w:val="20"/>
          <w:szCs w:val="20"/>
        </w:rPr>
      </w:pPr>
    </w:p>
    <w:p w14:paraId="630DFEA7" w14:textId="2F0A5969" w:rsidR="00EA0996" w:rsidRDefault="00EA0996" w:rsidP="003955A5">
      <w:pPr>
        <w:rPr>
          <w:rFonts w:ascii="Arial" w:hAnsi="Arial" w:cs="Arial"/>
          <w:color w:val="C00000"/>
          <w:sz w:val="20"/>
          <w:szCs w:val="20"/>
        </w:rPr>
      </w:pPr>
    </w:p>
    <w:p w14:paraId="350C6ABC" w14:textId="77777777" w:rsidR="00EA0996" w:rsidRDefault="00EA0996" w:rsidP="003955A5">
      <w:pPr>
        <w:rPr>
          <w:rFonts w:ascii="Arial" w:hAnsi="Arial" w:cs="Arial"/>
          <w:color w:val="C00000"/>
          <w:sz w:val="20"/>
          <w:szCs w:val="20"/>
        </w:rPr>
      </w:pPr>
    </w:p>
    <w:p w14:paraId="7457B57B" w14:textId="77777777" w:rsidR="00EA0996" w:rsidRDefault="00EA0996" w:rsidP="003955A5">
      <w:pPr>
        <w:rPr>
          <w:rFonts w:ascii="Arial" w:hAnsi="Arial" w:cs="Arial"/>
          <w:color w:val="C00000"/>
          <w:sz w:val="20"/>
          <w:szCs w:val="20"/>
        </w:rPr>
      </w:pPr>
    </w:p>
    <w:p w14:paraId="4554BEA9" w14:textId="77777777" w:rsidR="00EA0996" w:rsidRDefault="00EA0996" w:rsidP="003955A5">
      <w:pPr>
        <w:rPr>
          <w:rFonts w:ascii="Arial" w:hAnsi="Arial" w:cs="Arial"/>
          <w:color w:val="C00000"/>
          <w:sz w:val="20"/>
          <w:szCs w:val="20"/>
        </w:rPr>
      </w:pPr>
    </w:p>
    <w:p w14:paraId="6617E375" w14:textId="44427E9A" w:rsidR="00EA0996" w:rsidRDefault="00EA0996" w:rsidP="003955A5">
      <w:pPr>
        <w:rPr>
          <w:rFonts w:ascii="Arial" w:hAnsi="Arial" w:cs="Arial"/>
          <w:color w:val="C00000"/>
          <w:sz w:val="20"/>
          <w:szCs w:val="20"/>
        </w:rPr>
      </w:pPr>
    </w:p>
    <w:p w14:paraId="212A2995" w14:textId="6C5B497F" w:rsidR="00EA0996" w:rsidRDefault="00EA0996" w:rsidP="003955A5">
      <w:pPr>
        <w:rPr>
          <w:rFonts w:ascii="Arial" w:hAnsi="Arial" w:cs="Arial"/>
          <w:color w:val="C00000"/>
          <w:sz w:val="20"/>
          <w:szCs w:val="20"/>
        </w:rPr>
      </w:pPr>
    </w:p>
    <w:p w14:paraId="6C12DECC" w14:textId="3F8DD91D" w:rsidR="00EA0996" w:rsidRDefault="00EA0996" w:rsidP="003955A5">
      <w:pPr>
        <w:rPr>
          <w:rFonts w:ascii="Arial" w:hAnsi="Arial" w:cs="Arial"/>
          <w:color w:val="C00000"/>
          <w:sz w:val="20"/>
          <w:szCs w:val="20"/>
        </w:rPr>
      </w:pPr>
    </w:p>
    <w:p w14:paraId="58A33106" w14:textId="69F3C5F4" w:rsidR="00EA0996" w:rsidRDefault="00EA0996" w:rsidP="003955A5">
      <w:pPr>
        <w:rPr>
          <w:rFonts w:ascii="Arial" w:hAnsi="Arial" w:cs="Arial"/>
          <w:color w:val="C00000"/>
          <w:sz w:val="20"/>
          <w:szCs w:val="20"/>
        </w:rPr>
      </w:pPr>
    </w:p>
    <w:p w14:paraId="1C8462DC" w14:textId="780DCD21" w:rsidR="00EA0996" w:rsidRDefault="00EA0996" w:rsidP="003955A5">
      <w:pPr>
        <w:rPr>
          <w:rFonts w:ascii="Arial" w:hAnsi="Arial" w:cs="Arial"/>
          <w:color w:val="C00000"/>
          <w:sz w:val="20"/>
          <w:szCs w:val="20"/>
        </w:rPr>
      </w:pPr>
    </w:p>
    <w:p w14:paraId="041D60AA" w14:textId="4483662C" w:rsidR="00EA0996" w:rsidRDefault="00EA0996" w:rsidP="003955A5">
      <w:pPr>
        <w:rPr>
          <w:rFonts w:ascii="Arial" w:hAnsi="Arial" w:cs="Arial"/>
          <w:color w:val="C00000"/>
          <w:sz w:val="20"/>
          <w:szCs w:val="20"/>
        </w:rPr>
      </w:pPr>
      <w:r>
        <w:rPr>
          <w:noProof/>
        </w:rPr>
        <w:drawing>
          <wp:anchor distT="0" distB="0" distL="114300" distR="114300" simplePos="0" relativeHeight="251693056" behindDoc="1" locked="0" layoutInCell="1" allowOverlap="1" wp14:anchorId="3E4E75A3" wp14:editId="380B558E">
            <wp:simplePos x="0" y="0"/>
            <wp:positionH relativeFrom="margin">
              <wp:align>center</wp:align>
            </wp:positionH>
            <wp:positionV relativeFrom="paragraph">
              <wp:posOffset>332150</wp:posOffset>
            </wp:positionV>
            <wp:extent cx="10457805" cy="3535589"/>
            <wp:effectExtent l="0" t="6033" r="0" b="0"/>
            <wp:wrapNone/>
            <wp:docPr id="19467349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b="52232"/>
                    <a:stretch/>
                  </pic:blipFill>
                  <pic:spPr bwMode="auto">
                    <a:xfrm rot="5400000">
                      <a:off x="0" y="0"/>
                      <a:ext cx="10457805" cy="353558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D19A1D" w14:textId="79D12C85" w:rsidR="00EA0996" w:rsidRDefault="00EA0996" w:rsidP="003955A5">
      <w:pPr>
        <w:rPr>
          <w:rFonts w:ascii="Arial" w:hAnsi="Arial" w:cs="Arial"/>
          <w:color w:val="C00000"/>
          <w:sz w:val="20"/>
          <w:szCs w:val="20"/>
        </w:rPr>
      </w:pPr>
    </w:p>
    <w:p w14:paraId="656C0426" w14:textId="27F4017A" w:rsidR="00EA0996" w:rsidRDefault="00EA0996" w:rsidP="003955A5">
      <w:pPr>
        <w:rPr>
          <w:rFonts w:ascii="Arial" w:hAnsi="Arial" w:cs="Arial"/>
          <w:color w:val="C00000"/>
          <w:sz w:val="20"/>
          <w:szCs w:val="20"/>
        </w:rPr>
      </w:pPr>
    </w:p>
    <w:p w14:paraId="1035985F" w14:textId="0CF1FE65" w:rsidR="00EA0996" w:rsidRDefault="00EA0996" w:rsidP="003955A5">
      <w:pPr>
        <w:rPr>
          <w:rFonts w:ascii="Arial" w:hAnsi="Arial" w:cs="Arial"/>
          <w:color w:val="C00000"/>
          <w:sz w:val="20"/>
          <w:szCs w:val="20"/>
        </w:rPr>
      </w:pPr>
    </w:p>
    <w:p w14:paraId="29B8C471" w14:textId="59282EA0" w:rsidR="00EA0996" w:rsidRDefault="00EA0996" w:rsidP="003955A5">
      <w:pPr>
        <w:rPr>
          <w:rFonts w:ascii="Arial" w:hAnsi="Arial" w:cs="Arial"/>
          <w:color w:val="C00000"/>
          <w:sz w:val="20"/>
          <w:szCs w:val="20"/>
        </w:rPr>
      </w:pPr>
    </w:p>
    <w:p w14:paraId="455A20D0" w14:textId="67FC8799" w:rsidR="00EA0996" w:rsidRDefault="00EA0996" w:rsidP="003955A5">
      <w:pPr>
        <w:rPr>
          <w:rFonts w:ascii="Arial" w:hAnsi="Arial" w:cs="Arial"/>
          <w:color w:val="C00000"/>
          <w:sz w:val="20"/>
          <w:szCs w:val="20"/>
        </w:rPr>
      </w:pPr>
    </w:p>
    <w:p w14:paraId="614965EE" w14:textId="3F906D17" w:rsidR="00EA0996" w:rsidRDefault="00EA0996" w:rsidP="003955A5">
      <w:pPr>
        <w:rPr>
          <w:rFonts w:ascii="Arial" w:hAnsi="Arial" w:cs="Arial"/>
          <w:color w:val="C00000"/>
          <w:sz w:val="20"/>
          <w:szCs w:val="20"/>
        </w:rPr>
      </w:pPr>
    </w:p>
    <w:p w14:paraId="21A061AD" w14:textId="77777777" w:rsidR="00EA0996" w:rsidRDefault="00EA0996" w:rsidP="003955A5">
      <w:pPr>
        <w:rPr>
          <w:rFonts w:ascii="Arial" w:hAnsi="Arial" w:cs="Arial"/>
          <w:color w:val="C00000"/>
          <w:sz w:val="20"/>
          <w:szCs w:val="20"/>
        </w:rPr>
      </w:pPr>
    </w:p>
    <w:p w14:paraId="61704A90" w14:textId="77777777" w:rsidR="00EA0996" w:rsidRDefault="00EA0996" w:rsidP="003955A5">
      <w:pPr>
        <w:rPr>
          <w:rFonts w:ascii="Arial" w:hAnsi="Arial" w:cs="Arial"/>
          <w:color w:val="C00000"/>
          <w:sz w:val="20"/>
          <w:szCs w:val="20"/>
        </w:rPr>
      </w:pPr>
    </w:p>
    <w:p w14:paraId="352706A1" w14:textId="77777777" w:rsidR="00EA0996" w:rsidRDefault="00EA0996" w:rsidP="003955A5">
      <w:pPr>
        <w:rPr>
          <w:rFonts w:ascii="Arial" w:hAnsi="Arial" w:cs="Arial"/>
          <w:color w:val="C00000"/>
          <w:sz w:val="20"/>
          <w:szCs w:val="20"/>
        </w:rPr>
      </w:pPr>
    </w:p>
    <w:p w14:paraId="768B54A8" w14:textId="77777777" w:rsidR="00EA0996" w:rsidRDefault="00EA0996" w:rsidP="003955A5">
      <w:pPr>
        <w:rPr>
          <w:rFonts w:ascii="Arial" w:hAnsi="Arial" w:cs="Arial"/>
          <w:color w:val="C00000"/>
          <w:sz w:val="20"/>
          <w:szCs w:val="20"/>
        </w:rPr>
      </w:pPr>
    </w:p>
    <w:p w14:paraId="3AE94C23" w14:textId="77777777" w:rsidR="00EA0996" w:rsidRDefault="00EA0996" w:rsidP="003955A5">
      <w:pPr>
        <w:rPr>
          <w:rFonts w:ascii="Arial" w:hAnsi="Arial" w:cs="Arial"/>
          <w:color w:val="C00000"/>
          <w:sz w:val="20"/>
          <w:szCs w:val="20"/>
        </w:rPr>
      </w:pPr>
    </w:p>
    <w:p w14:paraId="50D5B10B" w14:textId="77777777" w:rsidR="00EA0996" w:rsidRDefault="00EA0996" w:rsidP="003955A5">
      <w:pPr>
        <w:rPr>
          <w:rFonts w:ascii="Arial" w:hAnsi="Arial" w:cs="Arial"/>
          <w:color w:val="C00000"/>
          <w:sz w:val="20"/>
          <w:szCs w:val="20"/>
        </w:rPr>
      </w:pPr>
    </w:p>
    <w:p w14:paraId="632FC359" w14:textId="77777777" w:rsidR="00EA0996" w:rsidRDefault="00EA0996" w:rsidP="003955A5">
      <w:pPr>
        <w:rPr>
          <w:rFonts w:ascii="Arial" w:hAnsi="Arial" w:cs="Arial"/>
          <w:color w:val="C00000"/>
          <w:sz w:val="20"/>
          <w:szCs w:val="20"/>
        </w:rPr>
      </w:pPr>
    </w:p>
    <w:p w14:paraId="7B1367C7" w14:textId="77777777" w:rsidR="00EA0996" w:rsidRDefault="00EA0996" w:rsidP="003955A5">
      <w:pPr>
        <w:rPr>
          <w:rFonts w:ascii="Arial" w:hAnsi="Arial" w:cs="Arial"/>
          <w:color w:val="C00000"/>
          <w:sz w:val="20"/>
          <w:szCs w:val="20"/>
        </w:rPr>
      </w:pPr>
    </w:p>
    <w:p w14:paraId="217A75D2" w14:textId="77777777" w:rsidR="00EA0996" w:rsidRDefault="00EA0996" w:rsidP="003955A5">
      <w:pPr>
        <w:rPr>
          <w:rFonts w:ascii="Arial" w:hAnsi="Arial" w:cs="Arial"/>
          <w:color w:val="C00000"/>
          <w:sz w:val="20"/>
          <w:szCs w:val="20"/>
        </w:rPr>
      </w:pPr>
    </w:p>
    <w:p w14:paraId="09999947" w14:textId="77777777" w:rsidR="00EA0996" w:rsidRDefault="00EA0996" w:rsidP="003955A5">
      <w:pPr>
        <w:rPr>
          <w:rFonts w:ascii="Arial" w:hAnsi="Arial" w:cs="Arial"/>
          <w:color w:val="C00000"/>
          <w:sz w:val="20"/>
          <w:szCs w:val="20"/>
        </w:rPr>
      </w:pPr>
    </w:p>
    <w:p w14:paraId="00C79C35" w14:textId="77777777" w:rsidR="00EA0996" w:rsidRDefault="00EA0996" w:rsidP="003955A5">
      <w:pPr>
        <w:rPr>
          <w:rFonts w:ascii="Arial" w:hAnsi="Arial" w:cs="Arial"/>
          <w:color w:val="C00000"/>
          <w:sz w:val="20"/>
          <w:szCs w:val="20"/>
        </w:rPr>
      </w:pPr>
    </w:p>
    <w:p w14:paraId="60506E54" w14:textId="77777777" w:rsidR="00EA0996" w:rsidRDefault="00EA0996" w:rsidP="003955A5">
      <w:pPr>
        <w:rPr>
          <w:rFonts w:ascii="Arial" w:hAnsi="Arial" w:cs="Arial"/>
          <w:color w:val="C00000"/>
          <w:sz w:val="20"/>
          <w:szCs w:val="20"/>
        </w:rPr>
      </w:pPr>
    </w:p>
    <w:p w14:paraId="515AAAE3" w14:textId="77777777" w:rsidR="00EA0996" w:rsidRDefault="00EA0996" w:rsidP="003955A5">
      <w:pPr>
        <w:rPr>
          <w:rFonts w:ascii="Arial" w:hAnsi="Arial" w:cs="Arial"/>
          <w:color w:val="C00000"/>
          <w:sz w:val="20"/>
          <w:szCs w:val="20"/>
        </w:rPr>
      </w:pPr>
    </w:p>
    <w:p w14:paraId="1887C232" w14:textId="77777777" w:rsidR="00EA0996" w:rsidRDefault="00EA0996" w:rsidP="003955A5">
      <w:pPr>
        <w:rPr>
          <w:rFonts w:ascii="Arial" w:hAnsi="Arial" w:cs="Arial"/>
          <w:color w:val="C00000"/>
          <w:sz w:val="20"/>
          <w:szCs w:val="20"/>
        </w:rPr>
      </w:pPr>
    </w:p>
    <w:p w14:paraId="2ECE5F01" w14:textId="77777777" w:rsidR="00EA0996" w:rsidRDefault="00EA0996" w:rsidP="003955A5">
      <w:pPr>
        <w:rPr>
          <w:rFonts w:ascii="Arial" w:hAnsi="Arial" w:cs="Arial"/>
          <w:color w:val="C00000"/>
          <w:sz w:val="20"/>
          <w:szCs w:val="20"/>
        </w:rPr>
      </w:pPr>
    </w:p>
    <w:p w14:paraId="5A43F033" w14:textId="77777777" w:rsidR="00EA0996" w:rsidRDefault="00EA0996" w:rsidP="003955A5">
      <w:pPr>
        <w:rPr>
          <w:rFonts w:ascii="Arial" w:hAnsi="Arial" w:cs="Arial"/>
          <w:color w:val="C00000"/>
          <w:sz w:val="20"/>
          <w:szCs w:val="20"/>
        </w:rPr>
      </w:pPr>
    </w:p>
    <w:p w14:paraId="14E790E4" w14:textId="77777777" w:rsidR="00EA0996" w:rsidRDefault="00EA0996" w:rsidP="003955A5">
      <w:pPr>
        <w:rPr>
          <w:rFonts w:ascii="Arial" w:hAnsi="Arial" w:cs="Arial"/>
          <w:color w:val="C00000"/>
          <w:sz w:val="20"/>
          <w:szCs w:val="20"/>
        </w:rPr>
      </w:pPr>
    </w:p>
    <w:p w14:paraId="40A32774" w14:textId="77777777" w:rsidR="00EA0996" w:rsidRDefault="00EA0996" w:rsidP="003955A5">
      <w:pPr>
        <w:rPr>
          <w:rFonts w:ascii="Arial" w:hAnsi="Arial" w:cs="Arial"/>
          <w:color w:val="C00000"/>
          <w:sz w:val="20"/>
          <w:szCs w:val="20"/>
        </w:rPr>
      </w:pPr>
    </w:p>
    <w:p w14:paraId="40332D14" w14:textId="77777777" w:rsidR="00EA0996" w:rsidRDefault="00EA0996" w:rsidP="003955A5">
      <w:pPr>
        <w:rPr>
          <w:rFonts w:ascii="Arial" w:hAnsi="Arial" w:cs="Arial"/>
          <w:color w:val="C00000"/>
          <w:sz w:val="20"/>
          <w:szCs w:val="20"/>
        </w:rPr>
      </w:pPr>
    </w:p>
    <w:p w14:paraId="0CC38F3E" w14:textId="79E46000" w:rsidR="00EA0996" w:rsidRDefault="00EA0996" w:rsidP="003955A5">
      <w:pPr>
        <w:rPr>
          <w:rFonts w:ascii="Arial" w:hAnsi="Arial" w:cs="Arial"/>
          <w:color w:val="C00000"/>
          <w:sz w:val="20"/>
          <w:szCs w:val="20"/>
        </w:rPr>
      </w:pPr>
    </w:p>
    <w:p w14:paraId="4F5A81F6" w14:textId="77777777" w:rsidR="00EA0996" w:rsidRDefault="00EA0996" w:rsidP="003955A5">
      <w:pPr>
        <w:rPr>
          <w:rFonts w:ascii="Arial" w:hAnsi="Arial" w:cs="Arial"/>
          <w:color w:val="C00000"/>
          <w:sz w:val="20"/>
          <w:szCs w:val="20"/>
        </w:rPr>
      </w:pPr>
    </w:p>
    <w:p w14:paraId="3C697D9D" w14:textId="34E73701" w:rsidR="00EA0996" w:rsidRDefault="00EA0996" w:rsidP="003955A5">
      <w:pPr>
        <w:rPr>
          <w:rFonts w:ascii="Arial" w:hAnsi="Arial" w:cs="Arial"/>
          <w:color w:val="C00000"/>
          <w:sz w:val="20"/>
          <w:szCs w:val="20"/>
        </w:rPr>
      </w:pPr>
    </w:p>
    <w:p w14:paraId="7237173B" w14:textId="658BBCC6" w:rsidR="00EA0996" w:rsidRDefault="00EA0996" w:rsidP="003955A5">
      <w:pPr>
        <w:rPr>
          <w:rFonts w:ascii="Arial" w:hAnsi="Arial" w:cs="Arial"/>
          <w:color w:val="C00000"/>
          <w:sz w:val="20"/>
          <w:szCs w:val="20"/>
        </w:rPr>
      </w:pPr>
    </w:p>
    <w:p w14:paraId="325CE769" w14:textId="767D6C17" w:rsidR="00EA0996" w:rsidRDefault="00EA0996" w:rsidP="003955A5">
      <w:pPr>
        <w:rPr>
          <w:rFonts w:ascii="Arial" w:hAnsi="Arial" w:cs="Arial"/>
          <w:color w:val="C00000"/>
          <w:sz w:val="20"/>
          <w:szCs w:val="20"/>
        </w:rPr>
      </w:pPr>
    </w:p>
    <w:p w14:paraId="2C7FBD1C" w14:textId="677097A4" w:rsidR="00EA0996" w:rsidRDefault="00EA0996" w:rsidP="003955A5">
      <w:pPr>
        <w:rPr>
          <w:rFonts w:ascii="Arial" w:hAnsi="Arial" w:cs="Arial"/>
          <w:color w:val="C00000"/>
          <w:sz w:val="20"/>
          <w:szCs w:val="20"/>
        </w:rPr>
      </w:pPr>
    </w:p>
    <w:p w14:paraId="37378427" w14:textId="6785C1B7" w:rsidR="00EA0996" w:rsidRDefault="00EA0996" w:rsidP="003955A5">
      <w:pPr>
        <w:rPr>
          <w:rFonts w:ascii="Arial" w:hAnsi="Arial" w:cs="Arial"/>
          <w:color w:val="C00000"/>
          <w:sz w:val="20"/>
          <w:szCs w:val="20"/>
        </w:rPr>
      </w:pPr>
    </w:p>
    <w:p w14:paraId="0BA47D03" w14:textId="0BDB9AAB" w:rsidR="00EA0996" w:rsidRDefault="00EA0996" w:rsidP="003955A5">
      <w:pPr>
        <w:rPr>
          <w:rFonts w:ascii="Arial" w:hAnsi="Arial" w:cs="Arial"/>
          <w:color w:val="C00000"/>
          <w:sz w:val="20"/>
          <w:szCs w:val="20"/>
        </w:rPr>
      </w:pPr>
    </w:p>
    <w:p w14:paraId="3B2A51C5" w14:textId="75CB590E" w:rsidR="00EA0996" w:rsidRDefault="00EA0996" w:rsidP="003955A5">
      <w:pPr>
        <w:rPr>
          <w:rFonts w:ascii="Arial" w:hAnsi="Arial" w:cs="Arial"/>
          <w:color w:val="C00000"/>
          <w:sz w:val="20"/>
          <w:szCs w:val="20"/>
        </w:rPr>
      </w:pPr>
    </w:p>
    <w:p w14:paraId="62F536B9" w14:textId="152464ED" w:rsidR="00EA0996" w:rsidRDefault="00EA0996" w:rsidP="003955A5">
      <w:pPr>
        <w:rPr>
          <w:rFonts w:ascii="Arial" w:hAnsi="Arial" w:cs="Arial"/>
          <w:color w:val="C00000"/>
          <w:sz w:val="20"/>
          <w:szCs w:val="20"/>
        </w:rPr>
      </w:pPr>
      <w:r>
        <w:rPr>
          <w:noProof/>
        </w:rPr>
        <w:drawing>
          <wp:anchor distT="0" distB="0" distL="114300" distR="114300" simplePos="0" relativeHeight="251694080" behindDoc="1" locked="0" layoutInCell="1" allowOverlap="1" wp14:anchorId="03D57E6C" wp14:editId="75B4E6E8">
            <wp:simplePos x="0" y="0"/>
            <wp:positionH relativeFrom="margin">
              <wp:align>center</wp:align>
            </wp:positionH>
            <wp:positionV relativeFrom="paragraph">
              <wp:posOffset>254409</wp:posOffset>
            </wp:positionV>
            <wp:extent cx="10411178" cy="3163790"/>
            <wp:effectExtent l="4128" t="0" r="0" b="0"/>
            <wp:wrapNone/>
            <wp:docPr id="12741774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b="57062"/>
                    <a:stretch/>
                  </pic:blipFill>
                  <pic:spPr bwMode="auto">
                    <a:xfrm rot="5400000">
                      <a:off x="0" y="0"/>
                      <a:ext cx="10411178" cy="3163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FACB6C" w14:textId="77777777" w:rsidR="00EA0996" w:rsidRDefault="00EA0996" w:rsidP="003955A5">
      <w:pPr>
        <w:rPr>
          <w:rFonts w:ascii="Arial" w:hAnsi="Arial" w:cs="Arial"/>
          <w:color w:val="C00000"/>
          <w:sz w:val="20"/>
          <w:szCs w:val="20"/>
        </w:rPr>
      </w:pPr>
    </w:p>
    <w:p w14:paraId="7CC68018" w14:textId="77777777" w:rsidR="00EA0996" w:rsidRDefault="00EA0996" w:rsidP="003955A5">
      <w:pPr>
        <w:rPr>
          <w:rFonts w:ascii="Arial" w:hAnsi="Arial" w:cs="Arial"/>
          <w:color w:val="C00000"/>
          <w:sz w:val="20"/>
          <w:szCs w:val="20"/>
        </w:rPr>
      </w:pPr>
    </w:p>
    <w:p w14:paraId="69FCB4AC" w14:textId="77777777" w:rsidR="00EA0996" w:rsidRDefault="00EA0996" w:rsidP="003955A5">
      <w:pPr>
        <w:rPr>
          <w:rFonts w:ascii="Arial" w:hAnsi="Arial" w:cs="Arial"/>
          <w:color w:val="C00000"/>
          <w:sz w:val="20"/>
          <w:szCs w:val="20"/>
        </w:rPr>
      </w:pPr>
    </w:p>
    <w:p w14:paraId="48E98D6B" w14:textId="77777777" w:rsidR="00EA0996" w:rsidRDefault="00EA0996" w:rsidP="003955A5">
      <w:pPr>
        <w:rPr>
          <w:rFonts w:ascii="Arial" w:hAnsi="Arial" w:cs="Arial"/>
          <w:color w:val="C00000"/>
          <w:sz w:val="20"/>
          <w:szCs w:val="20"/>
        </w:rPr>
      </w:pPr>
    </w:p>
    <w:p w14:paraId="1DB38667" w14:textId="77777777" w:rsidR="00EA0996" w:rsidRDefault="00EA0996" w:rsidP="003955A5">
      <w:pPr>
        <w:rPr>
          <w:rFonts w:ascii="Arial" w:hAnsi="Arial" w:cs="Arial"/>
          <w:color w:val="C00000"/>
          <w:sz w:val="20"/>
          <w:szCs w:val="20"/>
        </w:rPr>
      </w:pPr>
    </w:p>
    <w:p w14:paraId="7B29E6C3" w14:textId="77777777" w:rsidR="00EA0996" w:rsidRDefault="00EA0996" w:rsidP="003955A5">
      <w:pPr>
        <w:rPr>
          <w:rFonts w:ascii="Arial" w:hAnsi="Arial" w:cs="Arial"/>
          <w:color w:val="C00000"/>
          <w:sz w:val="20"/>
          <w:szCs w:val="20"/>
        </w:rPr>
      </w:pPr>
    </w:p>
    <w:p w14:paraId="76DD0D5D" w14:textId="77777777" w:rsidR="00EA0996" w:rsidRDefault="00EA0996" w:rsidP="003955A5">
      <w:pPr>
        <w:rPr>
          <w:rFonts w:ascii="Arial" w:hAnsi="Arial" w:cs="Arial"/>
          <w:color w:val="C00000"/>
          <w:sz w:val="20"/>
          <w:szCs w:val="20"/>
        </w:rPr>
      </w:pPr>
    </w:p>
    <w:p w14:paraId="2ADA780A" w14:textId="77777777" w:rsidR="00EA0996" w:rsidRDefault="00EA0996" w:rsidP="003955A5">
      <w:pPr>
        <w:rPr>
          <w:rFonts w:ascii="Arial" w:hAnsi="Arial" w:cs="Arial"/>
          <w:color w:val="C00000"/>
          <w:sz w:val="20"/>
          <w:szCs w:val="20"/>
        </w:rPr>
      </w:pPr>
    </w:p>
    <w:p w14:paraId="042AD47E" w14:textId="77777777" w:rsidR="00EA0996" w:rsidRDefault="00EA0996" w:rsidP="003955A5">
      <w:pPr>
        <w:rPr>
          <w:rFonts w:ascii="Arial" w:hAnsi="Arial" w:cs="Arial"/>
          <w:color w:val="C00000"/>
          <w:sz w:val="20"/>
          <w:szCs w:val="20"/>
        </w:rPr>
      </w:pPr>
    </w:p>
    <w:p w14:paraId="3630D9A8" w14:textId="77777777" w:rsidR="00EA0996" w:rsidRDefault="00EA0996" w:rsidP="003955A5">
      <w:pPr>
        <w:rPr>
          <w:rFonts w:ascii="Arial" w:hAnsi="Arial" w:cs="Arial"/>
          <w:color w:val="C00000"/>
          <w:sz w:val="20"/>
          <w:szCs w:val="20"/>
        </w:rPr>
      </w:pPr>
    </w:p>
    <w:p w14:paraId="1D41706A" w14:textId="77777777" w:rsidR="00EA0996" w:rsidRDefault="00EA0996" w:rsidP="003955A5">
      <w:pPr>
        <w:rPr>
          <w:rFonts w:ascii="Arial" w:hAnsi="Arial" w:cs="Arial"/>
          <w:color w:val="C00000"/>
          <w:sz w:val="20"/>
          <w:szCs w:val="20"/>
        </w:rPr>
      </w:pPr>
    </w:p>
    <w:p w14:paraId="0D9DC560" w14:textId="77777777" w:rsidR="00EA0996" w:rsidRDefault="00EA0996" w:rsidP="003955A5">
      <w:pPr>
        <w:rPr>
          <w:rFonts w:ascii="Arial" w:hAnsi="Arial" w:cs="Arial"/>
          <w:color w:val="C00000"/>
          <w:sz w:val="20"/>
          <w:szCs w:val="20"/>
        </w:rPr>
      </w:pPr>
    </w:p>
    <w:p w14:paraId="1DD10D07" w14:textId="77777777" w:rsidR="00EA0996" w:rsidRDefault="00EA0996" w:rsidP="003955A5">
      <w:pPr>
        <w:rPr>
          <w:rFonts w:ascii="Arial" w:hAnsi="Arial" w:cs="Arial"/>
          <w:color w:val="C00000"/>
          <w:sz w:val="20"/>
          <w:szCs w:val="20"/>
        </w:rPr>
      </w:pPr>
    </w:p>
    <w:p w14:paraId="6E1FF147" w14:textId="77777777" w:rsidR="00EA0996" w:rsidRDefault="00EA0996" w:rsidP="003955A5">
      <w:pPr>
        <w:rPr>
          <w:rFonts w:ascii="Arial" w:hAnsi="Arial" w:cs="Arial"/>
          <w:color w:val="C00000"/>
          <w:sz w:val="20"/>
          <w:szCs w:val="20"/>
        </w:rPr>
      </w:pPr>
    </w:p>
    <w:p w14:paraId="4C64A1C4" w14:textId="77777777" w:rsidR="00EA0996" w:rsidRDefault="00EA0996" w:rsidP="003955A5">
      <w:pPr>
        <w:rPr>
          <w:rFonts w:ascii="Arial" w:hAnsi="Arial" w:cs="Arial"/>
          <w:color w:val="C00000"/>
          <w:sz w:val="20"/>
          <w:szCs w:val="20"/>
        </w:rPr>
      </w:pPr>
    </w:p>
    <w:p w14:paraId="25DC9197" w14:textId="77777777" w:rsidR="00EA0996" w:rsidRDefault="00EA0996" w:rsidP="003955A5">
      <w:pPr>
        <w:rPr>
          <w:rFonts w:ascii="Arial" w:hAnsi="Arial" w:cs="Arial"/>
          <w:color w:val="C00000"/>
          <w:sz w:val="20"/>
          <w:szCs w:val="20"/>
        </w:rPr>
      </w:pPr>
    </w:p>
    <w:p w14:paraId="75BBCA62" w14:textId="77777777" w:rsidR="00EA0996" w:rsidRDefault="00EA0996" w:rsidP="003955A5">
      <w:pPr>
        <w:rPr>
          <w:rFonts w:ascii="Arial" w:hAnsi="Arial" w:cs="Arial"/>
          <w:color w:val="C00000"/>
          <w:sz w:val="20"/>
          <w:szCs w:val="20"/>
        </w:rPr>
      </w:pPr>
    </w:p>
    <w:p w14:paraId="5AE77C3C" w14:textId="77777777" w:rsidR="00EA0996" w:rsidRDefault="00EA0996" w:rsidP="003955A5">
      <w:pPr>
        <w:rPr>
          <w:rFonts w:ascii="Arial" w:hAnsi="Arial" w:cs="Arial"/>
          <w:color w:val="C00000"/>
          <w:sz w:val="20"/>
          <w:szCs w:val="20"/>
        </w:rPr>
      </w:pPr>
    </w:p>
    <w:p w14:paraId="7B44CAA2" w14:textId="77777777" w:rsidR="00EA0996" w:rsidRDefault="00EA0996" w:rsidP="003955A5">
      <w:pPr>
        <w:rPr>
          <w:rFonts w:ascii="Arial" w:hAnsi="Arial" w:cs="Arial"/>
          <w:color w:val="C00000"/>
          <w:sz w:val="20"/>
          <w:szCs w:val="20"/>
        </w:rPr>
      </w:pPr>
    </w:p>
    <w:p w14:paraId="463D275F" w14:textId="77777777" w:rsidR="00EA0996" w:rsidRDefault="00EA0996" w:rsidP="003955A5">
      <w:pPr>
        <w:rPr>
          <w:rFonts w:ascii="Arial" w:hAnsi="Arial" w:cs="Arial"/>
          <w:color w:val="C00000"/>
          <w:sz w:val="20"/>
          <w:szCs w:val="20"/>
        </w:rPr>
      </w:pPr>
    </w:p>
    <w:p w14:paraId="5C68DDDC" w14:textId="77777777" w:rsidR="00EA0996" w:rsidRDefault="00EA0996" w:rsidP="003955A5">
      <w:pPr>
        <w:rPr>
          <w:rFonts w:ascii="Arial" w:hAnsi="Arial" w:cs="Arial"/>
          <w:color w:val="C00000"/>
          <w:sz w:val="20"/>
          <w:szCs w:val="20"/>
        </w:rPr>
      </w:pPr>
    </w:p>
    <w:p w14:paraId="2656055D" w14:textId="77777777" w:rsidR="00EA0996" w:rsidRDefault="00EA0996" w:rsidP="003955A5">
      <w:pPr>
        <w:rPr>
          <w:rFonts w:ascii="Arial" w:hAnsi="Arial" w:cs="Arial"/>
          <w:color w:val="C00000"/>
          <w:sz w:val="20"/>
          <w:szCs w:val="20"/>
        </w:rPr>
      </w:pPr>
    </w:p>
    <w:p w14:paraId="428F2DB4" w14:textId="77777777" w:rsidR="00EA0996" w:rsidRDefault="00EA0996" w:rsidP="003955A5">
      <w:pPr>
        <w:rPr>
          <w:rFonts w:ascii="Arial" w:hAnsi="Arial" w:cs="Arial"/>
          <w:color w:val="C00000"/>
          <w:sz w:val="20"/>
          <w:szCs w:val="20"/>
        </w:rPr>
      </w:pPr>
    </w:p>
    <w:p w14:paraId="1B3978FD" w14:textId="77777777" w:rsidR="00EA0996" w:rsidRDefault="00EA0996" w:rsidP="003955A5">
      <w:pPr>
        <w:rPr>
          <w:rFonts w:ascii="Arial" w:hAnsi="Arial" w:cs="Arial"/>
          <w:color w:val="C00000"/>
          <w:sz w:val="20"/>
          <w:szCs w:val="20"/>
        </w:rPr>
      </w:pPr>
    </w:p>
    <w:p w14:paraId="587226E2" w14:textId="72ECFC4E" w:rsidR="00EA0996" w:rsidRDefault="00EA0996" w:rsidP="003955A5">
      <w:pPr>
        <w:rPr>
          <w:rFonts w:ascii="Arial" w:hAnsi="Arial" w:cs="Arial"/>
          <w:color w:val="C00000"/>
          <w:sz w:val="20"/>
          <w:szCs w:val="20"/>
        </w:rPr>
      </w:pPr>
    </w:p>
    <w:p w14:paraId="7BB96374" w14:textId="77777777" w:rsidR="00EA0996" w:rsidRDefault="00EA0996" w:rsidP="003955A5">
      <w:pPr>
        <w:rPr>
          <w:rFonts w:ascii="Arial" w:hAnsi="Arial" w:cs="Arial"/>
          <w:color w:val="C00000"/>
          <w:sz w:val="20"/>
          <w:szCs w:val="20"/>
        </w:rPr>
      </w:pPr>
    </w:p>
    <w:p w14:paraId="55754C3D" w14:textId="53516150" w:rsidR="00EA0996" w:rsidRDefault="00EA0996" w:rsidP="003955A5">
      <w:pPr>
        <w:rPr>
          <w:rFonts w:ascii="Arial" w:hAnsi="Arial" w:cs="Arial"/>
          <w:color w:val="C00000"/>
          <w:sz w:val="20"/>
          <w:szCs w:val="20"/>
        </w:rPr>
      </w:pPr>
    </w:p>
    <w:p w14:paraId="1B886876" w14:textId="560E2ECF" w:rsidR="00EA0996" w:rsidRDefault="00EA0996" w:rsidP="003955A5">
      <w:pPr>
        <w:rPr>
          <w:rFonts w:ascii="Arial" w:hAnsi="Arial" w:cs="Arial"/>
          <w:color w:val="C00000"/>
          <w:sz w:val="20"/>
          <w:szCs w:val="20"/>
        </w:rPr>
      </w:pPr>
    </w:p>
    <w:p w14:paraId="625AA619" w14:textId="59E567F7" w:rsidR="00EA0996" w:rsidRDefault="00EA0996" w:rsidP="003955A5">
      <w:pPr>
        <w:rPr>
          <w:rFonts w:ascii="Arial" w:hAnsi="Arial" w:cs="Arial"/>
          <w:color w:val="C00000"/>
          <w:sz w:val="20"/>
          <w:szCs w:val="20"/>
        </w:rPr>
      </w:pPr>
    </w:p>
    <w:p w14:paraId="66ACDB77" w14:textId="365746C4" w:rsidR="00EA0996" w:rsidRDefault="00EA0996" w:rsidP="003955A5">
      <w:pPr>
        <w:rPr>
          <w:rFonts w:ascii="Arial" w:hAnsi="Arial" w:cs="Arial"/>
          <w:color w:val="C00000"/>
          <w:sz w:val="20"/>
          <w:szCs w:val="20"/>
        </w:rPr>
      </w:pPr>
    </w:p>
    <w:p w14:paraId="25C0D141" w14:textId="3286D07D" w:rsidR="00EA0996" w:rsidRDefault="00EA0996" w:rsidP="003955A5">
      <w:pPr>
        <w:rPr>
          <w:rFonts w:ascii="Arial" w:hAnsi="Arial" w:cs="Arial"/>
          <w:color w:val="C00000"/>
          <w:sz w:val="20"/>
          <w:szCs w:val="20"/>
        </w:rPr>
      </w:pPr>
    </w:p>
    <w:p w14:paraId="3626F916" w14:textId="4D9644F8" w:rsidR="00EA0996" w:rsidRDefault="00EA0996" w:rsidP="003955A5">
      <w:pPr>
        <w:rPr>
          <w:rFonts w:ascii="Arial" w:hAnsi="Arial" w:cs="Arial"/>
          <w:color w:val="C00000"/>
          <w:sz w:val="20"/>
          <w:szCs w:val="20"/>
        </w:rPr>
      </w:pPr>
      <w:r>
        <w:rPr>
          <w:noProof/>
        </w:rPr>
        <w:drawing>
          <wp:anchor distT="0" distB="0" distL="114300" distR="114300" simplePos="0" relativeHeight="251695104" behindDoc="1" locked="0" layoutInCell="1" allowOverlap="1" wp14:anchorId="10E90CB5" wp14:editId="43823841">
            <wp:simplePos x="0" y="0"/>
            <wp:positionH relativeFrom="margin">
              <wp:align>center</wp:align>
            </wp:positionH>
            <wp:positionV relativeFrom="paragraph">
              <wp:posOffset>377960</wp:posOffset>
            </wp:positionV>
            <wp:extent cx="10459871" cy="3953368"/>
            <wp:effectExtent l="0" t="4128" r="0" b="0"/>
            <wp:wrapNone/>
            <wp:docPr id="12299795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b="46596"/>
                    <a:stretch/>
                  </pic:blipFill>
                  <pic:spPr bwMode="auto">
                    <a:xfrm rot="5400000">
                      <a:off x="0" y="0"/>
                      <a:ext cx="10459871" cy="395336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7DF47B" w14:textId="7E2787EB" w:rsidR="00EA0996" w:rsidRDefault="00EA0996" w:rsidP="003955A5">
      <w:pPr>
        <w:rPr>
          <w:rFonts w:ascii="Arial" w:hAnsi="Arial" w:cs="Arial"/>
          <w:color w:val="C00000"/>
          <w:sz w:val="20"/>
          <w:szCs w:val="20"/>
        </w:rPr>
      </w:pPr>
    </w:p>
    <w:p w14:paraId="1F16813F" w14:textId="77777777" w:rsidR="00EA0996" w:rsidRDefault="00EA0996" w:rsidP="003955A5">
      <w:pPr>
        <w:rPr>
          <w:rFonts w:ascii="Arial" w:hAnsi="Arial" w:cs="Arial"/>
          <w:color w:val="C00000"/>
          <w:sz w:val="20"/>
          <w:szCs w:val="20"/>
        </w:rPr>
      </w:pPr>
    </w:p>
    <w:p w14:paraId="0334BE21" w14:textId="77777777" w:rsidR="00EA0996" w:rsidRDefault="00EA0996" w:rsidP="003955A5">
      <w:pPr>
        <w:rPr>
          <w:rFonts w:ascii="Arial" w:hAnsi="Arial" w:cs="Arial"/>
          <w:color w:val="C00000"/>
          <w:sz w:val="20"/>
          <w:szCs w:val="20"/>
        </w:rPr>
      </w:pPr>
    </w:p>
    <w:p w14:paraId="46783D1C" w14:textId="77777777" w:rsidR="00EA0996" w:rsidRDefault="00EA0996" w:rsidP="003955A5">
      <w:pPr>
        <w:rPr>
          <w:rFonts w:ascii="Arial" w:hAnsi="Arial" w:cs="Arial"/>
          <w:color w:val="C00000"/>
          <w:sz w:val="20"/>
          <w:szCs w:val="20"/>
        </w:rPr>
      </w:pPr>
    </w:p>
    <w:p w14:paraId="16185303" w14:textId="77777777" w:rsidR="00EA0996" w:rsidRDefault="00EA0996" w:rsidP="003955A5">
      <w:pPr>
        <w:rPr>
          <w:rFonts w:ascii="Arial" w:hAnsi="Arial" w:cs="Arial"/>
          <w:color w:val="C00000"/>
          <w:sz w:val="20"/>
          <w:szCs w:val="20"/>
        </w:rPr>
      </w:pPr>
    </w:p>
    <w:p w14:paraId="204C0A10" w14:textId="77777777" w:rsidR="00EA0996" w:rsidRDefault="00EA0996" w:rsidP="003955A5">
      <w:pPr>
        <w:rPr>
          <w:rFonts w:ascii="Arial" w:hAnsi="Arial" w:cs="Arial"/>
          <w:color w:val="C00000"/>
          <w:sz w:val="20"/>
          <w:szCs w:val="20"/>
        </w:rPr>
      </w:pPr>
    </w:p>
    <w:p w14:paraId="243A2238" w14:textId="77777777" w:rsidR="00EA0996" w:rsidRDefault="00EA0996" w:rsidP="003955A5">
      <w:pPr>
        <w:rPr>
          <w:rFonts w:ascii="Arial" w:hAnsi="Arial" w:cs="Arial"/>
          <w:color w:val="C00000"/>
          <w:sz w:val="20"/>
          <w:szCs w:val="20"/>
        </w:rPr>
      </w:pPr>
    </w:p>
    <w:p w14:paraId="4F826580" w14:textId="77777777" w:rsidR="00EA0996" w:rsidRDefault="00EA0996" w:rsidP="003955A5">
      <w:pPr>
        <w:rPr>
          <w:rFonts w:ascii="Arial" w:hAnsi="Arial" w:cs="Arial"/>
          <w:color w:val="C00000"/>
          <w:sz w:val="20"/>
          <w:szCs w:val="20"/>
        </w:rPr>
      </w:pPr>
    </w:p>
    <w:p w14:paraId="46AAD013" w14:textId="77777777" w:rsidR="00EA0996" w:rsidRDefault="00EA0996" w:rsidP="003955A5">
      <w:pPr>
        <w:rPr>
          <w:rFonts w:ascii="Arial" w:hAnsi="Arial" w:cs="Arial"/>
          <w:color w:val="C00000"/>
          <w:sz w:val="20"/>
          <w:szCs w:val="20"/>
        </w:rPr>
      </w:pPr>
    </w:p>
    <w:p w14:paraId="0D57D4CB" w14:textId="77777777" w:rsidR="00EA0996" w:rsidRDefault="00EA0996" w:rsidP="003955A5">
      <w:pPr>
        <w:rPr>
          <w:rFonts w:ascii="Arial" w:hAnsi="Arial" w:cs="Arial"/>
          <w:color w:val="C00000"/>
          <w:sz w:val="20"/>
          <w:szCs w:val="20"/>
        </w:rPr>
      </w:pPr>
    </w:p>
    <w:p w14:paraId="5C888240" w14:textId="77777777" w:rsidR="00EA0996" w:rsidRDefault="00EA0996" w:rsidP="003955A5">
      <w:pPr>
        <w:rPr>
          <w:rFonts w:ascii="Arial" w:hAnsi="Arial" w:cs="Arial"/>
          <w:color w:val="C00000"/>
          <w:sz w:val="20"/>
          <w:szCs w:val="20"/>
        </w:rPr>
      </w:pPr>
    </w:p>
    <w:p w14:paraId="361F4C44" w14:textId="77777777" w:rsidR="00EA0996" w:rsidRDefault="00EA0996" w:rsidP="003955A5">
      <w:pPr>
        <w:rPr>
          <w:rFonts w:ascii="Arial" w:hAnsi="Arial" w:cs="Arial"/>
          <w:color w:val="C00000"/>
          <w:sz w:val="20"/>
          <w:szCs w:val="20"/>
        </w:rPr>
      </w:pPr>
    </w:p>
    <w:p w14:paraId="2C296E7B" w14:textId="77777777" w:rsidR="00EA0996" w:rsidRDefault="00EA0996" w:rsidP="003955A5">
      <w:pPr>
        <w:rPr>
          <w:rFonts w:ascii="Arial" w:hAnsi="Arial" w:cs="Arial"/>
          <w:color w:val="C00000"/>
          <w:sz w:val="20"/>
          <w:szCs w:val="20"/>
        </w:rPr>
      </w:pPr>
    </w:p>
    <w:p w14:paraId="6AACDD3C" w14:textId="77777777" w:rsidR="00EA0996" w:rsidRDefault="00EA0996" w:rsidP="003955A5">
      <w:pPr>
        <w:rPr>
          <w:rFonts w:ascii="Arial" w:hAnsi="Arial" w:cs="Arial"/>
          <w:color w:val="C00000"/>
          <w:sz w:val="20"/>
          <w:szCs w:val="20"/>
        </w:rPr>
      </w:pPr>
    </w:p>
    <w:p w14:paraId="774AB792" w14:textId="77777777" w:rsidR="00EA0996" w:rsidRDefault="00EA0996" w:rsidP="003955A5">
      <w:pPr>
        <w:rPr>
          <w:rFonts w:ascii="Arial" w:hAnsi="Arial" w:cs="Arial"/>
          <w:color w:val="C00000"/>
          <w:sz w:val="20"/>
          <w:szCs w:val="20"/>
        </w:rPr>
      </w:pPr>
    </w:p>
    <w:p w14:paraId="7C15747F" w14:textId="77777777" w:rsidR="00EA0996" w:rsidRDefault="00EA0996" w:rsidP="003955A5">
      <w:pPr>
        <w:rPr>
          <w:rFonts w:ascii="Arial" w:hAnsi="Arial" w:cs="Arial"/>
          <w:color w:val="C00000"/>
          <w:sz w:val="20"/>
          <w:szCs w:val="20"/>
        </w:rPr>
      </w:pPr>
    </w:p>
    <w:p w14:paraId="05E1BD5C" w14:textId="77777777" w:rsidR="00EA0996" w:rsidRDefault="00EA0996" w:rsidP="003955A5">
      <w:pPr>
        <w:rPr>
          <w:rFonts w:ascii="Arial" w:hAnsi="Arial" w:cs="Arial"/>
          <w:color w:val="C00000"/>
          <w:sz w:val="20"/>
          <w:szCs w:val="20"/>
        </w:rPr>
      </w:pPr>
    </w:p>
    <w:p w14:paraId="2C3357C5" w14:textId="77777777" w:rsidR="00EA0996" w:rsidRDefault="00EA0996" w:rsidP="003955A5">
      <w:pPr>
        <w:rPr>
          <w:rFonts w:ascii="Arial" w:hAnsi="Arial" w:cs="Arial"/>
          <w:color w:val="C00000"/>
          <w:sz w:val="20"/>
          <w:szCs w:val="20"/>
        </w:rPr>
      </w:pPr>
    </w:p>
    <w:p w14:paraId="47D79CF2" w14:textId="77777777" w:rsidR="00EA0996" w:rsidRDefault="00EA0996" w:rsidP="003955A5">
      <w:pPr>
        <w:rPr>
          <w:rFonts w:ascii="Arial" w:hAnsi="Arial" w:cs="Arial"/>
          <w:color w:val="C00000"/>
          <w:sz w:val="20"/>
          <w:szCs w:val="20"/>
        </w:rPr>
      </w:pPr>
    </w:p>
    <w:p w14:paraId="4020EA28" w14:textId="77777777" w:rsidR="00EA0996" w:rsidRDefault="00EA0996" w:rsidP="003955A5">
      <w:pPr>
        <w:rPr>
          <w:rFonts w:ascii="Arial" w:hAnsi="Arial" w:cs="Arial"/>
          <w:color w:val="C00000"/>
          <w:sz w:val="20"/>
          <w:szCs w:val="20"/>
        </w:rPr>
      </w:pPr>
    </w:p>
    <w:p w14:paraId="7A4118CF" w14:textId="77777777" w:rsidR="00EA0996" w:rsidRDefault="00EA0996" w:rsidP="003955A5">
      <w:pPr>
        <w:rPr>
          <w:rFonts w:ascii="Arial" w:hAnsi="Arial" w:cs="Arial"/>
          <w:color w:val="C00000"/>
          <w:sz w:val="20"/>
          <w:szCs w:val="20"/>
        </w:rPr>
      </w:pPr>
    </w:p>
    <w:p w14:paraId="75E59329" w14:textId="77777777" w:rsidR="00EA0996" w:rsidRDefault="00EA0996" w:rsidP="003955A5">
      <w:pPr>
        <w:rPr>
          <w:rFonts w:ascii="Arial" w:hAnsi="Arial" w:cs="Arial"/>
          <w:color w:val="C00000"/>
          <w:sz w:val="20"/>
          <w:szCs w:val="20"/>
        </w:rPr>
      </w:pPr>
    </w:p>
    <w:p w14:paraId="02EE9C8E" w14:textId="77777777" w:rsidR="00EA0996" w:rsidRDefault="00EA0996" w:rsidP="003955A5">
      <w:pPr>
        <w:rPr>
          <w:rFonts w:ascii="Arial" w:hAnsi="Arial" w:cs="Arial"/>
          <w:color w:val="C00000"/>
          <w:sz w:val="20"/>
          <w:szCs w:val="20"/>
        </w:rPr>
      </w:pPr>
    </w:p>
    <w:p w14:paraId="5E308255" w14:textId="77777777" w:rsidR="00EA0996" w:rsidRDefault="00EA0996" w:rsidP="003955A5">
      <w:pPr>
        <w:rPr>
          <w:rFonts w:ascii="Arial" w:hAnsi="Arial" w:cs="Arial"/>
          <w:color w:val="C00000"/>
          <w:sz w:val="20"/>
          <w:szCs w:val="20"/>
        </w:rPr>
      </w:pPr>
    </w:p>
    <w:p w14:paraId="03A5D700" w14:textId="77777777" w:rsidR="00EA0996" w:rsidRDefault="00EA0996" w:rsidP="003955A5">
      <w:pPr>
        <w:rPr>
          <w:rFonts w:ascii="Arial" w:hAnsi="Arial" w:cs="Arial"/>
          <w:color w:val="C00000"/>
          <w:sz w:val="20"/>
          <w:szCs w:val="20"/>
        </w:rPr>
      </w:pPr>
    </w:p>
    <w:p w14:paraId="0B4495A1" w14:textId="0604DD2E" w:rsidR="003955A5" w:rsidRPr="001A1EF8" w:rsidRDefault="003955A5" w:rsidP="003955A5">
      <w:pPr>
        <w:rPr>
          <w:rFonts w:ascii="Arial" w:hAnsi="Arial" w:cs="Arial"/>
          <w:color w:val="C00000"/>
          <w:sz w:val="20"/>
          <w:szCs w:val="20"/>
        </w:rPr>
      </w:pPr>
      <w:r w:rsidRPr="001A1EF8">
        <w:rPr>
          <w:rFonts w:ascii="Arial" w:hAnsi="Arial" w:cs="Arial"/>
          <w:color w:val="C00000"/>
          <w:sz w:val="20"/>
          <w:szCs w:val="20"/>
        </w:rPr>
        <w:lastRenderedPageBreak/>
        <w:t>Appendix B – Extract from Audit Standard 74393</w:t>
      </w:r>
    </w:p>
    <w:p w14:paraId="3F005DCE" w14:textId="449FFA27" w:rsidR="008E0BBC" w:rsidRPr="001A1EF8" w:rsidRDefault="003955A5" w:rsidP="008E0BBC">
      <w:pPr>
        <w:rPr>
          <w:rFonts w:ascii="Arial" w:hAnsi="Arial" w:cs="Arial"/>
          <w:sz w:val="20"/>
          <w:szCs w:val="20"/>
        </w:rPr>
      </w:pPr>
      <w:r w:rsidRPr="001A1EF8">
        <w:rPr>
          <w:rFonts w:ascii="Arial" w:hAnsi="Arial" w:cs="Arial"/>
          <w:noProof/>
          <w:sz w:val="20"/>
          <w:szCs w:val="20"/>
        </w:rPr>
        <w:drawing>
          <wp:anchor distT="0" distB="0" distL="114300" distR="114300" simplePos="0" relativeHeight="251683840" behindDoc="0" locked="0" layoutInCell="1" allowOverlap="1" wp14:anchorId="1FF5EDEA" wp14:editId="48CB91AA">
            <wp:simplePos x="0" y="0"/>
            <wp:positionH relativeFrom="margin">
              <wp:align>right</wp:align>
            </wp:positionH>
            <wp:positionV relativeFrom="paragraph">
              <wp:posOffset>4527742</wp:posOffset>
            </wp:positionV>
            <wp:extent cx="2857500" cy="4031615"/>
            <wp:effectExtent l="19050" t="19050" r="19050" b="26035"/>
            <wp:wrapTopAndBottom/>
            <wp:docPr id="2020462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62255" name=""/>
                    <pic:cNvPicPr/>
                  </pic:nvPicPr>
                  <pic:blipFill>
                    <a:blip r:embed="rId62">
                      <a:extLst>
                        <a:ext uri="{28A0092B-C50C-407E-A947-70E740481C1C}">
                          <a14:useLocalDpi xmlns:a14="http://schemas.microsoft.com/office/drawing/2010/main" val="0"/>
                        </a:ext>
                      </a:extLst>
                    </a:blip>
                    <a:stretch>
                      <a:fillRect/>
                    </a:stretch>
                  </pic:blipFill>
                  <pic:spPr>
                    <a:xfrm>
                      <a:off x="0" y="0"/>
                      <a:ext cx="2857500" cy="40316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A1EF8">
        <w:rPr>
          <w:noProof/>
          <w:sz w:val="20"/>
          <w:szCs w:val="20"/>
        </w:rPr>
        <w:drawing>
          <wp:anchor distT="0" distB="0" distL="114300" distR="114300" simplePos="0" relativeHeight="251681792" behindDoc="0" locked="0" layoutInCell="1" allowOverlap="1" wp14:anchorId="14EE5839" wp14:editId="67D4643A">
            <wp:simplePos x="0" y="0"/>
            <wp:positionH relativeFrom="margin">
              <wp:align>right</wp:align>
            </wp:positionH>
            <wp:positionV relativeFrom="paragraph">
              <wp:posOffset>360680</wp:posOffset>
            </wp:positionV>
            <wp:extent cx="2868295" cy="4074160"/>
            <wp:effectExtent l="19050" t="19050" r="27305" b="21590"/>
            <wp:wrapTopAndBottom/>
            <wp:docPr id="1452283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868295" cy="407416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1A1EF8">
        <w:rPr>
          <w:noProof/>
          <w:sz w:val="20"/>
          <w:szCs w:val="20"/>
        </w:rPr>
        <w:drawing>
          <wp:anchor distT="0" distB="0" distL="114300" distR="114300" simplePos="0" relativeHeight="251682816" behindDoc="0" locked="0" layoutInCell="1" allowOverlap="1" wp14:anchorId="12AB3DF0" wp14:editId="79A72767">
            <wp:simplePos x="0" y="0"/>
            <wp:positionH relativeFrom="page">
              <wp:posOffset>571455</wp:posOffset>
            </wp:positionH>
            <wp:positionV relativeFrom="paragraph">
              <wp:posOffset>4489569</wp:posOffset>
            </wp:positionV>
            <wp:extent cx="2883535" cy="4069715"/>
            <wp:effectExtent l="19050" t="19050" r="12065" b="26035"/>
            <wp:wrapTopAndBottom/>
            <wp:docPr id="1299253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883535" cy="40697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1A1EF8">
        <w:rPr>
          <w:noProof/>
          <w:sz w:val="20"/>
          <w:szCs w:val="20"/>
        </w:rPr>
        <w:drawing>
          <wp:anchor distT="0" distB="0" distL="114300" distR="114300" simplePos="0" relativeHeight="251680768" behindDoc="0" locked="0" layoutInCell="1" allowOverlap="1" wp14:anchorId="37EA8982" wp14:editId="4D14C772">
            <wp:simplePos x="0" y="0"/>
            <wp:positionH relativeFrom="column">
              <wp:posOffset>-353695</wp:posOffset>
            </wp:positionH>
            <wp:positionV relativeFrom="paragraph">
              <wp:posOffset>360680</wp:posOffset>
            </wp:positionV>
            <wp:extent cx="2893695" cy="4098925"/>
            <wp:effectExtent l="19050" t="19050" r="20955" b="15875"/>
            <wp:wrapTopAndBottom/>
            <wp:docPr id="1642585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585708" name=""/>
                    <pic:cNvPicPr/>
                  </pic:nvPicPr>
                  <pic:blipFill>
                    <a:blip r:embed="rId65">
                      <a:extLst>
                        <a:ext uri="{28A0092B-C50C-407E-A947-70E740481C1C}">
                          <a14:useLocalDpi xmlns:a14="http://schemas.microsoft.com/office/drawing/2010/main" val="0"/>
                        </a:ext>
                      </a:extLst>
                    </a:blip>
                    <a:stretch>
                      <a:fillRect/>
                    </a:stretch>
                  </pic:blipFill>
                  <pic:spPr>
                    <a:xfrm>
                      <a:off x="0" y="0"/>
                      <a:ext cx="2893695" cy="40989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A1EF8">
        <w:rPr>
          <w:rFonts w:ascii="Arial" w:hAnsi="Arial" w:cs="Arial"/>
          <w:sz w:val="20"/>
          <w:szCs w:val="20"/>
        </w:rPr>
        <w:t>Included here is the corrective action framework used post-audit, highlighting the 90-day response window and weekly escalation reporting format for unresolved non-conformities.</w:t>
      </w:r>
    </w:p>
    <w:sectPr w:rsidR="008E0BBC" w:rsidRPr="001A1E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9EDA9" w14:textId="77777777" w:rsidR="004D55CC" w:rsidRPr="001A1EF8" w:rsidRDefault="004D55CC" w:rsidP="004D55CC">
      <w:pPr>
        <w:spacing w:after="0" w:line="240" w:lineRule="auto"/>
        <w:rPr>
          <w:sz w:val="20"/>
          <w:szCs w:val="20"/>
        </w:rPr>
      </w:pPr>
      <w:r w:rsidRPr="001A1EF8">
        <w:rPr>
          <w:sz w:val="20"/>
          <w:szCs w:val="20"/>
        </w:rPr>
        <w:separator/>
      </w:r>
    </w:p>
  </w:endnote>
  <w:endnote w:type="continuationSeparator" w:id="0">
    <w:p w14:paraId="388FA8EC" w14:textId="77777777" w:rsidR="004D55CC" w:rsidRPr="001A1EF8" w:rsidRDefault="004D55CC" w:rsidP="004D55CC">
      <w:pPr>
        <w:spacing w:after="0" w:line="240" w:lineRule="auto"/>
        <w:rPr>
          <w:sz w:val="20"/>
          <w:szCs w:val="20"/>
        </w:rPr>
      </w:pPr>
      <w:r w:rsidRPr="001A1EF8">
        <w:rPr>
          <w:sz w:val="20"/>
          <w:szCs w:val="20"/>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890640547"/>
      <w:docPartObj>
        <w:docPartGallery w:val="Page Numbers (Bottom of Page)"/>
        <w:docPartUnique/>
      </w:docPartObj>
    </w:sdtPr>
    <w:sdtEndPr>
      <w:rPr>
        <w:noProof/>
      </w:rPr>
    </w:sdtEndPr>
    <w:sdtContent>
      <w:p w14:paraId="1B0F1666" w14:textId="0B976C42" w:rsidR="00682DE2" w:rsidRPr="001A1EF8" w:rsidRDefault="0012620A">
        <w:pPr>
          <w:pStyle w:val="Footer"/>
          <w:jc w:val="right"/>
          <w:rPr>
            <w:sz w:val="20"/>
            <w:szCs w:val="20"/>
          </w:rPr>
        </w:pPr>
        <w:r w:rsidRPr="001A1EF8">
          <w:rPr>
            <w:noProof/>
            <w:sz w:val="20"/>
            <w:szCs w:val="20"/>
          </w:rPr>
          <w:drawing>
            <wp:anchor distT="0" distB="0" distL="114300" distR="114300" simplePos="0" relativeHeight="251658240" behindDoc="1" locked="0" layoutInCell="1" allowOverlap="1" wp14:anchorId="31AB2256" wp14:editId="6E0AAD08">
              <wp:simplePos x="0" y="0"/>
              <wp:positionH relativeFrom="margin">
                <wp:align>center</wp:align>
              </wp:positionH>
              <wp:positionV relativeFrom="paragraph">
                <wp:posOffset>-137160</wp:posOffset>
              </wp:positionV>
              <wp:extent cx="1243965" cy="1243965"/>
              <wp:effectExtent l="0" t="0" r="0" b="0"/>
              <wp:wrapNone/>
              <wp:docPr id="10404294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43965" cy="1243965"/>
                      </a:xfrm>
                      <a:prstGeom prst="rect">
                        <a:avLst/>
                      </a:prstGeom>
                      <a:noFill/>
                    </pic:spPr>
                  </pic:pic>
                </a:graphicData>
              </a:graphic>
            </wp:anchor>
          </w:drawing>
        </w:r>
        <w:r w:rsidR="00682DE2" w:rsidRPr="001A1EF8">
          <w:rPr>
            <w:sz w:val="20"/>
            <w:szCs w:val="20"/>
          </w:rPr>
          <w:fldChar w:fldCharType="begin"/>
        </w:r>
        <w:r w:rsidR="00682DE2" w:rsidRPr="001A1EF8">
          <w:rPr>
            <w:sz w:val="20"/>
            <w:szCs w:val="20"/>
          </w:rPr>
          <w:instrText xml:space="preserve"> PAGE   \* MERGEFORMAT </w:instrText>
        </w:r>
        <w:r w:rsidR="00682DE2" w:rsidRPr="001A1EF8">
          <w:rPr>
            <w:sz w:val="20"/>
            <w:szCs w:val="20"/>
          </w:rPr>
          <w:fldChar w:fldCharType="separate"/>
        </w:r>
        <w:r w:rsidR="00682DE2" w:rsidRPr="001A1EF8">
          <w:rPr>
            <w:noProof/>
            <w:sz w:val="20"/>
            <w:szCs w:val="20"/>
          </w:rPr>
          <w:t>2</w:t>
        </w:r>
        <w:r w:rsidR="00682DE2" w:rsidRPr="001A1EF8">
          <w:rPr>
            <w:noProof/>
            <w:sz w:val="20"/>
            <w:szCs w:val="20"/>
          </w:rPr>
          <w:fldChar w:fldCharType="end"/>
        </w:r>
      </w:p>
    </w:sdtContent>
  </w:sdt>
  <w:p w14:paraId="2CDB06E5" w14:textId="6BD954CF" w:rsidR="00682DE2" w:rsidRPr="001A1EF8" w:rsidRDefault="00682DE2">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DCCDD" w14:textId="77777777" w:rsidR="004D55CC" w:rsidRPr="001A1EF8" w:rsidRDefault="004D55CC" w:rsidP="004D55CC">
      <w:pPr>
        <w:spacing w:after="0" w:line="240" w:lineRule="auto"/>
        <w:rPr>
          <w:sz w:val="20"/>
          <w:szCs w:val="20"/>
        </w:rPr>
      </w:pPr>
      <w:r w:rsidRPr="001A1EF8">
        <w:rPr>
          <w:sz w:val="20"/>
          <w:szCs w:val="20"/>
        </w:rPr>
        <w:separator/>
      </w:r>
    </w:p>
  </w:footnote>
  <w:footnote w:type="continuationSeparator" w:id="0">
    <w:p w14:paraId="6EF5C4AA" w14:textId="77777777" w:rsidR="004D55CC" w:rsidRPr="001A1EF8" w:rsidRDefault="004D55CC" w:rsidP="004D55CC">
      <w:pPr>
        <w:spacing w:after="0" w:line="240" w:lineRule="auto"/>
        <w:rPr>
          <w:sz w:val="20"/>
          <w:szCs w:val="20"/>
        </w:rPr>
      </w:pPr>
      <w:r w:rsidRPr="001A1EF8">
        <w:rPr>
          <w:sz w:val="20"/>
          <w:szCs w:val="20"/>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25B40"/>
    <w:multiLevelType w:val="hybridMultilevel"/>
    <w:tmpl w:val="E98E7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85CA0"/>
    <w:multiLevelType w:val="hybridMultilevel"/>
    <w:tmpl w:val="4922F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C0A3F"/>
    <w:multiLevelType w:val="hybridMultilevel"/>
    <w:tmpl w:val="7B62D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82713"/>
    <w:multiLevelType w:val="hybridMultilevel"/>
    <w:tmpl w:val="994ED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F5DDD"/>
    <w:multiLevelType w:val="hybridMultilevel"/>
    <w:tmpl w:val="ADCC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FB1D21"/>
    <w:multiLevelType w:val="hybridMultilevel"/>
    <w:tmpl w:val="719C0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A179A7"/>
    <w:multiLevelType w:val="hybridMultilevel"/>
    <w:tmpl w:val="A6C69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3C3676"/>
    <w:multiLevelType w:val="hybridMultilevel"/>
    <w:tmpl w:val="2F1A5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667DE9"/>
    <w:multiLevelType w:val="hybridMultilevel"/>
    <w:tmpl w:val="5956C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76151F"/>
    <w:multiLevelType w:val="hybridMultilevel"/>
    <w:tmpl w:val="8572E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5D3CFB"/>
    <w:multiLevelType w:val="hybridMultilevel"/>
    <w:tmpl w:val="5574D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C42BD5"/>
    <w:multiLevelType w:val="hybridMultilevel"/>
    <w:tmpl w:val="1130E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195039"/>
    <w:multiLevelType w:val="hybridMultilevel"/>
    <w:tmpl w:val="9EF48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007125"/>
    <w:multiLevelType w:val="hybridMultilevel"/>
    <w:tmpl w:val="C7EC2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4426A9"/>
    <w:multiLevelType w:val="hybridMultilevel"/>
    <w:tmpl w:val="56242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8D7E75"/>
    <w:multiLevelType w:val="hybridMultilevel"/>
    <w:tmpl w:val="743A3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CE38E6"/>
    <w:multiLevelType w:val="hybridMultilevel"/>
    <w:tmpl w:val="DAD00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3D1010"/>
    <w:multiLevelType w:val="hybridMultilevel"/>
    <w:tmpl w:val="5C78D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A751E5"/>
    <w:multiLevelType w:val="hybridMultilevel"/>
    <w:tmpl w:val="97AAB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427AA5"/>
    <w:multiLevelType w:val="hybridMultilevel"/>
    <w:tmpl w:val="BC8E4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0C7EB7"/>
    <w:multiLevelType w:val="hybridMultilevel"/>
    <w:tmpl w:val="E94A7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8A09CF"/>
    <w:multiLevelType w:val="hybridMultilevel"/>
    <w:tmpl w:val="97562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9F0A8F"/>
    <w:multiLevelType w:val="hybridMultilevel"/>
    <w:tmpl w:val="95B27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86342D"/>
    <w:multiLevelType w:val="hybridMultilevel"/>
    <w:tmpl w:val="DB88B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A459A4"/>
    <w:multiLevelType w:val="hybridMultilevel"/>
    <w:tmpl w:val="FBC09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A75F95"/>
    <w:multiLevelType w:val="hybridMultilevel"/>
    <w:tmpl w:val="18747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C7E22"/>
    <w:multiLevelType w:val="hybridMultilevel"/>
    <w:tmpl w:val="941EC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247C17"/>
    <w:multiLevelType w:val="hybridMultilevel"/>
    <w:tmpl w:val="AED0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2E24D4"/>
    <w:multiLevelType w:val="hybridMultilevel"/>
    <w:tmpl w:val="974A9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3339A0"/>
    <w:multiLevelType w:val="hybridMultilevel"/>
    <w:tmpl w:val="DCBE2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7762A9"/>
    <w:multiLevelType w:val="hybridMultilevel"/>
    <w:tmpl w:val="0F3A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9C14FE"/>
    <w:multiLevelType w:val="hybridMultilevel"/>
    <w:tmpl w:val="2F0EB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495CCD"/>
    <w:multiLevelType w:val="hybridMultilevel"/>
    <w:tmpl w:val="D32CB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5355E0"/>
    <w:multiLevelType w:val="hybridMultilevel"/>
    <w:tmpl w:val="8F9E2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8E4160"/>
    <w:multiLevelType w:val="hybridMultilevel"/>
    <w:tmpl w:val="77208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69361F"/>
    <w:multiLevelType w:val="hybridMultilevel"/>
    <w:tmpl w:val="1960E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5169DB"/>
    <w:multiLevelType w:val="hybridMultilevel"/>
    <w:tmpl w:val="49FC9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DC0A40"/>
    <w:multiLevelType w:val="hybridMultilevel"/>
    <w:tmpl w:val="EE56E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D502A8B"/>
    <w:multiLevelType w:val="hybridMultilevel"/>
    <w:tmpl w:val="1BF87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391275">
    <w:abstractNumId w:val="37"/>
  </w:num>
  <w:num w:numId="2" w16cid:durableId="221411531">
    <w:abstractNumId w:val="29"/>
  </w:num>
  <w:num w:numId="3" w16cid:durableId="1000430726">
    <w:abstractNumId w:val="28"/>
  </w:num>
  <w:num w:numId="4" w16cid:durableId="1211185217">
    <w:abstractNumId w:val="22"/>
  </w:num>
  <w:num w:numId="5" w16cid:durableId="949509720">
    <w:abstractNumId w:val="9"/>
  </w:num>
  <w:num w:numId="6" w16cid:durableId="1715813281">
    <w:abstractNumId w:val="21"/>
  </w:num>
  <w:num w:numId="7" w16cid:durableId="363140364">
    <w:abstractNumId w:val="11"/>
  </w:num>
  <w:num w:numId="8" w16cid:durableId="1752695677">
    <w:abstractNumId w:val="5"/>
  </w:num>
  <w:num w:numId="9" w16cid:durableId="1926575725">
    <w:abstractNumId w:val="12"/>
  </w:num>
  <w:num w:numId="10" w16cid:durableId="1546529158">
    <w:abstractNumId w:val="16"/>
  </w:num>
  <w:num w:numId="11" w16cid:durableId="135494575">
    <w:abstractNumId w:val="17"/>
  </w:num>
  <w:num w:numId="12" w16cid:durableId="2115786339">
    <w:abstractNumId w:val="31"/>
  </w:num>
  <w:num w:numId="13" w16cid:durableId="1749379272">
    <w:abstractNumId w:val="8"/>
  </w:num>
  <w:num w:numId="14" w16cid:durableId="2115203573">
    <w:abstractNumId w:val="1"/>
  </w:num>
  <w:num w:numId="15" w16cid:durableId="1061368180">
    <w:abstractNumId w:val="35"/>
  </w:num>
  <w:num w:numId="16" w16cid:durableId="2024162088">
    <w:abstractNumId w:val="10"/>
  </w:num>
  <w:num w:numId="17" w16cid:durableId="702444466">
    <w:abstractNumId w:val="20"/>
  </w:num>
  <w:num w:numId="18" w16cid:durableId="903371833">
    <w:abstractNumId w:val="13"/>
  </w:num>
  <w:num w:numId="19" w16cid:durableId="505366641">
    <w:abstractNumId w:val="33"/>
  </w:num>
  <w:num w:numId="20" w16cid:durableId="1353146942">
    <w:abstractNumId w:val="15"/>
  </w:num>
  <w:num w:numId="21" w16cid:durableId="221839658">
    <w:abstractNumId w:val="25"/>
  </w:num>
  <w:num w:numId="22" w16cid:durableId="1297568189">
    <w:abstractNumId w:val="0"/>
  </w:num>
  <w:num w:numId="23" w16cid:durableId="981077461">
    <w:abstractNumId w:val="30"/>
  </w:num>
  <w:num w:numId="24" w16cid:durableId="24259709">
    <w:abstractNumId w:val="38"/>
  </w:num>
  <w:num w:numId="25" w16cid:durableId="51999849">
    <w:abstractNumId w:val="14"/>
  </w:num>
  <w:num w:numId="26" w16cid:durableId="1574196151">
    <w:abstractNumId w:val="34"/>
  </w:num>
  <w:num w:numId="27" w16cid:durableId="1950430811">
    <w:abstractNumId w:val="2"/>
  </w:num>
  <w:num w:numId="28" w16cid:durableId="303198797">
    <w:abstractNumId w:val="18"/>
  </w:num>
  <w:num w:numId="29" w16cid:durableId="956453085">
    <w:abstractNumId w:val="3"/>
  </w:num>
  <w:num w:numId="30" w16cid:durableId="1025593816">
    <w:abstractNumId w:val="7"/>
  </w:num>
  <w:num w:numId="31" w16cid:durableId="477957562">
    <w:abstractNumId w:val="19"/>
  </w:num>
  <w:num w:numId="32" w16cid:durableId="970751813">
    <w:abstractNumId w:val="27"/>
  </w:num>
  <w:num w:numId="33" w16cid:durableId="1228566383">
    <w:abstractNumId w:val="23"/>
  </w:num>
  <w:num w:numId="34" w16cid:durableId="293412965">
    <w:abstractNumId w:val="36"/>
  </w:num>
  <w:num w:numId="35" w16cid:durableId="1834685170">
    <w:abstractNumId w:val="4"/>
  </w:num>
  <w:num w:numId="36" w16cid:durableId="1103722035">
    <w:abstractNumId w:val="32"/>
  </w:num>
  <w:num w:numId="37" w16cid:durableId="919801284">
    <w:abstractNumId w:val="26"/>
  </w:num>
  <w:num w:numId="38" w16cid:durableId="1807157098">
    <w:abstractNumId w:val="6"/>
  </w:num>
  <w:num w:numId="39" w16cid:durableId="18628165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4300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31"/>
    <w:rsid w:val="00023CA6"/>
    <w:rsid w:val="000272A3"/>
    <w:rsid w:val="0003395D"/>
    <w:rsid w:val="00040BFD"/>
    <w:rsid w:val="000502A7"/>
    <w:rsid w:val="00066499"/>
    <w:rsid w:val="00070E60"/>
    <w:rsid w:val="00076849"/>
    <w:rsid w:val="00081860"/>
    <w:rsid w:val="00085E79"/>
    <w:rsid w:val="00093B06"/>
    <w:rsid w:val="000D05C4"/>
    <w:rsid w:val="000D3970"/>
    <w:rsid w:val="000D6DAA"/>
    <w:rsid w:val="000E67C4"/>
    <w:rsid w:val="000F6FD5"/>
    <w:rsid w:val="00100F37"/>
    <w:rsid w:val="0011312A"/>
    <w:rsid w:val="0012620A"/>
    <w:rsid w:val="00130587"/>
    <w:rsid w:val="00132D35"/>
    <w:rsid w:val="001342E9"/>
    <w:rsid w:val="00145F08"/>
    <w:rsid w:val="00147430"/>
    <w:rsid w:val="0015644A"/>
    <w:rsid w:val="00161EA9"/>
    <w:rsid w:val="00176317"/>
    <w:rsid w:val="001850B9"/>
    <w:rsid w:val="001A1EF8"/>
    <w:rsid w:val="001A46EF"/>
    <w:rsid w:val="001D6AE4"/>
    <w:rsid w:val="001E2933"/>
    <w:rsid w:val="001F20F9"/>
    <w:rsid w:val="001F6968"/>
    <w:rsid w:val="00202EA1"/>
    <w:rsid w:val="00205F0E"/>
    <w:rsid w:val="002116CD"/>
    <w:rsid w:val="002125F5"/>
    <w:rsid w:val="00213000"/>
    <w:rsid w:val="00223DD9"/>
    <w:rsid w:val="00224950"/>
    <w:rsid w:val="0023534E"/>
    <w:rsid w:val="0024259D"/>
    <w:rsid w:val="002721E3"/>
    <w:rsid w:val="00283397"/>
    <w:rsid w:val="002975B4"/>
    <w:rsid w:val="002A35C2"/>
    <w:rsid w:val="002B5003"/>
    <w:rsid w:val="002C07CB"/>
    <w:rsid w:val="002C1AD3"/>
    <w:rsid w:val="002D1B22"/>
    <w:rsid w:val="002E7CC5"/>
    <w:rsid w:val="00306563"/>
    <w:rsid w:val="0032349B"/>
    <w:rsid w:val="00334257"/>
    <w:rsid w:val="00373D2A"/>
    <w:rsid w:val="00377FBE"/>
    <w:rsid w:val="0038024F"/>
    <w:rsid w:val="003955A5"/>
    <w:rsid w:val="003A1A27"/>
    <w:rsid w:val="003A45EC"/>
    <w:rsid w:val="003B5A71"/>
    <w:rsid w:val="003B7AD9"/>
    <w:rsid w:val="003D7962"/>
    <w:rsid w:val="003E0D9A"/>
    <w:rsid w:val="003E2F7B"/>
    <w:rsid w:val="003F11F1"/>
    <w:rsid w:val="003F7F59"/>
    <w:rsid w:val="00416750"/>
    <w:rsid w:val="00427EB0"/>
    <w:rsid w:val="00433DBB"/>
    <w:rsid w:val="004425A6"/>
    <w:rsid w:val="00466496"/>
    <w:rsid w:val="0046674F"/>
    <w:rsid w:val="00474620"/>
    <w:rsid w:val="0047709C"/>
    <w:rsid w:val="00484B61"/>
    <w:rsid w:val="004927EE"/>
    <w:rsid w:val="004B2010"/>
    <w:rsid w:val="004C241E"/>
    <w:rsid w:val="004D55CC"/>
    <w:rsid w:val="005006A5"/>
    <w:rsid w:val="00505C55"/>
    <w:rsid w:val="005316D8"/>
    <w:rsid w:val="00536D24"/>
    <w:rsid w:val="005406DC"/>
    <w:rsid w:val="00541226"/>
    <w:rsid w:val="005759A9"/>
    <w:rsid w:val="00583866"/>
    <w:rsid w:val="0058616E"/>
    <w:rsid w:val="005932CC"/>
    <w:rsid w:val="0059479D"/>
    <w:rsid w:val="005C5337"/>
    <w:rsid w:val="005C7C8E"/>
    <w:rsid w:val="005D2AC8"/>
    <w:rsid w:val="005D58F5"/>
    <w:rsid w:val="005F477B"/>
    <w:rsid w:val="0062281B"/>
    <w:rsid w:val="00626EE4"/>
    <w:rsid w:val="00627406"/>
    <w:rsid w:val="0065033D"/>
    <w:rsid w:val="00663603"/>
    <w:rsid w:val="00674A37"/>
    <w:rsid w:val="00682DE2"/>
    <w:rsid w:val="0068337E"/>
    <w:rsid w:val="00696F7B"/>
    <w:rsid w:val="006972B8"/>
    <w:rsid w:val="006A748B"/>
    <w:rsid w:val="006C418D"/>
    <w:rsid w:val="006D1FEF"/>
    <w:rsid w:val="006D2BFD"/>
    <w:rsid w:val="006E5899"/>
    <w:rsid w:val="006F16B6"/>
    <w:rsid w:val="0072171B"/>
    <w:rsid w:val="00734390"/>
    <w:rsid w:val="00743C24"/>
    <w:rsid w:val="00743CDE"/>
    <w:rsid w:val="00754453"/>
    <w:rsid w:val="00765AC5"/>
    <w:rsid w:val="00777654"/>
    <w:rsid w:val="00782EB0"/>
    <w:rsid w:val="007B1954"/>
    <w:rsid w:val="007B462C"/>
    <w:rsid w:val="007C4478"/>
    <w:rsid w:val="007E1FAB"/>
    <w:rsid w:val="007E761C"/>
    <w:rsid w:val="00805E82"/>
    <w:rsid w:val="00807F22"/>
    <w:rsid w:val="00811732"/>
    <w:rsid w:val="00820B9A"/>
    <w:rsid w:val="00827F6E"/>
    <w:rsid w:val="00843739"/>
    <w:rsid w:val="0084658D"/>
    <w:rsid w:val="00870C5A"/>
    <w:rsid w:val="0088576A"/>
    <w:rsid w:val="008860A3"/>
    <w:rsid w:val="00893D36"/>
    <w:rsid w:val="008A5F86"/>
    <w:rsid w:val="008B27F2"/>
    <w:rsid w:val="008B7949"/>
    <w:rsid w:val="008C427E"/>
    <w:rsid w:val="008C54B7"/>
    <w:rsid w:val="008C784C"/>
    <w:rsid w:val="008E0BBC"/>
    <w:rsid w:val="008E38BC"/>
    <w:rsid w:val="009163F5"/>
    <w:rsid w:val="00922788"/>
    <w:rsid w:val="00923114"/>
    <w:rsid w:val="009345E1"/>
    <w:rsid w:val="009438FC"/>
    <w:rsid w:val="00951E41"/>
    <w:rsid w:val="00951F51"/>
    <w:rsid w:val="00957818"/>
    <w:rsid w:val="00957B0C"/>
    <w:rsid w:val="009602F4"/>
    <w:rsid w:val="009A348B"/>
    <w:rsid w:val="009B59F7"/>
    <w:rsid w:val="009C2EB8"/>
    <w:rsid w:val="009D7C47"/>
    <w:rsid w:val="009E0292"/>
    <w:rsid w:val="009E03A5"/>
    <w:rsid w:val="009E64B2"/>
    <w:rsid w:val="009F0DB5"/>
    <w:rsid w:val="00A33D59"/>
    <w:rsid w:val="00A46AD2"/>
    <w:rsid w:val="00A62168"/>
    <w:rsid w:val="00A64F64"/>
    <w:rsid w:val="00A66493"/>
    <w:rsid w:val="00A86182"/>
    <w:rsid w:val="00AA5702"/>
    <w:rsid w:val="00AD2D5E"/>
    <w:rsid w:val="00AE1FC7"/>
    <w:rsid w:val="00AE22B2"/>
    <w:rsid w:val="00B20A1B"/>
    <w:rsid w:val="00B27AFC"/>
    <w:rsid w:val="00B31635"/>
    <w:rsid w:val="00B33959"/>
    <w:rsid w:val="00B34666"/>
    <w:rsid w:val="00B46314"/>
    <w:rsid w:val="00B5426C"/>
    <w:rsid w:val="00B66D10"/>
    <w:rsid w:val="00B73AC2"/>
    <w:rsid w:val="00B76B34"/>
    <w:rsid w:val="00B84468"/>
    <w:rsid w:val="00BA47D8"/>
    <w:rsid w:val="00BC0CD4"/>
    <w:rsid w:val="00BC0FA2"/>
    <w:rsid w:val="00BC1DF4"/>
    <w:rsid w:val="00BF0134"/>
    <w:rsid w:val="00BF5A48"/>
    <w:rsid w:val="00C05238"/>
    <w:rsid w:val="00C40C7D"/>
    <w:rsid w:val="00C4222E"/>
    <w:rsid w:val="00C43959"/>
    <w:rsid w:val="00C83457"/>
    <w:rsid w:val="00C8775A"/>
    <w:rsid w:val="00C94CD9"/>
    <w:rsid w:val="00CA32DC"/>
    <w:rsid w:val="00CB16C9"/>
    <w:rsid w:val="00CB3F9D"/>
    <w:rsid w:val="00CB5183"/>
    <w:rsid w:val="00CC766A"/>
    <w:rsid w:val="00CD0EB0"/>
    <w:rsid w:val="00CF19A5"/>
    <w:rsid w:val="00D06A2D"/>
    <w:rsid w:val="00D33831"/>
    <w:rsid w:val="00D33EE4"/>
    <w:rsid w:val="00D34953"/>
    <w:rsid w:val="00D42B8B"/>
    <w:rsid w:val="00D44D22"/>
    <w:rsid w:val="00D54D8B"/>
    <w:rsid w:val="00D77789"/>
    <w:rsid w:val="00D80984"/>
    <w:rsid w:val="00D82B97"/>
    <w:rsid w:val="00D838CA"/>
    <w:rsid w:val="00D86F0B"/>
    <w:rsid w:val="00D95B25"/>
    <w:rsid w:val="00DA0EBC"/>
    <w:rsid w:val="00DB2A7D"/>
    <w:rsid w:val="00DD7464"/>
    <w:rsid w:val="00E10833"/>
    <w:rsid w:val="00E211B0"/>
    <w:rsid w:val="00E2245E"/>
    <w:rsid w:val="00E27EC7"/>
    <w:rsid w:val="00E40B83"/>
    <w:rsid w:val="00E4592E"/>
    <w:rsid w:val="00E53448"/>
    <w:rsid w:val="00E53897"/>
    <w:rsid w:val="00E56E8E"/>
    <w:rsid w:val="00E653C1"/>
    <w:rsid w:val="00E70481"/>
    <w:rsid w:val="00E7391B"/>
    <w:rsid w:val="00E73E21"/>
    <w:rsid w:val="00E87C7B"/>
    <w:rsid w:val="00E925AC"/>
    <w:rsid w:val="00E92AF8"/>
    <w:rsid w:val="00EA0996"/>
    <w:rsid w:val="00EA2C0D"/>
    <w:rsid w:val="00ED3BC3"/>
    <w:rsid w:val="00EE454C"/>
    <w:rsid w:val="00F01BDC"/>
    <w:rsid w:val="00F1769A"/>
    <w:rsid w:val="00F21F7D"/>
    <w:rsid w:val="00F25DA3"/>
    <w:rsid w:val="00F422E9"/>
    <w:rsid w:val="00F51556"/>
    <w:rsid w:val="00F937A5"/>
    <w:rsid w:val="00FE5CD5"/>
    <w:rsid w:val="00FF4E1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51AB60F4"/>
  <w15:chartTrackingRefBased/>
  <w15:docId w15:val="{22AD9238-EC83-4A82-B75F-A297AB14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831"/>
  </w:style>
  <w:style w:type="paragraph" w:styleId="Heading1">
    <w:name w:val="heading 1"/>
    <w:basedOn w:val="Normal"/>
    <w:next w:val="Normal"/>
    <w:link w:val="Heading1Char"/>
    <w:uiPriority w:val="9"/>
    <w:qFormat/>
    <w:rsid w:val="00505C55"/>
    <w:pPr>
      <w:spacing w:line="360" w:lineRule="auto"/>
      <w:outlineLvl w:val="0"/>
    </w:pPr>
    <w:rPr>
      <w:rFonts w:ascii="Arial" w:hAnsi="Arial" w:cs="Arial"/>
      <w:b/>
      <w:bCs/>
      <w:sz w:val="24"/>
      <w:szCs w:val="24"/>
    </w:rPr>
  </w:style>
  <w:style w:type="paragraph" w:styleId="Heading2">
    <w:name w:val="heading 2"/>
    <w:basedOn w:val="Normal"/>
    <w:next w:val="Normal"/>
    <w:link w:val="Heading2Char"/>
    <w:uiPriority w:val="9"/>
    <w:unhideWhenUsed/>
    <w:qFormat/>
    <w:rsid w:val="00E56E8E"/>
    <w:pPr>
      <w:spacing w:line="360" w:lineRule="auto"/>
      <w:outlineLvl w:val="1"/>
    </w:pPr>
    <w:rPr>
      <w:rFonts w:ascii="Arial" w:hAnsi="Arial" w:cs="Arial"/>
      <w:szCs w:val="24"/>
    </w:rPr>
  </w:style>
  <w:style w:type="paragraph" w:styleId="Heading3">
    <w:name w:val="heading 3"/>
    <w:basedOn w:val="Normal"/>
    <w:next w:val="Normal"/>
    <w:link w:val="Heading3Char"/>
    <w:uiPriority w:val="9"/>
    <w:unhideWhenUsed/>
    <w:qFormat/>
    <w:rsid w:val="007E76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3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831"/>
  </w:style>
  <w:style w:type="character" w:customStyle="1" w:styleId="Heading1Char">
    <w:name w:val="Heading 1 Char"/>
    <w:basedOn w:val="DefaultParagraphFont"/>
    <w:link w:val="Heading1"/>
    <w:uiPriority w:val="9"/>
    <w:rsid w:val="00505C55"/>
    <w:rPr>
      <w:rFonts w:ascii="Arial" w:hAnsi="Arial" w:cs="Arial"/>
      <w:b/>
      <w:bCs/>
      <w:sz w:val="24"/>
      <w:szCs w:val="24"/>
    </w:rPr>
  </w:style>
  <w:style w:type="paragraph" w:styleId="TOCHeading">
    <w:name w:val="TOC Heading"/>
    <w:basedOn w:val="Heading1"/>
    <w:next w:val="Normal"/>
    <w:uiPriority w:val="39"/>
    <w:unhideWhenUsed/>
    <w:qFormat/>
    <w:rsid w:val="00D33831"/>
    <w:pPr>
      <w:outlineLvl w:val="9"/>
    </w:pPr>
    <w:rPr>
      <w:kern w:val="0"/>
      <w:lang w:val="en-US" w:eastAsia="en-US"/>
      <w14:ligatures w14:val="none"/>
    </w:rPr>
  </w:style>
  <w:style w:type="character" w:customStyle="1" w:styleId="Heading2Char">
    <w:name w:val="Heading 2 Char"/>
    <w:basedOn w:val="DefaultParagraphFont"/>
    <w:link w:val="Heading2"/>
    <w:uiPriority w:val="9"/>
    <w:rsid w:val="00E56E8E"/>
    <w:rPr>
      <w:rFonts w:ascii="Arial" w:hAnsi="Arial" w:cs="Arial"/>
      <w:szCs w:val="24"/>
    </w:rPr>
  </w:style>
  <w:style w:type="paragraph" w:styleId="TOC2">
    <w:name w:val="toc 2"/>
    <w:basedOn w:val="Normal"/>
    <w:next w:val="Normal"/>
    <w:autoRedefine/>
    <w:uiPriority w:val="39"/>
    <w:unhideWhenUsed/>
    <w:rsid w:val="00E53448"/>
    <w:pPr>
      <w:spacing w:after="100"/>
      <w:ind w:left="220"/>
    </w:pPr>
  </w:style>
  <w:style w:type="paragraph" w:styleId="TOC1">
    <w:name w:val="toc 1"/>
    <w:basedOn w:val="Normal"/>
    <w:next w:val="Normal"/>
    <w:autoRedefine/>
    <w:uiPriority w:val="39"/>
    <w:unhideWhenUsed/>
    <w:rsid w:val="001A1EF8"/>
    <w:pPr>
      <w:tabs>
        <w:tab w:val="right" w:leader="dot" w:pos="9016"/>
      </w:tabs>
      <w:spacing w:after="100" w:line="216" w:lineRule="auto"/>
    </w:pPr>
    <w:rPr>
      <w:rFonts w:ascii="Arial" w:hAnsi="Arial" w:cs="Arial"/>
      <w:b/>
      <w:bCs/>
      <w:noProof/>
      <w:sz w:val="18"/>
      <w:szCs w:val="18"/>
    </w:rPr>
  </w:style>
  <w:style w:type="character" w:styleId="Hyperlink">
    <w:name w:val="Hyperlink"/>
    <w:basedOn w:val="DefaultParagraphFont"/>
    <w:uiPriority w:val="99"/>
    <w:unhideWhenUsed/>
    <w:rsid w:val="00805E82"/>
    <w:rPr>
      <w:color w:val="0563C1" w:themeColor="hyperlink"/>
      <w:u w:val="single"/>
    </w:rPr>
  </w:style>
  <w:style w:type="paragraph" w:styleId="Header">
    <w:name w:val="header"/>
    <w:basedOn w:val="Normal"/>
    <w:link w:val="HeaderChar"/>
    <w:uiPriority w:val="99"/>
    <w:unhideWhenUsed/>
    <w:rsid w:val="004D5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5CC"/>
  </w:style>
  <w:style w:type="paragraph" w:styleId="ListParagraph">
    <w:name w:val="List Paragraph"/>
    <w:basedOn w:val="Normal"/>
    <w:uiPriority w:val="34"/>
    <w:qFormat/>
    <w:rsid w:val="004D55CC"/>
    <w:pPr>
      <w:ind w:left="720"/>
      <w:contextualSpacing/>
    </w:pPr>
  </w:style>
  <w:style w:type="character" w:styleId="UnresolvedMention">
    <w:name w:val="Unresolved Mention"/>
    <w:basedOn w:val="DefaultParagraphFont"/>
    <w:uiPriority w:val="99"/>
    <w:semiHidden/>
    <w:unhideWhenUsed/>
    <w:rsid w:val="00A33D59"/>
    <w:rPr>
      <w:color w:val="605E5C"/>
      <w:shd w:val="clear" w:color="auto" w:fill="E1DFDD"/>
    </w:rPr>
  </w:style>
  <w:style w:type="character" w:styleId="FollowedHyperlink">
    <w:name w:val="FollowedHyperlink"/>
    <w:basedOn w:val="DefaultParagraphFont"/>
    <w:uiPriority w:val="99"/>
    <w:semiHidden/>
    <w:unhideWhenUsed/>
    <w:rsid w:val="00A33D59"/>
    <w:rPr>
      <w:color w:val="954F72" w:themeColor="followedHyperlink"/>
      <w:u w:val="single"/>
    </w:rPr>
  </w:style>
  <w:style w:type="table" w:styleId="TableGrid">
    <w:name w:val="Table Grid"/>
    <w:basedOn w:val="TableNormal"/>
    <w:uiPriority w:val="39"/>
    <w:rsid w:val="00D86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6674F"/>
    <w:pPr>
      <w:spacing w:after="0" w:line="240" w:lineRule="auto"/>
    </w:pPr>
  </w:style>
  <w:style w:type="character" w:customStyle="1" w:styleId="Heading3Char">
    <w:name w:val="Heading 3 Char"/>
    <w:basedOn w:val="DefaultParagraphFont"/>
    <w:link w:val="Heading3"/>
    <w:uiPriority w:val="9"/>
    <w:rsid w:val="007E761C"/>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7E761C"/>
    <w:rPr>
      <w:b/>
      <w:bCs/>
    </w:rPr>
  </w:style>
  <w:style w:type="paragraph" w:styleId="TOC3">
    <w:name w:val="toc 3"/>
    <w:basedOn w:val="Normal"/>
    <w:next w:val="Normal"/>
    <w:autoRedefine/>
    <w:uiPriority w:val="39"/>
    <w:unhideWhenUsed/>
    <w:rsid w:val="00743C24"/>
    <w:pPr>
      <w:tabs>
        <w:tab w:val="right" w:leader="dot" w:pos="9016"/>
      </w:tabs>
      <w:spacing w:after="100" w:line="216"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40255">
      <w:bodyDiv w:val="1"/>
      <w:marLeft w:val="0"/>
      <w:marRight w:val="0"/>
      <w:marTop w:val="0"/>
      <w:marBottom w:val="0"/>
      <w:divBdr>
        <w:top w:val="none" w:sz="0" w:space="0" w:color="auto"/>
        <w:left w:val="none" w:sz="0" w:space="0" w:color="auto"/>
        <w:bottom w:val="none" w:sz="0" w:space="0" w:color="auto"/>
        <w:right w:val="none" w:sz="0" w:space="0" w:color="auto"/>
      </w:divBdr>
    </w:div>
    <w:div w:id="179322954">
      <w:bodyDiv w:val="1"/>
      <w:marLeft w:val="0"/>
      <w:marRight w:val="0"/>
      <w:marTop w:val="0"/>
      <w:marBottom w:val="0"/>
      <w:divBdr>
        <w:top w:val="none" w:sz="0" w:space="0" w:color="auto"/>
        <w:left w:val="none" w:sz="0" w:space="0" w:color="auto"/>
        <w:bottom w:val="none" w:sz="0" w:space="0" w:color="auto"/>
        <w:right w:val="none" w:sz="0" w:space="0" w:color="auto"/>
      </w:divBdr>
    </w:div>
    <w:div w:id="322390765">
      <w:bodyDiv w:val="1"/>
      <w:marLeft w:val="0"/>
      <w:marRight w:val="0"/>
      <w:marTop w:val="0"/>
      <w:marBottom w:val="0"/>
      <w:divBdr>
        <w:top w:val="none" w:sz="0" w:space="0" w:color="auto"/>
        <w:left w:val="none" w:sz="0" w:space="0" w:color="auto"/>
        <w:bottom w:val="none" w:sz="0" w:space="0" w:color="auto"/>
        <w:right w:val="none" w:sz="0" w:space="0" w:color="auto"/>
      </w:divBdr>
    </w:div>
    <w:div w:id="347759143">
      <w:bodyDiv w:val="1"/>
      <w:marLeft w:val="0"/>
      <w:marRight w:val="0"/>
      <w:marTop w:val="0"/>
      <w:marBottom w:val="0"/>
      <w:divBdr>
        <w:top w:val="none" w:sz="0" w:space="0" w:color="auto"/>
        <w:left w:val="none" w:sz="0" w:space="0" w:color="auto"/>
        <w:bottom w:val="none" w:sz="0" w:space="0" w:color="auto"/>
        <w:right w:val="none" w:sz="0" w:space="0" w:color="auto"/>
      </w:divBdr>
    </w:div>
    <w:div w:id="747534735">
      <w:bodyDiv w:val="1"/>
      <w:marLeft w:val="0"/>
      <w:marRight w:val="0"/>
      <w:marTop w:val="0"/>
      <w:marBottom w:val="0"/>
      <w:divBdr>
        <w:top w:val="none" w:sz="0" w:space="0" w:color="auto"/>
        <w:left w:val="none" w:sz="0" w:space="0" w:color="auto"/>
        <w:bottom w:val="none" w:sz="0" w:space="0" w:color="auto"/>
        <w:right w:val="none" w:sz="0" w:space="0" w:color="auto"/>
      </w:divBdr>
      <w:divsChild>
        <w:div w:id="50816216">
          <w:marLeft w:val="0"/>
          <w:marRight w:val="0"/>
          <w:marTop w:val="0"/>
          <w:marBottom w:val="0"/>
          <w:divBdr>
            <w:top w:val="none" w:sz="0" w:space="0" w:color="auto"/>
            <w:left w:val="none" w:sz="0" w:space="0" w:color="auto"/>
            <w:bottom w:val="none" w:sz="0" w:space="0" w:color="auto"/>
            <w:right w:val="none" w:sz="0" w:space="0" w:color="auto"/>
          </w:divBdr>
          <w:divsChild>
            <w:div w:id="1607881017">
              <w:marLeft w:val="0"/>
              <w:marRight w:val="0"/>
              <w:marTop w:val="0"/>
              <w:marBottom w:val="0"/>
              <w:divBdr>
                <w:top w:val="none" w:sz="0" w:space="0" w:color="auto"/>
                <w:left w:val="none" w:sz="0" w:space="0" w:color="auto"/>
                <w:bottom w:val="none" w:sz="0" w:space="0" w:color="auto"/>
                <w:right w:val="none" w:sz="0" w:space="0" w:color="auto"/>
              </w:divBdr>
              <w:divsChild>
                <w:div w:id="565410080">
                  <w:marLeft w:val="0"/>
                  <w:marRight w:val="0"/>
                  <w:marTop w:val="0"/>
                  <w:marBottom w:val="0"/>
                  <w:divBdr>
                    <w:top w:val="none" w:sz="0" w:space="0" w:color="auto"/>
                    <w:left w:val="none" w:sz="0" w:space="0" w:color="auto"/>
                    <w:bottom w:val="none" w:sz="0" w:space="0" w:color="auto"/>
                    <w:right w:val="none" w:sz="0" w:space="0" w:color="auto"/>
                  </w:divBdr>
                </w:div>
              </w:divsChild>
            </w:div>
            <w:div w:id="1554462710">
              <w:marLeft w:val="0"/>
              <w:marRight w:val="0"/>
              <w:marTop w:val="0"/>
              <w:marBottom w:val="0"/>
              <w:divBdr>
                <w:top w:val="none" w:sz="0" w:space="0" w:color="auto"/>
                <w:left w:val="none" w:sz="0" w:space="0" w:color="auto"/>
                <w:bottom w:val="none" w:sz="0" w:space="0" w:color="auto"/>
                <w:right w:val="none" w:sz="0" w:space="0" w:color="auto"/>
              </w:divBdr>
              <w:divsChild>
                <w:div w:id="42673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17829">
          <w:marLeft w:val="0"/>
          <w:marRight w:val="0"/>
          <w:marTop w:val="0"/>
          <w:marBottom w:val="0"/>
          <w:divBdr>
            <w:top w:val="none" w:sz="0" w:space="0" w:color="auto"/>
            <w:left w:val="none" w:sz="0" w:space="0" w:color="auto"/>
            <w:bottom w:val="none" w:sz="0" w:space="0" w:color="auto"/>
            <w:right w:val="none" w:sz="0" w:space="0" w:color="auto"/>
          </w:divBdr>
        </w:div>
        <w:div w:id="710495473">
          <w:marLeft w:val="0"/>
          <w:marRight w:val="0"/>
          <w:marTop w:val="0"/>
          <w:marBottom w:val="0"/>
          <w:divBdr>
            <w:top w:val="none" w:sz="0" w:space="0" w:color="auto"/>
            <w:left w:val="none" w:sz="0" w:space="0" w:color="auto"/>
            <w:bottom w:val="none" w:sz="0" w:space="0" w:color="auto"/>
            <w:right w:val="none" w:sz="0" w:space="0" w:color="auto"/>
          </w:divBdr>
        </w:div>
      </w:divsChild>
    </w:div>
    <w:div w:id="813447317">
      <w:bodyDiv w:val="1"/>
      <w:marLeft w:val="0"/>
      <w:marRight w:val="0"/>
      <w:marTop w:val="0"/>
      <w:marBottom w:val="0"/>
      <w:divBdr>
        <w:top w:val="none" w:sz="0" w:space="0" w:color="auto"/>
        <w:left w:val="none" w:sz="0" w:space="0" w:color="auto"/>
        <w:bottom w:val="none" w:sz="0" w:space="0" w:color="auto"/>
        <w:right w:val="none" w:sz="0" w:space="0" w:color="auto"/>
      </w:divBdr>
    </w:div>
    <w:div w:id="862979761">
      <w:bodyDiv w:val="1"/>
      <w:marLeft w:val="0"/>
      <w:marRight w:val="0"/>
      <w:marTop w:val="0"/>
      <w:marBottom w:val="0"/>
      <w:divBdr>
        <w:top w:val="none" w:sz="0" w:space="0" w:color="auto"/>
        <w:left w:val="none" w:sz="0" w:space="0" w:color="auto"/>
        <w:bottom w:val="none" w:sz="0" w:space="0" w:color="auto"/>
        <w:right w:val="none" w:sz="0" w:space="0" w:color="auto"/>
      </w:divBdr>
    </w:div>
    <w:div w:id="1048990673">
      <w:bodyDiv w:val="1"/>
      <w:marLeft w:val="0"/>
      <w:marRight w:val="0"/>
      <w:marTop w:val="0"/>
      <w:marBottom w:val="0"/>
      <w:divBdr>
        <w:top w:val="none" w:sz="0" w:space="0" w:color="auto"/>
        <w:left w:val="none" w:sz="0" w:space="0" w:color="auto"/>
        <w:bottom w:val="none" w:sz="0" w:space="0" w:color="auto"/>
        <w:right w:val="none" w:sz="0" w:space="0" w:color="auto"/>
      </w:divBdr>
    </w:div>
    <w:div w:id="1071074784">
      <w:bodyDiv w:val="1"/>
      <w:marLeft w:val="0"/>
      <w:marRight w:val="0"/>
      <w:marTop w:val="0"/>
      <w:marBottom w:val="0"/>
      <w:divBdr>
        <w:top w:val="none" w:sz="0" w:space="0" w:color="auto"/>
        <w:left w:val="none" w:sz="0" w:space="0" w:color="auto"/>
        <w:bottom w:val="none" w:sz="0" w:space="0" w:color="auto"/>
        <w:right w:val="none" w:sz="0" w:space="0" w:color="auto"/>
      </w:divBdr>
    </w:div>
    <w:div w:id="1147892513">
      <w:bodyDiv w:val="1"/>
      <w:marLeft w:val="0"/>
      <w:marRight w:val="0"/>
      <w:marTop w:val="0"/>
      <w:marBottom w:val="0"/>
      <w:divBdr>
        <w:top w:val="none" w:sz="0" w:space="0" w:color="auto"/>
        <w:left w:val="none" w:sz="0" w:space="0" w:color="auto"/>
        <w:bottom w:val="none" w:sz="0" w:space="0" w:color="auto"/>
        <w:right w:val="none" w:sz="0" w:space="0" w:color="auto"/>
      </w:divBdr>
    </w:div>
    <w:div w:id="1189486640">
      <w:bodyDiv w:val="1"/>
      <w:marLeft w:val="0"/>
      <w:marRight w:val="0"/>
      <w:marTop w:val="0"/>
      <w:marBottom w:val="0"/>
      <w:divBdr>
        <w:top w:val="none" w:sz="0" w:space="0" w:color="auto"/>
        <w:left w:val="none" w:sz="0" w:space="0" w:color="auto"/>
        <w:bottom w:val="none" w:sz="0" w:space="0" w:color="auto"/>
        <w:right w:val="none" w:sz="0" w:space="0" w:color="auto"/>
      </w:divBdr>
    </w:div>
    <w:div w:id="1199514542">
      <w:bodyDiv w:val="1"/>
      <w:marLeft w:val="0"/>
      <w:marRight w:val="0"/>
      <w:marTop w:val="0"/>
      <w:marBottom w:val="0"/>
      <w:divBdr>
        <w:top w:val="none" w:sz="0" w:space="0" w:color="auto"/>
        <w:left w:val="none" w:sz="0" w:space="0" w:color="auto"/>
        <w:bottom w:val="none" w:sz="0" w:space="0" w:color="auto"/>
        <w:right w:val="none" w:sz="0" w:space="0" w:color="auto"/>
      </w:divBdr>
    </w:div>
    <w:div w:id="1335719466">
      <w:bodyDiv w:val="1"/>
      <w:marLeft w:val="0"/>
      <w:marRight w:val="0"/>
      <w:marTop w:val="0"/>
      <w:marBottom w:val="0"/>
      <w:divBdr>
        <w:top w:val="none" w:sz="0" w:space="0" w:color="auto"/>
        <w:left w:val="none" w:sz="0" w:space="0" w:color="auto"/>
        <w:bottom w:val="none" w:sz="0" w:space="0" w:color="auto"/>
        <w:right w:val="none" w:sz="0" w:space="0" w:color="auto"/>
      </w:divBdr>
    </w:div>
    <w:div w:id="1678338054">
      <w:bodyDiv w:val="1"/>
      <w:marLeft w:val="0"/>
      <w:marRight w:val="0"/>
      <w:marTop w:val="0"/>
      <w:marBottom w:val="0"/>
      <w:divBdr>
        <w:top w:val="none" w:sz="0" w:space="0" w:color="auto"/>
        <w:left w:val="none" w:sz="0" w:space="0" w:color="auto"/>
        <w:bottom w:val="none" w:sz="0" w:space="0" w:color="auto"/>
        <w:right w:val="none" w:sz="0" w:space="0" w:color="auto"/>
      </w:divBdr>
    </w:div>
    <w:div w:id="1905022103">
      <w:bodyDiv w:val="1"/>
      <w:marLeft w:val="0"/>
      <w:marRight w:val="0"/>
      <w:marTop w:val="0"/>
      <w:marBottom w:val="0"/>
      <w:divBdr>
        <w:top w:val="none" w:sz="0" w:space="0" w:color="auto"/>
        <w:left w:val="none" w:sz="0" w:space="0" w:color="auto"/>
        <w:bottom w:val="none" w:sz="0" w:space="0" w:color="auto"/>
        <w:right w:val="none" w:sz="0" w:space="0" w:color="auto"/>
      </w:divBdr>
    </w:div>
    <w:div w:id="1960064470">
      <w:bodyDiv w:val="1"/>
      <w:marLeft w:val="0"/>
      <w:marRight w:val="0"/>
      <w:marTop w:val="0"/>
      <w:marBottom w:val="0"/>
      <w:divBdr>
        <w:top w:val="none" w:sz="0" w:space="0" w:color="auto"/>
        <w:left w:val="none" w:sz="0" w:space="0" w:color="auto"/>
        <w:bottom w:val="none" w:sz="0" w:space="0" w:color="auto"/>
        <w:right w:val="none" w:sz="0" w:space="0" w:color="auto"/>
      </w:divBdr>
    </w:div>
    <w:div w:id="205442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yperlink" Target="https://doi.org/10.19044/esj.2018.v14n7p257" TargetMode="External"/><Relationship Id="rId42" Type="http://schemas.openxmlformats.org/officeDocument/2006/relationships/hyperlink" Target="https://doi.org/10.11648/j.jfa.20210906.13" TargetMode="External"/><Relationship Id="rId47" Type="http://schemas.openxmlformats.org/officeDocument/2006/relationships/hyperlink" Target="https://doi.org/10.52970/grar.v2i1.369" TargetMode="External"/><Relationship Id="rId50" Type="http://schemas.openxmlformats.org/officeDocument/2006/relationships/hyperlink" Target="https://doi.org/10.1108/02656711311325629" TargetMode="External"/><Relationship Id="rId55" Type="http://schemas.openxmlformats.org/officeDocument/2006/relationships/hyperlink" Target="https://www.google.com/url?sa=i&amp;url=http%3A%2F%2Fwww.qspsolutions.co.uk%2Fservices%2Fims%2Findex.html&amp;psig=AOvVaw0bSDFREIaChXyaNCJQBrVS&amp;ust=1743602411821000&amp;source=images&amp;cd=vfe&amp;opi=89978449&amp;ved=0CBcQjhxqFwoTCIj4sKn_towDFQAAAAAdAAAAABAE" TargetMode="External"/><Relationship Id="rId63" Type="http://schemas.openxmlformats.org/officeDocument/2006/relationships/image" Target="media/image2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hyperlink" Target="https://doi.org/10.1108/maj-05-2017-1559" TargetMode="External"/><Relationship Id="rId37" Type="http://schemas.openxmlformats.org/officeDocument/2006/relationships/hyperlink" Target="https://doi.org/10.1111/1475-679x.12151" TargetMode="External"/><Relationship Id="rId40" Type="http://schemas.openxmlformats.org/officeDocument/2006/relationships/hyperlink" Target="https://doi.org/10.1108/maj-07-2015-1220" TargetMode="External"/><Relationship Id="rId45" Type="http://schemas.openxmlformats.org/officeDocument/2006/relationships/hyperlink" Target="https://doi.org/10.54099/ijibmr.v2i1.143" TargetMode="External"/><Relationship Id="rId53" Type="http://schemas.openxmlformats.org/officeDocument/2006/relationships/hyperlink" Target="https://www.sews-e.com/" TargetMode="External"/><Relationship Id="rId58" Type="http://schemas.openxmlformats.org/officeDocument/2006/relationships/image" Target="media/image24.jpe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27.jpeg"/><Relationship Id="rId19" Type="http://schemas.openxmlformats.org/officeDocument/2006/relationships/image" Target="media/image11.png"/><Relationship Id="rId14" Type="http://schemas.openxmlformats.org/officeDocument/2006/relationships/image" Target="media/image6.emf"/><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chart" Target="charts/chart1.xml"/><Relationship Id="rId35" Type="http://schemas.openxmlformats.org/officeDocument/2006/relationships/hyperlink" Target="https://doi.org/10.5772/intechopen.102465" TargetMode="External"/><Relationship Id="rId43" Type="http://schemas.openxmlformats.org/officeDocument/2006/relationships/hyperlink" Target="https://doi.org/10.1007/s00170-022-08730-2" TargetMode="External"/><Relationship Id="rId48" Type="http://schemas.openxmlformats.org/officeDocument/2006/relationships/hyperlink" Target="https://doi.org/10.1108/09675421211254876" TargetMode="External"/><Relationship Id="rId56" Type="http://schemas.openxmlformats.org/officeDocument/2006/relationships/image" Target="media/image22.jpeg"/><Relationship Id="rId64" Type="http://schemas.openxmlformats.org/officeDocument/2006/relationships/image" Target="media/image30.png"/><Relationship Id="rId8" Type="http://schemas.openxmlformats.org/officeDocument/2006/relationships/image" Target="media/image1.png"/><Relationship Id="rId51" Type="http://schemas.openxmlformats.org/officeDocument/2006/relationships/hyperlink" Target="https://doi.org/10.15675/gepros.v16i3.2501"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oi.org/10.1016/j.jclepro.2009.12.001" TargetMode="External"/><Relationship Id="rId38" Type="http://schemas.openxmlformats.org/officeDocument/2006/relationships/hyperlink" Target="https://doi.org/10.1108/mrr-10-2020-0658" TargetMode="External"/><Relationship Id="rId46" Type="http://schemas.openxmlformats.org/officeDocument/2006/relationships/hyperlink" Target="https://doi.org/10.32486/aksi.v7i1.262" TargetMode="External"/><Relationship Id="rId59" Type="http://schemas.openxmlformats.org/officeDocument/2006/relationships/image" Target="media/image25.jpeg"/><Relationship Id="rId6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doi.org/10.25236/ajbm.2022.041519" TargetMode="External"/><Relationship Id="rId54" Type="http://schemas.openxmlformats.org/officeDocument/2006/relationships/hyperlink" Target="https://www.sews-e.com/" TargetMode="External"/><Relationship Id="rId62"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oi.org/10.1108/maj-01-2018-1773" TargetMode="External"/><Relationship Id="rId49" Type="http://schemas.openxmlformats.org/officeDocument/2006/relationships/hyperlink" Target="https://doi.org/10.1002/bse.3679" TargetMode="External"/><Relationship Id="rId57" Type="http://schemas.openxmlformats.org/officeDocument/2006/relationships/image" Target="media/image23.jpeg"/><Relationship Id="rId10" Type="http://schemas.openxmlformats.org/officeDocument/2006/relationships/footer" Target="footer1.xml"/><Relationship Id="rId31" Type="http://schemas.openxmlformats.org/officeDocument/2006/relationships/hyperlink" Target="https://doi.org/10.7176/rjfa/14-10-04" TargetMode="External"/><Relationship Id="rId44" Type="http://schemas.openxmlformats.org/officeDocument/2006/relationships/hyperlink" Target="https://onlinelibrary.wiley.com/doi/book/10.1002/9781118371558" TargetMode="External"/><Relationship Id="rId52" Type="http://schemas.openxmlformats.org/officeDocument/2006/relationships/hyperlink" Target="https://www.emerald.com/insight/content/doi/10.1108/maj-08-2018-1980/full/html" TargetMode="External"/><Relationship Id="rId60" Type="http://schemas.openxmlformats.org/officeDocument/2006/relationships/image" Target="media/image26.jpeg"/><Relationship Id="rId65"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image" Target="media/image5.emf"/><Relationship Id="rId18" Type="http://schemas.openxmlformats.org/officeDocument/2006/relationships/image" Target="media/image10.png"/><Relationship Id="rId39" Type="http://schemas.openxmlformats.org/officeDocument/2006/relationships/hyperlink" Target="https://doi.org/10.1177/0954408911400008"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a:t>
            </a:r>
            <a:r>
              <a:rPr lang="en-GB" baseline="0"/>
              <a:t> Site Performance 2023 VS 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'Comparison Graphs'!$A$3</c:f>
              <c:strCache>
                <c:ptCount val="1"/>
                <c:pt idx="0">
                  <c:v>Morocco</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'Comparison Graphs'!$B$1:$C$2</c:f>
              <c:multiLvlStrCache>
                <c:ptCount val="2"/>
                <c:lvl>
                  <c:pt idx="0">
                    <c:v>2023</c:v>
                  </c:pt>
                  <c:pt idx="1">
                    <c:v>2024</c:v>
                  </c:pt>
                </c:lvl>
                <c:lvl>
                  <c:pt idx="0">
                    <c:v>Year</c:v>
                  </c:pt>
                </c:lvl>
              </c:multiLvlStrCache>
            </c:multiLvlStrRef>
          </c:cat>
          <c:val>
            <c:numRef>
              <c:f>'Comparison Graphs'!$B$3:$C$3</c:f>
              <c:numCache>
                <c:formatCode>General</c:formatCode>
                <c:ptCount val="2"/>
                <c:pt idx="0">
                  <c:v>81.099999999999994</c:v>
                </c:pt>
                <c:pt idx="1">
                  <c:v>86</c:v>
                </c:pt>
              </c:numCache>
            </c:numRef>
          </c:val>
          <c:smooth val="0"/>
          <c:extLst>
            <c:ext xmlns:c16="http://schemas.microsoft.com/office/drawing/2014/chart" uri="{C3380CC4-5D6E-409C-BE32-E72D297353CC}">
              <c16:uniqueId val="{00000000-E135-4ACA-9D35-11A1493928C2}"/>
            </c:ext>
          </c:extLst>
        </c:ser>
        <c:ser>
          <c:idx val="1"/>
          <c:order val="1"/>
          <c:tx>
            <c:strRef>
              <c:f>'Comparison Graphs'!$A$4</c:f>
              <c:strCache>
                <c:ptCount val="1"/>
                <c:pt idx="0">
                  <c:v>Egypt</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'Comparison Graphs'!$B$1:$C$2</c:f>
              <c:multiLvlStrCache>
                <c:ptCount val="2"/>
                <c:lvl>
                  <c:pt idx="0">
                    <c:v>2023</c:v>
                  </c:pt>
                  <c:pt idx="1">
                    <c:v>2024</c:v>
                  </c:pt>
                </c:lvl>
                <c:lvl>
                  <c:pt idx="0">
                    <c:v>Year</c:v>
                  </c:pt>
                </c:lvl>
              </c:multiLvlStrCache>
            </c:multiLvlStrRef>
          </c:cat>
          <c:val>
            <c:numRef>
              <c:f>'Comparison Graphs'!$B$4:$C$4</c:f>
              <c:numCache>
                <c:formatCode>General</c:formatCode>
                <c:ptCount val="2"/>
                <c:pt idx="0">
                  <c:v>83.4</c:v>
                </c:pt>
                <c:pt idx="1">
                  <c:v>88</c:v>
                </c:pt>
              </c:numCache>
            </c:numRef>
          </c:val>
          <c:smooth val="0"/>
          <c:extLst>
            <c:ext xmlns:c16="http://schemas.microsoft.com/office/drawing/2014/chart" uri="{C3380CC4-5D6E-409C-BE32-E72D297353CC}">
              <c16:uniqueId val="{00000001-E135-4ACA-9D35-11A1493928C2}"/>
            </c:ext>
          </c:extLst>
        </c:ser>
        <c:ser>
          <c:idx val="2"/>
          <c:order val="2"/>
          <c:tx>
            <c:strRef>
              <c:f>'Comparison Graphs'!$A$5</c:f>
              <c:strCache>
                <c:ptCount val="1"/>
                <c:pt idx="0">
                  <c:v>Romania</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'Comparison Graphs'!$B$1:$C$2</c:f>
              <c:multiLvlStrCache>
                <c:ptCount val="2"/>
                <c:lvl>
                  <c:pt idx="0">
                    <c:v>2023</c:v>
                  </c:pt>
                  <c:pt idx="1">
                    <c:v>2024</c:v>
                  </c:pt>
                </c:lvl>
                <c:lvl>
                  <c:pt idx="0">
                    <c:v>Year</c:v>
                  </c:pt>
                </c:lvl>
              </c:multiLvlStrCache>
            </c:multiLvlStrRef>
          </c:cat>
          <c:val>
            <c:numRef>
              <c:f>'Comparison Graphs'!$B$5:$C$5</c:f>
              <c:numCache>
                <c:formatCode>General</c:formatCode>
                <c:ptCount val="2"/>
                <c:pt idx="0">
                  <c:v>86.7</c:v>
                </c:pt>
                <c:pt idx="1">
                  <c:v>86</c:v>
                </c:pt>
              </c:numCache>
            </c:numRef>
          </c:val>
          <c:smooth val="0"/>
          <c:extLst>
            <c:ext xmlns:c16="http://schemas.microsoft.com/office/drawing/2014/chart" uri="{C3380CC4-5D6E-409C-BE32-E72D297353CC}">
              <c16:uniqueId val="{00000002-E135-4ACA-9D35-11A1493928C2}"/>
            </c:ext>
          </c:extLst>
        </c:ser>
        <c:ser>
          <c:idx val="3"/>
          <c:order val="3"/>
          <c:tx>
            <c:strRef>
              <c:f>'Comparison Graphs'!$A$6</c:f>
              <c:strCache>
                <c:ptCount val="1"/>
                <c:pt idx="0">
                  <c:v>Monastir</c:v>
                </c:pt>
              </c:strCache>
            </c:strRef>
          </c:tx>
          <c:spPr>
            <a:ln w="2857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'Comparison Graphs'!$B$1:$C$2</c:f>
              <c:multiLvlStrCache>
                <c:ptCount val="2"/>
                <c:lvl>
                  <c:pt idx="0">
                    <c:v>2023</c:v>
                  </c:pt>
                  <c:pt idx="1">
                    <c:v>2024</c:v>
                  </c:pt>
                </c:lvl>
                <c:lvl>
                  <c:pt idx="0">
                    <c:v>Year</c:v>
                  </c:pt>
                </c:lvl>
              </c:multiLvlStrCache>
            </c:multiLvlStrRef>
          </c:cat>
          <c:val>
            <c:numRef>
              <c:f>'Comparison Graphs'!$B$6:$C$6</c:f>
              <c:numCache>
                <c:formatCode>General</c:formatCode>
                <c:ptCount val="2"/>
                <c:pt idx="0">
                  <c:v>82.6</c:v>
                </c:pt>
                <c:pt idx="1">
                  <c:v>86</c:v>
                </c:pt>
              </c:numCache>
            </c:numRef>
          </c:val>
          <c:smooth val="0"/>
          <c:extLst>
            <c:ext xmlns:c16="http://schemas.microsoft.com/office/drawing/2014/chart" uri="{C3380CC4-5D6E-409C-BE32-E72D297353CC}">
              <c16:uniqueId val="{00000003-E135-4ACA-9D35-11A1493928C2}"/>
            </c:ext>
          </c:extLst>
        </c:ser>
        <c:dLbls>
          <c:dLblPos val="t"/>
          <c:showLegendKey val="0"/>
          <c:showVal val="1"/>
          <c:showCatName val="0"/>
          <c:showSerName val="0"/>
          <c:showPercent val="0"/>
          <c:showBubbleSize val="0"/>
        </c:dLbls>
        <c:smooth val="0"/>
        <c:axId val="1891421568"/>
        <c:axId val="1891420128"/>
        <c:extLst>
          <c:ext xmlns:c15="http://schemas.microsoft.com/office/drawing/2012/chart" uri="{02D57815-91ED-43cb-92C2-25804820EDAC}">
            <c15:filteredLineSeries>
              <c15:ser>
                <c:idx val="4"/>
                <c:order val="4"/>
                <c:tx>
                  <c:v>SEWS-E Average</c:v>
                </c:tx>
                <c:spPr>
                  <a:ln w="28575" cap="rnd">
                    <a:solidFill>
                      <a:srgbClr val="FF0000"/>
                    </a:solidFill>
                    <a:prstDash val="dashDot"/>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c:ext uri="{02D57815-91ED-43cb-92C2-25804820EDAC}">
                        <c15:formulaRef>
                          <c15:sqref>'Comparison Graphs'!$B$8:$C$8</c15:sqref>
                        </c15:formulaRef>
                      </c:ext>
                    </c:extLst>
                    <c:numCache>
                      <c:formatCode>General</c:formatCode>
                      <c:ptCount val="2"/>
                      <c:pt idx="0">
                        <c:v>82.8</c:v>
                      </c:pt>
                      <c:pt idx="1">
                        <c:v>86.5</c:v>
                      </c:pt>
                    </c:numCache>
                  </c:numRef>
                </c:val>
                <c:smooth val="0"/>
                <c:extLst>
                  <c:ext xmlns:c16="http://schemas.microsoft.com/office/drawing/2014/chart" uri="{C3380CC4-5D6E-409C-BE32-E72D297353CC}">
                    <c16:uniqueId val="{00000004-E135-4ACA-9D35-11A1493928C2}"/>
                  </c:ext>
                </c:extLst>
              </c15:ser>
            </c15:filteredLineSeries>
          </c:ext>
        </c:extLst>
      </c:lineChart>
      <c:catAx>
        <c:axId val="1891421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Yearly</a:t>
                </a:r>
                <a:r>
                  <a:rPr lang="en-GB" baseline="0"/>
                  <a:t> Difference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420128"/>
        <c:crosses val="autoZero"/>
        <c:auto val="1"/>
        <c:lblAlgn val="ctr"/>
        <c:lblOffset val="100"/>
        <c:noMultiLvlLbl val="0"/>
      </c:catAx>
      <c:valAx>
        <c:axId val="1891420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Result / 100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421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97DFF-73E4-4B6A-95A2-F99551C82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61</Pages>
  <Words>14648</Words>
  <Characters>83494</Characters>
  <Application>Microsoft Office Word</Application>
  <DocSecurity>0</DocSecurity>
  <Lines>695</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Rhys (YST)</dc:creator>
  <cp:keywords/>
  <dc:description/>
  <cp:lastModifiedBy>Rosser, Rhys (YST)</cp:lastModifiedBy>
  <cp:revision>28</cp:revision>
  <cp:lastPrinted>2025-04-14T09:23:00Z</cp:lastPrinted>
  <dcterms:created xsi:type="dcterms:W3CDTF">2025-04-15T09:36:00Z</dcterms:created>
  <dcterms:modified xsi:type="dcterms:W3CDTF">2025-05-15T09:27:00Z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1411711</vt:lpwstr>
  </property>
  <property fmtid="{D5CDD505-2E9C-101B-9397-08002B2CF9AE}" pid="3" name="NXPowerLiteSettings">
    <vt:lpwstr>C64006B004C800</vt:lpwstr>
  </property>
  <property fmtid="{D5CDD505-2E9C-101B-9397-08002B2CF9AE}" pid="4" name="NXPowerLiteVersion">
    <vt:lpwstr>S10.3.1</vt:lpwstr>
  </property>
</Properties>
</file>