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2A5C4" w14:textId="77777777" w:rsidR="00EA2C4A" w:rsidRDefault="00EA2C4A" w:rsidP="00B642C8">
      <w:pPr>
        <w:pStyle w:val="Title"/>
        <w:spacing w:line="360" w:lineRule="auto"/>
        <w:jc w:val="center"/>
        <w:rPr>
          <w:rFonts w:ascii="Arial" w:hAnsi="Arial" w:cs="Arial"/>
          <w:b/>
          <w:bCs/>
          <w:color w:val="000000" w:themeColor="text1"/>
          <w:sz w:val="32"/>
          <w:szCs w:val="32"/>
        </w:rPr>
      </w:pPr>
      <w:r w:rsidRPr="00EF72BE">
        <w:rPr>
          <w:rFonts w:ascii="Arial" w:eastAsia="Arial" w:hAnsi="Arial" w:cs="Arial"/>
          <w:b/>
          <w:bCs/>
          <w:noProof/>
        </w:rPr>
        <w:drawing>
          <wp:inline distT="0" distB="0" distL="0" distR="0" wp14:anchorId="0CE4E8C2" wp14:editId="44C21DD6">
            <wp:extent cx="2419688" cy="1066949"/>
            <wp:effectExtent l="0" t="0" r="0" b="0"/>
            <wp:docPr id="2030036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36036" name=""/>
                    <pic:cNvPicPr/>
                  </pic:nvPicPr>
                  <pic:blipFill>
                    <a:blip r:embed="rId7"/>
                    <a:stretch>
                      <a:fillRect/>
                    </a:stretch>
                  </pic:blipFill>
                  <pic:spPr>
                    <a:xfrm>
                      <a:off x="0" y="0"/>
                      <a:ext cx="2419688" cy="1066949"/>
                    </a:xfrm>
                    <a:prstGeom prst="rect">
                      <a:avLst/>
                    </a:prstGeom>
                  </pic:spPr>
                </pic:pic>
              </a:graphicData>
            </a:graphic>
          </wp:inline>
        </w:drawing>
      </w:r>
    </w:p>
    <w:p w14:paraId="4132BFC5" w14:textId="77777777" w:rsidR="00EA2C4A" w:rsidRDefault="00EA2C4A" w:rsidP="00B642C8">
      <w:pPr>
        <w:pStyle w:val="Title"/>
        <w:spacing w:line="360" w:lineRule="auto"/>
        <w:jc w:val="center"/>
        <w:rPr>
          <w:rFonts w:ascii="Arial" w:hAnsi="Arial" w:cs="Arial"/>
          <w:b/>
          <w:bCs/>
          <w:color w:val="000000" w:themeColor="text1"/>
          <w:sz w:val="32"/>
          <w:szCs w:val="32"/>
        </w:rPr>
      </w:pPr>
    </w:p>
    <w:p w14:paraId="7184467B" w14:textId="77777777" w:rsidR="00EA2C4A" w:rsidRPr="00EF72BE" w:rsidRDefault="00EA2C4A" w:rsidP="00B642C8">
      <w:pPr>
        <w:spacing w:line="360" w:lineRule="auto"/>
        <w:jc w:val="center"/>
        <w:rPr>
          <w:rFonts w:ascii="Arial" w:eastAsia="Arial" w:hAnsi="Arial" w:cs="Arial"/>
          <w:b/>
          <w:bCs/>
          <w:sz w:val="32"/>
          <w:szCs w:val="32"/>
        </w:rPr>
      </w:pPr>
      <w:proofErr w:type="gramStart"/>
      <w:r w:rsidRPr="00EF72BE">
        <w:rPr>
          <w:rFonts w:ascii="Arial" w:eastAsia="Arial" w:hAnsi="Arial" w:cs="Arial"/>
          <w:b/>
          <w:bCs/>
          <w:sz w:val="32"/>
          <w:szCs w:val="32"/>
        </w:rPr>
        <w:t>PROGRAMME :</w:t>
      </w:r>
      <w:proofErr w:type="gramEnd"/>
      <w:r w:rsidRPr="00EF72BE">
        <w:rPr>
          <w:rFonts w:ascii="Arial" w:eastAsia="Arial" w:hAnsi="Arial" w:cs="Arial"/>
          <w:b/>
          <w:bCs/>
          <w:sz w:val="32"/>
          <w:szCs w:val="32"/>
        </w:rPr>
        <w:t xml:space="preserve"> MSC PUBLIC HEALTH AND SOCIAL CARE IN PRACTICE</w:t>
      </w:r>
    </w:p>
    <w:p w14:paraId="734179AB" w14:textId="3F6ECB19" w:rsidR="00EA2C4A" w:rsidRPr="00EF72BE" w:rsidRDefault="00EA2C4A" w:rsidP="00B642C8">
      <w:pPr>
        <w:spacing w:line="360" w:lineRule="auto"/>
        <w:jc w:val="center"/>
        <w:rPr>
          <w:rFonts w:ascii="Arial" w:eastAsia="Arial" w:hAnsi="Arial" w:cs="Arial"/>
          <w:b/>
          <w:bCs/>
          <w:sz w:val="32"/>
          <w:szCs w:val="32"/>
        </w:rPr>
      </w:pPr>
      <w:proofErr w:type="gramStart"/>
      <w:r w:rsidRPr="00EF72BE">
        <w:rPr>
          <w:rFonts w:ascii="Arial" w:eastAsia="Arial" w:hAnsi="Arial" w:cs="Arial"/>
          <w:b/>
          <w:bCs/>
          <w:sz w:val="32"/>
          <w:szCs w:val="32"/>
        </w:rPr>
        <w:t>MODULE :</w:t>
      </w:r>
      <w:r>
        <w:rPr>
          <w:rFonts w:ascii="Arial" w:eastAsia="Arial" w:hAnsi="Arial" w:cs="Arial"/>
          <w:b/>
          <w:bCs/>
          <w:sz w:val="32"/>
          <w:szCs w:val="32"/>
        </w:rPr>
        <w:t>SOCIAL</w:t>
      </w:r>
      <w:proofErr w:type="gramEnd"/>
      <w:r>
        <w:rPr>
          <w:rFonts w:ascii="Arial" w:eastAsia="Arial" w:hAnsi="Arial" w:cs="Arial"/>
          <w:b/>
          <w:bCs/>
          <w:sz w:val="32"/>
          <w:szCs w:val="32"/>
        </w:rPr>
        <w:t xml:space="preserve"> EPIDEMIOLOGY</w:t>
      </w:r>
      <w:r w:rsidR="00B642C8">
        <w:rPr>
          <w:rFonts w:ascii="Arial" w:eastAsia="Arial" w:hAnsi="Arial" w:cs="Arial"/>
          <w:b/>
          <w:bCs/>
          <w:sz w:val="32"/>
          <w:szCs w:val="32"/>
        </w:rPr>
        <w:t xml:space="preserve"> AND PUBLIC HEALTH DEVELOPMENT</w:t>
      </w:r>
    </w:p>
    <w:p w14:paraId="31E592DA" w14:textId="77083A5E" w:rsidR="00EA2C4A" w:rsidRDefault="00EA2C4A" w:rsidP="00B642C8">
      <w:pPr>
        <w:spacing w:line="360" w:lineRule="auto"/>
        <w:jc w:val="center"/>
        <w:rPr>
          <w:rFonts w:ascii="Arial" w:eastAsia="Arial" w:hAnsi="Arial" w:cs="Arial"/>
          <w:b/>
          <w:bCs/>
          <w:sz w:val="32"/>
          <w:szCs w:val="32"/>
        </w:rPr>
      </w:pPr>
      <w:r w:rsidRPr="00EF72BE">
        <w:rPr>
          <w:rFonts w:ascii="Arial" w:eastAsia="Arial" w:hAnsi="Arial" w:cs="Arial"/>
          <w:b/>
          <w:bCs/>
          <w:sz w:val="32"/>
          <w:szCs w:val="32"/>
        </w:rPr>
        <w:t>MODULE CODE: LCHS700</w:t>
      </w:r>
      <w:r w:rsidR="00B642C8">
        <w:rPr>
          <w:rFonts w:ascii="Arial" w:eastAsia="Arial" w:hAnsi="Arial" w:cs="Arial"/>
          <w:b/>
          <w:bCs/>
          <w:sz w:val="32"/>
          <w:szCs w:val="32"/>
        </w:rPr>
        <w:t>0</w:t>
      </w:r>
    </w:p>
    <w:p w14:paraId="03446E47" w14:textId="77777777" w:rsidR="00EA2C4A" w:rsidRDefault="00EA2C4A" w:rsidP="00B642C8">
      <w:pPr>
        <w:pStyle w:val="Title"/>
        <w:spacing w:line="360" w:lineRule="auto"/>
        <w:jc w:val="center"/>
        <w:rPr>
          <w:rFonts w:ascii="Arial" w:hAnsi="Arial" w:cs="Arial"/>
          <w:b/>
          <w:bCs/>
          <w:color w:val="000000" w:themeColor="text1"/>
          <w:sz w:val="32"/>
          <w:szCs w:val="32"/>
        </w:rPr>
      </w:pPr>
      <w:r w:rsidRPr="00EF72BE">
        <w:rPr>
          <w:rFonts w:ascii="Arial" w:eastAsia="Arial" w:hAnsi="Arial" w:cs="Arial"/>
          <w:b/>
          <w:bCs/>
          <w:sz w:val="32"/>
          <w:szCs w:val="32"/>
        </w:rPr>
        <w:t>ASSIGNMENT TITLE</w:t>
      </w:r>
      <w:r>
        <w:rPr>
          <w:rFonts w:ascii="Arial" w:eastAsia="Arial" w:hAnsi="Arial" w:cs="Arial"/>
          <w:b/>
          <w:bCs/>
          <w:sz w:val="32"/>
          <w:szCs w:val="32"/>
        </w:rPr>
        <w:t>:</w:t>
      </w:r>
      <w:r w:rsidRPr="0070041B">
        <w:rPr>
          <w:rFonts w:ascii="Arial" w:hAnsi="Arial" w:cs="Arial"/>
          <w:b/>
          <w:bCs/>
          <w:color w:val="000000" w:themeColor="text1"/>
          <w:sz w:val="32"/>
          <w:szCs w:val="32"/>
        </w:rPr>
        <w:t xml:space="preserve"> RESOLVING GENDER AND HEALTH INEQUALITIES WITH RECOMMENDED INTERVENTIONS</w:t>
      </w:r>
    </w:p>
    <w:p w14:paraId="73474BEB" w14:textId="77777777" w:rsidR="00EA2C4A" w:rsidRPr="00EA2C4A" w:rsidRDefault="00EA2C4A" w:rsidP="00B642C8">
      <w:pPr>
        <w:spacing w:line="360" w:lineRule="auto"/>
        <w:jc w:val="center"/>
      </w:pPr>
    </w:p>
    <w:p w14:paraId="5DA2F418" w14:textId="02BF2255" w:rsidR="00EA2C4A" w:rsidRPr="00EF72BE" w:rsidRDefault="00EA2C4A" w:rsidP="00B642C8">
      <w:pPr>
        <w:spacing w:line="360" w:lineRule="auto"/>
        <w:jc w:val="center"/>
        <w:rPr>
          <w:rFonts w:ascii="Arial" w:eastAsia="Arial" w:hAnsi="Arial" w:cs="Arial"/>
          <w:b/>
          <w:bCs/>
          <w:sz w:val="32"/>
          <w:szCs w:val="32"/>
        </w:rPr>
      </w:pPr>
      <w:r w:rsidRPr="00EF72BE">
        <w:rPr>
          <w:rFonts w:ascii="Arial" w:eastAsia="Arial" w:hAnsi="Arial" w:cs="Arial"/>
          <w:b/>
          <w:bCs/>
          <w:sz w:val="32"/>
          <w:szCs w:val="32"/>
        </w:rPr>
        <w:t xml:space="preserve">LECTURER </w:t>
      </w:r>
      <w:proofErr w:type="gramStart"/>
      <w:r w:rsidRPr="00EF72BE">
        <w:rPr>
          <w:rFonts w:ascii="Arial" w:eastAsia="Arial" w:hAnsi="Arial" w:cs="Arial"/>
          <w:b/>
          <w:bCs/>
          <w:sz w:val="32"/>
          <w:szCs w:val="32"/>
        </w:rPr>
        <w:t>NAME :</w:t>
      </w:r>
      <w:proofErr w:type="gramEnd"/>
      <w:r w:rsidRPr="00EF72BE">
        <w:rPr>
          <w:rFonts w:ascii="Arial" w:eastAsia="Arial" w:hAnsi="Arial" w:cs="Arial"/>
          <w:b/>
          <w:bCs/>
          <w:sz w:val="32"/>
          <w:szCs w:val="32"/>
        </w:rPr>
        <w:t xml:space="preserve"> </w:t>
      </w:r>
      <w:r w:rsidR="00B642C8">
        <w:rPr>
          <w:rFonts w:ascii="Arial" w:eastAsia="Arial" w:hAnsi="Arial" w:cs="Arial"/>
          <w:b/>
          <w:bCs/>
          <w:sz w:val="32"/>
          <w:szCs w:val="32"/>
        </w:rPr>
        <w:t>JOLLY NWANKWO</w:t>
      </w:r>
    </w:p>
    <w:p w14:paraId="4F7B1EB9" w14:textId="77777777" w:rsidR="00EA2C4A" w:rsidRPr="00EF72BE" w:rsidRDefault="00EA2C4A" w:rsidP="00B642C8">
      <w:pPr>
        <w:spacing w:line="360" w:lineRule="auto"/>
        <w:jc w:val="center"/>
        <w:rPr>
          <w:rFonts w:ascii="Arial" w:eastAsia="Arial" w:hAnsi="Arial" w:cs="Arial"/>
          <w:b/>
          <w:bCs/>
          <w:sz w:val="32"/>
          <w:szCs w:val="32"/>
        </w:rPr>
      </w:pPr>
      <w:r w:rsidRPr="00EF72BE">
        <w:rPr>
          <w:rFonts w:ascii="Arial" w:eastAsia="Arial" w:hAnsi="Arial" w:cs="Arial"/>
          <w:b/>
          <w:bCs/>
          <w:sz w:val="32"/>
          <w:szCs w:val="32"/>
        </w:rPr>
        <w:t xml:space="preserve">STUDENT </w:t>
      </w:r>
      <w:proofErr w:type="gramStart"/>
      <w:r w:rsidRPr="00EF72BE">
        <w:rPr>
          <w:rFonts w:ascii="Arial" w:eastAsia="Arial" w:hAnsi="Arial" w:cs="Arial"/>
          <w:b/>
          <w:bCs/>
          <w:sz w:val="32"/>
          <w:szCs w:val="32"/>
        </w:rPr>
        <w:t>NAME :</w:t>
      </w:r>
      <w:proofErr w:type="gramEnd"/>
      <w:r w:rsidRPr="00EF72BE">
        <w:rPr>
          <w:rFonts w:ascii="Arial" w:eastAsia="Arial" w:hAnsi="Arial" w:cs="Arial"/>
          <w:b/>
          <w:bCs/>
          <w:sz w:val="32"/>
          <w:szCs w:val="32"/>
        </w:rPr>
        <w:t xml:space="preserve"> KASHYAPKUMAR JAIMINKUMAR KANSARA</w:t>
      </w:r>
    </w:p>
    <w:p w14:paraId="41568F86" w14:textId="77777777" w:rsidR="00EA2C4A" w:rsidRPr="00EF72BE" w:rsidRDefault="00EA2C4A" w:rsidP="00B642C8">
      <w:pPr>
        <w:spacing w:line="360" w:lineRule="auto"/>
        <w:jc w:val="center"/>
        <w:rPr>
          <w:rFonts w:ascii="Arial" w:eastAsia="Arial" w:hAnsi="Arial" w:cs="Arial"/>
          <w:b/>
          <w:bCs/>
          <w:sz w:val="32"/>
          <w:szCs w:val="32"/>
        </w:rPr>
      </w:pPr>
      <w:r w:rsidRPr="00EF72BE">
        <w:rPr>
          <w:rFonts w:ascii="Arial" w:eastAsia="Arial" w:hAnsi="Arial" w:cs="Arial"/>
          <w:b/>
          <w:bCs/>
          <w:sz w:val="32"/>
          <w:szCs w:val="32"/>
        </w:rPr>
        <w:t xml:space="preserve">STUDENT ID </w:t>
      </w:r>
      <w:proofErr w:type="gramStart"/>
      <w:r w:rsidRPr="00EF72BE">
        <w:rPr>
          <w:rFonts w:ascii="Arial" w:eastAsia="Arial" w:hAnsi="Arial" w:cs="Arial"/>
          <w:b/>
          <w:bCs/>
          <w:sz w:val="32"/>
          <w:szCs w:val="32"/>
        </w:rPr>
        <w:t>NO. :</w:t>
      </w:r>
      <w:proofErr w:type="gramEnd"/>
      <w:r w:rsidRPr="00EF72BE">
        <w:rPr>
          <w:rFonts w:ascii="Arial" w:eastAsia="Arial" w:hAnsi="Arial" w:cs="Arial"/>
          <w:b/>
          <w:bCs/>
          <w:sz w:val="32"/>
          <w:szCs w:val="32"/>
        </w:rPr>
        <w:t xml:space="preserve"> 2505251</w:t>
      </w:r>
    </w:p>
    <w:p w14:paraId="79930A54" w14:textId="7F2BC8C0" w:rsidR="00EA2C4A" w:rsidRPr="00EA2C4A" w:rsidRDefault="00EA2C4A" w:rsidP="00B642C8">
      <w:pPr>
        <w:spacing w:line="360" w:lineRule="auto"/>
        <w:jc w:val="center"/>
        <w:rPr>
          <w:rFonts w:ascii="Arial" w:eastAsia="Arial" w:hAnsi="Arial" w:cs="Arial"/>
          <w:b/>
          <w:bCs/>
          <w:sz w:val="32"/>
          <w:szCs w:val="32"/>
        </w:rPr>
      </w:pPr>
      <w:r w:rsidRPr="00EF72BE">
        <w:rPr>
          <w:rFonts w:ascii="Arial" w:eastAsia="Arial" w:hAnsi="Arial" w:cs="Arial"/>
          <w:b/>
          <w:bCs/>
          <w:sz w:val="32"/>
          <w:szCs w:val="32"/>
        </w:rPr>
        <w:br w:type="page"/>
      </w:r>
    </w:p>
    <w:sdt>
      <w:sdtPr>
        <w:rPr>
          <w:rFonts w:asciiTheme="minorHAnsi" w:eastAsiaTheme="minorEastAsia" w:hAnsiTheme="minorHAnsi" w:cstheme="minorBidi"/>
          <w:color w:val="auto"/>
          <w:kern w:val="2"/>
          <w:sz w:val="24"/>
          <w:szCs w:val="24"/>
          <w:lang w:val="en-GB"/>
          <w14:ligatures w14:val="standardContextual"/>
        </w:rPr>
        <w:id w:val="-294904989"/>
        <w:docPartObj>
          <w:docPartGallery w:val="Table of Contents"/>
          <w:docPartUnique/>
        </w:docPartObj>
      </w:sdtPr>
      <w:sdtEndPr>
        <w:rPr>
          <w:rFonts w:ascii="Arial" w:hAnsi="Arial" w:cs="Arial"/>
          <w:b/>
          <w:bCs/>
          <w:noProof/>
          <w:sz w:val="22"/>
          <w:szCs w:val="22"/>
        </w:rPr>
      </w:sdtEndPr>
      <w:sdtContent>
        <w:p w14:paraId="190030EE" w14:textId="77777777" w:rsidR="00EA2C4A" w:rsidRDefault="00EA2C4A" w:rsidP="00B642C8">
          <w:pPr>
            <w:pStyle w:val="TOCHeading"/>
            <w:spacing w:line="360" w:lineRule="auto"/>
          </w:pPr>
          <w:r>
            <w:t>Table of Contents</w:t>
          </w:r>
        </w:p>
        <w:p w14:paraId="76960CA2" w14:textId="77777777" w:rsidR="00EA2C4A" w:rsidRPr="00EA2C4A" w:rsidRDefault="00EA2C4A" w:rsidP="00B642C8">
          <w:pPr>
            <w:spacing w:line="360" w:lineRule="auto"/>
            <w:rPr>
              <w:lang w:val="en-US"/>
            </w:rPr>
          </w:pPr>
        </w:p>
        <w:p w14:paraId="3761CA0B" w14:textId="77777777" w:rsidR="00EA2C4A" w:rsidRPr="00F72C44" w:rsidRDefault="00EA2C4A" w:rsidP="00B642C8">
          <w:pPr>
            <w:pStyle w:val="TOC1"/>
            <w:tabs>
              <w:tab w:val="right" w:leader="dot" w:pos="9350"/>
            </w:tabs>
            <w:spacing w:line="360" w:lineRule="auto"/>
            <w:rPr>
              <w:rFonts w:ascii="Arial" w:hAnsi="Arial" w:cs="Arial"/>
              <w:noProof/>
              <w:sz w:val="22"/>
              <w:szCs w:val="22"/>
            </w:rPr>
          </w:pPr>
          <w:r w:rsidRPr="00F72C44">
            <w:rPr>
              <w:rFonts w:ascii="Arial" w:hAnsi="Arial" w:cs="Arial"/>
              <w:sz w:val="22"/>
              <w:szCs w:val="22"/>
            </w:rPr>
            <w:fldChar w:fldCharType="begin"/>
          </w:r>
          <w:r w:rsidRPr="00F72C44">
            <w:rPr>
              <w:rFonts w:ascii="Arial" w:hAnsi="Arial" w:cs="Arial"/>
              <w:sz w:val="22"/>
              <w:szCs w:val="22"/>
            </w:rPr>
            <w:instrText xml:space="preserve"> TOC \o "1-3" \h \z \u </w:instrText>
          </w:r>
          <w:r w:rsidRPr="00F72C44">
            <w:rPr>
              <w:rFonts w:ascii="Arial" w:hAnsi="Arial" w:cs="Arial"/>
              <w:sz w:val="22"/>
              <w:szCs w:val="22"/>
            </w:rPr>
            <w:fldChar w:fldCharType="separate"/>
          </w:r>
          <w:hyperlink w:anchor="_Toc216287307" w:history="1">
            <w:r w:rsidRPr="00F72C44">
              <w:rPr>
                <w:rStyle w:val="Hyperlink"/>
                <w:rFonts w:ascii="Arial" w:hAnsi="Arial" w:cs="Arial"/>
                <w:noProof/>
                <w:sz w:val="22"/>
                <w:szCs w:val="22"/>
              </w:rPr>
              <w:t>Task 1 – Gender and Health Inequalities in the UK</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_Toc216287307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3</w:t>
            </w:r>
            <w:r w:rsidRPr="00F72C44">
              <w:rPr>
                <w:rFonts w:ascii="Arial" w:hAnsi="Arial" w:cs="Arial"/>
                <w:noProof/>
                <w:webHidden/>
                <w:sz w:val="22"/>
                <w:szCs w:val="22"/>
              </w:rPr>
              <w:fldChar w:fldCharType="end"/>
            </w:r>
          </w:hyperlink>
        </w:p>
        <w:p w14:paraId="3D90C896"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08" w:history="1">
            <w:r w:rsidRPr="00F72C44">
              <w:rPr>
                <w:rStyle w:val="Hyperlink"/>
                <w:rFonts w:ascii="Arial" w:hAnsi="Arial" w:cs="Arial"/>
                <w:noProof/>
                <w:sz w:val="22"/>
                <w:szCs w:val="22"/>
              </w:rPr>
              <w:t>Introduction</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_Toc216287308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3</w:t>
            </w:r>
            <w:r w:rsidRPr="00F72C44">
              <w:rPr>
                <w:rFonts w:ascii="Arial" w:hAnsi="Arial" w:cs="Arial"/>
                <w:noProof/>
                <w:webHidden/>
                <w:sz w:val="22"/>
                <w:szCs w:val="22"/>
              </w:rPr>
              <w:fldChar w:fldCharType="end"/>
            </w:r>
          </w:hyperlink>
        </w:p>
        <w:p w14:paraId="766BEBFE"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09" w:history="1">
            <w:r w:rsidRPr="00F72C44">
              <w:rPr>
                <w:rStyle w:val="Hyperlink"/>
                <w:rFonts w:ascii="Arial" w:hAnsi="Arial" w:cs="Arial"/>
                <w:noProof/>
                <w:sz w:val="22"/>
                <w:szCs w:val="22"/>
              </w:rPr>
              <w:t>Background and Underlying Factors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_Toc216287309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3</w:t>
            </w:r>
            <w:r w:rsidRPr="00F72C44">
              <w:rPr>
                <w:rFonts w:ascii="Arial" w:hAnsi="Arial" w:cs="Arial"/>
                <w:noProof/>
                <w:webHidden/>
                <w:sz w:val="22"/>
                <w:szCs w:val="22"/>
              </w:rPr>
              <w:fldChar w:fldCharType="end"/>
            </w:r>
          </w:hyperlink>
        </w:p>
        <w:p w14:paraId="254976BF"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0" w:history="1">
            <w:r w:rsidRPr="00F72C44">
              <w:rPr>
                <w:rStyle w:val="Hyperlink"/>
                <w:rFonts w:ascii="Arial" w:hAnsi="Arial" w:cs="Arial"/>
                <w:noProof/>
                <w:sz w:val="22"/>
                <w:szCs w:val="22"/>
              </w:rPr>
              <w:t>National Response for Addressing Health Inequalities among Genders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_Toc216287310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4</w:t>
            </w:r>
            <w:r w:rsidRPr="00F72C44">
              <w:rPr>
                <w:rFonts w:ascii="Arial" w:hAnsi="Arial" w:cs="Arial"/>
                <w:noProof/>
                <w:webHidden/>
                <w:sz w:val="22"/>
                <w:szCs w:val="22"/>
              </w:rPr>
              <w:fldChar w:fldCharType="end"/>
            </w:r>
          </w:hyperlink>
        </w:p>
        <w:p w14:paraId="0E5D4073"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1" w:history="1">
            <w:r w:rsidRPr="00F72C44">
              <w:rPr>
                <w:rStyle w:val="Hyperlink"/>
                <w:rFonts w:ascii="Arial" w:hAnsi="Arial" w:cs="Arial"/>
                <w:noProof/>
                <w:sz w:val="22"/>
                <w:szCs w:val="22"/>
              </w:rPr>
              <w:t>Conclusion</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_Toc216287311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5</w:t>
            </w:r>
            <w:r w:rsidRPr="00F72C44">
              <w:rPr>
                <w:rFonts w:ascii="Arial" w:hAnsi="Arial" w:cs="Arial"/>
                <w:noProof/>
                <w:webHidden/>
                <w:sz w:val="22"/>
                <w:szCs w:val="22"/>
              </w:rPr>
              <w:fldChar w:fldCharType="end"/>
            </w:r>
          </w:hyperlink>
        </w:p>
        <w:p w14:paraId="2A7E450F" w14:textId="77777777" w:rsidR="00EA2C4A" w:rsidRPr="00F72C44" w:rsidRDefault="00EA2C4A" w:rsidP="00B642C8">
          <w:pPr>
            <w:pStyle w:val="TOC1"/>
            <w:tabs>
              <w:tab w:val="right" w:leader="dot" w:pos="9350"/>
            </w:tabs>
            <w:spacing w:line="360" w:lineRule="auto"/>
            <w:rPr>
              <w:rFonts w:ascii="Arial" w:hAnsi="Arial" w:cs="Arial"/>
              <w:noProof/>
              <w:sz w:val="22"/>
              <w:szCs w:val="22"/>
            </w:rPr>
          </w:pPr>
          <w:hyperlink w:anchor="_Toc216287312" w:history="1">
            <w:r w:rsidRPr="00F72C44">
              <w:rPr>
                <w:rStyle w:val="Hyperlink"/>
                <w:rFonts w:ascii="Arial" w:hAnsi="Arial" w:cs="Arial"/>
                <w:noProof/>
                <w:sz w:val="22"/>
                <w:szCs w:val="22"/>
              </w:rPr>
              <w:t>Task 2 – Suicide Among Men in England and Wales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_Toc216287312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5</w:t>
            </w:r>
            <w:r w:rsidRPr="00F72C44">
              <w:rPr>
                <w:rFonts w:ascii="Arial" w:hAnsi="Arial" w:cs="Arial"/>
                <w:noProof/>
                <w:webHidden/>
                <w:sz w:val="22"/>
                <w:szCs w:val="22"/>
              </w:rPr>
              <w:fldChar w:fldCharType="end"/>
            </w:r>
          </w:hyperlink>
        </w:p>
        <w:p w14:paraId="492C1CA7" w14:textId="77777777" w:rsidR="00EA2C4A" w:rsidRPr="00F72C44" w:rsidRDefault="00EA2C4A" w:rsidP="00B642C8">
          <w:pPr>
            <w:pStyle w:val="TOC1"/>
            <w:tabs>
              <w:tab w:val="right" w:leader="dot" w:pos="9350"/>
            </w:tabs>
            <w:spacing w:line="360" w:lineRule="auto"/>
            <w:rPr>
              <w:rFonts w:ascii="Arial" w:hAnsi="Arial" w:cs="Arial"/>
              <w:noProof/>
              <w:sz w:val="22"/>
              <w:szCs w:val="22"/>
            </w:rPr>
          </w:pPr>
          <w:hyperlink w:anchor="_Toc216287313" w:history="1">
            <w:r w:rsidRPr="00F72C44">
              <w:rPr>
                <w:rStyle w:val="Hyperlink"/>
                <w:rFonts w:ascii="Arial" w:hAnsi="Arial" w:cs="Arial"/>
                <w:noProof/>
                <w:sz w:val="22"/>
                <w:szCs w:val="22"/>
              </w:rPr>
              <w:t>Introduction</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_Toc216287313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5</w:t>
            </w:r>
            <w:r w:rsidRPr="00F72C44">
              <w:rPr>
                <w:rFonts w:ascii="Arial" w:hAnsi="Arial" w:cs="Arial"/>
                <w:noProof/>
                <w:webHidden/>
                <w:sz w:val="22"/>
                <w:szCs w:val="22"/>
              </w:rPr>
              <w:fldChar w:fldCharType="end"/>
            </w:r>
          </w:hyperlink>
        </w:p>
        <w:p w14:paraId="3C540218"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4" w:history="1">
            <w:r w:rsidRPr="00F72C44">
              <w:rPr>
                <w:rStyle w:val="Hyperlink"/>
                <w:rFonts w:ascii="Arial" w:hAnsi="Arial" w:cs="Arial"/>
                <w:noProof/>
                <w:sz w:val="22"/>
                <w:szCs w:val="22"/>
              </w:rPr>
              <w:t>Prevalence, Incidence and Mortality</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_Toc216287314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5</w:t>
            </w:r>
            <w:r w:rsidRPr="00F72C44">
              <w:rPr>
                <w:rFonts w:ascii="Arial" w:hAnsi="Arial" w:cs="Arial"/>
                <w:noProof/>
                <w:webHidden/>
                <w:sz w:val="22"/>
                <w:szCs w:val="22"/>
              </w:rPr>
              <w:fldChar w:fldCharType="end"/>
            </w:r>
          </w:hyperlink>
        </w:p>
        <w:p w14:paraId="7DE11ADF"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5" w:history="1">
            <w:r w:rsidRPr="00F72C44">
              <w:rPr>
                <w:rStyle w:val="Hyperlink"/>
                <w:rFonts w:ascii="Arial" w:hAnsi="Arial" w:cs="Arial"/>
                <w:noProof/>
                <w:sz w:val="22"/>
                <w:szCs w:val="22"/>
              </w:rPr>
              <w:t>Distributional Factors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_Toc216287315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6</w:t>
            </w:r>
            <w:r w:rsidRPr="00F72C44">
              <w:rPr>
                <w:rFonts w:ascii="Arial" w:hAnsi="Arial" w:cs="Arial"/>
                <w:noProof/>
                <w:webHidden/>
                <w:sz w:val="22"/>
                <w:szCs w:val="22"/>
              </w:rPr>
              <w:fldChar w:fldCharType="end"/>
            </w:r>
          </w:hyperlink>
        </w:p>
        <w:p w14:paraId="3FD0DA24"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6" w:history="1">
            <w:r w:rsidRPr="00F72C44">
              <w:rPr>
                <w:rStyle w:val="Hyperlink"/>
                <w:rFonts w:ascii="Arial" w:hAnsi="Arial" w:cs="Arial"/>
                <w:noProof/>
                <w:sz w:val="22"/>
                <w:szCs w:val="22"/>
              </w:rPr>
              <w:t>Burdened by the Disease</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_Toc216287316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6</w:t>
            </w:r>
            <w:r w:rsidRPr="00F72C44">
              <w:rPr>
                <w:rFonts w:ascii="Arial" w:hAnsi="Arial" w:cs="Arial"/>
                <w:noProof/>
                <w:webHidden/>
                <w:sz w:val="22"/>
                <w:szCs w:val="22"/>
              </w:rPr>
              <w:fldChar w:fldCharType="end"/>
            </w:r>
          </w:hyperlink>
        </w:p>
        <w:p w14:paraId="4A4D7E1B"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7" w:history="1">
            <w:r w:rsidRPr="00F72C44">
              <w:rPr>
                <w:rStyle w:val="Hyperlink"/>
                <w:rFonts w:ascii="Arial" w:hAnsi="Arial" w:cs="Arial"/>
                <w:noProof/>
                <w:sz w:val="22"/>
                <w:szCs w:val="22"/>
              </w:rPr>
              <w:t>Determinants of Suicide Among Men</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_Toc216287317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7</w:t>
            </w:r>
            <w:r w:rsidRPr="00F72C44">
              <w:rPr>
                <w:rFonts w:ascii="Arial" w:hAnsi="Arial" w:cs="Arial"/>
                <w:noProof/>
                <w:webHidden/>
                <w:sz w:val="22"/>
                <w:szCs w:val="22"/>
              </w:rPr>
              <w:fldChar w:fldCharType="end"/>
            </w:r>
          </w:hyperlink>
        </w:p>
        <w:p w14:paraId="19EBA249"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8" w:history="1">
            <w:r w:rsidRPr="00F72C44">
              <w:rPr>
                <w:rStyle w:val="Hyperlink"/>
                <w:rFonts w:ascii="Arial" w:hAnsi="Arial" w:cs="Arial"/>
                <w:noProof/>
                <w:sz w:val="22"/>
                <w:szCs w:val="22"/>
              </w:rPr>
              <w:t>Existing Public Health Interventions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_Toc216287318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7</w:t>
            </w:r>
            <w:r w:rsidRPr="00F72C44">
              <w:rPr>
                <w:rFonts w:ascii="Arial" w:hAnsi="Arial" w:cs="Arial"/>
                <w:noProof/>
                <w:webHidden/>
                <w:sz w:val="22"/>
                <w:szCs w:val="22"/>
              </w:rPr>
              <w:fldChar w:fldCharType="end"/>
            </w:r>
          </w:hyperlink>
        </w:p>
        <w:p w14:paraId="7FBD8124"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19" w:history="1">
            <w:r w:rsidRPr="00F72C44">
              <w:rPr>
                <w:rStyle w:val="Hyperlink"/>
                <w:rFonts w:ascii="Arial" w:hAnsi="Arial" w:cs="Arial"/>
                <w:noProof/>
                <w:sz w:val="22"/>
                <w:szCs w:val="22"/>
              </w:rPr>
              <w:t>Suggested Public Health Actions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_Toc216287319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8</w:t>
            </w:r>
            <w:r w:rsidRPr="00F72C44">
              <w:rPr>
                <w:rFonts w:ascii="Arial" w:hAnsi="Arial" w:cs="Arial"/>
                <w:noProof/>
                <w:webHidden/>
                <w:sz w:val="22"/>
                <w:szCs w:val="22"/>
              </w:rPr>
              <w:fldChar w:fldCharType="end"/>
            </w:r>
          </w:hyperlink>
        </w:p>
        <w:p w14:paraId="24102BE1" w14:textId="77777777" w:rsidR="00EA2C4A" w:rsidRPr="00F72C44" w:rsidRDefault="00EA2C4A" w:rsidP="00B642C8">
          <w:pPr>
            <w:pStyle w:val="TOC2"/>
            <w:tabs>
              <w:tab w:val="right" w:leader="dot" w:pos="9350"/>
            </w:tabs>
            <w:spacing w:line="360" w:lineRule="auto"/>
            <w:rPr>
              <w:rFonts w:ascii="Arial" w:hAnsi="Arial" w:cs="Arial"/>
              <w:noProof/>
              <w:sz w:val="22"/>
              <w:szCs w:val="22"/>
            </w:rPr>
          </w:pPr>
          <w:hyperlink w:anchor="_Toc216287320" w:history="1">
            <w:r w:rsidRPr="00F72C44">
              <w:rPr>
                <w:rStyle w:val="Hyperlink"/>
                <w:rFonts w:ascii="Arial" w:hAnsi="Arial" w:cs="Arial"/>
                <w:noProof/>
                <w:sz w:val="22"/>
                <w:szCs w:val="22"/>
              </w:rPr>
              <w:t>Conclusion</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_Toc216287320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8</w:t>
            </w:r>
            <w:r w:rsidRPr="00F72C44">
              <w:rPr>
                <w:rFonts w:ascii="Arial" w:hAnsi="Arial" w:cs="Arial"/>
                <w:noProof/>
                <w:webHidden/>
                <w:sz w:val="22"/>
                <w:szCs w:val="22"/>
              </w:rPr>
              <w:fldChar w:fldCharType="end"/>
            </w:r>
          </w:hyperlink>
        </w:p>
        <w:p w14:paraId="1B701C80" w14:textId="77777777" w:rsidR="00EA2C4A" w:rsidRPr="00F72C44" w:rsidRDefault="00EA2C4A" w:rsidP="00B642C8">
          <w:pPr>
            <w:pStyle w:val="TOC1"/>
            <w:tabs>
              <w:tab w:val="right" w:leader="dot" w:pos="9350"/>
            </w:tabs>
            <w:spacing w:line="360" w:lineRule="auto"/>
            <w:rPr>
              <w:rFonts w:ascii="Arial" w:hAnsi="Arial" w:cs="Arial"/>
              <w:noProof/>
              <w:sz w:val="22"/>
              <w:szCs w:val="22"/>
            </w:rPr>
          </w:pPr>
          <w:hyperlink w:anchor="_Toc216287321" w:history="1">
            <w:r w:rsidRPr="00F72C44">
              <w:rPr>
                <w:rStyle w:val="Hyperlink"/>
                <w:rFonts w:ascii="Arial" w:hAnsi="Arial" w:cs="Arial"/>
                <w:noProof/>
                <w:sz w:val="22"/>
                <w:szCs w:val="22"/>
              </w:rPr>
              <w:t>References</w:t>
            </w:r>
            <w:r w:rsidRPr="00F72C44">
              <w:rPr>
                <w:rFonts w:ascii="Arial" w:hAnsi="Arial" w:cs="Arial"/>
                <w:noProof/>
                <w:webHidden/>
                <w:sz w:val="22"/>
                <w:szCs w:val="22"/>
              </w:rPr>
              <w:tab/>
            </w:r>
            <w:r w:rsidRPr="00F72C44">
              <w:rPr>
                <w:rFonts w:ascii="Arial" w:hAnsi="Arial" w:cs="Arial"/>
                <w:noProof/>
                <w:webHidden/>
                <w:sz w:val="22"/>
                <w:szCs w:val="22"/>
              </w:rPr>
              <w:fldChar w:fldCharType="begin"/>
            </w:r>
            <w:r w:rsidRPr="00F72C44">
              <w:rPr>
                <w:rFonts w:ascii="Arial" w:hAnsi="Arial" w:cs="Arial"/>
                <w:noProof/>
                <w:webHidden/>
                <w:sz w:val="22"/>
                <w:szCs w:val="22"/>
              </w:rPr>
              <w:instrText xml:space="preserve"> PAGEREF _Toc216287321 \h </w:instrText>
            </w:r>
            <w:r w:rsidRPr="00F72C44">
              <w:rPr>
                <w:rFonts w:ascii="Arial" w:hAnsi="Arial" w:cs="Arial"/>
                <w:noProof/>
                <w:webHidden/>
                <w:sz w:val="22"/>
                <w:szCs w:val="22"/>
              </w:rPr>
            </w:r>
            <w:r w:rsidRPr="00F72C44">
              <w:rPr>
                <w:rFonts w:ascii="Arial" w:hAnsi="Arial" w:cs="Arial"/>
                <w:noProof/>
                <w:webHidden/>
                <w:sz w:val="22"/>
                <w:szCs w:val="22"/>
              </w:rPr>
              <w:fldChar w:fldCharType="separate"/>
            </w:r>
            <w:r w:rsidRPr="00F72C44">
              <w:rPr>
                <w:rFonts w:ascii="Arial" w:hAnsi="Arial" w:cs="Arial"/>
                <w:noProof/>
                <w:webHidden/>
                <w:sz w:val="22"/>
                <w:szCs w:val="22"/>
              </w:rPr>
              <w:t>9</w:t>
            </w:r>
            <w:r w:rsidRPr="00F72C44">
              <w:rPr>
                <w:rFonts w:ascii="Arial" w:hAnsi="Arial" w:cs="Arial"/>
                <w:noProof/>
                <w:webHidden/>
                <w:sz w:val="22"/>
                <w:szCs w:val="22"/>
              </w:rPr>
              <w:fldChar w:fldCharType="end"/>
            </w:r>
          </w:hyperlink>
        </w:p>
        <w:p w14:paraId="37021219" w14:textId="77777777" w:rsidR="00EA2C4A" w:rsidRPr="00F72C44" w:rsidRDefault="00EA2C4A" w:rsidP="00B642C8">
          <w:pPr>
            <w:spacing w:line="360" w:lineRule="auto"/>
            <w:rPr>
              <w:rFonts w:ascii="Arial" w:hAnsi="Arial" w:cs="Arial"/>
              <w:sz w:val="22"/>
              <w:szCs w:val="22"/>
            </w:rPr>
          </w:pPr>
          <w:r w:rsidRPr="00F72C44">
            <w:rPr>
              <w:rFonts w:ascii="Arial" w:hAnsi="Arial" w:cs="Arial"/>
              <w:b/>
              <w:bCs/>
              <w:noProof/>
              <w:sz w:val="22"/>
              <w:szCs w:val="22"/>
            </w:rPr>
            <w:fldChar w:fldCharType="end"/>
          </w:r>
        </w:p>
      </w:sdtContent>
    </w:sdt>
    <w:p w14:paraId="657D1A61" w14:textId="77777777" w:rsidR="00EA2C4A" w:rsidRDefault="00EA2C4A" w:rsidP="00B642C8">
      <w:pPr>
        <w:spacing w:line="360" w:lineRule="auto"/>
        <w:jc w:val="both"/>
        <w:rPr>
          <w:rFonts w:ascii="Times New Roman" w:hAnsi="Times New Roman" w:cs="Times New Roman"/>
          <w:sz w:val="22"/>
          <w:szCs w:val="22"/>
        </w:rPr>
      </w:pPr>
    </w:p>
    <w:p w14:paraId="76B300E2" w14:textId="76D8E340" w:rsidR="00B60B0A" w:rsidRDefault="00B60B0A" w:rsidP="00B642C8">
      <w:pPr>
        <w:spacing w:line="360" w:lineRule="auto"/>
        <w:rPr>
          <w:rFonts w:ascii="Times New Roman" w:hAnsi="Times New Roman" w:cs="Times New Roman"/>
          <w:sz w:val="22"/>
          <w:szCs w:val="22"/>
        </w:rPr>
      </w:pPr>
      <w:r>
        <w:rPr>
          <w:rFonts w:ascii="Times New Roman" w:hAnsi="Times New Roman" w:cs="Times New Roman"/>
          <w:sz w:val="22"/>
          <w:szCs w:val="22"/>
        </w:rPr>
        <w:br w:type="page"/>
      </w:r>
    </w:p>
    <w:p w14:paraId="6FC840B0" w14:textId="10673969" w:rsidR="00956EAE" w:rsidRPr="00B63E35" w:rsidRDefault="00956EAE" w:rsidP="00B642C8">
      <w:pPr>
        <w:pStyle w:val="Heading1"/>
        <w:spacing w:line="360" w:lineRule="auto"/>
        <w:rPr>
          <w:rFonts w:ascii="Arial" w:hAnsi="Arial" w:cs="Arial"/>
          <w:b/>
          <w:bCs/>
          <w:color w:val="000000" w:themeColor="text1"/>
          <w:sz w:val="28"/>
          <w:szCs w:val="28"/>
        </w:rPr>
      </w:pPr>
      <w:bookmarkStart w:id="0" w:name="_Toc216287307"/>
      <w:r w:rsidRPr="00B63E35">
        <w:rPr>
          <w:rFonts w:ascii="Arial" w:hAnsi="Arial" w:cs="Arial"/>
          <w:b/>
          <w:bCs/>
          <w:color w:val="000000" w:themeColor="text1"/>
          <w:sz w:val="28"/>
          <w:szCs w:val="28"/>
        </w:rPr>
        <w:lastRenderedPageBreak/>
        <w:t>T</w:t>
      </w:r>
      <w:r w:rsidR="00C524EE" w:rsidRPr="00B63E35">
        <w:rPr>
          <w:rFonts w:ascii="Arial" w:hAnsi="Arial" w:cs="Arial"/>
          <w:b/>
          <w:bCs/>
          <w:color w:val="000000" w:themeColor="text1"/>
          <w:sz w:val="28"/>
          <w:szCs w:val="28"/>
        </w:rPr>
        <w:t>ask</w:t>
      </w:r>
      <w:r w:rsidRPr="00B63E35">
        <w:rPr>
          <w:rFonts w:ascii="Arial" w:hAnsi="Arial" w:cs="Arial"/>
          <w:b/>
          <w:bCs/>
          <w:color w:val="000000" w:themeColor="text1"/>
          <w:sz w:val="28"/>
          <w:szCs w:val="28"/>
        </w:rPr>
        <w:t xml:space="preserve"> 1 – Gender and Health Inequalities in the UK</w:t>
      </w:r>
      <w:bookmarkEnd w:id="0"/>
    </w:p>
    <w:p w14:paraId="70669712" w14:textId="77777777" w:rsidR="00956EAE" w:rsidRPr="005B38D0" w:rsidRDefault="00956EAE" w:rsidP="00B642C8">
      <w:pPr>
        <w:pStyle w:val="Heading2"/>
        <w:spacing w:line="360" w:lineRule="auto"/>
        <w:jc w:val="both"/>
        <w:rPr>
          <w:rFonts w:ascii="Arial" w:hAnsi="Arial" w:cs="Arial"/>
          <w:b/>
          <w:bCs/>
          <w:color w:val="000000" w:themeColor="text1"/>
          <w:sz w:val="24"/>
          <w:szCs w:val="24"/>
        </w:rPr>
      </w:pPr>
      <w:bookmarkStart w:id="1" w:name="_Toc216287308"/>
      <w:r w:rsidRPr="005B38D0">
        <w:rPr>
          <w:rFonts w:ascii="Arial" w:hAnsi="Arial" w:cs="Arial"/>
          <w:b/>
          <w:bCs/>
          <w:color w:val="000000" w:themeColor="text1"/>
          <w:sz w:val="24"/>
          <w:szCs w:val="24"/>
        </w:rPr>
        <w:t>Introduction</w:t>
      </w:r>
      <w:bookmarkEnd w:id="1"/>
    </w:p>
    <w:p w14:paraId="2ABE8666"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It has been discovered that both men and women are affected by health inequalities, but the nature and extent of such inequalities are quite different. Biological aspects ensue with gendered social roles, behaviours and socioeconomic conditions giving rise to different vulnerabilities over the life course. The mortality rate is more premature among men, the incidence of suicide is higher, and women are more likely to die prematurely or suffer more years of ill health, depicting the prevalence of structural and social inequalities. The report critically analyses gender-based health inequalities, their causes and reactions.</w:t>
      </w:r>
    </w:p>
    <w:p w14:paraId="046FBDFA" w14:textId="2DFF4325" w:rsidR="003003FC" w:rsidRDefault="003003FC" w:rsidP="00B642C8">
      <w:pPr>
        <w:pStyle w:val="Heading2"/>
        <w:spacing w:line="360" w:lineRule="auto"/>
        <w:jc w:val="both"/>
        <w:rPr>
          <w:rFonts w:ascii="Arial" w:hAnsi="Arial" w:cs="Arial"/>
          <w:b/>
          <w:bCs/>
          <w:color w:val="000000" w:themeColor="text1"/>
          <w:sz w:val="24"/>
          <w:szCs w:val="24"/>
        </w:rPr>
      </w:pPr>
      <w:bookmarkStart w:id="2" w:name="_Toc216287309"/>
      <w:r>
        <w:rPr>
          <w:rFonts w:ascii="Arial" w:hAnsi="Arial" w:cs="Arial"/>
          <w:b/>
          <w:bCs/>
          <w:color w:val="000000" w:themeColor="text1"/>
          <w:sz w:val="24"/>
          <w:szCs w:val="24"/>
        </w:rPr>
        <w:t>Background and Underlying Factors</w:t>
      </w:r>
      <w:bookmarkEnd w:id="2"/>
    </w:p>
    <w:p w14:paraId="6A36D071" w14:textId="0E7D9FFF" w:rsidR="00956EAE" w:rsidRPr="00F839F4" w:rsidRDefault="0063551C" w:rsidP="00B642C8">
      <w:pPr>
        <w:spacing w:line="360" w:lineRule="auto"/>
        <w:rPr>
          <w:rFonts w:ascii="Arial" w:hAnsi="Arial" w:cs="Arial"/>
          <w:b/>
          <w:bCs/>
        </w:rPr>
      </w:pPr>
      <w:r w:rsidRPr="00F839F4">
        <w:rPr>
          <w:rFonts w:ascii="Arial" w:hAnsi="Arial" w:cs="Arial"/>
          <w:b/>
          <w:bCs/>
        </w:rPr>
        <w:t>I</w:t>
      </w:r>
      <w:r w:rsidR="00987017" w:rsidRPr="00F839F4">
        <w:rPr>
          <w:rFonts w:ascii="Arial" w:hAnsi="Arial" w:cs="Arial"/>
          <w:b/>
          <w:bCs/>
        </w:rPr>
        <w:t xml:space="preserve">llnesses </w:t>
      </w:r>
    </w:p>
    <w:p w14:paraId="53E773A3" w14:textId="1ECF18C6" w:rsidR="00956EAE" w:rsidRPr="0029316A" w:rsidRDefault="00956EAE" w:rsidP="00B642C8">
      <w:pPr>
        <w:spacing w:line="360" w:lineRule="auto"/>
        <w:jc w:val="both"/>
        <w:rPr>
          <w:rFonts w:ascii="Arial" w:hAnsi="Arial" w:cs="Arial"/>
          <w:b/>
          <w:bCs/>
          <w:sz w:val="22"/>
          <w:szCs w:val="22"/>
        </w:rPr>
      </w:pPr>
      <w:r w:rsidRPr="0029316A">
        <w:rPr>
          <w:rFonts w:ascii="Arial" w:hAnsi="Arial" w:cs="Arial"/>
          <w:b/>
          <w:bCs/>
          <w:sz w:val="22"/>
          <w:szCs w:val="22"/>
        </w:rPr>
        <w:t>Premature Mortality and Cardiovascular Disease (CVD)</w:t>
      </w:r>
    </w:p>
    <w:p w14:paraId="714C2654"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Recent OECD reports indicate that the number of years of life that are lost to males before 75 years is nearly twice as many as those lost to females, and CVD rates remain the largest offender. Male CVD rates in 2023 in the OECD countries are evidently greater than the female ones, and it is mostly because of things such as cigarette smoking, unhealthy diets, and insufficient exercise on their part, and an actual lack of preventative health activity (OECD, 2025). Social demands are challenging for men seeking help, resulting in later diagnoses and worse survival situations. Sensible cures include campaigns addressing men-related issues, screening at the community level, and programmes promoting awareness about check-ups.</w:t>
      </w:r>
    </w:p>
    <w:p w14:paraId="116756DC" w14:textId="02C5C3EF" w:rsidR="00956EAE" w:rsidRPr="0029316A" w:rsidRDefault="00956EAE" w:rsidP="00B642C8">
      <w:pPr>
        <w:spacing w:line="360" w:lineRule="auto"/>
        <w:jc w:val="both"/>
        <w:rPr>
          <w:rFonts w:ascii="Arial" w:hAnsi="Arial" w:cs="Arial"/>
          <w:b/>
          <w:bCs/>
          <w:sz w:val="22"/>
          <w:szCs w:val="22"/>
        </w:rPr>
      </w:pPr>
      <w:r w:rsidRPr="0029316A">
        <w:rPr>
          <w:rFonts w:ascii="Arial" w:hAnsi="Arial" w:cs="Arial"/>
          <w:b/>
          <w:bCs/>
          <w:sz w:val="22"/>
          <w:szCs w:val="22"/>
        </w:rPr>
        <w:t>Mental Health and Suicide</w:t>
      </w:r>
    </w:p>
    <w:p w14:paraId="447BF071"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The current 2023 ONS data reveals 4,506 suicides in Wales and England, men covering three-fourths of the portion. The suicide rate of men reached a high of 17.4 per 100,000, the highest level since 1999, and is higher among men between 45 and 49. The primary causes are the stigma of displaying emotions, unemployment, collapsed relationships, loneliness, and addiction to drugs or alcohol (</w:t>
      </w:r>
      <w:proofErr w:type="spellStart"/>
      <w:r w:rsidRPr="0029316A">
        <w:rPr>
          <w:rFonts w:ascii="Arial" w:hAnsi="Arial" w:cs="Arial"/>
          <w:sz w:val="22"/>
          <w:szCs w:val="22"/>
        </w:rPr>
        <w:t>PublicHealthWales</w:t>
      </w:r>
      <w:proofErr w:type="spellEnd"/>
      <w:r w:rsidRPr="0029316A">
        <w:rPr>
          <w:rFonts w:ascii="Arial" w:hAnsi="Arial" w:cs="Arial"/>
          <w:sz w:val="22"/>
          <w:szCs w:val="22"/>
        </w:rPr>
        <w:t>, 2024). The socialisation associated with gender tends to discourage men from seeking mental health services, leading to depression. Possible solutions include ensuring accessible mental health services to men, establishing community outreach along a line dominated by men, suicide-prevention trainings and national campaigns destigmatising the issue.</w:t>
      </w:r>
    </w:p>
    <w:p w14:paraId="61C3F391" w14:textId="1181D73F" w:rsidR="00956EAE" w:rsidRPr="0029316A" w:rsidRDefault="00956EAE" w:rsidP="00B642C8">
      <w:pPr>
        <w:spacing w:line="360" w:lineRule="auto"/>
        <w:jc w:val="both"/>
        <w:rPr>
          <w:rFonts w:ascii="Arial" w:hAnsi="Arial" w:cs="Arial"/>
          <w:b/>
          <w:bCs/>
          <w:sz w:val="22"/>
          <w:szCs w:val="22"/>
        </w:rPr>
      </w:pPr>
      <w:r w:rsidRPr="0029316A">
        <w:rPr>
          <w:rFonts w:ascii="Arial" w:hAnsi="Arial" w:cs="Arial"/>
          <w:b/>
          <w:bCs/>
          <w:sz w:val="22"/>
          <w:szCs w:val="22"/>
        </w:rPr>
        <w:lastRenderedPageBreak/>
        <w:t>Longer Life Expectancy but Poorer Healthy Life Expectancy</w:t>
      </w:r>
    </w:p>
    <w:p w14:paraId="3563FDAF" w14:textId="77777777" w:rsidR="00956EAE"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Recent statistics indicate that in the worst areas of England only women are living nearly two-thirds of their lives in good health, as opposed to more than 80 per cent in the richer regions, with Wales witnessing a smaller proportion. The main factors include lower income, lack of access to resources, unpaid caregiving, constant stress, and actual incapability to focus on personal health care. Possible remedies might involve offering underprivileged women personalised community-based health programmes and accessible preventive care and setting up poverty reduction and paid caregiving policies that remain unrecognised (Crisp </w:t>
      </w:r>
      <w:r w:rsidRPr="0029316A">
        <w:rPr>
          <w:rFonts w:ascii="Arial" w:hAnsi="Arial" w:cs="Arial"/>
          <w:i/>
          <w:iCs/>
          <w:sz w:val="22"/>
          <w:szCs w:val="22"/>
        </w:rPr>
        <w:t>et al</w:t>
      </w:r>
      <w:r w:rsidRPr="0029316A">
        <w:rPr>
          <w:rFonts w:ascii="Arial" w:hAnsi="Arial" w:cs="Arial"/>
          <w:sz w:val="22"/>
          <w:szCs w:val="22"/>
        </w:rPr>
        <w:t xml:space="preserve">., 2024). </w:t>
      </w:r>
    </w:p>
    <w:p w14:paraId="765D5D4D" w14:textId="44FB21B1" w:rsidR="00987017" w:rsidRPr="00BB6CA8" w:rsidRDefault="00987017" w:rsidP="00B642C8">
      <w:pPr>
        <w:spacing w:line="360" w:lineRule="auto"/>
        <w:jc w:val="both"/>
        <w:rPr>
          <w:rFonts w:ascii="Arial" w:hAnsi="Arial" w:cs="Arial"/>
          <w:b/>
          <w:bCs/>
        </w:rPr>
      </w:pPr>
      <w:r w:rsidRPr="00BB6CA8">
        <w:rPr>
          <w:rFonts w:ascii="Arial" w:hAnsi="Arial" w:cs="Arial"/>
          <w:b/>
          <w:bCs/>
        </w:rPr>
        <w:t xml:space="preserve">Social Issues </w:t>
      </w:r>
    </w:p>
    <w:p w14:paraId="5807EDA7" w14:textId="08C56F47" w:rsidR="00956EAE" w:rsidRPr="0029316A" w:rsidRDefault="00956EAE" w:rsidP="00B642C8">
      <w:pPr>
        <w:spacing w:line="360" w:lineRule="auto"/>
        <w:jc w:val="both"/>
        <w:rPr>
          <w:rFonts w:ascii="Arial" w:hAnsi="Arial" w:cs="Arial"/>
          <w:b/>
          <w:bCs/>
          <w:sz w:val="22"/>
          <w:szCs w:val="22"/>
        </w:rPr>
      </w:pPr>
      <w:r w:rsidRPr="0029316A">
        <w:rPr>
          <w:rFonts w:ascii="Arial" w:hAnsi="Arial" w:cs="Arial"/>
          <w:b/>
          <w:bCs/>
          <w:sz w:val="22"/>
          <w:szCs w:val="22"/>
        </w:rPr>
        <w:t>Economic Inequality and Its Health Impact</w:t>
      </w:r>
    </w:p>
    <w:p w14:paraId="4334F9A8"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In reality, gendered economic inequalities, such as the wage gap, occupational segregation, and fewer full-time jobs, are what truly determine the health outcomes of women. Reduced incomes result in less spending on nutritious food, good housing, and leisure, and money anxiety, as well as hobbies, burdens their mental health. It is also these financial constraints that make women unable to receive regular check-ups. Remedies like bridging the gender pay disparity, sealing the employment by fixing the job security, affording childcare, and strengthening social protection can be useful (Case and </w:t>
      </w:r>
      <w:proofErr w:type="spellStart"/>
      <w:r w:rsidRPr="0029316A">
        <w:rPr>
          <w:rFonts w:ascii="Arial" w:hAnsi="Arial" w:cs="Arial"/>
          <w:sz w:val="22"/>
          <w:szCs w:val="22"/>
        </w:rPr>
        <w:t>Kraftman</w:t>
      </w:r>
      <w:proofErr w:type="spellEnd"/>
      <w:r w:rsidRPr="0029316A">
        <w:rPr>
          <w:rFonts w:ascii="Arial" w:hAnsi="Arial" w:cs="Arial"/>
          <w:sz w:val="22"/>
          <w:szCs w:val="22"/>
        </w:rPr>
        <w:t>, 2024).</w:t>
      </w:r>
    </w:p>
    <w:p w14:paraId="625A81A3" w14:textId="4A5D3A01" w:rsidR="00956EAE" w:rsidRPr="005475AD" w:rsidRDefault="00956EAE" w:rsidP="00B642C8">
      <w:pPr>
        <w:spacing w:line="360" w:lineRule="auto"/>
        <w:jc w:val="both"/>
        <w:rPr>
          <w:rFonts w:ascii="Arial" w:hAnsi="Arial" w:cs="Arial"/>
          <w:b/>
          <w:bCs/>
          <w:sz w:val="22"/>
          <w:szCs w:val="22"/>
        </w:rPr>
      </w:pPr>
      <w:r w:rsidRPr="005475AD">
        <w:rPr>
          <w:rFonts w:ascii="Arial" w:hAnsi="Arial" w:cs="Arial"/>
          <w:b/>
          <w:bCs/>
          <w:sz w:val="22"/>
          <w:szCs w:val="22"/>
        </w:rPr>
        <w:t>Differential Access and Use of Healthcare</w:t>
      </w:r>
    </w:p>
    <w:p w14:paraId="452C41BA"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The attitude towards accessing these facilities is different for men and women. Guys tend to wait till they visit a doctor, and this increases the likelihood of preventable issues. Girls tend to keep their health on the backburner while prioritising their children’s health. Lack of time, money, and passports and long queues worsen the situation. Solving these will require community-based outreach, adaptable timely bookings, gender-based clinic centres and proper guidelines (Geffery, 2025).</w:t>
      </w:r>
    </w:p>
    <w:p w14:paraId="4DE24B8B" w14:textId="1D880268" w:rsidR="00956EAE" w:rsidRPr="005475AD" w:rsidRDefault="00956EAE" w:rsidP="00B642C8">
      <w:pPr>
        <w:spacing w:line="360" w:lineRule="auto"/>
        <w:jc w:val="both"/>
        <w:rPr>
          <w:rFonts w:ascii="Arial" w:hAnsi="Arial" w:cs="Arial"/>
          <w:b/>
          <w:bCs/>
          <w:sz w:val="22"/>
          <w:szCs w:val="22"/>
        </w:rPr>
      </w:pPr>
      <w:r w:rsidRPr="005475AD">
        <w:rPr>
          <w:rFonts w:ascii="Arial" w:hAnsi="Arial" w:cs="Arial"/>
          <w:b/>
          <w:bCs/>
          <w:sz w:val="22"/>
          <w:szCs w:val="22"/>
        </w:rPr>
        <w:t>Women’s Mental Health and Social Stressors</w:t>
      </w:r>
    </w:p>
    <w:p w14:paraId="7D78FE91"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Females in disadvantaged areas pile on top of their societal-duress burden, domestic violence, sole parenthood, meagre cash, and childrearing claims. These include anxiety, depression, and risk of chronic disease. Structural inequities continue accumulating and prevent access to assistance and early solutions. Tackling domestic violence, seeking mental health services, and revealing socioeconomic problems will be beneficial (Blanchflower </w:t>
      </w:r>
      <w:r w:rsidRPr="005475AD">
        <w:rPr>
          <w:rFonts w:ascii="Arial" w:hAnsi="Arial" w:cs="Arial"/>
          <w:i/>
          <w:iCs/>
          <w:sz w:val="22"/>
          <w:szCs w:val="22"/>
        </w:rPr>
        <w:t>et al</w:t>
      </w:r>
      <w:r w:rsidRPr="0029316A">
        <w:rPr>
          <w:rFonts w:ascii="Arial" w:hAnsi="Arial" w:cs="Arial"/>
          <w:sz w:val="22"/>
          <w:szCs w:val="22"/>
        </w:rPr>
        <w:t xml:space="preserve">., 2024). </w:t>
      </w:r>
    </w:p>
    <w:p w14:paraId="25CAF02C" w14:textId="77777777" w:rsidR="00956EAE" w:rsidRPr="004800C1" w:rsidRDefault="00956EAE" w:rsidP="00B642C8">
      <w:pPr>
        <w:pStyle w:val="Heading2"/>
        <w:spacing w:line="360" w:lineRule="auto"/>
        <w:jc w:val="both"/>
        <w:rPr>
          <w:rFonts w:ascii="Arial" w:hAnsi="Arial" w:cs="Arial"/>
          <w:b/>
          <w:bCs/>
          <w:color w:val="000000" w:themeColor="text1"/>
          <w:sz w:val="24"/>
          <w:szCs w:val="24"/>
        </w:rPr>
      </w:pPr>
      <w:bookmarkStart w:id="3" w:name="_Toc216287310"/>
      <w:r w:rsidRPr="004800C1">
        <w:rPr>
          <w:rFonts w:ascii="Arial" w:hAnsi="Arial" w:cs="Arial"/>
          <w:b/>
          <w:bCs/>
          <w:color w:val="000000" w:themeColor="text1"/>
          <w:sz w:val="24"/>
          <w:szCs w:val="24"/>
        </w:rPr>
        <w:lastRenderedPageBreak/>
        <w:t>National Response for Addressing Health Inequalities among Genders</w:t>
      </w:r>
      <w:bookmarkEnd w:id="3"/>
    </w:p>
    <w:p w14:paraId="756C863F" w14:textId="33E9158A"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 UK has been rolling out many national programmes to address the gender-based health inequalities. The Department of Health and Social Care (DHSC) has published equality impact assessments, which have guaranteed more access to reproductive health services, increased funding for research on women’s health, and a better awareness of conditions characterising females (GOVUK, 2024). In the case of men, consultations point out the necessity to have a specific men’s health strategy aimed at avoiding suicide and cardiovascular diseases, as well as decreasing the risk of behavioural risk factors. The local authorities are testing community-based solutions which include the mental-health training of barbers, health programmes in the workplace, and school-based wellness. </w:t>
      </w:r>
    </w:p>
    <w:p w14:paraId="5F671CEA" w14:textId="77777777" w:rsidR="00956EAE" w:rsidRPr="002B066D" w:rsidRDefault="00956EAE" w:rsidP="00B642C8">
      <w:pPr>
        <w:spacing w:line="360" w:lineRule="auto"/>
        <w:jc w:val="both"/>
        <w:rPr>
          <w:rFonts w:ascii="Arial" w:hAnsi="Arial" w:cs="Arial"/>
          <w:b/>
          <w:bCs/>
          <w:sz w:val="22"/>
          <w:szCs w:val="22"/>
        </w:rPr>
      </w:pPr>
      <w:r w:rsidRPr="002B066D">
        <w:rPr>
          <w:rFonts w:ascii="Arial" w:hAnsi="Arial" w:cs="Arial"/>
          <w:b/>
          <w:bCs/>
          <w:sz w:val="22"/>
          <w:szCs w:val="22"/>
        </w:rPr>
        <w:t xml:space="preserve">Target Group Supportive Organisations </w:t>
      </w:r>
    </w:p>
    <w:p w14:paraId="11CD2AC8"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Mind, one of the most prominent mental-health charities in the UK, is entering the headlines by highlighting that mostly men are committing suicide and demanding accessible services that are free of stigmas. The organisation provides community services, counselling, crisis support and advocacy and campaigns for change in systems to raise more funds, make services more accessible and challenge societal norms that refuse to allow men to seek help (MIND, 2023).  </w:t>
      </w:r>
    </w:p>
    <w:p w14:paraId="06EEF21B"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The King’s Fund has been of great help by providing analyses of trends in life expectancy, healthy life expectancy and health inequalities by region (</w:t>
      </w:r>
      <w:proofErr w:type="spellStart"/>
      <w:r w:rsidRPr="0029316A">
        <w:rPr>
          <w:rFonts w:ascii="Arial" w:hAnsi="Arial" w:cs="Arial"/>
          <w:sz w:val="22"/>
          <w:szCs w:val="22"/>
        </w:rPr>
        <w:t>TheKing’sFund</w:t>
      </w:r>
      <w:proofErr w:type="spellEnd"/>
      <w:r w:rsidRPr="0029316A">
        <w:rPr>
          <w:rFonts w:ascii="Arial" w:hAnsi="Arial" w:cs="Arial"/>
          <w:sz w:val="22"/>
          <w:szCs w:val="22"/>
        </w:rPr>
        <w:t xml:space="preserve">, 2024).  </w:t>
      </w:r>
    </w:p>
    <w:p w14:paraId="17CAB92C" w14:textId="77777777" w:rsidR="00956EAE" w:rsidRPr="00F5725D" w:rsidRDefault="00956EAE" w:rsidP="00B642C8">
      <w:pPr>
        <w:pStyle w:val="Heading2"/>
        <w:spacing w:line="360" w:lineRule="auto"/>
        <w:jc w:val="both"/>
        <w:rPr>
          <w:rFonts w:ascii="Arial" w:hAnsi="Arial" w:cs="Arial"/>
          <w:b/>
          <w:bCs/>
          <w:color w:val="000000" w:themeColor="text1"/>
          <w:sz w:val="24"/>
          <w:szCs w:val="24"/>
        </w:rPr>
      </w:pPr>
      <w:bookmarkStart w:id="4" w:name="_Toc216287311"/>
      <w:r w:rsidRPr="00F5725D">
        <w:rPr>
          <w:rFonts w:ascii="Arial" w:hAnsi="Arial" w:cs="Arial"/>
          <w:b/>
          <w:bCs/>
          <w:color w:val="000000" w:themeColor="text1"/>
          <w:sz w:val="24"/>
          <w:szCs w:val="24"/>
        </w:rPr>
        <w:t>Conclusion</w:t>
      </w:r>
      <w:bookmarkEnd w:id="4"/>
    </w:p>
    <w:p w14:paraId="4FC0FD03" w14:textId="0A39D7CD"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Gender is a very potent and complicated determinant of health. Men have been disproportionately affected by premature mortality and suicides, whereas women are affected by socioeconomic deprivation as well as parenthood burdens, and thus, ill health has lasting impacts on them. Gender role interactions, structural inequalities, behaviours, and access to care are the sources of such disparities. The efforts of the organisations are positive, although continued investment and gender bias strategies are both necessary. To handle health disparities based on gender, a need to challenge the larger social, economic and cultural determinants affecting health throughout the course is necessary.</w:t>
      </w:r>
    </w:p>
    <w:p w14:paraId="39B73C86" w14:textId="77777777" w:rsidR="00956EAE" w:rsidRPr="0029316A" w:rsidRDefault="00956EAE" w:rsidP="00B642C8">
      <w:pPr>
        <w:spacing w:line="360" w:lineRule="auto"/>
        <w:jc w:val="both"/>
        <w:rPr>
          <w:rFonts w:ascii="Arial" w:hAnsi="Arial" w:cs="Arial"/>
          <w:sz w:val="22"/>
          <w:szCs w:val="22"/>
        </w:rPr>
      </w:pPr>
    </w:p>
    <w:p w14:paraId="4599B1C1" w14:textId="7A71C76E" w:rsidR="00956EAE" w:rsidRPr="00BE7E5E" w:rsidRDefault="00956EAE" w:rsidP="00B642C8">
      <w:pPr>
        <w:pStyle w:val="Heading1"/>
        <w:spacing w:line="360" w:lineRule="auto"/>
        <w:rPr>
          <w:rFonts w:ascii="Arial" w:hAnsi="Arial" w:cs="Arial"/>
          <w:b/>
          <w:bCs/>
          <w:color w:val="000000" w:themeColor="text1"/>
          <w:sz w:val="28"/>
          <w:szCs w:val="28"/>
        </w:rPr>
      </w:pPr>
      <w:bookmarkStart w:id="5" w:name="_Toc216287312"/>
      <w:r w:rsidRPr="00BE7E5E">
        <w:rPr>
          <w:rFonts w:ascii="Arial" w:hAnsi="Arial" w:cs="Arial"/>
          <w:b/>
          <w:bCs/>
          <w:color w:val="000000" w:themeColor="text1"/>
          <w:sz w:val="28"/>
          <w:szCs w:val="28"/>
        </w:rPr>
        <w:lastRenderedPageBreak/>
        <w:t>T</w:t>
      </w:r>
      <w:r w:rsidR="00BE7E5E" w:rsidRPr="00BE7E5E">
        <w:rPr>
          <w:rFonts w:ascii="Arial" w:hAnsi="Arial" w:cs="Arial"/>
          <w:b/>
          <w:bCs/>
          <w:color w:val="000000" w:themeColor="text1"/>
          <w:sz w:val="28"/>
          <w:szCs w:val="28"/>
        </w:rPr>
        <w:t>ask</w:t>
      </w:r>
      <w:r w:rsidRPr="00BE7E5E">
        <w:rPr>
          <w:rFonts w:ascii="Arial" w:hAnsi="Arial" w:cs="Arial"/>
          <w:b/>
          <w:bCs/>
          <w:color w:val="000000" w:themeColor="text1"/>
          <w:sz w:val="28"/>
          <w:szCs w:val="28"/>
        </w:rPr>
        <w:t xml:space="preserve"> 2 – </w:t>
      </w:r>
      <w:r w:rsidR="00575FD2" w:rsidRPr="00BE7E5E">
        <w:rPr>
          <w:rFonts w:ascii="Arial" w:hAnsi="Arial" w:cs="Arial"/>
          <w:b/>
          <w:bCs/>
          <w:color w:val="000000" w:themeColor="text1"/>
          <w:sz w:val="28"/>
          <w:szCs w:val="28"/>
        </w:rPr>
        <w:t>Suicide Among Men in England and Wales</w:t>
      </w:r>
      <w:bookmarkEnd w:id="5"/>
    </w:p>
    <w:p w14:paraId="41A42079" w14:textId="77777777" w:rsidR="00956EAE" w:rsidRPr="00863DB2" w:rsidRDefault="00956EAE" w:rsidP="00B642C8">
      <w:pPr>
        <w:pStyle w:val="Heading1"/>
        <w:spacing w:line="360" w:lineRule="auto"/>
        <w:jc w:val="both"/>
        <w:rPr>
          <w:rFonts w:ascii="Arial" w:hAnsi="Arial" w:cs="Arial"/>
          <w:b/>
          <w:bCs/>
          <w:color w:val="000000" w:themeColor="text1"/>
          <w:sz w:val="24"/>
          <w:szCs w:val="24"/>
        </w:rPr>
      </w:pPr>
      <w:bookmarkStart w:id="6" w:name="_Toc216287313"/>
      <w:r w:rsidRPr="00863DB2">
        <w:rPr>
          <w:rFonts w:ascii="Arial" w:hAnsi="Arial" w:cs="Arial"/>
          <w:b/>
          <w:bCs/>
          <w:color w:val="000000" w:themeColor="text1"/>
          <w:sz w:val="24"/>
          <w:szCs w:val="24"/>
        </w:rPr>
        <w:t>Introduction</w:t>
      </w:r>
      <w:bookmarkEnd w:id="6"/>
    </w:p>
    <w:p w14:paraId="507EAA1B"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Suicide remains a significant puzzle, the prevalence of which in England and Wales continues to provide a stark contrast in health disparities between men and women. Men continue to constitute the massive majority of suicides even decades after the campaigns of mental-health awareness and suicide-prevention schemes. Male suicide is thus a national health ambush as well as an eye-catching indicator of social injustice persisting. It is conditioned by a mire of mental-health problems, poverty, cultural pressures, and the reality that men have less enthusiasm to seek assistance. Its size, location, victimisation, and causes will provide a firm foundation in designing actual prevention programmes. This report examines the trends in male suicide and disaggregates the causes through epidemiology. Discussions are also presented on what the public-health sector should and can do to reduce up-front deaths in men.</w:t>
      </w:r>
    </w:p>
    <w:p w14:paraId="2650BA15" w14:textId="77777777" w:rsidR="00956EAE" w:rsidRPr="00863DB2" w:rsidRDefault="00956EAE" w:rsidP="00B642C8">
      <w:pPr>
        <w:pStyle w:val="Heading2"/>
        <w:spacing w:line="360" w:lineRule="auto"/>
        <w:jc w:val="both"/>
        <w:rPr>
          <w:rFonts w:ascii="Arial" w:hAnsi="Arial" w:cs="Arial"/>
          <w:b/>
          <w:bCs/>
          <w:color w:val="000000" w:themeColor="text1"/>
          <w:sz w:val="24"/>
          <w:szCs w:val="24"/>
        </w:rPr>
      </w:pPr>
      <w:bookmarkStart w:id="7" w:name="_Toc216287314"/>
      <w:r w:rsidRPr="00863DB2">
        <w:rPr>
          <w:rFonts w:ascii="Arial" w:hAnsi="Arial" w:cs="Arial"/>
          <w:b/>
          <w:bCs/>
          <w:color w:val="000000" w:themeColor="text1"/>
          <w:sz w:val="24"/>
          <w:szCs w:val="24"/>
        </w:rPr>
        <w:t>Prevalence, Incidence and Mortality</w:t>
      </w:r>
      <w:bookmarkEnd w:id="7"/>
    </w:p>
    <w:p w14:paraId="01FF7D2B"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 year 2023 witnessed 4,506 suicides in England and Wales, of which approx. 75% of them were males. The absence of equal distribution of such skewness in women reflects a red flag: although the former are more likely to be diagnosed with depression and anxiety, men commit suicide significantly more than their female counterparts. The suicide rate was 11.4 per 100,000 population, but among men it was 17.4 per 100,000. Not only is there a gender disparity indicated by these numbers, but male suicide has been one of the leading causes of early deaths (MacInnes </w:t>
      </w:r>
      <w:r w:rsidRPr="00A431E3">
        <w:rPr>
          <w:rFonts w:ascii="Arial" w:hAnsi="Arial" w:cs="Arial"/>
          <w:i/>
          <w:iCs/>
          <w:sz w:val="22"/>
          <w:szCs w:val="22"/>
        </w:rPr>
        <w:t>et al.</w:t>
      </w:r>
      <w:r w:rsidRPr="0029316A">
        <w:rPr>
          <w:rFonts w:ascii="Arial" w:hAnsi="Arial" w:cs="Arial"/>
          <w:sz w:val="22"/>
          <w:szCs w:val="22"/>
        </w:rPr>
        <w:t>, 2024).</w:t>
      </w:r>
    </w:p>
    <w:p w14:paraId="41717D50"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 highest suicide peaks were witnessed among men aged between 45 and 49, and that illustrated 25.5 per lakh men. That mid-life crisis is an accumulation of pressures, social vulnerabilities and life turmoil that may strike and affect men more than women at this age. </w:t>
      </w:r>
    </w:p>
    <w:p w14:paraId="39E143BA"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These rates tend to fluctuate on a yearly basis, yet the causes remain the same. Managing service funds, social isolation, economic downturns, and external pressures become challenging for men. Increased mental health issues and the inequality in treatment require immediate attention and interventions that are gender-oriented (Snowdon, 2025).</w:t>
      </w:r>
    </w:p>
    <w:p w14:paraId="11F00300" w14:textId="77777777" w:rsidR="00956EAE" w:rsidRPr="00863DB2" w:rsidRDefault="00956EAE" w:rsidP="00B642C8">
      <w:pPr>
        <w:pStyle w:val="Heading2"/>
        <w:spacing w:line="360" w:lineRule="auto"/>
        <w:jc w:val="both"/>
        <w:rPr>
          <w:rFonts w:ascii="Arial" w:hAnsi="Arial" w:cs="Arial"/>
          <w:b/>
          <w:bCs/>
          <w:color w:val="000000" w:themeColor="text1"/>
          <w:sz w:val="24"/>
          <w:szCs w:val="24"/>
        </w:rPr>
      </w:pPr>
      <w:bookmarkStart w:id="8" w:name="_Toc216287315"/>
      <w:r w:rsidRPr="00863DB2">
        <w:rPr>
          <w:rFonts w:ascii="Arial" w:hAnsi="Arial" w:cs="Arial"/>
          <w:b/>
          <w:bCs/>
          <w:color w:val="000000" w:themeColor="text1"/>
          <w:sz w:val="24"/>
          <w:szCs w:val="24"/>
        </w:rPr>
        <w:t>Distributional Factors</w:t>
      </w:r>
      <w:bookmarkEnd w:id="8"/>
    </w:p>
    <w:p w14:paraId="3FAFD4F7"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For establishing targeted interventions, the spread of the issue among all population groups should be studied effectively.</w:t>
      </w:r>
    </w:p>
    <w:p w14:paraId="5789E9E3" w14:textId="499AEB41" w:rsidR="00956EAE" w:rsidRPr="0029316A" w:rsidRDefault="00956EAE" w:rsidP="00B642C8">
      <w:pPr>
        <w:spacing w:line="360" w:lineRule="auto"/>
        <w:jc w:val="both"/>
        <w:rPr>
          <w:rFonts w:ascii="Arial" w:hAnsi="Arial" w:cs="Arial"/>
          <w:sz w:val="22"/>
          <w:szCs w:val="22"/>
        </w:rPr>
      </w:pPr>
      <w:r w:rsidRPr="0006719F">
        <w:rPr>
          <w:rFonts w:ascii="Arial" w:hAnsi="Arial" w:cs="Arial"/>
          <w:b/>
          <w:bCs/>
          <w:sz w:val="22"/>
          <w:szCs w:val="22"/>
        </w:rPr>
        <w:lastRenderedPageBreak/>
        <w:t>Geographical Distribution:</w:t>
      </w:r>
      <w:r w:rsidRPr="0029316A">
        <w:rPr>
          <w:rFonts w:ascii="Arial" w:hAnsi="Arial" w:cs="Arial"/>
          <w:sz w:val="22"/>
          <w:szCs w:val="22"/>
        </w:rPr>
        <w:t xml:space="preserve"> The Northeast</w:t>
      </w:r>
      <w:r w:rsidR="00222D5F">
        <w:rPr>
          <w:rFonts w:ascii="Arial" w:hAnsi="Arial" w:cs="Arial"/>
          <w:sz w:val="22"/>
          <w:szCs w:val="22"/>
        </w:rPr>
        <w:t xml:space="preserve"> and </w:t>
      </w:r>
      <w:r w:rsidRPr="0029316A">
        <w:rPr>
          <w:rFonts w:ascii="Arial" w:hAnsi="Arial" w:cs="Arial"/>
          <w:sz w:val="22"/>
          <w:szCs w:val="22"/>
        </w:rPr>
        <w:t>Northwest areas of Wales are the worst, as they have been experiencing a significant economic downturn, loss of jobs, and industrial refocusing, and deprivation is high. The suicide rates always get higher in local councils having a higher score on deprivation; hence, there is a high association between low socioeconomic status and suicide. The rural communities also bear the high rates, frequently due to geographic isolation, low density of mental-health services, a reduced level of anonymity when seeking treatment and social norms that drive self-reliance in emotion (Price, 2025).</w:t>
      </w:r>
    </w:p>
    <w:p w14:paraId="60DE815B" w14:textId="77777777" w:rsidR="00956EAE" w:rsidRPr="0029316A" w:rsidRDefault="00956EAE" w:rsidP="00B642C8">
      <w:pPr>
        <w:spacing w:line="360" w:lineRule="auto"/>
        <w:jc w:val="both"/>
        <w:rPr>
          <w:rFonts w:ascii="Arial" w:hAnsi="Arial" w:cs="Arial"/>
          <w:sz w:val="22"/>
          <w:szCs w:val="22"/>
        </w:rPr>
      </w:pPr>
      <w:r w:rsidRPr="00222D5F">
        <w:rPr>
          <w:rFonts w:ascii="Arial" w:hAnsi="Arial" w:cs="Arial"/>
          <w:b/>
          <w:bCs/>
          <w:sz w:val="22"/>
          <w:szCs w:val="22"/>
        </w:rPr>
        <w:t xml:space="preserve">Age Distribution: </w:t>
      </w:r>
      <w:r w:rsidRPr="0029316A">
        <w:rPr>
          <w:rFonts w:ascii="Arial" w:hAnsi="Arial" w:cs="Arial"/>
          <w:sz w:val="22"/>
          <w:szCs w:val="22"/>
        </w:rPr>
        <w:t>The highest figure in the line of males 45-49 indicates accruing stress factors such as economic instability, long-term illnesses, caretaking, relationship failures and social dislocation. Social pressures, unemployment, housing insecurity and substance misuse also increase the risk for younger men aged 20-34. These trends indicate that male suicide does not just come in when one is young or old; it is closely associated with life changes and social pressures (Howard, 2025).</w:t>
      </w:r>
    </w:p>
    <w:p w14:paraId="53155C5F" w14:textId="77777777" w:rsidR="00956EAE" w:rsidRPr="00222D5F" w:rsidRDefault="00956EAE" w:rsidP="00B642C8">
      <w:pPr>
        <w:spacing w:line="360" w:lineRule="auto"/>
        <w:jc w:val="both"/>
        <w:rPr>
          <w:rFonts w:ascii="Arial" w:hAnsi="Arial" w:cs="Arial"/>
          <w:b/>
          <w:bCs/>
          <w:sz w:val="22"/>
          <w:szCs w:val="22"/>
        </w:rPr>
      </w:pPr>
      <w:r w:rsidRPr="00222D5F">
        <w:rPr>
          <w:rFonts w:ascii="Arial" w:hAnsi="Arial" w:cs="Arial"/>
          <w:b/>
          <w:bCs/>
          <w:sz w:val="22"/>
          <w:szCs w:val="22"/>
        </w:rPr>
        <w:t xml:space="preserve">Distribution in Society and Economy: </w:t>
      </w:r>
    </w:p>
    <w:p w14:paraId="758579F5"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Men in less privileged socioeconomic lives are more affected. Higher risk is associated largely with unemployment, job insecurity, debt, poverty and low educational attainment. These men have diminished access to mental-health care, increased stress, and emotional vulnerability stigma. Further, social isolation, breakdown of marriages, homelessness and engagement with the criminal justice system contribute towards the risk. These social gradients show that material deprivation and mental-health-related outcomes go together and that suicidal outcomes are not only a health inequality but also a social one (Mokhtari and Ahmadi, 2025).</w:t>
      </w:r>
    </w:p>
    <w:p w14:paraId="1CA496DB" w14:textId="77777777" w:rsidR="00956EAE" w:rsidRPr="00863DB2" w:rsidRDefault="00956EAE" w:rsidP="00B642C8">
      <w:pPr>
        <w:pStyle w:val="Heading2"/>
        <w:spacing w:line="360" w:lineRule="auto"/>
        <w:jc w:val="both"/>
        <w:rPr>
          <w:rFonts w:ascii="Arial" w:hAnsi="Arial" w:cs="Arial"/>
          <w:b/>
          <w:bCs/>
          <w:color w:val="000000" w:themeColor="text1"/>
          <w:sz w:val="24"/>
          <w:szCs w:val="24"/>
        </w:rPr>
      </w:pPr>
      <w:bookmarkStart w:id="9" w:name="_Toc216287316"/>
      <w:r w:rsidRPr="00863DB2">
        <w:rPr>
          <w:rFonts w:ascii="Arial" w:hAnsi="Arial" w:cs="Arial"/>
          <w:b/>
          <w:bCs/>
          <w:color w:val="000000" w:themeColor="text1"/>
          <w:sz w:val="24"/>
          <w:szCs w:val="24"/>
        </w:rPr>
        <w:t>Burdened by the Disease</w:t>
      </w:r>
      <w:bookmarkEnd w:id="9"/>
    </w:p>
    <w:p w14:paraId="713C03C8"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Suicide, though it kills instantly and does not transform people into chronic issues, the effect is enormous in the society. Razing a group of working men is tantamount to throwing away a lot of productivity, which disturbs the national economy as well as that in the neighbourhood. The families who are left behind also receive severe psychological trauma, depression, and financial difficulties which may linger on for years and even pass down to succeeding generations (Hardy, 2025). Communities also are impacted by the loss, particularly in small or rural regions where the entire community knows the victim and the overall grief, stigma, and decreased social bonds are challenging. The provision of emergency help also involves expenses of the public-care systems and services, including coroner investigations, mental-health assistance with grief, and further social attention (Unlu, 2025). </w:t>
      </w:r>
    </w:p>
    <w:p w14:paraId="266A00A6" w14:textId="77777777" w:rsidR="00956EAE" w:rsidRPr="00863DB2" w:rsidRDefault="00956EAE" w:rsidP="00B642C8">
      <w:pPr>
        <w:pStyle w:val="Heading2"/>
        <w:spacing w:line="360" w:lineRule="auto"/>
        <w:jc w:val="both"/>
        <w:rPr>
          <w:rFonts w:ascii="Arial" w:hAnsi="Arial" w:cs="Arial"/>
          <w:b/>
          <w:bCs/>
          <w:color w:val="000000" w:themeColor="text1"/>
          <w:sz w:val="24"/>
          <w:szCs w:val="24"/>
        </w:rPr>
      </w:pPr>
      <w:bookmarkStart w:id="10" w:name="_Toc216287317"/>
      <w:r w:rsidRPr="00863DB2">
        <w:rPr>
          <w:rFonts w:ascii="Arial" w:hAnsi="Arial" w:cs="Arial"/>
          <w:b/>
          <w:bCs/>
          <w:color w:val="000000" w:themeColor="text1"/>
          <w:sz w:val="24"/>
          <w:szCs w:val="24"/>
        </w:rPr>
        <w:lastRenderedPageBreak/>
        <w:t>Determinants of Suicide Among Men</w:t>
      </w:r>
      <w:bookmarkEnd w:id="10"/>
    </w:p>
    <w:p w14:paraId="4BA7B6D9"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 following factors are responsible for suicidal thoughts among men. Social Determinants: As one of the strongest predictors of male suicide, socioeconomic hardship is high. Such things as poverty, unemployment, fear of job security, and poor housing subject men to chronic stress, cause them to feel like failures, and isolate them from support systems. Separating from a lover, isolation, and being left alone can only add to that (Kerrie </w:t>
      </w:r>
      <w:r w:rsidRPr="00003916">
        <w:rPr>
          <w:rFonts w:ascii="Arial" w:hAnsi="Arial" w:cs="Arial"/>
          <w:i/>
          <w:iCs/>
          <w:sz w:val="22"/>
          <w:szCs w:val="22"/>
        </w:rPr>
        <w:t>et al</w:t>
      </w:r>
      <w:r w:rsidRPr="0029316A">
        <w:rPr>
          <w:rFonts w:ascii="Arial" w:hAnsi="Arial" w:cs="Arial"/>
          <w:sz w:val="22"/>
          <w:szCs w:val="22"/>
        </w:rPr>
        <w:t>., 2024). In the deprived areas men and women can experience clustered disadvantages – piles of financial strain, health problems and bad things in life accumulate, and thus the risk increases exponentially. Macho notions of society that preach that one is independent and tough and that he/she cannot reveal his or her feelings contribute to the pressure as they push men towards not helping (Morgan and Belenky, 2024).</w:t>
      </w:r>
    </w:p>
    <w:p w14:paraId="7C1E74CD" w14:textId="77777777" w:rsidR="00956EAE" w:rsidRPr="0029316A" w:rsidRDefault="00956EAE" w:rsidP="00B642C8">
      <w:pPr>
        <w:spacing w:line="360" w:lineRule="auto"/>
        <w:jc w:val="both"/>
        <w:rPr>
          <w:rFonts w:ascii="Arial" w:hAnsi="Arial" w:cs="Arial"/>
          <w:sz w:val="22"/>
          <w:szCs w:val="22"/>
        </w:rPr>
      </w:pPr>
      <w:r w:rsidRPr="00003916">
        <w:rPr>
          <w:rFonts w:ascii="Arial" w:hAnsi="Arial" w:cs="Arial"/>
          <w:b/>
          <w:bCs/>
          <w:sz w:val="22"/>
          <w:szCs w:val="22"/>
        </w:rPr>
        <w:t>Cognitive Determinants:</w:t>
      </w:r>
      <w:r w:rsidRPr="0029316A">
        <w:rPr>
          <w:rFonts w:ascii="Arial" w:hAnsi="Arial" w:cs="Arial"/>
          <w:sz w:val="22"/>
          <w:szCs w:val="22"/>
        </w:rPr>
        <w:t xml:space="preserve"> Men tend to be mentally illiterate, have trouble identifying what is wrong, reject their suffering, and possess distorted conceptions of masculinity. It implies that they perceive emotional pain as their personal weakness and seek clinical help in time when it is too late. These habits delay early treatment and result in a lack of commitment to remain on the course (Zhang </w:t>
      </w:r>
      <w:r w:rsidRPr="00003916">
        <w:rPr>
          <w:rFonts w:ascii="Arial" w:hAnsi="Arial" w:cs="Arial"/>
          <w:i/>
          <w:iCs/>
          <w:sz w:val="22"/>
          <w:szCs w:val="22"/>
        </w:rPr>
        <w:t>et al</w:t>
      </w:r>
      <w:r w:rsidRPr="0029316A">
        <w:rPr>
          <w:rFonts w:ascii="Arial" w:hAnsi="Arial" w:cs="Arial"/>
          <w:sz w:val="22"/>
          <w:szCs w:val="22"/>
        </w:rPr>
        <w:t>., 2024).</w:t>
      </w:r>
    </w:p>
    <w:p w14:paraId="3773D1BC" w14:textId="77777777" w:rsidR="00956EAE" w:rsidRPr="0029316A" w:rsidRDefault="00956EAE" w:rsidP="00B642C8">
      <w:pPr>
        <w:spacing w:line="360" w:lineRule="auto"/>
        <w:jc w:val="both"/>
        <w:rPr>
          <w:rFonts w:ascii="Arial" w:hAnsi="Arial" w:cs="Arial"/>
          <w:sz w:val="22"/>
          <w:szCs w:val="22"/>
        </w:rPr>
      </w:pPr>
      <w:r w:rsidRPr="00003916">
        <w:rPr>
          <w:rFonts w:ascii="Arial" w:hAnsi="Arial" w:cs="Arial"/>
          <w:b/>
          <w:bCs/>
          <w:sz w:val="22"/>
          <w:szCs w:val="22"/>
        </w:rPr>
        <w:t>Emotional Determinants:</w:t>
      </w:r>
      <w:r w:rsidRPr="0029316A">
        <w:rPr>
          <w:rFonts w:ascii="Arial" w:hAnsi="Arial" w:cs="Arial"/>
          <w:sz w:val="22"/>
          <w:szCs w:val="22"/>
        </w:rPr>
        <w:t xml:space="preserve"> It is very important to suppress the emotions as per the male mindset. Since their childhood, male gays are trained to suppress feelings, which causes unresolved trauma, addiction to depression, and despair. The interactions of emotion regulation failure in combination with impulsivity and alcohol or drugs may result in suicide. These symptoms are intensified into emotional distress, causing unbearable mental pain (Bennett </w:t>
      </w:r>
      <w:r w:rsidRPr="00003916">
        <w:rPr>
          <w:rFonts w:ascii="Arial" w:hAnsi="Arial" w:cs="Arial"/>
          <w:i/>
          <w:iCs/>
          <w:sz w:val="22"/>
          <w:szCs w:val="22"/>
        </w:rPr>
        <w:t>et al</w:t>
      </w:r>
      <w:r w:rsidRPr="0029316A">
        <w:rPr>
          <w:rFonts w:ascii="Arial" w:hAnsi="Arial" w:cs="Arial"/>
          <w:sz w:val="22"/>
          <w:szCs w:val="22"/>
        </w:rPr>
        <w:t xml:space="preserve">., 2024). </w:t>
      </w:r>
    </w:p>
    <w:p w14:paraId="7141FD79" w14:textId="77777777" w:rsidR="00956EAE" w:rsidRPr="0029316A" w:rsidRDefault="00956EAE" w:rsidP="00B642C8">
      <w:pPr>
        <w:spacing w:line="360" w:lineRule="auto"/>
        <w:jc w:val="both"/>
        <w:rPr>
          <w:rFonts w:ascii="Arial" w:hAnsi="Arial" w:cs="Arial"/>
          <w:sz w:val="22"/>
          <w:szCs w:val="22"/>
        </w:rPr>
      </w:pPr>
      <w:r w:rsidRPr="005331B9">
        <w:rPr>
          <w:rFonts w:ascii="Arial" w:hAnsi="Arial" w:cs="Arial"/>
          <w:b/>
          <w:bCs/>
          <w:sz w:val="22"/>
          <w:szCs w:val="22"/>
        </w:rPr>
        <w:t>Environmental Determinants:</w:t>
      </w:r>
      <w:r w:rsidRPr="0029316A">
        <w:rPr>
          <w:rFonts w:ascii="Arial" w:hAnsi="Arial" w:cs="Arial"/>
          <w:sz w:val="22"/>
          <w:szCs w:val="22"/>
        </w:rPr>
        <w:t xml:space="preserve"> These are structural barriers to early intervention because access to mental-health services becomes limited due to long queues and insufficient community funding sources. The poor and rural locations often lack proper mental-health services. Workplaces are sources of environmental stressors that may increase the impact of chronic stress, like in the work environments, particularly in the male-dominated sectors like construction, manufacturing and transport (Lee </w:t>
      </w:r>
      <w:r w:rsidRPr="005331B9">
        <w:rPr>
          <w:rFonts w:ascii="Arial" w:hAnsi="Arial" w:cs="Arial"/>
          <w:i/>
          <w:iCs/>
          <w:sz w:val="22"/>
          <w:szCs w:val="22"/>
        </w:rPr>
        <w:t>et al</w:t>
      </w:r>
      <w:r w:rsidRPr="0029316A">
        <w:rPr>
          <w:rFonts w:ascii="Arial" w:hAnsi="Arial" w:cs="Arial"/>
          <w:sz w:val="22"/>
          <w:szCs w:val="22"/>
        </w:rPr>
        <w:t xml:space="preserve">., 2024).  </w:t>
      </w:r>
    </w:p>
    <w:p w14:paraId="0BA6058B" w14:textId="77777777" w:rsidR="00956EAE" w:rsidRPr="00863DB2" w:rsidRDefault="00956EAE" w:rsidP="00B642C8">
      <w:pPr>
        <w:pStyle w:val="Heading2"/>
        <w:spacing w:line="360" w:lineRule="auto"/>
        <w:jc w:val="both"/>
        <w:rPr>
          <w:rFonts w:ascii="Arial" w:hAnsi="Arial" w:cs="Arial"/>
          <w:b/>
          <w:bCs/>
          <w:color w:val="000000" w:themeColor="text1"/>
          <w:sz w:val="24"/>
          <w:szCs w:val="24"/>
        </w:rPr>
      </w:pPr>
      <w:bookmarkStart w:id="11" w:name="_Toc216287318"/>
      <w:r w:rsidRPr="00863DB2">
        <w:rPr>
          <w:rFonts w:ascii="Arial" w:hAnsi="Arial" w:cs="Arial"/>
          <w:b/>
          <w:bCs/>
          <w:color w:val="000000" w:themeColor="text1"/>
          <w:sz w:val="24"/>
          <w:szCs w:val="24"/>
        </w:rPr>
        <w:t>Existing Public Health Interventions</w:t>
      </w:r>
      <w:bookmarkEnd w:id="11"/>
      <w:r w:rsidRPr="00863DB2">
        <w:rPr>
          <w:rFonts w:ascii="Arial" w:hAnsi="Arial" w:cs="Arial"/>
          <w:b/>
          <w:bCs/>
          <w:color w:val="000000" w:themeColor="text1"/>
          <w:sz w:val="24"/>
          <w:szCs w:val="24"/>
        </w:rPr>
        <w:t xml:space="preserve"> </w:t>
      </w:r>
    </w:p>
    <w:p w14:paraId="7B2F5F43"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 outreach community programmes seek to target men in non-regulated institutions like sports clubs, barbershops and pubs where the talks about mental health are more likely to arise. Front-line community figures can be trained to recognise distress early by means of mental-health training. Schools and colleges had emotional wellbeing programmes to ensure resilience in young </w:t>
      </w:r>
      <w:r w:rsidRPr="0029316A">
        <w:rPr>
          <w:rFonts w:ascii="Arial" w:hAnsi="Arial" w:cs="Arial"/>
          <w:sz w:val="22"/>
          <w:szCs w:val="22"/>
        </w:rPr>
        <w:lastRenderedPageBreak/>
        <w:t xml:space="preserve">men, and workplaces are creating wellbeing structures and training to be mental health first aid. National awareness campaigns result in reducing instances of stigma, open discussion and help-seeking. Immediate and available support is provided by crisis services and mental-health sites through digital platforms. Suicide-prevention partnerships also organise local authorities to deduce risky information and target potential interventions at high-risk populations with the help of surveillance data (Conroy </w:t>
      </w:r>
      <w:r w:rsidRPr="000C338F">
        <w:rPr>
          <w:rFonts w:ascii="Arial" w:hAnsi="Arial" w:cs="Arial"/>
          <w:i/>
          <w:iCs/>
          <w:sz w:val="22"/>
          <w:szCs w:val="22"/>
        </w:rPr>
        <w:t>et al</w:t>
      </w:r>
      <w:r w:rsidRPr="0029316A">
        <w:rPr>
          <w:rFonts w:ascii="Arial" w:hAnsi="Arial" w:cs="Arial"/>
          <w:sz w:val="22"/>
          <w:szCs w:val="22"/>
        </w:rPr>
        <w:t xml:space="preserve">., 2024).  </w:t>
      </w:r>
    </w:p>
    <w:p w14:paraId="63668F43" w14:textId="77777777" w:rsidR="00956EAE" w:rsidRPr="00F5725D" w:rsidRDefault="00956EAE" w:rsidP="00B642C8">
      <w:pPr>
        <w:pStyle w:val="Heading2"/>
        <w:spacing w:line="360" w:lineRule="auto"/>
        <w:jc w:val="both"/>
        <w:rPr>
          <w:rFonts w:ascii="Arial" w:hAnsi="Arial" w:cs="Arial"/>
          <w:b/>
          <w:bCs/>
          <w:color w:val="000000" w:themeColor="text1"/>
          <w:sz w:val="24"/>
          <w:szCs w:val="24"/>
        </w:rPr>
      </w:pPr>
      <w:bookmarkStart w:id="12" w:name="_Toc216287319"/>
      <w:r w:rsidRPr="00F5725D">
        <w:rPr>
          <w:rFonts w:ascii="Arial" w:hAnsi="Arial" w:cs="Arial"/>
          <w:b/>
          <w:bCs/>
          <w:color w:val="000000" w:themeColor="text1"/>
          <w:sz w:val="24"/>
          <w:szCs w:val="24"/>
        </w:rPr>
        <w:t>Suggested Public Health Actions</w:t>
      </w:r>
      <w:bookmarkEnd w:id="12"/>
    </w:p>
    <w:p w14:paraId="7092FC31" w14:textId="77777777" w:rsidR="00956EAE"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 xml:space="preserve">There is a need to take more thorough measures that are gender sensitive to work through the inequalities that persist to this day. Implementing a men’s health strategy in Australia aimed at preventing suicide explicitly would present a coherent system of tackling male mental health based on sectors. Increased community-based mental health services, especially in deprived and rural areas, would decrease inequalities in access and </w:t>
      </w:r>
      <w:proofErr w:type="spellStart"/>
      <w:r w:rsidRPr="0029316A">
        <w:rPr>
          <w:rFonts w:ascii="Arial" w:hAnsi="Arial" w:cs="Arial"/>
          <w:sz w:val="22"/>
          <w:szCs w:val="22"/>
        </w:rPr>
        <w:t>instill</w:t>
      </w:r>
      <w:proofErr w:type="spellEnd"/>
      <w:r w:rsidRPr="0029316A">
        <w:rPr>
          <w:rFonts w:ascii="Arial" w:hAnsi="Arial" w:cs="Arial"/>
          <w:sz w:val="22"/>
          <w:szCs w:val="22"/>
        </w:rPr>
        <w:t xml:space="preserve"> early intervention. The cultural responsiveness of interventions aimed at men should be male-specific and address the diverse male identities, with models that are informal, peer-led, and activity-based and are accessible to the men. The socioeconomic determinant policies can have more beneficial effects in protection. High-risk workplaces would be improved through strengthening mental health systems in male-dominated workplaces. Improving early treatment services through digitalisation, community involvement and enhanced GP training will identify high-risk persons swiftly to avoid crisis situations (Foulkes </w:t>
      </w:r>
      <w:r w:rsidRPr="00070983">
        <w:rPr>
          <w:rFonts w:ascii="Arial" w:hAnsi="Arial" w:cs="Arial"/>
          <w:i/>
          <w:iCs/>
          <w:sz w:val="22"/>
          <w:szCs w:val="22"/>
        </w:rPr>
        <w:t>et al</w:t>
      </w:r>
      <w:r w:rsidRPr="0029316A">
        <w:rPr>
          <w:rFonts w:ascii="Arial" w:hAnsi="Arial" w:cs="Arial"/>
          <w:sz w:val="22"/>
          <w:szCs w:val="22"/>
        </w:rPr>
        <w:t>., 2024).</w:t>
      </w:r>
    </w:p>
    <w:p w14:paraId="51E1D17F" w14:textId="77777777" w:rsidR="00956EAE" w:rsidRPr="00F5725D" w:rsidRDefault="00956EAE" w:rsidP="00B642C8">
      <w:pPr>
        <w:pStyle w:val="Heading2"/>
        <w:spacing w:line="360" w:lineRule="auto"/>
        <w:rPr>
          <w:rFonts w:ascii="Arial" w:hAnsi="Arial" w:cs="Arial"/>
          <w:b/>
          <w:bCs/>
          <w:color w:val="000000" w:themeColor="text1"/>
          <w:sz w:val="24"/>
          <w:szCs w:val="24"/>
        </w:rPr>
      </w:pPr>
      <w:bookmarkStart w:id="13" w:name="_Toc216287320"/>
      <w:r w:rsidRPr="00F5725D">
        <w:rPr>
          <w:rFonts w:ascii="Arial" w:hAnsi="Arial" w:cs="Arial"/>
          <w:b/>
          <w:bCs/>
          <w:color w:val="000000" w:themeColor="text1"/>
          <w:sz w:val="24"/>
          <w:szCs w:val="24"/>
        </w:rPr>
        <w:t>Conclusion</w:t>
      </w:r>
      <w:bookmarkEnd w:id="13"/>
    </w:p>
    <w:p w14:paraId="5F2ECBFA" w14:textId="4C3F7504" w:rsidR="00DF7DAD" w:rsidRPr="0029316A" w:rsidRDefault="00956EAE" w:rsidP="00B642C8">
      <w:pPr>
        <w:spacing w:line="360" w:lineRule="auto"/>
        <w:jc w:val="both"/>
        <w:rPr>
          <w:rFonts w:ascii="Arial" w:hAnsi="Arial" w:cs="Arial"/>
          <w:sz w:val="22"/>
          <w:szCs w:val="22"/>
        </w:rPr>
      </w:pPr>
      <w:r w:rsidRPr="0029316A">
        <w:rPr>
          <w:rFonts w:ascii="Arial" w:hAnsi="Arial" w:cs="Arial"/>
          <w:sz w:val="22"/>
          <w:szCs w:val="22"/>
        </w:rPr>
        <w:t>Male suicide in England and Wales is a deep local-health issue that is embedded in multifaceted social, economic, emotional and cultural factors. In spite of these efforts, there are still significant weaknesses in the area of service accessibility and gender-sensitive practice, as well as their early intervention. Men’s suicide can be reduced by implementing concerted national leadership, community action and policies that revolve around structural inequalities. An additional focus on prevention, social support and stigma reduction is required if additional premature mortality of men is to be prevented.</w:t>
      </w:r>
    </w:p>
    <w:p w14:paraId="39790B5F" w14:textId="77777777" w:rsidR="00DF7DAD" w:rsidRPr="0029316A" w:rsidRDefault="00DF7DAD" w:rsidP="00B642C8">
      <w:pPr>
        <w:spacing w:line="360" w:lineRule="auto"/>
        <w:jc w:val="both"/>
        <w:rPr>
          <w:rFonts w:ascii="Arial" w:hAnsi="Arial" w:cs="Arial"/>
          <w:sz w:val="22"/>
          <w:szCs w:val="22"/>
        </w:rPr>
      </w:pPr>
      <w:r w:rsidRPr="0029316A">
        <w:rPr>
          <w:rFonts w:ascii="Arial" w:hAnsi="Arial" w:cs="Arial"/>
          <w:sz w:val="22"/>
          <w:szCs w:val="22"/>
        </w:rPr>
        <w:br w:type="page"/>
      </w:r>
    </w:p>
    <w:p w14:paraId="0642D058" w14:textId="623C403E" w:rsidR="00956EAE" w:rsidRPr="000E7217" w:rsidRDefault="00DF7DAD" w:rsidP="00B642C8">
      <w:pPr>
        <w:pStyle w:val="Heading1"/>
        <w:spacing w:line="360" w:lineRule="auto"/>
        <w:rPr>
          <w:rFonts w:ascii="Arial" w:hAnsi="Arial" w:cs="Arial"/>
          <w:b/>
          <w:bCs/>
          <w:sz w:val="28"/>
          <w:szCs w:val="28"/>
        </w:rPr>
      </w:pPr>
      <w:bookmarkStart w:id="14" w:name="_Toc216287321"/>
      <w:r w:rsidRPr="000E7217">
        <w:rPr>
          <w:rFonts w:ascii="Arial" w:hAnsi="Arial" w:cs="Arial"/>
          <w:b/>
          <w:bCs/>
          <w:color w:val="000000" w:themeColor="text1"/>
          <w:sz w:val="28"/>
          <w:szCs w:val="28"/>
        </w:rPr>
        <w:lastRenderedPageBreak/>
        <w:t>References</w:t>
      </w:r>
      <w:bookmarkEnd w:id="14"/>
      <w:r w:rsidRPr="000E7217">
        <w:rPr>
          <w:rFonts w:ascii="Arial" w:hAnsi="Arial" w:cs="Arial"/>
          <w:b/>
          <w:bCs/>
          <w:sz w:val="28"/>
          <w:szCs w:val="28"/>
        </w:rPr>
        <w:t xml:space="preserve"> </w:t>
      </w:r>
    </w:p>
    <w:p w14:paraId="0D8E91EE"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Bennett, S., Robb, K.A., Andoh-Arthur, J., Chandler, A., Cleary, A., King, K., </w:t>
      </w:r>
      <w:proofErr w:type="spellStart"/>
      <w:r w:rsidRPr="00F72C44">
        <w:rPr>
          <w:rFonts w:ascii="Arial" w:hAnsi="Arial" w:cs="Arial"/>
          <w:sz w:val="22"/>
          <w:szCs w:val="22"/>
        </w:rPr>
        <w:t>Oliffe</w:t>
      </w:r>
      <w:proofErr w:type="spellEnd"/>
      <w:r w:rsidRPr="00F72C44">
        <w:rPr>
          <w:rFonts w:ascii="Arial" w:hAnsi="Arial" w:cs="Arial"/>
          <w:sz w:val="22"/>
          <w:szCs w:val="22"/>
        </w:rPr>
        <w:t xml:space="preserve">, J., Rice, S., Scourfield, J., Seager, M. And Seidler, Z., 2024. Establishing research priorities for investigating male suicide risk and recovery: A modified Delphi study with lived-experience experts. Psychology of Men &amp; Masculinities, 25(1), p.85. </w:t>
      </w:r>
      <w:hyperlink r:id="rId8" w:history="1">
        <w:r w:rsidRPr="00F72C44">
          <w:rPr>
            <w:rStyle w:val="Hyperlink"/>
            <w:rFonts w:ascii="Arial" w:hAnsi="Arial" w:cs="Arial"/>
            <w:sz w:val="22"/>
            <w:szCs w:val="22"/>
          </w:rPr>
          <w:t>https://eprints.gla.ac.uk/303817/5/303817.pdf</w:t>
        </w:r>
      </w:hyperlink>
    </w:p>
    <w:p w14:paraId="31811341"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Blanchflower, D.G., Bryson, A. And Bell, D.N., 2024. The Declining Mental Health of the Young in the UK (No. W32879). National Bureau of Economic Research. </w:t>
      </w:r>
      <w:hyperlink r:id="rId9" w:history="1">
        <w:r w:rsidRPr="00F72C44">
          <w:rPr>
            <w:rStyle w:val="Hyperlink"/>
            <w:rFonts w:ascii="Arial" w:hAnsi="Arial" w:cs="Arial"/>
            <w:sz w:val="22"/>
            <w:szCs w:val="22"/>
          </w:rPr>
          <w:t>https://www.nber.org/system/files/working_papers/w32879/w32879.pdf</w:t>
        </w:r>
      </w:hyperlink>
    </w:p>
    <w:p w14:paraId="3FCC7C81"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Case, A. And </w:t>
      </w:r>
      <w:proofErr w:type="spellStart"/>
      <w:r w:rsidRPr="00F72C44">
        <w:rPr>
          <w:rFonts w:ascii="Arial" w:hAnsi="Arial" w:cs="Arial"/>
          <w:sz w:val="22"/>
          <w:szCs w:val="22"/>
        </w:rPr>
        <w:t>Kraftman</w:t>
      </w:r>
      <w:proofErr w:type="spellEnd"/>
      <w:r w:rsidRPr="00F72C44">
        <w:rPr>
          <w:rFonts w:ascii="Arial" w:hAnsi="Arial" w:cs="Arial"/>
          <w:sz w:val="22"/>
          <w:szCs w:val="22"/>
        </w:rPr>
        <w:t xml:space="preserve">, L., 2024. Health inequalities. Oxford Open Economics, 3(Supplement_1), </w:t>
      </w:r>
      <w:proofErr w:type="gramStart"/>
      <w:r w:rsidRPr="00F72C44">
        <w:rPr>
          <w:rFonts w:ascii="Arial" w:hAnsi="Arial" w:cs="Arial"/>
          <w:sz w:val="22"/>
          <w:szCs w:val="22"/>
        </w:rPr>
        <w:t>pp.i</w:t>
      </w:r>
      <w:proofErr w:type="gramEnd"/>
      <w:r w:rsidRPr="00F72C44">
        <w:rPr>
          <w:rFonts w:ascii="Arial" w:hAnsi="Arial" w:cs="Arial"/>
          <w:sz w:val="22"/>
          <w:szCs w:val="22"/>
        </w:rPr>
        <w:t xml:space="preserve">499-i528. </w:t>
      </w:r>
      <w:hyperlink r:id="rId10" w:history="1">
        <w:r w:rsidRPr="00F72C44">
          <w:rPr>
            <w:rStyle w:val="Hyperlink"/>
            <w:rFonts w:ascii="Arial" w:hAnsi="Arial" w:cs="Arial"/>
            <w:sz w:val="22"/>
            <w:szCs w:val="22"/>
          </w:rPr>
          <w:t>https://academic.oup.com/ooec/article-pdf/3/Supplement_1/i499/58618494/odad060.pdf</w:t>
        </w:r>
      </w:hyperlink>
    </w:p>
    <w:p w14:paraId="22D13D2D"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Conroy, E., Willmott, D., Murphy, A. And </w:t>
      </w:r>
      <w:proofErr w:type="spellStart"/>
      <w:r w:rsidRPr="00F72C44">
        <w:rPr>
          <w:rFonts w:ascii="Arial" w:hAnsi="Arial" w:cs="Arial"/>
          <w:sz w:val="22"/>
          <w:szCs w:val="22"/>
        </w:rPr>
        <w:t>Widanaralalage</w:t>
      </w:r>
      <w:proofErr w:type="spellEnd"/>
      <w:r w:rsidRPr="00F72C44">
        <w:rPr>
          <w:rFonts w:ascii="Arial" w:hAnsi="Arial" w:cs="Arial"/>
          <w:sz w:val="22"/>
          <w:szCs w:val="22"/>
        </w:rPr>
        <w:t xml:space="preserve">, B.K., 2024. Does perpetrator gender influence attitudes towards intimate partner violence (IPV)? Examining the relationship between male-perpetrated and female-perpetrated IPV attitudes among a sample of UK young adults. Mental Health and Social Inclusion, 28(5), pp.617-627. </w:t>
      </w:r>
      <w:hyperlink r:id="rId11" w:history="1">
        <w:r w:rsidRPr="00F72C44">
          <w:rPr>
            <w:rStyle w:val="Hyperlink"/>
            <w:rFonts w:ascii="Arial" w:hAnsi="Arial" w:cs="Arial"/>
            <w:sz w:val="22"/>
            <w:szCs w:val="22"/>
          </w:rPr>
          <w:t>https://research.birmingham.ac.uk/files/196749893/Conroy_et_al_In_Press_IPV_Attitudes_accepted_17.05.23_.pdf</w:t>
        </w:r>
      </w:hyperlink>
    </w:p>
    <w:p w14:paraId="5024B8CB"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Crisp, N., </w:t>
      </w:r>
      <w:proofErr w:type="spellStart"/>
      <w:r w:rsidRPr="00F72C44">
        <w:rPr>
          <w:rFonts w:ascii="Arial" w:hAnsi="Arial" w:cs="Arial"/>
          <w:sz w:val="22"/>
          <w:szCs w:val="22"/>
        </w:rPr>
        <w:t>Bamrah</w:t>
      </w:r>
      <w:proofErr w:type="spellEnd"/>
      <w:r w:rsidRPr="00F72C44">
        <w:rPr>
          <w:rFonts w:ascii="Arial" w:hAnsi="Arial" w:cs="Arial"/>
          <w:sz w:val="22"/>
          <w:szCs w:val="22"/>
        </w:rPr>
        <w:t xml:space="preserve">, J.S., Morley, J., Augst, C. And Patel, K., 2024. The NHS founding principles are still appropriate today and provide a strong foundation for the future. </w:t>
      </w:r>
      <w:proofErr w:type="spellStart"/>
      <w:r w:rsidRPr="00F72C44">
        <w:rPr>
          <w:rFonts w:ascii="Arial" w:hAnsi="Arial" w:cs="Arial"/>
          <w:sz w:val="22"/>
          <w:szCs w:val="22"/>
        </w:rPr>
        <w:t>Bmj</w:t>
      </w:r>
      <w:proofErr w:type="spellEnd"/>
      <w:r w:rsidRPr="00F72C44">
        <w:rPr>
          <w:rFonts w:ascii="Arial" w:hAnsi="Arial" w:cs="Arial"/>
          <w:sz w:val="22"/>
          <w:szCs w:val="22"/>
        </w:rPr>
        <w:t xml:space="preserve">, 384. </w:t>
      </w:r>
      <w:hyperlink r:id="rId12" w:history="1">
        <w:r w:rsidRPr="00F72C44">
          <w:rPr>
            <w:rStyle w:val="Hyperlink"/>
            <w:rFonts w:ascii="Arial" w:hAnsi="Arial" w:cs="Arial"/>
            <w:sz w:val="22"/>
            <w:szCs w:val="22"/>
          </w:rPr>
          <w:t>https://www.researchgate.net/profile/Js-Bamrah/publication/377842131_The_NHS_founding_principles_are_still_appropriate_today_and_provide_a_strong_foundation_for_the_future/links/65bb707b7900745497532964/The-NHS-founding-principles-are-still-appropriate-today-and-provide-a-strong-foundation-for-the-future.pdf</w:t>
        </w:r>
      </w:hyperlink>
    </w:p>
    <w:p w14:paraId="2BD22E98" w14:textId="77777777" w:rsidR="00F72C44" w:rsidRPr="00FB3DB8"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Foulkes, L., Andrews, J.L., Reardon, T. And </w:t>
      </w:r>
      <w:proofErr w:type="spellStart"/>
      <w:r w:rsidRPr="00F72C44">
        <w:rPr>
          <w:rFonts w:ascii="Arial" w:hAnsi="Arial" w:cs="Arial"/>
          <w:sz w:val="22"/>
          <w:szCs w:val="22"/>
        </w:rPr>
        <w:t>Stringaris</w:t>
      </w:r>
      <w:proofErr w:type="spellEnd"/>
      <w:r w:rsidRPr="00F72C44">
        <w:rPr>
          <w:rFonts w:ascii="Arial" w:hAnsi="Arial" w:cs="Arial"/>
          <w:sz w:val="22"/>
          <w:szCs w:val="22"/>
        </w:rPr>
        <w:t xml:space="preserve">, A., 2024. Research recommendations for assessing potential harm from universal school-based mental health interventions. Nature Mental Health, 2(3), pp.270-277. </w:t>
      </w:r>
      <w:hyperlink r:id="rId13" w:history="1">
        <w:r w:rsidRPr="00F72C44">
          <w:rPr>
            <w:rStyle w:val="Hyperlink"/>
            <w:rFonts w:ascii="Arial" w:hAnsi="Arial" w:cs="Arial"/>
            <w:sz w:val="22"/>
            <w:szCs w:val="22"/>
          </w:rPr>
          <w:t>https://ora.ox.ac.uk/objects/uuid:23221796-744f-4050-9261-7f04d3292c32/files/rvd66w089z</w:t>
        </w:r>
      </w:hyperlink>
    </w:p>
    <w:p w14:paraId="395257CF"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GOV. UK. (2025). Government unveils England’s first ever Men’s Health Strategy. [online] GOV.UK. Available at: </w:t>
      </w:r>
      <w:hyperlink r:id="rId14" w:history="1">
        <w:r w:rsidRPr="00F72C44">
          <w:rPr>
            <w:rStyle w:val="Hyperlink"/>
            <w:rFonts w:ascii="Arial" w:hAnsi="Arial" w:cs="Arial"/>
            <w:sz w:val="22"/>
            <w:szCs w:val="22"/>
          </w:rPr>
          <w:t>https://www.gov.uk/government/news/government-unveils-englands-first-ever-mens-health-strategy</w:t>
        </w:r>
      </w:hyperlink>
      <w:r w:rsidRPr="00F72C44">
        <w:rPr>
          <w:rFonts w:ascii="Arial" w:hAnsi="Arial" w:cs="Arial"/>
          <w:sz w:val="22"/>
          <w:szCs w:val="22"/>
        </w:rPr>
        <w:t>. [Accessed 10 Dec. 2025].</w:t>
      </w:r>
    </w:p>
    <w:p w14:paraId="26FF6AD4"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lastRenderedPageBreak/>
        <w:t xml:space="preserve">Hardy, J., 2025. Why men? Examining the effect of masculinity on suicidality, considering key moderators of vulnerability. </w:t>
      </w:r>
      <w:hyperlink r:id="rId15" w:history="1">
        <w:r w:rsidRPr="00F72C44">
          <w:rPr>
            <w:rStyle w:val="Hyperlink"/>
            <w:rFonts w:ascii="Arial" w:hAnsi="Arial" w:cs="Arial"/>
            <w:sz w:val="22"/>
            <w:szCs w:val="22"/>
          </w:rPr>
          <w:t>https://wlv.openrepository.com/bitstreams/9078b01e-bff9-46af-89a3-c0a1afa6bd30/download</w:t>
        </w:r>
      </w:hyperlink>
    </w:p>
    <w:p w14:paraId="2FB21D8F"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Howard, A.C., 2025. It’s how you look in your mate’s eyes: a systematic review and thematic analysis exploring UK men’s experiences of mental health and help seeking. </w:t>
      </w:r>
      <w:hyperlink r:id="rId16" w:history="1">
        <w:r w:rsidRPr="00F72C44">
          <w:rPr>
            <w:rStyle w:val="Hyperlink"/>
            <w:rFonts w:ascii="Arial" w:hAnsi="Arial" w:cs="Arial"/>
            <w:sz w:val="22"/>
            <w:szCs w:val="22"/>
          </w:rPr>
          <w:t>https://ueaeprints.uea.ac.uk/id/eprint/100779/1/2025HowardAClinPsyD_Thesis.pdf</w:t>
        </w:r>
      </w:hyperlink>
    </w:p>
    <w:p w14:paraId="5F24C8EB"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Jeffrey, G., 2025. Barriers to women in accessing healthcare in the UK–a review. LSE Public Policy Review, 3(4). </w:t>
      </w:r>
      <w:hyperlink r:id="rId17" w:history="1">
        <w:r w:rsidRPr="00F72C44">
          <w:rPr>
            <w:rStyle w:val="Hyperlink"/>
            <w:rFonts w:ascii="Arial" w:hAnsi="Arial" w:cs="Arial"/>
            <w:sz w:val="22"/>
            <w:szCs w:val="22"/>
          </w:rPr>
          <w:t>https://eprints.lse.ac.uk/127647/1/67d423f88d53c.pdf</w:t>
        </w:r>
      </w:hyperlink>
    </w:p>
    <w:p w14:paraId="213CD4A3"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Kerrie, G., Grace, P., Paul, C., Stephen, P., Heather, M., Michelle, O.D. and Eve, G., 2024. The social determinants of suicide: an umbrella review. </w:t>
      </w:r>
      <w:proofErr w:type="spellStart"/>
      <w:r w:rsidRPr="00F72C44">
        <w:rPr>
          <w:rFonts w:ascii="Arial" w:hAnsi="Arial" w:cs="Arial"/>
          <w:sz w:val="22"/>
          <w:szCs w:val="22"/>
        </w:rPr>
        <w:t>medRxiv</w:t>
      </w:r>
      <w:proofErr w:type="spellEnd"/>
      <w:r w:rsidRPr="00F72C44">
        <w:rPr>
          <w:rFonts w:ascii="Arial" w:hAnsi="Arial" w:cs="Arial"/>
          <w:sz w:val="22"/>
          <w:szCs w:val="22"/>
        </w:rPr>
        <w:t xml:space="preserve">, pp.2024-08. </w:t>
      </w:r>
      <w:hyperlink r:id="rId18" w:history="1">
        <w:r w:rsidRPr="00F72C44">
          <w:rPr>
            <w:rStyle w:val="Hyperlink"/>
            <w:rFonts w:ascii="Arial" w:hAnsi="Arial" w:cs="Arial"/>
            <w:sz w:val="22"/>
            <w:szCs w:val="22"/>
          </w:rPr>
          <w:t>https://www.medrxiv.org/content/medrxiv/early/2024/08/12/2024.08.09.24311718.full.pdf</w:t>
        </w:r>
      </w:hyperlink>
    </w:p>
    <w:p w14:paraId="35B62EF5"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Lee, W., Kang, C., Park, C., Bell, M.L., Armstrong, B., Roye, D., Hashizume, M., Gasparrini, A., Tobias, A., Sera, F. And Honda, Y., 2024. Association of holidays and the day of the week with suicide risk: multicounty, two stage, time series study. </w:t>
      </w:r>
      <w:proofErr w:type="spellStart"/>
      <w:r w:rsidRPr="00F72C44">
        <w:rPr>
          <w:rFonts w:ascii="Arial" w:hAnsi="Arial" w:cs="Arial"/>
          <w:sz w:val="22"/>
          <w:szCs w:val="22"/>
        </w:rPr>
        <w:t>Bmj</w:t>
      </w:r>
      <w:proofErr w:type="spellEnd"/>
      <w:r w:rsidRPr="00F72C44">
        <w:rPr>
          <w:rFonts w:ascii="Arial" w:hAnsi="Arial" w:cs="Arial"/>
          <w:sz w:val="22"/>
          <w:szCs w:val="22"/>
        </w:rPr>
        <w:t xml:space="preserve">, 387. </w:t>
      </w:r>
      <w:hyperlink r:id="rId19" w:history="1">
        <w:r w:rsidRPr="00F72C44">
          <w:rPr>
            <w:rStyle w:val="Hyperlink"/>
            <w:rFonts w:ascii="Arial" w:hAnsi="Arial" w:cs="Arial"/>
            <w:sz w:val="22"/>
            <w:szCs w:val="22"/>
          </w:rPr>
          <w:t>https://www.bmj.com/content/bmj/387/bmj-2024-077262.full.pdf</w:t>
        </w:r>
      </w:hyperlink>
    </w:p>
    <w:p w14:paraId="29343A42"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MacInnes, P., Calcia, M.A., Martinuzzi, M., Griffin, C., Oram, S. And Howard, L.M., 2024. Patterns of mental health service use among perpetrators of domestic homicide: descriptive study of Domestic Homicide Reviews in England and Wales. </w:t>
      </w:r>
      <w:proofErr w:type="spellStart"/>
      <w:r w:rsidRPr="00F72C44">
        <w:rPr>
          <w:rFonts w:ascii="Arial" w:hAnsi="Arial" w:cs="Arial"/>
          <w:sz w:val="22"/>
          <w:szCs w:val="22"/>
        </w:rPr>
        <w:t>BJPsych</w:t>
      </w:r>
      <w:proofErr w:type="spellEnd"/>
      <w:r w:rsidRPr="00F72C44">
        <w:rPr>
          <w:rFonts w:ascii="Arial" w:hAnsi="Arial" w:cs="Arial"/>
          <w:sz w:val="22"/>
          <w:szCs w:val="22"/>
        </w:rPr>
        <w:t xml:space="preserve"> bulletin, 48(6), pp.341-349. </w:t>
      </w:r>
      <w:hyperlink r:id="rId20" w:history="1">
        <w:r w:rsidRPr="00F72C44">
          <w:rPr>
            <w:rStyle w:val="Hyperlink"/>
            <w:rFonts w:ascii="Arial" w:hAnsi="Arial" w:cs="Arial"/>
            <w:sz w:val="22"/>
            <w:szCs w:val="22"/>
          </w:rPr>
          <w:t>https://www.cambridge.org/core/services/aop-cambridge-core/content/view/EB674FC496E277A9E34C84831A17A2FD/S2056469423000918a.pdf/patterns_of_mental_health_service_use_among_perpetrator’_of_domestic_homicide_descriptive_study_of_domestic_homicide_reviews_in_england_and_wales.pdf</w:t>
        </w:r>
      </w:hyperlink>
    </w:p>
    <w:p w14:paraId="53ABB3DE"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MIND (2023). Mind, the mental health charity – help for mental health problems. [online] Mind. Available at: </w:t>
      </w:r>
      <w:hyperlink r:id="rId21" w:history="1">
        <w:r w:rsidRPr="00F72C44">
          <w:rPr>
            <w:rStyle w:val="Hyperlink"/>
            <w:rFonts w:ascii="Arial" w:hAnsi="Arial" w:cs="Arial"/>
            <w:sz w:val="22"/>
            <w:szCs w:val="22"/>
          </w:rPr>
          <w:t>https://www.mind.org.uk/</w:t>
        </w:r>
      </w:hyperlink>
      <w:r w:rsidRPr="00F72C44">
        <w:rPr>
          <w:rFonts w:ascii="Arial" w:hAnsi="Arial" w:cs="Arial"/>
          <w:sz w:val="22"/>
          <w:szCs w:val="22"/>
        </w:rPr>
        <w:t>. [Accessed 10 Dec. 2025].</w:t>
      </w:r>
    </w:p>
    <w:p w14:paraId="7D2026D5"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Mokhtari, M. And Ahmadi, S., 2025. Macro Socioeconomic Determinants of Suicide in Iran: A Time Series Study during 1991-2023. Iranian Journal of Public Health. </w:t>
      </w:r>
      <w:hyperlink r:id="rId22" w:history="1">
        <w:r w:rsidRPr="00F72C44">
          <w:rPr>
            <w:rStyle w:val="Hyperlink"/>
            <w:rFonts w:ascii="Arial" w:hAnsi="Arial" w:cs="Arial"/>
            <w:sz w:val="22"/>
            <w:szCs w:val="22"/>
          </w:rPr>
          <w:t>https://publish.kne-publishing.com/index.php/ijph/article/download/19587/18290</w:t>
        </w:r>
      </w:hyperlink>
    </w:p>
    <w:p w14:paraId="557EBBC1"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Morgan, J. And Belenky, N., 2024. Exploring health inequalities in Gypsy and Traveller communities in the UK. Nursing Standard, 39(8). </w:t>
      </w:r>
      <w:hyperlink r:id="rId23" w:history="1">
        <w:r w:rsidRPr="00F72C44">
          <w:rPr>
            <w:rStyle w:val="Hyperlink"/>
            <w:rFonts w:ascii="Arial" w:hAnsi="Arial" w:cs="Arial"/>
            <w:sz w:val="22"/>
            <w:szCs w:val="22"/>
          </w:rPr>
          <w:t>http://gala.gre.ac.uk/id/eprint/47574/13/47574%20MORGAN_Exploring_health_inequalities_in_Gypsy_and_Traveller_communities_in_the_UK_%28AAM%29_2024.pdf</w:t>
        </w:r>
      </w:hyperlink>
    </w:p>
    <w:p w14:paraId="79F5B70C"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lastRenderedPageBreak/>
        <w:t xml:space="preserve">OECD. (2025). Which diseases affect men and women differently – and why </w:t>
      </w:r>
      <w:proofErr w:type="gramStart"/>
      <w:r w:rsidRPr="00F72C44">
        <w:rPr>
          <w:rFonts w:ascii="Arial" w:hAnsi="Arial" w:cs="Arial"/>
          <w:sz w:val="22"/>
          <w:szCs w:val="22"/>
        </w:rPr>
        <w:t>this matters</w:t>
      </w:r>
      <w:proofErr w:type="gramEnd"/>
      <w:r w:rsidRPr="00F72C44">
        <w:rPr>
          <w:rFonts w:ascii="Arial" w:hAnsi="Arial" w:cs="Arial"/>
          <w:sz w:val="22"/>
          <w:szCs w:val="22"/>
        </w:rPr>
        <w:t xml:space="preserve">: Health at a Glance 2025. [online] Available at: </w:t>
      </w:r>
      <w:hyperlink r:id="rId24" w:history="1">
        <w:r w:rsidRPr="00F72C44">
          <w:rPr>
            <w:rStyle w:val="Hyperlink"/>
            <w:rFonts w:ascii="Arial" w:hAnsi="Arial" w:cs="Arial"/>
            <w:sz w:val="22"/>
            <w:szCs w:val="22"/>
          </w:rPr>
          <w:t>https://www.oecd.org/en/publications/2025/11/health-at-a-glance-2025_a894f72e/full-report/which-diseases-affect-men-and-women-differently-and-why-this-matters_c7602de9.html</w:t>
        </w:r>
      </w:hyperlink>
      <w:r w:rsidRPr="00F72C44">
        <w:rPr>
          <w:rFonts w:ascii="Arial" w:hAnsi="Arial" w:cs="Arial"/>
          <w:sz w:val="22"/>
          <w:szCs w:val="22"/>
        </w:rPr>
        <w:t>. [Accessed 10 Dec. 2025].</w:t>
      </w:r>
    </w:p>
    <w:p w14:paraId="627C42B1"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Price, T.J., 2025. “The industry died… the towns went right down”: Structural Violence and Deaths of Despair in North East England (Doctoral dissertation, Newcastle University). </w:t>
      </w:r>
      <w:hyperlink r:id="rId25" w:history="1">
        <w:r w:rsidRPr="00F72C44">
          <w:rPr>
            <w:rStyle w:val="Hyperlink"/>
            <w:rFonts w:ascii="Arial" w:hAnsi="Arial" w:cs="Arial"/>
            <w:sz w:val="22"/>
            <w:szCs w:val="22"/>
          </w:rPr>
          <w:t>http://theses.ncl.ac.uk/jspui/bitstream/10443/6569/1/PriceTJ2025.pdf</w:t>
        </w:r>
      </w:hyperlink>
    </w:p>
    <w:p w14:paraId="5417598A"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Public Health Wales. (2024). A-Z of Services. [online] Available at: </w:t>
      </w:r>
      <w:hyperlink r:id="rId26" w:history="1">
        <w:r w:rsidRPr="00F72C44">
          <w:rPr>
            <w:rStyle w:val="Hyperlink"/>
            <w:rFonts w:ascii="Arial" w:hAnsi="Arial" w:cs="Arial"/>
            <w:sz w:val="22"/>
            <w:szCs w:val="22"/>
          </w:rPr>
          <w:t>https://phw.nhs.wales/services-and-teams/real-time-suspected-suicide-surveillance/annual-report-deaths-by-suspected-suicide-2023-24/</w:t>
        </w:r>
      </w:hyperlink>
      <w:r w:rsidRPr="00F72C44">
        <w:rPr>
          <w:rFonts w:ascii="Arial" w:hAnsi="Arial" w:cs="Arial"/>
          <w:sz w:val="22"/>
          <w:szCs w:val="22"/>
        </w:rPr>
        <w:t>. [Accessed 10 Dec. 2025].</w:t>
      </w:r>
    </w:p>
    <w:p w14:paraId="1ED2E9C9"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Snowdon, J., 2025. Hidden suicides: focus on England and Wales–comparison with other nations. The British Journal of Psychiatry, pp.1-5. </w:t>
      </w:r>
      <w:hyperlink r:id="rId27" w:history="1">
        <w:r w:rsidRPr="00F72C44">
          <w:rPr>
            <w:rStyle w:val="Hyperlink"/>
            <w:rFonts w:ascii="Arial" w:hAnsi="Arial" w:cs="Arial"/>
            <w:sz w:val="22"/>
            <w:szCs w:val="22"/>
          </w:rPr>
          <w:t>https://www.cambridge.org/core/services/aop-cambridge-core/content/view/394C71FF7255ABDAA469FE3FB4D910A1/S0007125025000200a.pdf/div-class-title-hidden-suicides-focus-on-england-and-wales-comparison-with-other-nations-div.pdf</w:t>
        </w:r>
      </w:hyperlink>
    </w:p>
    <w:p w14:paraId="1C5F9804"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The King’s Fund (2024). The King’s Fund. [online] The King’s Fund. Available at: </w:t>
      </w:r>
      <w:hyperlink r:id="rId28" w:history="1">
        <w:r w:rsidRPr="00F72C44">
          <w:rPr>
            <w:rStyle w:val="Hyperlink"/>
            <w:rFonts w:ascii="Arial" w:hAnsi="Arial" w:cs="Arial"/>
            <w:sz w:val="22"/>
            <w:szCs w:val="22"/>
          </w:rPr>
          <w:t>https://www.kingsfund.org.uk/</w:t>
        </w:r>
      </w:hyperlink>
      <w:r w:rsidRPr="00F72C44">
        <w:rPr>
          <w:rFonts w:ascii="Arial" w:hAnsi="Arial" w:cs="Arial"/>
          <w:sz w:val="22"/>
          <w:szCs w:val="22"/>
        </w:rPr>
        <w:t>. [Accessed 10 Dec. 2025].</w:t>
      </w:r>
    </w:p>
    <w:p w14:paraId="1A579CAF"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Unlu, E., 2025. Towards an enhanced understanding of suicide risk through the lens of the Integrated Motivational-Volitional (IMV) Model of Suicide (Doctoral dissertation, University of Glasgow). </w:t>
      </w:r>
      <w:hyperlink r:id="rId29" w:history="1">
        <w:r w:rsidRPr="00F72C44">
          <w:rPr>
            <w:rStyle w:val="Hyperlink"/>
            <w:rFonts w:ascii="Arial" w:hAnsi="Arial" w:cs="Arial"/>
            <w:sz w:val="22"/>
            <w:szCs w:val="22"/>
          </w:rPr>
          <w:t>https://theses.gla.ac.uk/85633/3/2025UnluPhD.pdf</w:t>
        </w:r>
      </w:hyperlink>
    </w:p>
    <w:p w14:paraId="2E22A723" w14:textId="77777777" w:rsidR="00F72C44" w:rsidRPr="00F72C44" w:rsidRDefault="00F72C44" w:rsidP="00B642C8">
      <w:pPr>
        <w:spacing w:line="360" w:lineRule="auto"/>
        <w:jc w:val="both"/>
        <w:rPr>
          <w:rFonts w:ascii="Arial" w:hAnsi="Arial" w:cs="Arial"/>
          <w:sz w:val="22"/>
          <w:szCs w:val="22"/>
        </w:rPr>
      </w:pPr>
      <w:r w:rsidRPr="00F72C44">
        <w:rPr>
          <w:rFonts w:ascii="Arial" w:hAnsi="Arial" w:cs="Arial"/>
          <w:sz w:val="22"/>
          <w:szCs w:val="22"/>
        </w:rPr>
        <w:t xml:space="preserve">Zhang, B., You, J., Rolls, E.T., Wang, X., Kang, J., Li, Y., Zhang, R., Zhang, W., Wang, H., Xiang, S. And Shen, C., 2024. Identifying behaviour-related and physiological risk factors for suicide attempts in the UK Biobank. Nature human behaviour, 8(9), pp.1784-1797. </w:t>
      </w:r>
      <w:hyperlink r:id="rId30" w:history="1">
        <w:r w:rsidRPr="00F72C44">
          <w:rPr>
            <w:rStyle w:val="Hyperlink"/>
            <w:rFonts w:ascii="Arial" w:hAnsi="Arial" w:cs="Arial"/>
            <w:sz w:val="22"/>
            <w:szCs w:val="22"/>
          </w:rPr>
          <w:t>https://www.oxcns.org/papers/683%20Zhang%20You%20Rolls%20et%20al%202024%20Risk%20factors%20for%20suicide.pdf</w:t>
        </w:r>
      </w:hyperlink>
    </w:p>
    <w:p w14:paraId="001FD422" w14:textId="77777777" w:rsidR="00BB71C9" w:rsidRPr="00FB3DB8" w:rsidRDefault="00BB71C9" w:rsidP="00B642C8">
      <w:pPr>
        <w:spacing w:line="360" w:lineRule="auto"/>
        <w:jc w:val="both"/>
        <w:rPr>
          <w:rFonts w:ascii="Arial" w:hAnsi="Arial" w:cs="Arial"/>
          <w:sz w:val="22"/>
          <w:szCs w:val="22"/>
        </w:rPr>
      </w:pPr>
    </w:p>
    <w:p w14:paraId="0DFD9205" w14:textId="77777777" w:rsidR="00BB71C9" w:rsidRPr="00FB3DB8" w:rsidRDefault="00BB71C9" w:rsidP="00B642C8">
      <w:pPr>
        <w:spacing w:line="360" w:lineRule="auto"/>
        <w:jc w:val="both"/>
        <w:rPr>
          <w:rFonts w:ascii="Arial" w:hAnsi="Arial" w:cs="Arial"/>
          <w:sz w:val="22"/>
          <w:szCs w:val="22"/>
        </w:rPr>
      </w:pPr>
    </w:p>
    <w:p w14:paraId="41C2E9E6" w14:textId="77777777" w:rsidR="00A23E5A" w:rsidRPr="00FB3DB8" w:rsidRDefault="00A23E5A" w:rsidP="00B642C8">
      <w:pPr>
        <w:spacing w:line="360" w:lineRule="auto"/>
        <w:jc w:val="both"/>
        <w:rPr>
          <w:rFonts w:ascii="Arial" w:hAnsi="Arial" w:cs="Arial"/>
          <w:sz w:val="22"/>
          <w:szCs w:val="22"/>
        </w:rPr>
      </w:pPr>
    </w:p>
    <w:p w14:paraId="0434587C" w14:textId="77777777" w:rsidR="00956EAE" w:rsidRPr="00FB3DB8" w:rsidRDefault="00956EAE" w:rsidP="00B642C8">
      <w:pPr>
        <w:spacing w:line="360" w:lineRule="auto"/>
        <w:jc w:val="both"/>
        <w:rPr>
          <w:rFonts w:ascii="Arial" w:hAnsi="Arial" w:cs="Arial"/>
          <w:sz w:val="22"/>
          <w:szCs w:val="22"/>
        </w:rPr>
      </w:pPr>
    </w:p>
    <w:p w14:paraId="4E7780A7" w14:textId="77777777" w:rsidR="00956EAE" w:rsidRPr="00FB3DB8" w:rsidRDefault="00956EAE" w:rsidP="00B642C8">
      <w:pPr>
        <w:spacing w:line="360" w:lineRule="auto"/>
        <w:jc w:val="both"/>
        <w:rPr>
          <w:rFonts w:ascii="Arial" w:hAnsi="Arial" w:cs="Arial"/>
          <w:sz w:val="22"/>
          <w:szCs w:val="22"/>
        </w:rPr>
      </w:pPr>
    </w:p>
    <w:p w14:paraId="4A8A87D8" w14:textId="77777777" w:rsidR="00EA2C4A" w:rsidRPr="00FB3DB8" w:rsidRDefault="00EA2C4A" w:rsidP="00B642C8">
      <w:pPr>
        <w:spacing w:line="360" w:lineRule="auto"/>
        <w:jc w:val="both"/>
        <w:rPr>
          <w:rFonts w:ascii="Arial" w:hAnsi="Arial" w:cs="Arial"/>
          <w:sz w:val="22"/>
          <w:szCs w:val="22"/>
        </w:rPr>
      </w:pPr>
    </w:p>
    <w:sectPr w:rsidR="00EA2C4A" w:rsidRPr="00FB3DB8">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C5EB6" w14:textId="77777777" w:rsidR="008E1FDC" w:rsidRDefault="008E1FDC" w:rsidP="00DD7813">
      <w:pPr>
        <w:spacing w:after="0" w:line="240" w:lineRule="auto"/>
      </w:pPr>
      <w:r>
        <w:separator/>
      </w:r>
    </w:p>
  </w:endnote>
  <w:endnote w:type="continuationSeparator" w:id="0">
    <w:p w14:paraId="63385123" w14:textId="77777777" w:rsidR="008E1FDC" w:rsidRDefault="008E1FDC" w:rsidP="00DD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4174251"/>
      <w:docPartObj>
        <w:docPartGallery w:val="Page Numbers (Bottom of Page)"/>
        <w:docPartUnique/>
      </w:docPartObj>
    </w:sdtPr>
    <w:sdtContent>
      <w:p w14:paraId="4E6D7BDD" w14:textId="7DC600D9" w:rsidR="00DD7813" w:rsidRDefault="00DD7813" w:rsidP="007C3F7B">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540005577"/>
      <w:docPartObj>
        <w:docPartGallery w:val="Page Numbers (Bottom of Page)"/>
        <w:docPartUnique/>
      </w:docPartObj>
    </w:sdtPr>
    <w:sdtContent>
      <w:p w14:paraId="11F276C0" w14:textId="4465348F" w:rsidR="00DD7813" w:rsidRDefault="00DD7813" w:rsidP="00DD7813">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AE8E0" w14:textId="77777777" w:rsidR="00DD7813" w:rsidRDefault="00DD7813" w:rsidP="00DD78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6030670"/>
      <w:docPartObj>
        <w:docPartGallery w:val="Page Numbers (Bottom of Page)"/>
        <w:docPartUnique/>
      </w:docPartObj>
    </w:sdtPr>
    <w:sdtEndPr>
      <w:rPr>
        <w:rStyle w:val="PageNumber"/>
        <w:rFonts w:ascii="Arial" w:hAnsi="Arial" w:cs="Arial"/>
        <w:sz w:val="22"/>
        <w:szCs w:val="22"/>
      </w:rPr>
    </w:sdtEndPr>
    <w:sdtContent>
      <w:p w14:paraId="6500375D" w14:textId="46411979" w:rsidR="00DD7813" w:rsidRPr="000E27A2" w:rsidRDefault="00DD7813" w:rsidP="007C3F7B">
        <w:pPr>
          <w:pStyle w:val="Footer"/>
          <w:framePr w:wrap="none" w:vAnchor="text" w:hAnchor="margin" w:xAlign="right" w:y="1"/>
          <w:jc w:val="right"/>
          <w:rPr>
            <w:rStyle w:val="PageNumber"/>
            <w:rFonts w:ascii="Arial" w:hAnsi="Arial" w:cs="Arial"/>
            <w:sz w:val="22"/>
            <w:szCs w:val="22"/>
          </w:rPr>
        </w:pPr>
        <w:r w:rsidRPr="000E27A2">
          <w:rPr>
            <w:rStyle w:val="PageNumber"/>
            <w:rFonts w:ascii="Arial" w:hAnsi="Arial" w:cs="Arial"/>
            <w:sz w:val="22"/>
            <w:szCs w:val="22"/>
          </w:rPr>
          <w:t xml:space="preserve">Page </w:t>
        </w:r>
        <w:r w:rsidRPr="000E27A2">
          <w:rPr>
            <w:rStyle w:val="PageNumber"/>
            <w:rFonts w:ascii="Arial" w:hAnsi="Arial" w:cs="Arial"/>
            <w:sz w:val="22"/>
            <w:szCs w:val="22"/>
          </w:rPr>
          <w:fldChar w:fldCharType="begin"/>
        </w:r>
        <w:r w:rsidRPr="000E27A2">
          <w:rPr>
            <w:rStyle w:val="PageNumber"/>
            <w:rFonts w:ascii="Arial" w:hAnsi="Arial" w:cs="Arial"/>
            <w:sz w:val="22"/>
            <w:szCs w:val="22"/>
          </w:rPr>
          <w:instrText xml:space="preserve"> PAGE </w:instrText>
        </w:r>
        <w:r w:rsidRPr="000E27A2">
          <w:rPr>
            <w:rStyle w:val="PageNumber"/>
            <w:rFonts w:ascii="Arial" w:hAnsi="Arial" w:cs="Arial"/>
            <w:sz w:val="22"/>
            <w:szCs w:val="22"/>
          </w:rPr>
          <w:fldChar w:fldCharType="separate"/>
        </w:r>
        <w:r w:rsidRPr="000E27A2">
          <w:rPr>
            <w:rStyle w:val="PageNumber"/>
            <w:rFonts w:ascii="Arial" w:hAnsi="Arial" w:cs="Arial"/>
            <w:noProof/>
            <w:sz w:val="22"/>
            <w:szCs w:val="22"/>
          </w:rPr>
          <w:t>3</w:t>
        </w:r>
        <w:r w:rsidRPr="000E27A2">
          <w:rPr>
            <w:rStyle w:val="PageNumber"/>
            <w:rFonts w:ascii="Arial" w:hAnsi="Arial" w:cs="Arial"/>
            <w:sz w:val="22"/>
            <w:szCs w:val="22"/>
          </w:rPr>
          <w:fldChar w:fldCharType="end"/>
        </w:r>
        <w:r w:rsidRPr="000E27A2">
          <w:rPr>
            <w:rStyle w:val="PageNumber"/>
            <w:rFonts w:ascii="Arial" w:hAnsi="Arial" w:cs="Arial"/>
            <w:sz w:val="22"/>
            <w:szCs w:val="22"/>
          </w:rPr>
          <w:t xml:space="preserve"> of </w:t>
        </w:r>
        <w:r w:rsidRPr="000E27A2">
          <w:rPr>
            <w:rStyle w:val="PageNumber"/>
            <w:rFonts w:ascii="Arial" w:hAnsi="Arial" w:cs="Arial"/>
            <w:sz w:val="22"/>
            <w:szCs w:val="22"/>
          </w:rPr>
          <w:fldChar w:fldCharType="begin"/>
        </w:r>
        <w:r w:rsidRPr="000E27A2">
          <w:rPr>
            <w:rStyle w:val="PageNumber"/>
            <w:rFonts w:ascii="Arial" w:hAnsi="Arial" w:cs="Arial"/>
            <w:sz w:val="22"/>
            <w:szCs w:val="22"/>
          </w:rPr>
          <w:instrText xml:space="preserve"> NUMPAGES </w:instrText>
        </w:r>
        <w:r w:rsidRPr="000E27A2">
          <w:rPr>
            <w:rStyle w:val="PageNumber"/>
            <w:rFonts w:ascii="Arial" w:hAnsi="Arial" w:cs="Arial"/>
            <w:sz w:val="22"/>
            <w:szCs w:val="22"/>
          </w:rPr>
          <w:fldChar w:fldCharType="separate"/>
        </w:r>
        <w:r w:rsidRPr="000E27A2">
          <w:rPr>
            <w:rStyle w:val="PageNumber"/>
            <w:rFonts w:ascii="Arial" w:hAnsi="Arial" w:cs="Arial"/>
            <w:noProof/>
            <w:sz w:val="22"/>
            <w:szCs w:val="22"/>
          </w:rPr>
          <w:t>9</w:t>
        </w:r>
        <w:r w:rsidRPr="000E27A2">
          <w:rPr>
            <w:rStyle w:val="PageNumber"/>
            <w:rFonts w:ascii="Arial" w:hAnsi="Arial" w:cs="Arial"/>
            <w:sz w:val="22"/>
            <w:szCs w:val="22"/>
          </w:rPr>
          <w:fldChar w:fldCharType="end"/>
        </w:r>
      </w:p>
    </w:sdtContent>
  </w:sdt>
  <w:p w14:paraId="797C4229" w14:textId="77777777" w:rsidR="00DD7813" w:rsidRPr="000E27A2" w:rsidRDefault="00DD7813" w:rsidP="00DD7813">
    <w:pPr>
      <w:pStyle w:val="Footer"/>
      <w:ind w:right="360"/>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0041" w14:textId="77777777" w:rsidR="00DD7813" w:rsidRDefault="00DD7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9669" w14:textId="77777777" w:rsidR="008E1FDC" w:rsidRDefault="008E1FDC" w:rsidP="00DD7813">
      <w:pPr>
        <w:spacing w:after="0" w:line="240" w:lineRule="auto"/>
      </w:pPr>
      <w:r>
        <w:separator/>
      </w:r>
    </w:p>
  </w:footnote>
  <w:footnote w:type="continuationSeparator" w:id="0">
    <w:p w14:paraId="49809538" w14:textId="77777777" w:rsidR="008E1FDC" w:rsidRDefault="008E1FDC" w:rsidP="00DD7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96DE6" w14:textId="77777777" w:rsidR="00DD7813" w:rsidRDefault="00DD7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BF47C" w14:textId="77777777" w:rsidR="00DD7813" w:rsidRDefault="00DD78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4D1A1" w14:textId="77777777" w:rsidR="00DD7813" w:rsidRDefault="00DD78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EAE"/>
    <w:rsid w:val="00003916"/>
    <w:rsid w:val="0006719F"/>
    <w:rsid w:val="00070983"/>
    <w:rsid w:val="000A25EA"/>
    <w:rsid w:val="000C22CB"/>
    <w:rsid w:val="000C338F"/>
    <w:rsid w:val="000E27A2"/>
    <w:rsid w:val="000E7217"/>
    <w:rsid w:val="00222D5F"/>
    <w:rsid w:val="00263442"/>
    <w:rsid w:val="0029316A"/>
    <w:rsid w:val="002B066D"/>
    <w:rsid w:val="003003FC"/>
    <w:rsid w:val="003F1A38"/>
    <w:rsid w:val="004800C1"/>
    <w:rsid w:val="00491B0E"/>
    <w:rsid w:val="00493111"/>
    <w:rsid w:val="004D54BA"/>
    <w:rsid w:val="005331B9"/>
    <w:rsid w:val="00536560"/>
    <w:rsid w:val="00545885"/>
    <w:rsid w:val="005475AD"/>
    <w:rsid w:val="00575FD2"/>
    <w:rsid w:val="005B38D0"/>
    <w:rsid w:val="005E7CB6"/>
    <w:rsid w:val="0063551C"/>
    <w:rsid w:val="00685A54"/>
    <w:rsid w:val="0070041B"/>
    <w:rsid w:val="00863DB2"/>
    <w:rsid w:val="008C3994"/>
    <w:rsid w:val="008E1FDC"/>
    <w:rsid w:val="00956EAE"/>
    <w:rsid w:val="00987017"/>
    <w:rsid w:val="009C0381"/>
    <w:rsid w:val="00A23E5A"/>
    <w:rsid w:val="00A431E3"/>
    <w:rsid w:val="00AB0CD7"/>
    <w:rsid w:val="00AD7E74"/>
    <w:rsid w:val="00B60B0A"/>
    <w:rsid w:val="00B63E35"/>
    <w:rsid w:val="00B642C8"/>
    <w:rsid w:val="00B76057"/>
    <w:rsid w:val="00BB6CA8"/>
    <w:rsid w:val="00BB71C9"/>
    <w:rsid w:val="00BD1199"/>
    <w:rsid w:val="00BE7E5E"/>
    <w:rsid w:val="00C524EE"/>
    <w:rsid w:val="00CC7741"/>
    <w:rsid w:val="00CF69B7"/>
    <w:rsid w:val="00D04ED4"/>
    <w:rsid w:val="00D14B67"/>
    <w:rsid w:val="00D25D4C"/>
    <w:rsid w:val="00DD7813"/>
    <w:rsid w:val="00DF239E"/>
    <w:rsid w:val="00DF7DAD"/>
    <w:rsid w:val="00E0554B"/>
    <w:rsid w:val="00E83F91"/>
    <w:rsid w:val="00EA2C4A"/>
    <w:rsid w:val="00EE4245"/>
    <w:rsid w:val="00F5725D"/>
    <w:rsid w:val="00F72C44"/>
    <w:rsid w:val="00F839F4"/>
    <w:rsid w:val="00FB3DB8"/>
    <w:rsid w:val="00FC5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75034"/>
  <w15:chartTrackingRefBased/>
  <w15:docId w15:val="{4793D4D3-505E-9545-AE3B-D60902FB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AE"/>
    <w:rPr>
      <w:rFonts w:eastAsiaTheme="majorEastAsia" w:cstheme="majorBidi"/>
      <w:color w:val="272727" w:themeColor="text1" w:themeTint="D8"/>
    </w:rPr>
  </w:style>
  <w:style w:type="paragraph" w:styleId="Title">
    <w:name w:val="Title"/>
    <w:basedOn w:val="Normal"/>
    <w:next w:val="Normal"/>
    <w:link w:val="TitleChar"/>
    <w:uiPriority w:val="10"/>
    <w:qFormat/>
    <w:rsid w:val="00956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AE"/>
    <w:pPr>
      <w:spacing w:before="160"/>
      <w:jc w:val="center"/>
    </w:pPr>
    <w:rPr>
      <w:i/>
      <w:iCs/>
      <w:color w:val="404040" w:themeColor="text1" w:themeTint="BF"/>
    </w:rPr>
  </w:style>
  <w:style w:type="character" w:customStyle="1" w:styleId="QuoteChar">
    <w:name w:val="Quote Char"/>
    <w:basedOn w:val="DefaultParagraphFont"/>
    <w:link w:val="Quote"/>
    <w:uiPriority w:val="29"/>
    <w:rsid w:val="00956EAE"/>
    <w:rPr>
      <w:i/>
      <w:iCs/>
      <w:color w:val="404040" w:themeColor="text1" w:themeTint="BF"/>
    </w:rPr>
  </w:style>
  <w:style w:type="paragraph" w:styleId="ListParagraph">
    <w:name w:val="List Paragraph"/>
    <w:basedOn w:val="Normal"/>
    <w:uiPriority w:val="34"/>
    <w:qFormat/>
    <w:rsid w:val="00956EAE"/>
    <w:pPr>
      <w:ind w:left="720"/>
      <w:contextualSpacing/>
    </w:pPr>
  </w:style>
  <w:style w:type="character" w:styleId="IntenseEmphasis">
    <w:name w:val="Intense Emphasis"/>
    <w:basedOn w:val="DefaultParagraphFont"/>
    <w:uiPriority w:val="21"/>
    <w:qFormat/>
    <w:rsid w:val="00956EAE"/>
    <w:rPr>
      <w:i/>
      <w:iCs/>
      <w:color w:val="0F4761" w:themeColor="accent1" w:themeShade="BF"/>
    </w:rPr>
  </w:style>
  <w:style w:type="paragraph" w:styleId="IntenseQuote">
    <w:name w:val="Intense Quote"/>
    <w:basedOn w:val="Normal"/>
    <w:next w:val="Normal"/>
    <w:link w:val="IntenseQuoteChar"/>
    <w:uiPriority w:val="30"/>
    <w:qFormat/>
    <w:rsid w:val="00956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AE"/>
    <w:rPr>
      <w:i/>
      <w:iCs/>
      <w:color w:val="0F4761" w:themeColor="accent1" w:themeShade="BF"/>
    </w:rPr>
  </w:style>
  <w:style w:type="character" w:styleId="IntenseReference">
    <w:name w:val="Intense Reference"/>
    <w:basedOn w:val="DefaultParagraphFont"/>
    <w:uiPriority w:val="32"/>
    <w:qFormat/>
    <w:rsid w:val="00956EAE"/>
    <w:rPr>
      <w:b/>
      <w:bCs/>
      <w:smallCaps/>
      <w:color w:val="0F4761" w:themeColor="accent1" w:themeShade="BF"/>
      <w:spacing w:val="5"/>
    </w:rPr>
  </w:style>
  <w:style w:type="paragraph" w:styleId="Header">
    <w:name w:val="header"/>
    <w:basedOn w:val="Normal"/>
    <w:link w:val="HeaderChar"/>
    <w:uiPriority w:val="99"/>
    <w:unhideWhenUsed/>
    <w:rsid w:val="00DD78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813"/>
  </w:style>
  <w:style w:type="paragraph" w:styleId="Footer">
    <w:name w:val="footer"/>
    <w:basedOn w:val="Normal"/>
    <w:link w:val="FooterChar"/>
    <w:uiPriority w:val="99"/>
    <w:unhideWhenUsed/>
    <w:rsid w:val="00DD7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813"/>
  </w:style>
  <w:style w:type="character" w:styleId="PageNumber">
    <w:name w:val="page number"/>
    <w:basedOn w:val="DefaultParagraphFont"/>
    <w:uiPriority w:val="99"/>
    <w:semiHidden/>
    <w:unhideWhenUsed/>
    <w:rsid w:val="00DD7813"/>
  </w:style>
  <w:style w:type="character" w:styleId="Hyperlink">
    <w:name w:val="Hyperlink"/>
    <w:basedOn w:val="DefaultParagraphFont"/>
    <w:uiPriority w:val="99"/>
    <w:unhideWhenUsed/>
    <w:rsid w:val="00A23E5A"/>
    <w:rPr>
      <w:color w:val="467886" w:themeColor="hyperlink"/>
      <w:u w:val="single"/>
    </w:rPr>
  </w:style>
  <w:style w:type="character" w:styleId="UnresolvedMention">
    <w:name w:val="Unresolved Mention"/>
    <w:basedOn w:val="DefaultParagraphFont"/>
    <w:uiPriority w:val="99"/>
    <w:semiHidden/>
    <w:unhideWhenUsed/>
    <w:rsid w:val="00A23E5A"/>
    <w:rPr>
      <w:color w:val="605E5C"/>
      <w:shd w:val="clear" w:color="auto" w:fill="E1DFDD"/>
    </w:rPr>
  </w:style>
  <w:style w:type="paragraph" w:styleId="TOCHeading">
    <w:name w:val="TOC Heading"/>
    <w:basedOn w:val="Heading1"/>
    <w:next w:val="Normal"/>
    <w:uiPriority w:val="39"/>
    <w:unhideWhenUsed/>
    <w:qFormat/>
    <w:rsid w:val="00F72C4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2C44"/>
    <w:pPr>
      <w:spacing w:after="100"/>
    </w:pPr>
  </w:style>
  <w:style w:type="paragraph" w:styleId="TOC2">
    <w:name w:val="toc 2"/>
    <w:basedOn w:val="Normal"/>
    <w:next w:val="Normal"/>
    <w:autoRedefine/>
    <w:uiPriority w:val="39"/>
    <w:unhideWhenUsed/>
    <w:rsid w:val="00F72C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a.ox.ac.uk/objects/uuid:23221796-744f-4050-9261-7f04d3292c32/files/rvd66w089z" TargetMode="External"/><Relationship Id="rId18" Type="http://schemas.openxmlformats.org/officeDocument/2006/relationships/hyperlink" Target="https://www.medrxiv.org/content/medrxiv/early/2024/08/12/2024.08.09.24311718.full.pdf" TargetMode="External"/><Relationship Id="rId26" Type="http://schemas.openxmlformats.org/officeDocument/2006/relationships/hyperlink" Target="https://phw.nhs.wales/services-and-teams/real-time-suspected-suicide-surveillance/annual-report-deaths-by-suspected-suicide-2023-24/" TargetMode="External"/><Relationship Id="rId21" Type="http://schemas.openxmlformats.org/officeDocument/2006/relationships/hyperlink" Target="https://www.mind.org.uk/"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researchgate.net/profile/Js-Bamrah/publication/377842131_The_NHS_founding_principles_are_still_appropriate_today_and_provide_a_strong_foundation_for_the_future/links/65bb707b7900745497532964/The-NHS-founding-principles-are-still-appropriate-today-and-provide-a-strong-foundation-for-the-future.pdf" TargetMode="External"/><Relationship Id="rId17" Type="http://schemas.openxmlformats.org/officeDocument/2006/relationships/hyperlink" Target="https://eprints.lse.ac.uk/127647/1/67d423f88d53c.pdf" TargetMode="External"/><Relationship Id="rId25" Type="http://schemas.openxmlformats.org/officeDocument/2006/relationships/hyperlink" Target="http://theses.ncl.ac.uk/jspui/bitstream/10443/6569/1/PriceTJ2025.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eaeprints.uea.ac.uk/id/eprint/100779/1/2025HowardAClinPsyD_Thesis.pdf" TargetMode="External"/><Relationship Id="rId20" Type="http://schemas.openxmlformats.org/officeDocument/2006/relationships/hyperlink" Target="https://www.cambridge.org/core/services/aop-cambridge-core/content/view/EB674FC496E277A9E34C84831A17A2FD/S2056469423000918a.pdf/patterns_of_mental_health_service_use_among_perpetrator&#8217;_of_domestic_homicide_descriptive_study_of_domestic_homicide_reviews_in_england_and_wales.pdf" TargetMode="External"/><Relationship Id="rId29" Type="http://schemas.openxmlformats.org/officeDocument/2006/relationships/hyperlink" Target="https://theses.gla.ac.uk/85633/3/2025UnluPhD.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birmingham.ac.uk/files/196749893/Conroy_et_al_In_Press_IPV_Attitudes_accepted_17.05.23_.pdf" TargetMode="External"/><Relationship Id="rId24" Type="http://schemas.openxmlformats.org/officeDocument/2006/relationships/hyperlink" Target="https://www.oecd.org/en/publications/2025/11/health-at-a-glance-2025_a894f72e/full-report/which-diseases-affect-men-and-women-differently-and-why-this-matters_c7602de9.html"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lv.openrepository.com/bitstreams/9078b01e-bff9-46af-89a3-c0a1afa6bd30/download" TargetMode="External"/><Relationship Id="rId23" Type="http://schemas.openxmlformats.org/officeDocument/2006/relationships/hyperlink" Target="http://gala.gre.ac.uk/id/eprint/47574/13/47574%20MORGAN_Exploring_health_inequalities_in_Gypsy_and_Traveller_communities_in_the_UK_%28AAM%29_2024.pdf" TargetMode="External"/><Relationship Id="rId28" Type="http://schemas.openxmlformats.org/officeDocument/2006/relationships/hyperlink" Target="https://www.kingsfund.org.uk/" TargetMode="External"/><Relationship Id="rId36" Type="http://schemas.openxmlformats.org/officeDocument/2006/relationships/footer" Target="footer3.xml"/><Relationship Id="rId10" Type="http://schemas.openxmlformats.org/officeDocument/2006/relationships/hyperlink" Target="https://academic.oup.com/ooec/article-pdf/3/Supplement_1/i499/58618494/odad060.pdf" TargetMode="External"/><Relationship Id="rId19" Type="http://schemas.openxmlformats.org/officeDocument/2006/relationships/hyperlink" Target="https://www.bmj.com/content/bmj/387/bmj-2024-077262.full.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ber.org/system/files/working_papers/w32879/w32879.pdf" TargetMode="External"/><Relationship Id="rId14" Type="http://schemas.openxmlformats.org/officeDocument/2006/relationships/hyperlink" Target="https://www.gov.uk/government/news/government-unveils-englands-first-ever-mens-health-strategy" TargetMode="External"/><Relationship Id="rId22" Type="http://schemas.openxmlformats.org/officeDocument/2006/relationships/hyperlink" Target="https://publish.kne-publishing.com/index.php/ijph/article/download/19587/18290" TargetMode="External"/><Relationship Id="rId27" Type="http://schemas.openxmlformats.org/officeDocument/2006/relationships/hyperlink" Target="https://www.cambridge.org/core/services/aop-cambridge-core/content/view/394C71FF7255ABDAA469FE3FB4D910A1/S0007125025000200a.pdf/div-class-title-hidden-suicides-focus-on-england-and-wales-comparison-with-other-nations-div.pdf" TargetMode="External"/><Relationship Id="rId30" Type="http://schemas.openxmlformats.org/officeDocument/2006/relationships/hyperlink" Target="https://www.oxcns.org/papers/683%20Zhang%20You%20Rolls%20et%20al%202024%20Risk%20factors%20for%20suicide.pdf" TargetMode="External"/><Relationship Id="rId35" Type="http://schemas.openxmlformats.org/officeDocument/2006/relationships/header" Target="header3.xml"/><Relationship Id="rId8" Type="http://schemas.openxmlformats.org/officeDocument/2006/relationships/hyperlink" Target="https://eprints.gla.ac.uk/303817/5/303817.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01763-7BDF-42C2-BE67-3F1F52BEC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4222</Words>
  <Characters>24070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Pallabi Karmakar</dc:creator>
  <cp:keywords/>
  <dc:description/>
  <cp:lastModifiedBy>Kashyap Kanasara</cp:lastModifiedBy>
  <cp:revision>4</cp:revision>
  <dcterms:created xsi:type="dcterms:W3CDTF">2025-12-10T13:02:00Z</dcterms:created>
  <dcterms:modified xsi:type="dcterms:W3CDTF">2025-12-18T12:43:00Z</dcterms:modified>
</cp:coreProperties>
</file>