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growth and popularity of the use of Islamic finance has been exceptional since the Central Bank of Bahrain issued the first sovereign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bonds in 2001. It is estimated that by the end of 2012 Islamic financial assets will have exceeded $1,600bn, which is around 1–2% of global financial assets worldwide.</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bookmarkStart w:id="0" w:name="_GoBack"/>
      <w:bookmarkEnd w:id="0"/>
      <w:r w:rsidRPr="00F55F0E">
        <w:rPr>
          <w:rFonts w:eastAsia="Times New Roman" w:cs="Helvetica"/>
          <w:color w:val="333333"/>
          <w:sz w:val="24"/>
          <w:szCs w:val="24"/>
          <w:lang w:eastAsia="en-GB"/>
        </w:rPr>
        <w:t xml:space="preserve">This article is focused on Islamic finance as a growing and important source of finance. In particular, it looks at the success and failure of the use of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bonds to finance the purchase of assets. However, for the purpose of reference, the attached appendix explains the basic principles of Islamic finance.</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 xml:space="preserve">Sukuk finance </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What is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finance? The official definition provided by the Accounting and Auditing Organization for Islamic Financial Institutions (AAOIFI), the Bahrain-based Islamic financial standard setter, is ‘certificates of equal value representing undivided shares in the ownership of tangible assets, usufructs and services or (in the ownership of) the assets of particular projects or special investment activity.’</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is about the finance provider having ownership of real assets and earning a return sourced from those assets. This contrasts with conventional bonds where the investor has a debt instrument earning the return predominately via the payment of interest (</w:t>
      </w:r>
      <w:proofErr w:type="spellStart"/>
      <w:r w:rsidRPr="00F55F0E">
        <w:rPr>
          <w:rFonts w:eastAsia="Times New Roman" w:cs="Helvetica"/>
          <w:color w:val="333333"/>
          <w:sz w:val="24"/>
          <w:szCs w:val="24"/>
          <w:lang w:eastAsia="en-GB"/>
        </w:rPr>
        <w:t>riba</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Riba</w:t>
      </w:r>
      <w:proofErr w:type="spellEnd"/>
      <w:r w:rsidRPr="00F55F0E">
        <w:rPr>
          <w:rFonts w:eastAsia="Times New Roman" w:cs="Helvetica"/>
          <w:color w:val="333333"/>
          <w:sz w:val="24"/>
          <w:szCs w:val="24"/>
          <w:lang w:eastAsia="en-GB"/>
        </w:rPr>
        <w:t xml:space="preserve"> or excess is not allowed under Sharia law.</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There has been considerable debate as to whether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instruments are akin to conventional debt or equity finance. This is because there are two types of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w:t>
      </w:r>
    </w:p>
    <w:p w:rsidR="00F55F0E" w:rsidRPr="00F55F0E" w:rsidRDefault="00F55F0E" w:rsidP="00F55F0E">
      <w:pPr>
        <w:numPr>
          <w:ilvl w:val="0"/>
          <w:numId w:val="1"/>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Asset based – raising finance where the principal is covered by the capital value of the asset but the returns and repayments to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are not directly financed by these assets.</w:t>
      </w:r>
    </w:p>
    <w:p w:rsidR="00F55F0E" w:rsidRPr="00F55F0E" w:rsidRDefault="00F55F0E" w:rsidP="00F55F0E">
      <w:pPr>
        <w:numPr>
          <w:ilvl w:val="0"/>
          <w:numId w:val="1"/>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Asset backed – raising finance where the principal is covered by the capital value of the asset but the returns and repayments to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are directly financed by these assets.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br/>
        <w:t xml:space="preserve">There are fundamental differences between these. The diagrams set out below explain the mechanics of how each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operates.</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Asset-based sukuk</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Al-</w:t>
      </w:r>
      <w:proofErr w:type="spellStart"/>
      <w:r w:rsidRPr="00F55F0E">
        <w:rPr>
          <w:rFonts w:eastAsia="Times New Roman" w:cs="Helvetica"/>
          <w:color w:val="333333"/>
          <w:sz w:val="24"/>
          <w:szCs w:val="24"/>
          <w:lang w:eastAsia="en-GB"/>
        </w:rPr>
        <w:t>ijarah</w:t>
      </w:r>
      <w:proofErr w:type="spellEnd"/>
      <w:r w:rsidRPr="00F55F0E">
        <w:rPr>
          <w:rFonts w:eastAsia="Times New Roman" w:cs="Helvetica"/>
          <w:color w:val="333333"/>
          <w:sz w:val="24"/>
          <w:szCs w:val="24"/>
          <w:lang w:eastAsia="en-GB"/>
        </w:rPr>
        <w:t>: financing acquisition of asserts or raising capital through sale and lease back.</w:t>
      </w:r>
    </w:p>
    <w:p w:rsidR="00F55F0E" w:rsidRPr="00F55F0E" w:rsidRDefault="00F55F0E" w:rsidP="00F55F0E">
      <w:pPr>
        <w:shd w:val="clear" w:color="auto" w:fill="FFFFFF"/>
        <w:spacing w:after="0" w:line="240" w:lineRule="auto"/>
        <w:rPr>
          <w:rFonts w:eastAsia="Times New Roman" w:cs="Helvetica"/>
          <w:color w:val="333333"/>
          <w:sz w:val="24"/>
          <w:szCs w:val="24"/>
          <w:lang w:eastAsia="en-GB"/>
        </w:rPr>
      </w:pPr>
      <w:r w:rsidRPr="00F55F0E">
        <w:rPr>
          <w:rFonts w:eastAsia="Times New Roman" w:cs="Helvetica"/>
          <w:noProof/>
          <w:color w:val="333333"/>
          <w:sz w:val="24"/>
          <w:szCs w:val="24"/>
          <w:lang w:eastAsia="en-GB"/>
        </w:rPr>
        <w:lastRenderedPageBreak/>
        <w:drawing>
          <wp:inline distT="0" distB="0" distL="0" distR="0" wp14:anchorId="1025F11D" wp14:editId="1A9FA6BA">
            <wp:extent cx="4029075" cy="2457450"/>
            <wp:effectExtent l="0" t="0" r="9525" b="0"/>
            <wp:docPr id="1" name="Picture 1" descr="sa_feb13_p4_islam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_feb13_p4_islamic-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9075" cy="2457450"/>
                    </a:xfrm>
                    <a:prstGeom prst="rect">
                      <a:avLst/>
                    </a:prstGeom>
                    <a:noFill/>
                    <a:ln>
                      <a:noFill/>
                    </a:ln>
                  </pic:spPr>
                </pic:pic>
              </a:graphicData>
            </a:graphic>
          </wp:inline>
        </w:drawing>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subscribe by paying an issue price to a special purpose vehicle (SPV) company.</w:t>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In return, the SPV issues certificates indicating the percentage they own in the SPV. </w:t>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SPV uses the funds raised and purchases the asset from the obligor (seller).</w:t>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In return, legal ownership is passed to the SPV.</w:t>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SPV then, acting as a lessor, leases the asset back to the obligor under an </w:t>
      </w:r>
      <w:proofErr w:type="spellStart"/>
      <w:r w:rsidRPr="00F55F0E">
        <w:rPr>
          <w:rFonts w:eastAsia="Times New Roman" w:cs="Helvetica"/>
          <w:color w:val="333333"/>
          <w:sz w:val="24"/>
          <w:szCs w:val="24"/>
          <w:lang w:eastAsia="en-GB"/>
        </w:rPr>
        <w:t>Ijarah</w:t>
      </w:r>
      <w:proofErr w:type="spellEnd"/>
      <w:r w:rsidRPr="00F55F0E">
        <w:rPr>
          <w:rFonts w:eastAsia="Times New Roman" w:cs="Helvetica"/>
          <w:color w:val="333333"/>
          <w:sz w:val="24"/>
          <w:szCs w:val="24"/>
          <w:lang w:eastAsia="en-GB"/>
        </w:rPr>
        <w:t xml:space="preserve"> agreement.</w:t>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obligor or lessee pays rentals to the SPV, as the SPV is the owner and lessor of the asset.</w:t>
      </w:r>
    </w:p>
    <w:p w:rsidR="00F55F0E" w:rsidRPr="00F55F0E" w:rsidRDefault="00F55F0E" w:rsidP="00F55F0E">
      <w:pPr>
        <w:numPr>
          <w:ilvl w:val="0"/>
          <w:numId w:val="2"/>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SPV then make periodic distributions (rental and capital) to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Asset-backed sukuk</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Securitisation of Leasing Portfolio</w:t>
      </w:r>
    </w:p>
    <w:p w:rsidR="00F55F0E" w:rsidRPr="00F55F0E" w:rsidRDefault="00F55F0E" w:rsidP="00F55F0E">
      <w:pPr>
        <w:shd w:val="clear" w:color="auto" w:fill="FFFFFF"/>
        <w:spacing w:after="0" w:line="240" w:lineRule="auto"/>
        <w:rPr>
          <w:rFonts w:eastAsia="Times New Roman" w:cs="Helvetica"/>
          <w:color w:val="333333"/>
          <w:sz w:val="24"/>
          <w:szCs w:val="24"/>
          <w:lang w:eastAsia="en-GB"/>
        </w:rPr>
      </w:pPr>
      <w:r w:rsidRPr="00F55F0E">
        <w:rPr>
          <w:rFonts w:eastAsia="Times New Roman" w:cs="Helvetica"/>
          <w:noProof/>
          <w:color w:val="333333"/>
          <w:sz w:val="24"/>
          <w:szCs w:val="24"/>
          <w:lang w:eastAsia="en-GB"/>
        </w:rPr>
        <w:drawing>
          <wp:inline distT="0" distB="0" distL="0" distR="0" wp14:anchorId="79CBE218" wp14:editId="1DAD9939">
            <wp:extent cx="4381500" cy="2324100"/>
            <wp:effectExtent l="0" t="0" r="0" b="0"/>
            <wp:docPr id="2" name="Picture 2" descr="sa_feb13_p4_islami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_feb13_p4_islamic-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0" cy="2324100"/>
                    </a:xfrm>
                    <a:prstGeom prst="rect">
                      <a:avLst/>
                    </a:prstGeom>
                    <a:noFill/>
                    <a:ln>
                      <a:noFill/>
                    </a:ln>
                  </pic:spPr>
                </pic:pic>
              </a:graphicData>
            </a:graphic>
          </wp:inline>
        </w:drawing>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subscribe by paying an issue price to a SPV company.</w:t>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In return, the SPV issues certificates indicating the percentage they own in the SPV.</w:t>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SPV will then purchase a portfolio of assets, which are already generating an income stream.</w:t>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lastRenderedPageBreak/>
        <w:t>In return, the SPV obtains the title deeds to the leasing portfolio.</w:t>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leased assets will be earning positive returns, which are now paid to the SPV </w:t>
      </w:r>
      <w:proofErr w:type="gramStart"/>
      <w:r w:rsidRPr="00F55F0E">
        <w:rPr>
          <w:rFonts w:eastAsia="Times New Roman" w:cs="Helvetica"/>
          <w:color w:val="333333"/>
          <w:sz w:val="24"/>
          <w:szCs w:val="24"/>
          <w:lang w:eastAsia="en-GB"/>
        </w:rPr>
        <w:t>company</w:t>
      </w:r>
      <w:proofErr w:type="gramEnd"/>
      <w:r w:rsidRPr="00F55F0E">
        <w:rPr>
          <w:rFonts w:eastAsia="Times New Roman" w:cs="Helvetica"/>
          <w:color w:val="333333"/>
          <w:sz w:val="24"/>
          <w:szCs w:val="24"/>
          <w:lang w:eastAsia="en-GB"/>
        </w:rPr>
        <w:t>.</w:t>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SPV then makes periodic distributions (rental and capital) to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w:t>
      </w:r>
    </w:p>
    <w:p w:rsidR="00F55F0E" w:rsidRPr="00F55F0E" w:rsidRDefault="00F55F0E" w:rsidP="00F55F0E">
      <w:pPr>
        <w:numPr>
          <w:ilvl w:val="0"/>
          <w:numId w:val="3"/>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With an asset-based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ownership of the asset lies with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via the SPV. Hence, they would have to maintain and insure the asset. The payment of rentals provides the return and the final redemption of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is at a pre-agreed value. As the obligor is the lessee,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have recourse to him if default occurs. This makes this type of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more akin to debt or bonds.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br/>
        <w:t xml:space="preserve">Asset-backed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certainly have the attributes of equity finance – the asset is owned by the SPV. All of the risks and rewards of ownership passes to the SPV. Hence, should the returns fail to arise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suffer the losses. In addition, redemption for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holders is at open market value, which could be nil.</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Sukuk finance case studies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For Emirates airline, the use of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finance has been a huge success. The company issued its first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(Islamic Bond), with a seven-year term, in 2005, which was listed on the Luxembourg Stock Exchange. The $550m was repaid in full in June 2012.</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repayment of our first ever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bond is part of Emirates’ varied financing strategy and reflects our robust financial position,’ said Sheikh Ahmed bin Saeed Al </w:t>
      </w:r>
      <w:proofErr w:type="spellStart"/>
      <w:r w:rsidRPr="00F55F0E">
        <w:rPr>
          <w:rFonts w:eastAsia="Times New Roman" w:cs="Helvetica"/>
          <w:color w:val="333333"/>
          <w:sz w:val="24"/>
          <w:szCs w:val="24"/>
          <w:lang w:eastAsia="en-GB"/>
        </w:rPr>
        <w:t>Maktoum</w:t>
      </w:r>
      <w:proofErr w:type="spellEnd"/>
      <w:r w:rsidRPr="00F55F0E">
        <w:rPr>
          <w:rFonts w:eastAsia="Times New Roman" w:cs="Helvetica"/>
          <w:color w:val="333333"/>
          <w:sz w:val="24"/>
          <w:szCs w:val="24"/>
          <w:lang w:eastAsia="en-GB"/>
        </w:rPr>
        <w:t>, chairman of the Emirates Group and chief executive of Emirates airline.</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Emirates’ initial injection of equity finance at the time of its creation 24 years ago has been supplemented by a variety of financing options, including operating leases, EU/US export credits, commercial asset-backed debt, Islamic financing, conventional bonds, as well as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Tim Clark, Emirates’ president, recently stated that the airline had traditionally used European debt to finance purchase of its fast-growing Boeing and Airbus fleet. The French banks were particularly forthcoming with finance solutions.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However, since the global debt crisis in 2008, the traditional debt markets have taken a risk </w:t>
      </w:r>
      <w:proofErr w:type="gramStart"/>
      <w:r w:rsidRPr="00F55F0E">
        <w:rPr>
          <w:rFonts w:eastAsia="Times New Roman" w:cs="Helvetica"/>
          <w:color w:val="333333"/>
          <w:sz w:val="24"/>
          <w:szCs w:val="24"/>
          <w:lang w:eastAsia="en-GB"/>
        </w:rPr>
        <w:t>averse</w:t>
      </w:r>
      <w:proofErr w:type="gramEnd"/>
      <w:r w:rsidRPr="00F55F0E">
        <w:rPr>
          <w:rFonts w:eastAsia="Times New Roman" w:cs="Helvetica"/>
          <w:color w:val="333333"/>
          <w:sz w:val="24"/>
          <w:szCs w:val="24"/>
          <w:lang w:eastAsia="en-GB"/>
        </w:rPr>
        <w:t xml:space="preserve"> position – even with a business like Emirates, which has an unbroken profit-making record.</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Clark outlined that obtaining funding for new planes using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could be tricky because Islamic finance, in addition to forbidding payment of interest, prohibits pure monetary speculation and requires deals to involve concrete assets. It would be harder to win a seal of approval from Islamic finance scholars for a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that was based on assets, which the airline did not yet own.</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For new aircraft, it is not impossible but it is much more complicated as the cash would have to go from investors through a special purpose vehicle to the manufacturer before a lease-</w:t>
      </w:r>
      <w:r w:rsidRPr="00F55F0E">
        <w:rPr>
          <w:rFonts w:eastAsia="Times New Roman" w:cs="Helvetica"/>
          <w:color w:val="333333"/>
          <w:sz w:val="24"/>
          <w:szCs w:val="24"/>
          <w:lang w:eastAsia="en-GB"/>
        </w:rPr>
        <w:lastRenderedPageBreak/>
        <w:t xml:space="preserve">back arrangement is put in place. Hence, using existing assets to obtain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finance is far easier.</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proofErr w:type="gramStart"/>
      <w:r w:rsidRPr="00F55F0E">
        <w:rPr>
          <w:rFonts w:eastAsia="Times New Roman" w:cs="Helvetica"/>
          <w:color w:val="333333"/>
          <w:sz w:val="24"/>
          <w:szCs w:val="24"/>
          <w:lang w:eastAsia="en-GB"/>
        </w:rPr>
        <w:t>Emirates currently has</w:t>
      </w:r>
      <w:proofErr w:type="gramEnd"/>
      <w:r w:rsidRPr="00F55F0E">
        <w:rPr>
          <w:rFonts w:eastAsia="Times New Roman" w:cs="Helvetica"/>
          <w:color w:val="333333"/>
          <w:sz w:val="24"/>
          <w:szCs w:val="24"/>
          <w:lang w:eastAsia="en-GB"/>
        </w:rPr>
        <w:t xml:space="preserve"> two aircraft-based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instruments that have been issued globally, and is backed by existing aircraft: a $500m issue from GE Capital in November 2009, and a $100m deal for Nomura in July 2010.</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proofErr w:type="gramStart"/>
      <w:r w:rsidRPr="00F55F0E">
        <w:rPr>
          <w:rFonts w:eastAsia="Times New Roman" w:cs="Helvetica"/>
          <w:color w:val="333333"/>
          <w:sz w:val="24"/>
          <w:szCs w:val="24"/>
          <w:lang w:eastAsia="en-GB"/>
        </w:rPr>
        <w:t>Emirates is</w:t>
      </w:r>
      <w:proofErr w:type="gramEnd"/>
      <w:r w:rsidRPr="00F55F0E">
        <w:rPr>
          <w:rFonts w:eastAsia="Times New Roman" w:cs="Helvetica"/>
          <w:color w:val="333333"/>
          <w:sz w:val="24"/>
          <w:szCs w:val="24"/>
          <w:lang w:eastAsia="en-GB"/>
        </w:rPr>
        <w:t xml:space="preserve"> not the only success story when it comes to the use of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finance. Dubai shopping mall developer Majid Al </w:t>
      </w:r>
      <w:proofErr w:type="spellStart"/>
      <w:r w:rsidRPr="00F55F0E">
        <w:rPr>
          <w:rFonts w:eastAsia="Times New Roman" w:cs="Helvetica"/>
          <w:color w:val="333333"/>
          <w:sz w:val="24"/>
          <w:szCs w:val="24"/>
          <w:lang w:eastAsia="en-GB"/>
        </w:rPr>
        <w:t>Futtaim</w:t>
      </w:r>
      <w:proofErr w:type="spellEnd"/>
      <w:r w:rsidRPr="00F55F0E">
        <w:rPr>
          <w:rFonts w:eastAsia="Times New Roman" w:cs="Helvetica"/>
          <w:color w:val="333333"/>
          <w:sz w:val="24"/>
          <w:szCs w:val="24"/>
          <w:lang w:eastAsia="en-GB"/>
        </w:rPr>
        <w:t xml:space="preserve"> decided against issuing a conventional bond because of pricing concerns. It mandated its banks to set up a separate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programme. Turkish Airlines has followed suit and will finance the purchase of its expanding fleet with Islamic bonds.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market has been relatively resilient during the instability in global financial markets, which has made it more difficult for even highly rated companies around the world to issue conventional bonds. That is partly because Islamic investors in the Gulf remain cash-rich, partly due to the limited supply of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and partly since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investors tend to hold the bonds until maturity. If these bonds are not being sold on to other investors, there is little or no chance of the bond value fluctuating.</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Recent events have shown the same is not true for conventional bonds. The influence of the credit rating agencies with their regular reassessment of government and corporate credit ratings has caused downward movement in prices. </w:t>
      </w:r>
      <w:proofErr w:type="gramStart"/>
      <w:r w:rsidRPr="00F55F0E">
        <w:rPr>
          <w:rFonts w:eastAsia="Times New Roman" w:cs="Helvetica"/>
          <w:color w:val="333333"/>
          <w:sz w:val="24"/>
          <w:szCs w:val="24"/>
          <w:lang w:eastAsia="en-GB"/>
        </w:rPr>
        <w:t>As one commentator recently stated: ‘Equities are the only game in town – bonds carry more risk.’</w:t>
      </w:r>
      <w:proofErr w:type="gramEnd"/>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However, the story of Dubai World, the sovereign investment fund of the Dubai royal family, gives the other side of the story when it comes to the use of Islamic finance. On 25 November 2009, the financial world was shocked when Dubai World requested a restructuring of $26bn in debts. The main concern was the delay in the repayment of the $4bn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or Islamic bond, of Dubai World’s developer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which was especially known for construction of the Dubai Palm Islands.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was quite a complicated instrument. It was broadly based on the aforementioned </w:t>
      </w:r>
      <w:proofErr w:type="spellStart"/>
      <w:r w:rsidRPr="00F55F0E">
        <w:rPr>
          <w:rFonts w:eastAsia="Times New Roman" w:cs="Helvetica"/>
          <w:color w:val="333333"/>
          <w:sz w:val="24"/>
          <w:szCs w:val="24"/>
          <w:lang w:eastAsia="en-GB"/>
        </w:rPr>
        <w:t>Ijarah</w:t>
      </w:r>
      <w:proofErr w:type="spellEnd"/>
      <w:r w:rsidRPr="00F55F0E">
        <w:rPr>
          <w:rFonts w:eastAsia="Times New Roman" w:cs="Helvetica"/>
          <w:color w:val="333333"/>
          <w:sz w:val="24"/>
          <w:szCs w:val="24"/>
          <w:lang w:eastAsia="en-GB"/>
        </w:rPr>
        <w:t xml:space="preserve"> structure. In theory, the SPV has legal ownership over the asset in this sale and leaseback arrangement. However, in this case the SPV only had a long leasehold interest for a period of 50 years. The issue is that leasehold right is not seen as a real right or property right under UAE law as applicable in Dubai. What may have seemed secure was not.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Nevertheless, the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was backed by a few additional guarantees that should have provided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investors with some recourse. As such, these guarantees gave investors the confidence to invest in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A guarantee from the state-owned parent company, which implicitly provides a government guarantee for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(despite the fact that the prospectus clearly stated otherwise), had reassured investors. This misplaced assumption misled investors in their risk–return decision on the investment.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lastRenderedPageBreak/>
        <w:t xml:space="preserve">The issue, however, did not end there; the complications worsened when the parent company that acted as guarantor found itself in a situation that made it no better placed than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to repay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Dubai World is also just a holding company for a number of other companies beside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However, all of Dubai World’s subsidiaries have their own creditors and their own debts to service, and the important thing for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-holders is that the creditors of Dubai World, through the guarantee, are subordinated to the creditors of the subsidiaries of Dubai World.</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A public statement on 30 November 2009 by the Dubai Finance Department director-general, that the Dubai World debts are ‘not guaranteed by the government’, appears to correctly reflect the legal position, as the Dubai government was not required by the lenders, and nor did it provide, any contractual guarantees in respect of the Dubai World debt.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As history tells us,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did not default on its Islamic bond. The well reported $10bn bailout, including providing $4.1bn to assist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directly from Dubai’s rich neighbours Abu Dhabi, calmed the markets. But this was only part of the solution.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also issued new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bonds to some of its creditors in lieu of amounts due to them. This was a key part of the company's restructuring.</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In a prospectus attached to the new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revealed that it wrote down the value of its property and project portfolio by almost Dh74bn (US$20.14bn) in 2009 as its fortunes flagged. The company also said it changed tactics in response to the financial crisis, forging ahead with a selection of its projects and putting others on hold.</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Conclusion</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global debt crisis sent shockwaves through the financial markets and, at the time of writing this article, the western banks remain reluctant to loan cash to the business community. Islamic finance, and in particular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has to some extent filled the gap left by the traditional debt markets.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Sharia principle on which it is based is fundamentally important and should ensure it is a safe and sensible finance option for both the company needing the finance as well as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 Clearly, companies like Emirates have shown the way on how to make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one part of their finance portfolio.</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However, the </w:t>
      </w:r>
      <w:proofErr w:type="spellStart"/>
      <w:r w:rsidRPr="00F55F0E">
        <w:rPr>
          <w:rFonts w:eastAsia="Times New Roman" w:cs="Helvetica"/>
          <w:color w:val="333333"/>
          <w:sz w:val="24"/>
          <w:szCs w:val="24"/>
          <w:lang w:eastAsia="en-GB"/>
        </w:rPr>
        <w:t>Nakheel</w:t>
      </w:r>
      <w:proofErr w:type="spellEnd"/>
      <w:r w:rsidRPr="00F55F0E">
        <w:rPr>
          <w:rFonts w:eastAsia="Times New Roman" w:cs="Helvetica"/>
          <w:color w:val="333333"/>
          <w:sz w:val="24"/>
          <w:szCs w:val="24"/>
          <w:lang w:eastAsia="en-GB"/>
        </w:rPr>
        <w:t xml:space="preserve"> story paints a different picture. A complicated </w:t>
      </w:r>
      <w:proofErr w:type="spellStart"/>
      <w:r w:rsidRPr="00F55F0E">
        <w:rPr>
          <w:rFonts w:eastAsia="Times New Roman" w:cs="Helvetica"/>
          <w:color w:val="333333"/>
          <w:sz w:val="24"/>
          <w:szCs w:val="24"/>
          <w:lang w:eastAsia="en-GB"/>
        </w:rPr>
        <w:t>Ijarah</w:t>
      </w:r>
      <w:proofErr w:type="spellEnd"/>
      <w:r w:rsidRPr="00F55F0E">
        <w:rPr>
          <w:rFonts w:eastAsia="Times New Roman" w:cs="Helvetica"/>
          <w:color w:val="333333"/>
          <w:sz w:val="24"/>
          <w:szCs w:val="24"/>
          <w:lang w:eastAsia="en-GB"/>
        </w:rPr>
        <w:t xml:space="preserve"> structure and a lack of legal clarity as to ownership of the underlying asset have clouded the water. If the Abu Dhabi bailout failed to materialize, then the story may have been significantly different.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b/>
          <w:bCs/>
          <w:color w:val="333333"/>
          <w:sz w:val="24"/>
          <w:szCs w:val="24"/>
          <w:lang w:eastAsia="en-GB"/>
        </w:rPr>
        <w:t> </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b/>
          <w:bCs/>
          <w:color w:val="333333"/>
          <w:sz w:val="24"/>
          <w:szCs w:val="24"/>
          <w:lang w:eastAsia="en-GB"/>
        </w:rPr>
        <w:t>APPENDIX – THE BASIC PRINCIPLES OF ISLAMIC FINANCE</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Islamic economic model has developed over time based on the rulings of Sharia on commercial and financial transactions. The Islamic finance framework is based on:</w:t>
      </w:r>
    </w:p>
    <w:p w:rsidR="00F55F0E" w:rsidRPr="00F55F0E" w:rsidRDefault="00F55F0E" w:rsidP="00F55F0E">
      <w:pPr>
        <w:numPr>
          <w:ilvl w:val="0"/>
          <w:numId w:val="4"/>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lastRenderedPageBreak/>
        <w:t>equity, such that all parties involved in a transaction can make informed decisions without being misled or cheated</w:t>
      </w:r>
    </w:p>
    <w:p w:rsidR="00F55F0E" w:rsidRPr="00F55F0E" w:rsidRDefault="00F55F0E" w:rsidP="00F55F0E">
      <w:pPr>
        <w:numPr>
          <w:ilvl w:val="0"/>
          <w:numId w:val="4"/>
        </w:numPr>
        <w:shd w:val="clear" w:color="auto" w:fill="FFFFFF"/>
        <w:spacing w:before="100" w:beforeAutospacing="1" w:after="100" w:afterAutospacing="1" w:line="240" w:lineRule="auto"/>
        <w:rPr>
          <w:rFonts w:eastAsia="Times New Roman" w:cs="Helvetica"/>
          <w:color w:val="333333"/>
          <w:sz w:val="24"/>
          <w:szCs w:val="24"/>
          <w:lang w:eastAsia="en-GB"/>
        </w:rPr>
      </w:pPr>
      <w:proofErr w:type="gramStart"/>
      <w:r w:rsidRPr="00F55F0E">
        <w:rPr>
          <w:rFonts w:eastAsia="Times New Roman" w:cs="Helvetica"/>
          <w:color w:val="333333"/>
          <w:sz w:val="24"/>
          <w:szCs w:val="24"/>
          <w:lang w:eastAsia="en-GB"/>
        </w:rPr>
        <w:t>pursuing</w:t>
      </w:r>
      <w:proofErr w:type="gramEnd"/>
      <w:r w:rsidRPr="00F55F0E">
        <w:rPr>
          <w:rFonts w:eastAsia="Times New Roman" w:cs="Helvetica"/>
          <w:color w:val="333333"/>
          <w:sz w:val="24"/>
          <w:szCs w:val="24"/>
          <w:lang w:eastAsia="en-GB"/>
        </w:rPr>
        <w:t xml:space="preserve"> personal economic gain but without entering into those transactions that are forbidden (for example, transactions involving alcohol, pork-related products, armaments, gambling and other socially detrimental activities). Also, speculation is also prohibited (so options and futures are ruled out)</w:t>
      </w:r>
    </w:p>
    <w:p w:rsidR="00F55F0E" w:rsidRPr="00F55F0E" w:rsidRDefault="00F55F0E" w:rsidP="00F55F0E">
      <w:pPr>
        <w:numPr>
          <w:ilvl w:val="0"/>
          <w:numId w:val="4"/>
        </w:numPr>
        <w:shd w:val="clear" w:color="auto" w:fill="FFFFFF"/>
        <w:spacing w:before="100" w:beforeAutospacing="1" w:after="100" w:afterAutospacing="1" w:line="240" w:lineRule="auto"/>
        <w:rPr>
          <w:rFonts w:eastAsia="Times New Roman" w:cs="Helvetica"/>
          <w:color w:val="333333"/>
          <w:sz w:val="24"/>
          <w:szCs w:val="24"/>
          <w:lang w:eastAsia="en-GB"/>
        </w:rPr>
      </w:pPr>
      <w:proofErr w:type="gramStart"/>
      <w:r w:rsidRPr="00F55F0E">
        <w:rPr>
          <w:rFonts w:eastAsia="Times New Roman" w:cs="Helvetica"/>
          <w:color w:val="333333"/>
          <w:sz w:val="24"/>
          <w:szCs w:val="24"/>
          <w:lang w:eastAsia="en-GB"/>
        </w:rPr>
        <w:t>the</w:t>
      </w:r>
      <w:proofErr w:type="gramEnd"/>
      <w:r w:rsidRPr="00F55F0E">
        <w:rPr>
          <w:rFonts w:eastAsia="Times New Roman" w:cs="Helvetica"/>
          <w:color w:val="333333"/>
          <w:sz w:val="24"/>
          <w:szCs w:val="24"/>
          <w:lang w:eastAsia="en-GB"/>
        </w:rPr>
        <w:t xml:space="preserve"> strict prohibition of interest (</w:t>
      </w:r>
      <w:proofErr w:type="spellStart"/>
      <w:r w:rsidRPr="00F55F0E">
        <w:rPr>
          <w:rFonts w:eastAsia="Times New Roman" w:cs="Helvetica"/>
          <w:color w:val="333333"/>
          <w:sz w:val="24"/>
          <w:szCs w:val="24"/>
          <w:lang w:eastAsia="en-GB"/>
        </w:rPr>
        <w:t>riba</w:t>
      </w:r>
      <w:proofErr w:type="spellEnd"/>
      <w:r w:rsidRPr="00F55F0E">
        <w:rPr>
          <w:rFonts w:eastAsia="Times New Roman" w:cs="Helvetica"/>
          <w:color w:val="333333"/>
          <w:sz w:val="24"/>
          <w:szCs w:val="24"/>
          <w:lang w:eastAsia="en-GB"/>
        </w:rPr>
        <w:t xml:space="preserve"> = excess).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br/>
        <w:t>As stated above, earning interest (</w:t>
      </w:r>
      <w:proofErr w:type="spellStart"/>
      <w:r w:rsidRPr="00F55F0E">
        <w:rPr>
          <w:rFonts w:eastAsia="Times New Roman" w:cs="Helvetica"/>
          <w:color w:val="333333"/>
          <w:sz w:val="24"/>
          <w:szCs w:val="24"/>
          <w:lang w:eastAsia="en-GB"/>
        </w:rPr>
        <w:t>riba</w:t>
      </w:r>
      <w:proofErr w:type="spellEnd"/>
      <w:r w:rsidRPr="00F55F0E">
        <w:rPr>
          <w:rFonts w:eastAsia="Times New Roman" w:cs="Helvetica"/>
          <w:color w:val="333333"/>
          <w:sz w:val="24"/>
          <w:szCs w:val="24"/>
          <w:lang w:eastAsia="en-GB"/>
        </w:rPr>
        <w:t>) is not allowed.</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In an Islamic bank, the money provided in the form of deposits is not loaned, but is instead channelled into an underlying investment activity, which will earn profit. The depositor is rewarded by a share in that profit, after a management fee is deducted by the bank.</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A typical illustration would be how an Islamic bank may purchase a property from a seller and resell it to a buyer at a profit. The buyer will be allowed to pay in instalments. Compare this to a typical mortgage where the bank lends money to the buyer and charges interest.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Hence, returns are made from cash returns from a productive source – for example, profits from selling assets or allowing the use of an asset (rent).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In Islamic banking there are broadly two categories of financing techniques:</w:t>
      </w:r>
    </w:p>
    <w:p w:rsidR="00F55F0E" w:rsidRPr="00F55F0E" w:rsidRDefault="00F55F0E" w:rsidP="00F55F0E">
      <w:pPr>
        <w:numPr>
          <w:ilvl w:val="0"/>
          <w:numId w:val="5"/>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‘fixed Income’ modes of finance – </w:t>
      </w:r>
      <w:proofErr w:type="spellStart"/>
      <w:r w:rsidRPr="00F55F0E">
        <w:rPr>
          <w:rFonts w:eastAsia="Times New Roman" w:cs="Helvetica"/>
          <w:color w:val="333333"/>
          <w:sz w:val="24"/>
          <w:szCs w:val="24"/>
          <w:lang w:eastAsia="en-GB"/>
        </w:rPr>
        <w:t>murabaha</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ijara</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sukuk</w:t>
      </w:r>
      <w:proofErr w:type="spellEnd"/>
    </w:p>
    <w:p w:rsidR="00F55F0E" w:rsidRPr="00F55F0E" w:rsidRDefault="00F55F0E" w:rsidP="00F55F0E">
      <w:pPr>
        <w:numPr>
          <w:ilvl w:val="0"/>
          <w:numId w:val="5"/>
        </w:numPr>
        <w:shd w:val="clear" w:color="auto" w:fill="FFFFFF"/>
        <w:spacing w:before="100" w:beforeAutospacing="1" w:after="100" w:afterAutospacing="1" w:line="240" w:lineRule="auto"/>
        <w:rPr>
          <w:rFonts w:eastAsia="Times New Roman" w:cs="Helvetica"/>
          <w:color w:val="333333"/>
          <w:sz w:val="24"/>
          <w:szCs w:val="24"/>
          <w:lang w:eastAsia="en-GB"/>
        </w:rPr>
      </w:pPr>
      <w:proofErr w:type="gramStart"/>
      <w:r w:rsidRPr="00F55F0E">
        <w:rPr>
          <w:rFonts w:eastAsia="Times New Roman" w:cs="Helvetica"/>
          <w:color w:val="333333"/>
          <w:sz w:val="24"/>
          <w:szCs w:val="24"/>
          <w:lang w:eastAsia="en-GB"/>
        </w:rPr>
        <w:t>equity</w:t>
      </w:r>
      <w:proofErr w:type="gramEnd"/>
      <w:r w:rsidRPr="00F55F0E">
        <w:rPr>
          <w:rFonts w:eastAsia="Times New Roman" w:cs="Helvetica"/>
          <w:color w:val="333333"/>
          <w:sz w:val="24"/>
          <w:szCs w:val="24"/>
          <w:lang w:eastAsia="en-GB"/>
        </w:rPr>
        <w:t xml:space="preserve"> modes of finance – </w:t>
      </w:r>
      <w:proofErr w:type="spellStart"/>
      <w:r w:rsidRPr="00F55F0E">
        <w:rPr>
          <w:rFonts w:eastAsia="Times New Roman" w:cs="Helvetica"/>
          <w:color w:val="333333"/>
          <w:sz w:val="24"/>
          <w:szCs w:val="24"/>
          <w:lang w:eastAsia="en-GB"/>
        </w:rPr>
        <w:t>mudaraba</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musharaka</w:t>
      </w:r>
      <w:proofErr w:type="spellEnd"/>
      <w:r w:rsidRPr="00F55F0E">
        <w:rPr>
          <w:rFonts w:eastAsia="Times New Roman" w:cs="Helvetica"/>
          <w:color w:val="333333"/>
          <w:sz w:val="24"/>
          <w:szCs w:val="24"/>
          <w:lang w:eastAsia="en-GB"/>
        </w:rPr>
        <w:t>.</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Fixed income modes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i/>
          <w:iCs/>
          <w:color w:val="333333"/>
          <w:sz w:val="24"/>
          <w:szCs w:val="24"/>
          <w:lang w:eastAsia="en-GB"/>
        </w:rPr>
        <w:t xml:space="preserve">(a) </w:t>
      </w:r>
      <w:proofErr w:type="spellStart"/>
      <w:r w:rsidRPr="00F55F0E">
        <w:rPr>
          <w:rFonts w:eastAsia="Times New Roman" w:cs="Helvetica"/>
          <w:i/>
          <w:iCs/>
          <w:color w:val="333333"/>
          <w:sz w:val="24"/>
          <w:szCs w:val="24"/>
          <w:lang w:eastAsia="en-GB"/>
        </w:rPr>
        <w:t>Murabaha</w:t>
      </w:r>
      <w:proofErr w:type="spellEnd"/>
      <w:r w:rsidRPr="00F55F0E">
        <w:rPr>
          <w:rFonts w:eastAsia="Times New Roman" w:cs="Helvetica"/>
          <w:i/>
          <w:iCs/>
          <w:color w:val="333333"/>
          <w:sz w:val="24"/>
          <w:szCs w:val="24"/>
          <w:lang w:eastAsia="en-GB"/>
        </w:rPr>
        <w:t xml:space="preserve"> </w:t>
      </w:r>
      <w:r w:rsidRPr="00F55F0E">
        <w:rPr>
          <w:rFonts w:eastAsia="Times New Roman" w:cs="Helvetica"/>
          <w:i/>
          <w:iCs/>
          <w:color w:val="333333"/>
          <w:sz w:val="24"/>
          <w:szCs w:val="24"/>
          <w:lang w:eastAsia="en-GB"/>
        </w:rPr>
        <w:br/>
      </w:r>
      <w:proofErr w:type="spellStart"/>
      <w:r w:rsidRPr="00F55F0E">
        <w:rPr>
          <w:rFonts w:eastAsia="Times New Roman" w:cs="Helvetica"/>
          <w:color w:val="333333"/>
          <w:sz w:val="24"/>
          <w:szCs w:val="24"/>
          <w:lang w:eastAsia="en-GB"/>
        </w:rPr>
        <w:t>Murabaha</w:t>
      </w:r>
      <w:proofErr w:type="spellEnd"/>
      <w:r w:rsidRPr="00F55F0E">
        <w:rPr>
          <w:rFonts w:eastAsia="Times New Roman" w:cs="Helvetica"/>
          <w:color w:val="333333"/>
          <w:sz w:val="24"/>
          <w:szCs w:val="24"/>
          <w:lang w:eastAsia="en-GB"/>
        </w:rPr>
        <w:t xml:space="preserve"> is a form of trade credit or loan. The key distinction between a </w:t>
      </w:r>
      <w:proofErr w:type="spellStart"/>
      <w:r w:rsidRPr="00F55F0E">
        <w:rPr>
          <w:rFonts w:eastAsia="Times New Roman" w:cs="Helvetica"/>
          <w:color w:val="333333"/>
          <w:sz w:val="24"/>
          <w:szCs w:val="24"/>
          <w:lang w:eastAsia="en-GB"/>
        </w:rPr>
        <w:t>murabaha</w:t>
      </w:r>
      <w:proofErr w:type="spellEnd"/>
      <w:r w:rsidRPr="00F55F0E">
        <w:rPr>
          <w:rFonts w:eastAsia="Times New Roman" w:cs="Helvetica"/>
          <w:color w:val="333333"/>
          <w:sz w:val="24"/>
          <w:szCs w:val="24"/>
          <w:lang w:eastAsia="en-GB"/>
        </w:rPr>
        <w:t xml:space="preserve"> and a loan is that, with a </w:t>
      </w:r>
      <w:proofErr w:type="spellStart"/>
      <w:r w:rsidRPr="00F55F0E">
        <w:rPr>
          <w:rFonts w:eastAsia="Times New Roman" w:cs="Helvetica"/>
          <w:color w:val="333333"/>
          <w:sz w:val="24"/>
          <w:szCs w:val="24"/>
          <w:lang w:eastAsia="en-GB"/>
        </w:rPr>
        <w:t>murabaha</w:t>
      </w:r>
      <w:proofErr w:type="spellEnd"/>
      <w:r w:rsidRPr="00F55F0E">
        <w:rPr>
          <w:rFonts w:eastAsia="Times New Roman" w:cs="Helvetica"/>
          <w:color w:val="333333"/>
          <w:sz w:val="24"/>
          <w:szCs w:val="24"/>
          <w:lang w:eastAsia="en-GB"/>
        </w:rPr>
        <w:t>, the bank will take actual constructive or physical ownership of the asset. The asset is then sold to the ‘borrower’ or ‘buyer’ for a profit but they are allowed to pay the bank over a set number of instalments.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period of the repayments could be extended, but no penalties or additional mark-up may be added by the bank. Early payment discounts are not within the contract.</w:t>
      </w:r>
      <w:r w:rsidRPr="00F55F0E">
        <w:rPr>
          <w:rFonts w:eastAsia="Times New Roman" w:cs="Helvetica"/>
          <w:color w:val="333333"/>
          <w:sz w:val="24"/>
          <w:szCs w:val="24"/>
          <w:lang w:eastAsia="en-GB"/>
        </w:rPr>
        <w:br/>
      </w:r>
      <w:r w:rsidRPr="00F55F0E">
        <w:rPr>
          <w:rFonts w:eastAsia="Times New Roman" w:cs="Helvetica"/>
          <w:color w:val="333333"/>
          <w:sz w:val="24"/>
          <w:szCs w:val="24"/>
          <w:lang w:eastAsia="en-GB"/>
        </w:rPr>
        <w:br/>
      </w:r>
      <w:r w:rsidRPr="00F55F0E">
        <w:rPr>
          <w:rFonts w:eastAsia="Times New Roman" w:cs="Helvetica"/>
          <w:i/>
          <w:iCs/>
          <w:color w:val="333333"/>
          <w:sz w:val="24"/>
          <w:szCs w:val="24"/>
          <w:lang w:eastAsia="en-GB"/>
        </w:rPr>
        <w:t xml:space="preserve">(b) </w:t>
      </w:r>
      <w:proofErr w:type="spellStart"/>
      <w:r w:rsidRPr="00F55F0E">
        <w:rPr>
          <w:rFonts w:eastAsia="Times New Roman" w:cs="Helvetica"/>
          <w:i/>
          <w:iCs/>
          <w:color w:val="333333"/>
          <w:sz w:val="24"/>
          <w:szCs w:val="24"/>
          <w:lang w:eastAsia="en-GB"/>
        </w:rPr>
        <w:t>Ijara</w:t>
      </w:r>
      <w:proofErr w:type="spellEnd"/>
      <w:r w:rsidRPr="00F55F0E">
        <w:rPr>
          <w:rFonts w:eastAsia="Times New Roman" w:cs="Helvetica"/>
          <w:i/>
          <w:iCs/>
          <w:color w:val="333333"/>
          <w:sz w:val="24"/>
          <w:szCs w:val="24"/>
          <w:lang w:eastAsia="en-GB"/>
        </w:rPr>
        <w:t xml:space="preserve"> </w:t>
      </w:r>
      <w:r w:rsidRPr="00F55F0E">
        <w:rPr>
          <w:rFonts w:eastAsia="Times New Roman" w:cs="Helvetica"/>
          <w:i/>
          <w:iCs/>
          <w:color w:val="333333"/>
          <w:sz w:val="24"/>
          <w:szCs w:val="24"/>
          <w:lang w:eastAsia="en-GB"/>
        </w:rPr>
        <w:br/>
      </w:r>
      <w:proofErr w:type="spellStart"/>
      <w:r w:rsidRPr="00F55F0E">
        <w:rPr>
          <w:rFonts w:eastAsia="Times New Roman" w:cs="Helvetica"/>
          <w:color w:val="333333"/>
          <w:sz w:val="24"/>
          <w:szCs w:val="24"/>
          <w:lang w:eastAsia="en-GB"/>
        </w:rPr>
        <w:t>Ijara</w:t>
      </w:r>
      <w:proofErr w:type="spellEnd"/>
      <w:r w:rsidRPr="00F55F0E">
        <w:rPr>
          <w:rFonts w:eastAsia="Times New Roman" w:cs="Helvetica"/>
          <w:color w:val="333333"/>
          <w:sz w:val="24"/>
          <w:szCs w:val="24"/>
          <w:lang w:eastAsia="en-GB"/>
        </w:rPr>
        <w:t xml:space="preserve"> is the equivalent of lease finance. It is defined as when the use of the underlying asset or service is transferred for consideration. Under this concept, the bank makes available to the customer the use of assets or equipment such as plant or motor vehicles for a fixed period and price. Some of the specifications of an </w:t>
      </w:r>
      <w:proofErr w:type="spellStart"/>
      <w:r w:rsidRPr="00F55F0E">
        <w:rPr>
          <w:rFonts w:eastAsia="Times New Roman" w:cs="Helvetica"/>
          <w:color w:val="333333"/>
          <w:sz w:val="24"/>
          <w:szCs w:val="24"/>
          <w:lang w:eastAsia="en-GB"/>
        </w:rPr>
        <w:t>Ijara</w:t>
      </w:r>
      <w:proofErr w:type="spellEnd"/>
      <w:r w:rsidRPr="00F55F0E">
        <w:rPr>
          <w:rFonts w:eastAsia="Times New Roman" w:cs="Helvetica"/>
          <w:color w:val="333333"/>
          <w:sz w:val="24"/>
          <w:szCs w:val="24"/>
          <w:lang w:eastAsia="en-GB"/>
        </w:rPr>
        <w:t xml:space="preserve"> contact include:</w:t>
      </w:r>
    </w:p>
    <w:p w:rsidR="00F55F0E" w:rsidRPr="00F55F0E" w:rsidRDefault="00F55F0E" w:rsidP="00F55F0E">
      <w:pPr>
        <w:numPr>
          <w:ilvl w:val="0"/>
          <w:numId w:val="6"/>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use of the leased asset must be specified in the contract</w:t>
      </w:r>
    </w:p>
    <w:p w:rsidR="00F55F0E" w:rsidRPr="00F55F0E" w:rsidRDefault="00F55F0E" w:rsidP="00F55F0E">
      <w:pPr>
        <w:numPr>
          <w:ilvl w:val="0"/>
          <w:numId w:val="6"/>
        </w:num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the lessor (the bank) is responsible for the major maintenance of the underlying assets (ownership costs)</w:t>
      </w:r>
    </w:p>
    <w:p w:rsidR="00F55F0E" w:rsidRPr="00F55F0E" w:rsidRDefault="00F55F0E" w:rsidP="00F55F0E">
      <w:pPr>
        <w:numPr>
          <w:ilvl w:val="0"/>
          <w:numId w:val="6"/>
        </w:numPr>
        <w:shd w:val="clear" w:color="auto" w:fill="FFFFFF"/>
        <w:spacing w:before="100" w:beforeAutospacing="1" w:after="100" w:afterAutospacing="1" w:line="240" w:lineRule="auto"/>
        <w:rPr>
          <w:rFonts w:eastAsia="Times New Roman" w:cs="Helvetica"/>
          <w:color w:val="333333"/>
          <w:sz w:val="24"/>
          <w:szCs w:val="24"/>
          <w:lang w:eastAsia="en-GB"/>
        </w:rPr>
      </w:pPr>
      <w:proofErr w:type="gramStart"/>
      <w:r w:rsidRPr="00F55F0E">
        <w:rPr>
          <w:rFonts w:eastAsia="Times New Roman" w:cs="Helvetica"/>
          <w:color w:val="333333"/>
          <w:sz w:val="24"/>
          <w:szCs w:val="24"/>
          <w:lang w:eastAsia="en-GB"/>
        </w:rPr>
        <w:lastRenderedPageBreak/>
        <w:t>the</w:t>
      </w:r>
      <w:proofErr w:type="gramEnd"/>
      <w:r w:rsidRPr="00F55F0E">
        <w:rPr>
          <w:rFonts w:eastAsia="Times New Roman" w:cs="Helvetica"/>
          <w:color w:val="333333"/>
          <w:sz w:val="24"/>
          <w:szCs w:val="24"/>
          <w:lang w:eastAsia="en-GB"/>
        </w:rPr>
        <w:t xml:space="preserve"> lessee is held for maintaining the asset in proper order.</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br/>
        <w:t>An Islamic lease is more like an operating lease, but the redemption features may be structured to make it similar to a finance lease.</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i/>
          <w:iCs/>
          <w:color w:val="333333"/>
          <w:sz w:val="24"/>
          <w:szCs w:val="24"/>
          <w:lang w:eastAsia="en-GB"/>
        </w:rPr>
        <w:t xml:space="preserve">(c) </w:t>
      </w:r>
      <w:proofErr w:type="spellStart"/>
      <w:r w:rsidRPr="00F55F0E">
        <w:rPr>
          <w:rFonts w:eastAsia="Times New Roman" w:cs="Helvetica"/>
          <w:i/>
          <w:iCs/>
          <w:color w:val="333333"/>
          <w:sz w:val="24"/>
          <w:szCs w:val="24"/>
          <w:lang w:eastAsia="en-GB"/>
        </w:rPr>
        <w:t>Sukuk</w:t>
      </w:r>
      <w:proofErr w:type="spellEnd"/>
      <w:r w:rsidRPr="00F55F0E">
        <w:rPr>
          <w:rFonts w:eastAsia="Times New Roman" w:cs="Helvetica"/>
          <w:i/>
          <w:iCs/>
          <w:color w:val="333333"/>
          <w:sz w:val="24"/>
          <w:szCs w:val="24"/>
          <w:lang w:eastAsia="en-GB"/>
        </w:rPr>
        <w:br/>
      </w:r>
      <w:r w:rsidRPr="00F55F0E">
        <w:rPr>
          <w:rFonts w:eastAsia="Times New Roman" w:cs="Helvetica"/>
          <w:color w:val="333333"/>
          <w:sz w:val="24"/>
          <w:szCs w:val="24"/>
          <w:lang w:eastAsia="en-GB"/>
        </w:rPr>
        <w:t>Companies often issue bonds to enable them to raise debt finance. The bond holder receives interest and this is paid before dividends. </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This is prohibited under Islamic law. Instead, Islamic bonds (or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are linked to an underlying asset, such that a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 is a partial owner in the underlying assets and profit is linked to the performance of the underlying asset. So, for example, a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holder will participate in the ownership of the company issuing the </w:t>
      </w:r>
      <w:proofErr w:type="spellStart"/>
      <w:r w:rsidRPr="00F55F0E">
        <w:rPr>
          <w:rFonts w:eastAsia="Times New Roman" w:cs="Helvetica"/>
          <w:color w:val="333333"/>
          <w:sz w:val="24"/>
          <w:szCs w:val="24"/>
          <w:lang w:eastAsia="en-GB"/>
        </w:rPr>
        <w:t>sukuk</w:t>
      </w:r>
      <w:proofErr w:type="spellEnd"/>
      <w:r w:rsidRPr="00F55F0E">
        <w:rPr>
          <w:rFonts w:eastAsia="Times New Roman" w:cs="Helvetica"/>
          <w:color w:val="333333"/>
          <w:sz w:val="24"/>
          <w:szCs w:val="24"/>
          <w:lang w:eastAsia="en-GB"/>
        </w:rPr>
        <w:t xml:space="preserve"> and has a right to profits (but will equally bear their share of any losses).</w:t>
      </w:r>
    </w:p>
    <w:p w:rsidR="00F55F0E" w:rsidRPr="00F55F0E" w:rsidRDefault="00F55F0E" w:rsidP="00F55F0E">
      <w:pPr>
        <w:shd w:val="clear" w:color="auto" w:fill="FFFFFF"/>
        <w:spacing w:before="100" w:beforeAutospacing="1" w:after="100" w:afterAutospacing="1" w:line="240" w:lineRule="auto"/>
        <w:outlineLvl w:val="3"/>
        <w:rPr>
          <w:rFonts w:eastAsia="Times New Roman" w:cs="Helvetica"/>
          <w:b/>
          <w:bCs/>
          <w:caps/>
          <w:color w:val="333333"/>
          <w:sz w:val="24"/>
          <w:szCs w:val="24"/>
          <w:lang w:eastAsia="en-GB"/>
        </w:rPr>
      </w:pPr>
      <w:r w:rsidRPr="00F55F0E">
        <w:rPr>
          <w:rFonts w:eastAsia="Times New Roman" w:cs="Helvetica"/>
          <w:b/>
          <w:bCs/>
          <w:caps/>
          <w:color w:val="333333"/>
          <w:sz w:val="24"/>
          <w:szCs w:val="24"/>
          <w:lang w:eastAsia="en-GB"/>
        </w:rPr>
        <w:br/>
        <w:t>Equity modes </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i/>
          <w:iCs/>
          <w:color w:val="333333"/>
          <w:sz w:val="24"/>
          <w:szCs w:val="24"/>
          <w:lang w:eastAsia="en-GB"/>
        </w:rPr>
        <w:t xml:space="preserve">(a) </w:t>
      </w:r>
      <w:proofErr w:type="spellStart"/>
      <w:r w:rsidRPr="00F55F0E">
        <w:rPr>
          <w:rFonts w:eastAsia="Times New Roman" w:cs="Helvetica"/>
          <w:i/>
          <w:iCs/>
          <w:color w:val="333333"/>
          <w:sz w:val="24"/>
          <w:szCs w:val="24"/>
          <w:lang w:eastAsia="en-GB"/>
        </w:rPr>
        <w:t>Mudaraba</w:t>
      </w:r>
      <w:proofErr w:type="spellEnd"/>
      <w:r w:rsidRPr="00F55F0E">
        <w:rPr>
          <w:rFonts w:eastAsia="Times New Roman" w:cs="Helvetica"/>
          <w:i/>
          <w:iCs/>
          <w:color w:val="333333"/>
          <w:sz w:val="24"/>
          <w:szCs w:val="24"/>
          <w:lang w:eastAsia="en-GB"/>
        </w:rPr>
        <w:br/>
      </w:r>
      <w:proofErr w:type="spellStart"/>
      <w:r w:rsidRPr="00F55F0E">
        <w:rPr>
          <w:rFonts w:eastAsia="Times New Roman" w:cs="Helvetica"/>
          <w:color w:val="333333"/>
          <w:sz w:val="24"/>
          <w:szCs w:val="24"/>
          <w:lang w:eastAsia="en-GB"/>
        </w:rPr>
        <w:t>Mudaraba</w:t>
      </w:r>
      <w:proofErr w:type="spellEnd"/>
      <w:r w:rsidRPr="00F55F0E">
        <w:rPr>
          <w:rFonts w:eastAsia="Times New Roman" w:cs="Helvetica"/>
          <w:color w:val="333333"/>
          <w:sz w:val="24"/>
          <w:szCs w:val="24"/>
          <w:lang w:eastAsia="en-GB"/>
        </w:rPr>
        <w:t xml:space="preserve"> is a special kind of partnership where one partner gives money to another for investing it in a commercial enterprise. The investment comes from the first partner (who is called ‘</w:t>
      </w:r>
      <w:proofErr w:type="spellStart"/>
      <w:r w:rsidRPr="00F55F0E">
        <w:rPr>
          <w:rFonts w:eastAsia="Times New Roman" w:cs="Helvetica"/>
          <w:color w:val="333333"/>
          <w:sz w:val="24"/>
          <w:szCs w:val="24"/>
          <w:lang w:eastAsia="en-GB"/>
        </w:rPr>
        <w:t>rab</w:t>
      </w:r>
      <w:proofErr w:type="spellEnd"/>
      <w:r w:rsidRPr="00F55F0E">
        <w:rPr>
          <w:rFonts w:eastAsia="Times New Roman" w:cs="Helvetica"/>
          <w:color w:val="333333"/>
          <w:sz w:val="24"/>
          <w:szCs w:val="24"/>
          <w:lang w:eastAsia="en-GB"/>
        </w:rPr>
        <w:t xml:space="preserve"> </w:t>
      </w:r>
      <w:proofErr w:type="spellStart"/>
      <w:r w:rsidRPr="00F55F0E">
        <w:rPr>
          <w:rFonts w:eastAsia="Times New Roman" w:cs="Helvetica"/>
          <w:color w:val="333333"/>
          <w:sz w:val="24"/>
          <w:szCs w:val="24"/>
          <w:lang w:eastAsia="en-GB"/>
        </w:rPr>
        <w:t>ul</w:t>
      </w:r>
      <w:proofErr w:type="spellEnd"/>
      <w:r w:rsidRPr="00F55F0E">
        <w:rPr>
          <w:rFonts w:eastAsia="Times New Roman" w:cs="Helvetica"/>
          <w:color w:val="333333"/>
          <w:sz w:val="24"/>
          <w:szCs w:val="24"/>
          <w:lang w:eastAsia="en-GB"/>
        </w:rPr>
        <w:t xml:space="preserve"> mal’), while the management and work is an exclusive responsibility of the other (who is called ‘</w:t>
      </w:r>
      <w:proofErr w:type="spellStart"/>
      <w:r w:rsidRPr="00F55F0E">
        <w:rPr>
          <w:rFonts w:eastAsia="Times New Roman" w:cs="Helvetica"/>
          <w:color w:val="333333"/>
          <w:sz w:val="24"/>
          <w:szCs w:val="24"/>
          <w:lang w:eastAsia="en-GB"/>
        </w:rPr>
        <w:t>mudarib</w:t>
      </w:r>
      <w:proofErr w:type="spellEnd"/>
      <w:r w:rsidRPr="00F55F0E">
        <w:rPr>
          <w:rFonts w:eastAsia="Times New Roman" w:cs="Helvetica"/>
          <w:color w:val="333333"/>
          <w:sz w:val="24"/>
          <w:szCs w:val="24"/>
          <w:lang w:eastAsia="en-GB"/>
        </w:rPr>
        <w:t>’).</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 xml:space="preserve">The </w:t>
      </w:r>
      <w:proofErr w:type="spellStart"/>
      <w:r w:rsidRPr="00F55F0E">
        <w:rPr>
          <w:rFonts w:eastAsia="Times New Roman" w:cs="Helvetica"/>
          <w:color w:val="333333"/>
          <w:sz w:val="24"/>
          <w:szCs w:val="24"/>
          <w:lang w:eastAsia="en-GB"/>
        </w:rPr>
        <w:t>Mudaraba</w:t>
      </w:r>
      <w:proofErr w:type="spellEnd"/>
      <w:r w:rsidRPr="00F55F0E">
        <w:rPr>
          <w:rFonts w:eastAsia="Times New Roman" w:cs="Helvetica"/>
          <w:color w:val="333333"/>
          <w:sz w:val="24"/>
          <w:szCs w:val="24"/>
          <w:lang w:eastAsia="en-GB"/>
        </w:rPr>
        <w:t xml:space="preserve"> (profit sharing) is a contract, with one party providing 100% of the capital and the other party providing its specialist knowledge to invest the capital and manage the investment project. Profits generated are shared between the parties according to a pre-agreed ratio. In a </w:t>
      </w:r>
      <w:proofErr w:type="spellStart"/>
      <w:r w:rsidRPr="00F55F0E">
        <w:rPr>
          <w:rFonts w:eastAsia="Times New Roman" w:cs="Helvetica"/>
          <w:color w:val="333333"/>
          <w:sz w:val="24"/>
          <w:szCs w:val="24"/>
          <w:lang w:eastAsia="en-GB"/>
        </w:rPr>
        <w:t>Mudaraba</w:t>
      </w:r>
      <w:proofErr w:type="spellEnd"/>
      <w:r w:rsidRPr="00F55F0E">
        <w:rPr>
          <w:rFonts w:eastAsia="Times New Roman" w:cs="Helvetica"/>
          <w:color w:val="333333"/>
          <w:sz w:val="24"/>
          <w:szCs w:val="24"/>
          <w:lang w:eastAsia="en-GB"/>
        </w:rPr>
        <w:t xml:space="preserve"> only the lender of the money has to take losses.</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color w:val="333333"/>
          <w:sz w:val="24"/>
          <w:szCs w:val="24"/>
          <w:lang w:eastAsia="en-GB"/>
        </w:rPr>
        <w:t>This arrangement is therefore most closely aligned with equity finance.</w:t>
      </w:r>
    </w:p>
    <w:p w:rsidR="00F55F0E" w:rsidRPr="00F55F0E" w:rsidRDefault="00F55F0E" w:rsidP="00F55F0E">
      <w:pPr>
        <w:shd w:val="clear" w:color="auto" w:fill="FFFFFF"/>
        <w:spacing w:before="100" w:beforeAutospacing="1" w:after="100" w:afterAutospacing="1" w:line="240" w:lineRule="auto"/>
        <w:rPr>
          <w:rFonts w:eastAsia="Times New Roman" w:cs="Helvetica"/>
          <w:color w:val="333333"/>
          <w:sz w:val="24"/>
          <w:szCs w:val="24"/>
          <w:lang w:eastAsia="en-GB"/>
        </w:rPr>
      </w:pPr>
      <w:r w:rsidRPr="00F55F0E">
        <w:rPr>
          <w:rFonts w:eastAsia="Times New Roman" w:cs="Helvetica"/>
          <w:i/>
          <w:iCs/>
          <w:color w:val="333333"/>
          <w:sz w:val="24"/>
          <w:szCs w:val="24"/>
          <w:lang w:eastAsia="en-GB"/>
        </w:rPr>
        <w:t xml:space="preserve">(b) </w:t>
      </w:r>
      <w:proofErr w:type="spellStart"/>
      <w:r w:rsidRPr="00F55F0E">
        <w:rPr>
          <w:rFonts w:eastAsia="Times New Roman" w:cs="Helvetica"/>
          <w:i/>
          <w:iCs/>
          <w:color w:val="333333"/>
          <w:sz w:val="24"/>
          <w:szCs w:val="24"/>
          <w:lang w:eastAsia="en-GB"/>
        </w:rPr>
        <w:t>Musharaka</w:t>
      </w:r>
      <w:proofErr w:type="spellEnd"/>
      <w:r w:rsidRPr="00F55F0E">
        <w:rPr>
          <w:rFonts w:eastAsia="Times New Roman" w:cs="Helvetica"/>
          <w:i/>
          <w:iCs/>
          <w:color w:val="333333"/>
          <w:sz w:val="24"/>
          <w:szCs w:val="24"/>
          <w:lang w:eastAsia="en-GB"/>
        </w:rPr>
        <w:br/>
      </w:r>
      <w:proofErr w:type="spellStart"/>
      <w:r w:rsidRPr="00F55F0E">
        <w:rPr>
          <w:rFonts w:eastAsia="Times New Roman" w:cs="Helvetica"/>
          <w:color w:val="333333"/>
          <w:sz w:val="24"/>
          <w:szCs w:val="24"/>
          <w:lang w:eastAsia="en-GB"/>
        </w:rPr>
        <w:t>Musharaka</w:t>
      </w:r>
      <w:proofErr w:type="spellEnd"/>
      <w:r w:rsidRPr="00F55F0E">
        <w:rPr>
          <w:rFonts w:eastAsia="Times New Roman" w:cs="Helvetica"/>
          <w:color w:val="333333"/>
          <w:sz w:val="24"/>
          <w:szCs w:val="24"/>
          <w:lang w:eastAsia="en-GB"/>
        </w:rPr>
        <w:t xml:space="preserve"> is a relationship between two or more parties that contribute capital to a business, and divide the net profit and loss pro rata. It is most closely aligned with the concept of venture capital. All providers of capital are entitled to participate in management, but are not required to do so. The profit is distributed among the partners in pre-agreed ratios, while the loss is borne by each partner strictly in proportion to their respective capital.</w:t>
      </w:r>
    </w:p>
    <w:p w:rsidR="0048304D" w:rsidRPr="00F55F0E" w:rsidRDefault="00730075">
      <w:pPr>
        <w:rPr>
          <w:sz w:val="24"/>
          <w:szCs w:val="24"/>
        </w:rPr>
      </w:pPr>
    </w:p>
    <w:sectPr w:rsidR="0048304D" w:rsidRPr="00F55F0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01F" w:rsidRDefault="009E501F" w:rsidP="009E501F">
      <w:pPr>
        <w:spacing w:after="0" w:line="240" w:lineRule="auto"/>
      </w:pPr>
      <w:r>
        <w:separator/>
      </w:r>
    </w:p>
  </w:endnote>
  <w:endnote w:type="continuationSeparator" w:id="0">
    <w:p w:rsidR="009E501F" w:rsidRDefault="009E501F" w:rsidP="009E5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842233"/>
      <w:docPartObj>
        <w:docPartGallery w:val="Page Numbers (Bottom of Page)"/>
        <w:docPartUnique/>
      </w:docPartObj>
    </w:sdtPr>
    <w:sdtEndPr>
      <w:rPr>
        <w:noProof/>
      </w:rPr>
    </w:sdtEndPr>
    <w:sdtContent>
      <w:p w:rsidR="009E501F" w:rsidRDefault="009E501F">
        <w:pPr>
          <w:pStyle w:val="Footer"/>
          <w:jc w:val="right"/>
        </w:pPr>
        <w:r>
          <w:fldChar w:fldCharType="begin"/>
        </w:r>
        <w:r>
          <w:instrText xml:space="preserve"> PAGE   \* MERGEFORMAT </w:instrText>
        </w:r>
        <w:r>
          <w:fldChar w:fldCharType="separate"/>
        </w:r>
        <w:r w:rsidR="00730075">
          <w:rPr>
            <w:noProof/>
          </w:rPr>
          <w:t>3</w:t>
        </w:r>
        <w:r>
          <w:rPr>
            <w:noProof/>
          </w:rPr>
          <w:fldChar w:fldCharType="end"/>
        </w:r>
      </w:p>
    </w:sdtContent>
  </w:sdt>
  <w:p w:rsidR="009E501F" w:rsidRDefault="009E50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01F" w:rsidRDefault="009E501F" w:rsidP="009E501F">
      <w:pPr>
        <w:spacing w:after="0" w:line="240" w:lineRule="auto"/>
      </w:pPr>
      <w:r>
        <w:separator/>
      </w:r>
    </w:p>
  </w:footnote>
  <w:footnote w:type="continuationSeparator" w:id="0">
    <w:p w:rsidR="009E501F" w:rsidRDefault="009E501F" w:rsidP="009E50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E3504"/>
    <w:multiLevelType w:val="multilevel"/>
    <w:tmpl w:val="12B4D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0B5EEC"/>
    <w:multiLevelType w:val="multilevel"/>
    <w:tmpl w:val="A362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F55745"/>
    <w:multiLevelType w:val="multilevel"/>
    <w:tmpl w:val="9738E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B835ED"/>
    <w:multiLevelType w:val="multilevel"/>
    <w:tmpl w:val="E7C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1D16C0"/>
    <w:multiLevelType w:val="multilevel"/>
    <w:tmpl w:val="DEE0F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C817015"/>
    <w:multiLevelType w:val="multilevel"/>
    <w:tmpl w:val="4C7E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F0E"/>
    <w:rsid w:val="00730075"/>
    <w:rsid w:val="00834B16"/>
    <w:rsid w:val="008C7FE8"/>
    <w:rsid w:val="009E501F"/>
    <w:rsid w:val="00A21B89"/>
    <w:rsid w:val="00D3001C"/>
    <w:rsid w:val="00F55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alloonText">
    <w:name w:val="Balloon Text"/>
    <w:basedOn w:val="Normal"/>
    <w:link w:val="BalloonTextChar"/>
    <w:uiPriority w:val="99"/>
    <w:semiHidden/>
    <w:unhideWhenUsed/>
    <w:rsid w:val="00F55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F0E"/>
    <w:rPr>
      <w:rFonts w:ascii="Tahoma" w:hAnsi="Tahoma" w:cs="Tahoma"/>
      <w:sz w:val="16"/>
      <w:szCs w:val="16"/>
    </w:rPr>
  </w:style>
  <w:style w:type="paragraph" w:styleId="Header">
    <w:name w:val="header"/>
    <w:basedOn w:val="Normal"/>
    <w:link w:val="HeaderChar"/>
    <w:uiPriority w:val="99"/>
    <w:unhideWhenUsed/>
    <w:rsid w:val="009E5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01F"/>
  </w:style>
  <w:style w:type="paragraph" w:styleId="Footer">
    <w:name w:val="footer"/>
    <w:basedOn w:val="Normal"/>
    <w:link w:val="FooterChar"/>
    <w:uiPriority w:val="99"/>
    <w:unhideWhenUsed/>
    <w:rsid w:val="009E5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0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styleId="BalloonText">
    <w:name w:val="Balloon Text"/>
    <w:basedOn w:val="Normal"/>
    <w:link w:val="BalloonTextChar"/>
    <w:uiPriority w:val="99"/>
    <w:semiHidden/>
    <w:unhideWhenUsed/>
    <w:rsid w:val="00F55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F0E"/>
    <w:rPr>
      <w:rFonts w:ascii="Tahoma" w:hAnsi="Tahoma" w:cs="Tahoma"/>
      <w:sz w:val="16"/>
      <w:szCs w:val="16"/>
    </w:rPr>
  </w:style>
  <w:style w:type="paragraph" w:styleId="Header">
    <w:name w:val="header"/>
    <w:basedOn w:val="Normal"/>
    <w:link w:val="HeaderChar"/>
    <w:uiPriority w:val="99"/>
    <w:unhideWhenUsed/>
    <w:rsid w:val="009E5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01F"/>
  </w:style>
  <w:style w:type="paragraph" w:styleId="Footer">
    <w:name w:val="footer"/>
    <w:basedOn w:val="Normal"/>
    <w:link w:val="FooterChar"/>
    <w:uiPriority w:val="99"/>
    <w:unhideWhenUsed/>
    <w:rsid w:val="009E5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39606">
      <w:bodyDiv w:val="1"/>
      <w:marLeft w:val="0"/>
      <w:marRight w:val="0"/>
      <w:marTop w:val="0"/>
      <w:marBottom w:val="0"/>
      <w:divBdr>
        <w:top w:val="none" w:sz="0" w:space="0" w:color="auto"/>
        <w:left w:val="none" w:sz="0" w:space="0" w:color="auto"/>
        <w:bottom w:val="none" w:sz="0" w:space="0" w:color="auto"/>
        <w:right w:val="none" w:sz="0" w:space="0" w:color="auto"/>
      </w:divBdr>
      <w:divsChild>
        <w:div w:id="1130319365">
          <w:marLeft w:val="0"/>
          <w:marRight w:val="0"/>
          <w:marTop w:val="0"/>
          <w:marBottom w:val="0"/>
          <w:divBdr>
            <w:top w:val="none" w:sz="0" w:space="0" w:color="auto"/>
            <w:left w:val="none" w:sz="0" w:space="0" w:color="auto"/>
            <w:bottom w:val="none" w:sz="0" w:space="0" w:color="auto"/>
            <w:right w:val="none" w:sz="0" w:space="0" w:color="auto"/>
          </w:divBdr>
          <w:divsChild>
            <w:div w:id="1882327222">
              <w:marLeft w:val="0"/>
              <w:marRight w:val="0"/>
              <w:marTop w:val="0"/>
              <w:marBottom w:val="0"/>
              <w:divBdr>
                <w:top w:val="none" w:sz="0" w:space="0" w:color="auto"/>
                <w:left w:val="none" w:sz="0" w:space="0" w:color="auto"/>
                <w:bottom w:val="none" w:sz="0" w:space="0" w:color="auto"/>
                <w:right w:val="none" w:sz="0" w:space="0" w:color="auto"/>
              </w:divBdr>
              <w:divsChild>
                <w:div w:id="771322113">
                  <w:marLeft w:val="0"/>
                  <w:marRight w:val="0"/>
                  <w:marTop w:val="225"/>
                  <w:marBottom w:val="0"/>
                  <w:divBdr>
                    <w:top w:val="none" w:sz="0" w:space="0" w:color="auto"/>
                    <w:left w:val="none" w:sz="0" w:space="0" w:color="auto"/>
                    <w:bottom w:val="none" w:sz="0" w:space="0" w:color="auto"/>
                    <w:right w:val="none" w:sz="0" w:space="0" w:color="auto"/>
                  </w:divBdr>
                  <w:divsChild>
                    <w:div w:id="1605383313">
                      <w:marLeft w:val="0"/>
                      <w:marRight w:val="150"/>
                      <w:marTop w:val="0"/>
                      <w:marBottom w:val="0"/>
                      <w:divBdr>
                        <w:top w:val="none" w:sz="0" w:space="0" w:color="auto"/>
                        <w:left w:val="none" w:sz="0" w:space="0" w:color="auto"/>
                        <w:bottom w:val="none" w:sz="0" w:space="0" w:color="auto"/>
                        <w:right w:val="none" w:sz="0" w:space="0" w:color="auto"/>
                      </w:divBdr>
                      <w:divsChild>
                        <w:div w:id="427434342">
                          <w:marLeft w:val="0"/>
                          <w:marRight w:val="0"/>
                          <w:marTop w:val="0"/>
                          <w:marBottom w:val="0"/>
                          <w:divBdr>
                            <w:top w:val="none" w:sz="0" w:space="0" w:color="auto"/>
                            <w:left w:val="none" w:sz="0" w:space="0" w:color="auto"/>
                            <w:bottom w:val="none" w:sz="0" w:space="0" w:color="auto"/>
                            <w:right w:val="none" w:sz="0" w:space="0" w:color="auto"/>
                          </w:divBdr>
                          <w:divsChild>
                            <w:div w:id="315572823">
                              <w:marLeft w:val="0"/>
                              <w:marRight w:val="0"/>
                              <w:marTop w:val="0"/>
                              <w:marBottom w:val="0"/>
                              <w:divBdr>
                                <w:top w:val="none" w:sz="0" w:space="0" w:color="auto"/>
                                <w:left w:val="none" w:sz="0" w:space="0" w:color="auto"/>
                                <w:bottom w:val="none" w:sz="0" w:space="0" w:color="auto"/>
                                <w:right w:val="none" w:sz="0" w:space="0" w:color="auto"/>
                              </w:divBdr>
                              <w:divsChild>
                                <w:div w:id="573508452">
                                  <w:marLeft w:val="0"/>
                                  <w:marRight w:val="0"/>
                                  <w:marTop w:val="0"/>
                                  <w:marBottom w:val="0"/>
                                  <w:divBdr>
                                    <w:top w:val="none" w:sz="0" w:space="0" w:color="auto"/>
                                    <w:left w:val="none" w:sz="0" w:space="0" w:color="auto"/>
                                    <w:bottom w:val="none" w:sz="0" w:space="0" w:color="auto"/>
                                    <w:right w:val="none" w:sz="0" w:space="0" w:color="auto"/>
                                  </w:divBdr>
                                </w:div>
                              </w:divsChild>
                            </w:div>
                            <w:div w:id="410547978">
                              <w:marLeft w:val="0"/>
                              <w:marRight w:val="0"/>
                              <w:marTop w:val="0"/>
                              <w:marBottom w:val="0"/>
                              <w:divBdr>
                                <w:top w:val="none" w:sz="0" w:space="0" w:color="auto"/>
                                <w:left w:val="none" w:sz="0" w:space="0" w:color="auto"/>
                                <w:bottom w:val="none" w:sz="0" w:space="0" w:color="auto"/>
                                <w:right w:val="none" w:sz="0" w:space="0" w:color="auto"/>
                              </w:divBdr>
                            </w:div>
                            <w:div w:id="519395934">
                              <w:marLeft w:val="0"/>
                              <w:marRight w:val="0"/>
                              <w:marTop w:val="0"/>
                              <w:marBottom w:val="0"/>
                              <w:divBdr>
                                <w:top w:val="none" w:sz="0" w:space="0" w:color="auto"/>
                                <w:left w:val="none" w:sz="0" w:space="0" w:color="auto"/>
                                <w:bottom w:val="none" w:sz="0" w:space="0" w:color="auto"/>
                                <w:right w:val="none" w:sz="0" w:space="0" w:color="auto"/>
                              </w:divBdr>
                              <w:divsChild>
                                <w:div w:id="669330309">
                                  <w:marLeft w:val="0"/>
                                  <w:marRight w:val="0"/>
                                  <w:marTop w:val="0"/>
                                  <w:marBottom w:val="0"/>
                                  <w:divBdr>
                                    <w:top w:val="none" w:sz="0" w:space="0" w:color="auto"/>
                                    <w:left w:val="none" w:sz="0" w:space="0" w:color="auto"/>
                                    <w:bottom w:val="none" w:sz="0" w:space="0" w:color="auto"/>
                                    <w:right w:val="none" w:sz="0" w:space="0" w:color="auto"/>
                                  </w:divBdr>
                                </w:div>
                              </w:divsChild>
                            </w:div>
                            <w:div w:id="1739402534">
                              <w:marLeft w:val="0"/>
                              <w:marRight w:val="0"/>
                              <w:marTop w:val="0"/>
                              <w:marBottom w:val="0"/>
                              <w:divBdr>
                                <w:top w:val="none" w:sz="0" w:space="0" w:color="auto"/>
                                <w:left w:val="none" w:sz="0" w:space="0" w:color="auto"/>
                                <w:bottom w:val="none" w:sz="0" w:space="0" w:color="auto"/>
                                <w:right w:val="none" w:sz="0" w:space="0" w:color="auto"/>
                              </w:divBdr>
                            </w:div>
                            <w:div w:id="40331432">
                              <w:marLeft w:val="0"/>
                              <w:marRight w:val="0"/>
                              <w:marTop w:val="0"/>
                              <w:marBottom w:val="0"/>
                              <w:divBdr>
                                <w:top w:val="none" w:sz="0" w:space="0" w:color="auto"/>
                                <w:left w:val="none" w:sz="0" w:space="0" w:color="auto"/>
                                <w:bottom w:val="none" w:sz="0" w:space="0" w:color="auto"/>
                                <w:right w:val="none" w:sz="0" w:space="0" w:color="auto"/>
                              </w:divBdr>
                              <w:divsChild>
                                <w:div w:id="76187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3</cp:revision>
  <dcterms:created xsi:type="dcterms:W3CDTF">2016-11-07T16:28:00Z</dcterms:created>
  <dcterms:modified xsi:type="dcterms:W3CDTF">2016-11-07T16:28:00Z</dcterms:modified>
</cp:coreProperties>
</file>