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4" w14:textId="34121A78" w:rsidR="00684887" w:rsidRPr="00BC2563" w:rsidRDefault="00BC2563" w:rsidP="00BC2563">
      <w:pPr>
        <w:spacing w:before="200" w:after="200" w:line="360" w:lineRule="auto"/>
        <w:jc w:val="both"/>
        <w:rPr>
          <w:rFonts w:ascii="Times New Roman" w:hAnsi="Times New Roman" w:cs="Times New Roman"/>
          <w:b/>
          <w:color w:val="000000" w:themeColor="text1"/>
        </w:rPr>
      </w:pPr>
      <w:r w:rsidRPr="00BC2563">
        <w:rPr>
          <w:rFonts w:ascii="Times New Roman" w:hAnsi="Times New Roman" w:cs="Times New Roman"/>
          <w:color w:val="000000" w:themeColor="text1"/>
        </w:rPr>
        <w:fldChar w:fldCharType="begin"/>
      </w:r>
      <w:r w:rsidRPr="00BC2563">
        <w:rPr>
          <w:rFonts w:ascii="Times New Roman" w:hAnsi="Times New Roman" w:cs="Times New Roman"/>
          <w:color w:val="000000" w:themeColor="text1"/>
        </w:rPr>
        <w:instrText xml:space="preserve"> INCLUDEPICTURE "/Users/roxanamaria/Library/Group Containers/UBF8T346G9.ms/WebArchiveCopyPasteTempFiles/com.microsoft.Word/download?id=404&amp;entityId=5&amp;fieldId=152" \* MERGEFORMATINET </w:instrText>
      </w:r>
      <w:r w:rsidRPr="00BC2563">
        <w:rPr>
          <w:rFonts w:ascii="Times New Roman" w:hAnsi="Times New Roman" w:cs="Times New Roman"/>
          <w:color w:val="000000" w:themeColor="text1"/>
        </w:rPr>
        <w:fldChar w:fldCharType="separate"/>
      </w:r>
      <w:r w:rsidRPr="00BC2563">
        <w:rPr>
          <w:rFonts w:ascii="Times New Roman" w:hAnsi="Times New Roman" w:cs="Times New Roman"/>
          <w:noProof/>
          <w:color w:val="000000" w:themeColor="text1"/>
        </w:rPr>
        <w:drawing>
          <wp:inline distT="0" distB="0" distL="0" distR="0" wp14:anchorId="455B275A" wp14:editId="66A070BE">
            <wp:extent cx="4572000" cy="1509395"/>
            <wp:effectExtent l="0" t="0" r="0" b="1905"/>
            <wp:docPr id="1009719540"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1509395"/>
                    </a:xfrm>
                    <a:prstGeom prst="rect">
                      <a:avLst/>
                    </a:prstGeom>
                    <a:noFill/>
                    <a:ln>
                      <a:noFill/>
                    </a:ln>
                  </pic:spPr>
                </pic:pic>
              </a:graphicData>
            </a:graphic>
          </wp:inline>
        </w:drawing>
      </w:r>
      <w:r w:rsidRPr="00BC2563">
        <w:rPr>
          <w:rFonts w:ascii="Times New Roman" w:hAnsi="Times New Roman" w:cs="Times New Roman"/>
          <w:color w:val="000000" w:themeColor="text1"/>
        </w:rPr>
        <w:fldChar w:fldCharType="end"/>
      </w:r>
    </w:p>
    <w:p w14:paraId="68642B09" w14:textId="77777777" w:rsidR="00BC2563" w:rsidRPr="00BC2563" w:rsidRDefault="00BC2563" w:rsidP="00BC2563">
      <w:pPr>
        <w:spacing w:after="160"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50"/>
        </w:rPr>
        <w:t>Global Forces Reshaping Unilever’s</w:t>
      </w:r>
      <w:r w:rsidRPr="00BC2563">
        <w:rPr>
          <w:rFonts w:ascii="Times New Roman" w:hAnsi="Times New Roman" w:cs="Times New Roman"/>
          <w:b/>
          <w:color w:val="000000" w:themeColor="text1"/>
          <w:sz w:val="50"/>
        </w:rPr>
        <w:br/>
        <w:t>International Strategy</w:t>
      </w:r>
    </w:p>
    <w:p w14:paraId="65D3E6F0" w14:textId="77777777" w:rsidR="00BC2563" w:rsidRPr="00BC2563" w:rsidRDefault="00BC2563" w:rsidP="00BC2563">
      <w:pPr>
        <w:spacing w:after="300" w:line="360" w:lineRule="auto"/>
        <w:jc w:val="both"/>
        <w:rPr>
          <w:rFonts w:ascii="Times New Roman" w:hAnsi="Times New Roman" w:cs="Times New Roman"/>
          <w:color w:val="000000" w:themeColor="text1"/>
        </w:rPr>
      </w:pPr>
      <w:r w:rsidRPr="00BC2563">
        <w:rPr>
          <w:rFonts w:ascii="Times New Roman" w:hAnsi="Times New Roman" w:cs="Times New Roman"/>
          <w:i/>
          <w:color w:val="000000" w:themeColor="text1"/>
          <w:sz w:val="24"/>
        </w:rPr>
        <w:t>AI adoption, geopolitical supply-chain disruption and the EU sustainability reporting agenda, 2024–2025</w:t>
      </w:r>
    </w:p>
    <w:tbl>
      <w:tblPr>
        <w:tblW w:w="0" w:type="auto"/>
        <w:tblLayout w:type="fixed"/>
        <w:tblLook w:val="04A0" w:firstRow="1" w:lastRow="0" w:firstColumn="1" w:lastColumn="0" w:noHBand="0" w:noVBand="1"/>
      </w:tblPr>
      <w:tblGrid>
        <w:gridCol w:w="3110"/>
        <w:gridCol w:w="3110"/>
        <w:gridCol w:w="3110"/>
      </w:tblGrid>
      <w:tr w:rsidR="00BC2563" w:rsidRPr="00BC2563" w14:paraId="1FF5FC24" w14:textId="77777777" w:rsidTr="00A369E0">
        <w:trPr>
          <w:tblHeader/>
        </w:trPr>
        <w:tc>
          <w:tcPr>
            <w:tcW w:w="3110" w:type="dxa"/>
            <w:shd w:val="clear" w:color="auto" w:fill="1F4E79"/>
            <w:tcMar>
              <w:top w:w="80" w:type="dxa"/>
              <w:left w:w="120" w:type="dxa"/>
              <w:bottom w:w="80" w:type="dxa"/>
              <w:right w:w="120" w:type="dxa"/>
            </w:tcMar>
            <w:vAlign w:val="center"/>
          </w:tcPr>
          <w:p w14:paraId="0D4F69E5"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7"/>
              </w:rPr>
              <w:t>MODULE</w:t>
            </w:r>
          </w:p>
        </w:tc>
        <w:tc>
          <w:tcPr>
            <w:tcW w:w="3110" w:type="dxa"/>
            <w:shd w:val="clear" w:color="auto" w:fill="1F4E79"/>
            <w:tcMar>
              <w:top w:w="80" w:type="dxa"/>
              <w:left w:w="120" w:type="dxa"/>
              <w:bottom w:w="80" w:type="dxa"/>
              <w:right w:w="120" w:type="dxa"/>
            </w:tcMar>
            <w:vAlign w:val="center"/>
          </w:tcPr>
          <w:p w14:paraId="3A9E2E77"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7"/>
              </w:rPr>
              <w:t>ASSESSMENT</w:t>
            </w:r>
          </w:p>
        </w:tc>
        <w:tc>
          <w:tcPr>
            <w:tcW w:w="3110" w:type="dxa"/>
            <w:shd w:val="clear" w:color="auto" w:fill="1F4E79"/>
            <w:tcMar>
              <w:top w:w="80" w:type="dxa"/>
              <w:left w:w="120" w:type="dxa"/>
              <w:bottom w:w="80" w:type="dxa"/>
              <w:right w:w="120" w:type="dxa"/>
            </w:tcMar>
            <w:vAlign w:val="center"/>
          </w:tcPr>
          <w:p w14:paraId="61694E84"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7"/>
              </w:rPr>
              <w:t>WORD COUNT</w:t>
            </w:r>
          </w:p>
        </w:tc>
      </w:tr>
      <w:tr w:rsidR="00BC2563" w:rsidRPr="00BC2563" w14:paraId="162713D5" w14:textId="77777777" w:rsidTr="00A369E0">
        <w:tc>
          <w:tcPr>
            <w:tcW w:w="3110" w:type="dxa"/>
            <w:shd w:val="clear" w:color="auto" w:fill="F4F7FA"/>
            <w:tcMar>
              <w:top w:w="80" w:type="dxa"/>
              <w:left w:w="120" w:type="dxa"/>
              <w:bottom w:w="80" w:type="dxa"/>
              <w:right w:w="120" w:type="dxa"/>
            </w:tcMar>
            <w:vAlign w:val="center"/>
          </w:tcPr>
          <w:p w14:paraId="3AD6B0EB" w14:textId="77777777" w:rsidR="00BC2563" w:rsidRPr="00BC2563" w:rsidRDefault="00BC2563" w:rsidP="00BC2563">
            <w:pPr>
              <w:spacing w:line="360" w:lineRule="auto"/>
              <w:jc w:val="both"/>
              <w:rPr>
                <w:rFonts w:ascii="Times New Roman" w:hAnsi="Times New Roman" w:cs="Times New Roman"/>
                <w:color w:val="000000" w:themeColor="text1"/>
                <w:sz w:val="24"/>
                <w:szCs w:val="36"/>
              </w:rPr>
            </w:pPr>
            <w:r w:rsidRPr="00BC2563">
              <w:rPr>
                <w:rFonts w:ascii="Times New Roman" w:hAnsi="Times New Roman" w:cs="Times New Roman"/>
                <w:color w:val="000000" w:themeColor="text1"/>
                <w:sz w:val="24"/>
                <w:szCs w:val="36"/>
              </w:rPr>
              <w:t>LCBB4016</w:t>
            </w:r>
          </w:p>
        </w:tc>
        <w:tc>
          <w:tcPr>
            <w:tcW w:w="3110" w:type="dxa"/>
            <w:shd w:val="clear" w:color="auto" w:fill="F4F7FA"/>
            <w:tcMar>
              <w:top w:w="80" w:type="dxa"/>
              <w:left w:w="120" w:type="dxa"/>
              <w:bottom w:w="80" w:type="dxa"/>
              <w:right w:w="120" w:type="dxa"/>
            </w:tcMar>
            <w:vAlign w:val="center"/>
          </w:tcPr>
          <w:p w14:paraId="594DF7EB" w14:textId="77777777" w:rsidR="00BC2563" w:rsidRPr="00BC2563" w:rsidRDefault="00BC2563" w:rsidP="00BC2563">
            <w:pPr>
              <w:spacing w:line="360" w:lineRule="auto"/>
              <w:jc w:val="both"/>
              <w:rPr>
                <w:rFonts w:ascii="Times New Roman" w:hAnsi="Times New Roman" w:cs="Times New Roman"/>
                <w:color w:val="000000" w:themeColor="text1"/>
                <w:sz w:val="24"/>
                <w:szCs w:val="36"/>
              </w:rPr>
            </w:pPr>
            <w:r w:rsidRPr="00BC2563">
              <w:rPr>
                <w:rFonts w:ascii="Times New Roman" w:hAnsi="Times New Roman" w:cs="Times New Roman"/>
                <w:color w:val="000000" w:themeColor="text1"/>
                <w:sz w:val="24"/>
                <w:szCs w:val="36"/>
              </w:rPr>
              <w:t>Component 2: Coursework</w:t>
            </w:r>
          </w:p>
        </w:tc>
        <w:tc>
          <w:tcPr>
            <w:tcW w:w="3110" w:type="dxa"/>
            <w:shd w:val="clear" w:color="auto" w:fill="F4F7FA"/>
            <w:tcMar>
              <w:top w:w="80" w:type="dxa"/>
              <w:left w:w="120" w:type="dxa"/>
              <w:bottom w:w="80" w:type="dxa"/>
              <w:right w:w="120" w:type="dxa"/>
            </w:tcMar>
            <w:vAlign w:val="center"/>
          </w:tcPr>
          <w:p w14:paraId="1F2CD654" w14:textId="3ADDEFCB" w:rsidR="00BC2563" w:rsidRPr="00BC2563" w:rsidRDefault="00BC2563" w:rsidP="00BC2563">
            <w:pPr>
              <w:spacing w:line="360" w:lineRule="auto"/>
              <w:jc w:val="both"/>
              <w:rPr>
                <w:rFonts w:ascii="Times New Roman" w:hAnsi="Times New Roman" w:cs="Times New Roman"/>
                <w:color w:val="000000" w:themeColor="text1"/>
                <w:sz w:val="24"/>
                <w:szCs w:val="36"/>
              </w:rPr>
            </w:pPr>
            <w:r w:rsidRPr="00BC2563">
              <w:rPr>
                <w:rFonts w:ascii="Times New Roman" w:hAnsi="Times New Roman" w:cs="Times New Roman"/>
                <w:color w:val="000000" w:themeColor="text1"/>
                <w:sz w:val="24"/>
                <w:szCs w:val="36"/>
              </w:rPr>
              <w:t>Approx. 1</w:t>
            </w:r>
            <w:r w:rsidRPr="00BC2563">
              <w:rPr>
                <w:rFonts w:ascii="Times New Roman" w:hAnsi="Times New Roman" w:cs="Times New Roman"/>
                <w:color w:val="000000" w:themeColor="text1"/>
                <w:sz w:val="24"/>
                <w:szCs w:val="36"/>
              </w:rPr>
              <w:t>500</w:t>
            </w:r>
          </w:p>
        </w:tc>
      </w:tr>
    </w:tbl>
    <w:p w14:paraId="2102181F" w14:textId="77777777" w:rsidR="00BC2563" w:rsidRPr="00BC2563" w:rsidRDefault="00BC2563" w:rsidP="00BC2563">
      <w:pPr>
        <w:spacing w:before="200" w:after="200" w:line="360" w:lineRule="auto"/>
        <w:jc w:val="both"/>
        <w:rPr>
          <w:rFonts w:ascii="Times New Roman" w:hAnsi="Times New Roman" w:cs="Times New Roman"/>
          <w:b/>
          <w:color w:val="000000" w:themeColor="text1"/>
          <w:sz w:val="28"/>
          <w:szCs w:val="28"/>
        </w:rPr>
      </w:pPr>
    </w:p>
    <w:p w14:paraId="00000005" w14:textId="5B3BD25D" w:rsidR="00684887" w:rsidRPr="00BC2563" w:rsidRDefault="00000000" w:rsidP="00BC2563">
      <w:pPr>
        <w:spacing w:before="200" w:after="200" w:line="360" w:lineRule="auto"/>
        <w:jc w:val="both"/>
        <w:rPr>
          <w:rFonts w:ascii="Times New Roman" w:hAnsi="Times New Roman" w:cs="Times New Roman"/>
          <w:b/>
          <w:color w:val="000000" w:themeColor="text1"/>
          <w:sz w:val="28"/>
          <w:szCs w:val="28"/>
        </w:rPr>
      </w:pPr>
      <w:r w:rsidRPr="00BC2563">
        <w:rPr>
          <w:rFonts w:ascii="Times New Roman" w:hAnsi="Times New Roman" w:cs="Times New Roman"/>
          <w:b/>
          <w:color w:val="000000" w:themeColor="text1"/>
          <w:sz w:val="28"/>
          <w:szCs w:val="28"/>
        </w:rPr>
        <w:t>Student ID:  2512755</w:t>
      </w:r>
    </w:p>
    <w:p w14:paraId="00000006" w14:textId="77777777" w:rsidR="00684887" w:rsidRPr="00BC2563" w:rsidRDefault="00684887" w:rsidP="00BC2563">
      <w:pPr>
        <w:spacing w:before="200" w:after="200" w:line="360" w:lineRule="auto"/>
        <w:jc w:val="both"/>
        <w:rPr>
          <w:rFonts w:ascii="Times New Roman" w:hAnsi="Times New Roman" w:cs="Times New Roman"/>
          <w:color w:val="000000" w:themeColor="text1"/>
        </w:rPr>
      </w:pPr>
    </w:p>
    <w:p w14:paraId="00000021" w14:textId="77777777" w:rsidR="00684887" w:rsidRPr="00BC2563" w:rsidRDefault="00684887" w:rsidP="00BC2563">
      <w:pPr>
        <w:spacing w:before="200" w:after="200" w:line="360" w:lineRule="auto"/>
        <w:jc w:val="both"/>
        <w:rPr>
          <w:rFonts w:ascii="Times New Roman" w:hAnsi="Times New Roman" w:cs="Times New Roman"/>
          <w:b/>
          <w:color w:val="000000" w:themeColor="text1"/>
        </w:rPr>
      </w:pPr>
    </w:p>
    <w:p w14:paraId="49E8B876"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1D44CE53"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29F00C01"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73DBAE53"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2F352D7C"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03B69A5C"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01E86380"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1C0ABF68"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1D276052"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41ED240F"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7EA8163F"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39BEE7EA" w14:textId="77777777" w:rsidR="00BC2563" w:rsidRPr="00BC2563" w:rsidRDefault="00BC2563" w:rsidP="00BC2563">
      <w:pPr>
        <w:spacing w:before="200" w:after="200" w:line="360" w:lineRule="auto"/>
        <w:jc w:val="both"/>
        <w:rPr>
          <w:rFonts w:ascii="Times New Roman" w:hAnsi="Times New Roman" w:cs="Times New Roman"/>
          <w:b/>
          <w:color w:val="000000" w:themeColor="text1"/>
        </w:rPr>
      </w:pPr>
    </w:p>
    <w:p w14:paraId="66EA33C8" w14:textId="77777777" w:rsidR="00BC2563" w:rsidRPr="00BC2563" w:rsidRDefault="00BC2563" w:rsidP="00BC2563">
      <w:pPr>
        <w:spacing w:before="400"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20"/>
        </w:rPr>
        <w:t>INDIVIDUAL ESSAY</w:t>
      </w:r>
    </w:p>
    <w:p w14:paraId="43E93B6D" w14:textId="77777777" w:rsidR="00BC2563" w:rsidRPr="00BC2563" w:rsidRDefault="00BC2563" w:rsidP="00BC2563">
      <w:pPr>
        <w:spacing w:before="220"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Analytical focus</w:t>
      </w:r>
    </w:p>
    <w:p w14:paraId="65999E96" w14:textId="77777777" w:rsidR="00BC2563" w:rsidRPr="00BC2563" w:rsidRDefault="00BC2563" w:rsidP="00BC2563">
      <w:pPr>
        <w:spacing w:after="240" w:line="360" w:lineRule="auto"/>
        <w:ind w:left="288" w:right="288"/>
        <w:jc w:val="both"/>
        <w:rPr>
          <w:rFonts w:ascii="Times New Roman" w:hAnsi="Times New Roman" w:cs="Times New Roman"/>
          <w:color w:val="000000" w:themeColor="text1"/>
          <w:sz w:val="21"/>
        </w:rPr>
      </w:pPr>
      <w:r w:rsidRPr="00BC2563">
        <w:rPr>
          <w:rFonts w:ascii="Times New Roman" w:hAnsi="Times New Roman" w:cs="Times New Roman"/>
          <w:color w:val="000000" w:themeColor="text1"/>
          <w:sz w:val="21"/>
        </w:rPr>
        <w:t>How three external pressures increase operational, regulatory, and human-capital risk while enhancing efficiency, resilience, and legitimacy.</w:t>
      </w:r>
    </w:p>
    <w:sdt>
      <w:sdtPr>
        <w:rPr>
          <w:rFonts w:ascii="Times New Roman" w:hAnsi="Times New Roman" w:cs="Times New Roman"/>
          <w:color w:val="000000" w:themeColor="text1"/>
        </w:rPr>
        <w:id w:val="-559558813"/>
        <w:docPartObj>
          <w:docPartGallery w:val="Table of Contents"/>
          <w:docPartUnique/>
        </w:docPartObj>
      </w:sdtPr>
      <w:sdtEndPr>
        <w:rPr>
          <w:rFonts w:eastAsia="Arial"/>
          <w:noProof/>
          <w:sz w:val="22"/>
          <w:szCs w:val="22"/>
          <w:lang w:val="en-GB"/>
        </w:rPr>
      </w:sdtEndPr>
      <w:sdtContent>
        <w:p w14:paraId="3C1BFC7A" w14:textId="15761D6B" w:rsidR="00BC2563" w:rsidRPr="00BC2563" w:rsidRDefault="00BC2563" w:rsidP="00BC2563">
          <w:pPr>
            <w:pStyle w:val="TOCHeading"/>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Table of Contents</w:t>
          </w:r>
        </w:p>
        <w:p w14:paraId="6C91557E" w14:textId="32FE1050"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r w:rsidRPr="00BC2563">
            <w:rPr>
              <w:rFonts w:ascii="Times New Roman" w:hAnsi="Times New Roman"/>
              <w:b w:val="0"/>
              <w:bCs w:val="0"/>
              <w:color w:val="000000" w:themeColor="text1"/>
            </w:rPr>
            <w:fldChar w:fldCharType="begin"/>
          </w:r>
          <w:r w:rsidRPr="00BC2563">
            <w:rPr>
              <w:rFonts w:ascii="Times New Roman" w:hAnsi="Times New Roman"/>
              <w:color w:val="000000" w:themeColor="text1"/>
            </w:rPr>
            <w:instrText xml:space="preserve"> TOC \o "1-3" \h \z \u </w:instrText>
          </w:r>
          <w:r w:rsidRPr="00BC2563">
            <w:rPr>
              <w:rFonts w:ascii="Times New Roman" w:hAnsi="Times New Roman"/>
              <w:b w:val="0"/>
              <w:bCs w:val="0"/>
              <w:color w:val="000000" w:themeColor="text1"/>
            </w:rPr>
            <w:fldChar w:fldCharType="separate"/>
          </w:r>
          <w:hyperlink w:anchor="_Toc235812383" w:history="1">
            <w:r w:rsidRPr="00BC2563">
              <w:rPr>
                <w:rStyle w:val="Hyperlink"/>
                <w:rFonts w:ascii="Times New Roman" w:hAnsi="Times New Roman"/>
                <w:noProof/>
                <w:color w:val="000000" w:themeColor="text1"/>
              </w:rPr>
              <w:t>Introduction</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_Toc235812383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2</w:t>
            </w:r>
            <w:r w:rsidRPr="00BC2563">
              <w:rPr>
                <w:rFonts w:ascii="Times New Roman" w:hAnsi="Times New Roman"/>
                <w:noProof/>
                <w:webHidden/>
                <w:color w:val="000000" w:themeColor="text1"/>
              </w:rPr>
              <w:fldChar w:fldCharType="end"/>
            </w:r>
          </w:hyperlink>
        </w:p>
        <w:p w14:paraId="1E89AFF2" w14:textId="05F72B72"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84" w:history="1">
            <w:r w:rsidRPr="00BC2563">
              <w:rPr>
                <w:rStyle w:val="Hyperlink"/>
                <w:rFonts w:ascii="Times New Roman" w:hAnsi="Times New Roman"/>
                <w:noProof/>
                <w:color w:val="000000" w:themeColor="text1"/>
              </w:rPr>
              <w:t>Opportunities and Challenges Created by Current Global Forces</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_Toc235812384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2</w:t>
            </w:r>
            <w:r w:rsidRPr="00BC2563">
              <w:rPr>
                <w:rFonts w:ascii="Times New Roman" w:hAnsi="Times New Roman"/>
                <w:noProof/>
                <w:webHidden/>
                <w:color w:val="000000" w:themeColor="text1"/>
              </w:rPr>
              <w:fldChar w:fldCharType="end"/>
            </w:r>
          </w:hyperlink>
        </w:p>
        <w:p w14:paraId="232FA36B" w14:textId="37E70EDA" w:rsidR="00BC2563" w:rsidRPr="00BC2563" w:rsidRDefault="00BC2563" w:rsidP="00BC2563">
          <w:pPr>
            <w:pStyle w:val="TOC2"/>
            <w:tabs>
              <w:tab w:val="right" w:leader="dot" w:pos="9019"/>
            </w:tabs>
            <w:spacing w:line="360" w:lineRule="auto"/>
            <w:jc w:val="both"/>
            <w:rPr>
              <w:rFonts w:ascii="Times New Roman" w:hAnsi="Times New Roman"/>
              <w:noProof/>
              <w:color w:val="000000" w:themeColor="text1"/>
            </w:rPr>
          </w:pPr>
          <w:hyperlink w:anchor="_Toc235812385" w:history="1">
            <w:r w:rsidRPr="00BC2563">
              <w:rPr>
                <w:rStyle w:val="Hyperlink"/>
                <w:rFonts w:ascii="Times New Roman" w:hAnsi="Times New Roman"/>
                <w:noProof/>
                <w:color w:val="000000" w:themeColor="text1"/>
              </w:rPr>
              <w:t>Artificial intelligence: scalable insight with new dependencies</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_Toc235812385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2</w:t>
            </w:r>
            <w:r w:rsidRPr="00BC2563">
              <w:rPr>
                <w:rFonts w:ascii="Times New Roman" w:hAnsi="Times New Roman"/>
                <w:noProof/>
                <w:webHidden/>
                <w:color w:val="000000" w:themeColor="text1"/>
              </w:rPr>
              <w:fldChar w:fldCharType="end"/>
            </w:r>
          </w:hyperlink>
        </w:p>
        <w:p w14:paraId="759D04CD" w14:textId="3B2F6ABE" w:rsidR="00BC2563" w:rsidRPr="00BC2563" w:rsidRDefault="00BC2563" w:rsidP="00BC2563">
          <w:pPr>
            <w:pStyle w:val="TOC2"/>
            <w:tabs>
              <w:tab w:val="right" w:leader="dot" w:pos="9019"/>
            </w:tabs>
            <w:spacing w:line="360" w:lineRule="auto"/>
            <w:jc w:val="both"/>
            <w:rPr>
              <w:rFonts w:ascii="Times New Roman" w:hAnsi="Times New Roman"/>
              <w:noProof/>
              <w:color w:val="000000" w:themeColor="text1"/>
            </w:rPr>
          </w:pPr>
          <w:hyperlink w:anchor="_Toc235812386" w:history="1">
            <w:r w:rsidRPr="00BC2563">
              <w:rPr>
                <w:rStyle w:val="Hyperlink"/>
                <w:rFonts w:ascii="Times New Roman" w:hAnsi="Times New Roman"/>
                <w:noProof/>
                <w:color w:val="000000" w:themeColor="text1"/>
              </w:rPr>
              <w:t>Geopolitical disruption: resilience versus cost</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_Toc235812386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3</w:t>
            </w:r>
            <w:r w:rsidRPr="00BC2563">
              <w:rPr>
                <w:rFonts w:ascii="Times New Roman" w:hAnsi="Times New Roman"/>
                <w:noProof/>
                <w:webHidden/>
                <w:color w:val="000000" w:themeColor="text1"/>
              </w:rPr>
              <w:fldChar w:fldCharType="end"/>
            </w:r>
          </w:hyperlink>
        </w:p>
        <w:p w14:paraId="23CE30DF" w14:textId="6FC76C54" w:rsidR="00BC2563" w:rsidRPr="00BC2563" w:rsidRDefault="00BC2563" w:rsidP="00BC2563">
          <w:pPr>
            <w:pStyle w:val="TOC2"/>
            <w:tabs>
              <w:tab w:val="right" w:leader="dot" w:pos="9019"/>
            </w:tabs>
            <w:spacing w:line="360" w:lineRule="auto"/>
            <w:jc w:val="both"/>
            <w:rPr>
              <w:rFonts w:ascii="Times New Roman" w:hAnsi="Times New Roman"/>
              <w:noProof/>
              <w:color w:val="000000" w:themeColor="text1"/>
            </w:rPr>
          </w:pPr>
          <w:hyperlink w:anchor="_Toc235812387" w:history="1">
            <w:r w:rsidRPr="00BC2563">
              <w:rPr>
                <w:rStyle w:val="Hyperlink"/>
                <w:rFonts w:ascii="Times New Roman" w:hAnsi="Times New Roman"/>
                <w:noProof/>
                <w:color w:val="000000" w:themeColor="text1"/>
              </w:rPr>
              <w:t>CSRD and sustainability: legitimacy with a measurement burden</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_Toc235812387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3</w:t>
            </w:r>
            <w:r w:rsidRPr="00BC2563">
              <w:rPr>
                <w:rFonts w:ascii="Times New Roman" w:hAnsi="Times New Roman"/>
                <w:noProof/>
                <w:webHidden/>
                <w:color w:val="000000" w:themeColor="text1"/>
              </w:rPr>
              <w:fldChar w:fldCharType="end"/>
            </w:r>
          </w:hyperlink>
        </w:p>
        <w:p w14:paraId="3835B35A" w14:textId="159EA2FC"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88" w:history="1">
            <w:r w:rsidRPr="00BC2563">
              <w:rPr>
                <w:rStyle w:val="Hyperlink"/>
                <w:rFonts w:ascii="Times New Roman" w:hAnsi="Times New Roman"/>
                <w:noProof/>
                <w:color w:val="000000" w:themeColor="text1"/>
              </w:rPr>
              <w:t>Integrated International Environmental Analysis</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_Toc235812388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3</w:t>
            </w:r>
            <w:r w:rsidRPr="00BC2563">
              <w:rPr>
                <w:rFonts w:ascii="Times New Roman" w:hAnsi="Times New Roman"/>
                <w:noProof/>
                <w:webHidden/>
                <w:color w:val="000000" w:themeColor="text1"/>
              </w:rPr>
              <w:fldChar w:fldCharType="end"/>
            </w:r>
          </w:hyperlink>
        </w:p>
        <w:p w14:paraId="7F2E6373" w14:textId="38073DC1"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89" w:history="1">
            <w:r w:rsidRPr="00BC2563">
              <w:rPr>
                <w:rStyle w:val="Hyperlink"/>
                <w:rFonts w:ascii="Times New Roman" w:hAnsi="Times New Roman"/>
                <w:noProof/>
                <w:color w:val="000000" w:themeColor="text1"/>
              </w:rPr>
              <w:t>From External Force to Competitive Outcome</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_Toc235812389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4</w:t>
            </w:r>
            <w:r w:rsidRPr="00BC2563">
              <w:rPr>
                <w:rFonts w:ascii="Times New Roman" w:hAnsi="Times New Roman"/>
                <w:noProof/>
                <w:webHidden/>
                <w:color w:val="000000" w:themeColor="text1"/>
              </w:rPr>
              <w:fldChar w:fldCharType="end"/>
            </w:r>
          </w:hyperlink>
        </w:p>
        <w:p w14:paraId="31AA383A" w14:textId="2FC50F9C"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90" w:history="1">
            <w:r w:rsidRPr="00BC2563">
              <w:rPr>
                <w:rStyle w:val="Hyperlink"/>
                <w:rFonts w:ascii="Times New Roman" w:hAnsi="Times New Roman"/>
                <w:noProof/>
                <w:color w:val="000000" w:themeColor="text1"/>
              </w:rPr>
              <w:t>Impact on Unilever’s International Competitiveness</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_Toc235812390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4</w:t>
            </w:r>
            <w:r w:rsidRPr="00BC2563">
              <w:rPr>
                <w:rFonts w:ascii="Times New Roman" w:hAnsi="Times New Roman"/>
                <w:noProof/>
                <w:webHidden/>
                <w:color w:val="000000" w:themeColor="text1"/>
              </w:rPr>
              <w:fldChar w:fldCharType="end"/>
            </w:r>
          </w:hyperlink>
        </w:p>
        <w:p w14:paraId="6A3BCFE0" w14:textId="15E72877"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91" w:history="1">
            <w:r w:rsidRPr="00BC2563">
              <w:rPr>
                <w:rStyle w:val="Hyperlink"/>
                <w:rFonts w:ascii="Times New Roman" w:hAnsi="Times New Roman"/>
                <w:noProof/>
                <w:color w:val="000000" w:themeColor="text1"/>
              </w:rPr>
              <w:t>Strategic Recommendations</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_Toc235812391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5</w:t>
            </w:r>
            <w:r w:rsidRPr="00BC2563">
              <w:rPr>
                <w:rFonts w:ascii="Times New Roman" w:hAnsi="Times New Roman"/>
                <w:noProof/>
                <w:webHidden/>
                <w:color w:val="000000" w:themeColor="text1"/>
              </w:rPr>
              <w:fldChar w:fldCharType="end"/>
            </w:r>
          </w:hyperlink>
        </w:p>
        <w:p w14:paraId="13A2B72B" w14:textId="205A42A0"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92" w:history="1">
            <w:r w:rsidRPr="00BC2563">
              <w:rPr>
                <w:rStyle w:val="Hyperlink"/>
                <w:rFonts w:ascii="Times New Roman" w:hAnsi="Times New Roman"/>
                <w:noProof/>
                <w:color w:val="000000" w:themeColor="text1"/>
              </w:rPr>
              <w:t>Conclusion</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_Toc235812392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5</w:t>
            </w:r>
            <w:r w:rsidRPr="00BC2563">
              <w:rPr>
                <w:rFonts w:ascii="Times New Roman" w:hAnsi="Times New Roman"/>
                <w:noProof/>
                <w:webHidden/>
                <w:color w:val="000000" w:themeColor="text1"/>
              </w:rPr>
              <w:fldChar w:fldCharType="end"/>
            </w:r>
          </w:hyperlink>
        </w:p>
        <w:p w14:paraId="6459AA96" w14:textId="1DCAFADE" w:rsidR="00BC2563" w:rsidRPr="00BC2563" w:rsidRDefault="00BC2563" w:rsidP="00BC2563">
          <w:pPr>
            <w:pStyle w:val="TOC1"/>
            <w:tabs>
              <w:tab w:val="right" w:leader="dot" w:pos="9019"/>
            </w:tabs>
            <w:spacing w:line="360" w:lineRule="auto"/>
            <w:jc w:val="both"/>
            <w:rPr>
              <w:rFonts w:ascii="Times New Roman" w:hAnsi="Times New Roman"/>
              <w:noProof/>
              <w:color w:val="000000" w:themeColor="text1"/>
            </w:rPr>
          </w:pPr>
          <w:hyperlink w:anchor="_Toc235812393" w:history="1">
            <w:r w:rsidRPr="00BC2563">
              <w:rPr>
                <w:rStyle w:val="Hyperlink"/>
                <w:rFonts w:ascii="Times New Roman" w:hAnsi="Times New Roman"/>
                <w:noProof/>
                <w:color w:val="000000" w:themeColor="text1"/>
              </w:rPr>
              <w:t>Reference List</w:t>
            </w:r>
            <w:r w:rsidRPr="00BC2563">
              <w:rPr>
                <w:rFonts w:ascii="Times New Roman" w:hAnsi="Times New Roman"/>
                <w:noProof/>
                <w:webHidden/>
                <w:color w:val="000000" w:themeColor="text1"/>
              </w:rPr>
              <w:tab/>
            </w:r>
            <w:r w:rsidRPr="00BC2563">
              <w:rPr>
                <w:rFonts w:ascii="Times New Roman" w:hAnsi="Times New Roman"/>
                <w:noProof/>
                <w:webHidden/>
                <w:color w:val="000000" w:themeColor="text1"/>
              </w:rPr>
              <w:fldChar w:fldCharType="begin"/>
            </w:r>
            <w:r w:rsidRPr="00BC2563">
              <w:rPr>
                <w:rFonts w:ascii="Times New Roman" w:hAnsi="Times New Roman"/>
                <w:noProof/>
                <w:webHidden/>
                <w:color w:val="000000" w:themeColor="text1"/>
              </w:rPr>
              <w:instrText xml:space="preserve"> PAGEREF _Toc235812393 \h </w:instrText>
            </w:r>
            <w:r w:rsidRPr="00BC2563">
              <w:rPr>
                <w:rFonts w:ascii="Times New Roman" w:hAnsi="Times New Roman"/>
                <w:noProof/>
                <w:webHidden/>
                <w:color w:val="000000" w:themeColor="text1"/>
              </w:rPr>
            </w:r>
            <w:r w:rsidRPr="00BC2563">
              <w:rPr>
                <w:rFonts w:ascii="Times New Roman" w:hAnsi="Times New Roman"/>
                <w:noProof/>
                <w:webHidden/>
                <w:color w:val="000000" w:themeColor="text1"/>
              </w:rPr>
              <w:fldChar w:fldCharType="separate"/>
            </w:r>
            <w:r w:rsidRPr="00BC2563">
              <w:rPr>
                <w:rFonts w:ascii="Times New Roman" w:hAnsi="Times New Roman"/>
                <w:noProof/>
                <w:webHidden/>
                <w:color w:val="000000" w:themeColor="text1"/>
              </w:rPr>
              <w:t>6</w:t>
            </w:r>
            <w:r w:rsidRPr="00BC2563">
              <w:rPr>
                <w:rFonts w:ascii="Times New Roman" w:hAnsi="Times New Roman"/>
                <w:noProof/>
                <w:webHidden/>
                <w:color w:val="000000" w:themeColor="text1"/>
              </w:rPr>
              <w:fldChar w:fldCharType="end"/>
            </w:r>
          </w:hyperlink>
        </w:p>
        <w:p w14:paraId="18B19EE0" w14:textId="0F06DDC2"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bCs/>
              <w:noProof/>
              <w:color w:val="000000" w:themeColor="text1"/>
            </w:rPr>
            <w:fldChar w:fldCharType="end"/>
          </w:r>
        </w:p>
      </w:sdtContent>
    </w:sdt>
    <w:p w14:paraId="717FFC3B" w14:textId="77777777" w:rsidR="00BC2563" w:rsidRPr="00BC2563" w:rsidRDefault="00BC2563" w:rsidP="00BC2563">
      <w:pPr>
        <w:spacing w:after="240" w:line="360" w:lineRule="auto"/>
        <w:ind w:left="288" w:right="288"/>
        <w:jc w:val="both"/>
        <w:rPr>
          <w:rFonts w:ascii="Times New Roman" w:hAnsi="Times New Roman" w:cs="Times New Roman"/>
          <w:color w:val="000000" w:themeColor="text1"/>
        </w:rPr>
      </w:pPr>
    </w:p>
    <w:p w14:paraId="5D7D0E1E" w14:textId="77777777" w:rsidR="00BC2563" w:rsidRPr="00BC2563" w:rsidRDefault="00BC2563" w:rsidP="00BC2563">
      <w:pPr>
        <w:spacing w:after="240" w:line="360" w:lineRule="auto"/>
        <w:ind w:left="288" w:right="288"/>
        <w:jc w:val="both"/>
        <w:rPr>
          <w:rFonts w:ascii="Times New Roman" w:hAnsi="Times New Roman" w:cs="Times New Roman"/>
          <w:color w:val="000000" w:themeColor="text1"/>
        </w:rPr>
      </w:pPr>
    </w:p>
    <w:p w14:paraId="2FE99BE3" w14:textId="77777777" w:rsidR="00BC2563" w:rsidRPr="00BC2563" w:rsidRDefault="00BC2563" w:rsidP="00BC2563">
      <w:pPr>
        <w:spacing w:after="240" w:line="360" w:lineRule="auto"/>
        <w:ind w:left="288" w:right="288"/>
        <w:jc w:val="both"/>
        <w:rPr>
          <w:rFonts w:ascii="Times New Roman" w:hAnsi="Times New Roman" w:cs="Times New Roman"/>
          <w:color w:val="000000" w:themeColor="text1"/>
        </w:rPr>
      </w:pPr>
    </w:p>
    <w:p w14:paraId="1C6A66DA" w14:textId="77777777" w:rsidR="00BC2563" w:rsidRPr="00BC2563" w:rsidRDefault="00BC2563" w:rsidP="00BC2563">
      <w:pPr>
        <w:spacing w:after="240" w:line="360" w:lineRule="auto"/>
        <w:ind w:left="288" w:right="288"/>
        <w:jc w:val="both"/>
        <w:rPr>
          <w:rFonts w:ascii="Times New Roman" w:hAnsi="Times New Roman" w:cs="Times New Roman"/>
          <w:color w:val="000000" w:themeColor="text1"/>
        </w:rPr>
      </w:pPr>
    </w:p>
    <w:p w14:paraId="1CB2D310" w14:textId="77777777" w:rsidR="00BC2563" w:rsidRPr="00BC2563" w:rsidRDefault="00BC2563" w:rsidP="00BC2563">
      <w:pPr>
        <w:spacing w:after="240" w:line="360" w:lineRule="auto"/>
        <w:ind w:left="288" w:right="288"/>
        <w:jc w:val="both"/>
        <w:rPr>
          <w:rFonts w:ascii="Times New Roman" w:hAnsi="Times New Roman" w:cs="Times New Roman"/>
          <w:color w:val="000000" w:themeColor="text1"/>
        </w:rPr>
      </w:pPr>
    </w:p>
    <w:p w14:paraId="5165CB90" w14:textId="77777777" w:rsidR="00BC2563" w:rsidRPr="00BC2563" w:rsidRDefault="00BC2563" w:rsidP="00BC2563">
      <w:pPr>
        <w:pStyle w:val="Heading1"/>
        <w:rPr>
          <w:rFonts w:ascii="Times New Roman" w:hAnsi="Times New Roman" w:cs="Times New Roman"/>
          <w:color w:val="000000" w:themeColor="text1"/>
          <w:sz w:val="32"/>
          <w:szCs w:val="32"/>
        </w:rPr>
      </w:pPr>
      <w:bookmarkStart w:id="0" w:name="_Toc235812383"/>
      <w:r w:rsidRPr="00BC2563">
        <w:rPr>
          <w:rFonts w:ascii="Times New Roman" w:hAnsi="Times New Roman" w:cs="Times New Roman"/>
          <w:color w:val="000000" w:themeColor="text1"/>
          <w:sz w:val="32"/>
          <w:szCs w:val="32"/>
        </w:rPr>
        <w:t>Introduction</w:t>
      </w:r>
      <w:bookmarkEnd w:id="0"/>
    </w:p>
    <w:p w14:paraId="3C0EEA17" w14:textId="77777777" w:rsidR="00BC2563" w:rsidRPr="00BC2563" w:rsidRDefault="00BC2563" w:rsidP="00BC2563">
      <w:pPr>
        <w:pStyle w:val="NormalWeb"/>
        <w:spacing w:line="360" w:lineRule="auto"/>
        <w:jc w:val="both"/>
        <w:rPr>
          <w:color w:val="000000" w:themeColor="text1"/>
        </w:rPr>
      </w:pPr>
      <w:bookmarkStart w:id="1" w:name="_Toc235812389"/>
      <w:r w:rsidRPr="00BC2563">
        <w:rPr>
          <w:color w:val="000000" w:themeColor="text1"/>
        </w:rPr>
        <w:t>Globalisation refers to the integration of markets, production, capital, technology and knowledge across borders. While multinational firms can aggregate resources from different geographic locales, shocks propagate rapidly through connected value chains (Gereffi, 2018). There is no longer such a thing as a borderless global marketplace due to distance, institutions, and political risk. Unilever plc distributes daily consumer brands from London through a network of suppliers, manufacturers, distributors and retailers. Grounded in strategic utilization of information from its vast portfolio and increasing exposure to multiple emerging nations, €60.8 billion revenue turnover (European Commission, 2024). This essay explains how the cylical interplay of rising AI use and geopolitical supply-chain disruption impacted Unilever in 2024–2025, along with considering the effect of the recently promulgated EU Corporate Sustainability Reporting Directive (CSRD). The first evaluation examines operations, market positioning, innovation, talent and competitive threats and opportunities before recommending a sustainable business model (Unilever, 2025b).</w:t>
      </w:r>
    </w:p>
    <w:p w14:paraId="23374B0D" w14:textId="77777777" w:rsidR="00BC2563" w:rsidRPr="00BC2563" w:rsidRDefault="00BC2563" w:rsidP="00BC2563">
      <w:pPr>
        <w:pStyle w:val="NormalWeb"/>
        <w:spacing w:line="360" w:lineRule="auto"/>
        <w:jc w:val="both"/>
        <w:rPr>
          <w:b/>
          <w:bCs/>
          <w:color w:val="000000" w:themeColor="text1"/>
          <w:sz w:val="28"/>
          <w:szCs w:val="28"/>
        </w:rPr>
      </w:pPr>
      <w:r w:rsidRPr="00BC2563">
        <w:rPr>
          <w:b/>
          <w:bCs/>
          <w:color w:val="000000" w:themeColor="text1"/>
          <w:sz w:val="28"/>
          <w:szCs w:val="28"/>
        </w:rPr>
        <w:t>Current Global Forces Creating Opportunities and Challenges</w:t>
      </w:r>
    </w:p>
    <w:p w14:paraId="1B46EB45" w14:textId="77777777" w:rsidR="00BC2563" w:rsidRPr="00BC2563" w:rsidRDefault="00BC2563" w:rsidP="00BC2563">
      <w:pPr>
        <w:pStyle w:val="NormalWeb"/>
        <w:spacing w:line="360" w:lineRule="auto"/>
        <w:jc w:val="both"/>
        <w:rPr>
          <w:b/>
          <w:bCs/>
          <w:color w:val="000000" w:themeColor="text1"/>
          <w:sz w:val="28"/>
          <w:szCs w:val="28"/>
        </w:rPr>
      </w:pPr>
      <w:r w:rsidRPr="00BC2563">
        <w:rPr>
          <w:b/>
          <w:bCs/>
          <w:color w:val="000000" w:themeColor="text1"/>
          <w:sz w:val="28"/>
          <w:szCs w:val="28"/>
        </w:rPr>
        <w:t>Artificial intelligence: scalable insights with new dependencies</w:t>
      </w:r>
    </w:p>
    <w:p w14:paraId="0ABC7CBA" w14:textId="77777777" w:rsidR="00BC2563" w:rsidRPr="00BC2563" w:rsidRDefault="00BC2563" w:rsidP="00BC2563">
      <w:pPr>
        <w:pStyle w:val="NormalWeb"/>
        <w:spacing w:line="360" w:lineRule="auto"/>
        <w:jc w:val="both"/>
        <w:rPr>
          <w:color w:val="000000" w:themeColor="text1"/>
        </w:rPr>
      </w:pPr>
      <w:r w:rsidRPr="00BC2563">
        <w:rPr>
          <w:color w:val="000000" w:themeColor="text1"/>
        </w:rPr>
        <w:t>The scale for Unilever is the way in which AI translates data from various products, channels and countries into quicker decisions. Its AI-enabled customer-connectivity model delivers a collaborative planning, forecasting and replenishment framework with over 13 billion computations daily. The number of AI capabilities reported by the company was over 500, by illustrative examples such as demand forecasting and supply-chain optimisation (Unilever, 2024c). This reduces stock-outs, wastage, and working capital and improves product availability (Porter, 1990). AI-based technology enabled production of digital product twins that doubled the speed in which imagery was produced for marketing collateral while reducing costs by 50% enabled creation of consistent packaging and language variants across markets. So, AI enhances operational efficacy and local brand adherence.</w:t>
      </w:r>
    </w:p>
    <w:p w14:paraId="7C09AA0F" w14:textId="77777777" w:rsidR="00BC2563" w:rsidRPr="00BC2563" w:rsidRDefault="00BC2563" w:rsidP="00BC2563">
      <w:pPr>
        <w:pStyle w:val="NormalWeb"/>
        <w:spacing w:line="360" w:lineRule="auto"/>
        <w:jc w:val="both"/>
        <w:rPr>
          <w:color w:val="000000" w:themeColor="text1"/>
        </w:rPr>
      </w:pPr>
      <w:r w:rsidRPr="00BC2563">
        <w:rPr>
          <w:color w:val="000000" w:themeColor="text1"/>
        </w:rPr>
        <w:lastRenderedPageBreak/>
        <w:t>Algorithms cannot eliminate management uncertainty. When informal retail data are weak, forecasts risk replicating biased or inaccurate earlier data (UNCTAD, 2024b). Any area that is based on a centralised system, such as Unilever (2024b), raises risks of cyber, data privacy issues and vendor-concentration. But if it appears that those claims, images or cultural cues are false, generative content can undermine trust. IMF relies on some academic research, 40% of UK jobs are AI-impact able and even more developed economies face prospects for displacement and opportunity from AIs! Consequently, complementarity is the strategic issue for Unilever: productivity gains will stem from upskilling not squeezing marketers, planners and factory teams.</w:t>
      </w:r>
    </w:p>
    <w:p w14:paraId="19CDEE06" w14:textId="77777777" w:rsidR="00BC2563" w:rsidRPr="00BC2563" w:rsidRDefault="00BC2563" w:rsidP="00BC2563">
      <w:pPr>
        <w:pStyle w:val="NormalWeb"/>
        <w:spacing w:line="360" w:lineRule="auto"/>
        <w:jc w:val="both"/>
        <w:rPr>
          <w:b/>
          <w:bCs/>
          <w:i/>
          <w:iCs/>
          <w:color w:val="000000" w:themeColor="text1"/>
        </w:rPr>
      </w:pPr>
      <w:r w:rsidRPr="00BC2563">
        <w:rPr>
          <w:b/>
          <w:bCs/>
          <w:i/>
          <w:iCs/>
          <w:color w:val="000000" w:themeColor="text1"/>
        </w:rPr>
        <w:t>Geopolitical disruption: resilience versus cost</w:t>
      </w:r>
    </w:p>
    <w:p w14:paraId="0C31174D" w14:textId="77777777" w:rsidR="00BC2563" w:rsidRPr="00BC2563" w:rsidRDefault="00BC2563" w:rsidP="00BC2563">
      <w:pPr>
        <w:pStyle w:val="NormalWeb"/>
        <w:spacing w:line="360" w:lineRule="auto"/>
        <w:jc w:val="both"/>
        <w:rPr>
          <w:color w:val="000000" w:themeColor="text1"/>
        </w:rPr>
      </w:pPr>
      <w:r w:rsidRPr="00BC2563">
        <w:rPr>
          <w:color w:val="000000" w:themeColor="text1"/>
        </w:rPr>
        <w:t>Attacks in the Red Sea led most commercial traffic to avoid using the Suez Canal and make their way around through the Cape of Good Hope instead. UNCTAD (2024a): Disruption of a major Asia–Europe trade route was substantial, and longer distances increased freight charges, insurance, emissions and delivery times. Unilever (2024a) reduces service levels and also increases safety stocks due to delays utilizing palm derivatives, chemicals, packaging, food ingredients and finished goods. As tensions with China rise this increases concentration risk in life sciences, electronics, robotics and Asian manufacturing networks (European Commission, 2025). Such pressures can limit price-sensitive margins and make promotions more complex (Cazzaniga, 2024)</w:t>
      </w:r>
    </w:p>
    <w:p w14:paraId="5257A483" w14:textId="77777777" w:rsidR="00BC2563" w:rsidRPr="00BC2563" w:rsidRDefault="00BC2563" w:rsidP="00BC2563">
      <w:pPr>
        <w:pStyle w:val="NormalWeb"/>
        <w:spacing w:line="360" w:lineRule="auto"/>
        <w:jc w:val="both"/>
        <w:rPr>
          <w:color w:val="000000" w:themeColor="text1"/>
        </w:rPr>
      </w:pPr>
      <w:r w:rsidRPr="00BC2563">
        <w:rPr>
          <w:color w:val="000000" w:themeColor="text1"/>
        </w:rPr>
        <w:t>Disruption offers strategic opportunities. Unilever is able to sustain multi-supplier contracts, regional production and end-to-end visibility (UNCTAD 2024a) unlike many smaller players. Near-shoring inputs, working into products based on substitute materials, scenario-based inventory strategies may make resilience service reliability (Dunning, 2000). According to Unilever (2025a), maximum efficiency backs up focused suppliers and lower stock while resilience needs redundancy. Easier to take an approach of selective duplication high-impact, long-lead-time inputs rather than expensive localisation of everything.</w:t>
      </w:r>
    </w:p>
    <w:p w14:paraId="074F10A2" w14:textId="77777777" w:rsidR="00BC2563" w:rsidRPr="00BC2563" w:rsidRDefault="00BC2563" w:rsidP="00BC2563">
      <w:pPr>
        <w:pStyle w:val="NormalWeb"/>
        <w:spacing w:line="360" w:lineRule="auto"/>
        <w:jc w:val="both"/>
        <w:rPr>
          <w:b/>
          <w:bCs/>
          <w:color w:val="000000" w:themeColor="text1"/>
          <w:sz w:val="28"/>
          <w:szCs w:val="28"/>
        </w:rPr>
      </w:pPr>
      <w:r w:rsidRPr="00BC2563">
        <w:rPr>
          <w:b/>
          <w:bCs/>
          <w:color w:val="000000" w:themeColor="text1"/>
          <w:sz w:val="28"/>
          <w:szCs w:val="28"/>
        </w:rPr>
        <w:t>CSRD: A legitimacy driver with a measurement burden</w:t>
      </w:r>
    </w:p>
    <w:p w14:paraId="7F3DBE8F" w14:textId="77777777" w:rsidR="00BC2563" w:rsidRPr="00BC2563" w:rsidRDefault="00BC2563" w:rsidP="00BC2563">
      <w:pPr>
        <w:pStyle w:val="NormalWeb"/>
        <w:spacing w:line="360" w:lineRule="auto"/>
        <w:jc w:val="both"/>
        <w:rPr>
          <w:color w:val="000000" w:themeColor="text1"/>
        </w:rPr>
      </w:pPr>
      <w:r w:rsidRPr="00BC2563">
        <w:rPr>
          <w:color w:val="000000" w:themeColor="text1"/>
        </w:rPr>
        <w:t xml:space="preserve">The CSRD broadens and harmonizes sustainability reporting to include topics such as European Sustainability Reporting Standards, double materiality, and assurance requirements. So a UK based company like Unilever has to adhere EU reporting standards throughout its </w:t>
      </w:r>
      <w:r w:rsidRPr="00BC2563">
        <w:rPr>
          <w:color w:val="000000" w:themeColor="text1"/>
        </w:rPr>
        <w:lastRenderedPageBreak/>
        <w:t>European operations and value chain (Ghemawat, 2007). Credible comparative data can enhance investor confidence, uncover inefficiencies among similar companies and separate businesses in which buyers and sellers value low-impact products. This is supportive of Unilever's climate plan that 99% of their net-zero emissions are outside its activities and this includes a requirement of the ambition for Scope 3 to be a 39% absolute decrease by 2030 (Unilever, 2025c). The program identifies 300 suppliers representing 44% of Scope 3 raw-material, ingredient and packaging emissions (European Parliament and Council, 2022).</w:t>
      </w:r>
    </w:p>
    <w:p w14:paraId="7EC47E7D" w14:textId="77777777" w:rsidR="00BC2563" w:rsidRPr="00BC2563" w:rsidRDefault="00BC2563" w:rsidP="00BC2563">
      <w:pPr>
        <w:pStyle w:val="NormalWeb"/>
        <w:spacing w:line="360" w:lineRule="auto"/>
        <w:jc w:val="both"/>
        <w:rPr>
          <w:color w:val="000000" w:themeColor="text1"/>
        </w:rPr>
      </w:pPr>
      <w:r w:rsidRPr="00BC2563">
        <w:rPr>
          <w:color w:val="000000" w:themeColor="text1"/>
        </w:rPr>
        <w:t>Compliance costs. Scope 3 numbers are subject to estimates, unreliable supplier systems and changing processes Governance and data costs rise from Assurance; however, public aims risk litigation and greenwashing if marketing is prioritized over evidence. Depending on the size of a supplier, this may not be granular or detailed enough therefore ruling out capable enterprises or moving down cost (UNCTAD 2024a) This is especially the case as some regulatory uncertainty means that reporting scope and timing can change, such as with plans in 2025 (although unenforced) to simplify EU requirements. Unilever should be less about compliance and more about decision-useful data architecture.</w:t>
      </w:r>
    </w:p>
    <w:p w14:paraId="53357C11" w14:textId="77777777" w:rsidR="00BC2563" w:rsidRPr="00BC2563" w:rsidRDefault="00BC2563" w:rsidP="00BC2563">
      <w:pPr>
        <w:pStyle w:val="NormalWeb"/>
        <w:spacing w:line="360" w:lineRule="auto"/>
        <w:jc w:val="both"/>
        <w:rPr>
          <w:b/>
          <w:bCs/>
          <w:color w:val="000000" w:themeColor="text1"/>
          <w:sz w:val="28"/>
          <w:szCs w:val="28"/>
        </w:rPr>
      </w:pPr>
      <w:r w:rsidRPr="00BC2563">
        <w:rPr>
          <w:b/>
          <w:bCs/>
          <w:color w:val="000000" w:themeColor="text1"/>
          <w:sz w:val="28"/>
          <w:szCs w:val="28"/>
        </w:rPr>
        <w:t>Integrated International Environmental Analysis</w:t>
      </w:r>
    </w:p>
    <w:p w14:paraId="45E57F5A" w14:textId="77777777" w:rsidR="00BC2563" w:rsidRPr="00BC2563" w:rsidRDefault="00BC2563" w:rsidP="00BC2563">
      <w:pPr>
        <w:pStyle w:val="NormalWeb"/>
        <w:spacing w:line="360" w:lineRule="auto"/>
        <w:jc w:val="both"/>
        <w:rPr>
          <w:color w:val="000000" w:themeColor="text1"/>
        </w:rPr>
      </w:pPr>
      <w:r w:rsidRPr="00BC2563">
        <w:rPr>
          <w:color w:val="000000" w:themeColor="text1"/>
        </w:rPr>
        <w:t>PESTEL sheds light on why these issues need to be dealt with together. Politically, maritime insecurity and US–China rivalry expand tariffs, routes and sanctions. Input costs &amp; pass-throughs: Exogenous effects: Freight inflation, exchange-rate fluctuations and consumer purchasing power Socio-economic consumers want to pay low price, but they look into labour and environmental claims more critically. Innovation is sped up by technological change that also reduces lifespan of systems. Because of environmentalism, ingredients like water are vulnerable to climate change despite the fact that agriculture is an enormous water consumer. Evidence and control find improvements in CSRD, data-protection laws and AI regulation. Shifting ships mean emissions traffic; AI requires energy and data ownership, capitalism lives - quite unsustainably - of scarce sustainability data that substantiate supply clustering (Unilever 2024c). Single-issue responses shift risk rather than address it.</w:t>
      </w:r>
    </w:p>
    <w:p w14:paraId="10537E1C" w14:textId="77777777" w:rsidR="00BC2563" w:rsidRPr="00BC2563" w:rsidRDefault="00BC2563" w:rsidP="00BC2563">
      <w:pPr>
        <w:pStyle w:val="NormalWeb"/>
        <w:spacing w:line="360" w:lineRule="auto"/>
        <w:jc w:val="both"/>
        <w:rPr>
          <w:color w:val="000000" w:themeColor="text1"/>
        </w:rPr>
      </w:pPr>
      <w:r w:rsidRPr="00BC2563">
        <w:rPr>
          <w:color w:val="000000" w:themeColor="text1"/>
        </w:rPr>
        <w:t xml:space="preserve">Competitive effects are explained by Porters Five Forces. The increase in buyer power from big Supermarkets and digital sellers will punish availability by penalising low availability meaning initial strong fulfilment is crucial (Unilever, 2024c). If a geopolitical disruption potentially diminishes specialized chemicals, packaging or other agricultural goods, it </w:t>
      </w:r>
      <w:r w:rsidRPr="00BC2563">
        <w:rPr>
          <w:color w:val="000000" w:themeColor="text1"/>
        </w:rPr>
        <w:lastRenderedPageBreak/>
        <w:t>increases the supplier power. They have strong substitution, a key feature of the branded market as consumers can switch between branded and own-label products (Unilever 2025b) especially through periods of cost-of-living pressure. The impact of AI will allow smaller players to focus their marketing and product development; however, Unilever is still hindered by its own scale, distribution and data (Cazzaniga 2024). Thus competition may move from ads to foresight, traceability and speed.</w:t>
      </w:r>
    </w:p>
    <w:p w14:paraId="6E19A68D" w14:textId="77777777" w:rsidR="00BC2563" w:rsidRPr="00BC2563" w:rsidRDefault="00BC2563" w:rsidP="00BC2563">
      <w:pPr>
        <w:pStyle w:val="NormalWeb"/>
        <w:spacing w:line="360" w:lineRule="auto"/>
        <w:jc w:val="both"/>
        <w:rPr>
          <w:color w:val="000000" w:themeColor="text1"/>
        </w:rPr>
      </w:pPr>
      <w:r w:rsidRPr="00BC2563">
        <w:rPr>
          <w:color w:val="000000" w:themeColor="text1"/>
        </w:rPr>
        <w:t>In addition, these criteria supports Unilever foreign trading. It aims to achieve market growth, portfolio diversification, specialized inputs, and economies of scale in research or procurement or branding. Ownership advantages are brands and organisational know-how, location advatages are country specific demand and resources, while internal coordiation protects for quality and dissemination of knowledge (UNCTAD, 2024a). Resilience has to be now a part of the model. What this trend suggests is that low unit cost does not make a site attractive — political stability, shipping exposure, pollution and data reliability do. As Unilever (2024a) pointed out, while internationalization is fine, the• best approach might not be a globally optimized route but also a regional and digitally connected architecture.</w:t>
      </w:r>
    </w:p>
    <w:p w14:paraId="375DC428" w14:textId="77777777" w:rsidR="00BC2563" w:rsidRPr="00BC2563" w:rsidRDefault="00BC2563" w:rsidP="00BC2563">
      <w:pPr>
        <w:pStyle w:val="Heading1"/>
        <w:rPr>
          <w:rFonts w:ascii="Times New Roman" w:hAnsi="Times New Roman" w:cs="Times New Roman"/>
          <w:color w:val="000000" w:themeColor="text1"/>
        </w:rPr>
      </w:pPr>
    </w:p>
    <w:p w14:paraId="3EF2034C" w14:textId="221FC1E2" w:rsidR="00BC2563" w:rsidRPr="00BC2563" w:rsidRDefault="00BC2563" w:rsidP="00BC2563">
      <w:pPr>
        <w:pStyle w:val="Heading1"/>
        <w:rPr>
          <w:rFonts w:ascii="Times New Roman" w:hAnsi="Times New Roman" w:cs="Times New Roman"/>
          <w:color w:val="000000" w:themeColor="text1"/>
        </w:rPr>
      </w:pPr>
      <w:r w:rsidRPr="00BC2563">
        <w:rPr>
          <w:rFonts w:ascii="Times New Roman" w:hAnsi="Times New Roman" w:cs="Times New Roman"/>
          <w:color w:val="000000" w:themeColor="text1"/>
        </w:rPr>
        <w:t>From External Force to Competitive Outcome</w:t>
      </w:r>
      <w:bookmarkEnd w:id="1"/>
    </w:p>
    <w:tbl>
      <w:tblPr>
        <w:tblW w:w="0" w:type="auto"/>
        <w:tblLayout w:type="fixed"/>
        <w:tblLook w:val="04A0" w:firstRow="1" w:lastRow="0" w:firstColumn="1" w:lastColumn="0" w:noHBand="0" w:noVBand="1"/>
      </w:tblPr>
      <w:tblGrid>
        <w:gridCol w:w="2232"/>
        <w:gridCol w:w="2232"/>
        <w:gridCol w:w="2232"/>
        <w:gridCol w:w="2232"/>
      </w:tblGrid>
      <w:tr w:rsidR="00BC2563" w:rsidRPr="00BC2563" w14:paraId="4EBCA27F" w14:textId="77777777" w:rsidTr="00A369E0">
        <w:tc>
          <w:tcPr>
            <w:tcW w:w="2232" w:type="dxa"/>
            <w:shd w:val="clear" w:color="auto" w:fill="1F4E79"/>
            <w:tcMar>
              <w:top w:w="80" w:type="dxa"/>
              <w:left w:w="120" w:type="dxa"/>
              <w:bottom w:w="80" w:type="dxa"/>
              <w:right w:w="120" w:type="dxa"/>
            </w:tcMar>
            <w:vAlign w:val="center"/>
          </w:tcPr>
          <w:p w14:paraId="65755D5D"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6"/>
              </w:rPr>
              <w:t>GLOBAL FORCE</w:t>
            </w:r>
          </w:p>
        </w:tc>
        <w:tc>
          <w:tcPr>
            <w:tcW w:w="2232" w:type="dxa"/>
            <w:shd w:val="clear" w:color="auto" w:fill="1F4E79"/>
            <w:tcMar>
              <w:top w:w="80" w:type="dxa"/>
              <w:left w:w="120" w:type="dxa"/>
              <w:bottom w:w="80" w:type="dxa"/>
              <w:right w:w="120" w:type="dxa"/>
            </w:tcMar>
            <w:vAlign w:val="center"/>
          </w:tcPr>
          <w:p w14:paraId="628BA20F"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6"/>
              </w:rPr>
              <w:t>CAPABILITY</w:t>
            </w:r>
          </w:p>
        </w:tc>
        <w:tc>
          <w:tcPr>
            <w:tcW w:w="2232" w:type="dxa"/>
            <w:shd w:val="clear" w:color="auto" w:fill="1F4E79"/>
            <w:tcMar>
              <w:top w:w="80" w:type="dxa"/>
              <w:left w:w="120" w:type="dxa"/>
              <w:bottom w:w="80" w:type="dxa"/>
              <w:right w:w="120" w:type="dxa"/>
            </w:tcMar>
            <w:vAlign w:val="center"/>
          </w:tcPr>
          <w:p w14:paraId="21D4FB28"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6"/>
              </w:rPr>
              <w:t>BUSINESS EFFECT</w:t>
            </w:r>
          </w:p>
        </w:tc>
        <w:tc>
          <w:tcPr>
            <w:tcW w:w="2232" w:type="dxa"/>
            <w:shd w:val="clear" w:color="auto" w:fill="1F4E79"/>
            <w:tcMar>
              <w:top w:w="80" w:type="dxa"/>
              <w:left w:w="120" w:type="dxa"/>
              <w:bottom w:w="80" w:type="dxa"/>
              <w:right w:w="120" w:type="dxa"/>
            </w:tcMar>
            <w:vAlign w:val="center"/>
          </w:tcPr>
          <w:p w14:paraId="02B401FB"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6"/>
              </w:rPr>
              <w:t>STRATEGIC OUTCOME</w:t>
            </w:r>
          </w:p>
        </w:tc>
      </w:tr>
      <w:tr w:rsidR="00BC2563" w:rsidRPr="00BC2563" w14:paraId="146E13BB" w14:textId="77777777" w:rsidTr="00A369E0">
        <w:tc>
          <w:tcPr>
            <w:tcW w:w="2232" w:type="dxa"/>
            <w:shd w:val="clear" w:color="auto" w:fill="DDEBF7"/>
            <w:tcMar>
              <w:top w:w="80" w:type="dxa"/>
              <w:left w:w="120" w:type="dxa"/>
              <w:bottom w:w="80" w:type="dxa"/>
              <w:right w:w="120" w:type="dxa"/>
            </w:tcMar>
            <w:vAlign w:val="center"/>
          </w:tcPr>
          <w:p w14:paraId="35B2B157"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8"/>
              </w:rPr>
              <w:t>AI • geopolitics • CSRD</w:t>
            </w:r>
          </w:p>
        </w:tc>
        <w:tc>
          <w:tcPr>
            <w:tcW w:w="2232" w:type="dxa"/>
            <w:shd w:val="clear" w:color="auto" w:fill="DDEBF7"/>
            <w:tcMar>
              <w:top w:w="80" w:type="dxa"/>
              <w:left w:w="120" w:type="dxa"/>
              <w:bottom w:w="80" w:type="dxa"/>
              <w:right w:w="120" w:type="dxa"/>
            </w:tcMar>
            <w:vAlign w:val="center"/>
          </w:tcPr>
          <w:p w14:paraId="234A20DD"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8"/>
              </w:rPr>
              <w:t>Data • redundancy • traceability</w:t>
            </w:r>
          </w:p>
        </w:tc>
        <w:tc>
          <w:tcPr>
            <w:tcW w:w="2232" w:type="dxa"/>
            <w:shd w:val="clear" w:color="auto" w:fill="DDEBF7"/>
            <w:tcMar>
              <w:top w:w="80" w:type="dxa"/>
              <w:left w:w="120" w:type="dxa"/>
              <w:bottom w:w="80" w:type="dxa"/>
              <w:right w:w="120" w:type="dxa"/>
            </w:tcMar>
            <w:vAlign w:val="center"/>
          </w:tcPr>
          <w:p w14:paraId="6DDB71FC"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8"/>
              </w:rPr>
              <w:t>Speed • continuity • trust</w:t>
            </w:r>
          </w:p>
        </w:tc>
        <w:tc>
          <w:tcPr>
            <w:tcW w:w="2232" w:type="dxa"/>
            <w:shd w:val="clear" w:color="auto" w:fill="DDEBF7"/>
            <w:tcMar>
              <w:top w:w="80" w:type="dxa"/>
              <w:left w:w="120" w:type="dxa"/>
              <w:bottom w:w="80" w:type="dxa"/>
              <w:right w:w="120" w:type="dxa"/>
            </w:tcMar>
            <w:vAlign w:val="center"/>
          </w:tcPr>
          <w:p w14:paraId="16B0B720"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b/>
                <w:color w:val="000000" w:themeColor="text1"/>
                <w:sz w:val="18"/>
              </w:rPr>
              <w:t>Resilient, responsible growth</w:t>
            </w:r>
          </w:p>
        </w:tc>
      </w:tr>
    </w:tbl>
    <w:p w14:paraId="5DF79CE3" w14:textId="77777777" w:rsidR="00BC2563" w:rsidRPr="00BC2563" w:rsidRDefault="00BC2563" w:rsidP="00BC2563">
      <w:pPr>
        <w:pStyle w:val="Caption"/>
        <w:spacing w:line="360" w:lineRule="auto"/>
        <w:rPr>
          <w:rFonts w:ascii="Times New Roman" w:hAnsi="Times New Roman" w:cs="Times New Roman"/>
          <w:color w:val="000000" w:themeColor="text1"/>
        </w:rPr>
      </w:pPr>
      <w:r w:rsidRPr="00BC2563">
        <w:rPr>
          <w:rFonts w:ascii="Times New Roman" w:hAnsi="Times New Roman" w:cs="Times New Roman"/>
          <w:b w:val="0"/>
          <w:bCs w:val="0"/>
          <w:color w:val="000000" w:themeColor="text1"/>
        </w:rPr>
        <w:t>Figure 1. Integrated analytical pathway. Source: author’s synthesis.</w:t>
      </w:r>
    </w:p>
    <w:p w14:paraId="7F4A93E4" w14:textId="77777777" w:rsidR="00BC2563" w:rsidRPr="00BC2563" w:rsidRDefault="00BC2563" w:rsidP="00BC2563">
      <w:pPr>
        <w:pStyle w:val="Heading1"/>
        <w:rPr>
          <w:rFonts w:ascii="Times New Roman" w:hAnsi="Times New Roman" w:cs="Times New Roman"/>
          <w:color w:val="000000" w:themeColor="text1"/>
        </w:rPr>
      </w:pPr>
      <w:bookmarkStart w:id="2" w:name="_Toc235812390"/>
      <w:r w:rsidRPr="00BC2563">
        <w:rPr>
          <w:rFonts w:ascii="Times New Roman" w:hAnsi="Times New Roman" w:cs="Times New Roman"/>
          <w:color w:val="000000" w:themeColor="text1"/>
        </w:rPr>
        <w:t>Impact on Unilever’s International Competitiveness</w:t>
      </w:r>
      <w:bookmarkEnd w:id="2"/>
    </w:p>
    <w:p w14:paraId="6B189374" w14:textId="4E3D562C"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 xml:space="preserve">The three forces change Unilever's market position. Through </w:t>
      </w:r>
      <w:proofErr w:type="gramStart"/>
      <w:r w:rsidRPr="00BC2563">
        <w:rPr>
          <w:rFonts w:ascii="Times New Roman" w:hAnsi="Times New Roman" w:cs="Times New Roman"/>
          <w:color w:val="000000" w:themeColor="text1"/>
        </w:rPr>
        <w:t xml:space="preserve">speedier </w:t>
      </w:r>
      <w:r w:rsidRPr="00BC2563">
        <w:rPr>
          <w:rFonts w:ascii="Times New Roman" w:hAnsi="Times New Roman" w:cs="Times New Roman"/>
          <w:color w:val="000000" w:themeColor="text1"/>
        </w:rPr>
        <w:t xml:space="preserve"> when</w:t>
      </w:r>
      <w:proofErr w:type="gramEnd"/>
      <w:r w:rsidRPr="00BC2563">
        <w:rPr>
          <w:rFonts w:ascii="Times New Roman" w:hAnsi="Times New Roman" w:cs="Times New Roman"/>
          <w:color w:val="000000" w:themeColor="text1"/>
        </w:rPr>
        <w:t xml:space="preserve"> checking </w:t>
      </w:r>
      <w:r w:rsidRPr="00BC2563">
        <w:rPr>
          <w:rFonts w:ascii="Times New Roman" w:hAnsi="Times New Roman" w:cs="Times New Roman"/>
          <w:color w:val="000000" w:themeColor="text1"/>
        </w:rPr>
        <w:t xml:space="preserve">consumer insight and content adaption, AI can make global companies more </w:t>
      </w:r>
      <w:r w:rsidRPr="00BC2563">
        <w:rPr>
          <w:rFonts w:ascii="Times New Roman" w:hAnsi="Times New Roman" w:cs="Times New Roman"/>
          <w:color w:val="000000" w:themeColor="text1"/>
        </w:rPr>
        <w:t xml:space="preserve"> therefore needed </w:t>
      </w:r>
      <w:r w:rsidRPr="00BC2563">
        <w:rPr>
          <w:rFonts w:ascii="Times New Roman" w:hAnsi="Times New Roman" w:cs="Times New Roman"/>
          <w:color w:val="000000" w:themeColor="text1"/>
        </w:rPr>
        <w:t xml:space="preserve">locally relevant; sustainability data can strengthen quality and trust; and resilient </w:t>
      </w:r>
      <w:r w:rsidRPr="00BC2563">
        <w:rPr>
          <w:rFonts w:ascii="Times New Roman" w:hAnsi="Times New Roman" w:cs="Times New Roman"/>
          <w:color w:val="000000" w:themeColor="text1"/>
        </w:rPr>
        <w:t xml:space="preserve"> as per this part </w:t>
      </w:r>
      <w:r w:rsidRPr="00BC2563">
        <w:rPr>
          <w:rFonts w:ascii="Times New Roman" w:hAnsi="Times New Roman" w:cs="Times New Roman"/>
          <w:color w:val="000000" w:themeColor="text1"/>
        </w:rPr>
        <w:t>supply can maintain shelf availability when competitors fail (Porter, 1990). Not separate endeavours,</w:t>
      </w:r>
      <w:r w:rsidRPr="00BC2563">
        <w:rPr>
          <w:rFonts w:ascii="Times New Roman" w:hAnsi="Times New Roman" w:cs="Times New Roman"/>
          <w:color w:val="000000" w:themeColor="text1"/>
        </w:rPr>
        <w:t xml:space="preserve"> can be </w:t>
      </w:r>
      <w:proofErr w:type="gramStart"/>
      <w:r w:rsidRPr="00BC2563">
        <w:rPr>
          <w:rFonts w:ascii="Times New Roman" w:hAnsi="Times New Roman" w:cs="Times New Roman"/>
          <w:color w:val="000000" w:themeColor="text1"/>
        </w:rPr>
        <w:t xml:space="preserve">consider </w:t>
      </w:r>
      <w:r w:rsidRPr="00BC2563">
        <w:rPr>
          <w:rFonts w:ascii="Times New Roman" w:hAnsi="Times New Roman" w:cs="Times New Roman"/>
          <w:color w:val="000000" w:themeColor="text1"/>
        </w:rPr>
        <w:t xml:space="preserve"> these</w:t>
      </w:r>
      <w:proofErr w:type="gramEnd"/>
      <w:r w:rsidRPr="00BC2563">
        <w:rPr>
          <w:rFonts w:ascii="Times New Roman" w:hAnsi="Times New Roman" w:cs="Times New Roman"/>
          <w:color w:val="000000" w:themeColor="text1"/>
        </w:rPr>
        <w:t xml:space="preserve"> are complementary skills. AI can detect emissions anomalies and predict interruption, while traceable supplier data enables CSRD reporting. Porter (1990) </w:t>
      </w:r>
      <w:proofErr w:type="gramStart"/>
      <w:r w:rsidRPr="00BC2563">
        <w:rPr>
          <w:rFonts w:ascii="Times New Roman" w:hAnsi="Times New Roman" w:cs="Times New Roman"/>
          <w:color w:val="000000" w:themeColor="text1"/>
        </w:rPr>
        <w:t xml:space="preserve">suggests </w:t>
      </w:r>
      <w:r w:rsidRPr="00BC2563">
        <w:rPr>
          <w:rFonts w:ascii="Times New Roman" w:hAnsi="Times New Roman" w:cs="Times New Roman"/>
          <w:color w:val="000000" w:themeColor="text1"/>
        </w:rPr>
        <w:t xml:space="preserve"> all</w:t>
      </w:r>
      <w:proofErr w:type="gramEnd"/>
      <w:r w:rsidRPr="00BC2563">
        <w:rPr>
          <w:rFonts w:ascii="Times New Roman" w:hAnsi="Times New Roman" w:cs="Times New Roman"/>
          <w:color w:val="000000" w:themeColor="text1"/>
        </w:rPr>
        <w:t xml:space="preserve"> of them </w:t>
      </w:r>
      <w:proofErr w:type="spellStart"/>
      <w:r w:rsidRPr="00BC2563">
        <w:rPr>
          <w:rFonts w:ascii="Times New Roman" w:hAnsi="Times New Roman" w:cs="Times New Roman"/>
          <w:color w:val="000000" w:themeColor="text1"/>
        </w:rPr>
        <w:t>related</w:t>
      </w:r>
      <w:r w:rsidRPr="00BC2563">
        <w:rPr>
          <w:rFonts w:ascii="Times New Roman" w:hAnsi="Times New Roman" w:cs="Times New Roman"/>
          <w:color w:val="000000" w:themeColor="text1"/>
        </w:rPr>
        <w:t>that</w:t>
      </w:r>
      <w:proofErr w:type="spellEnd"/>
      <w:r w:rsidRPr="00BC2563">
        <w:rPr>
          <w:rFonts w:ascii="Times New Roman" w:hAnsi="Times New Roman" w:cs="Times New Roman"/>
          <w:color w:val="000000" w:themeColor="text1"/>
        </w:rPr>
        <w:t xml:space="preserve"> strict regulation and sophisticated clients may boost innovation rather than cost. Advantage arises only if capabilities are hard to copy. Integrating custom demand data, supplier relationships, and employee judgement across markets is different </w:t>
      </w:r>
      <w:proofErr w:type="gramStart"/>
      <w:r w:rsidRPr="00BC2563">
        <w:rPr>
          <w:rFonts w:ascii="Times New Roman" w:hAnsi="Times New Roman" w:cs="Times New Roman"/>
          <w:color w:val="000000" w:themeColor="text1"/>
        </w:rPr>
        <w:t xml:space="preserve">from </w:t>
      </w:r>
      <w:r w:rsidRPr="00BC2563">
        <w:rPr>
          <w:rFonts w:ascii="Times New Roman" w:hAnsi="Times New Roman" w:cs="Times New Roman"/>
          <w:color w:val="000000" w:themeColor="text1"/>
        </w:rPr>
        <w:t xml:space="preserve"> therefore</w:t>
      </w:r>
      <w:proofErr w:type="gramEnd"/>
      <w:r w:rsidRPr="00BC2563">
        <w:rPr>
          <w:rFonts w:ascii="Times New Roman" w:hAnsi="Times New Roman" w:cs="Times New Roman"/>
          <w:color w:val="000000" w:themeColor="text1"/>
        </w:rPr>
        <w:t xml:space="preserve"> to review </w:t>
      </w:r>
      <w:r w:rsidRPr="00BC2563">
        <w:rPr>
          <w:rFonts w:ascii="Times New Roman" w:hAnsi="Times New Roman" w:cs="Times New Roman"/>
          <w:color w:val="000000" w:themeColor="text1"/>
        </w:rPr>
        <w:t>buying regular cloud software (UNCTAD, 2024b).</w:t>
      </w:r>
    </w:p>
    <w:p w14:paraId="28DDAC1F" w14:textId="364C1BD5"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lastRenderedPageBreak/>
        <w:t xml:space="preserve">Experimental and data-driven </w:t>
      </w:r>
      <w:proofErr w:type="gramStart"/>
      <w:r w:rsidRPr="00BC2563">
        <w:rPr>
          <w:rFonts w:ascii="Times New Roman" w:hAnsi="Times New Roman" w:cs="Times New Roman"/>
          <w:color w:val="000000" w:themeColor="text1"/>
        </w:rPr>
        <w:t xml:space="preserve">innovation </w:t>
      </w:r>
      <w:r w:rsidRPr="00BC2563">
        <w:rPr>
          <w:rFonts w:ascii="Times New Roman" w:hAnsi="Times New Roman" w:cs="Times New Roman"/>
          <w:color w:val="000000" w:themeColor="text1"/>
        </w:rPr>
        <w:t xml:space="preserve"> can</w:t>
      </w:r>
      <w:proofErr w:type="gramEnd"/>
      <w:r w:rsidRPr="00BC2563">
        <w:rPr>
          <w:rFonts w:ascii="Times New Roman" w:hAnsi="Times New Roman" w:cs="Times New Roman"/>
          <w:color w:val="000000" w:themeColor="text1"/>
        </w:rPr>
        <w:t xml:space="preserve"> be assure </w:t>
      </w:r>
      <w:r w:rsidRPr="00BC2563">
        <w:rPr>
          <w:rFonts w:ascii="Times New Roman" w:hAnsi="Times New Roman" w:cs="Times New Roman"/>
          <w:color w:val="000000" w:themeColor="text1"/>
        </w:rPr>
        <w:t>increases, while global standardisation may hinder local learning. Digital literacy</w:t>
      </w:r>
      <w:r w:rsidRPr="00BC2563">
        <w:rPr>
          <w:rFonts w:ascii="Times New Roman" w:hAnsi="Times New Roman" w:cs="Times New Roman"/>
          <w:color w:val="000000" w:themeColor="text1"/>
        </w:rPr>
        <w:t xml:space="preserve"> </w:t>
      </w:r>
      <w:proofErr w:type="spellStart"/>
      <w:r w:rsidRPr="00BC2563">
        <w:rPr>
          <w:rFonts w:ascii="Times New Roman" w:hAnsi="Times New Roman" w:cs="Times New Roman"/>
          <w:color w:val="000000" w:themeColor="text1"/>
        </w:rPr>
        <w:t>whne</w:t>
      </w:r>
      <w:proofErr w:type="spellEnd"/>
      <w:r w:rsidRPr="00BC2563">
        <w:rPr>
          <w:rFonts w:ascii="Times New Roman" w:hAnsi="Times New Roman" w:cs="Times New Roman"/>
          <w:color w:val="000000" w:themeColor="text1"/>
        </w:rPr>
        <w:t xml:space="preserve"> </w:t>
      </w:r>
      <w:proofErr w:type="gramStart"/>
      <w:r w:rsidRPr="00BC2563">
        <w:rPr>
          <w:rFonts w:ascii="Times New Roman" w:hAnsi="Times New Roman" w:cs="Times New Roman"/>
          <w:color w:val="000000" w:themeColor="text1"/>
        </w:rPr>
        <w:t xml:space="preserve">checking </w:t>
      </w:r>
      <w:r w:rsidRPr="00BC2563">
        <w:rPr>
          <w:rFonts w:ascii="Times New Roman" w:hAnsi="Times New Roman" w:cs="Times New Roman"/>
          <w:color w:val="000000" w:themeColor="text1"/>
        </w:rPr>
        <w:t>,</w:t>
      </w:r>
      <w:proofErr w:type="gramEnd"/>
      <w:r w:rsidRPr="00BC2563">
        <w:rPr>
          <w:rFonts w:ascii="Times New Roman" w:hAnsi="Times New Roman" w:cs="Times New Roman"/>
          <w:color w:val="000000" w:themeColor="text1"/>
        </w:rPr>
        <w:t xml:space="preserve"> supply-risk expertise, sustainability accounting, and culturally aware brand judgement are needed in talent management (UNCTAD, 2024a). If AI threatens roles, employees may resist it</w:t>
      </w:r>
      <w:r w:rsidRPr="00BC2563">
        <w:rPr>
          <w:rFonts w:ascii="Times New Roman" w:hAnsi="Times New Roman" w:cs="Times New Roman"/>
          <w:color w:val="000000" w:themeColor="text1"/>
        </w:rPr>
        <w:t xml:space="preserve"> therefore </w:t>
      </w:r>
      <w:proofErr w:type="gramStart"/>
      <w:r w:rsidRPr="00BC2563">
        <w:rPr>
          <w:rFonts w:ascii="Times New Roman" w:hAnsi="Times New Roman" w:cs="Times New Roman"/>
          <w:color w:val="000000" w:themeColor="text1"/>
        </w:rPr>
        <w:t xml:space="preserve">needed </w:t>
      </w:r>
      <w:r w:rsidRPr="00BC2563">
        <w:rPr>
          <w:rFonts w:ascii="Times New Roman" w:hAnsi="Times New Roman" w:cs="Times New Roman"/>
          <w:color w:val="000000" w:themeColor="text1"/>
        </w:rPr>
        <w:t>,</w:t>
      </w:r>
      <w:proofErr w:type="gramEnd"/>
      <w:r w:rsidRPr="00BC2563">
        <w:rPr>
          <w:rFonts w:ascii="Times New Roman" w:hAnsi="Times New Roman" w:cs="Times New Roman"/>
          <w:color w:val="000000" w:themeColor="text1"/>
        </w:rPr>
        <w:t xml:space="preserve"> and scarce data and engineering talent raises costs. Instead of counting AI tools, management should </w:t>
      </w:r>
      <w:r w:rsidRPr="00BC2563">
        <w:rPr>
          <w:rFonts w:ascii="Times New Roman" w:hAnsi="Times New Roman" w:cs="Times New Roman"/>
          <w:color w:val="000000" w:themeColor="text1"/>
        </w:rPr>
        <w:t xml:space="preserve">all of them related </w:t>
      </w:r>
      <w:r w:rsidRPr="00BC2563">
        <w:rPr>
          <w:rFonts w:ascii="Times New Roman" w:hAnsi="Times New Roman" w:cs="Times New Roman"/>
          <w:color w:val="000000" w:themeColor="text1"/>
        </w:rPr>
        <w:t>evaluate adoption quality, forecast improvement, and staff capabilities.</w:t>
      </w:r>
    </w:p>
    <w:p w14:paraId="5B20F927" w14:textId="72702F3F"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Macroeconomic and market-structure effects support this</w:t>
      </w:r>
      <w:r w:rsidRPr="00BC2563">
        <w:rPr>
          <w:rFonts w:ascii="Times New Roman" w:hAnsi="Times New Roman" w:cs="Times New Roman"/>
          <w:color w:val="000000" w:themeColor="text1"/>
        </w:rPr>
        <w:t xml:space="preserve"> in this </w:t>
      </w:r>
      <w:proofErr w:type="spellStart"/>
      <w:proofErr w:type="gramStart"/>
      <w:r w:rsidRPr="00BC2563">
        <w:rPr>
          <w:rFonts w:ascii="Times New Roman" w:hAnsi="Times New Roman" w:cs="Times New Roman"/>
          <w:color w:val="000000" w:themeColor="text1"/>
        </w:rPr>
        <w:t>consideraitons</w:t>
      </w:r>
      <w:proofErr w:type="spellEnd"/>
      <w:r w:rsidRPr="00BC2563">
        <w:rPr>
          <w:rFonts w:ascii="Times New Roman" w:hAnsi="Times New Roman" w:cs="Times New Roman"/>
          <w:color w:val="000000" w:themeColor="text1"/>
        </w:rPr>
        <w:t xml:space="preserve"> </w:t>
      </w:r>
      <w:r w:rsidRPr="00BC2563">
        <w:rPr>
          <w:rFonts w:ascii="Times New Roman" w:hAnsi="Times New Roman" w:cs="Times New Roman"/>
          <w:color w:val="000000" w:themeColor="text1"/>
        </w:rPr>
        <w:t>.</w:t>
      </w:r>
      <w:proofErr w:type="gramEnd"/>
      <w:r w:rsidRPr="00BC2563">
        <w:rPr>
          <w:rFonts w:ascii="Times New Roman" w:hAnsi="Times New Roman" w:cs="Times New Roman"/>
          <w:color w:val="000000" w:themeColor="text1"/>
        </w:rPr>
        <w:t xml:space="preserve"> Freight and energy costs can boost inflation and interest </w:t>
      </w:r>
      <w:proofErr w:type="gramStart"/>
      <w:r w:rsidRPr="00BC2563">
        <w:rPr>
          <w:rFonts w:ascii="Times New Roman" w:hAnsi="Times New Roman" w:cs="Times New Roman"/>
          <w:color w:val="000000" w:themeColor="text1"/>
        </w:rPr>
        <w:t xml:space="preserve">rates, </w:t>
      </w:r>
      <w:r w:rsidRPr="00BC2563">
        <w:rPr>
          <w:rFonts w:ascii="Times New Roman" w:hAnsi="Times New Roman" w:cs="Times New Roman"/>
          <w:color w:val="000000" w:themeColor="text1"/>
        </w:rPr>
        <w:t xml:space="preserve"> therefore</w:t>
      </w:r>
      <w:proofErr w:type="gramEnd"/>
      <w:r w:rsidRPr="00BC2563">
        <w:rPr>
          <w:rFonts w:ascii="Times New Roman" w:hAnsi="Times New Roman" w:cs="Times New Roman"/>
          <w:color w:val="000000" w:themeColor="text1"/>
        </w:rPr>
        <w:t xml:space="preserve"> needed </w:t>
      </w:r>
      <w:r w:rsidRPr="00BC2563">
        <w:rPr>
          <w:rFonts w:ascii="Times New Roman" w:hAnsi="Times New Roman" w:cs="Times New Roman"/>
          <w:color w:val="000000" w:themeColor="text1"/>
        </w:rPr>
        <w:t>lowering real household income and driving demand</w:t>
      </w:r>
      <w:r w:rsidRPr="00BC2563">
        <w:rPr>
          <w:rFonts w:ascii="Times New Roman" w:hAnsi="Times New Roman" w:cs="Times New Roman"/>
          <w:color w:val="000000" w:themeColor="text1"/>
        </w:rPr>
        <w:t xml:space="preserve"> </w:t>
      </w:r>
      <w:proofErr w:type="spellStart"/>
      <w:r w:rsidRPr="00BC2563">
        <w:rPr>
          <w:rFonts w:ascii="Times New Roman" w:hAnsi="Times New Roman" w:cs="Times New Roman"/>
          <w:color w:val="000000" w:themeColor="text1"/>
        </w:rPr>
        <w:t>whne</w:t>
      </w:r>
      <w:proofErr w:type="spellEnd"/>
      <w:r w:rsidRPr="00BC2563">
        <w:rPr>
          <w:rFonts w:ascii="Times New Roman" w:hAnsi="Times New Roman" w:cs="Times New Roman"/>
          <w:color w:val="000000" w:themeColor="text1"/>
        </w:rPr>
        <w:t xml:space="preserve"> requiring </w:t>
      </w:r>
      <w:r w:rsidRPr="00BC2563">
        <w:rPr>
          <w:rFonts w:ascii="Times New Roman" w:hAnsi="Times New Roman" w:cs="Times New Roman"/>
          <w:color w:val="000000" w:themeColor="text1"/>
        </w:rPr>
        <w:t xml:space="preserve"> for cheaper private labels (European Commission, 2025). Because fast-moving consumer goods markets are differentiated oligopolies, Unilever has brand equity pricing power but not unlimited freedom: </w:t>
      </w:r>
      <w:r w:rsidRPr="00BC2563">
        <w:rPr>
          <w:rFonts w:ascii="Times New Roman" w:hAnsi="Times New Roman" w:cs="Times New Roman"/>
          <w:color w:val="000000" w:themeColor="text1"/>
        </w:rPr>
        <w:t xml:space="preserve"> can be consider </w:t>
      </w:r>
      <w:r w:rsidRPr="00BC2563">
        <w:rPr>
          <w:rFonts w:ascii="Times New Roman" w:hAnsi="Times New Roman" w:cs="Times New Roman"/>
          <w:color w:val="000000" w:themeColor="text1"/>
        </w:rPr>
        <w:t>retailers control shelf space and consumers can substitute quickly. The productivity savings</w:t>
      </w:r>
      <w:r w:rsidRPr="00BC2563">
        <w:rPr>
          <w:rFonts w:ascii="Times New Roman" w:hAnsi="Times New Roman" w:cs="Times New Roman"/>
          <w:color w:val="000000" w:themeColor="text1"/>
        </w:rPr>
        <w:t xml:space="preserve"> all of them related</w:t>
      </w:r>
      <w:r w:rsidRPr="00BC2563">
        <w:rPr>
          <w:rFonts w:ascii="Times New Roman" w:hAnsi="Times New Roman" w:cs="Times New Roman"/>
          <w:color w:val="000000" w:themeColor="text1"/>
        </w:rPr>
        <w:t xml:space="preserve"> from AI and network redesign should be split between margin protection, affordable prices, and innovation. This would</w:t>
      </w:r>
      <w:r w:rsidRPr="00BC2563">
        <w:rPr>
          <w:rFonts w:ascii="Times New Roman" w:hAnsi="Times New Roman" w:cs="Times New Roman"/>
          <w:color w:val="000000" w:themeColor="text1"/>
        </w:rPr>
        <w:t xml:space="preserve"> when </w:t>
      </w:r>
      <w:proofErr w:type="gramStart"/>
      <w:r w:rsidRPr="00BC2563">
        <w:rPr>
          <w:rFonts w:ascii="Times New Roman" w:hAnsi="Times New Roman" w:cs="Times New Roman"/>
          <w:color w:val="000000" w:themeColor="text1"/>
        </w:rPr>
        <w:t xml:space="preserve">suggesting </w:t>
      </w:r>
      <w:r w:rsidRPr="00BC2563">
        <w:rPr>
          <w:rFonts w:ascii="Times New Roman" w:hAnsi="Times New Roman" w:cs="Times New Roman"/>
          <w:color w:val="000000" w:themeColor="text1"/>
        </w:rPr>
        <w:t xml:space="preserve"> protect</w:t>
      </w:r>
      <w:proofErr w:type="gramEnd"/>
      <w:r w:rsidRPr="00BC2563">
        <w:rPr>
          <w:rFonts w:ascii="Times New Roman" w:hAnsi="Times New Roman" w:cs="Times New Roman"/>
          <w:color w:val="000000" w:themeColor="text1"/>
        </w:rPr>
        <w:t xml:space="preserve"> volume and prevent</w:t>
      </w:r>
      <w:r w:rsidRPr="00BC2563">
        <w:rPr>
          <w:rFonts w:ascii="Times New Roman" w:hAnsi="Times New Roman" w:cs="Times New Roman"/>
          <w:color w:val="000000" w:themeColor="text1"/>
        </w:rPr>
        <w:t xml:space="preserve"> therefore needed </w:t>
      </w:r>
      <w:r w:rsidRPr="00BC2563">
        <w:rPr>
          <w:rFonts w:ascii="Times New Roman" w:hAnsi="Times New Roman" w:cs="Times New Roman"/>
          <w:color w:val="000000" w:themeColor="text1"/>
        </w:rPr>
        <w:t xml:space="preserve"> short-term cost recovery from eroding brand penetration.</w:t>
      </w:r>
    </w:p>
    <w:p w14:paraId="1B03297B" w14:textId="77777777" w:rsidR="00BC2563" w:rsidRPr="00BC2563" w:rsidRDefault="00BC2563" w:rsidP="00BC2563">
      <w:pPr>
        <w:spacing w:line="360" w:lineRule="auto"/>
        <w:jc w:val="both"/>
        <w:rPr>
          <w:rFonts w:ascii="Times New Roman" w:hAnsi="Times New Roman" w:cs="Times New Roman"/>
          <w:color w:val="000000" w:themeColor="text1"/>
        </w:rPr>
      </w:pPr>
      <w:r w:rsidRPr="00BC2563">
        <w:rPr>
          <w:rFonts w:ascii="Times New Roman" w:hAnsi="Times New Roman" w:cs="Times New Roman"/>
          <w:noProof/>
          <w:color w:val="000000" w:themeColor="text1"/>
        </w:rPr>
        <w:drawing>
          <wp:inline distT="0" distB="0" distL="0" distR="0" wp14:anchorId="00412E96" wp14:editId="0C705596">
            <wp:extent cx="4983480" cy="2268164"/>
            <wp:effectExtent l="0" t="0" r="0" b="0"/>
            <wp:docPr id="1" name="Picture 1" descr="A graph of a number of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number of blue squares&#10;&#10;AI-generated content may be incorrect."/>
                    <pic:cNvPicPr/>
                  </pic:nvPicPr>
                  <pic:blipFill>
                    <a:blip r:embed="rId10"/>
                    <a:stretch>
                      <a:fillRect/>
                    </a:stretch>
                  </pic:blipFill>
                  <pic:spPr>
                    <a:xfrm>
                      <a:off x="0" y="0"/>
                      <a:ext cx="4983480" cy="2268164"/>
                    </a:xfrm>
                    <a:prstGeom prst="rect">
                      <a:avLst/>
                    </a:prstGeom>
                  </pic:spPr>
                </pic:pic>
              </a:graphicData>
            </a:graphic>
          </wp:inline>
        </w:drawing>
      </w:r>
    </w:p>
    <w:p w14:paraId="635B2521" w14:textId="77777777" w:rsidR="00BC2563" w:rsidRPr="00BC2563" w:rsidRDefault="00BC2563" w:rsidP="00BC2563">
      <w:pPr>
        <w:pStyle w:val="Caption"/>
        <w:spacing w:line="360" w:lineRule="auto"/>
        <w:rPr>
          <w:rFonts w:ascii="Times New Roman" w:hAnsi="Times New Roman" w:cs="Times New Roman"/>
          <w:color w:val="000000" w:themeColor="text1"/>
        </w:rPr>
      </w:pPr>
      <w:r w:rsidRPr="00BC2563">
        <w:rPr>
          <w:rFonts w:ascii="Times New Roman" w:hAnsi="Times New Roman" w:cs="Times New Roman"/>
          <w:b w:val="0"/>
          <w:bCs w:val="0"/>
          <w:color w:val="000000" w:themeColor="text1"/>
        </w:rPr>
        <w:t>Figure 2. Unilever turnover, 2022–2024 (€bn). Source: Unilever (2025a).</w:t>
      </w:r>
    </w:p>
    <w:p w14:paraId="60D75A63" w14:textId="77777777" w:rsidR="00BC2563" w:rsidRPr="00BC2563" w:rsidRDefault="00BC2563" w:rsidP="00BC2563">
      <w:pPr>
        <w:pStyle w:val="NormalWeb"/>
        <w:spacing w:line="360" w:lineRule="auto"/>
        <w:jc w:val="both"/>
        <w:rPr>
          <w:color w:val="000000" w:themeColor="text1"/>
        </w:rPr>
      </w:pPr>
      <w:bookmarkStart w:id="3" w:name="_Toc235812393"/>
      <w:r w:rsidRPr="00BC2563">
        <w:rPr>
          <w:color w:val="000000" w:themeColor="text1"/>
        </w:rPr>
        <w:t>Turnover even rebounded to €60.8 billion in 2024, despite disruption (Fig. The key competitive hurdle is whether Unilever can capitalise on temporary defensive outlay into sustainable growth and margin-enhancing capabilities (Unilever, 2024b)</w:t>
      </w:r>
    </w:p>
    <w:p w14:paraId="40B37057" w14:textId="77777777" w:rsidR="00BC2563" w:rsidRPr="00BC2563" w:rsidRDefault="00BC2563" w:rsidP="00BC2563">
      <w:pPr>
        <w:pStyle w:val="NormalWeb"/>
        <w:spacing w:line="360" w:lineRule="auto"/>
        <w:jc w:val="both"/>
        <w:rPr>
          <w:color w:val="000000" w:themeColor="text1"/>
        </w:rPr>
      </w:pPr>
      <w:r w:rsidRPr="00BC2563">
        <w:rPr>
          <w:color w:val="000000" w:themeColor="text1"/>
        </w:rPr>
        <w:t>Strategic Recommendations</w:t>
      </w:r>
    </w:p>
    <w:p w14:paraId="3EE9946B" w14:textId="77777777" w:rsidR="00BC2563" w:rsidRPr="00BC2563" w:rsidRDefault="00BC2563" w:rsidP="00BC2563">
      <w:pPr>
        <w:pStyle w:val="NormalWeb"/>
        <w:spacing w:line="360" w:lineRule="auto"/>
        <w:jc w:val="both"/>
        <w:rPr>
          <w:color w:val="000000" w:themeColor="text1"/>
        </w:rPr>
      </w:pPr>
      <w:r w:rsidRPr="00BC2563">
        <w:rPr>
          <w:color w:val="000000" w:themeColor="text1"/>
        </w:rPr>
        <w:t>Create an AI governance model. Focus forecast, manufacture and content high-value use cases; consumer-facing claims must be human cleared; bias audits, privacy, cyber security &amp; model drift; For example forecast accuracy, waste, service &amp; margin (Unilever 2024b)</w:t>
      </w:r>
    </w:p>
    <w:p w14:paraId="21EFAC68" w14:textId="77777777" w:rsidR="00BC2563" w:rsidRPr="00BC2563" w:rsidRDefault="00BC2563" w:rsidP="00BC2563">
      <w:pPr>
        <w:pStyle w:val="NormalWeb"/>
        <w:spacing w:line="360" w:lineRule="auto"/>
        <w:jc w:val="both"/>
        <w:rPr>
          <w:color w:val="000000" w:themeColor="text1"/>
        </w:rPr>
      </w:pPr>
      <w:r w:rsidRPr="00BC2563">
        <w:rPr>
          <w:color w:val="000000" w:themeColor="text1"/>
        </w:rPr>
        <w:lastRenderedPageBreak/>
        <w:t>Critically divide supply chains. Stress-test scenarios for the Red Sea and East Asia, equip important inputs with dual sources across regions, map dependencies (Tier Two and Three), and maintain dynamic buffers only if the impact of disruption exceeds the carrying cost7747326567427229159Ensuring a supply chain strategy: 2023—UK by C-level overview | McKinsey</w:t>
      </w:r>
    </w:p>
    <w:p w14:paraId="02B5DBF7" w14:textId="77777777" w:rsidR="00BC2563" w:rsidRPr="00BC2563" w:rsidRDefault="00BC2563" w:rsidP="00BC2563">
      <w:pPr>
        <w:pStyle w:val="NormalWeb"/>
        <w:spacing w:line="360" w:lineRule="auto"/>
        <w:jc w:val="both"/>
        <w:rPr>
          <w:color w:val="000000" w:themeColor="text1"/>
        </w:rPr>
      </w:pPr>
      <w:r w:rsidRPr="00BC2563">
        <w:rPr>
          <w:color w:val="000000" w:themeColor="text1"/>
        </w:rPr>
        <w:t>A single data spine for traceability and sustainability. Linking records for procurement, logistics, product and emissions use supplier-specific data where applicable keep audit trails for CSRD assurance and provide technical support to smaller suppliers (European Commission 2025)</w:t>
      </w:r>
    </w:p>
    <w:p w14:paraId="15C43F77" w14:textId="77777777" w:rsidR="00BC2563" w:rsidRPr="00BC2563" w:rsidRDefault="00BC2563" w:rsidP="00BC2563">
      <w:pPr>
        <w:pStyle w:val="NormalWeb"/>
        <w:spacing w:line="360" w:lineRule="auto"/>
        <w:jc w:val="both"/>
        <w:rPr>
          <w:color w:val="000000" w:themeColor="text1"/>
        </w:rPr>
      </w:pPr>
      <w:r w:rsidRPr="00BC2563">
        <w:rPr>
          <w:color w:val="000000" w:themeColor="text1"/>
        </w:rPr>
        <w:t>Fund a fair skills transition. AI and sustainability training for all staff by role, restructuring jobs around human judgement and consultation, managerial rewards linked to productivity, organisational resilience, progress on emissions outcomes (as verified) and employee acceptability (Unilever 2024b).</w:t>
      </w:r>
    </w:p>
    <w:p w14:paraId="24C37C92" w14:textId="77777777" w:rsidR="00BC2563" w:rsidRPr="00BC2563" w:rsidRDefault="00BC2563" w:rsidP="00BC2563">
      <w:pPr>
        <w:pStyle w:val="NormalWeb"/>
        <w:spacing w:line="360" w:lineRule="auto"/>
        <w:jc w:val="both"/>
        <w:rPr>
          <w:color w:val="000000" w:themeColor="text1"/>
        </w:rPr>
      </w:pPr>
      <w:r w:rsidRPr="00BC2563">
        <w:rPr>
          <w:color w:val="000000" w:themeColor="text1"/>
        </w:rPr>
        <w:t>Conclusion</w:t>
      </w:r>
    </w:p>
    <w:p w14:paraId="7A8EAA54" w14:textId="77777777" w:rsidR="00BC2563" w:rsidRPr="00BC2563" w:rsidRDefault="00BC2563" w:rsidP="00BC2563">
      <w:pPr>
        <w:pStyle w:val="NormalWeb"/>
        <w:spacing w:line="360" w:lineRule="auto"/>
        <w:jc w:val="both"/>
        <w:rPr>
          <w:color w:val="000000" w:themeColor="text1"/>
        </w:rPr>
      </w:pPr>
      <w:r w:rsidRPr="00BC2563">
        <w:rPr>
          <w:color w:val="000000" w:themeColor="text1"/>
        </w:rPr>
        <w:t>While globalisation opens doors to the knowledge, suppliers, and customers at a scale not available at home for Unilever; it also encompasses technical disruptions like regime change leading to geopolitical disruption or changes in regulatory stances. We have a good level of confidence that AI will be the next big change and impact many sectors in 2024–25 – vital for forecasting, production of content or exercise operational control – but also challenges (governance first, cyber second and workforce etc). Lean and concentrated networks showed fragility in Red Sea and China–Taiwan tensions, which supported selective redundancy and regional flexibility. CSRD push for transparency and creativity through Scope 3, but these disclosures are complex and costly. Unilever will need to combine managed AI, risk-based supply resilience, sustainability data and workforce development. Knowledge of how these global processes work is essential because today, competitive global advantage comes from managing an efficient, resilient network rather than finding the site with the lowest labor costs.</w:t>
      </w:r>
    </w:p>
    <w:p w14:paraId="34604D2B" w14:textId="77777777" w:rsidR="00BC2563" w:rsidRPr="00BC2563" w:rsidRDefault="00BC2563" w:rsidP="00BC2563">
      <w:pPr>
        <w:pStyle w:val="Heading1"/>
        <w:rPr>
          <w:rFonts w:ascii="Times New Roman" w:hAnsi="Times New Roman" w:cs="Times New Roman"/>
          <w:color w:val="000000" w:themeColor="text1"/>
        </w:rPr>
      </w:pPr>
    </w:p>
    <w:p w14:paraId="13C3A9DD" w14:textId="674DF296" w:rsidR="00BC2563" w:rsidRPr="00BC2563" w:rsidRDefault="00BC2563" w:rsidP="00BC2563">
      <w:pPr>
        <w:pStyle w:val="Heading1"/>
        <w:rPr>
          <w:rFonts w:ascii="Times New Roman" w:hAnsi="Times New Roman" w:cs="Times New Roman"/>
          <w:color w:val="000000" w:themeColor="text1"/>
        </w:rPr>
      </w:pPr>
      <w:r w:rsidRPr="00BC2563">
        <w:rPr>
          <w:rFonts w:ascii="Times New Roman" w:hAnsi="Times New Roman" w:cs="Times New Roman"/>
          <w:color w:val="000000" w:themeColor="text1"/>
        </w:rPr>
        <w:t>Reference List</w:t>
      </w:r>
      <w:bookmarkEnd w:id="3"/>
    </w:p>
    <w:p w14:paraId="5458381C"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proofErr w:type="spellStart"/>
      <w:r w:rsidRPr="00BC2563">
        <w:rPr>
          <w:rFonts w:ascii="Times New Roman" w:hAnsi="Times New Roman" w:cs="Times New Roman"/>
          <w:color w:val="000000" w:themeColor="text1"/>
        </w:rPr>
        <w:t>Cazzaniga</w:t>
      </w:r>
      <w:proofErr w:type="spellEnd"/>
      <w:r w:rsidRPr="00BC2563">
        <w:rPr>
          <w:rFonts w:ascii="Times New Roman" w:hAnsi="Times New Roman" w:cs="Times New Roman"/>
          <w:color w:val="000000" w:themeColor="text1"/>
        </w:rPr>
        <w:t xml:space="preserve">, M., </w:t>
      </w:r>
      <w:proofErr w:type="spellStart"/>
      <w:r w:rsidRPr="00BC2563">
        <w:rPr>
          <w:rFonts w:ascii="Times New Roman" w:hAnsi="Times New Roman" w:cs="Times New Roman"/>
          <w:color w:val="000000" w:themeColor="text1"/>
        </w:rPr>
        <w:t>Jaumotte</w:t>
      </w:r>
      <w:proofErr w:type="spellEnd"/>
      <w:r w:rsidRPr="00BC2563">
        <w:rPr>
          <w:rFonts w:ascii="Times New Roman" w:hAnsi="Times New Roman" w:cs="Times New Roman"/>
          <w:color w:val="000000" w:themeColor="text1"/>
        </w:rPr>
        <w:t xml:space="preserve">, F., Li, L., Melina, G., Panton, A.J., </w:t>
      </w:r>
      <w:proofErr w:type="spellStart"/>
      <w:r w:rsidRPr="00BC2563">
        <w:rPr>
          <w:rFonts w:ascii="Times New Roman" w:hAnsi="Times New Roman" w:cs="Times New Roman"/>
          <w:color w:val="000000" w:themeColor="text1"/>
        </w:rPr>
        <w:t>Pizzinelli</w:t>
      </w:r>
      <w:proofErr w:type="spellEnd"/>
      <w:r w:rsidRPr="00BC2563">
        <w:rPr>
          <w:rFonts w:ascii="Times New Roman" w:hAnsi="Times New Roman" w:cs="Times New Roman"/>
          <w:color w:val="000000" w:themeColor="text1"/>
        </w:rPr>
        <w:t xml:space="preserve">, C., Rockall, E.J. and Tavares, M.M. (2024) ‘Gen-AI: Artificial intelligence and the future of work’, IMF Staff Discussion Note 2024/001. Washington, DC: </w:t>
      </w:r>
      <w:r w:rsidRPr="00BC2563">
        <w:rPr>
          <w:rFonts w:ascii="Times New Roman" w:hAnsi="Times New Roman" w:cs="Times New Roman"/>
          <w:color w:val="000000" w:themeColor="text1"/>
        </w:rPr>
        <w:lastRenderedPageBreak/>
        <w:t>International Monetary Fund. Available at: https://www.imf.org/en/Publications/Staff-Discussion-Notes/Issues/2024/01/14/Gen-AI-Artificial-Intelligence-and-the-Future-of-Work-542379 (Accessed: 24 July 2026).</w:t>
      </w:r>
    </w:p>
    <w:p w14:paraId="576D662F"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Dunning, J.H. (2000) ‘The eclectic paradigm as an envelope for economic and business theories of MNE activity’, International Business Review, 9(2), pp. 163–190.</w:t>
      </w:r>
    </w:p>
    <w:p w14:paraId="1AF5F504"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European Commission (2024) Corporate sustainability reporting. Available at: https://finance.ec.europa.eu/capital-markets-union-and-financial-markets/company-reporting-and-auditing/company-reporting/corporate-sustainability-reporting_en (Accessed: 24 July 2026).</w:t>
      </w:r>
    </w:p>
    <w:p w14:paraId="68C5490E"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European Commission (2025) Commission proposes to cut red tape and simplify business environment. Available at: https://commission.europa.eu/news-and-media/news/commission-proposes-cut-red-tape-and-simplify-business-environment-2025-02-26_en (Accessed: 24 July 2026).</w:t>
      </w:r>
    </w:p>
    <w:p w14:paraId="73909D89"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European Parliament and Council (2022) Directive (EU) 2022/2464 as regards corporate sustainability reporting. Official Journal of the European Union, L322, pp. 15–80.</w:t>
      </w:r>
    </w:p>
    <w:p w14:paraId="0DF88FDA"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proofErr w:type="spellStart"/>
      <w:r w:rsidRPr="00BC2563">
        <w:rPr>
          <w:rFonts w:ascii="Times New Roman" w:hAnsi="Times New Roman" w:cs="Times New Roman"/>
          <w:color w:val="000000" w:themeColor="text1"/>
        </w:rPr>
        <w:t>Gereffi</w:t>
      </w:r>
      <w:proofErr w:type="spellEnd"/>
      <w:r w:rsidRPr="00BC2563">
        <w:rPr>
          <w:rFonts w:ascii="Times New Roman" w:hAnsi="Times New Roman" w:cs="Times New Roman"/>
          <w:color w:val="000000" w:themeColor="text1"/>
        </w:rPr>
        <w:t>, G. (2018) Global value chains and development: Redefining the contours of 21st century capitalism. Cambridge: Cambridge University Press.</w:t>
      </w:r>
    </w:p>
    <w:p w14:paraId="13B35412"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Ghemawat, P. (2007) Redefining global strategy: Crossing borders in a world where differences still matter. Boston, MA: Harvard Business School Press.</w:t>
      </w:r>
    </w:p>
    <w:p w14:paraId="61AD0104"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Porter, M.E. (1990) The competitive advantage of nations. New York: Free Press.</w:t>
      </w:r>
    </w:p>
    <w:p w14:paraId="450CE56C"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UNCTAD (2024a) Navigating troubled waters: Impact to global trade of disruption of shipping routes in the Red Sea, Black Sea and Panama Canal. Geneva: United Nations Conference on Trade and Development. Available at: https://unctad.org/publication/navigating-troubled-waters-impact-global-trade-disruption-shipping-routes-red-sea-black (Accessed: 24 July 2026).</w:t>
      </w:r>
    </w:p>
    <w:p w14:paraId="1ACA3A73"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UNCTAD (2024b) Review of Maritime Transport 2024. Geneva: United Nations. Available at: https://unctad.org/publication/review-maritime-transport-2024 (Accessed: 24 July 2026).</w:t>
      </w:r>
    </w:p>
    <w:p w14:paraId="5B311BED"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 xml:space="preserve">Unilever (2024a) </w:t>
      </w:r>
      <w:proofErr w:type="spellStart"/>
      <w:r w:rsidRPr="00BC2563">
        <w:rPr>
          <w:rFonts w:ascii="Times New Roman" w:hAnsi="Times New Roman" w:cs="Times New Roman"/>
          <w:color w:val="000000" w:themeColor="text1"/>
        </w:rPr>
        <w:t>Utilising</w:t>
      </w:r>
      <w:proofErr w:type="spellEnd"/>
      <w:r w:rsidRPr="00BC2563">
        <w:rPr>
          <w:rFonts w:ascii="Times New Roman" w:hAnsi="Times New Roman" w:cs="Times New Roman"/>
          <w:color w:val="000000" w:themeColor="text1"/>
        </w:rPr>
        <w:t xml:space="preserve"> AI to redefine the future of customer connectivity. Available at: https://www.unilever.com/news/news-search/2024/utilising-ai-to-redefine-the-future-of-customer-connectivity/ (Accessed: 24 July 2026).</w:t>
      </w:r>
    </w:p>
    <w:p w14:paraId="06093E40"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Unilever (2024b) Climate Transition Action Plan: Updated 2024. London: Unilever plc. Available at: https://www.unilever.com/files/8b5df5f6-cb90-40fd-9691-38d06905d81d/unilever-climate-transition-action-plan-updated-2024.pdf (Accessed: 24 July 2026).</w:t>
      </w:r>
    </w:p>
    <w:p w14:paraId="2BA5C6FD"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Unilever (2024c) Supporting our suppliers to take bolder climate action. Available at: https://www.unilever.com/news/news-search/2024/supporting-our-suppliers-to-take-bolder-climate-action/ (Accessed: 24 July 2026).</w:t>
      </w:r>
    </w:p>
    <w:p w14:paraId="11CF920F"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Unilever (2025a) Annual Report and Accounts 2024. London: Unilever plc. Available at: https://www.unilever.com/files/unilever-annual-report-and-accounts-2024.pdf (Accessed: 24 July 2026).</w:t>
      </w:r>
    </w:p>
    <w:p w14:paraId="6322FB20"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t>Unilever (2025b) How digital transformation drives our operational excellence. Available at: https://www.unilever.com/news/news-search/2025/how-unilevers-digital-transformation-is-driving-operational-excellence/ (Accessed: 24 July 2026).</w:t>
      </w:r>
    </w:p>
    <w:p w14:paraId="5008E4DF" w14:textId="77777777" w:rsidR="00BC2563" w:rsidRPr="00BC2563" w:rsidRDefault="00BC2563" w:rsidP="00BC2563">
      <w:pPr>
        <w:pStyle w:val="Reference"/>
        <w:spacing w:line="360" w:lineRule="auto"/>
        <w:jc w:val="both"/>
        <w:rPr>
          <w:rFonts w:ascii="Times New Roman" w:hAnsi="Times New Roman" w:cs="Times New Roman"/>
          <w:color w:val="000000" w:themeColor="text1"/>
        </w:rPr>
      </w:pPr>
      <w:r w:rsidRPr="00BC2563">
        <w:rPr>
          <w:rFonts w:ascii="Times New Roman" w:hAnsi="Times New Roman" w:cs="Times New Roman"/>
          <w:color w:val="000000" w:themeColor="text1"/>
        </w:rPr>
        <w:lastRenderedPageBreak/>
        <w:t>Unilever (2025c) Unilever reinvents product shoots with digital twins and AI. Available at: https://www.unilever.com/news/press-and-media/press-releases/2025/unilever-reinvents-product-shoots-with-digital-twins-and-ai/ (Accessed: 24 July 2026).</w:t>
      </w:r>
    </w:p>
    <w:p w14:paraId="39860E95" w14:textId="77777777" w:rsidR="00BC2563" w:rsidRPr="00BC2563" w:rsidRDefault="00BC2563" w:rsidP="00BC2563">
      <w:pPr>
        <w:spacing w:before="200" w:after="200" w:line="360" w:lineRule="auto"/>
        <w:jc w:val="both"/>
        <w:rPr>
          <w:rFonts w:ascii="Times New Roman" w:hAnsi="Times New Roman" w:cs="Times New Roman"/>
          <w:color w:val="000000" w:themeColor="text1"/>
        </w:rPr>
      </w:pPr>
    </w:p>
    <w:p w14:paraId="00000022" w14:textId="77777777" w:rsidR="00684887" w:rsidRPr="00BC2563" w:rsidRDefault="00684887" w:rsidP="00BC2563">
      <w:pPr>
        <w:spacing w:before="200" w:after="200" w:line="360" w:lineRule="auto"/>
        <w:ind w:left="720"/>
        <w:jc w:val="both"/>
        <w:rPr>
          <w:rFonts w:ascii="Times New Roman" w:hAnsi="Times New Roman" w:cs="Times New Roman"/>
          <w:color w:val="000000" w:themeColor="text1"/>
        </w:rPr>
      </w:pPr>
    </w:p>
    <w:p w14:paraId="00000023" w14:textId="77777777" w:rsidR="00684887" w:rsidRPr="00BC2563" w:rsidRDefault="00684887" w:rsidP="00BC2563">
      <w:pPr>
        <w:spacing w:before="200" w:after="200" w:line="360" w:lineRule="auto"/>
        <w:jc w:val="both"/>
        <w:rPr>
          <w:rFonts w:ascii="Times New Roman" w:hAnsi="Times New Roman" w:cs="Times New Roman"/>
          <w:color w:val="000000" w:themeColor="text1"/>
        </w:rPr>
      </w:pPr>
    </w:p>
    <w:sectPr w:rsidR="00684887" w:rsidRPr="00BC2563">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DCAF3" w14:textId="77777777" w:rsidR="0082322D" w:rsidRDefault="0082322D">
      <w:pPr>
        <w:spacing w:line="240" w:lineRule="auto"/>
      </w:pPr>
      <w:r>
        <w:separator/>
      </w:r>
    </w:p>
  </w:endnote>
  <w:endnote w:type="continuationSeparator" w:id="0">
    <w:p w14:paraId="7BBDD143" w14:textId="77777777" w:rsidR="0082322D" w:rsidRDefault="008232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0468A1A9" w:rsidR="00684887" w:rsidRDefault="00BC2563">
    <w:pPr>
      <w:ind w:left="7200" w:firstLine="720"/>
      <w:rPr>
        <w:sz w:val="20"/>
        <w:szCs w:val="20"/>
      </w:rPr>
    </w:pPr>
    <w:r w:rsidRPr="00BC2563">
      <w:rPr>
        <w:noProof/>
        <w:color w:val="4F81BD" w:themeColor="accent1"/>
        <w:sz w:val="20"/>
        <w:szCs w:val="20"/>
        <w:lang w:eastAsia="zh-CN"/>
      </w:rPr>
      <mc:AlternateContent>
        <mc:Choice Requires="wps">
          <w:drawing>
            <wp:anchor distT="0" distB="0" distL="114300" distR="114300" simplePos="0" relativeHeight="251659264" behindDoc="0" locked="0" layoutInCell="1" allowOverlap="1" wp14:anchorId="3D0E8093" wp14:editId="7067595F">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EE6B52"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938953 [1614]" strokeweight="1.25pt">
              <w10:wrap anchorx="page" anchory="page"/>
            </v:rect>
          </w:pict>
        </mc:Fallback>
      </mc:AlternateContent>
    </w:r>
    <w:r w:rsidRPr="00BC2563">
      <w:rPr>
        <w:color w:val="4F81BD" w:themeColor="accent1"/>
        <w:sz w:val="20"/>
        <w:szCs w:val="20"/>
      </w:rPr>
      <w:t xml:space="preserve"> </w:t>
    </w:r>
    <w:r w:rsidRPr="00BC2563">
      <w:rPr>
        <w:rFonts w:asciiTheme="majorHAnsi" w:eastAsiaTheme="majorEastAsia" w:hAnsiTheme="majorHAnsi" w:cstheme="majorBidi"/>
        <w:color w:val="4F81BD" w:themeColor="accent1"/>
        <w:sz w:val="20"/>
        <w:szCs w:val="20"/>
      </w:rPr>
      <w:t xml:space="preserve">pg. </w:t>
    </w:r>
    <w:r w:rsidRPr="00BC2563">
      <w:rPr>
        <w:rFonts w:asciiTheme="minorHAnsi" w:eastAsiaTheme="minorEastAsia" w:hAnsiTheme="minorHAnsi" w:cstheme="minorBidi"/>
        <w:color w:val="4F81BD" w:themeColor="accent1"/>
        <w:sz w:val="20"/>
        <w:szCs w:val="20"/>
      </w:rPr>
      <w:fldChar w:fldCharType="begin"/>
    </w:r>
    <w:r w:rsidRPr="00BC2563">
      <w:rPr>
        <w:color w:val="4F81BD" w:themeColor="accent1"/>
        <w:sz w:val="20"/>
        <w:szCs w:val="20"/>
      </w:rPr>
      <w:instrText xml:space="preserve"> PAGE    \* MERGEFORMAT </w:instrText>
    </w:r>
    <w:r w:rsidRPr="00BC2563">
      <w:rPr>
        <w:rFonts w:asciiTheme="minorHAnsi" w:eastAsiaTheme="minorEastAsia" w:hAnsiTheme="minorHAnsi" w:cstheme="minorBidi"/>
        <w:color w:val="4F81BD" w:themeColor="accent1"/>
        <w:sz w:val="20"/>
        <w:szCs w:val="20"/>
      </w:rPr>
      <w:fldChar w:fldCharType="separate"/>
    </w:r>
    <w:r w:rsidRPr="00BC2563">
      <w:rPr>
        <w:rFonts w:asciiTheme="majorHAnsi" w:eastAsiaTheme="majorEastAsia" w:hAnsiTheme="majorHAnsi" w:cstheme="majorBidi"/>
        <w:noProof/>
        <w:color w:val="4F81BD" w:themeColor="accent1"/>
        <w:sz w:val="20"/>
        <w:szCs w:val="20"/>
      </w:rPr>
      <w:t>2</w:t>
    </w:r>
    <w:r w:rsidRPr="00BC2563">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AB32A" w14:textId="77777777" w:rsidR="0082322D" w:rsidRDefault="0082322D">
      <w:pPr>
        <w:spacing w:line="240" w:lineRule="auto"/>
      </w:pPr>
      <w:r>
        <w:separator/>
      </w:r>
    </w:p>
  </w:footnote>
  <w:footnote w:type="continuationSeparator" w:id="0">
    <w:p w14:paraId="00AC58DC" w14:textId="77777777" w:rsidR="0082322D" w:rsidRDefault="008232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1BCE9E4"/>
    <w:lvl w:ilvl="0">
      <w:start w:val="1"/>
      <w:numFmt w:val="decimal"/>
      <w:pStyle w:val="ListNumber"/>
      <w:lvlText w:val="%1."/>
      <w:lvlJc w:val="left"/>
      <w:pPr>
        <w:tabs>
          <w:tab w:val="num" w:pos="360"/>
        </w:tabs>
        <w:ind w:left="360" w:hanging="360"/>
      </w:pPr>
    </w:lvl>
  </w:abstractNum>
  <w:num w:numId="1" w16cid:durableId="1917473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887"/>
    <w:rsid w:val="00310056"/>
    <w:rsid w:val="00684887"/>
    <w:rsid w:val="0082322D"/>
    <w:rsid w:val="009D7E1E"/>
    <w:rsid w:val="00BC2563"/>
  </w:rsids>
  <m:mathPr>
    <m:mathFont m:val="Cambria Math"/>
    <m:brkBin m:val="before"/>
    <m:brkBinSub m:val="--"/>
    <m:smallFrac m:val="0"/>
    <m:dispDef/>
    <m:lMargin m:val="0"/>
    <m:rMargin m:val="0"/>
    <m:defJc m:val="centerGroup"/>
    <m:wrapIndent m:val="1440"/>
    <m:intLim m:val="subSup"/>
    <m:naryLim m:val="undOvr"/>
  </m:mathPr>
  <w:themeFontLang w:val="en-KW" w:bidi="ar-SA"/>
  <w:clrSchemeMapping w:bg1="light1" w:t1="dark1" w:bg2="light2" w:t2="dark2" w:accent1="accent1" w:accent2="accent2" w:accent3="accent3" w:accent4="accent4" w:accent5="accent5" w:accent6="accent6" w:hyperlink="hyperlink" w:followedHyperlink="followedHyperlink"/>
  <w:decimalSymbol w:val="."/>
  <w:listSeparator w:val=","/>
  <w14:docId w14:val="05819DFF"/>
  <w15:docId w15:val="{B781E214-64C8-6A4B-B509-3ED5DF825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664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462"/>
    <w:rPr>
      <w:rFonts w:ascii="Tahoma" w:hAnsi="Tahoma" w:cs="Tahoma"/>
      <w:sz w:val="16"/>
      <w:szCs w:val="16"/>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C2563"/>
    <w:pPr>
      <w:tabs>
        <w:tab w:val="center" w:pos="4680"/>
        <w:tab w:val="right" w:pos="9360"/>
      </w:tabs>
      <w:spacing w:line="240" w:lineRule="auto"/>
    </w:pPr>
  </w:style>
  <w:style w:type="character" w:customStyle="1" w:styleId="HeaderChar">
    <w:name w:val="Header Char"/>
    <w:basedOn w:val="DefaultParagraphFont"/>
    <w:link w:val="Header"/>
    <w:uiPriority w:val="99"/>
    <w:rsid w:val="00BC2563"/>
  </w:style>
  <w:style w:type="paragraph" w:styleId="Footer">
    <w:name w:val="footer"/>
    <w:basedOn w:val="Normal"/>
    <w:link w:val="FooterChar"/>
    <w:uiPriority w:val="99"/>
    <w:unhideWhenUsed/>
    <w:rsid w:val="00BC2563"/>
    <w:pPr>
      <w:tabs>
        <w:tab w:val="center" w:pos="4680"/>
        <w:tab w:val="right" w:pos="9360"/>
      </w:tabs>
      <w:spacing w:line="240" w:lineRule="auto"/>
    </w:pPr>
  </w:style>
  <w:style w:type="character" w:customStyle="1" w:styleId="FooterChar">
    <w:name w:val="Footer Char"/>
    <w:basedOn w:val="DefaultParagraphFont"/>
    <w:link w:val="Footer"/>
    <w:uiPriority w:val="99"/>
    <w:rsid w:val="00BC2563"/>
  </w:style>
  <w:style w:type="paragraph" w:styleId="ListNumber">
    <w:name w:val="List Number"/>
    <w:basedOn w:val="Normal"/>
    <w:uiPriority w:val="99"/>
    <w:unhideWhenUsed/>
    <w:rsid w:val="00BC2563"/>
    <w:pPr>
      <w:numPr>
        <w:numId w:val="1"/>
      </w:numPr>
      <w:spacing w:after="140" w:line="300" w:lineRule="auto"/>
      <w:contextualSpacing/>
      <w:jc w:val="both"/>
    </w:pPr>
    <w:rPr>
      <w:rFonts w:ascii="Calibri" w:eastAsiaTheme="minorEastAsia" w:hAnsi="Calibri" w:cstheme="minorBidi"/>
      <w:color w:val="1F2937"/>
      <w:lang w:val="en-US"/>
    </w:rPr>
  </w:style>
  <w:style w:type="paragraph" w:styleId="Caption">
    <w:name w:val="caption"/>
    <w:basedOn w:val="Normal"/>
    <w:next w:val="Normal"/>
    <w:uiPriority w:val="35"/>
    <w:semiHidden/>
    <w:unhideWhenUsed/>
    <w:qFormat/>
    <w:rsid w:val="00BC2563"/>
    <w:pPr>
      <w:spacing w:before="60" w:after="140" w:line="240" w:lineRule="auto"/>
      <w:jc w:val="both"/>
    </w:pPr>
    <w:rPr>
      <w:rFonts w:ascii="Calibri" w:eastAsiaTheme="minorEastAsia" w:hAnsi="Calibri" w:cstheme="minorBidi"/>
      <w:b/>
      <w:bCs/>
      <w:i/>
      <w:color w:val="5B6573"/>
      <w:sz w:val="18"/>
      <w:szCs w:val="18"/>
      <w:lang w:val="en-US"/>
    </w:rPr>
  </w:style>
  <w:style w:type="paragraph" w:customStyle="1" w:styleId="Reference">
    <w:name w:val="Reference"/>
    <w:rsid w:val="00BC2563"/>
    <w:pPr>
      <w:spacing w:after="80" w:line="252" w:lineRule="auto"/>
      <w:ind w:left="360" w:hanging="360"/>
    </w:pPr>
    <w:rPr>
      <w:rFonts w:ascii="Calibri" w:eastAsiaTheme="minorEastAsia" w:hAnsi="Calibri" w:cstheme="minorBidi"/>
      <w:color w:val="1F2937"/>
      <w:sz w:val="19"/>
      <w:lang w:val="en-US"/>
    </w:rPr>
  </w:style>
  <w:style w:type="paragraph" w:styleId="TOCHeading">
    <w:name w:val="TOC Heading"/>
    <w:basedOn w:val="Heading1"/>
    <w:next w:val="Normal"/>
    <w:uiPriority w:val="39"/>
    <w:unhideWhenUsed/>
    <w:qFormat/>
    <w:rsid w:val="00BC2563"/>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BC2563"/>
    <w:pPr>
      <w:spacing w:before="12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BC2563"/>
    <w:pPr>
      <w:spacing w:before="120"/>
      <w:ind w:left="220"/>
    </w:pPr>
    <w:rPr>
      <w:rFonts w:asciiTheme="minorHAnsi" w:hAnsiTheme="minorHAnsi" w:cs="Times New Roman"/>
      <w:b/>
      <w:bCs/>
      <w:szCs w:val="26"/>
    </w:rPr>
  </w:style>
  <w:style w:type="character" w:styleId="Hyperlink">
    <w:name w:val="Hyperlink"/>
    <w:basedOn w:val="DefaultParagraphFont"/>
    <w:uiPriority w:val="99"/>
    <w:unhideWhenUsed/>
    <w:rsid w:val="00BC2563"/>
    <w:rPr>
      <w:color w:val="0000FF" w:themeColor="hyperlink"/>
      <w:u w:val="single"/>
    </w:rPr>
  </w:style>
  <w:style w:type="paragraph" w:styleId="TOC3">
    <w:name w:val="toc 3"/>
    <w:basedOn w:val="Normal"/>
    <w:next w:val="Normal"/>
    <w:autoRedefine/>
    <w:uiPriority w:val="39"/>
    <w:semiHidden/>
    <w:unhideWhenUsed/>
    <w:rsid w:val="00BC2563"/>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BC2563"/>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BC2563"/>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BC2563"/>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BC2563"/>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BC2563"/>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BC2563"/>
    <w:pPr>
      <w:ind w:left="1760"/>
    </w:pPr>
    <w:rPr>
      <w:rFonts w:asciiTheme="minorHAnsi" w:hAnsiTheme="minorHAnsi" w:cs="Times New Roman"/>
      <w:sz w:val="20"/>
      <w:szCs w:val="24"/>
    </w:rPr>
  </w:style>
  <w:style w:type="paragraph" w:styleId="NormalWeb">
    <w:name w:val="Normal (Web)"/>
    <w:basedOn w:val="Normal"/>
    <w:uiPriority w:val="99"/>
    <w:semiHidden/>
    <w:unhideWhenUsed/>
    <w:rsid w:val="00BC2563"/>
    <w:pPr>
      <w:spacing w:before="100" w:beforeAutospacing="1" w:after="100" w:afterAutospacing="1" w:line="240" w:lineRule="auto"/>
    </w:pPr>
    <w:rPr>
      <w:rFonts w:ascii="Times New Roman" w:eastAsia="Times New Roman" w:hAnsi="Times New Roman" w:cs="Times New Roman"/>
      <w:sz w:val="24"/>
      <w:szCs w:val="24"/>
      <w:lang w:val="en-K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653951">
      <w:bodyDiv w:val="1"/>
      <w:marLeft w:val="0"/>
      <w:marRight w:val="0"/>
      <w:marTop w:val="0"/>
      <w:marBottom w:val="0"/>
      <w:divBdr>
        <w:top w:val="none" w:sz="0" w:space="0" w:color="auto"/>
        <w:left w:val="none" w:sz="0" w:space="0" w:color="auto"/>
        <w:bottom w:val="none" w:sz="0" w:space="0" w:color="auto"/>
        <w:right w:val="none" w:sz="0" w:space="0" w:color="auto"/>
      </w:divBdr>
    </w:div>
    <w:div w:id="652489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9QdI0FQ9QhDXagdf9vRVlJbetA==">CgMxLjAyDmguZmM1MHFtM3hiemg3Mg1oLmx2dnljNzF6bWN6Mg5oLmxndWw0Ym5oaHE0ZzIOaC5vZWx5M3dnbWFxZnIyDmgudm40aWFucTlkMnczMg5oLmRsNzczZWVxdG1tcjIOaC5heGx3c3JvMTg2c2o4AHIhMVNqd3g5QU5zUlV5TUQwbF81bnYxZzNyVnZfa0hxVVNn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28B85A1-A463-3644-93A4-1D4E4274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2501</Words>
  <Characters>16885</Characters>
  <Application>Microsoft Office Word</Application>
  <DocSecurity>0</DocSecurity>
  <Lines>281</Lines>
  <Paragraphs>90</Paragraphs>
  <ScaleCrop>false</ScaleCrop>
  <Company/>
  <LinksUpToDate>false</LinksUpToDate>
  <CharactersWithSpaces>19296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Butica</cp:lastModifiedBy>
  <cp:revision>2</cp:revision>
  <dcterms:created xsi:type="dcterms:W3CDTF">2026-07-24T18:08:00Z</dcterms:created>
  <dcterms:modified xsi:type="dcterms:W3CDTF">2026-07-24T18:08:00Z</dcterms:modified>
</cp:coreProperties>
</file>