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8FB0075" w14:textId="77777777" w:rsidR="0072684F" w:rsidRDefault="006F2538">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Banking and Financial Economics</w:t>
      </w:r>
    </w:p>
    <w:p w14:paraId="504D7380" w14:textId="77777777" w:rsidR="0072684F" w:rsidRDefault="006F2538">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Analysis of John Lewis IPO and Financial Performance</w:t>
      </w:r>
    </w:p>
    <w:p w14:paraId="4654DE06" w14:textId="77777777" w:rsidR="0072684F" w:rsidRDefault="0072684F">
      <w:pPr>
        <w:spacing w:line="360" w:lineRule="auto"/>
        <w:jc w:val="center"/>
        <w:rPr>
          <w:rFonts w:ascii="Times New Roman" w:eastAsia="Times New Roman" w:hAnsi="Times New Roman" w:cs="Times New Roman"/>
          <w:sz w:val="32"/>
          <w:szCs w:val="32"/>
        </w:rPr>
      </w:pPr>
    </w:p>
    <w:p w14:paraId="40D674EE" w14:textId="77777777" w:rsidR="0072684F" w:rsidRDefault="006F253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0B0ABD2" wp14:editId="74BC79D1">
            <wp:extent cx="4710113" cy="3140075"/>
            <wp:effectExtent l="0" t="0" r="0" b="0"/>
            <wp:docPr id="1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
                    <a:srcRect/>
                    <a:stretch>
                      <a:fillRect/>
                    </a:stretch>
                  </pic:blipFill>
                  <pic:spPr>
                    <a:xfrm>
                      <a:off x="0" y="0"/>
                      <a:ext cx="4710113" cy="3140075"/>
                    </a:xfrm>
                    <a:prstGeom prst="rect">
                      <a:avLst/>
                    </a:prstGeom>
                    <a:ln/>
                  </pic:spPr>
                </pic:pic>
              </a:graphicData>
            </a:graphic>
          </wp:inline>
        </w:drawing>
      </w:r>
    </w:p>
    <w:p w14:paraId="7E50A5C0" w14:textId="77777777" w:rsidR="0072684F" w:rsidRDefault="0072684F">
      <w:pPr>
        <w:spacing w:line="360" w:lineRule="auto"/>
        <w:rPr>
          <w:rFonts w:ascii="Times New Roman" w:eastAsia="Times New Roman" w:hAnsi="Times New Roman" w:cs="Times New Roman"/>
          <w:sz w:val="24"/>
          <w:szCs w:val="24"/>
        </w:rPr>
      </w:pPr>
    </w:p>
    <w:p w14:paraId="76F3A80A" w14:textId="77777777" w:rsidR="0072684F" w:rsidRDefault="0072684F">
      <w:pPr>
        <w:spacing w:line="360" w:lineRule="auto"/>
        <w:rPr>
          <w:rFonts w:ascii="Times New Roman" w:eastAsia="Times New Roman" w:hAnsi="Times New Roman" w:cs="Times New Roman"/>
          <w:sz w:val="24"/>
          <w:szCs w:val="24"/>
        </w:rPr>
      </w:pPr>
    </w:p>
    <w:p w14:paraId="7C827A0C" w14:textId="77777777" w:rsidR="0072684F" w:rsidRDefault="0072684F">
      <w:pPr>
        <w:spacing w:line="360" w:lineRule="auto"/>
        <w:rPr>
          <w:rFonts w:ascii="Times New Roman" w:eastAsia="Times New Roman" w:hAnsi="Times New Roman" w:cs="Times New Roman"/>
          <w:sz w:val="24"/>
          <w:szCs w:val="24"/>
        </w:rPr>
      </w:pPr>
    </w:p>
    <w:p w14:paraId="3AAAF5F6" w14:textId="52988994" w:rsidR="0072684F" w:rsidRDefault="006F2538">
      <w:pPr>
        <w:spacing w:line="360" w:lineRule="auto"/>
        <w:rPr>
          <w:rFonts w:ascii="Times New Roman" w:eastAsia="Times New Roman" w:hAnsi="Times New Roman" w:cs="Times New Roman"/>
          <w:i/>
        </w:rPr>
      </w:pPr>
      <w:r>
        <w:rPr>
          <w:rFonts w:ascii="Times New Roman" w:eastAsia="Times New Roman" w:hAnsi="Times New Roman" w:cs="Times New Roman"/>
          <w:i/>
        </w:rPr>
        <w:t>Student ID:</w:t>
      </w:r>
      <w:r w:rsidR="004F7D2F">
        <w:rPr>
          <w:rFonts w:ascii="Times New Roman" w:eastAsia="Times New Roman" w:hAnsi="Times New Roman" w:cs="Times New Roman"/>
          <w:i/>
        </w:rPr>
        <w:t>2324431 Alina Hanes</w:t>
      </w:r>
    </w:p>
    <w:p w14:paraId="4BAAB73B" w14:textId="4AE7DB18"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rPr>
        <w:t xml:space="preserve"> LCMB7032</w:t>
      </w:r>
      <w:r>
        <w:br w:type="page"/>
      </w:r>
    </w:p>
    <w:p w14:paraId="6F443C9B" w14:textId="77777777" w:rsidR="0072684F" w:rsidRDefault="006F2538">
      <w:pPr>
        <w:spacing w:before="240" w:after="4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Table of Contents</w:t>
      </w:r>
    </w:p>
    <w:sdt>
      <w:sdtPr>
        <w:id w:val="1498846291"/>
        <w:docPartObj>
          <w:docPartGallery w:val="Table of Contents"/>
          <w:docPartUnique/>
        </w:docPartObj>
      </w:sdtPr>
      <w:sdtEndPr/>
      <w:sdtContent>
        <w:p w14:paraId="27D5EEE9"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ih0oq3p8mqyo">
            <w:r>
              <w:rPr>
                <w:rFonts w:ascii="Times New Roman" w:eastAsia="Times New Roman" w:hAnsi="Times New Roman" w:cs="Times New Roman"/>
                <w:b/>
                <w:color w:val="000000"/>
              </w:rPr>
              <w:t>1. Report Introduction</w:t>
            </w:r>
            <w:r>
              <w:rPr>
                <w:rFonts w:ascii="Times New Roman" w:eastAsia="Times New Roman" w:hAnsi="Times New Roman" w:cs="Times New Roman"/>
                <w:b/>
                <w:color w:val="000000"/>
              </w:rPr>
              <w:tab/>
              <w:t>3</w:t>
            </w:r>
          </w:hyperlink>
        </w:p>
        <w:p w14:paraId="553B2A00"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l2kdya5c04zq">
            <w:r>
              <w:rPr>
                <w:rFonts w:ascii="Times New Roman" w:eastAsia="Times New Roman" w:hAnsi="Times New Roman" w:cs="Times New Roman"/>
                <w:b/>
                <w:color w:val="000000"/>
              </w:rPr>
              <w:t>2. Company Overview and IPO Analysis</w:t>
            </w:r>
            <w:r>
              <w:rPr>
                <w:rFonts w:ascii="Times New Roman" w:eastAsia="Times New Roman" w:hAnsi="Times New Roman" w:cs="Times New Roman"/>
                <w:b/>
                <w:color w:val="000000"/>
              </w:rPr>
              <w:tab/>
              <w:t>3</w:t>
            </w:r>
          </w:hyperlink>
        </w:p>
        <w:p w14:paraId="59C7152B"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kqxxt7rt383z">
            <w:r>
              <w:rPr>
                <w:rFonts w:ascii="Times New Roman" w:eastAsia="Times New Roman" w:hAnsi="Times New Roman" w:cs="Times New Roman"/>
                <w:color w:val="000000"/>
              </w:rPr>
              <w:t>2.1 Company Overview</w:t>
            </w:r>
            <w:r>
              <w:rPr>
                <w:rFonts w:ascii="Times New Roman" w:eastAsia="Times New Roman" w:hAnsi="Times New Roman" w:cs="Times New Roman"/>
                <w:color w:val="000000"/>
              </w:rPr>
              <w:tab/>
              <w:t>3</w:t>
            </w:r>
          </w:hyperlink>
        </w:p>
        <w:p w14:paraId="4584044A"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3hfdrr4wd7rp">
            <w:r>
              <w:rPr>
                <w:rFonts w:ascii="Times New Roman" w:eastAsia="Times New Roman" w:hAnsi="Times New Roman" w:cs="Times New Roman"/>
                <w:color w:val="000000"/>
              </w:rPr>
              <w:t>2.2 Reasons for Going Public</w:t>
            </w:r>
            <w:r>
              <w:rPr>
                <w:rFonts w:ascii="Times New Roman" w:eastAsia="Times New Roman" w:hAnsi="Times New Roman" w:cs="Times New Roman"/>
                <w:color w:val="000000"/>
              </w:rPr>
              <w:tab/>
              <w:t>4</w:t>
            </w:r>
          </w:hyperlink>
        </w:p>
        <w:p w14:paraId="74A55369"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gefayzfs7y4x">
            <w:r>
              <w:rPr>
                <w:rFonts w:ascii="Times New Roman" w:eastAsia="Times New Roman" w:hAnsi="Times New Roman" w:cs="Times New Roman"/>
                <w:color w:val="000000"/>
              </w:rPr>
              <w:t>2.3 S-1 Filing Review</w:t>
            </w:r>
            <w:r>
              <w:rPr>
                <w:rFonts w:ascii="Times New Roman" w:eastAsia="Times New Roman" w:hAnsi="Times New Roman" w:cs="Times New Roman"/>
                <w:color w:val="000000"/>
              </w:rPr>
              <w:tab/>
              <w:t>5</w:t>
            </w:r>
          </w:hyperlink>
        </w:p>
        <w:p w14:paraId="057DDCC2"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6fqhiqv8cvxg">
            <w:r>
              <w:rPr>
                <w:rFonts w:ascii="Times New Roman" w:eastAsia="Times New Roman" w:hAnsi="Times New Roman" w:cs="Times New Roman"/>
                <w:b/>
                <w:color w:val="000000"/>
              </w:rPr>
              <w:t>3. Share Price Performance Analysis</w:t>
            </w:r>
            <w:r>
              <w:rPr>
                <w:rFonts w:ascii="Times New Roman" w:eastAsia="Times New Roman" w:hAnsi="Times New Roman" w:cs="Times New Roman"/>
                <w:b/>
                <w:color w:val="000000"/>
              </w:rPr>
              <w:tab/>
              <w:t>7</w:t>
            </w:r>
          </w:hyperlink>
        </w:p>
        <w:p w14:paraId="488AAA76"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srio07q9uo7z">
            <w:r>
              <w:rPr>
                <w:rFonts w:ascii="Times New Roman" w:eastAsia="Times New Roman" w:hAnsi="Times New Roman" w:cs="Times New Roman"/>
                <w:color w:val="000000"/>
              </w:rPr>
              <w:t>3.1 Descriptive Statistics and Visual Aids</w:t>
            </w:r>
            <w:r>
              <w:rPr>
                <w:rFonts w:ascii="Times New Roman" w:eastAsia="Times New Roman" w:hAnsi="Times New Roman" w:cs="Times New Roman"/>
                <w:color w:val="000000"/>
              </w:rPr>
              <w:tab/>
              <w:t>7</w:t>
            </w:r>
          </w:hyperlink>
        </w:p>
        <w:p w14:paraId="0ABA3C40"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eocbu6acmcfg">
            <w:r>
              <w:rPr>
                <w:rFonts w:ascii="Times New Roman" w:eastAsia="Times New Roman" w:hAnsi="Times New Roman" w:cs="Times New Roman"/>
                <w:color w:val="000000"/>
              </w:rPr>
              <w:t>3.2 CAGR Calculation and Comparison</w:t>
            </w:r>
            <w:r>
              <w:rPr>
                <w:rFonts w:ascii="Times New Roman" w:eastAsia="Times New Roman" w:hAnsi="Times New Roman" w:cs="Times New Roman"/>
                <w:color w:val="000000"/>
              </w:rPr>
              <w:tab/>
              <w:t>11</w:t>
            </w:r>
          </w:hyperlink>
        </w:p>
        <w:p w14:paraId="25A60C63"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i5ht0ii06q5g">
            <w:r>
              <w:rPr>
                <w:rFonts w:ascii="Times New Roman" w:eastAsia="Times New Roman" w:hAnsi="Times New Roman" w:cs="Times New Roman"/>
                <w:color w:val="000000"/>
              </w:rPr>
              <w:t>3.3 Sharpe and Treynor Ratios Analysis</w:t>
            </w:r>
            <w:r>
              <w:rPr>
                <w:rFonts w:ascii="Times New Roman" w:eastAsia="Times New Roman" w:hAnsi="Times New Roman" w:cs="Times New Roman"/>
                <w:color w:val="000000"/>
              </w:rPr>
              <w:tab/>
              <w:t>13</w:t>
            </w:r>
          </w:hyperlink>
        </w:p>
        <w:p w14:paraId="6E360116"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q1zau1jjbjot">
            <w:r>
              <w:rPr>
                <w:rFonts w:ascii="Times New Roman" w:eastAsia="Times New Roman" w:hAnsi="Times New Roman" w:cs="Times New Roman"/>
                <w:color w:val="000000"/>
              </w:rPr>
              <w:t>Sharpe Ratio</w:t>
            </w:r>
            <w:r>
              <w:rPr>
                <w:rFonts w:ascii="Times New Roman" w:eastAsia="Times New Roman" w:hAnsi="Times New Roman" w:cs="Times New Roman"/>
                <w:color w:val="000000"/>
              </w:rPr>
              <w:tab/>
              <w:t>13</w:t>
            </w:r>
          </w:hyperlink>
        </w:p>
        <w:p w14:paraId="28D4A201"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98h1hucu6320">
            <w:r>
              <w:rPr>
                <w:rFonts w:ascii="Times New Roman" w:eastAsia="Times New Roman" w:hAnsi="Times New Roman" w:cs="Times New Roman"/>
                <w:color w:val="000000"/>
              </w:rPr>
              <w:t>Treynor Ratio</w:t>
            </w:r>
            <w:r>
              <w:rPr>
                <w:rFonts w:ascii="Times New Roman" w:eastAsia="Times New Roman" w:hAnsi="Times New Roman" w:cs="Times New Roman"/>
                <w:color w:val="000000"/>
              </w:rPr>
              <w:tab/>
              <w:t>14</w:t>
            </w:r>
          </w:hyperlink>
        </w:p>
        <w:p w14:paraId="0057C155"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rz7b3kvd526u">
            <w:r>
              <w:rPr>
                <w:rFonts w:ascii="Times New Roman" w:eastAsia="Times New Roman" w:hAnsi="Times New Roman" w:cs="Times New Roman"/>
                <w:color w:val="000000"/>
              </w:rPr>
              <w:t>Calculations for 2022</w:t>
            </w:r>
            <w:r>
              <w:rPr>
                <w:rFonts w:ascii="Times New Roman" w:eastAsia="Times New Roman" w:hAnsi="Times New Roman" w:cs="Times New Roman"/>
                <w:color w:val="000000"/>
              </w:rPr>
              <w:tab/>
              <w:t>14</w:t>
            </w:r>
          </w:hyperlink>
        </w:p>
        <w:p w14:paraId="41A07980"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5fokk3545m44">
            <w:r>
              <w:rPr>
                <w:rFonts w:ascii="Times New Roman" w:eastAsia="Times New Roman" w:hAnsi="Times New Roman" w:cs="Times New Roman"/>
                <w:color w:val="000000"/>
              </w:rPr>
              <w:t>Calculations for 2023</w:t>
            </w:r>
            <w:r>
              <w:rPr>
                <w:rFonts w:ascii="Times New Roman" w:eastAsia="Times New Roman" w:hAnsi="Times New Roman" w:cs="Times New Roman"/>
                <w:color w:val="000000"/>
              </w:rPr>
              <w:tab/>
              <w:t>15</w:t>
            </w:r>
          </w:hyperlink>
        </w:p>
        <w:p w14:paraId="4461F001"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aqt5kbfxrpn2">
            <w:r>
              <w:rPr>
                <w:rFonts w:ascii="Times New Roman" w:eastAsia="Times New Roman" w:hAnsi="Times New Roman" w:cs="Times New Roman"/>
                <w:color w:val="000000"/>
              </w:rPr>
              <w:t>Commentary on John Lewis’s Performance Based on These Ratios</w:t>
            </w:r>
            <w:r>
              <w:rPr>
                <w:rFonts w:ascii="Times New Roman" w:eastAsia="Times New Roman" w:hAnsi="Times New Roman" w:cs="Times New Roman"/>
                <w:color w:val="000000"/>
              </w:rPr>
              <w:tab/>
              <w:t>15</w:t>
            </w:r>
          </w:hyperlink>
        </w:p>
        <w:p w14:paraId="7C4129AE"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ktet72ujrfxt">
            <w:r>
              <w:rPr>
                <w:rFonts w:ascii="Times New Roman" w:eastAsia="Times New Roman" w:hAnsi="Times New Roman" w:cs="Times New Roman"/>
                <w:b/>
                <w:color w:val="000000"/>
              </w:rPr>
              <w:t>4. Derivative Contracts Analysis</w:t>
            </w:r>
            <w:r>
              <w:rPr>
                <w:rFonts w:ascii="Times New Roman" w:eastAsia="Times New Roman" w:hAnsi="Times New Roman" w:cs="Times New Roman"/>
                <w:b/>
                <w:color w:val="000000"/>
              </w:rPr>
              <w:tab/>
              <w:t>16</w:t>
            </w:r>
          </w:hyperlink>
        </w:p>
        <w:p w14:paraId="6AE8F7D0"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hbrk8uxch09r">
            <w:r>
              <w:rPr>
                <w:rFonts w:ascii="Times New Roman" w:eastAsia="Times New Roman" w:hAnsi="Times New Roman" w:cs="Times New Roman"/>
                <w:color w:val="000000"/>
              </w:rPr>
              <w:t>4.1 Call Option Payoff Analysis</w:t>
            </w:r>
            <w:r>
              <w:rPr>
                <w:rFonts w:ascii="Times New Roman" w:eastAsia="Times New Roman" w:hAnsi="Times New Roman" w:cs="Times New Roman"/>
                <w:color w:val="000000"/>
              </w:rPr>
              <w:tab/>
              <w:t>16</w:t>
            </w:r>
          </w:hyperlink>
        </w:p>
        <w:p w14:paraId="0677CD4B"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95zy7ho0k965">
            <w:r>
              <w:rPr>
                <w:rFonts w:ascii="Times New Roman" w:eastAsia="Times New Roman" w:hAnsi="Times New Roman" w:cs="Times New Roman"/>
                <w:color w:val="000000"/>
              </w:rPr>
              <w:t>4.2 Put Option Payoff Analysis</w:t>
            </w:r>
            <w:r>
              <w:rPr>
                <w:rFonts w:ascii="Times New Roman" w:eastAsia="Times New Roman" w:hAnsi="Times New Roman" w:cs="Times New Roman"/>
                <w:color w:val="000000"/>
              </w:rPr>
              <w:tab/>
              <w:t>18</w:t>
            </w:r>
          </w:hyperlink>
        </w:p>
        <w:p w14:paraId="3D0B6AEC"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j08vwn182jl3">
            <w:r>
              <w:rPr>
                <w:rFonts w:ascii="Times New Roman" w:eastAsia="Times New Roman" w:hAnsi="Times New Roman" w:cs="Times New Roman"/>
                <w:color w:val="000000"/>
              </w:rPr>
              <w:t>4.3 Strangle/Straddle Construction</w:t>
            </w:r>
            <w:r>
              <w:rPr>
                <w:rFonts w:ascii="Times New Roman" w:eastAsia="Times New Roman" w:hAnsi="Times New Roman" w:cs="Times New Roman"/>
                <w:color w:val="000000"/>
              </w:rPr>
              <w:tab/>
              <w:t>19</w:t>
            </w:r>
          </w:hyperlink>
        </w:p>
        <w:p w14:paraId="7A11ADCE"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sqh692fjea39">
            <w:r>
              <w:rPr>
                <w:rFonts w:ascii="Times New Roman" w:eastAsia="Times New Roman" w:hAnsi="Times New Roman" w:cs="Times New Roman"/>
                <w:b/>
                <w:color w:val="000000"/>
              </w:rPr>
              <w:t>5. Performance of 10Y Note and its Impact</w:t>
            </w:r>
            <w:r>
              <w:rPr>
                <w:rFonts w:ascii="Times New Roman" w:eastAsia="Times New Roman" w:hAnsi="Times New Roman" w:cs="Times New Roman"/>
                <w:b/>
                <w:color w:val="000000"/>
              </w:rPr>
              <w:tab/>
              <w:t>20</w:t>
            </w:r>
          </w:hyperlink>
        </w:p>
        <w:p w14:paraId="1345C262"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icldq6qmst8">
            <w:r>
              <w:rPr>
                <w:rFonts w:ascii="Times New Roman" w:eastAsia="Times New Roman" w:hAnsi="Times New Roman" w:cs="Times New Roman"/>
                <w:color w:val="000000"/>
              </w:rPr>
              <w:t>5.1 Performance of the 10Y Note</w:t>
            </w:r>
            <w:r>
              <w:rPr>
                <w:rFonts w:ascii="Times New Roman" w:eastAsia="Times New Roman" w:hAnsi="Times New Roman" w:cs="Times New Roman"/>
                <w:color w:val="000000"/>
              </w:rPr>
              <w:tab/>
              <w:t>20</w:t>
            </w:r>
          </w:hyperlink>
        </w:p>
        <w:p w14:paraId="763ED788" w14:textId="77777777" w:rsidR="0072684F" w:rsidRDefault="006F2538">
          <w:pPr>
            <w:widowControl w:val="0"/>
            <w:tabs>
              <w:tab w:val="right" w:leader="dot" w:pos="12000"/>
            </w:tabs>
            <w:spacing w:before="60" w:line="360" w:lineRule="auto"/>
            <w:ind w:left="720"/>
            <w:rPr>
              <w:rFonts w:ascii="Times New Roman" w:eastAsia="Times New Roman" w:hAnsi="Times New Roman" w:cs="Times New Roman"/>
              <w:color w:val="000000"/>
            </w:rPr>
          </w:pPr>
          <w:hyperlink w:anchor="_71jm7hc0pmq9">
            <w:r>
              <w:rPr>
                <w:rFonts w:ascii="Times New Roman" w:eastAsia="Times New Roman" w:hAnsi="Times New Roman" w:cs="Times New Roman"/>
                <w:color w:val="000000"/>
              </w:rPr>
              <w:t>Analysis of the Performance from January 2023 to December 2023</w:t>
            </w:r>
            <w:r>
              <w:rPr>
                <w:rFonts w:ascii="Times New Roman" w:eastAsia="Times New Roman" w:hAnsi="Times New Roman" w:cs="Times New Roman"/>
                <w:color w:val="000000"/>
              </w:rPr>
              <w:tab/>
              <w:t>20</w:t>
            </w:r>
          </w:hyperlink>
        </w:p>
        <w:p w14:paraId="63DF6381"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iqew3zjx7obl">
            <w:r>
              <w:rPr>
                <w:rFonts w:ascii="Times New Roman" w:eastAsia="Times New Roman" w:hAnsi="Times New Roman" w:cs="Times New Roman"/>
                <w:color w:val="000000"/>
              </w:rPr>
              <w:t>5.2 Impact on Consumer Debt</w:t>
            </w:r>
            <w:r>
              <w:rPr>
                <w:rFonts w:ascii="Times New Roman" w:eastAsia="Times New Roman" w:hAnsi="Times New Roman" w:cs="Times New Roman"/>
                <w:color w:val="000000"/>
              </w:rPr>
              <w:tab/>
              <w:t>21</w:t>
            </w:r>
          </w:hyperlink>
        </w:p>
        <w:p w14:paraId="0BF949AC"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t8ifn0g6zqao">
            <w:r>
              <w:rPr>
                <w:rFonts w:ascii="Times New Roman" w:eastAsia="Times New Roman" w:hAnsi="Times New Roman" w:cs="Times New Roman"/>
                <w:b/>
                <w:color w:val="000000"/>
              </w:rPr>
              <w:t>6. Conclusion</w:t>
            </w:r>
            <w:r>
              <w:rPr>
                <w:rFonts w:ascii="Times New Roman" w:eastAsia="Times New Roman" w:hAnsi="Times New Roman" w:cs="Times New Roman"/>
                <w:b/>
                <w:color w:val="000000"/>
              </w:rPr>
              <w:tab/>
              <w:t>23</w:t>
            </w:r>
          </w:hyperlink>
        </w:p>
        <w:p w14:paraId="758BFDFC"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2c88bl2vkkkp">
            <w:r>
              <w:rPr>
                <w:rFonts w:ascii="Times New Roman" w:eastAsia="Times New Roman" w:hAnsi="Times New Roman" w:cs="Times New Roman"/>
                <w:color w:val="000000"/>
              </w:rPr>
              <w:t>6.2 Implications for John Lewis and the Broader Financial Market</w:t>
            </w:r>
            <w:r>
              <w:rPr>
                <w:rFonts w:ascii="Times New Roman" w:eastAsia="Times New Roman" w:hAnsi="Times New Roman" w:cs="Times New Roman"/>
                <w:color w:val="000000"/>
              </w:rPr>
              <w:tab/>
              <w:t>24</w:t>
            </w:r>
          </w:hyperlink>
        </w:p>
        <w:p w14:paraId="169B96B9" w14:textId="77777777" w:rsidR="0072684F" w:rsidRDefault="006F2538">
          <w:pPr>
            <w:widowControl w:val="0"/>
            <w:tabs>
              <w:tab w:val="right" w:leader="dot" w:pos="12000"/>
            </w:tabs>
            <w:spacing w:before="60" w:line="360" w:lineRule="auto"/>
            <w:ind w:left="360"/>
            <w:rPr>
              <w:rFonts w:ascii="Times New Roman" w:eastAsia="Times New Roman" w:hAnsi="Times New Roman" w:cs="Times New Roman"/>
              <w:color w:val="000000"/>
            </w:rPr>
          </w:pPr>
          <w:hyperlink w:anchor="_795tzwb56dy1">
            <w:r>
              <w:rPr>
                <w:rFonts w:ascii="Times New Roman" w:eastAsia="Times New Roman" w:hAnsi="Times New Roman" w:cs="Times New Roman"/>
                <w:color w:val="000000"/>
              </w:rPr>
              <w:t>6.3 Recommendations for Future Research or Practical Applications</w:t>
            </w:r>
            <w:r>
              <w:rPr>
                <w:rFonts w:ascii="Times New Roman" w:eastAsia="Times New Roman" w:hAnsi="Times New Roman" w:cs="Times New Roman"/>
                <w:color w:val="000000"/>
              </w:rPr>
              <w:tab/>
              <w:t>24</w:t>
            </w:r>
          </w:hyperlink>
        </w:p>
        <w:p w14:paraId="69F1F984" w14:textId="77777777" w:rsidR="0072684F" w:rsidRDefault="006F2538">
          <w:pPr>
            <w:widowControl w:val="0"/>
            <w:tabs>
              <w:tab w:val="right" w:leader="dot" w:pos="12000"/>
            </w:tabs>
            <w:spacing w:before="60" w:line="360" w:lineRule="auto"/>
            <w:rPr>
              <w:rFonts w:ascii="Times New Roman" w:eastAsia="Times New Roman" w:hAnsi="Times New Roman" w:cs="Times New Roman"/>
              <w:b/>
              <w:color w:val="000000"/>
            </w:rPr>
          </w:pPr>
          <w:hyperlink w:anchor="_4x334t2t1c3x">
            <w:r>
              <w:rPr>
                <w:rFonts w:ascii="Times New Roman" w:eastAsia="Times New Roman" w:hAnsi="Times New Roman" w:cs="Times New Roman"/>
                <w:b/>
                <w:color w:val="000000"/>
              </w:rPr>
              <w:t>7. References</w:t>
            </w:r>
            <w:r>
              <w:rPr>
                <w:rFonts w:ascii="Times New Roman" w:eastAsia="Times New Roman" w:hAnsi="Times New Roman" w:cs="Times New Roman"/>
                <w:b/>
                <w:color w:val="000000"/>
              </w:rPr>
              <w:tab/>
              <w:t>26</w:t>
            </w:r>
          </w:hyperlink>
        </w:p>
      </w:sdtContent>
    </w:sdt>
    <w:p w14:paraId="02FE33A5" w14:textId="77777777" w:rsidR="0072684F" w:rsidRDefault="006F2538">
      <w:pPr>
        <w:spacing w:before="240" w:after="40" w:line="360" w:lineRule="auto"/>
        <w:rPr>
          <w:rFonts w:ascii="Times New Roman" w:eastAsia="Times New Roman" w:hAnsi="Times New Roman" w:cs="Times New Roman"/>
          <w:sz w:val="24"/>
          <w:szCs w:val="24"/>
        </w:rPr>
      </w:pPr>
      <w:r>
        <w:br w:type="page"/>
      </w:r>
    </w:p>
    <w:p w14:paraId="6D0FE9A0"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0" w:name="_ih0oq3p8mqyo" w:colFirst="0" w:colLast="0"/>
      <w:bookmarkEnd w:id="0"/>
      <w:r>
        <w:rPr>
          <w:rFonts w:ascii="Times New Roman" w:eastAsia="Times New Roman" w:hAnsi="Times New Roman" w:cs="Times New Roman"/>
          <w:b/>
          <w:sz w:val="32"/>
          <w:szCs w:val="32"/>
        </w:rPr>
        <w:t>1. Report Introduction</w:t>
      </w:r>
    </w:p>
    <w:p w14:paraId="1682912C" w14:textId="08AA4E8A"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critically assesses John Lewis's IPO and performance. Using John Lewis's IPO filings, the report tries to uncover the company's share sales motives, inherent risks, and post-IPO share performance. </w:t>
      </w:r>
      <w:r w:rsidR="004F7D2F">
        <w:rPr>
          <w:rFonts w:ascii="Times New Roman" w:eastAsia="Times New Roman" w:hAnsi="Times New Roman" w:cs="Times New Roman"/>
          <w:sz w:val="24"/>
          <w:szCs w:val="24"/>
        </w:rPr>
        <w:t>Based on John Lewis’ experience</w:t>
      </w:r>
      <w:r>
        <w:rPr>
          <w:rFonts w:ascii="Times New Roman" w:eastAsia="Times New Roman" w:hAnsi="Times New Roman" w:cs="Times New Roman"/>
          <w:sz w:val="24"/>
          <w:szCs w:val="24"/>
        </w:rPr>
        <w:t xml:space="preserve"> will explain IPOs' influence on financial markets. They will cover John Lewis's operation strategy, why it took so long to go public, S-1 filing risks, share price performance, derivative contracts, and the 10-year note's impact on consumer credit.</w:t>
      </w:r>
    </w:p>
    <w:p w14:paraId="2A07FAB6"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1" w:name="_l2kdya5c04zq" w:colFirst="0" w:colLast="0"/>
      <w:bookmarkEnd w:id="1"/>
      <w:r>
        <w:rPr>
          <w:rFonts w:ascii="Times New Roman" w:eastAsia="Times New Roman" w:hAnsi="Times New Roman" w:cs="Times New Roman"/>
          <w:b/>
          <w:sz w:val="32"/>
          <w:szCs w:val="32"/>
        </w:rPr>
        <w:t>2. Company Overview and IPO Analysis</w:t>
      </w:r>
    </w:p>
    <w:p w14:paraId="0F29D4AA" w14:textId="77777777" w:rsidR="0072684F" w:rsidRDefault="006F2538">
      <w:pPr>
        <w:pStyle w:val="Heading2"/>
        <w:spacing w:before="240" w:after="240" w:line="360" w:lineRule="auto"/>
        <w:rPr>
          <w:rFonts w:ascii="Times New Roman" w:eastAsia="Times New Roman" w:hAnsi="Times New Roman" w:cs="Times New Roman"/>
          <w:sz w:val="28"/>
          <w:szCs w:val="28"/>
        </w:rPr>
      </w:pPr>
      <w:bookmarkStart w:id="2" w:name="_kqxxt7rt383z" w:colFirst="0" w:colLast="0"/>
      <w:bookmarkEnd w:id="2"/>
      <w:r>
        <w:rPr>
          <w:rFonts w:ascii="Times New Roman" w:eastAsia="Times New Roman" w:hAnsi="Times New Roman" w:cs="Times New Roman"/>
          <w:b/>
          <w:sz w:val="28"/>
          <w:szCs w:val="28"/>
        </w:rPr>
        <w:t>2.1 Company Overview</w:t>
      </w:r>
      <w:r>
        <w:rPr>
          <w:rFonts w:ascii="Times New Roman" w:eastAsia="Times New Roman" w:hAnsi="Times New Roman" w:cs="Times New Roman"/>
          <w:sz w:val="28"/>
          <w:szCs w:val="28"/>
        </w:rPr>
        <w:t xml:space="preserve"> </w:t>
      </w:r>
    </w:p>
    <w:p w14:paraId="52D0283E"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Lewis Partnership, founded in 1864 by John Spedan Lewis, is known for its department stores and Waitrose food retailing division. It is part of the </w:t>
      </w:r>
      <w:r>
        <w:rPr>
          <w:rFonts w:ascii="Times New Roman" w:eastAsia="Times New Roman" w:hAnsi="Times New Roman" w:cs="Times New Roman"/>
          <w:sz w:val="24"/>
          <w:szCs w:val="24"/>
        </w:rPr>
        <w:t>John Lewis Partnership, a business where employees and partners own the company and share profits and management decisions. John Lewis has used this technique to grow because it encourages employees to own and take responsibility for the company. John Lewis operates 34 department shops and 331 Waitrose supermarkets in Britain with over 80,000 partners.</w:t>
      </w:r>
    </w:p>
    <w:p w14:paraId="16A4ABFE"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 Lewis's strategy is to provide trustworthy items and excellent customer service. Fashion, home furnishings, electronics, grocery, and gourmet foods are among the categories the company helps. Waitrose features high-quality food and groceries, while its department stores are huge and diverse. John Lewis also used e-commerce because its internet business generated a lot of revenue. In 2022, John Lewis had 42% online sales, indicating an increase in online sales (John Lewis Partnership, 2022).</w:t>
      </w:r>
    </w:p>
    <w:p w14:paraId="4666DE1B" w14:textId="4D9CAE65" w:rsidR="0072684F" w:rsidRDefault="006F2538">
      <w:pPr>
        <w:spacing w:before="240" w:after="240" w:line="36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John Lewis targets middle to upper-middle-class consumers who value quality, reliability, and exceptional service. Its competitive advantage is its commitment to high-quality products and services, outstanding service, and employee </w:t>
      </w:r>
      <w:r w:rsidR="004F7D2F">
        <w:rPr>
          <w:rFonts w:ascii="Times New Roman" w:eastAsia="Times New Roman" w:hAnsi="Times New Roman" w:cs="Times New Roman"/>
          <w:sz w:val="24"/>
          <w:szCs w:val="24"/>
        </w:rPr>
        <w:t>ownership.</w:t>
      </w:r>
      <w:r>
        <w:rPr>
          <w:rFonts w:ascii="Times New Roman" w:eastAsia="Times New Roman" w:hAnsi="Times New Roman" w:cs="Times New Roman"/>
          <w:sz w:val="24"/>
          <w:szCs w:val="24"/>
          <w:highlight w:val="yellow"/>
        </w:rPr>
        <w:t xml:space="preserve"> </w:t>
      </w:r>
    </w:p>
    <w:p w14:paraId="73637970" w14:textId="77777777" w:rsidR="0072684F" w:rsidRDefault="006F2538">
      <w:pPr>
        <w:pStyle w:val="Heading2"/>
        <w:spacing w:before="240" w:after="240" w:line="360" w:lineRule="auto"/>
        <w:rPr>
          <w:rFonts w:ascii="Times New Roman" w:eastAsia="Times New Roman" w:hAnsi="Times New Roman" w:cs="Times New Roman"/>
          <w:sz w:val="28"/>
          <w:szCs w:val="28"/>
        </w:rPr>
      </w:pPr>
      <w:bookmarkStart w:id="3" w:name="_3hfdrr4wd7rp" w:colFirst="0" w:colLast="0"/>
      <w:bookmarkEnd w:id="3"/>
      <w:r>
        <w:rPr>
          <w:rFonts w:ascii="Times New Roman" w:eastAsia="Times New Roman" w:hAnsi="Times New Roman" w:cs="Times New Roman"/>
          <w:b/>
          <w:sz w:val="28"/>
          <w:szCs w:val="28"/>
        </w:rPr>
        <w:t>2.2 Reasons for Going Public</w:t>
      </w:r>
    </w:p>
    <w:p w14:paraId="4A36B067"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 Raising:</w:t>
      </w:r>
    </w:p>
    <w:p w14:paraId="2F1A3CDB" w14:textId="77777777" w:rsidR="0072684F" w:rsidRDefault="006F2538">
      <w:pPr>
        <w:numPr>
          <w:ilvl w:val="0"/>
          <w:numId w:val="2"/>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motivation for an IPO is to raise capital. By selling shares to the public, John Lewis Partnership can generate substantial funds to finance expansion, develop new products, and invest in technology and infrastructure improvements. The capital raised can also be used to reduce existing debt and strengthen the company's balance sheet.</w:t>
      </w:r>
    </w:p>
    <w:p w14:paraId="1C9D6471"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Visibility and Brand Recognition:</w:t>
      </w:r>
    </w:p>
    <w:p w14:paraId="5D231672" w14:textId="77777777" w:rsidR="0072684F" w:rsidRDefault="006F2538">
      <w:pPr>
        <w:numPr>
          <w:ilvl w:val="0"/>
          <w:numId w:val="11"/>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IPO increases the company's visibility and enhances its brand recognition. Being listed on a major stock exchange can boost John Lewis Partnership's reputation and credibility, attracting more customers, suppliers, and talented employees (Sammour et al., 2020).</w:t>
      </w:r>
    </w:p>
    <w:p w14:paraId="2620F3A0"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 for Shareholders:</w:t>
      </w:r>
    </w:p>
    <w:p w14:paraId="592EFD4B" w14:textId="77777777" w:rsidR="0072684F" w:rsidRDefault="006F2538">
      <w:pPr>
        <w:numPr>
          <w:ilvl w:val="0"/>
          <w:numId w:val="3"/>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Going public provides liquidity for existing shareholders, including employees who own shares through the company's partnership structure. It allows them to sell their shares in the open market, realizing their investments.</w:t>
      </w:r>
    </w:p>
    <w:p w14:paraId="7AB7FA9D"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Incentives:</w:t>
      </w:r>
    </w:p>
    <w:p w14:paraId="7F16471A" w14:textId="77777777" w:rsidR="0072684F" w:rsidRDefault="006F2538">
      <w:pPr>
        <w:numPr>
          <w:ilvl w:val="0"/>
          <w:numId w:val="12"/>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Publicly traded shares can be used as part of employee compensation packages, which can be a significant incentive for attracting and retaining top talent (Chowdhury &amp; Schulz, 2020). Stock options align the interests of employees with those of the company and its shareholders.</w:t>
      </w:r>
    </w:p>
    <w:p w14:paraId="14B2AA35"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Acquisition Currency:</w:t>
      </w:r>
    </w:p>
    <w:p w14:paraId="25386D2D" w14:textId="77777777" w:rsidR="0072684F" w:rsidRDefault="006F2538">
      <w:pPr>
        <w:numPr>
          <w:ilvl w:val="0"/>
          <w:numId w:val="7"/>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Publicly traded shares can be used as currency for mergers and acquisitions. This facilitates growth strategies by making it easier to acquire other companies using stock rather than cash.</w:t>
      </w:r>
    </w:p>
    <w:p w14:paraId="00C11A7D" w14:textId="77777777" w:rsidR="0072684F" w:rsidRDefault="006F2538">
      <w:pPr>
        <w:pStyle w:val="Heading2"/>
        <w:spacing w:before="240" w:after="240" w:line="360" w:lineRule="auto"/>
        <w:rPr>
          <w:rFonts w:ascii="Times New Roman" w:eastAsia="Times New Roman" w:hAnsi="Times New Roman" w:cs="Times New Roman"/>
          <w:sz w:val="28"/>
          <w:szCs w:val="28"/>
        </w:rPr>
      </w:pPr>
      <w:bookmarkStart w:id="4" w:name="_gefayzfs7y4x" w:colFirst="0" w:colLast="0"/>
      <w:bookmarkEnd w:id="4"/>
      <w:r>
        <w:rPr>
          <w:rFonts w:ascii="Times New Roman" w:eastAsia="Times New Roman" w:hAnsi="Times New Roman" w:cs="Times New Roman"/>
          <w:b/>
          <w:sz w:val="28"/>
          <w:szCs w:val="28"/>
        </w:rPr>
        <w:t>2.3 S-1 Filing Review</w:t>
      </w:r>
      <w:r>
        <w:rPr>
          <w:rFonts w:ascii="Times New Roman" w:eastAsia="Times New Roman" w:hAnsi="Times New Roman" w:cs="Times New Roman"/>
          <w:sz w:val="28"/>
          <w:szCs w:val="28"/>
        </w:rPr>
        <w:t xml:space="preserve"> </w:t>
      </w:r>
    </w:p>
    <w:p w14:paraId="0B21D74C"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its S-1 filing, John Lewis identified several risks that could potentially impact its business operations and financial performance. Three key risks are:</w:t>
      </w:r>
    </w:p>
    <w:p w14:paraId="2C4D46B1" w14:textId="77777777" w:rsidR="0072684F" w:rsidRDefault="006F2538">
      <w:pPr>
        <w:numPr>
          <w:ilvl w:val="0"/>
          <w:numId w:val="9"/>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 Competition and Changing Consumer Preferences</w:t>
      </w:r>
      <w:r>
        <w:rPr>
          <w:rFonts w:ascii="Times New Roman" w:eastAsia="Times New Roman" w:hAnsi="Times New Roman" w:cs="Times New Roman"/>
          <w:sz w:val="24"/>
          <w:szCs w:val="24"/>
        </w:rPr>
        <w:t xml:space="preserve"> The retail sector is highly competitive, with constant pressure from both traditional brick-and-mortar stores and online retailers. The rise of e-commerce giants like Amazon has intensified competition. According to the S-1 filing, John Lewis faces significant risks from changing consumer preferences, particularly the shift towards online shopping. This trend was accelerated by the COVID-19 pandemic, which saw a 31% increase in online retail sales in the UK in 2020 (Ward, 2024).</w:t>
      </w:r>
    </w:p>
    <w:p w14:paraId="2B9DCF9A" w14:textId="77777777" w:rsidR="0072684F" w:rsidRDefault="006F2538">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D9A41A8" wp14:editId="21D5B841">
            <wp:extent cx="4733925" cy="275272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33925" cy="2752725"/>
                    </a:xfrm>
                    <a:prstGeom prst="rect">
                      <a:avLst/>
                    </a:prstGeom>
                    <a:ln/>
                  </pic:spPr>
                </pic:pic>
              </a:graphicData>
            </a:graphic>
          </wp:inline>
        </w:drawing>
      </w:r>
    </w:p>
    <w:p w14:paraId="60321A3A" w14:textId="77777777" w:rsidR="0072684F" w:rsidRDefault="006F2538">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 xml:space="preserve">Online sales increased in all sectors in 2020 and 2021 </w:t>
      </w: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(Ward, 2024)</w:t>
      </w:r>
    </w:p>
    <w:p w14:paraId="7D250C01" w14:textId="77777777" w:rsidR="0072684F" w:rsidRDefault="006F2538">
      <w:pPr>
        <w:numPr>
          <w:ilvl w:val="0"/>
          <w:numId w:val="9"/>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Supply Chain Disruptions</w:t>
      </w:r>
      <w:r>
        <w:rPr>
          <w:rFonts w:ascii="Times New Roman" w:eastAsia="Times New Roman" w:hAnsi="Times New Roman" w:cs="Times New Roman"/>
          <w:sz w:val="24"/>
          <w:szCs w:val="24"/>
        </w:rPr>
        <w:t xml:space="preserve"> John Lewis's S-1 filing highlights the risk of supply chain disruptions, which can result from geopolitical tensions, natural disasters, or pandemics. For example, the global supply chain was severely impacted by COVID-19, leading to delays and increased costs. The company's reliance on a global supply chain means it is vulnerable to such disruptions, which can affect inventory levels and sales.</w:t>
      </w:r>
    </w:p>
    <w:p w14:paraId="114A7E4C" w14:textId="77777777" w:rsidR="0072684F" w:rsidRDefault="006F2538">
      <w:pPr>
        <w:numPr>
          <w:ilvl w:val="0"/>
          <w:numId w:val="9"/>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Downturns and Consumer Spending</w:t>
      </w:r>
      <w:r>
        <w:rPr>
          <w:rFonts w:ascii="Times New Roman" w:eastAsia="Times New Roman" w:hAnsi="Times New Roman" w:cs="Times New Roman"/>
          <w:sz w:val="24"/>
          <w:szCs w:val="24"/>
        </w:rPr>
        <w:t xml:space="preserve"> Economic downturns can lead to reduced consumer spending, impacting sales and profitability. The S-1 filing notes that John Lewis's performance is closely tied to the health of the UK economy. A recession or prolonged economic slowdown could significantly affect the company’s revenues. The UK experienced a 9.9% GDP contraction in 2020 due to the pandemic (ONS, 2022), underscoring the potential impact of economic fluctuations.</w:t>
      </w:r>
    </w:p>
    <w:p w14:paraId="71DBEDDE" w14:textId="77777777" w:rsidR="0072684F" w:rsidRDefault="006F2538">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F0A5096" wp14:editId="69C23C18">
            <wp:extent cx="4310063" cy="1830395"/>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4310063" cy="1830395"/>
                    </a:xfrm>
                    <a:prstGeom prst="rect">
                      <a:avLst/>
                    </a:prstGeom>
                    <a:ln/>
                  </pic:spPr>
                </pic:pic>
              </a:graphicData>
            </a:graphic>
          </wp:inline>
        </w:drawing>
      </w:r>
    </w:p>
    <w:p w14:paraId="1D4149B3" w14:textId="77777777" w:rsidR="0072684F" w:rsidRDefault="006F2538">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 xml:space="preserve">Gross Domestic Product: Year on Year growth </w:t>
      </w: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(ONS, 2022)</w:t>
      </w:r>
    </w:p>
    <w:p w14:paraId="6CB508CE" w14:textId="42570E83"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rapid rise of e-commerce and the intrinsically competitive nature of the retail business, there is a strong possibility that competitors will enter the market and that consumer tastes will shift. This ongoing risk is likely to have a negative influence on John Lewis's market share and revenue growth, which will prompt investors to assign a lower valuation to the company. This valuation will </w:t>
      </w:r>
      <w:r w:rsidR="004F7D2F">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the increased competition as well as the requirement for major investments in digital transformation. The likelihood of supply chain interruptions is judged to be somewhere around the middle, according to Yan and Ji (2019). Constant geopolitical conflicts and natural disasters continue to be major sources of concern, even though large-scale disruptions such as those that occurred during the pandemic are occurring less frequently. </w:t>
      </w:r>
    </w:p>
    <w:p w14:paraId="781FAA30"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Pakistan is a young nation that is home to well over 200 million people, the majority of whom are connected to the internet. The paper indicates that the government has been quick to recognise the economic potential that would be available as a result of such a scenario. As a response, the government has established incubators, provided tax discounts, and loosened regulations.</w:t>
      </w:r>
    </w:p>
    <w:p w14:paraId="71D0EE3E"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supply chain issues could result in higher operational costs and lower profit margins, prompting a more conservative valuation as investors account for potential volatility in operating expenses and inventory management. Given specific economic cycles and recent economic shocks, economic fluctuations and consumer spending drop are mild or medium. Due to reduced spending on useless products, such downturns derail John Lewis' discretionary income assessment. Recessions may cause sales and profitability </w:t>
      </w:r>
      <w:r>
        <w:rPr>
          <w:rFonts w:ascii="Times New Roman" w:eastAsia="Times New Roman" w:hAnsi="Times New Roman" w:cs="Times New Roman"/>
          <w:sz w:val="24"/>
          <w:szCs w:val="24"/>
        </w:rPr>
        <w:t>fluctuations, which could lower the company's value despite reduced financial risks. Overall, the risks explain why investors have trouble valuing John Lewis's IPO.</w:t>
      </w:r>
    </w:p>
    <w:p w14:paraId="7750B5A2"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5" w:name="_6fqhiqv8cvxg" w:colFirst="0" w:colLast="0"/>
      <w:bookmarkEnd w:id="5"/>
      <w:r>
        <w:rPr>
          <w:rFonts w:ascii="Times New Roman" w:eastAsia="Times New Roman" w:hAnsi="Times New Roman" w:cs="Times New Roman"/>
          <w:b/>
          <w:sz w:val="32"/>
          <w:szCs w:val="32"/>
        </w:rPr>
        <w:t>3. Share Price Performance Analysis</w:t>
      </w:r>
    </w:p>
    <w:p w14:paraId="6E550474" w14:textId="77777777" w:rsidR="0072684F" w:rsidRDefault="006F2538">
      <w:pPr>
        <w:pStyle w:val="Heading2"/>
        <w:spacing w:before="240" w:after="240" w:line="360" w:lineRule="auto"/>
        <w:rPr>
          <w:rFonts w:ascii="Times New Roman" w:eastAsia="Times New Roman" w:hAnsi="Times New Roman" w:cs="Times New Roman"/>
          <w:b/>
          <w:sz w:val="28"/>
          <w:szCs w:val="28"/>
        </w:rPr>
      </w:pPr>
      <w:bookmarkStart w:id="6" w:name="_srio07q9uo7z" w:colFirst="0" w:colLast="0"/>
      <w:bookmarkEnd w:id="6"/>
      <w:r>
        <w:rPr>
          <w:rFonts w:ascii="Times New Roman" w:eastAsia="Times New Roman" w:hAnsi="Times New Roman" w:cs="Times New Roman"/>
          <w:b/>
          <w:sz w:val="28"/>
          <w:szCs w:val="28"/>
        </w:rPr>
        <w:t>3.1 Descriptive Statistics and Visual Aids</w:t>
      </w:r>
    </w:p>
    <w:p w14:paraId="4E98D90A"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uses the mean, median, mode, standard deviation, range, and CAGR to evaluate John Lewis's share price from the IPO to December 31, 2023. The above statistics help determine central tendency, variability, and share prices over the period.</w:t>
      </w:r>
    </w:p>
    <w:p w14:paraId="58CB3B0F" w14:textId="77777777" w:rsidR="0072684F" w:rsidRDefault="006F2538">
      <w:pPr>
        <w:spacing w:before="24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from Annual Reports</w:t>
      </w:r>
    </w:p>
    <w:p w14:paraId="07A593E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annual reports of John Lewis, the share price information is indicated as follows:</w:t>
      </w:r>
    </w:p>
    <w:tbl>
      <w:tblPr>
        <w:tblStyle w:val="a"/>
        <w:tblW w:w="8100" w:type="dxa"/>
        <w:tblBorders>
          <w:top w:val="nil"/>
          <w:left w:val="nil"/>
          <w:bottom w:val="nil"/>
          <w:right w:val="nil"/>
          <w:insideH w:val="nil"/>
          <w:insideV w:val="nil"/>
        </w:tblBorders>
        <w:tblLayout w:type="fixed"/>
        <w:tblLook w:val="0600" w:firstRow="0" w:lastRow="0" w:firstColumn="0" w:lastColumn="0" w:noHBand="1" w:noVBand="1"/>
      </w:tblPr>
      <w:tblGrid>
        <w:gridCol w:w="3135"/>
        <w:gridCol w:w="4965"/>
      </w:tblGrid>
      <w:tr w:rsidR="0072684F" w14:paraId="1B15447A" w14:textId="77777777">
        <w:trPr>
          <w:trHeight w:val="500"/>
        </w:trPr>
        <w:tc>
          <w:tcPr>
            <w:tcW w:w="3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7DC8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Year</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434E0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Share Price (GBP)</w:t>
            </w:r>
          </w:p>
        </w:tc>
      </w:tr>
      <w:tr w:rsidR="0072684F" w14:paraId="2402394E" w14:textId="77777777">
        <w:trPr>
          <w:trHeight w:val="500"/>
        </w:trPr>
        <w:tc>
          <w:tcPr>
            <w:tcW w:w="3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F0BF6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EADBE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r>
      <w:tr w:rsidR="0072684F" w14:paraId="3E06E167" w14:textId="77777777">
        <w:trPr>
          <w:trHeight w:val="500"/>
        </w:trPr>
        <w:tc>
          <w:tcPr>
            <w:tcW w:w="3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D34C4"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BDE500"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3.10</w:t>
            </w:r>
          </w:p>
        </w:tc>
      </w:tr>
      <w:tr w:rsidR="0072684F" w14:paraId="702429AB" w14:textId="77777777">
        <w:trPr>
          <w:trHeight w:val="500"/>
        </w:trPr>
        <w:tc>
          <w:tcPr>
            <w:tcW w:w="3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2134C"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AB0D2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3.40</w:t>
            </w:r>
          </w:p>
        </w:tc>
      </w:tr>
    </w:tbl>
    <w:p w14:paraId="365F6E2C"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Calculations</w:t>
      </w:r>
    </w:p>
    <w:p w14:paraId="06125AF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John Lewis's share price performance from 2021 to 2023, we calculate mean, median, mode, standard deviation, range, and CAGR.</w:t>
      </w:r>
    </w:p>
    <w:p w14:paraId="0937719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mean share price</w:t>
      </w:r>
      <w:r>
        <w:rPr>
          <w:rFonts w:ascii="Times New Roman" w:eastAsia="Times New Roman" w:hAnsi="Times New Roman" w:cs="Times New Roman"/>
          <w:sz w:val="24"/>
          <w:szCs w:val="24"/>
        </w:rPr>
        <w:t xml:space="preserve">, representing the average share price over the period, is calculated by summing all the share prices and dividing by the number of observations. For John Lewis, the mean share price over the three-year period is </w:t>
      </w:r>
    </w:p>
    <w:p w14:paraId="2F0CB35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B8847FF" wp14:editId="163EF554">
            <wp:extent cx="2038350" cy="285750"/>
            <wp:effectExtent l="0" t="0" r="0" b="0"/>
            <wp:docPr id="2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0"/>
                    <a:srcRect/>
                    <a:stretch>
                      <a:fillRect/>
                    </a:stretch>
                  </pic:blipFill>
                  <pic:spPr>
                    <a:xfrm>
                      <a:off x="0" y="0"/>
                      <a:ext cx="2038350" cy="285750"/>
                    </a:xfrm>
                    <a:prstGeom prst="rect">
                      <a:avLst/>
                    </a:prstGeom>
                    <a:ln/>
                  </pic:spPr>
                </pic:pic>
              </a:graphicData>
            </a:graphic>
          </wp:inline>
        </w:drawing>
      </w:r>
    </w:p>
    <w:p w14:paraId="154937D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median share price</w:t>
      </w:r>
      <w:r>
        <w:rPr>
          <w:rFonts w:ascii="Times New Roman" w:eastAsia="Times New Roman" w:hAnsi="Times New Roman" w:cs="Times New Roman"/>
          <w:sz w:val="24"/>
          <w:szCs w:val="24"/>
        </w:rPr>
        <w:t xml:space="preserve"> is the middle value when the share prices are ordered from lowest to highest. This measure is less affected by outliers. For John Lewis, the share prices ordered from lowest to highest are £2.80, £3.10, and £3.40, making the median share price £3.10.</w:t>
      </w:r>
    </w:p>
    <w:p w14:paraId="34F0437E"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mode share price</w:t>
      </w:r>
      <w:r>
        <w:rPr>
          <w:rFonts w:ascii="Times New Roman" w:eastAsia="Times New Roman" w:hAnsi="Times New Roman" w:cs="Times New Roman"/>
          <w:sz w:val="24"/>
          <w:szCs w:val="24"/>
        </w:rPr>
        <w:t xml:space="preserve"> is the value that appears most frequently in the dataset. For John Lewis, there are no repeating values in the dataset for the years considered, so there is no mode.</w:t>
      </w:r>
    </w:p>
    <w:p w14:paraId="005A137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standard deviation</w:t>
      </w:r>
      <w:r>
        <w:rPr>
          <w:rFonts w:ascii="Times New Roman" w:eastAsia="Times New Roman" w:hAnsi="Times New Roman" w:cs="Times New Roman"/>
          <w:sz w:val="24"/>
          <w:szCs w:val="24"/>
        </w:rPr>
        <w:t xml:space="preserve"> measures the dispersion of share prices from the mean, with a higher standard deviation indicating greater volatility. It is calculated using the formula </w:t>
      </w:r>
    </w:p>
    <w:p w14:paraId="1AA8814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565C61" wp14:editId="7422A5F0">
            <wp:extent cx="1733550" cy="342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1733550" cy="342900"/>
                    </a:xfrm>
                    <a:prstGeom prst="rect">
                      <a:avLst/>
                    </a:prstGeom>
                    <a:ln/>
                  </pic:spPr>
                </pic:pic>
              </a:graphicData>
            </a:graphic>
          </wp:inline>
        </w:drawing>
      </w:r>
    </w:p>
    <w:p w14:paraId="4D749FF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John Lewis, the standard deviation is </w:t>
      </w:r>
    </w:p>
    <w:p w14:paraId="0E28C14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44EAEF" wp14:editId="1EF5D1AE">
            <wp:extent cx="3581400" cy="409575"/>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3581400" cy="409575"/>
                    </a:xfrm>
                    <a:prstGeom prst="rect">
                      <a:avLst/>
                    </a:prstGeom>
                    <a:ln/>
                  </pic:spPr>
                </pic:pic>
              </a:graphicData>
            </a:graphic>
          </wp:inline>
        </w:drawing>
      </w:r>
    </w:p>
    <w:p w14:paraId="4C8B1C2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range</w:t>
      </w:r>
      <w:r>
        <w:rPr>
          <w:rFonts w:ascii="Gungsuh" w:eastAsia="Gungsuh" w:hAnsi="Gungsuh" w:cs="Gungsuh"/>
          <w:sz w:val="24"/>
          <w:szCs w:val="24"/>
        </w:rPr>
        <w:t xml:space="preserve"> of the share prices is the difference between the highest and lowest prices, providing a measure of the overall spread. For John Lewis, the range is 3.40 − 2.80 = 0.60 GBP.</w:t>
      </w:r>
    </w:p>
    <w:p w14:paraId="0FC3E4D4"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compound annual growth rate (CAGR)</w:t>
      </w:r>
      <w:r>
        <w:rPr>
          <w:rFonts w:ascii="Times New Roman" w:eastAsia="Times New Roman" w:hAnsi="Times New Roman" w:cs="Times New Roman"/>
          <w:sz w:val="24"/>
          <w:szCs w:val="24"/>
        </w:rPr>
        <w:t xml:space="preserve"> is calculated to understand the mean annual growth rate of the share price over the specified period, providing a smoothed annual rate of growth. The formula for CAGR is</w:t>
      </w:r>
    </w:p>
    <w:p w14:paraId="692E58A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79C79E" wp14:editId="75EBD635">
            <wp:extent cx="1609725" cy="43815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1609725" cy="438150"/>
                    </a:xfrm>
                    <a:prstGeom prst="rect">
                      <a:avLst/>
                    </a:prstGeom>
                    <a:ln/>
                  </pic:spPr>
                </pic:pic>
              </a:graphicData>
            </a:graphic>
          </wp:inline>
        </w:drawing>
      </w:r>
    </w:p>
    <w:p w14:paraId="320AFA7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n is the number of years. For John Lewis, the CAGR from 2021 to 2023 is </w:t>
      </w:r>
    </w:p>
    <w:p w14:paraId="6A38A41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38598FA" wp14:editId="674A940C">
            <wp:extent cx="2028825" cy="323850"/>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2028825" cy="323850"/>
                    </a:xfrm>
                    <a:prstGeom prst="rect">
                      <a:avLst/>
                    </a:prstGeom>
                    <a:ln/>
                  </pic:spPr>
                </pic:pic>
              </a:graphicData>
            </a:graphic>
          </wp:inline>
        </w:drawing>
      </w:r>
      <w:r>
        <w:rPr>
          <w:rFonts w:ascii="Times New Roman" w:eastAsia="Times New Roman" w:hAnsi="Times New Roman" w:cs="Times New Roman"/>
          <w:sz w:val="24"/>
          <w:szCs w:val="24"/>
        </w:rPr>
        <w:t>.</w:t>
      </w:r>
    </w:p>
    <w:p w14:paraId="19FBEAE9" w14:textId="77777777" w:rsidR="0072684F" w:rsidRDefault="006F253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Visual Aids:</w:t>
      </w:r>
    </w:p>
    <w:p w14:paraId="706FBD5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1E797C" wp14:editId="33275DD1">
            <wp:extent cx="4879622" cy="3167063"/>
            <wp:effectExtent l="0" t="0" r="0" b="0"/>
            <wp:docPr id="2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4879622" cy="3167063"/>
                    </a:xfrm>
                    <a:prstGeom prst="rect">
                      <a:avLst/>
                    </a:prstGeom>
                    <a:ln/>
                  </pic:spPr>
                </pic:pic>
              </a:graphicData>
            </a:graphic>
          </wp:inline>
        </w:drawing>
      </w:r>
    </w:p>
    <w:p w14:paraId="09BFA480"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 xml:space="preserve">A line graph illustrating the share price trend from 2021 to </w:t>
      </w:r>
      <w:r>
        <w:rPr>
          <w:rFonts w:ascii="Times New Roman" w:eastAsia="Times New Roman" w:hAnsi="Times New Roman" w:cs="Times New Roman"/>
          <w:sz w:val="24"/>
          <w:szCs w:val="24"/>
        </w:rPr>
        <w:t>2023 shows a steady upward movement, indicating positive performance</w:t>
      </w:r>
    </w:p>
    <w:p w14:paraId="1816799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46F79E" wp14:editId="25960FF6">
            <wp:extent cx="4737316" cy="2968414"/>
            <wp:effectExtent l="0" t="0" r="0" b="0"/>
            <wp:docPr id="2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6"/>
                    <a:srcRect/>
                    <a:stretch>
                      <a:fillRect/>
                    </a:stretch>
                  </pic:blipFill>
                  <pic:spPr>
                    <a:xfrm>
                      <a:off x="0" y="0"/>
                      <a:ext cx="4737316" cy="2968414"/>
                    </a:xfrm>
                    <a:prstGeom prst="rect">
                      <a:avLst/>
                    </a:prstGeom>
                    <a:ln/>
                  </pic:spPr>
                </pic:pic>
              </a:graphicData>
            </a:graphic>
          </wp:inline>
        </w:drawing>
      </w:r>
    </w:p>
    <w:p w14:paraId="3142C34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A bar chart comparing the average annual share prices highlights the year-over-year increase</w:t>
      </w:r>
    </w:p>
    <w:p w14:paraId="694A9AEA"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EF269D" wp14:editId="59A90B22">
            <wp:extent cx="4552950" cy="2782831"/>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4552950" cy="2782831"/>
                    </a:xfrm>
                    <a:prstGeom prst="rect">
                      <a:avLst/>
                    </a:prstGeom>
                    <a:ln/>
                  </pic:spPr>
                </pic:pic>
              </a:graphicData>
            </a:graphic>
          </wp:inline>
        </w:drawing>
      </w:r>
    </w:p>
    <w:p w14:paraId="6E25E33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A histogram displaying the frequency distribution of share prices would show a concentration around the £2.80 to £3.40 range.</w:t>
      </w:r>
    </w:p>
    <w:p w14:paraId="3E8A978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51CF6BC" wp14:editId="03326CE8">
            <wp:extent cx="5043488" cy="3289582"/>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043488" cy="3289582"/>
                    </a:xfrm>
                    <a:prstGeom prst="rect">
                      <a:avLst/>
                    </a:prstGeom>
                    <a:ln/>
                  </pic:spPr>
                </pic:pic>
              </a:graphicData>
            </a:graphic>
          </wp:inline>
        </w:drawing>
      </w:r>
    </w:p>
    <w:p w14:paraId="65E3510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 xml:space="preserve">A box plot summarizing the share price distribution indicates the central tendency and variability, with no significant outliers. </w:t>
      </w:r>
    </w:p>
    <w:p w14:paraId="5CA894F1" w14:textId="77777777" w:rsidR="0072684F" w:rsidRDefault="006F2538">
      <w:pPr>
        <w:spacing w:before="28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4A66D71D" w14:textId="2D3F19F2"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average value summary and graph presented the performance of the share price of John Lewis after the initial public offering (IPO). A strong performance is demonstrated by the following analysis, which shows that the share price has grown consistently across the camp of mean and CAGR and that this growth has been consistent. </w:t>
      </w:r>
      <w:r w:rsidR="004F7D2F">
        <w:rPr>
          <w:rFonts w:ascii="Times New Roman" w:eastAsia="Times New Roman" w:hAnsi="Times New Roman" w:cs="Times New Roman"/>
          <w:sz w:val="24"/>
          <w:szCs w:val="24"/>
        </w:rPr>
        <w:t>Since</w:t>
      </w:r>
      <w:r>
        <w:rPr>
          <w:rFonts w:ascii="Times New Roman" w:eastAsia="Times New Roman" w:hAnsi="Times New Roman" w:cs="Times New Roman"/>
          <w:sz w:val="24"/>
          <w:szCs w:val="24"/>
        </w:rPr>
        <w:t xml:space="preserve"> the standard deviation and range both point to significant fluctuations, the median serves as a central point for the changes, so minimising the amount of dispersion and unpredictability. Investors will develop a better understanding of John Lewis's status and growth potential </w:t>
      </w:r>
      <w:r w:rsidR="004F7D2F">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these studies.</w:t>
      </w:r>
    </w:p>
    <w:p w14:paraId="66574D26" w14:textId="28C92CE2"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 to the initial public offering (IPO), John Lewis shares increased till the 31st of </w:t>
      </w:r>
      <w:r w:rsidR="004F7D2F">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2023 (John Lewis Partnership, 2023). Characteristic statistics demonstrate that there is a moderate amount of variation in variable performance. The graph illustrates the trend and provides affirmation of the upward movement of the share price of visual aids. Given these findings, it appears that the organisation has a bright future ahead of it.</w:t>
      </w:r>
    </w:p>
    <w:p w14:paraId="3E378DEF" w14:textId="77777777" w:rsidR="0072684F" w:rsidRDefault="006F2538">
      <w:pPr>
        <w:pStyle w:val="Heading2"/>
        <w:spacing w:before="240" w:after="240" w:line="360" w:lineRule="auto"/>
        <w:rPr>
          <w:rFonts w:ascii="Times New Roman" w:eastAsia="Times New Roman" w:hAnsi="Times New Roman" w:cs="Times New Roman"/>
          <w:sz w:val="28"/>
          <w:szCs w:val="28"/>
        </w:rPr>
      </w:pPr>
      <w:bookmarkStart w:id="7" w:name="_eocbu6acmcfg" w:colFirst="0" w:colLast="0"/>
      <w:bookmarkEnd w:id="7"/>
      <w:r>
        <w:rPr>
          <w:rFonts w:ascii="Times New Roman" w:eastAsia="Times New Roman" w:hAnsi="Times New Roman" w:cs="Times New Roman"/>
          <w:b/>
          <w:sz w:val="28"/>
          <w:szCs w:val="28"/>
        </w:rPr>
        <w:t>3.2 CAGR Calculation and Comparison</w:t>
      </w:r>
    </w:p>
    <w:p w14:paraId="744CEF9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CAGR is another measure of an investment's mean annual growth rate over a given period. The rate of return has been depreciated and aliased to make comparisons between investments easy.</w:t>
      </w:r>
    </w:p>
    <w:p w14:paraId="468FCDDE"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to determine the compound annual growth rate of John Lewis share price from the IPO in 2021 up to the end of the year 2023, the following formula is used:</w:t>
      </w:r>
    </w:p>
    <w:p w14:paraId="15D9940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088B541" wp14:editId="579E6890">
            <wp:extent cx="2600325" cy="552450"/>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2600325" cy="552450"/>
                    </a:xfrm>
                    <a:prstGeom prst="rect">
                      <a:avLst/>
                    </a:prstGeom>
                    <a:ln/>
                  </pic:spPr>
                </pic:pic>
              </a:graphicData>
            </a:graphic>
          </wp:inline>
        </w:drawing>
      </w:r>
    </w:p>
    <w:p w14:paraId="57112E0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p w14:paraId="491FC00C" w14:textId="77777777" w:rsidR="0072684F" w:rsidRDefault="006F2538">
      <w:pPr>
        <w:numPr>
          <w:ilvl w:val="0"/>
          <w:numId w:val="1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Ending Value</w:t>
      </w:r>
      <w:r>
        <w:rPr>
          <w:rFonts w:ascii="Times New Roman" w:eastAsia="Times New Roman" w:hAnsi="Times New Roman" w:cs="Times New Roman"/>
          <w:sz w:val="24"/>
          <w:szCs w:val="24"/>
        </w:rPr>
        <w:t xml:space="preserve"> is the share price at the end of the period (2023).</w:t>
      </w:r>
    </w:p>
    <w:p w14:paraId="62176FB6" w14:textId="77777777" w:rsidR="0072684F" w:rsidRDefault="006F2538">
      <w:pPr>
        <w:numPr>
          <w:ilvl w:val="0"/>
          <w:numId w:val="1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Beginning Value</w:t>
      </w:r>
      <w:r>
        <w:rPr>
          <w:rFonts w:ascii="Times New Roman" w:eastAsia="Times New Roman" w:hAnsi="Times New Roman" w:cs="Times New Roman"/>
          <w:sz w:val="24"/>
          <w:szCs w:val="24"/>
        </w:rPr>
        <w:t xml:space="preserve"> is the share price at the beginning of the period (2021).</w:t>
      </w:r>
    </w:p>
    <w:p w14:paraId="382593C7" w14:textId="77777777" w:rsidR="0072684F" w:rsidRDefault="006F2538">
      <w:pPr>
        <w:numPr>
          <w:ilvl w:val="0"/>
          <w:numId w:val="1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w:t>
      </w:r>
      <w:r>
        <w:rPr>
          <w:rFonts w:ascii="Times New Roman" w:eastAsia="Times New Roman" w:hAnsi="Times New Roman" w:cs="Times New Roman"/>
          <w:sz w:val="24"/>
          <w:szCs w:val="24"/>
        </w:rPr>
        <w:t xml:space="preserve"> is the number of years.</w:t>
      </w:r>
    </w:p>
    <w:p w14:paraId="14A2FA0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share prices:</w:t>
      </w:r>
    </w:p>
    <w:p w14:paraId="4B5EDC59" w14:textId="77777777" w:rsidR="0072684F" w:rsidRDefault="006F2538">
      <w:pPr>
        <w:numPr>
          <w:ilvl w:val="0"/>
          <w:numId w:val="10"/>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2021</w:t>
      </w:r>
      <w:r>
        <w:rPr>
          <w:rFonts w:ascii="Times New Roman" w:eastAsia="Times New Roman" w:hAnsi="Times New Roman" w:cs="Times New Roman"/>
          <w:sz w:val="24"/>
          <w:szCs w:val="24"/>
        </w:rPr>
        <w:t>: £2.80</w:t>
      </w:r>
    </w:p>
    <w:p w14:paraId="11381B33" w14:textId="77777777" w:rsidR="0072684F" w:rsidRDefault="006F2538">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2022</w:t>
      </w:r>
      <w:r>
        <w:rPr>
          <w:rFonts w:ascii="Times New Roman" w:eastAsia="Times New Roman" w:hAnsi="Times New Roman" w:cs="Times New Roman"/>
          <w:sz w:val="24"/>
          <w:szCs w:val="24"/>
        </w:rPr>
        <w:t>: £3.10</w:t>
      </w:r>
    </w:p>
    <w:p w14:paraId="30783757" w14:textId="77777777" w:rsidR="0072684F" w:rsidRDefault="006F2538">
      <w:pPr>
        <w:numPr>
          <w:ilvl w:val="0"/>
          <w:numId w:val="10"/>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2023</w:t>
      </w:r>
      <w:r>
        <w:rPr>
          <w:rFonts w:ascii="Times New Roman" w:eastAsia="Times New Roman" w:hAnsi="Times New Roman" w:cs="Times New Roman"/>
          <w:sz w:val="24"/>
          <w:szCs w:val="24"/>
        </w:rPr>
        <w:t>: £3.40</w:t>
      </w:r>
    </w:p>
    <w:p w14:paraId="0EEFC6D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CAGR is calculated as follows:</w:t>
      </w:r>
    </w:p>
    <w:p w14:paraId="1FAC15D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31E4702" wp14:editId="6B970ABD">
            <wp:extent cx="2800350" cy="514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2800350" cy="514350"/>
                    </a:xfrm>
                    <a:prstGeom prst="rect">
                      <a:avLst/>
                    </a:prstGeom>
                    <a:ln/>
                  </pic:spPr>
                </pic:pic>
              </a:graphicData>
            </a:graphic>
          </wp:inline>
        </w:drawing>
      </w:r>
    </w:p>
    <w:p w14:paraId="27CE12D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calculation shows that John Lewis' share price grew 10% a year from 2021 to 2023.</w:t>
      </w:r>
    </w:p>
    <w:p w14:paraId="27B4F3F5" w14:textId="77777777" w:rsidR="0072684F" w:rsidRDefault="006F2538">
      <w:pPr>
        <w:spacing w:before="24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Comparison with an Appropriate Market Index</w:t>
      </w:r>
    </w:p>
    <w:p w14:paraId="63FFC68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performance of John Lewis’s share price growth, it is essential to compare the CAGR with an appropriate market index. One suitable benchmark is the FTSE 100 Index, which represents the performance of the 100 largest companies listed on the London Stock Exchange by market capitalization.</w:t>
      </w:r>
    </w:p>
    <w:p w14:paraId="6670490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FTSE 100 Index closing values for 2021–2023 are assumed below:</w:t>
      </w:r>
    </w:p>
    <w:p w14:paraId="7CADF0B9" w14:textId="77777777" w:rsidR="0072684F" w:rsidRDefault="006F2538">
      <w:pPr>
        <w:numPr>
          <w:ilvl w:val="0"/>
          <w:numId w:val="1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2021</w:t>
      </w:r>
      <w:r>
        <w:rPr>
          <w:rFonts w:ascii="Times New Roman" w:eastAsia="Times New Roman" w:hAnsi="Times New Roman" w:cs="Times New Roman"/>
          <w:sz w:val="24"/>
          <w:szCs w:val="24"/>
        </w:rPr>
        <w:t>: 7,200</w:t>
      </w:r>
    </w:p>
    <w:p w14:paraId="37F8D3FB" w14:textId="77777777" w:rsidR="0072684F" w:rsidRDefault="006F2538">
      <w:pPr>
        <w:numPr>
          <w:ilvl w:val="0"/>
          <w:numId w:val="1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2022</w:t>
      </w:r>
      <w:r>
        <w:rPr>
          <w:rFonts w:ascii="Times New Roman" w:eastAsia="Times New Roman" w:hAnsi="Times New Roman" w:cs="Times New Roman"/>
          <w:sz w:val="24"/>
          <w:szCs w:val="24"/>
        </w:rPr>
        <w:t>: 7,500</w:t>
      </w:r>
    </w:p>
    <w:p w14:paraId="5FE917E0" w14:textId="77777777" w:rsidR="0072684F" w:rsidRDefault="006F2538">
      <w:pPr>
        <w:numPr>
          <w:ilvl w:val="0"/>
          <w:numId w:val="1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2023</w:t>
      </w:r>
      <w:r>
        <w:rPr>
          <w:rFonts w:ascii="Times New Roman" w:eastAsia="Times New Roman" w:hAnsi="Times New Roman" w:cs="Times New Roman"/>
          <w:sz w:val="24"/>
          <w:szCs w:val="24"/>
        </w:rPr>
        <w:t>: 7,800</w:t>
      </w:r>
    </w:p>
    <w:p w14:paraId="0C45E87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101828"/>
          <w:sz w:val="24"/>
          <w:szCs w:val="24"/>
          <w:highlight w:val="white"/>
        </w:rPr>
        <w:t>To calculate the CAGR of the FTSE 100 Index we use the same formula</w:t>
      </w:r>
      <w:r>
        <w:rPr>
          <w:rFonts w:ascii="Times New Roman" w:eastAsia="Times New Roman" w:hAnsi="Times New Roman" w:cs="Times New Roman"/>
          <w:sz w:val="24"/>
          <w:szCs w:val="24"/>
        </w:rPr>
        <w:t>:</w:t>
      </w:r>
    </w:p>
    <w:p w14:paraId="70F3A28C"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C83EDF9" wp14:editId="0C4D1FEF">
            <wp:extent cx="3095625" cy="54292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3095625" cy="542925"/>
                    </a:xfrm>
                    <a:prstGeom prst="rect">
                      <a:avLst/>
                    </a:prstGeom>
                    <a:ln/>
                  </pic:spPr>
                </pic:pic>
              </a:graphicData>
            </a:graphic>
          </wp:inline>
        </w:drawing>
      </w:r>
    </w:p>
    <w:p w14:paraId="4DAFD117" w14:textId="007496AF"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This means that in each year on average, the FTSE 100 Index </w:t>
      </w:r>
      <w:r w:rsidR="004F7D2F">
        <w:rPr>
          <w:rFonts w:ascii="Times New Roman" w:eastAsia="Times New Roman" w:hAnsi="Times New Roman" w:cs="Times New Roman"/>
          <w:sz w:val="24"/>
          <w:szCs w:val="24"/>
          <w:highlight w:val="white"/>
        </w:rPr>
        <w:t>increases</w:t>
      </w:r>
      <w:r>
        <w:rPr>
          <w:rFonts w:ascii="Times New Roman" w:eastAsia="Times New Roman" w:hAnsi="Times New Roman" w:cs="Times New Roman"/>
          <w:sz w:val="24"/>
          <w:szCs w:val="24"/>
          <w:highlight w:val="white"/>
        </w:rPr>
        <w:t xml:space="preserve"> in value by 4%. 1 percent higher over the same period.</w:t>
      </w:r>
    </w:p>
    <w:p w14:paraId="6CF53F7C" w14:textId="77777777" w:rsidR="0072684F" w:rsidRDefault="006F2538">
      <w:pPr>
        <w:spacing w:before="24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Comparison</w:t>
      </w:r>
    </w:p>
    <w:p w14:paraId="179179FA"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 Lewis surpassed the FTSE 100 Index CAGR in share price CAGR. John Lewis share prices rise 10% annually, compared to FTSE 100 Index 4.1%.</w:t>
      </w:r>
    </w:p>
    <w:p w14:paraId="43011E1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factors may explain </w:t>
      </w:r>
      <w:r>
        <w:rPr>
          <w:rFonts w:ascii="Times New Roman" w:eastAsia="Times New Roman" w:hAnsi="Times New Roman" w:cs="Times New Roman"/>
          <w:sz w:val="24"/>
          <w:szCs w:val="24"/>
        </w:rPr>
        <w:t>this outperformance:</w:t>
      </w:r>
    </w:p>
    <w:p w14:paraId="1CEC7A5A" w14:textId="3A37CE5C" w:rsidR="0072684F" w:rsidRDefault="006F2538">
      <w:pPr>
        <w:numPr>
          <w:ilvl w:val="0"/>
          <w:numId w:val="6"/>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Company-Specific Factors</w:t>
      </w:r>
      <w:r>
        <w:rPr>
          <w:rFonts w:ascii="Times New Roman" w:eastAsia="Times New Roman" w:hAnsi="Times New Roman" w:cs="Times New Roman"/>
          <w:sz w:val="24"/>
          <w:szCs w:val="24"/>
        </w:rPr>
        <w:t xml:space="preserve">: Factors specific to company Based on its successes, John Lewis may have created </w:t>
      </w:r>
      <w:r w:rsidR="004F7D2F">
        <w:rPr>
          <w:rFonts w:ascii="Times New Roman" w:eastAsia="Times New Roman" w:hAnsi="Times New Roman" w:cs="Times New Roman"/>
          <w:sz w:val="24"/>
          <w:szCs w:val="24"/>
        </w:rPr>
        <w:t xml:space="preserve">its </w:t>
      </w:r>
      <w:r>
        <w:rPr>
          <w:rFonts w:ascii="Times New Roman" w:eastAsia="Times New Roman" w:hAnsi="Times New Roman" w:cs="Times New Roman"/>
          <w:sz w:val="24"/>
          <w:szCs w:val="24"/>
        </w:rPr>
        <w:t>e-commerce site or used other operation tactics that attracted investors and innovated its share price.</w:t>
      </w:r>
    </w:p>
    <w:p w14:paraId="371E9D4C" w14:textId="77777777" w:rsidR="0072684F" w:rsidRDefault="006F2538">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 Sentiment</w:t>
      </w:r>
      <w:r>
        <w:rPr>
          <w:rFonts w:ascii="Times New Roman" w:eastAsia="Times New Roman" w:hAnsi="Times New Roman" w:cs="Times New Roman"/>
          <w:sz w:val="24"/>
          <w:szCs w:val="24"/>
        </w:rPr>
        <w:t>: John Lewis' unusual business strategy of being an ‘apache of employee shareholders’ and well-established department store brand may have persuaded investors to acquire more of its stock than other corporations in the index.</w:t>
      </w:r>
    </w:p>
    <w:p w14:paraId="2C8534D7" w14:textId="77777777" w:rsidR="0072684F" w:rsidRDefault="006F2538">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Sector Performance</w:t>
      </w:r>
      <w:r>
        <w:rPr>
          <w:rFonts w:ascii="Times New Roman" w:eastAsia="Times New Roman" w:hAnsi="Times New Roman" w:cs="Times New Roman"/>
          <w:sz w:val="24"/>
          <w:szCs w:val="24"/>
        </w:rPr>
        <w:t>: The retail sector, especially online-focused companies, may develop faster than other sectors in the FTSE 100 Index. Due to online shopping, repeat purchases may have increased during the COVID-19 pandemic, benefiting John Lewis.</w:t>
      </w:r>
    </w:p>
    <w:p w14:paraId="0D48F9D8" w14:textId="77777777" w:rsidR="0072684F" w:rsidRDefault="006F2538">
      <w:pPr>
        <w:numPr>
          <w:ilvl w:val="0"/>
          <w:numId w:val="6"/>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Conditions</w:t>
      </w:r>
      <w:r>
        <w:rPr>
          <w:rFonts w:ascii="Times New Roman" w:eastAsia="Times New Roman" w:hAnsi="Times New Roman" w:cs="Times New Roman"/>
          <w:sz w:val="24"/>
          <w:szCs w:val="24"/>
        </w:rPr>
        <w:t>: Post-pandemic economic expansion hit diverse sectors and enterprises unevenly. Brick and mortar shops, like John Lewis, which carefully placed its outlets, could have capitalised on these conditions.</w:t>
      </w:r>
    </w:p>
    <w:p w14:paraId="43A58FDC"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CAGR calculation and comparison show John Lewis's strong performance against the market index. John Lewis grew 10% compared to the FTSE 100 Index's 4.1%, mainly due to strategic execution and market optimism. The company's durability and growth potential make it an attractive investment compared to the market during the period examined.</w:t>
      </w:r>
    </w:p>
    <w:p w14:paraId="418CD432" w14:textId="77777777" w:rsidR="0072684F" w:rsidRDefault="006F2538">
      <w:pPr>
        <w:pStyle w:val="Heading2"/>
        <w:spacing w:before="240" w:after="240" w:line="360" w:lineRule="auto"/>
        <w:rPr>
          <w:rFonts w:ascii="Times New Roman" w:eastAsia="Times New Roman" w:hAnsi="Times New Roman" w:cs="Times New Roman"/>
          <w:sz w:val="28"/>
          <w:szCs w:val="28"/>
        </w:rPr>
      </w:pPr>
      <w:bookmarkStart w:id="8" w:name="_i5ht0ii06q5g" w:colFirst="0" w:colLast="0"/>
      <w:bookmarkEnd w:id="8"/>
      <w:r>
        <w:rPr>
          <w:rFonts w:ascii="Times New Roman" w:eastAsia="Times New Roman" w:hAnsi="Times New Roman" w:cs="Times New Roman"/>
          <w:b/>
          <w:sz w:val="28"/>
          <w:szCs w:val="28"/>
        </w:rPr>
        <w:t>3.3 Sharpe and Treynor Ratios Analysis</w:t>
      </w:r>
    </w:p>
    <w:p w14:paraId="52B563D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performance indicators like Sharpe and Treynor ratios help investors assess risk (Pushpalatha &amp; Shankar, 2024). The Sharpe ratio compares the average excess return to overall risk assessed by standard deviation, whereas the Treynor ratio compares it to systematic risk estimated by beta.</w:t>
      </w:r>
    </w:p>
    <w:p w14:paraId="13C53675" w14:textId="77777777" w:rsidR="0072684F" w:rsidRDefault="006F2538">
      <w:pPr>
        <w:pStyle w:val="Heading3"/>
        <w:keepNext w:val="0"/>
        <w:keepLines w:val="0"/>
        <w:spacing w:before="220" w:after="40" w:line="360" w:lineRule="auto"/>
        <w:rPr>
          <w:rFonts w:ascii="Times New Roman" w:eastAsia="Times New Roman" w:hAnsi="Times New Roman" w:cs="Times New Roman"/>
          <w:b/>
          <w:sz w:val="26"/>
          <w:szCs w:val="26"/>
        </w:rPr>
      </w:pPr>
      <w:bookmarkStart w:id="9" w:name="_q1zau1jjbjot" w:colFirst="0" w:colLast="0"/>
      <w:bookmarkEnd w:id="9"/>
      <w:r>
        <w:rPr>
          <w:rFonts w:ascii="Times New Roman" w:eastAsia="Times New Roman" w:hAnsi="Times New Roman" w:cs="Times New Roman"/>
          <w:b/>
          <w:sz w:val="26"/>
          <w:szCs w:val="26"/>
        </w:rPr>
        <w:t>Sharpe Ratio</w:t>
      </w:r>
    </w:p>
    <w:p w14:paraId="0FC6F52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formula for calculating Sharpe ratio:</w:t>
      </w:r>
    </w:p>
    <w:p w14:paraId="5EB8B4E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5CEC954" wp14:editId="690E4327">
            <wp:extent cx="2000250" cy="390525"/>
            <wp:effectExtent l="0" t="0" r="0" b="0"/>
            <wp:docPr id="2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2000250" cy="390525"/>
                    </a:xfrm>
                    <a:prstGeom prst="rect">
                      <a:avLst/>
                    </a:prstGeom>
                    <a:ln/>
                  </pic:spPr>
                </pic:pic>
              </a:graphicData>
            </a:graphic>
          </wp:inline>
        </w:drawing>
      </w:r>
    </w:p>
    <w:p w14:paraId="6F01284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p w14:paraId="1A724F1C" w14:textId="77777777" w:rsidR="0072684F" w:rsidRDefault="006F2538">
      <w:pPr>
        <w:numPr>
          <w:ilvl w:val="0"/>
          <w:numId w:val="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 is the average return of the investment.</w:t>
      </w:r>
    </w:p>
    <w:p w14:paraId="2E51A4A3" w14:textId="77777777" w:rsidR="0072684F" w:rsidRDefault="006F2538">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Rf is the risk-free rate.</w:t>
      </w:r>
    </w:p>
    <w:p w14:paraId="0D25D54A" w14:textId="77777777" w:rsidR="0072684F" w:rsidRDefault="006F2538">
      <w:pPr>
        <w:numPr>
          <w:ilvl w:val="0"/>
          <w:numId w:val="8"/>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σ is the standard </w:t>
      </w:r>
      <w:r>
        <w:rPr>
          <w:rFonts w:ascii="Times New Roman" w:eastAsia="Times New Roman" w:hAnsi="Times New Roman" w:cs="Times New Roman"/>
          <w:sz w:val="24"/>
          <w:szCs w:val="24"/>
        </w:rPr>
        <w:t>deviation of the investment's returns.</w:t>
      </w:r>
    </w:p>
    <w:p w14:paraId="7F7423B6" w14:textId="77777777" w:rsidR="0072684F" w:rsidRDefault="006F2538">
      <w:pPr>
        <w:pStyle w:val="Heading3"/>
        <w:keepNext w:val="0"/>
        <w:keepLines w:val="0"/>
        <w:spacing w:before="220" w:after="40" w:line="360" w:lineRule="auto"/>
        <w:rPr>
          <w:rFonts w:ascii="Times New Roman" w:eastAsia="Times New Roman" w:hAnsi="Times New Roman" w:cs="Times New Roman"/>
          <w:b/>
          <w:sz w:val="26"/>
          <w:szCs w:val="26"/>
        </w:rPr>
      </w:pPr>
      <w:bookmarkStart w:id="10" w:name="_98h1hucu6320" w:colFirst="0" w:colLast="0"/>
      <w:bookmarkEnd w:id="10"/>
      <w:r>
        <w:rPr>
          <w:rFonts w:ascii="Times New Roman" w:eastAsia="Times New Roman" w:hAnsi="Times New Roman" w:cs="Times New Roman"/>
          <w:b/>
          <w:sz w:val="26"/>
          <w:szCs w:val="26"/>
        </w:rPr>
        <w:t>Treynor Ratio</w:t>
      </w:r>
    </w:p>
    <w:p w14:paraId="258B074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formula for Treynor ratio:</w:t>
      </w:r>
    </w:p>
    <w:p w14:paraId="61A3534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330C60" wp14:editId="386EBD94">
            <wp:extent cx="1905000" cy="428625"/>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1905000" cy="428625"/>
                    </a:xfrm>
                    <a:prstGeom prst="rect">
                      <a:avLst/>
                    </a:prstGeom>
                    <a:ln/>
                  </pic:spPr>
                </pic:pic>
              </a:graphicData>
            </a:graphic>
          </wp:inline>
        </w:drawing>
      </w:r>
    </w:p>
    <w:p w14:paraId="51BDFFB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p w14:paraId="0107E92C" w14:textId="77777777" w:rsidR="0072684F" w:rsidRDefault="006F2538">
      <w:pPr>
        <w:numPr>
          <w:ilvl w:val="0"/>
          <w:numId w:val="16"/>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 is the average return on the investment.</w:t>
      </w:r>
    </w:p>
    <w:p w14:paraId="278900B9" w14:textId="77777777" w:rsidR="0072684F" w:rsidRDefault="006F2538">
      <w:pPr>
        <w:numPr>
          <w:ilvl w:val="0"/>
          <w:numId w:val="1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Rf is the risk-free rate.</w:t>
      </w:r>
    </w:p>
    <w:p w14:paraId="4DED747A" w14:textId="77777777" w:rsidR="0072684F" w:rsidRDefault="006F2538">
      <w:pPr>
        <w:numPr>
          <w:ilvl w:val="0"/>
          <w:numId w:val="16"/>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βa is the beta of the investment.</w:t>
      </w:r>
    </w:p>
    <w:p w14:paraId="299A454D"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analysis will cover 2022 and 2023. Let’s assume the </w:t>
      </w:r>
      <w:r>
        <w:rPr>
          <w:rFonts w:ascii="Times New Roman" w:eastAsia="Times New Roman" w:hAnsi="Times New Roman" w:cs="Times New Roman"/>
          <w:sz w:val="24"/>
          <w:szCs w:val="24"/>
        </w:rPr>
        <w:t>following data:</w:t>
      </w:r>
    </w:p>
    <w:p w14:paraId="1E61560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2022</w:t>
      </w:r>
      <w:r>
        <w:rPr>
          <w:rFonts w:ascii="Times New Roman" w:eastAsia="Times New Roman" w:hAnsi="Times New Roman" w:cs="Times New Roman"/>
          <w:sz w:val="24"/>
          <w:szCs w:val="24"/>
        </w:rPr>
        <w:t>: John Lewis share return = 10%, Risk-free rate (10-year UK government bond yield) = 2%, Standard deviation = 0.25, Beta = 1.2</w:t>
      </w:r>
    </w:p>
    <w:p w14:paraId="172DB664"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2023</w:t>
      </w:r>
      <w:r>
        <w:rPr>
          <w:rFonts w:ascii="Times New Roman" w:eastAsia="Times New Roman" w:hAnsi="Times New Roman" w:cs="Times New Roman"/>
          <w:sz w:val="24"/>
          <w:szCs w:val="24"/>
        </w:rPr>
        <w:t>: John Lewis share return = 15%, Risk-free rate = 2.5%, Standard deviation = 0.30, Beta = 1.1</w:t>
      </w:r>
    </w:p>
    <w:p w14:paraId="4FBAD320" w14:textId="77777777" w:rsidR="0072684F" w:rsidRDefault="006F2538">
      <w:pPr>
        <w:pStyle w:val="Heading3"/>
        <w:keepNext w:val="0"/>
        <w:keepLines w:val="0"/>
        <w:spacing w:before="220" w:after="40" w:line="360" w:lineRule="auto"/>
        <w:rPr>
          <w:rFonts w:ascii="Times New Roman" w:eastAsia="Times New Roman" w:hAnsi="Times New Roman" w:cs="Times New Roman"/>
          <w:b/>
          <w:sz w:val="26"/>
          <w:szCs w:val="26"/>
        </w:rPr>
      </w:pPr>
      <w:bookmarkStart w:id="11" w:name="_rz7b3kvd526u" w:colFirst="0" w:colLast="0"/>
      <w:bookmarkEnd w:id="11"/>
      <w:r>
        <w:rPr>
          <w:rFonts w:ascii="Times New Roman" w:eastAsia="Times New Roman" w:hAnsi="Times New Roman" w:cs="Times New Roman"/>
          <w:b/>
          <w:sz w:val="26"/>
          <w:szCs w:val="26"/>
        </w:rPr>
        <w:t>Calculations for 2022</w:t>
      </w:r>
    </w:p>
    <w:p w14:paraId="4D42405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Sharpe Ratio (2022)</w:t>
      </w:r>
      <w:r>
        <w:rPr>
          <w:rFonts w:ascii="Times New Roman" w:eastAsia="Times New Roman" w:hAnsi="Times New Roman" w:cs="Times New Roman"/>
          <w:sz w:val="24"/>
          <w:szCs w:val="24"/>
        </w:rPr>
        <w:t>:</w:t>
      </w:r>
    </w:p>
    <w:p w14:paraId="01AA97D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B6BB687" wp14:editId="3E4611C4">
            <wp:extent cx="2552700" cy="28575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2552700" cy="285750"/>
                    </a:xfrm>
                    <a:prstGeom prst="rect">
                      <a:avLst/>
                    </a:prstGeom>
                    <a:ln/>
                  </pic:spPr>
                </pic:pic>
              </a:graphicData>
            </a:graphic>
          </wp:inline>
        </w:drawing>
      </w:r>
    </w:p>
    <w:p w14:paraId="08906F0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Treynor Ratio (2022)</w:t>
      </w:r>
      <w:r>
        <w:rPr>
          <w:rFonts w:ascii="Times New Roman" w:eastAsia="Times New Roman" w:hAnsi="Times New Roman" w:cs="Times New Roman"/>
          <w:sz w:val="24"/>
          <w:szCs w:val="24"/>
        </w:rPr>
        <w:t>:</w:t>
      </w:r>
    </w:p>
    <w:p w14:paraId="27FFF11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2452F0" wp14:editId="098E86A6">
            <wp:extent cx="2743200" cy="285750"/>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2743200" cy="285750"/>
                    </a:xfrm>
                    <a:prstGeom prst="rect">
                      <a:avLst/>
                    </a:prstGeom>
                    <a:ln/>
                  </pic:spPr>
                </pic:pic>
              </a:graphicData>
            </a:graphic>
          </wp:inline>
        </w:drawing>
      </w:r>
    </w:p>
    <w:p w14:paraId="20D06A12" w14:textId="77777777" w:rsidR="0072684F" w:rsidRDefault="006F2538">
      <w:pPr>
        <w:pStyle w:val="Heading3"/>
        <w:spacing w:before="240" w:after="240" w:line="360" w:lineRule="auto"/>
        <w:rPr>
          <w:rFonts w:ascii="Times New Roman" w:eastAsia="Times New Roman" w:hAnsi="Times New Roman" w:cs="Times New Roman"/>
          <w:b/>
          <w:sz w:val="26"/>
          <w:szCs w:val="26"/>
        </w:rPr>
      </w:pPr>
      <w:bookmarkStart w:id="12" w:name="_5fokk3545m44" w:colFirst="0" w:colLast="0"/>
      <w:bookmarkEnd w:id="12"/>
      <w:r>
        <w:rPr>
          <w:rFonts w:ascii="Times New Roman" w:eastAsia="Times New Roman" w:hAnsi="Times New Roman" w:cs="Times New Roman"/>
          <w:b/>
          <w:sz w:val="26"/>
          <w:szCs w:val="26"/>
        </w:rPr>
        <w:t>Calculations for 2023</w:t>
      </w:r>
    </w:p>
    <w:p w14:paraId="7681E8A6" w14:textId="77777777"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Sharpe Ratio (2023)</w:t>
      </w:r>
      <w:r>
        <w:rPr>
          <w:rFonts w:ascii="Times New Roman" w:eastAsia="Times New Roman" w:hAnsi="Times New Roman" w:cs="Times New Roman"/>
          <w:sz w:val="24"/>
          <w:szCs w:val="24"/>
        </w:rPr>
        <w:t>:</w:t>
      </w:r>
    </w:p>
    <w:p w14:paraId="70C72206" w14:textId="77777777"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BD05064" wp14:editId="41A8EE1C">
            <wp:extent cx="2695575" cy="257175"/>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2695575" cy="257175"/>
                    </a:xfrm>
                    <a:prstGeom prst="rect">
                      <a:avLst/>
                    </a:prstGeom>
                    <a:ln/>
                  </pic:spPr>
                </pic:pic>
              </a:graphicData>
            </a:graphic>
          </wp:inline>
        </w:drawing>
      </w:r>
    </w:p>
    <w:p w14:paraId="22713033" w14:textId="77777777"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Treynor Ratio (2023)</w:t>
      </w:r>
      <w:r>
        <w:rPr>
          <w:rFonts w:ascii="Times New Roman" w:eastAsia="Times New Roman" w:hAnsi="Times New Roman" w:cs="Times New Roman"/>
          <w:sz w:val="24"/>
          <w:szCs w:val="24"/>
        </w:rPr>
        <w:t>:</w:t>
      </w:r>
    </w:p>
    <w:p w14:paraId="6B52DD48" w14:textId="77777777" w:rsidR="0072684F" w:rsidRDefault="006F2538">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C38397" wp14:editId="4F9BDC0C">
            <wp:extent cx="2790825" cy="285750"/>
            <wp:effectExtent l="0" t="0" r="0" b="0"/>
            <wp:docPr id="2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2790825" cy="285750"/>
                    </a:xfrm>
                    <a:prstGeom prst="rect">
                      <a:avLst/>
                    </a:prstGeom>
                    <a:ln/>
                  </pic:spPr>
                </pic:pic>
              </a:graphicData>
            </a:graphic>
          </wp:inline>
        </w:drawing>
      </w:r>
    </w:p>
    <w:p w14:paraId="64FFFB4E" w14:textId="77777777" w:rsidR="0072684F" w:rsidRDefault="006F2538">
      <w:pPr>
        <w:pStyle w:val="Heading3"/>
        <w:keepNext w:val="0"/>
        <w:keepLines w:val="0"/>
        <w:spacing w:before="240" w:after="40" w:line="360" w:lineRule="auto"/>
        <w:rPr>
          <w:rFonts w:ascii="Times New Roman" w:eastAsia="Times New Roman" w:hAnsi="Times New Roman" w:cs="Times New Roman"/>
          <w:b/>
          <w:sz w:val="26"/>
          <w:szCs w:val="26"/>
        </w:rPr>
      </w:pPr>
      <w:bookmarkStart w:id="13" w:name="_aqt5kbfxrpn2" w:colFirst="0" w:colLast="0"/>
      <w:bookmarkEnd w:id="13"/>
      <w:r>
        <w:rPr>
          <w:rFonts w:ascii="Times New Roman" w:eastAsia="Times New Roman" w:hAnsi="Times New Roman" w:cs="Times New Roman"/>
          <w:b/>
          <w:sz w:val="26"/>
          <w:szCs w:val="26"/>
        </w:rPr>
        <w:t>Commentary on John Lewis’s Performance Based on These Ratios</w:t>
      </w:r>
    </w:p>
    <w:p w14:paraId="4B58CBC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2022 and 2023 Sharpe and Treynor ratios for John Lewis show </w:t>
      </w:r>
      <w:r>
        <w:rPr>
          <w:rFonts w:ascii="Times New Roman" w:eastAsia="Times New Roman" w:hAnsi="Times New Roman" w:cs="Times New Roman"/>
          <w:sz w:val="24"/>
          <w:szCs w:val="24"/>
        </w:rPr>
        <w:t>the risk-adjusted efficiency of its shares.</w:t>
      </w:r>
    </w:p>
    <w:p w14:paraId="288DA4F3"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Sharpe Ratio Analysis</w:t>
      </w:r>
    </w:p>
    <w:p w14:paraId="5CFDBF1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Sharpe ratio of 0.32 in 2022 meant John Lewis received 0.32 units of excess return per unit of risk. Sharpe ratio rose to 0.417 in 2023, indicating better performance than risk assumed. The higher Sharpe ratio in 2023 means John Lewis provided superior risk-adjusted returns than in 2022, making it a better investment.</w:t>
      </w:r>
    </w:p>
    <w:p w14:paraId="0D98B3C5"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Treynor Ratio Analysis</w:t>
      </w:r>
    </w:p>
    <w:p w14:paraId="36353AF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 Lewis' Treynor ratio rose from 0.067 in 2022 to 0.114 in 2023. John Lewis' returns per unit of systematic risk increased in 2023 compared to 2022. The greater Treynor ratio in 2023 implies John Lewis managed market risks well and achieved beta-beating gains.</w:t>
      </w:r>
    </w:p>
    <w:p w14:paraId="33234077"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Overall Performance Commentary</w:t>
      </w:r>
    </w:p>
    <w:p w14:paraId="6A6CD3F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period between the years 2022 and 2023, John Lewis was able to achieve a higher level of operational performance, as evidenced by the ratios Sharpe and Treynor. Both ratios are enhanced as a result of the enhancement, which does not necessarily reflect an increase in earnings but rather implies an improvement in risk management. In the year 2023, both the Sharpe and Treynor ratios started to demonstrate an upward trend, which is a sign of enhanced risk-return diversification and portfolio performance</w:t>
      </w:r>
      <w:r>
        <w:rPr>
          <w:rFonts w:ascii="Times New Roman" w:eastAsia="Times New Roman" w:hAnsi="Times New Roman" w:cs="Times New Roman"/>
          <w:sz w:val="24"/>
          <w:szCs w:val="24"/>
        </w:rPr>
        <w:t xml:space="preserve"> that is superior to market risk.</w:t>
      </w:r>
    </w:p>
    <w:p w14:paraId="6C0BC60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 Lewis's success in 2023 may have been influenced by the strategic plans of the company, the existing status of the market, and the internal atmosphere of the organisation. There is a potential that these factors all played a role. The effectiveness of management and the optimism of investors regarding the portfolio of the company are both indicated by a higher risk-adjusted return, which is a measure of potential returns. The results of this analysis highlight the attractiveness of John Lewis as an inv</w:t>
      </w:r>
      <w:r>
        <w:rPr>
          <w:rFonts w:ascii="Times New Roman" w:eastAsia="Times New Roman" w:hAnsi="Times New Roman" w:cs="Times New Roman"/>
          <w:sz w:val="24"/>
          <w:szCs w:val="24"/>
        </w:rPr>
        <w:t>estment opportunity, particularly with regard to the complete and systematic risk control that the company provides.</w:t>
      </w:r>
    </w:p>
    <w:p w14:paraId="1AB8CF97"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14" w:name="_ktet72ujrfxt" w:colFirst="0" w:colLast="0"/>
      <w:bookmarkEnd w:id="14"/>
      <w:r>
        <w:rPr>
          <w:rFonts w:ascii="Times New Roman" w:eastAsia="Times New Roman" w:hAnsi="Times New Roman" w:cs="Times New Roman"/>
          <w:b/>
          <w:sz w:val="32"/>
          <w:szCs w:val="32"/>
        </w:rPr>
        <w:t>4. Derivative Contracts Analysis</w:t>
      </w:r>
    </w:p>
    <w:p w14:paraId="3F008DA0"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Derivatives are financial instruments whose value is derived from the value of an underlying asset, index, or rate. Common types of derivatives include futures, options, swaps, and forwards. These instruments are used for various purposes, including hedging risk, speculation, and arbitrage. In the context of this analysis, we focus on options, which are contracts that give the holder the right, but not the obligation, to buy or sell an asset at a predetermined price within a specified time frame.</w:t>
      </w:r>
    </w:p>
    <w:p w14:paraId="13460EB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Options are significant because they offer investors flexibility and leverage. There are two primary types of options: call options and put options. A call option gives the holder the right to buy an asset at a specified price (strike price) within a certain period, while a put option gives the holder the right to sell an asset at a specified price within a certain period (Backwell, 2023). These options are traded on exchanges and can be used to manage portfolio risk, enhance returns, or take advantage of m</w:t>
      </w:r>
      <w:r>
        <w:rPr>
          <w:rFonts w:ascii="Times New Roman" w:eastAsia="Times New Roman" w:hAnsi="Times New Roman" w:cs="Times New Roman"/>
          <w:sz w:val="24"/>
          <w:szCs w:val="24"/>
        </w:rPr>
        <w:t>arket opportunities.</w:t>
      </w:r>
    </w:p>
    <w:p w14:paraId="01AE4E6F"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15" w:name="_hbrk8uxch09r" w:colFirst="0" w:colLast="0"/>
      <w:bookmarkEnd w:id="15"/>
      <w:r>
        <w:rPr>
          <w:rFonts w:ascii="Times New Roman" w:eastAsia="Times New Roman" w:hAnsi="Times New Roman" w:cs="Times New Roman"/>
          <w:b/>
          <w:sz w:val="28"/>
          <w:szCs w:val="28"/>
        </w:rPr>
        <w:t>4.1 Call Option Payoff Analysis</w:t>
      </w:r>
    </w:p>
    <w:p w14:paraId="1703994C"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call option's payoff depends on the price of the underlying asset at expiration. For an at-the-money call option, the strike price is equal to the current price of the underlying asset. Let’s consider a call option on John Lewis's shares with a strike price of £3.10 (the current share price in 2023) and a premium of £0.20.</w:t>
      </w:r>
    </w:p>
    <w:p w14:paraId="001CA91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payoff for the call option can be represented graphically as follows:</w:t>
      </w:r>
    </w:p>
    <w:p w14:paraId="668FB5D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95587EF" wp14:editId="514CB1EB">
            <wp:extent cx="2838450" cy="828675"/>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2838450" cy="828675"/>
                    </a:xfrm>
                    <a:prstGeom prst="rect">
                      <a:avLst/>
                    </a:prstGeom>
                    <a:ln/>
                  </pic:spPr>
                </pic:pic>
              </a:graphicData>
            </a:graphic>
          </wp:inline>
        </w:drawing>
      </w:r>
    </w:p>
    <w:p w14:paraId="323FD4D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p w14:paraId="55D44ABD" w14:textId="77777777" w:rsidR="0072684F" w:rsidRDefault="006F2538">
      <w:pPr>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 is the share price at expiration.</w:t>
      </w:r>
    </w:p>
    <w:p w14:paraId="4C441551" w14:textId="77777777" w:rsidR="0072684F" w:rsidRDefault="006F2538">
      <w:pPr>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 is the strike price (£3.10).</w:t>
      </w:r>
    </w:p>
    <w:p w14:paraId="6AF2AA67"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w:t>
      </w:r>
    </w:p>
    <w:p w14:paraId="7A80136C" w14:textId="77777777" w:rsidR="0072684F" w:rsidRDefault="006F2538">
      <w:pPr>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share price at expiration is £3.00, the payoff is £0 (since the option is </w:t>
      </w:r>
      <w:r>
        <w:rPr>
          <w:rFonts w:ascii="Times New Roman" w:eastAsia="Times New Roman" w:hAnsi="Times New Roman" w:cs="Times New Roman"/>
          <w:sz w:val="24"/>
          <w:szCs w:val="24"/>
        </w:rPr>
        <w:t>not exercised).</w:t>
      </w:r>
    </w:p>
    <w:p w14:paraId="1E76068E" w14:textId="77777777" w:rsidR="0072684F" w:rsidRDefault="006F2538">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share price at expiration is £3.50, the payoff is £3.50 - £3.10 = £0.40.</w:t>
      </w:r>
    </w:p>
    <w:p w14:paraId="30E633DA"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65252E6" wp14:editId="1F4302D2">
            <wp:extent cx="4207719" cy="2526469"/>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9"/>
                    <a:srcRect/>
                    <a:stretch>
                      <a:fillRect/>
                    </a:stretch>
                  </pic:blipFill>
                  <pic:spPr>
                    <a:xfrm>
                      <a:off x="0" y="0"/>
                      <a:ext cx="4207719" cy="2526469"/>
                    </a:xfrm>
                    <a:prstGeom prst="rect">
                      <a:avLst/>
                    </a:prstGeom>
                    <a:ln/>
                  </pic:spPr>
                </pic:pic>
              </a:graphicData>
            </a:graphic>
          </wp:inline>
        </w:drawing>
      </w:r>
    </w:p>
    <w:p w14:paraId="0A6009DD"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Call Option Payoff Diagram</w:t>
      </w:r>
    </w:p>
    <w:p w14:paraId="21672AB2"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graph shows the payoff of an at-the-money call option at different share prices at expiration. The x-axis represents the share price at expiration, while the y-axis represents the payoff of the call option. The payoff is zero when the share price is below the strike price (£3.10), as the option is not exercised. Once the share price exceeds the strike price, the payoff increases linearly, reflecting the intrinsic value of the option minus the premium paid.</w:t>
      </w:r>
    </w:p>
    <w:p w14:paraId="0DDDA61D"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16" w:name="_95zy7ho0k965" w:colFirst="0" w:colLast="0"/>
      <w:bookmarkEnd w:id="16"/>
      <w:r>
        <w:rPr>
          <w:rFonts w:ascii="Times New Roman" w:eastAsia="Times New Roman" w:hAnsi="Times New Roman" w:cs="Times New Roman"/>
          <w:b/>
          <w:sz w:val="28"/>
          <w:szCs w:val="28"/>
        </w:rPr>
        <w:t>4.2 Put Option Payoff Analysis</w:t>
      </w:r>
    </w:p>
    <w:p w14:paraId="0B3A69E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put option's payoff also depends on the price of the underlying asset at expiration. For an at-the-money put option, the strike price is equal to the current price of the underlying asset. Consider a put option on John Lewis's shares with a strike price of £3.10 and a premium of £0.20.</w:t>
      </w:r>
    </w:p>
    <w:p w14:paraId="5AFD5B5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payoff for the put option can be represented graphically as follows:</w:t>
      </w:r>
    </w:p>
    <w:p w14:paraId="44A6210D"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8CFEDC8" wp14:editId="0BE1F40A">
            <wp:extent cx="2505075" cy="752475"/>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2505075" cy="752475"/>
                    </a:xfrm>
                    <a:prstGeom prst="rect">
                      <a:avLst/>
                    </a:prstGeom>
                    <a:ln/>
                  </pic:spPr>
                </pic:pic>
              </a:graphicData>
            </a:graphic>
          </wp:inline>
        </w:drawing>
      </w:r>
    </w:p>
    <w:p w14:paraId="344EC0A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w:t>
      </w:r>
    </w:p>
    <w:p w14:paraId="4C415A60" w14:textId="77777777" w:rsidR="0072684F" w:rsidRDefault="006F2538">
      <w:pPr>
        <w:numPr>
          <w:ilvl w:val="0"/>
          <w:numId w:val="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share price at expiration is £2.80, the payoff is £3.10 - £2.80 = £0.30.</w:t>
      </w:r>
    </w:p>
    <w:p w14:paraId="0234E5F4" w14:textId="77777777" w:rsidR="0072684F" w:rsidRDefault="006F2538">
      <w:pPr>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share price at expiration is £3.50, the payoff is £0 (since the option is not exercised).</w:t>
      </w:r>
    </w:p>
    <w:p w14:paraId="4266634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65BEA10" wp14:editId="3F2F5E20">
            <wp:extent cx="4833938" cy="2951491"/>
            <wp:effectExtent l="0" t="0" r="0" b="0"/>
            <wp:docPr id="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4833938" cy="2951491"/>
                    </a:xfrm>
                    <a:prstGeom prst="rect">
                      <a:avLst/>
                    </a:prstGeom>
                    <a:ln/>
                  </pic:spPr>
                </pic:pic>
              </a:graphicData>
            </a:graphic>
          </wp:inline>
        </w:drawing>
      </w:r>
    </w:p>
    <w:p w14:paraId="6CFBB05A"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Put Option Payoff Diagram</w:t>
      </w:r>
    </w:p>
    <w:p w14:paraId="0EA94C7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shows the payoff of an at-the-money put </w:t>
      </w:r>
      <w:r>
        <w:rPr>
          <w:rFonts w:ascii="Times New Roman" w:eastAsia="Times New Roman" w:hAnsi="Times New Roman" w:cs="Times New Roman"/>
          <w:sz w:val="24"/>
          <w:szCs w:val="24"/>
        </w:rPr>
        <w:t>option at different share prices at expiration. The x-axis represents the share price at expiration, while the y-axis represents the payoff of the put option. The payoff is zero when the share price is above the strike price (£3.10), as the option is not exercised. When the share price falls below the strike price, the payoff increases linearly, reflecting the intrinsic value of the option minus the premium paid.</w:t>
      </w:r>
    </w:p>
    <w:p w14:paraId="0FE6DD61"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17" w:name="_j08vwn182jl3" w:colFirst="0" w:colLast="0"/>
      <w:bookmarkEnd w:id="17"/>
      <w:r>
        <w:rPr>
          <w:rFonts w:ascii="Times New Roman" w:eastAsia="Times New Roman" w:hAnsi="Times New Roman" w:cs="Times New Roman"/>
          <w:b/>
          <w:sz w:val="28"/>
          <w:szCs w:val="28"/>
        </w:rPr>
        <w:t>4.3 Strangle/Straddle Construction</w:t>
      </w:r>
    </w:p>
    <w:p w14:paraId="26C7808C" w14:textId="55BEF37D" w:rsidR="0072684F" w:rsidRDefault="004F7D2F">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Strangle and straddle are options strategies that involve buying both call and putting options on the same underlying asset with the same expiration date (Alam, 2022).</w:t>
      </w:r>
    </w:p>
    <w:p w14:paraId="4E9B381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straddle</w:t>
      </w:r>
      <w:r>
        <w:rPr>
          <w:rFonts w:ascii="Times New Roman" w:eastAsia="Times New Roman" w:hAnsi="Times New Roman" w:cs="Times New Roman"/>
          <w:sz w:val="24"/>
          <w:szCs w:val="24"/>
        </w:rPr>
        <w:t xml:space="preserve"> involves buying an at-the-money call option and an at-the-money put option. This strategy profits from significant price movements in either direction. The initial cost is higher due to both premiums being paid, but it offers high potential returns if the underlying asset moves significantly.</w:t>
      </w:r>
    </w:p>
    <w:p w14:paraId="33C31A1A" w14:textId="75C9805F"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strangle</w:t>
      </w:r>
      <w:r>
        <w:rPr>
          <w:rFonts w:ascii="Times New Roman" w:eastAsia="Times New Roman" w:hAnsi="Times New Roman" w:cs="Times New Roman"/>
          <w:sz w:val="24"/>
          <w:szCs w:val="24"/>
        </w:rPr>
        <w:t xml:space="preserve"> involves buying an out-of-the-money call option and an out-of-the-money put option. This strategy is cheaper than a straddle because the premiums for out-of-the-money options are lower. </w:t>
      </w:r>
      <w:r w:rsidR="004F7D2F">
        <w:rPr>
          <w:rFonts w:ascii="Times New Roman" w:eastAsia="Times New Roman" w:hAnsi="Times New Roman" w:cs="Times New Roman"/>
          <w:sz w:val="24"/>
          <w:szCs w:val="24"/>
        </w:rPr>
        <w:t>It is</w:t>
      </w:r>
      <w:r>
        <w:rPr>
          <w:rFonts w:ascii="Times New Roman" w:eastAsia="Times New Roman" w:hAnsi="Times New Roman" w:cs="Times New Roman"/>
          <w:sz w:val="24"/>
          <w:szCs w:val="24"/>
        </w:rPr>
        <w:t xml:space="preserve"> more sensitive to prices; it earns profits when there is a more significant change in prices.</w:t>
      </w:r>
    </w:p>
    <w:p w14:paraId="5ECD322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a straddle for John Lewis with a share price of £3.10 requires buying a call option and a put option with the same strike price. The total premium might be £0.40 (£0.20 per option).</w:t>
      </w:r>
    </w:p>
    <w:p w14:paraId="010B0DA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straddle strategy pay-off can be explained graphically:</w:t>
      </w:r>
    </w:p>
    <w:p w14:paraId="20171AE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73AC446" wp14:editId="44887251">
            <wp:extent cx="4795838" cy="2920542"/>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a:stretch>
                      <a:fillRect/>
                    </a:stretch>
                  </pic:blipFill>
                  <pic:spPr>
                    <a:xfrm>
                      <a:off x="0" y="0"/>
                      <a:ext cx="4795838" cy="2920542"/>
                    </a:xfrm>
                    <a:prstGeom prst="rect">
                      <a:avLst/>
                    </a:prstGeom>
                    <a:ln/>
                  </pic:spPr>
                </pic:pic>
              </a:graphicData>
            </a:graphic>
          </wp:inline>
        </w:drawing>
      </w:r>
    </w:p>
    <w:p w14:paraId="316EFC7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Straddle Strategy Payoff Diagram</w:t>
      </w:r>
    </w:p>
    <w:p w14:paraId="09D80E3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w:t>
      </w:r>
      <w:r>
        <w:rPr>
          <w:rFonts w:ascii="Times New Roman" w:eastAsia="Times New Roman" w:hAnsi="Times New Roman" w:cs="Times New Roman"/>
          <w:sz w:val="24"/>
          <w:szCs w:val="24"/>
        </w:rPr>
        <w:t>shows that the straddle approach will earn greatly if the share price moves far from the strike price in one way, taking advantage of the underlying asset's volatility.</w:t>
      </w:r>
    </w:p>
    <w:p w14:paraId="40A6909D"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18" w:name="_sqh692fjea39" w:colFirst="0" w:colLast="0"/>
      <w:bookmarkEnd w:id="18"/>
      <w:r>
        <w:rPr>
          <w:rFonts w:ascii="Times New Roman" w:eastAsia="Times New Roman" w:hAnsi="Times New Roman" w:cs="Times New Roman"/>
          <w:b/>
          <w:sz w:val="32"/>
          <w:szCs w:val="32"/>
        </w:rPr>
        <w:t>5. Performance of 10Y Note and its Impact</w:t>
      </w:r>
    </w:p>
    <w:p w14:paraId="5106A872"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19" w:name="_icldq6qmst8" w:colFirst="0" w:colLast="0"/>
      <w:bookmarkEnd w:id="19"/>
      <w:r>
        <w:rPr>
          <w:rFonts w:ascii="Times New Roman" w:eastAsia="Times New Roman" w:hAnsi="Times New Roman" w:cs="Times New Roman"/>
          <w:b/>
          <w:sz w:val="28"/>
          <w:szCs w:val="28"/>
        </w:rPr>
        <w:t xml:space="preserve">5.1 Performance of the 10Y Note </w:t>
      </w:r>
    </w:p>
    <w:p w14:paraId="0778F1A3"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10-year Treasury note (10Y note) is a U.S. government debt obligation with a 10-year maturity. It's a key benchmark for mortgage and lending rates. Investor sentiment, inflation expectations, and economic outlook can be gleaned from 10Y note performance.</w:t>
      </w:r>
    </w:p>
    <w:p w14:paraId="45DAB3FC" w14:textId="77777777" w:rsidR="0072684F" w:rsidRDefault="006F2538">
      <w:pPr>
        <w:pStyle w:val="Heading3"/>
        <w:keepNext w:val="0"/>
        <w:keepLines w:val="0"/>
        <w:spacing w:before="220" w:after="40" w:line="360" w:lineRule="auto"/>
        <w:rPr>
          <w:rFonts w:ascii="Times New Roman" w:eastAsia="Times New Roman" w:hAnsi="Times New Roman" w:cs="Times New Roman"/>
          <w:b/>
          <w:sz w:val="26"/>
          <w:szCs w:val="26"/>
        </w:rPr>
      </w:pPr>
      <w:bookmarkStart w:id="20" w:name="_71jm7hc0pmq9" w:colFirst="0" w:colLast="0"/>
      <w:bookmarkEnd w:id="20"/>
      <w:r>
        <w:rPr>
          <w:rFonts w:ascii="Times New Roman" w:eastAsia="Times New Roman" w:hAnsi="Times New Roman" w:cs="Times New Roman"/>
          <w:b/>
          <w:sz w:val="26"/>
          <w:szCs w:val="26"/>
        </w:rPr>
        <w:t>Analysis</w:t>
      </w:r>
      <w:r>
        <w:rPr>
          <w:rFonts w:ascii="Times New Roman" w:eastAsia="Times New Roman" w:hAnsi="Times New Roman" w:cs="Times New Roman"/>
          <w:b/>
          <w:sz w:val="26"/>
          <w:szCs w:val="26"/>
        </w:rPr>
        <w:t xml:space="preserve"> of the Performance from January 2023 to December 2023</w:t>
      </w:r>
    </w:p>
    <w:p w14:paraId="7237A61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statistics, Federal Reserve policy, and global financial events affect the 10Y note's yield. From January to December 2023, the 10Y note yield fluctuated with macroeconomic conditions.</w:t>
      </w:r>
    </w:p>
    <w:p w14:paraId="5BEC58A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January to March 2023</w:t>
      </w:r>
      <w:r>
        <w:rPr>
          <w:rFonts w:ascii="Times New Roman" w:eastAsia="Times New Roman" w:hAnsi="Times New Roman" w:cs="Times New Roman"/>
          <w:sz w:val="24"/>
          <w:szCs w:val="24"/>
        </w:rPr>
        <w:t>: Yields averaged 3.5%. This stability was attributed to sluggish economic growth and the Fed's cautious interest rate approach. However, inflation remained an issue.</w:t>
      </w:r>
    </w:p>
    <w:p w14:paraId="1512392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April to June 2023</w:t>
      </w:r>
      <w:r>
        <w:rPr>
          <w:rFonts w:ascii="Times New Roman" w:eastAsia="Times New Roman" w:hAnsi="Times New Roman" w:cs="Times New Roman"/>
          <w:sz w:val="24"/>
          <w:szCs w:val="24"/>
        </w:rPr>
        <w:t>: Yields rose to 4.0% by June. Economic indicators, especially job growth and consumer expenditure, exceeded estimates, raising anticipation of additional Federal Reserve monetary tightening.</w:t>
      </w:r>
    </w:p>
    <w:p w14:paraId="7727DE11"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July to September 2023</w:t>
      </w:r>
      <w:r>
        <w:rPr>
          <w:rFonts w:ascii="Times New Roman" w:eastAsia="Times New Roman" w:hAnsi="Times New Roman" w:cs="Times New Roman"/>
          <w:sz w:val="24"/>
          <w:szCs w:val="24"/>
        </w:rPr>
        <w:t>: The 10Y note yield peaked at 4.5% in summer. Higher yields resulted from the Fed's aggressive rate hikes to combat inflation. The 10Y note yield fluctuated due to geopolitical concerns and global market instability driving demand for safe-haven assets (Barrow, 2024).</w:t>
      </w:r>
    </w:p>
    <w:p w14:paraId="4F7F1BE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October to December 2023</w:t>
      </w:r>
      <w:r>
        <w:rPr>
          <w:rFonts w:ascii="Times New Roman" w:eastAsia="Times New Roman" w:hAnsi="Times New Roman" w:cs="Times New Roman"/>
          <w:sz w:val="24"/>
          <w:szCs w:val="24"/>
        </w:rPr>
        <w:t>: As inflation eased and the Federal Reserve announced a rate hike halt, the 10Y note yield fell to 4.0%. As economic uncertainty subsided, yields stabilised.</w:t>
      </w:r>
    </w:p>
    <w:p w14:paraId="5A5E2BC8"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9672CE" wp14:editId="43BF1975">
            <wp:extent cx="4323316" cy="2681288"/>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3"/>
                    <a:srcRect/>
                    <a:stretch>
                      <a:fillRect/>
                    </a:stretch>
                  </pic:blipFill>
                  <pic:spPr>
                    <a:xfrm>
                      <a:off x="0" y="0"/>
                      <a:ext cx="4323316" cy="2681288"/>
                    </a:xfrm>
                    <a:prstGeom prst="rect">
                      <a:avLst/>
                    </a:prstGeom>
                    <a:ln/>
                  </pic:spPr>
                </pic:pic>
              </a:graphicData>
            </a:graphic>
          </wp:inline>
        </w:drawing>
      </w:r>
    </w:p>
    <w:p w14:paraId="69C280B4"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graph shows the 10Y note yield curve from January to December 2023, showing how economic conditions and Federal Reserve decisions affect it.</w:t>
      </w:r>
    </w:p>
    <w:p w14:paraId="65D06C8E"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21" w:name="_iqew3zjx7obl" w:colFirst="0" w:colLast="0"/>
      <w:bookmarkEnd w:id="21"/>
      <w:r>
        <w:rPr>
          <w:rFonts w:ascii="Times New Roman" w:eastAsia="Times New Roman" w:hAnsi="Times New Roman" w:cs="Times New Roman"/>
          <w:b/>
          <w:sz w:val="28"/>
          <w:szCs w:val="28"/>
        </w:rPr>
        <w:t xml:space="preserve">5.2 Impact on Consumer Debt </w:t>
      </w:r>
    </w:p>
    <w:p w14:paraId="07E1646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10Y note is important in consumer credit since interest rates determine consumer borrowing costs. Mortgage, auto, and personal credit are affected by the 10Y note yield.</w:t>
      </w:r>
    </w:p>
    <w:p w14:paraId="6CD5443D"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Mortgage Rates</w:t>
      </w:r>
    </w:p>
    <w:p w14:paraId="4CA7D84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Mortgage interest rates are highly sensitive since they are directly influenced by changes in the yield on the 10-year note. Mortgages and other loans with set interest rates are referred to as the 10-year note. Mortgage rates go up whenever there is an increase in the yield on the 10-year note. As the yield on the 10-year note increased throughout the summer of 2023, the costs of house financing skyrocketed, putting pressure on customers. As the cost of borrowing money continues to rise, an increasing numb</w:t>
      </w:r>
      <w:r>
        <w:rPr>
          <w:rFonts w:ascii="Times New Roman" w:eastAsia="Times New Roman" w:hAnsi="Times New Roman" w:cs="Times New Roman"/>
          <w:sz w:val="24"/>
          <w:szCs w:val="24"/>
        </w:rPr>
        <w:t>er of customers will be dissuaded from purchasing homes (Weetman et al., 2020).</w:t>
      </w:r>
    </w:p>
    <w:p w14:paraId="5E2159BC"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Auto Loans and Personal Loans</w:t>
      </w:r>
    </w:p>
    <w:p w14:paraId="407C6CB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changes in the yield on the 10-year note also have an effect on the rates of auto and personal loans. These loans have higher interest rates and consumer costs due to higher yields. According to McLaney and Harvey (2023), this may result in fewer consumers requesting credit and purchasing automobiles.</w:t>
      </w:r>
    </w:p>
    <w:p w14:paraId="0064A100"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Household Debt Levels</w:t>
      </w:r>
    </w:p>
    <w:p w14:paraId="2F8126A9"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Because households are cautious borrowers, higher borrowing rates result in a reduction in the amount of money they borrow. 2023 saw an increase in the yield on the 10-year note, which most likely slowed the expansion of mortgages as well as personal loans and auto loans. It is possible that customers have postponed making large purchases or discovered alternative means to raise funds.</w:t>
      </w:r>
    </w:p>
    <w:p w14:paraId="08B4FAF0" w14:textId="77777777" w:rsidR="0072684F" w:rsidRDefault="006F2538">
      <w:pPr>
        <w:spacing w:before="220" w:after="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 Indicators and Data</w:t>
      </w:r>
    </w:p>
    <w:p w14:paraId="220B8D60"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variables that help explain how 10Y note yield movements affect consumer debt include the following:</w:t>
      </w:r>
    </w:p>
    <w:p w14:paraId="303B5A97" w14:textId="77777777" w:rsidR="0072684F" w:rsidRDefault="006F2538">
      <w:pPr>
        <w:numPr>
          <w:ilvl w:val="0"/>
          <w:numId w:val="1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on Mortgage Origination The</w:t>
      </w:r>
      <w:r>
        <w:rPr>
          <w:rFonts w:ascii="Times New Roman" w:eastAsia="Times New Roman" w:hAnsi="Times New Roman" w:cs="Times New Roman"/>
          <w:sz w:val="24"/>
          <w:szCs w:val="24"/>
        </w:rPr>
        <w:t xml:space="preserve"> Mortgage Bankers Association discovered that the number of mortgage applications was significantly lower than the average, while yields were significantly higher. The cost of owning a home is thought to include the payment of a mortgage.</w:t>
      </w:r>
    </w:p>
    <w:p w14:paraId="700F2DF7" w14:textId="77777777" w:rsidR="0072684F" w:rsidRDefault="006F2538">
      <w:pPr>
        <w:numPr>
          <w:ilvl w:val="0"/>
          <w:numId w:val="1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reports on consumer credit, the Federal Reserve discovered that consumer credit expanded less in months with high yields, which indicates that consumers are borrowing more conservatively.</w:t>
      </w:r>
    </w:p>
    <w:p w14:paraId="11635824" w14:textId="77786B8F" w:rsidR="0072684F" w:rsidRDefault="006F2538">
      <w:pPr>
        <w:numPr>
          <w:ilvl w:val="0"/>
          <w:numId w:val="1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Housing Market Data: The National Association of Realtors recorded a dip in house resales when yields on 10-year notes reached their highest point in the middle of 2023. This suggests that higher prices </w:t>
      </w:r>
      <w:r w:rsidR="004F7D2F">
        <w:rPr>
          <w:rFonts w:ascii="Times New Roman" w:eastAsia="Times New Roman" w:hAnsi="Times New Roman" w:cs="Times New Roman"/>
          <w:sz w:val="24"/>
          <w:szCs w:val="24"/>
        </w:rPr>
        <w:t>discourage</w:t>
      </w:r>
      <w:r>
        <w:rPr>
          <w:rFonts w:ascii="Times New Roman" w:eastAsia="Times New Roman" w:hAnsi="Times New Roman" w:cs="Times New Roman"/>
          <w:sz w:val="24"/>
          <w:szCs w:val="24"/>
        </w:rPr>
        <w:t xml:space="preserve"> purchasers from purchasing homes.</w:t>
      </w:r>
    </w:p>
    <w:p w14:paraId="2B3916D9" w14:textId="77777777" w:rsidR="0072684F" w:rsidRDefault="0072684F">
      <w:pPr>
        <w:spacing w:before="240" w:after="240" w:line="360" w:lineRule="auto"/>
        <w:ind w:left="720"/>
        <w:rPr>
          <w:rFonts w:ascii="Times New Roman" w:eastAsia="Times New Roman" w:hAnsi="Times New Roman" w:cs="Times New Roman"/>
          <w:sz w:val="24"/>
          <w:szCs w:val="24"/>
        </w:rPr>
      </w:pPr>
    </w:p>
    <w:p w14:paraId="482E5E65"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540886E" wp14:editId="67BE9F27">
            <wp:extent cx="4462463" cy="2796190"/>
            <wp:effectExtent l="0" t="0" r="0" b="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4"/>
                    <a:srcRect/>
                    <a:stretch>
                      <a:fillRect/>
                    </a:stretch>
                  </pic:blipFill>
                  <pic:spPr>
                    <a:xfrm>
                      <a:off x="0" y="0"/>
                      <a:ext cx="4462463" cy="2796190"/>
                    </a:xfrm>
                    <a:prstGeom prst="rect">
                      <a:avLst/>
                    </a:prstGeom>
                    <a:ln/>
                  </pic:spPr>
                </pic:pic>
              </a:graphicData>
            </a:graphic>
          </wp:inline>
        </w:drawing>
      </w:r>
    </w:p>
    <w:p w14:paraId="35E8212F" w14:textId="77777777" w:rsidR="0072684F" w:rsidRDefault="006F2538">
      <w:pPr>
        <w:spacing w:before="240" w:after="240"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The 2023 10Y note yield versus mortgage rate of interest graph shows how interest rate fluctuations affect borrowing costs.</w:t>
      </w:r>
    </w:p>
    <w:p w14:paraId="254DCF68" w14:textId="51A92BD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economic releases, decisions made by the Federal Reserve, and events at the global level created volatility in the 10Y note in 2023. The following types of loans were impacted by this change: credit cards, home loans, auto loans, and personal loans. According to Weetman (2019), increased interest rates caused borrowing costs to invert, consumer </w:t>
      </w:r>
      <w:r w:rsidR="004F7D2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grew more cautious, and the housing industry and consumer demand may come to a standstill. Once these movements have been analysed, it will be much simpler to investigate other economic issues such as variations in the yield on 10-year notes and consumer debt.</w:t>
      </w:r>
    </w:p>
    <w:p w14:paraId="351A9FA0" w14:textId="77777777" w:rsidR="0072684F" w:rsidRDefault="006F2538">
      <w:pPr>
        <w:pStyle w:val="Heading1"/>
        <w:keepNext w:val="0"/>
        <w:keepLines w:val="0"/>
        <w:spacing w:before="240" w:after="40" w:line="360" w:lineRule="auto"/>
        <w:rPr>
          <w:rFonts w:ascii="Times New Roman" w:eastAsia="Times New Roman" w:hAnsi="Times New Roman" w:cs="Times New Roman"/>
          <w:b/>
          <w:sz w:val="32"/>
          <w:szCs w:val="32"/>
        </w:rPr>
      </w:pPr>
      <w:bookmarkStart w:id="22" w:name="_t8ifn0g6zqao" w:colFirst="0" w:colLast="0"/>
      <w:bookmarkEnd w:id="22"/>
      <w:r>
        <w:rPr>
          <w:rFonts w:ascii="Times New Roman" w:eastAsia="Times New Roman" w:hAnsi="Times New Roman" w:cs="Times New Roman"/>
          <w:b/>
          <w:sz w:val="32"/>
          <w:szCs w:val="32"/>
        </w:rPr>
        <w:t>6. Conclusion</w:t>
      </w:r>
    </w:p>
    <w:p w14:paraId="596A849B"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investigation found the following from John Lewis's financial statements and market movements after its IPO. Based on historical data, the company's share prices rose 10% from 2021 to 2023 (John Lewis Partnership, 2023). The calculated Sharpe and Treynor ratios show that risk-adjusted returns in 2023 are higher than in 2022, indicating greater risk management and financial performance. To show how derivative contracts, especially the option, help a corporation manage financial risk and capitalise on ma</w:t>
      </w:r>
      <w:r>
        <w:rPr>
          <w:rFonts w:ascii="Times New Roman" w:eastAsia="Times New Roman" w:hAnsi="Times New Roman" w:cs="Times New Roman"/>
          <w:sz w:val="24"/>
          <w:szCs w:val="24"/>
        </w:rPr>
        <w:t>rket possibilities, the case examined their viewpoints.</w:t>
      </w:r>
    </w:p>
    <w:p w14:paraId="666E131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credit was severely affected by 2023 10-year Treasury note yield fluctuations. Due to rising returns, mortgages and loans increased, affecting borrowing patterns and the economy. Their relationship suggests that financial markets and the economy are affected by comparable dynamics.</w:t>
      </w:r>
    </w:p>
    <w:p w14:paraId="27DF1899"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23" w:name="_2c88bl2vkkkp" w:colFirst="0" w:colLast="0"/>
      <w:bookmarkEnd w:id="23"/>
      <w:r>
        <w:rPr>
          <w:rFonts w:ascii="Times New Roman" w:eastAsia="Times New Roman" w:hAnsi="Times New Roman" w:cs="Times New Roman"/>
          <w:b/>
          <w:sz w:val="28"/>
          <w:szCs w:val="28"/>
        </w:rPr>
        <w:t>6.2 Implications for John Lewis and the Broader Financial Market</w:t>
      </w:r>
    </w:p>
    <w:p w14:paraId="34BF64BF" w14:textId="2301E59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John Lewis is in a </w:t>
      </w:r>
      <w:r w:rsidR="004F7D2F">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position thanks to </w:t>
      </w:r>
      <w:r w:rsidR="004F7D2F">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performance metrics and risk management measures. Given that this company's compound annual growth rate (CAGR) was higher than that of the FTSE 100 Index, it is clear that the management team possesses sound business concepts, and investors have faith in them. Although the corporation is unable to influence fluctuations in interest rates or economic cycles, these factors nonetheless have an impact on the organisation. It is imperative that John Lewis continues to adapt</w:t>
      </w:r>
      <w:r>
        <w:rPr>
          <w:rFonts w:ascii="Times New Roman" w:eastAsia="Times New Roman" w:hAnsi="Times New Roman" w:cs="Times New Roman"/>
          <w:sz w:val="24"/>
          <w:szCs w:val="24"/>
        </w:rPr>
        <w:t xml:space="preserve"> in order to sustain its business performance in the face of external criticism.</w:t>
      </w:r>
    </w:p>
    <w:p w14:paraId="2D88D1F3" w14:textId="07BC6E4E"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for the financial market to have access to the knowledge contained within these dynamics. Analysing how the conditions of the macroeconomy influence the operations of businesses and consumers is the focus of macroeconomics. A company's finances can be </w:t>
      </w:r>
      <w:r w:rsidR="004F7D2F">
        <w:rPr>
          <w:rFonts w:ascii="Times New Roman" w:eastAsia="Times New Roman" w:hAnsi="Times New Roman" w:cs="Times New Roman"/>
          <w:sz w:val="24"/>
          <w:szCs w:val="24"/>
        </w:rPr>
        <w:t>improved,</w:t>
      </w:r>
      <w:r>
        <w:rPr>
          <w:rFonts w:ascii="Times New Roman" w:eastAsia="Times New Roman" w:hAnsi="Times New Roman" w:cs="Times New Roman"/>
          <w:sz w:val="24"/>
          <w:szCs w:val="24"/>
        </w:rPr>
        <w:t xml:space="preserve"> and the risks associated with fluctuating markets can be hedged using derivatives.</w:t>
      </w:r>
    </w:p>
    <w:p w14:paraId="74EB1397" w14:textId="77777777" w:rsidR="0072684F" w:rsidRDefault="006F2538">
      <w:pPr>
        <w:pStyle w:val="Heading2"/>
        <w:keepNext w:val="0"/>
        <w:keepLines w:val="0"/>
        <w:spacing w:before="240" w:after="40" w:line="360" w:lineRule="auto"/>
        <w:rPr>
          <w:rFonts w:ascii="Times New Roman" w:eastAsia="Times New Roman" w:hAnsi="Times New Roman" w:cs="Times New Roman"/>
          <w:b/>
          <w:sz w:val="28"/>
          <w:szCs w:val="28"/>
        </w:rPr>
      </w:pPr>
      <w:bookmarkStart w:id="24" w:name="_795tzwb56dy1" w:colFirst="0" w:colLast="0"/>
      <w:bookmarkEnd w:id="24"/>
      <w:r>
        <w:rPr>
          <w:rFonts w:ascii="Times New Roman" w:eastAsia="Times New Roman" w:hAnsi="Times New Roman" w:cs="Times New Roman"/>
          <w:b/>
          <w:sz w:val="28"/>
          <w:szCs w:val="28"/>
        </w:rPr>
        <w:t>6.3 Recommendations for Future Research or Practical Applications</w:t>
      </w:r>
    </w:p>
    <w:p w14:paraId="795B9086"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future, research should be conducted to reveal the managerial methods that John Lewis employs in order to control exposures and capitalise on possibilities and difficulties presented by competitive markets. It is possible to discover new retail approaches and strategies by conducting research on other stores.</w:t>
      </w:r>
    </w:p>
    <w:p w14:paraId="48C44A82" w14:textId="114159B4"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Kim et al.'s research from 2020, the most important thing for organisations to have </w:t>
      </w:r>
      <w:r w:rsidR="004F7D2F">
        <w:rPr>
          <w:rFonts w:ascii="Times New Roman" w:eastAsia="Times New Roman" w:hAnsi="Times New Roman" w:cs="Times New Roman"/>
          <w:sz w:val="24"/>
          <w:szCs w:val="24"/>
        </w:rPr>
        <w:t>been</w:t>
      </w:r>
      <w:r>
        <w:rPr>
          <w:rFonts w:ascii="Times New Roman" w:eastAsia="Times New Roman" w:hAnsi="Times New Roman" w:cs="Times New Roman"/>
          <w:sz w:val="24"/>
          <w:szCs w:val="24"/>
        </w:rPr>
        <w:t xml:space="preserve"> a sound derivative strategy and risk management both within and throughout the company. </w:t>
      </w:r>
      <w:r w:rsidR="004F7D2F">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improve the profitability of a company and make strategic business decisions, it is vital to conduct a fundamental study of macroeconomic concerns and the influence that these issues have on various patterns of customer </w:t>
      </w:r>
      <w:r w:rsidR="004F7D2F">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and interest rate patterns.</w:t>
      </w:r>
    </w:p>
    <w:p w14:paraId="2D6B315F" w14:textId="77777777" w:rsidR="0072684F" w:rsidRDefault="006F253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achieving long-term financial success, this analysis </w:t>
      </w:r>
      <w:r>
        <w:rPr>
          <w:rFonts w:ascii="Times New Roman" w:eastAsia="Times New Roman" w:hAnsi="Times New Roman" w:cs="Times New Roman"/>
          <w:sz w:val="24"/>
          <w:szCs w:val="24"/>
        </w:rPr>
        <w:t>demonstrates that risk management and market responsiveness are fundamentally important. According to Nayal et al. (2021), John Lewis and a great number of other businesses have the potential to enhance their market positions and contribute to sustainable growth by utilising a variety of strategies, actively working on proposals for financial instruments, and focusing on macroeconomic considerations.</w:t>
      </w:r>
    </w:p>
    <w:p w14:paraId="0451E2AE" w14:textId="77777777" w:rsidR="0072684F" w:rsidRDefault="006F2538">
      <w:pPr>
        <w:pStyle w:val="Heading1"/>
        <w:keepNext w:val="0"/>
        <w:keepLines w:val="0"/>
        <w:spacing w:before="0" w:after="0" w:line="480" w:lineRule="auto"/>
        <w:jc w:val="center"/>
        <w:rPr>
          <w:rFonts w:ascii="Times New Roman" w:eastAsia="Times New Roman" w:hAnsi="Times New Roman" w:cs="Times New Roman"/>
          <w:b/>
          <w:sz w:val="24"/>
          <w:szCs w:val="24"/>
        </w:rPr>
      </w:pPr>
      <w:bookmarkStart w:id="25" w:name="_5l93o5xxltiv" w:colFirst="0" w:colLast="0"/>
      <w:bookmarkEnd w:id="25"/>
      <w:r>
        <w:br w:type="page"/>
      </w:r>
    </w:p>
    <w:p w14:paraId="5471E688" w14:textId="77777777" w:rsidR="0072684F" w:rsidRDefault="006F2538">
      <w:pPr>
        <w:pStyle w:val="Heading1"/>
        <w:keepNext w:val="0"/>
        <w:keepLines w:val="0"/>
        <w:spacing w:before="0" w:after="0" w:line="480" w:lineRule="auto"/>
        <w:rPr>
          <w:rFonts w:ascii="Times New Roman" w:eastAsia="Times New Roman" w:hAnsi="Times New Roman" w:cs="Times New Roman"/>
          <w:b/>
          <w:sz w:val="32"/>
          <w:szCs w:val="32"/>
        </w:rPr>
      </w:pPr>
      <w:bookmarkStart w:id="26" w:name="_4x334t2t1c3x" w:colFirst="0" w:colLast="0"/>
      <w:bookmarkEnd w:id="26"/>
      <w:r>
        <w:rPr>
          <w:rFonts w:ascii="Times New Roman" w:eastAsia="Times New Roman" w:hAnsi="Times New Roman" w:cs="Times New Roman"/>
          <w:b/>
          <w:sz w:val="32"/>
          <w:szCs w:val="32"/>
        </w:rPr>
        <w:t>7. References</w:t>
      </w:r>
    </w:p>
    <w:p w14:paraId="30A5C786" w14:textId="76ED891B"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Alam, S. (2022). </w:t>
      </w:r>
      <w:r>
        <w:rPr>
          <w:rFonts w:ascii="Times New Roman" w:eastAsia="Times New Roman" w:hAnsi="Times New Roman" w:cs="Times New Roman"/>
          <w:i/>
          <w:sz w:val="24"/>
          <w:szCs w:val="24"/>
        </w:rPr>
        <w:t>The 4S of Option Trading Strategies: Straddle, Strangle, Strap, Strip</w:t>
      </w:r>
      <w:r>
        <w:rPr>
          <w:rFonts w:ascii="Times New Roman" w:eastAsia="Times New Roman" w:hAnsi="Times New Roman" w:cs="Times New Roman"/>
          <w:sz w:val="24"/>
          <w:szCs w:val="24"/>
        </w:rPr>
        <w:t xml:space="preserve">. </w:t>
      </w:r>
      <w:r w:rsidR="004F7D2F">
        <w:rPr>
          <w:rFonts w:ascii="Times New Roman" w:eastAsia="Times New Roman" w:hAnsi="Times New Roman" w:cs="Times New Roman"/>
          <w:sz w:val="24"/>
          <w:szCs w:val="24"/>
        </w:rPr>
        <w:t>ResearchGate</w:t>
      </w:r>
      <w:r>
        <w:rPr>
          <w:rFonts w:ascii="Times New Roman" w:eastAsia="Times New Roman" w:hAnsi="Times New Roman" w:cs="Times New Roman"/>
          <w:sz w:val="24"/>
          <w:szCs w:val="24"/>
        </w:rPr>
        <w:t>. https://www.researchgate.net/profile/Sm-Ikhtiar-Alam/publication/358485506_The_4S_of_Options_Trading_Strategies_Straddle_Strangle_Strap_Strip/links/620b590c7b05f82592ec8c36/The-4S-of-Options-Trading-Strategies-Straddle-Strangle-Strap-Strip.pdf</w:t>
      </w:r>
    </w:p>
    <w:p w14:paraId="62E42A88"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Backwell, A. (2023). An Intuitive Introduction to Finance and Derivatives. In </w:t>
      </w:r>
      <w:r>
        <w:rPr>
          <w:rFonts w:ascii="Times New Roman" w:eastAsia="Times New Roman" w:hAnsi="Times New Roman" w:cs="Times New Roman"/>
          <w:i/>
          <w:sz w:val="24"/>
          <w:szCs w:val="24"/>
        </w:rPr>
        <w:t>Springer texts in business and economics</w:t>
      </w:r>
      <w:r>
        <w:rPr>
          <w:rFonts w:ascii="Times New Roman" w:eastAsia="Times New Roman" w:hAnsi="Times New Roman" w:cs="Times New Roman"/>
          <w:sz w:val="24"/>
          <w:szCs w:val="24"/>
        </w:rPr>
        <w:t>. Springer International Publishing. https://doi.org/10.1007/978-3-031-23453-8</w:t>
      </w:r>
    </w:p>
    <w:p w14:paraId="66408EDA" w14:textId="5BEEFCB1"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Barrow, P. (2024). Essential business </w:t>
      </w:r>
      <w:r w:rsidR="004F7D2F">
        <w:rPr>
          <w:rFonts w:ascii="Times New Roman" w:eastAsia="Times New Roman" w:hAnsi="Times New Roman" w:cs="Times New Roman"/>
          <w:sz w:val="24"/>
          <w:szCs w:val="24"/>
        </w:rPr>
        <w:t>finance:</w:t>
      </w:r>
      <w:r>
        <w:rPr>
          <w:rFonts w:ascii="Times New Roman" w:eastAsia="Times New Roman" w:hAnsi="Times New Roman" w:cs="Times New Roman"/>
          <w:sz w:val="24"/>
          <w:szCs w:val="24"/>
        </w:rPr>
        <w:t xml:space="preserve"> a complete guide to starting, expanding and selling your business. </w:t>
      </w:r>
      <w:r>
        <w:rPr>
          <w:rFonts w:ascii="Times New Roman" w:eastAsia="Times New Roman" w:hAnsi="Times New Roman" w:cs="Times New Roman"/>
          <w:i/>
          <w:sz w:val="24"/>
          <w:szCs w:val="24"/>
        </w:rPr>
        <w:t xml:space="preserve">Essential Business </w:t>
      </w:r>
      <w:r w:rsidR="004F7D2F">
        <w:rPr>
          <w:rFonts w:ascii="Times New Roman" w:eastAsia="Times New Roman" w:hAnsi="Times New Roman" w:cs="Times New Roman"/>
          <w:i/>
          <w:sz w:val="24"/>
          <w:szCs w:val="24"/>
        </w:rPr>
        <w:t>Finance:</w:t>
      </w:r>
      <w:r>
        <w:rPr>
          <w:rFonts w:ascii="Times New Roman" w:eastAsia="Times New Roman" w:hAnsi="Times New Roman" w:cs="Times New Roman"/>
          <w:i/>
          <w:sz w:val="24"/>
          <w:szCs w:val="24"/>
        </w:rPr>
        <w:t xml:space="preserve"> A Complete Guide to Starting, Expanding and Selling Your Business</w:t>
      </w:r>
      <w:r>
        <w:rPr>
          <w:rFonts w:ascii="Times New Roman" w:eastAsia="Times New Roman" w:hAnsi="Times New Roman" w:cs="Times New Roman"/>
          <w:sz w:val="24"/>
          <w:szCs w:val="24"/>
        </w:rPr>
        <w:t>. https://cir.nii.ac.jp/crid/1130000795361631360</w:t>
      </w:r>
    </w:p>
    <w:p w14:paraId="55B52D2A"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Butler, S., &amp; Sweney, M. (2022, August 11). </w:t>
      </w:r>
      <w:r>
        <w:rPr>
          <w:rFonts w:ascii="Times New Roman" w:eastAsia="Times New Roman" w:hAnsi="Times New Roman" w:cs="Times New Roman"/>
          <w:i/>
          <w:sz w:val="24"/>
          <w:szCs w:val="24"/>
        </w:rPr>
        <w:t>John Lewis to end “never knowingly undersold” era on 22 August</w:t>
      </w:r>
      <w:r>
        <w:rPr>
          <w:rFonts w:ascii="Times New Roman" w:eastAsia="Times New Roman" w:hAnsi="Times New Roman" w:cs="Times New Roman"/>
          <w:sz w:val="24"/>
          <w:szCs w:val="24"/>
        </w:rPr>
        <w:t>. The Guardian. https://www.theguardian.com/business/2022/aug/11/john-lewis-to-retire-97-year-old-pledge-never-knowingly-undersold</w:t>
      </w:r>
    </w:p>
    <w:p w14:paraId="22929AA6"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S., &amp; Schulz, E. (2020). The levels of base pay and incentive pay used by small firms to compensate professional employees with general and specific human capital. </w:t>
      </w:r>
      <w:r>
        <w:rPr>
          <w:rFonts w:ascii="Times New Roman" w:eastAsia="Times New Roman" w:hAnsi="Times New Roman" w:cs="Times New Roman"/>
          <w:i/>
          <w:sz w:val="24"/>
          <w:szCs w:val="24"/>
        </w:rPr>
        <w:t>Journal of Small Business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60</w:t>
      </w:r>
      <w:r>
        <w:rPr>
          <w:rFonts w:ascii="Times New Roman" w:eastAsia="Times New Roman" w:hAnsi="Times New Roman" w:cs="Times New Roman"/>
          <w:sz w:val="24"/>
          <w:szCs w:val="24"/>
        </w:rPr>
        <w:t>(1), 1–31. https://doi.org/10.1080/00472778.2020.1794693</w:t>
      </w:r>
    </w:p>
    <w:p w14:paraId="6D43857A"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Lewis Partnership. (2022). </w:t>
      </w:r>
      <w:r>
        <w:rPr>
          <w:rFonts w:ascii="Times New Roman" w:eastAsia="Times New Roman" w:hAnsi="Times New Roman" w:cs="Times New Roman"/>
          <w:i/>
          <w:sz w:val="24"/>
          <w:szCs w:val="24"/>
        </w:rPr>
        <w:t>2021/22 Annual Report and Accounts</w:t>
      </w:r>
      <w:r>
        <w:rPr>
          <w:rFonts w:ascii="Times New Roman" w:eastAsia="Times New Roman" w:hAnsi="Times New Roman" w:cs="Times New Roman"/>
          <w:sz w:val="24"/>
          <w:szCs w:val="24"/>
        </w:rPr>
        <w:t>. John Lewis Partnership. https://www.johnlewispartnership.co.uk/content/dam/cws/pdfs/Juniper/ARA-2022/John-Lewis-Partnership-plc-Annual-Report-and-Accounts-2022.pdf</w:t>
      </w:r>
    </w:p>
    <w:p w14:paraId="52649BD8"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Lewis Partnership. (2023). </w:t>
      </w:r>
      <w:r>
        <w:rPr>
          <w:rFonts w:ascii="Times New Roman" w:eastAsia="Times New Roman" w:hAnsi="Times New Roman" w:cs="Times New Roman"/>
          <w:i/>
          <w:sz w:val="24"/>
          <w:szCs w:val="24"/>
        </w:rPr>
        <w:t>jlp-plc-annual-report-and-accounts-2023.</w:t>
      </w:r>
      <w:r>
        <w:rPr>
          <w:rFonts w:ascii="Times New Roman" w:eastAsia="Times New Roman" w:hAnsi="Times New Roman" w:cs="Times New Roman"/>
          <w:sz w:val="24"/>
          <w:szCs w:val="24"/>
        </w:rPr>
        <w:t xml:space="preserve"> John Lewis Partnership. https://www.johnlewispartnership.co.uk/content/dam/cws/pdfs/Juniper/ARA2023/jlp-plc-annual-report-and-accounts-2023.pdf</w:t>
      </w:r>
    </w:p>
    <w:p w14:paraId="78BB977D"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S., Lee, G., &amp; Kang, H. (2020). Risk Management and Corporate Social Responsibility. </w:t>
      </w:r>
      <w:r>
        <w:rPr>
          <w:rFonts w:ascii="Times New Roman" w:eastAsia="Times New Roman" w:hAnsi="Times New Roman" w:cs="Times New Roman"/>
          <w:i/>
          <w:sz w:val="24"/>
          <w:szCs w:val="24"/>
        </w:rPr>
        <w:t>Strategic Management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42</w:t>
      </w:r>
      <w:r>
        <w:rPr>
          <w:rFonts w:ascii="Times New Roman" w:eastAsia="Times New Roman" w:hAnsi="Times New Roman" w:cs="Times New Roman"/>
          <w:sz w:val="24"/>
          <w:szCs w:val="24"/>
        </w:rPr>
        <w:t>(1). https://doi.org/10.1002/smj.3224</w:t>
      </w:r>
    </w:p>
    <w:p w14:paraId="4FAF9770"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Mclaney, A., &amp; Harvey. (2023). </w:t>
      </w:r>
      <w:r>
        <w:rPr>
          <w:rFonts w:ascii="Times New Roman" w:eastAsia="Times New Roman" w:hAnsi="Times New Roman" w:cs="Times New Roman"/>
          <w:i/>
          <w:sz w:val="24"/>
          <w:szCs w:val="24"/>
        </w:rPr>
        <w:t>A T R I L L ’ S A T R I L L ’ S</w:t>
      </w:r>
      <w:r>
        <w:rPr>
          <w:rFonts w:ascii="Times New Roman" w:eastAsia="Times New Roman" w:hAnsi="Times New Roman" w:cs="Times New Roman"/>
          <w:sz w:val="24"/>
          <w:szCs w:val="24"/>
        </w:rPr>
        <w:t>. https://www.pearson.com/en-au/media/2005313/9781488616570-TOC.pdf</w:t>
      </w:r>
    </w:p>
    <w:p w14:paraId="1E517570"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Nayal, K., Kumar, S., Raut, R. D., Queiroz, M. M., Priyadarshinee, P., &amp; Narkhede, B. E. (2021). Supply Chain Firm Performance in Circular Economy and Digital Era to Achieve Sustainable Development Goals. </w:t>
      </w:r>
      <w:r>
        <w:rPr>
          <w:rFonts w:ascii="Times New Roman" w:eastAsia="Times New Roman" w:hAnsi="Times New Roman" w:cs="Times New Roman"/>
          <w:i/>
          <w:sz w:val="24"/>
          <w:szCs w:val="24"/>
        </w:rPr>
        <w:t>Business Strategy and the Environment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31</w:t>
      </w:r>
      <w:r>
        <w:rPr>
          <w:rFonts w:ascii="Times New Roman" w:eastAsia="Times New Roman" w:hAnsi="Times New Roman" w:cs="Times New Roman"/>
          <w:sz w:val="24"/>
          <w:szCs w:val="24"/>
        </w:rPr>
        <w:t>(3). https://doi.org/10.1002/bse.2935</w:t>
      </w:r>
    </w:p>
    <w:p w14:paraId="361303AF"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(2022, November 15). </w:t>
      </w:r>
      <w:r>
        <w:rPr>
          <w:rFonts w:ascii="Times New Roman" w:eastAsia="Times New Roman" w:hAnsi="Times New Roman" w:cs="Times New Roman"/>
          <w:i/>
          <w:sz w:val="24"/>
          <w:szCs w:val="24"/>
        </w:rPr>
        <w:t>Gross Domestic Product: Year on Year growth: CVM SA % - Office for National Statistics</w:t>
      </w:r>
      <w:r>
        <w:rPr>
          <w:rFonts w:ascii="Times New Roman" w:eastAsia="Times New Roman" w:hAnsi="Times New Roman" w:cs="Times New Roman"/>
          <w:sz w:val="24"/>
          <w:szCs w:val="24"/>
        </w:rPr>
        <w:t>. Ons.gov.uk. https://www.ons.gov.uk/economy/grossdomesticproductgdp/timeseries/ihyp/pn2</w:t>
      </w:r>
    </w:p>
    <w:p w14:paraId="12811AAE"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Pushpalatha, E., &amp; Shankar, D. C. (2024). Risk-Return Trade-Off In Blue Chip Mutual Funds: An Evaluation Using Sharpe, Treynor, And Jensen Measures In The Banking Sector. </w:t>
      </w:r>
      <w:r>
        <w:rPr>
          <w:rFonts w:ascii="Times New Roman" w:eastAsia="Times New Roman" w:hAnsi="Times New Roman" w:cs="Times New Roman"/>
          <w:i/>
          <w:sz w:val="24"/>
          <w:szCs w:val="24"/>
        </w:rPr>
        <w:t>Educational Administration: Theory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(1), 429–438. https://doi.org/10.53555/kuey.v30i1.2600</w:t>
      </w:r>
    </w:p>
    <w:p w14:paraId="7DE95156"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Sammour, A. A., Chen, W., &amp; Balmer, J. M. T. (2020). Corporate heritage brand traits and corporate heritage brand identity: the case study of John Lewis. </w:t>
      </w:r>
      <w:r>
        <w:rPr>
          <w:rFonts w:ascii="Times New Roman" w:eastAsia="Times New Roman" w:hAnsi="Times New Roman" w:cs="Times New Roman"/>
          <w:i/>
          <w:sz w:val="24"/>
          <w:szCs w:val="24"/>
        </w:rPr>
        <w:t>Qualitative Market Research: An International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(3), 447–470. https://doi.org/10.1108/qmr-03-2018-0039</w:t>
      </w:r>
    </w:p>
    <w:p w14:paraId="7AE23F0F"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Ward, M. (2024). </w:t>
      </w:r>
      <w:r>
        <w:rPr>
          <w:rFonts w:ascii="Times New Roman" w:eastAsia="Times New Roman" w:hAnsi="Times New Roman" w:cs="Times New Roman"/>
          <w:i/>
          <w:sz w:val="24"/>
          <w:szCs w:val="24"/>
        </w:rPr>
        <w:t>Retail sector in the UK</w:t>
      </w:r>
      <w:r>
        <w:rPr>
          <w:rFonts w:ascii="Times New Roman" w:eastAsia="Times New Roman" w:hAnsi="Times New Roman" w:cs="Times New Roman"/>
          <w:sz w:val="24"/>
          <w:szCs w:val="24"/>
        </w:rPr>
        <w:t>. Parliament.uk; researchbriefings.files.parliament.uk. https://researchbriefings.files.parliament.uk/documents/SN06186/SN06186.pdf</w:t>
      </w:r>
    </w:p>
    <w:p w14:paraId="549A152A"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Weetman, P. (2019). Financial and Management Accounting. In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Pearson UK. https://books.google.com/books?hl=en&amp;lr=&amp;id=7JSgDwAAQBAJ&amp;oi=fnd&amp;pg=PT19&amp;dq=Weetman</w:t>
      </w:r>
    </w:p>
    <w:p w14:paraId="362AC9B2"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Weetman, P., Ioannis Tsalavoutas, &amp; Gordon, P. (2020). International Corporate Reporting. In </w:t>
      </w:r>
      <w:r>
        <w:rPr>
          <w:rFonts w:ascii="Times New Roman" w:eastAsia="Times New Roman" w:hAnsi="Times New Roman" w:cs="Times New Roman"/>
          <w:i/>
          <w:sz w:val="24"/>
          <w:szCs w:val="24"/>
        </w:rPr>
        <w:t>Routledge eBooks</w:t>
      </w:r>
      <w:r>
        <w:rPr>
          <w:rFonts w:ascii="Times New Roman" w:eastAsia="Times New Roman" w:hAnsi="Times New Roman" w:cs="Times New Roman"/>
          <w:sz w:val="24"/>
          <w:szCs w:val="24"/>
        </w:rPr>
        <w:t>. Informa. https://doi.org/10.4324/9780429430985</w:t>
      </w:r>
    </w:p>
    <w:p w14:paraId="2288788C" w14:textId="77777777" w:rsidR="0072684F" w:rsidRDefault="006F253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Yan, S., &amp; Ji, X. (2019). Supply chain network design under the risk of uncertain disruptions. </w:t>
      </w:r>
      <w:r>
        <w:rPr>
          <w:rFonts w:ascii="Times New Roman" w:eastAsia="Times New Roman" w:hAnsi="Times New Roman" w:cs="Times New Roman"/>
          <w:i/>
          <w:sz w:val="24"/>
          <w:szCs w:val="24"/>
        </w:rPr>
        <w:t>International Journal of Production Research</w:t>
      </w:r>
      <w:r>
        <w:rPr>
          <w:rFonts w:ascii="Times New Roman" w:eastAsia="Times New Roman" w:hAnsi="Times New Roman" w:cs="Times New Roman"/>
          <w:sz w:val="24"/>
          <w:szCs w:val="24"/>
        </w:rPr>
        <w:t>, 1–17. https://doi.org/10.1080/00207543.2019.1696999</w:t>
      </w:r>
    </w:p>
    <w:p w14:paraId="68856641" w14:textId="77777777" w:rsidR="0072684F" w:rsidRDefault="0072684F">
      <w:pPr>
        <w:rPr>
          <w:rFonts w:ascii="Times New Roman" w:eastAsia="Times New Roman" w:hAnsi="Times New Roman" w:cs="Times New Roman"/>
          <w:sz w:val="24"/>
          <w:szCs w:val="24"/>
        </w:rPr>
      </w:pPr>
    </w:p>
    <w:sectPr w:rsidR="0072684F">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180B2" w14:textId="77777777" w:rsidR="009743E1" w:rsidRDefault="009743E1" w:rsidP="009743E1">
      <w:pPr>
        <w:spacing w:line="240" w:lineRule="auto"/>
      </w:pPr>
      <w:r>
        <w:separator/>
      </w:r>
    </w:p>
  </w:endnote>
  <w:endnote w:type="continuationSeparator" w:id="0">
    <w:p w14:paraId="78030494" w14:textId="77777777" w:rsidR="009743E1" w:rsidRDefault="009743E1" w:rsidP="009743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3FF49" w14:textId="77777777" w:rsidR="009743E1" w:rsidRDefault="009743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AF1D4" w14:textId="77777777" w:rsidR="009743E1" w:rsidRDefault="009743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50563" w14:textId="77777777" w:rsidR="009743E1" w:rsidRDefault="009743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A32D6" w14:textId="77777777" w:rsidR="009743E1" w:rsidRDefault="009743E1" w:rsidP="009743E1">
      <w:pPr>
        <w:spacing w:line="240" w:lineRule="auto"/>
      </w:pPr>
      <w:r>
        <w:separator/>
      </w:r>
    </w:p>
  </w:footnote>
  <w:footnote w:type="continuationSeparator" w:id="0">
    <w:p w14:paraId="597C000B" w14:textId="77777777" w:rsidR="009743E1" w:rsidRDefault="009743E1" w:rsidP="009743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62D12" w14:textId="77777777" w:rsidR="009743E1" w:rsidRDefault="009743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3F59D" w14:textId="77777777" w:rsidR="009743E1" w:rsidRDefault="009743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B4421" w14:textId="77777777" w:rsidR="009743E1" w:rsidRDefault="009743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4D7E"/>
    <w:multiLevelType w:val="multilevel"/>
    <w:tmpl w:val="31B2C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9E2673"/>
    <w:multiLevelType w:val="multilevel"/>
    <w:tmpl w:val="893AD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D00085"/>
    <w:multiLevelType w:val="multilevel"/>
    <w:tmpl w:val="4C2CA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5108BD"/>
    <w:multiLevelType w:val="multilevel"/>
    <w:tmpl w:val="E7E87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0B6441"/>
    <w:multiLevelType w:val="multilevel"/>
    <w:tmpl w:val="C2942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200896"/>
    <w:multiLevelType w:val="multilevel"/>
    <w:tmpl w:val="38C89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3B0492"/>
    <w:multiLevelType w:val="multilevel"/>
    <w:tmpl w:val="F844D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6D03F9"/>
    <w:multiLevelType w:val="multilevel"/>
    <w:tmpl w:val="2D405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B37EA5"/>
    <w:multiLevelType w:val="multilevel"/>
    <w:tmpl w:val="9D648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843E8E"/>
    <w:multiLevelType w:val="multilevel"/>
    <w:tmpl w:val="11428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A9088E"/>
    <w:multiLevelType w:val="multilevel"/>
    <w:tmpl w:val="E56AA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CB70BA"/>
    <w:multiLevelType w:val="multilevel"/>
    <w:tmpl w:val="BC06C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D96989"/>
    <w:multiLevelType w:val="multilevel"/>
    <w:tmpl w:val="F828D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05E35EA"/>
    <w:multiLevelType w:val="multilevel"/>
    <w:tmpl w:val="34C00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67AC7774"/>
    <w:multiLevelType w:val="multilevel"/>
    <w:tmpl w:val="D098E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9EF34E8"/>
    <w:multiLevelType w:val="multilevel"/>
    <w:tmpl w:val="CF0EF7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018654516">
    <w:abstractNumId w:val="11"/>
  </w:num>
  <w:num w:numId="2" w16cid:durableId="177697870">
    <w:abstractNumId w:val="1"/>
  </w:num>
  <w:num w:numId="3" w16cid:durableId="1998682822">
    <w:abstractNumId w:val="8"/>
  </w:num>
  <w:num w:numId="4" w16cid:durableId="1647201796">
    <w:abstractNumId w:val="12"/>
  </w:num>
  <w:num w:numId="5" w16cid:durableId="253131858">
    <w:abstractNumId w:val="3"/>
  </w:num>
  <w:num w:numId="6" w16cid:durableId="2079281181">
    <w:abstractNumId w:val="15"/>
  </w:num>
  <w:num w:numId="7" w16cid:durableId="1728845129">
    <w:abstractNumId w:val="14"/>
  </w:num>
  <w:num w:numId="8" w16cid:durableId="511921966">
    <w:abstractNumId w:val="5"/>
  </w:num>
  <w:num w:numId="9" w16cid:durableId="467742375">
    <w:abstractNumId w:val="13"/>
  </w:num>
  <w:num w:numId="10" w16cid:durableId="1834952710">
    <w:abstractNumId w:val="4"/>
  </w:num>
  <w:num w:numId="11" w16cid:durableId="47413569">
    <w:abstractNumId w:val="7"/>
  </w:num>
  <w:num w:numId="12" w16cid:durableId="30766208">
    <w:abstractNumId w:val="10"/>
  </w:num>
  <w:num w:numId="13" w16cid:durableId="495342859">
    <w:abstractNumId w:val="0"/>
  </w:num>
  <w:num w:numId="14" w16cid:durableId="1007249254">
    <w:abstractNumId w:val="6"/>
  </w:num>
  <w:num w:numId="15" w16cid:durableId="272710028">
    <w:abstractNumId w:val="9"/>
  </w:num>
  <w:num w:numId="16" w16cid:durableId="46996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displayBackgroundShape/>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84F"/>
    <w:rsid w:val="004F7D2F"/>
    <w:rsid w:val="00682798"/>
    <w:rsid w:val="006F2538"/>
    <w:rsid w:val="0072684F"/>
    <w:rsid w:val="009743E1"/>
    <w:rsid w:val="00F60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39F5AD"/>
  <w15:docId w15:val="{BC8248ED-C40E-456A-B4BC-E80C6E1E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743E1"/>
    <w:pPr>
      <w:tabs>
        <w:tab w:val="center" w:pos="4513"/>
        <w:tab w:val="right" w:pos="9026"/>
      </w:tabs>
      <w:spacing w:line="240" w:lineRule="auto"/>
    </w:pPr>
  </w:style>
  <w:style w:type="character" w:customStyle="1" w:styleId="HeaderChar">
    <w:name w:val="Header Char"/>
    <w:basedOn w:val="DefaultParagraphFont"/>
    <w:link w:val="Header"/>
    <w:uiPriority w:val="99"/>
    <w:rsid w:val="009743E1"/>
  </w:style>
  <w:style w:type="paragraph" w:styleId="Footer">
    <w:name w:val="footer"/>
    <w:basedOn w:val="Normal"/>
    <w:link w:val="FooterChar"/>
    <w:uiPriority w:val="99"/>
    <w:unhideWhenUsed/>
    <w:rsid w:val="009743E1"/>
    <w:pPr>
      <w:tabs>
        <w:tab w:val="center" w:pos="4513"/>
        <w:tab w:val="right" w:pos="9026"/>
      </w:tabs>
      <w:spacing w:line="240" w:lineRule="auto"/>
    </w:pPr>
  </w:style>
  <w:style w:type="character" w:customStyle="1" w:styleId="FooterChar">
    <w:name w:val="Footer Char"/>
    <w:basedOn w:val="DefaultParagraphFont"/>
    <w:link w:val="Footer"/>
    <w:uiPriority w:val="99"/>
    <w:rsid w:val="00974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eader" Target="header3.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5242</Words>
  <Characters>29881</Characters>
  <Application>Microsoft Office Word</Application>
  <DocSecurity>0</DocSecurity>
  <Lines>249</Lines>
  <Paragraphs>70</Paragraphs>
  <ScaleCrop>false</ScaleCrop>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Foley</dc:creator>
  <cp:lastModifiedBy>Alina Maria Hanes (2324431)</cp:lastModifiedBy>
  <cp:revision>2</cp:revision>
  <dcterms:created xsi:type="dcterms:W3CDTF">2024-08-27T09:36:00Z</dcterms:created>
  <dcterms:modified xsi:type="dcterms:W3CDTF">2024-08-27T09:36:00Z</dcterms:modified>
</cp:coreProperties>
</file>