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004B5" w14:textId="77777777" w:rsidR="00A378D3" w:rsidRDefault="006E0EDF" w:rsidP="006E0EDF">
      <w:pPr>
        <w:pStyle w:val="Title"/>
      </w:pPr>
      <w:r w:rsidRPr="006E0EDF">
        <w:t xml:space="preserve">How to engage employees throughout the employee lifecycle </w:t>
      </w:r>
    </w:p>
    <w:p w14:paraId="4E56C93A" w14:textId="77777777" w:rsidR="00A378D3" w:rsidRDefault="00A378D3" w:rsidP="006E0EDF">
      <w:pPr>
        <w:pStyle w:val="Title"/>
      </w:pPr>
    </w:p>
    <w:p w14:paraId="2ED41D28" w14:textId="77777777" w:rsidR="00A378D3" w:rsidRDefault="00A378D3" w:rsidP="006E0EDF">
      <w:pPr>
        <w:pStyle w:val="Title"/>
      </w:pPr>
    </w:p>
    <w:p w14:paraId="3B006D54" w14:textId="77777777" w:rsidR="00A378D3" w:rsidRDefault="00A378D3" w:rsidP="006E0EDF">
      <w:pPr>
        <w:pStyle w:val="Title"/>
      </w:pPr>
    </w:p>
    <w:p w14:paraId="74E6AE20" w14:textId="77777777" w:rsidR="00A378D3" w:rsidRDefault="00A378D3" w:rsidP="006E0EDF">
      <w:pPr>
        <w:pStyle w:val="Title"/>
      </w:pPr>
      <w:r>
        <w:t xml:space="preserve">Shahinul islam </w:t>
      </w:r>
    </w:p>
    <w:p w14:paraId="66AFA9E1" w14:textId="77777777" w:rsidR="00A378D3" w:rsidRDefault="00A378D3" w:rsidP="006E0EDF">
      <w:pPr>
        <w:pStyle w:val="Title"/>
      </w:pPr>
      <w:r>
        <w:t>2123468</w:t>
      </w:r>
    </w:p>
    <w:p w14:paraId="19421AB1" w14:textId="626F9194" w:rsidR="00762CDF" w:rsidRDefault="00A378D3" w:rsidP="006E0EDF">
      <w:pPr>
        <w:pStyle w:val="Title"/>
        <w:rPr>
          <w:b/>
          <w:bCs/>
          <w:color w:val="365F91" w:themeColor="accent1" w:themeShade="BF"/>
          <w:sz w:val="32"/>
          <w:szCs w:val="28"/>
        </w:rPr>
      </w:pPr>
      <w:r>
        <w:t>Helen Lee</w:t>
      </w:r>
      <w:r w:rsidR="00762CDF">
        <w:br w:type="page"/>
      </w:r>
    </w:p>
    <w:sdt>
      <w:sdtPr>
        <w:rPr>
          <w:rFonts w:ascii="Times New Roman" w:eastAsiaTheme="minorHAnsi" w:hAnsi="Times New Roman" w:cstheme="minorBidi"/>
          <w:color w:val="auto"/>
          <w:kern w:val="2"/>
          <w:sz w:val="24"/>
          <w:szCs w:val="22"/>
          <w14:ligatures w14:val="standardContextual"/>
        </w:rPr>
        <w:id w:val="-1146899500"/>
        <w:docPartObj>
          <w:docPartGallery w:val="Table of Contents"/>
          <w:docPartUnique/>
        </w:docPartObj>
      </w:sdtPr>
      <w:sdtEndPr>
        <w:rPr>
          <w:b/>
          <w:bCs/>
          <w:noProof/>
        </w:rPr>
      </w:sdtEndPr>
      <w:sdtContent>
        <w:p w14:paraId="46E16900" w14:textId="42F8CCB4" w:rsidR="00762CDF" w:rsidRDefault="00762CDF">
          <w:pPr>
            <w:pStyle w:val="TOCHeading"/>
          </w:pPr>
          <w:r>
            <w:t>Table of Contents</w:t>
          </w:r>
        </w:p>
        <w:p w14:paraId="43C32F55" w14:textId="5EB51EEB" w:rsidR="00762CDF" w:rsidRDefault="00762CDF">
          <w:pPr>
            <w:pStyle w:val="TOC1"/>
            <w:tabs>
              <w:tab w:val="right" w:leader="dot" w:pos="9350"/>
            </w:tabs>
            <w:rPr>
              <w:noProof/>
            </w:rPr>
          </w:pPr>
          <w:r>
            <w:fldChar w:fldCharType="begin"/>
          </w:r>
          <w:r>
            <w:instrText xml:space="preserve"> TOC \o "1-3" \h \z \u </w:instrText>
          </w:r>
          <w:r>
            <w:fldChar w:fldCharType="separate"/>
          </w:r>
          <w:hyperlink w:anchor="_Toc151078682" w:history="1">
            <w:r w:rsidRPr="00420C3D">
              <w:rPr>
                <w:rStyle w:val="Hyperlink"/>
                <w:noProof/>
              </w:rPr>
              <w:t>Introduction</w:t>
            </w:r>
            <w:r>
              <w:rPr>
                <w:noProof/>
                <w:webHidden/>
              </w:rPr>
              <w:tab/>
            </w:r>
            <w:r>
              <w:rPr>
                <w:noProof/>
                <w:webHidden/>
              </w:rPr>
              <w:fldChar w:fldCharType="begin"/>
            </w:r>
            <w:r>
              <w:rPr>
                <w:noProof/>
                <w:webHidden/>
              </w:rPr>
              <w:instrText xml:space="preserve"> PAGEREF _Toc151078682 \h </w:instrText>
            </w:r>
            <w:r>
              <w:rPr>
                <w:noProof/>
                <w:webHidden/>
              </w:rPr>
            </w:r>
            <w:r>
              <w:rPr>
                <w:noProof/>
                <w:webHidden/>
              </w:rPr>
              <w:fldChar w:fldCharType="separate"/>
            </w:r>
            <w:r>
              <w:rPr>
                <w:noProof/>
                <w:webHidden/>
              </w:rPr>
              <w:t>3</w:t>
            </w:r>
            <w:r>
              <w:rPr>
                <w:noProof/>
                <w:webHidden/>
              </w:rPr>
              <w:fldChar w:fldCharType="end"/>
            </w:r>
          </w:hyperlink>
        </w:p>
        <w:p w14:paraId="31FBBB1A" w14:textId="157F9930" w:rsidR="00762CDF" w:rsidRDefault="00000000">
          <w:pPr>
            <w:pStyle w:val="TOC1"/>
            <w:tabs>
              <w:tab w:val="right" w:leader="dot" w:pos="9350"/>
            </w:tabs>
            <w:rPr>
              <w:noProof/>
            </w:rPr>
          </w:pPr>
          <w:hyperlink w:anchor="_Toc151078683" w:history="1">
            <w:r w:rsidR="00762CDF" w:rsidRPr="00420C3D">
              <w:rPr>
                <w:rStyle w:val="Hyperlink"/>
                <w:noProof/>
              </w:rPr>
              <w:t>Discussion</w:t>
            </w:r>
            <w:r w:rsidR="00762CDF">
              <w:rPr>
                <w:noProof/>
                <w:webHidden/>
              </w:rPr>
              <w:tab/>
            </w:r>
            <w:r w:rsidR="00762CDF">
              <w:rPr>
                <w:noProof/>
                <w:webHidden/>
              </w:rPr>
              <w:fldChar w:fldCharType="begin"/>
            </w:r>
            <w:r w:rsidR="00762CDF">
              <w:rPr>
                <w:noProof/>
                <w:webHidden/>
              </w:rPr>
              <w:instrText xml:space="preserve"> PAGEREF _Toc151078683 \h </w:instrText>
            </w:r>
            <w:r w:rsidR="00762CDF">
              <w:rPr>
                <w:noProof/>
                <w:webHidden/>
              </w:rPr>
            </w:r>
            <w:r w:rsidR="00762CDF">
              <w:rPr>
                <w:noProof/>
                <w:webHidden/>
              </w:rPr>
              <w:fldChar w:fldCharType="separate"/>
            </w:r>
            <w:r w:rsidR="00762CDF">
              <w:rPr>
                <w:noProof/>
                <w:webHidden/>
              </w:rPr>
              <w:t>4</w:t>
            </w:r>
            <w:r w:rsidR="00762CDF">
              <w:rPr>
                <w:noProof/>
                <w:webHidden/>
              </w:rPr>
              <w:fldChar w:fldCharType="end"/>
            </w:r>
          </w:hyperlink>
        </w:p>
        <w:p w14:paraId="2145AB84" w14:textId="43638B16" w:rsidR="00762CDF" w:rsidRDefault="00000000">
          <w:pPr>
            <w:pStyle w:val="TOC1"/>
            <w:tabs>
              <w:tab w:val="right" w:leader="dot" w:pos="9350"/>
            </w:tabs>
            <w:rPr>
              <w:noProof/>
            </w:rPr>
          </w:pPr>
          <w:hyperlink w:anchor="_Toc151078684" w:history="1">
            <w:r w:rsidR="00762CDF" w:rsidRPr="00420C3D">
              <w:rPr>
                <w:rStyle w:val="Hyperlink"/>
                <w:noProof/>
              </w:rPr>
              <w:t>Conclusion</w:t>
            </w:r>
            <w:r w:rsidR="00762CDF">
              <w:rPr>
                <w:noProof/>
                <w:webHidden/>
              </w:rPr>
              <w:tab/>
            </w:r>
            <w:r w:rsidR="00762CDF">
              <w:rPr>
                <w:noProof/>
                <w:webHidden/>
              </w:rPr>
              <w:fldChar w:fldCharType="begin"/>
            </w:r>
            <w:r w:rsidR="00762CDF">
              <w:rPr>
                <w:noProof/>
                <w:webHidden/>
              </w:rPr>
              <w:instrText xml:space="preserve"> PAGEREF _Toc151078684 \h </w:instrText>
            </w:r>
            <w:r w:rsidR="00762CDF">
              <w:rPr>
                <w:noProof/>
                <w:webHidden/>
              </w:rPr>
            </w:r>
            <w:r w:rsidR="00762CDF">
              <w:rPr>
                <w:noProof/>
                <w:webHidden/>
              </w:rPr>
              <w:fldChar w:fldCharType="separate"/>
            </w:r>
            <w:r w:rsidR="00762CDF">
              <w:rPr>
                <w:noProof/>
                <w:webHidden/>
              </w:rPr>
              <w:t>9</w:t>
            </w:r>
            <w:r w:rsidR="00762CDF">
              <w:rPr>
                <w:noProof/>
                <w:webHidden/>
              </w:rPr>
              <w:fldChar w:fldCharType="end"/>
            </w:r>
          </w:hyperlink>
        </w:p>
        <w:p w14:paraId="08D19CFB" w14:textId="4FE4AD7C" w:rsidR="00762CDF" w:rsidRDefault="00000000">
          <w:pPr>
            <w:pStyle w:val="TOC1"/>
            <w:tabs>
              <w:tab w:val="right" w:leader="dot" w:pos="9350"/>
            </w:tabs>
            <w:rPr>
              <w:noProof/>
            </w:rPr>
          </w:pPr>
          <w:hyperlink w:anchor="_Toc151078685" w:history="1">
            <w:r w:rsidR="00762CDF" w:rsidRPr="00420C3D">
              <w:rPr>
                <w:rStyle w:val="Hyperlink"/>
                <w:noProof/>
              </w:rPr>
              <w:t>References</w:t>
            </w:r>
            <w:r w:rsidR="00762CDF">
              <w:rPr>
                <w:noProof/>
                <w:webHidden/>
              </w:rPr>
              <w:tab/>
            </w:r>
            <w:r w:rsidR="00762CDF">
              <w:rPr>
                <w:noProof/>
                <w:webHidden/>
              </w:rPr>
              <w:fldChar w:fldCharType="begin"/>
            </w:r>
            <w:r w:rsidR="00762CDF">
              <w:rPr>
                <w:noProof/>
                <w:webHidden/>
              </w:rPr>
              <w:instrText xml:space="preserve"> PAGEREF _Toc151078685 \h </w:instrText>
            </w:r>
            <w:r w:rsidR="00762CDF">
              <w:rPr>
                <w:noProof/>
                <w:webHidden/>
              </w:rPr>
            </w:r>
            <w:r w:rsidR="00762CDF">
              <w:rPr>
                <w:noProof/>
                <w:webHidden/>
              </w:rPr>
              <w:fldChar w:fldCharType="separate"/>
            </w:r>
            <w:r w:rsidR="00762CDF">
              <w:rPr>
                <w:noProof/>
                <w:webHidden/>
              </w:rPr>
              <w:t>10</w:t>
            </w:r>
            <w:r w:rsidR="00762CDF">
              <w:rPr>
                <w:noProof/>
                <w:webHidden/>
              </w:rPr>
              <w:fldChar w:fldCharType="end"/>
            </w:r>
          </w:hyperlink>
        </w:p>
        <w:p w14:paraId="50860429" w14:textId="12E053BA" w:rsidR="00762CDF" w:rsidRDefault="00762CDF">
          <w:r>
            <w:rPr>
              <w:b/>
              <w:bCs/>
              <w:noProof/>
            </w:rPr>
            <w:fldChar w:fldCharType="end"/>
          </w:r>
        </w:p>
      </w:sdtContent>
    </w:sdt>
    <w:p w14:paraId="547CD181" w14:textId="77777777" w:rsidR="00762CDF" w:rsidRDefault="00762CDF">
      <w:pPr>
        <w:spacing w:line="276" w:lineRule="auto"/>
        <w:jc w:val="left"/>
        <w:rPr>
          <w:rFonts w:eastAsiaTheme="majorEastAsia" w:cstheme="majorBidi"/>
          <w:b/>
          <w:bCs/>
          <w:color w:val="365F91" w:themeColor="accent1" w:themeShade="BF"/>
          <w:sz w:val="32"/>
          <w:szCs w:val="28"/>
        </w:rPr>
      </w:pPr>
      <w:r>
        <w:br w:type="page"/>
      </w:r>
    </w:p>
    <w:p w14:paraId="38ABF284" w14:textId="1806B5E5" w:rsidR="005C40F0" w:rsidRDefault="005C40F0" w:rsidP="005C40F0">
      <w:pPr>
        <w:pStyle w:val="Heading1"/>
      </w:pPr>
      <w:bookmarkStart w:id="0" w:name="_Toc151078682"/>
      <w:r>
        <w:lastRenderedPageBreak/>
        <w:t>Introduction</w:t>
      </w:r>
      <w:bookmarkEnd w:id="0"/>
    </w:p>
    <w:p w14:paraId="69FA3E5C" w14:textId="53CDEC8E" w:rsidR="005C40F0" w:rsidRDefault="005C40F0" w:rsidP="005C40F0">
      <w:r>
        <w:t xml:space="preserve">In the ever-changing environment of the hospitality business, where the prosperity of huge hotel chains like Hilton Worldwide is contingent on the loyalty and effectiveness of its personnel, developing efficient tactics for managing human resources is of the utmost importance. This article examines the complexities of engaging workers throughout their lives and offers Hilton-specific advice. From attraction and recruiting to development, retention, separation, and employee engagement models, the HR department shapes the employee experience. This analysis focuses on creating an encouraging work environment, nurturing professional growth, and encouraging a sense of belonging to help human resource practitioners </w:t>
      </w:r>
      <w:proofErr w:type="spellStart"/>
      <w:r>
        <w:t>optimise</w:t>
      </w:r>
      <w:proofErr w:type="spellEnd"/>
      <w:r>
        <w:t xml:space="preserve"> employee engagement in the hospitality sector.</w:t>
      </w:r>
    </w:p>
    <w:p w14:paraId="5610FEDD" w14:textId="77777777" w:rsidR="005C40F0" w:rsidRDefault="005C40F0">
      <w:pPr>
        <w:spacing w:line="276" w:lineRule="auto"/>
        <w:jc w:val="left"/>
        <w:rPr>
          <w:rFonts w:eastAsiaTheme="majorEastAsia" w:cstheme="majorBidi"/>
          <w:b/>
          <w:bCs/>
          <w:color w:val="365F91" w:themeColor="accent1" w:themeShade="BF"/>
          <w:sz w:val="32"/>
          <w:szCs w:val="28"/>
        </w:rPr>
      </w:pPr>
      <w:r>
        <w:br w:type="page"/>
      </w:r>
    </w:p>
    <w:p w14:paraId="73080597" w14:textId="12D75B98" w:rsidR="005C40F0" w:rsidRDefault="005C40F0" w:rsidP="005C40F0">
      <w:pPr>
        <w:pStyle w:val="Heading1"/>
      </w:pPr>
      <w:bookmarkStart w:id="1" w:name="_Toc151078683"/>
      <w:r w:rsidRPr="005C40F0">
        <w:lastRenderedPageBreak/>
        <w:t>Discussion</w:t>
      </w:r>
      <w:bookmarkEnd w:id="1"/>
    </w:p>
    <w:p w14:paraId="1D4E9D23" w14:textId="7F810F2D" w:rsidR="005C40F0" w:rsidRDefault="005C40F0" w:rsidP="005C40F0">
      <w:r>
        <w:t>In the context of large hotel groups such as Hilton Worldwide, the department of human resources plays a vital role in the process of developing a compelling employer identity in order to recruit the best and brightest candidates</w:t>
      </w:r>
      <w:r w:rsidR="00757268">
        <w:t xml:space="preserve"> (Card &amp; Ransom, 2017)</w:t>
      </w:r>
      <w:r>
        <w:t xml:space="preserve">. Showing off the corporate culture, values, and professional development possibilities builds and maintains an employer brand. Hilton's HR staff can successfully express the company's values and dedication to employee development using social media, job fairs, and online platforms. Implementing referral </w:t>
      </w:r>
      <w:proofErr w:type="spellStart"/>
      <w:r>
        <w:t>programmes</w:t>
      </w:r>
      <w:proofErr w:type="spellEnd"/>
      <w:r>
        <w:t xml:space="preserve"> is crucial to recruiting engagement. Encouragement of current workers to suggest prospects simplifies the recruiting process and builds workplace camaraderie</w:t>
      </w:r>
      <w:r w:rsidR="00757268">
        <w:t xml:space="preserve"> (Ziskin, 2022)</w:t>
      </w:r>
      <w:r>
        <w:t>. This method taps into existing talent and supports the premise that engaged workers are more inclined to endorse their business, creating an outstanding work environment from the start. HR should match applicant expectations with company culture during recruiting. Hilton can reduce early turnover and boost long-term employee engagement by showing employees what it's like to work there.</w:t>
      </w:r>
    </w:p>
    <w:p w14:paraId="486CB73E" w14:textId="0CBF1A8E" w:rsidR="005C40F0" w:rsidRDefault="005C40F0" w:rsidP="005C40F0">
      <w:r>
        <w:t xml:space="preserve">The onboarding process becomes a vital component of the lifecycle of an employee after the recruiting process has been completed successfully and new talent has been brought into the </w:t>
      </w:r>
      <w:proofErr w:type="spellStart"/>
      <w:r>
        <w:t>organisation</w:t>
      </w:r>
      <w:proofErr w:type="spellEnd"/>
      <w:r>
        <w:t xml:space="preserve">. A complete onboarding </w:t>
      </w:r>
      <w:proofErr w:type="spellStart"/>
      <w:r>
        <w:t>programme</w:t>
      </w:r>
      <w:proofErr w:type="spellEnd"/>
      <w:r>
        <w:t xml:space="preserve"> is necessary for Hilton Worldwide, which must provide excellent customer service and follow brand standards</w:t>
      </w:r>
      <w:r w:rsidR="00757268">
        <w:t xml:space="preserve"> (</w:t>
      </w:r>
      <w:proofErr w:type="spellStart"/>
      <w:r w:rsidR="00757268">
        <w:t>Voß</w:t>
      </w:r>
      <w:proofErr w:type="spellEnd"/>
      <w:r w:rsidR="00757268">
        <w:t xml:space="preserve"> &amp; </w:t>
      </w:r>
      <w:proofErr w:type="spellStart"/>
      <w:r w:rsidR="00757268">
        <w:t>Würtemberger</w:t>
      </w:r>
      <w:proofErr w:type="spellEnd"/>
      <w:r w:rsidR="00757268">
        <w:t>, 2023)</w:t>
      </w:r>
      <w:r>
        <w:t xml:space="preserve">. This </w:t>
      </w:r>
      <w:proofErr w:type="spellStart"/>
      <w:r>
        <w:t>programme</w:t>
      </w:r>
      <w:proofErr w:type="spellEnd"/>
      <w:r>
        <w:t xml:space="preserve"> should go beyond administrative responsibilities and introduce business culture, values, and aspirations. Mentorship </w:t>
      </w:r>
      <w:proofErr w:type="spellStart"/>
      <w:r>
        <w:t>programmes</w:t>
      </w:r>
      <w:proofErr w:type="spellEnd"/>
      <w:r>
        <w:t xml:space="preserve">, orientation seminars, and greeting activities make onboarding exciting and engaging. These </w:t>
      </w:r>
      <w:proofErr w:type="spellStart"/>
      <w:r>
        <w:t>programmes</w:t>
      </w:r>
      <w:proofErr w:type="spellEnd"/>
      <w:r>
        <w:t xml:space="preserve"> help new hires integrate and create a healthy, collaborative workplace. Technology can develop dynamic and compelling onboarding platforms. VR or mobile apps may help new hires learn about the hotel's amenities, procedures, and service standards in a more engaging manner</w:t>
      </w:r>
      <w:r w:rsidR="00757268">
        <w:t xml:space="preserve"> (Thompsen, 2020)</w:t>
      </w:r>
      <w:r>
        <w:t>. Hilton can guarantee workers feel like they belong and have the skills and expertise to contribute by investing in a strong onboarding process. Not only does this make it easier for newly hired employees to become productive members of the team, but it also sets a constructive example for the rest of the new hire's path through the firm.</w:t>
      </w:r>
    </w:p>
    <w:p w14:paraId="2D056EA6" w14:textId="74FCCDEE" w:rsidR="005C40F0" w:rsidRDefault="005C40F0" w:rsidP="005C40F0">
      <w:r>
        <w:t xml:space="preserve">Hilton Worldwide understands the need of making investments in its staff in order to achieve success in the fast-paced and cutthroat hospitality sector. Continual employee development is one </w:t>
      </w:r>
      <w:r>
        <w:lastRenderedPageBreak/>
        <w:t>of the most important factors in determining business outcomes. Hilton's human resources department ensures workers have enough training and skill development opportunities. A well-structured instructional and growth framework may help the company's employees keep up with industry trends, learn new skills, and adapt to market demands</w:t>
      </w:r>
      <w:r w:rsidR="00757268">
        <w:t xml:space="preserve"> (Ringo, 2020)</w:t>
      </w:r>
      <w:r>
        <w:t xml:space="preserve">. Training might include seminars, online courses, and mentoring. These </w:t>
      </w:r>
      <w:proofErr w:type="spellStart"/>
      <w:r>
        <w:t>programmes</w:t>
      </w:r>
      <w:proofErr w:type="spellEnd"/>
      <w:r>
        <w:t xml:space="preserve"> help workers improve professionally and promote a culture of continual learning. Hilton may show it appreciates and invests in its employees by giving appropriate resources and knowledge. To develop employees, clear career routes are essential. Hilton encourages long-term professional commitment by providing a career path. This method includes regular performance evaluations and goal-setting meetings to encourage open communication and constructive criticism between management and workers</w:t>
      </w:r>
      <w:r w:rsidR="00757268">
        <w:t xml:space="preserve"> (Phin, 2018)</w:t>
      </w:r>
      <w:r>
        <w:t xml:space="preserve">. Career growth goes beyond vertical advancement. Hilton may also promote lateral transfers and cross-functional encounters to expand workers' skills and views. This improves individual skills and makes the workforce more adaptive. In conclusion, Hilton can build a staff that is not only well-prepared to give outstanding service but is also driven by contributing to the overall achievement and creativity of the </w:t>
      </w:r>
      <w:proofErr w:type="spellStart"/>
      <w:r>
        <w:t>organisation</w:t>
      </w:r>
      <w:proofErr w:type="spellEnd"/>
      <w:r>
        <w:t xml:space="preserve"> by placing a priority on employee development.</w:t>
      </w:r>
    </w:p>
    <w:p w14:paraId="3B36F594" w14:textId="41272135" w:rsidR="005C40F0" w:rsidRDefault="005C40F0" w:rsidP="005C40F0">
      <w:r>
        <w:t>It is essential to maintain a well-performing staff, and employee retention is one of the most important aspects of this. This is especially true in the hospitality business, where employee turnover rates may be very high. Hilton's HR department develops methods to retain outstanding workers and foster a long-term culture of value, engagement, and commitment</w:t>
      </w:r>
      <w:r w:rsidR="00757268">
        <w:t xml:space="preserve"> (Mattox, 2018)</w:t>
      </w:r>
      <w:r>
        <w:t xml:space="preserve">. Effective strategies include recognition </w:t>
      </w:r>
      <w:proofErr w:type="spellStart"/>
      <w:r>
        <w:t>programmes</w:t>
      </w:r>
      <w:proofErr w:type="spellEnd"/>
      <w:r>
        <w:t xml:space="preserve">. These </w:t>
      </w:r>
      <w:proofErr w:type="spellStart"/>
      <w:r>
        <w:t>programmes</w:t>
      </w:r>
      <w:proofErr w:type="spellEnd"/>
      <w:r>
        <w:t xml:space="preserve"> might include Employee of the Monthly awards, performance incentives, and public recognition. Rewarding great performance promotes morale and shows workers that their efforts matter to the company's success. In addition to appreciation, flexible work options may boost employee retention. The hospitality sector has unpredictable hours and heavy pressure</w:t>
      </w:r>
      <w:r w:rsidR="00757268">
        <w:t xml:space="preserve"> (Marks, 2016)</w:t>
      </w:r>
      <w:r>
        <w:t xml:space="preserve">. Hilton promotes employee well-being and work-life balance by offering flexible scheduling and remote work, which boosts job satisfaction and retention. Strong leadership and mentoring </w:t>
      </w:r>
      <w:proofErr w:type="spellStart"/>
      <w:r>
        <w:t>programmes</w:t>
      </w:r>
      <w:proofErr w:type="spellEnd"/>
      <w:r>
        <w:t xml:space="preserve"> are also crucial to retention</w:t>
      </w:r>
      <w:r w:rsidR="00122288">
        <w:t xml:space="preserve"> (Whittington et al., 2019)</w:t>
      </w:r>
      <w:r>
        <w:t xml:space="preserve">. Effective leaders who care about their teams' success may create a </w:t>
      </w:r>
      <w:proofErr w:type="spellStart"/>
      <w:r>
        <w:t>favourable</w:t>
      </w:r>
      <w:proofErr w:type="spellEnd"/>
      <w:r>
        <w:t xml:space="preserve"> work atmosphere that fosters loyalty and belonging. Mentorship </w:t>
      </w:r>
      <w:proofErr w:type="spellStart"/>
      <w:r>
        <w:t>programmes</w:t>
      </w:r>
      <w:proofErr w:type="spellEnd"/>
      <w:r>
        <w:t xml:space="preserve"> may also help workers improve professionally and connect with the company. Hilton may show it supports employee voices by holding frequent feedback meetings and resolving </w:t>
      </w:r>
      <w:r>
        <w:lastRenderedPageBreak/>
        <w:t>complaints quickly. This open communication channel helps workers feel acknowledged and supported and builds trust</w:t>
      </w:r>
      <w:r w:rsidR="00122288">
        <w:t xml:space="preserve"> (Maddox-Daines, 2023)</w:t>
      </w:r>
      <w:r>
        <w:t>. Hilton retains employees beyond wages and perks</w:t>
      </w:r>
      <w:r w:rsidR="00122288">
        <w:t xml:space="preserve"> (Hilton Hotel, 2023)</w:t>
      </w:r>
      <w:r>
        <w:t xml:space="preserve">. It entails the creation of a culture at work that </w:t>
      </w:r>
      <w:proofErr w:type="spellStart"/>
      <w:r>
        <w:t>recognises</w:t>
      </w:r>
      <w:proofErr w:type="spellEnd"/>
      <w:r>
        <w:t xml:space="preserve">, supports, and engages people throughout their journey. This increases the likelihood that employees will remain dedicated to the </w:t>
      </w:r>
      <w:proofErr w:type="spellStart"/>
      <w:r>
        <w:t>organisation</w:t>
      </w:r>
      <w:proofErr w:type="spellEnd"/>
      <w:r>
        <w:t xml:space="preserve"> and continue to contribute to its continuing success.</w:t>
      </w:r>
    </w:p>
    <w:p w14:paraId="5086367F" w14:textId="136E2E41" w:rsidR="005C40F0" w:rsidRDefault="005C40F0" w:rsidP="005C40F0">
      <w:r>
        <w:t xml:space="preserve">The phase of the employee lifecycle known as "employee separation" is an unavoidable component of the cycle, and efficient management of this period is essential for both the leaving employee and the </w:t>
      </w:r>
      <w:r w:rsidR="00757268">
        <w:t>organization (Macey &amp; Fink, 2020)</w:t>
      </w:r>
      <w:r>
        <w:t>. In Hilton Worldwide, where the hotel business has substantial turnover, the HR department must address separations with professionalism, empathy, and knowledge extraction. Conducting comprehensive departure conversations is crucial to separation</w:t>
      </w:r>
      <w:r w:rsidR="00122288">
        <w:t xml:space="preserve"> (Lee &amp; Li, 2022)</w:t>
      </w:r>
      <w:r>
        <w:t>. These interviews allow departing workers to provide their comments, reasons for leaving, and improvement ideas. Hilton may strengthen continuous improvement and HR strategy by carefully listening to these ideas on workplace issues. Establishing and sustaining alumni networks is another separation strategy. Hilton can turn former workers into brand evangelists by building relationships</w:t>
      </w:r>
      <w:r w:rsidR="00757268">
        <w:t xml:space="preserve"> (Lundby &amp; </w:t>
      </w:r>
      <w:proofErr w:type="spellStart"/>
      <w:r w:rsidR="00757268">
        <w:t>Jolton</w:t>
      </w:r>
      <w:proofErr w:type="spellEnd"/>
      <w:r w:rsidR="00757268">
        <w:t>, 2020)</w:t>
      </w:r>
      <w:r>
        <w:t xml:space="preserve">. This improves employer branding and builds a network of experts who may return to the company in the future, bringing important experiences from other </w:t>
      </w:r>
      <w:proofErr w:type="spellStart"/>
      <w:r>
        <w:t>organisations</w:t>
      </w:r>
      <w:proofErr w:type="spellEnd"/>
      <w:r>
        <w:t>. A well-managed separation procedure involves timely offboarding of all relevant duties. Administrative processes, retrieving corporate assets, and informing appropriate teams of the leaving are required. A smooth offboarding procedure makes the leaving employee feel good and prepares the company for the transition</w:t>
      </w:r>
      <w:r w:rsidR="00757268">
        <w:t xml:space="preserve"> (Card &amp; Ransom, 2017)</w:t>
      </w:r>
      <w:r>
        <w:t>. Hilton should use departure interviews, alumni networks, and careful offboarding to separate. Hilton is able to retain great connections with workers who are leaving the company because the company approaches separations with professionalism and sensitivity. Additionally, the company is able to consistently adapt its techniques to improve the overall employee experience.</w:t>
      </w:r>
    </w:p>
    <w:p w14:paraId="47E59568" w14:textId="1BD3731E" w:rsidR="005C40F0" w:rsidRDefault="005C40F0" w:rsidP="005C40F0">
      <w:proofErr w:type="spellStart"/>
      <w:r>
        <w:t>Organisations</w:t>
      </w:r>
      <w:proofErr w:type="spellEnd"/>
      <w:r>
        <w:t xml:space="preserve"> that want to cultivate a pleasant workplace culture and </w:t>
      </w:r>
      <w:proofErr w:type="spellStart"/>
      <w:r>
        <w:t>maximise</w:t>
      </w:r>
      <w:proofErr w:type="spellEnd"/>
      <w:r>
        <w:t xml:space="preserve"> staff productivity should </w:t>
      </w:r>
      <w:proofErr w:type="spellStart"/>
      <w:r>
        <w:t>prioritise</w:t>
      </w:r>
      <w:proofErr w:type="spellEnd"/>
      <w:r>
        <w:t xml:space="preserve"> the implementation of a model for employee engagement as a strategic objective</w:t>
      </w:r>
      <w:r w:rsidR="00757268">
        <w:t xml:space="preserve"> (Thompsen, 2019)</w:t>
      </w:r>
      <w:r>
        <w:t xml:space="preserve">. The Gallup Q12 model </w:t>
      </w:r>
      <w:proofErr w:type="spellStart"/>
      <w:r>
        <w:t>emphasises</w:t>
      </w:r>
      <w:proofErr w:type="spellEnd"/>
      <w:r>
        <w:t xml:space="preserve"> 12 factors, from clear expectations to professional growth. At Hilton Worldwide, implementing and modifying such a concept requires leadership, communication, and ongoing development. Regular feedback is key to employee </w:t>
      </w:r>
      <w:r>
        <w:lastRenderedPageBreak/>
        <w:t>engagement. Hilton may aggressively seek employee feedback via questionnaires, town hall meetings, and suggestion boxes</w:t>
      </w:r>
      <w:r w:rsidR="00122288">
        <w:t xml:space="preserve"> (Hilton Hotel, 2023)</w:t>
      </w:r>
      <w:r>
        <w:t xml:space="preserve">. Actively interacting with this input, whether </w:t>
      </w:r>
      <w:proofErr w:type="spellStart"/>
      <w:r>
        <w:t>favourable</w:t>
      </w:r>
      <w:proofErr w:type="spellEnd"/>
      <w:r>
        <w:t xml:space="preserve"> or constructive, shows the company values employee ideas and takes steps to improve the workplace. Successful implementation requires leadership training. Fostering open communication, support, and appreciation helps managers and leaders lead engaged teams. Leaders who engage fully in the model demonstrate the ideal </w:t>
      </w:r>
      <w:proofErr w:type="spellStart"/>
      <w:r>
        <w:t>behaviours</w:t>
      </w:r>
      <w:proofErr w:type="spellEnd"/>
      <w:r>
        <w:t xml:space="preserve"> and attitudes that generate engagement. The approach should be used in leadership and performance management. This entails matching employee objectives and demands with </w:t>
      </w:r>
      <w:proofErr w:type="spellStart"/>
      <w:r>
        <w:t>organisational</w:t>
      </w:r>
      <w:proofErr w:type="spellEnd"/>
      <w:r>
        <w:t xml:space="preserve"> goals to help workers understand their responsibilities and how they contribute to Hilton's success. Building solidarity and a common objective goes beyond formal </w:t>
      </w:r>
      <w:proofErr w:type="spellStart"/>
      <w:r>
        <w:t>programmes</w:t>
      </w:r>
      <w:proofErr w:type="spellEnd"/>
      <w:r>
        <w:t xml:space="preserve"> to create a healthy work environment. Recognition </w:t>
      </w:r>
      <w:proofErr w:type="spellStart"/>
      <w:r>
        <w:t>programmes</w:t>
      </w:r>
      <w:proofErr w:type="spellEnd"/>
      <w:r>
        <w:t>, employee engagement events, and work-life balance initiatives create a connected and engaged environment</w:t>
      </w:r>
      <w:r w:rsidR="00122288">
        <w:t xml:space="preserve"> (Gallup, 2018)</w:t>
      </w:r>
      <w:r>
        <w:t xml:space="preserve">. Hilton Worldwide's employee engagement strategy needs frequent feedback, leadership development, achievement alignment, and a dedication to a healthy workplace culture. Hilton is able to create an atmosphere in which workers not only feel invested but also actively contributing to the success of the </w:t>
      </w:r>
      <w:proofErr w:type="spellStart"/>
      <w:r>
        <w:t>organisation</w:t>
      </w:r>
      <w:proofErr w:type="spellEnd"/>
      <w:r>
        <w:t xml:space="preserve"> since these ideals have been ingrained into the very fabric of the company.</w:t>
      </w:r>
    </w:p>
    <w:p w14:paraId="5F4B33C7" w14:textId="58E79ED1" w:rsidR="005C40F0" w:rsidRDefault="005C40F0" w:rsidP="005C40F0">
      <w:r>
        <w:t>An strategy that is both deliberate and well-coordinated is required in order to ensure the effective adoption of employee engagement techniques inside a big hotel chain such as Hilton Worldwide. It requires matching the engagement model's components to the company's beliefs, culture, and goals. Establishing frequent feedback channels comes first</w:t>
      </w:r>
      <w:r w:rsidR="00122288">
        <w:t xml:space="preserve"> (Gupta, 2019)</w:t>
      </w:r>
      <w:r>
        <w:t xml:space="preserve">. Create outlets for workers to share their thoughts and experiences to start the implementation process. The collection of this feedback can be greatly aided by the </w:t>
      </w:r>
      <w:proofErr w:type="spellStart"/>
      <w:r>
        <w:t>utilisation</w:t>
      </w:r>
      <w:proofErr w:type="spellEnd"/>
      <w:r>
        <w:t xml:space="preserve"> of useful tools such as questionnaires, open-forum discussions, and suggestion boxes. Data collecting alone is not enough—the </w:t>
      </w:r>
      <w:proofErr w:type="spellStart"/>
      <w:r>
        <w:t>organisation</w:t>
      </w:r>
      <w:proofErr w:type="spellEnd"/>
      <w:r>
        <w:t xml:space="preserve"> must act on the feedback to reinforce the impression that employee participation is valued and crucial to good development. Leadership is crucial to employee engagement </w:t>
      </w:r>
      <w:proofErr w:type="spellStart"/>
      <w:r>
        <w:t>programmes</w:t>
      </w:r>
      <w:proofErr w:type="spellEnd"/>
      <w:r>
        <w:t xml:space="preserve">. Leadership training </w:t>
      </w:r>
      <w:proofErr w:type="spellStart"/>
      <w:r>
        <w:t>programmes</w:t>
      </w:r>
      <w:proofErr w:type="spellEnd"/>
      <w:r>
        <w:t xml:space="preserve"> that teach managers and supervisors how to engage their teams are crucial</w:t>
      </w:r>
      <w:r w:rsidR="00122288">
        <w:t xml:space="preserve"> (Ghatak, 2022)</w:t>
      </w:r>
      <w:r>
        <w:t xml:space="preserve">. Developing a style of leadership that places an emphasis on open communication, support, and the recognition of individual contributions is necessary to accomplish this goal. Leaders influence </w:t>
      </w:r>
      <w:proofErr w:type="spellStart"/>
      <w:r>
        <w:t>favourable</w:t>
      </w:r>
      <w:proofErr w:type="spellEnd"/>
      <w:r>
        <w:t xml:space="preserve"> workplace attitudes and </w:t>
      </w:r>
      <w:proofErr w:type="spellStart"/>
      <w:r>
        <w:t>behaviours</w:t>
      </w:r>
      <w:proofErr w:type="spellEnd"/>
      <w:r>
        <w:t xml:space="preserve"> by fostering cultural transformation. Implementing the employee engagement paradigm into performance management is crucial. This entails matching individual aspirations and expectations </w:t>
      </w:r>
      <w:r>
        <w:lastRenderedPageBreak/>
        <w:t xml:space="preserve">with </w:t>
      </w:r>
      <w:proofErr w:type="spellStart"/>
      <w:r>
        <w:t>organisational</w:t>
      </w:r>
      <w:proofErr w:type="spellEnd"/>
      <w:r>
        <w:t xml:space="preserve"> aims. The </w:t>
      </w:r>
      <w:proofErr w:type="spellStart"/>
      <w:r>
        <w:t>organisation</w:t>
      </w:r>
      <w:proofErr w:type="spellEnd"/>
      <w:r>
        <w:t xml:space="preserve"> fosters a sense of purpose and value in its workers by ensuring that they are aware of the ways in which their contributions to Hilton's overall success contribute to the company's overall success. This helps to strengthen the link between individual accomplishments and overarching vision. The implementation process should go beyond official </w:t>
      </w:r>
      <w:proofErr w:type="spellStart"/>
      <w:r>
        <w:t>programmes</w:t>
      </w:r>
      <w:proofErr w:type="spellEnd"/>
      <w:r>
        <w:t xml:space="preserve"> and initiatives. A comprehensive work environment that encourages camaraderie, recognition, and work-life balance engages employees. Engagement events, award </w:t>
      </w:r>
      <w:proofErr w:type="spellStart"/>
      <w:r>
        <w:t>programmes</w:t>
      </w:r>
      <w:proofErr w:type="spellEnd"/>
      <w:r>
        <w:t xml:space="preserve">, and well-being activities create a workplace atmosphere where workers feel appreciated and connected. Sustainability is crucial to employee engagement tactics. It demands regular examination and modification. Reassessing the engagement model, adapting techniques to </w:t>
      </w:r>
      <w:proofErr w:type="spellStart"/>
      <w:r>
        <w:t>organisational</w:t>
      </w:r>
      <w:proofErr w:type="spellEnd"/>
      <w:r>
        <w:t xml:space="preserve"> requirements, and </w:t>
      </w:r>
      <w:proofErr w:type="spellStart"/>
      <w:r>
        <w:t>recognising</w:t>
      </w:r>
      <w:proofErr w:type="spellEnd"/>
      <w:r>
        <w:t xml:space="preserve"> accomplishments help </w:t>
      </w:r>
      <w:proofErr w:type="spellStart"/>
      <w:r>
        <w:t>programmes</w:t>
      </w:r>
      <w:proofErr w:type="spellEnd"/>
      <w:r>
        <w:t xml:space="preserve"> last</w:t>
      </w:r>
      <w:r w:rsidR="00122288">
        <w:t xml:space="preserve"> (</w:t>
      </w:r>
      <w:proofErr w:type="spellStart"/>
      <w:r w:rsidR="00122288">
        <w:t>Akingbola</w:t>
      </w:r>
      <w:proofErr w:type="spellEnd"/>
      <w:r w:rsidR="00122288">
        <w:t xml:space="preserve"> et al., 2022)</w:t>
      </w:r>
      <w:r>
        <w:t xml:space="preserve">. Creating a culture that is driven by feedback, making investments in leadership development, </w:t>
      </w:r>
      <w:proofErr w:type="spellStart"/>
      <w:r>
        <w:t>synchronising</w:t>
      </w:r>
      <w:proofErr w:type="spellEnd"/>
      <w:r>
        <w:t xml:space="preserve"> performance management with </w:t>
      </w:r>
      <w:proofErr w:type="spellStart"/>
      <w:r>
        <w:t>organisational</w:t>
      </w:r>
      <w:proofErr w:type="spellEnd"/>
      <w:r>
        <w:t xml:space="preserve"> goals, and cultivating a holistic work environment are some of the components necessary for effective implementation of employee engagement approaches at Hilton Worldwide. In summary. Hilton can create a workplace where people flourish and are engaged by treating implementation as a continuous process and incorporating engagement concepts into the organization's culture.</w:t>
      </w:r>
    </w:p>
    <w:p w14:paraId="630E4CAE" w14:textId="77777777" w:rsidR="005C40F0" w:rsidRDefault="005C40F0" w:rsidP="005C40F0"/>
    <w:p w14:paraId="60EDB653" w14:textId="77777777" w:rsidR="005C40F0" w:rsidRDefault="005C40F0">
      <w:pPr>
        <w:spacing w:line="276" w:lineRule="auto"/>
        <w:jc w:val="left"/>
        <w:rPr>
          <w:rFonts w:eastAsiaTheme="majorEastAsia" w:cstheme="majorBidi"/>
          <w:b/>
          <w:bCs/>
          <w:color w:val="365F91" w:themeColor="accent1" w:themeShade="BF"/>
          <w:sz w:val="32"/>
          <w:szCs w:val="28"/>
        </w:rPr>
      </w:pPr>
      <w:r>
        <w:br w:type="page"/>
      </w:r>
    </w:p>
    <w:p w14:paraId="4BE3D949" w14:textId="6E6983AF" w:rsidR="005C40F0" w:rsidRDefault="005C40F0" w:rsidP="005C40F0">
      <w:pPr>
        <w:pStyle w:val="Heading1"/>
      </w:pPr>
      <w:bookmarkStart w:id="2" w:name="_Toc151078684"/>
      <w:r>
        <w:lastRenderedPageBreak/>
        <w:t>Conclusion</w:t>
      </w:r>
      <w:bookmarkEnd w:id="2"/>
    </w:p>
    <w:p w14:paraId="7F13A067" w14:textId="77777777" w:rsidR="005C40F0" w:rsidRDefault="005C40F0" w:rsidP="005C40F0">
      <w:r>
        <w:t xml:space="preserve">In the hospitality industry, in which the success of a hotel chain depends heavily to the happiness and dedication of its workforce, the introduction of efficient human resource strategies is an absolute necessity. We found a multidimensional method to engaging Hilton Worldwide workers throughout the employment lifecycle, including attraction, recruiting, onboarding, expansion, retention, and separation. We created a roadmap for engaging and motivating employees by looking at industry examples and </w:t>
      </w:r>
      <w:proofErr w:type="spellStart"/>
      <w:r>
        <w:t>emphasising</w:t>
      </w:r>
      <w:proofErr w:type="spellEnd"/>
      <w:r>
        <w:t xml:space="preserve"> the HR department's role in positive transformation. Hilton must </w:t>
      </w:r>
      <w:proofErr w:type="spellStart"/>
      <w:r>
        <w:t>prioritise</w:t>
      </w:r>
      <w:proofErr w:type="spellEnd"/>
      <w:r>
        <w:t xml:space="preserve"> clear communication, ongoing feedback, and professional development to boost employee engagement. Through these concerted efforts, Hilton is able to not only bring in talented individuals but also nurture a work environment that supports, maintains, and empowers the people who work there, which will ultimately propel the </w:t>
      </w:r>
      <w:proofErr w:type="spellStart"/>
      <w:r>
        <w:t>organisation</w:t>
      </w:r>
      <w:proofErr w:type="spellEnd"/>
      <w:r>
        <w:t xml:space="preserve"> towards sustained growth in the increasingly competitive environment of the hospitality industry.</w:t>
      </w:r>
    </w:p>
    <w:p w14:paraId="53700D18" w14:textId="1A7881C5" w:rsidR="005C40F0" w:rsidRDefault="005C40F0">
      <w:pPr>
        <w:spacing w:line="276" w:lineRule="auto"/>
        <w:jc w:val="left"/>
      </w:pPr>
      <w:r>
        <w:br w:type="page"/>
      </w:r>
    </w:p>
    <w:p w14:paraId="1C172076" w14:textId="0385DA5C" w:rsidR="004530CF" w:rsidRDefault="005C40F0" w:rsidP="005C40F0">
      <w:pPr>
        <w:pStyle w:val="Heading1"/>
      </w:pPr>
      <w:bookmarkStart w:id="3" w:name="_Toc151078685"/>
      <w:r>
        <w:lastRenderedPageBreak/>
        <w:t>References</w:t>
      </w:r>
      <w:bookmarkEnd w:id="3"/>
    </w:p>
    <w:p w14:paraId="4C5AC40D" w14:textId="77777777" w:rsidR="00122288" w:rsidRPr="00122288" w:rsidRDefault="00122288" w:rsidP="00122288">
      <w:pPr>
        <w:jc w:val="left"/>
      </w:pPr>
      <w:r w:rsidRPr="00122288">
        <w:t xml:space="preserve">Akingbola, K., Rogers, S.E. and </w:t>
      </w:r>
      <w:proofErr w:type="spellStart"/>
      <w:r w:rsidRPr="00122288">
        <w:t>Intindola</w:t>
      </w:r>
      <w:proofErr w:type="spellEnd"/>
      <w:r w:rsidRPr="00122288">
        <w:t xml:space="preserve">, M. (2022) ‘Nonprofit employee engagement model’, </w:t>
      </w:r>
      <w:r w:rsidRPr="00122288">
        <w:rPr>
          <w:i/>
          <w:iCs/>
        </w:rPr>
        <w:t>Employee Engagement in Nonprofit Organizations</w:t>
      </w:r>
      <w:r w:rsidRPr="00122288">
        <w:t xml:space="preserve">, pp. 77–94. doi:10.1007/978-3-031-08469-0_3. </w:t>
      </w:r>
    </w:p>
    <w:p w14:paraId="51201085" w14:textId="77777777" w:rsidR="00122288" w:rsidRPr="00757268" w:rsidRDefault="00122288" w:rsidP="00122288">
      <w:pPr>
        <w:jc w:val="left"/>
      </w:pPr>
      <w:r w:rsidRPr="00757268">
        <w:t xml:space="preserve">Card, D.E. and Ransom, M.R. (2017) </w:t>
      </w:r>
      <w:r w:rsidRPr="00757268">
        <w:rPr>
          <w:i/>
          <w:iCs/>
        </w:rPr>
        <w:t>Effects in employee savings behavior</w:t>
      </w:r>
      <w:r w:rsidRPr="00757268">
        <w:t xml:space="preserve">. Cambridge, MA: National Bureau of Economic Research. </w:t>
      </w:r>
    </w:p>
    <w:p w14:paraId="5626AA70" w14:textId="77777777" w:rsidR="00122288" w:rsidRPr="00757268" w:rsidRDefault="00122288" w:rsidP="00122288">
      <w:pPr>
        <w:jc w:val="left"/>
      </w:pPr>
      <w:r w:rsidRPr="00757268">
        <w:t xml:space="preserve">Carpenter, T. and Carpenter, J. (2021) </w:t>
      </w:r>
      <w:r w:rsidRPr="00757268">
        <w:rPr>
          <w:i/>
          <w:iCs/>
        </w:rPr>
        <w:t>People First: The 5 steps to Pure Human Connection and a thriving organization</w:t>
      </w:r>
      <w:r w:rsidRPr="00757268">
        <w:t xml:space="preserve">. New York: Post Hill Press. </w:t>
      </w:r>
    </w:p>
    <w:p w14:paraId="246568A6" w14:textId="77777777" w:rsidR="00122288" w:rsidRPr="00122288" w:rsidRDefault="00122288" w:rsidP="00122288">
      <w:pPr>
        <w:jc w:val="left"/>
      </w:pPr>
      <w:r w:rsidRPr="00122288">
        <w:t xml:space="preserve">Gallup (2018) ‘Gallup Q12 model’, </w:t>
      </w:r>
      <w:proofErr w:type="spellStart"/>
      <w:r w:rsidRPr="00122288">
        <w:rPr>
          <w:i/>
          <w:iCs/>
        </w:rPr>
        <w:t>PsycTESTS</w:t>
      </w:r>
      <w:proofErr w:type="spellEnd"/>
      <w:r w:rsidRPr="00122288">
        <w:rPr>
          <w:i/>
          <w:iCs/>
        </w:rPr>
        <w:t xml:space="preserve"> Dataset</w:t>
      </w:r>
      <w:r w:rsidRPr="00122288">
        <w:t xml:space="preserve"> [Preprint]. doi:10.1037/t08764-000. </w:t>
      </w:r>
    </w:p>
    <w:p w14:paraId="616C799A" w14:textId="77777777" w:rsidR="00122288" w:rsidRPr="00122288" w:rsidRDefault="00122288" w:rsidP="00122288">
      <w:pPr>
        <w:jc w:val="left"/>
      </w:pPr>
      <w:r w:rsidRPr="00122288">
        <w:t xml:space="preserve">Ghatak, R. (2022) ‘Deploy and embed analytics—employee lifecycle’, </w:t>
      </w:r>
      <w:r w:rsidRPr="00122288">
        <w:rPr>
          <w:i/>
          <w:iCs/>
        </w:rPr>
        <w:t>Management for Professionals</w:t>
      </w:r>
      <w:r w:rsidRPr="00122288">
        <w:t xml:space="preserve">, pp. 67–80. doi:10.1007/978-981-19-3873-3_4. </w:t>
      </w:r>
    </w:p>
    <w:p w14:paraId="1981E5DC" w14:textId="77777777" w:rsidR="00122288" w:rsidRPr="00757268" w:rsidRDefault="00122288" w:rsidP="00122288">
      <w:pPr>
        <w:jc w:val="left"/>
      </w:pPr>
      <w:r w:rsidRPr="00757268">
        <w:t xml:space="preserve">Gilad, B. and </w:t>
      </w:r>
      <w:proofErr w:type="spellStart"/>
      <w:r w:rsidRPr="00757268">
        <w:t>Chussil</w:t>
      </w:r>
      <w:proofErr w:type="spellEnd"/>
      <w:r w:rsidRPr="00757268">
        <w:t xml:space="preserve">, M. (2019) </w:t>
      </w:r>
      <w:r w:rsidRPr="00757268">
        <w:rPr>
          <w:i/>
          <w:iCs/>
        </w:rPr>
        <w:t>The new employee manual: A no-holds-barred look at Corporate Life</w:t>
      </w:r>
      <w:r w:rsidRPr="00757268">
        <w:t xml:space="preserve">. IRVINE: Entrepreneur Press. </w:t>
      </w:r>
    </w:p>
    <w:p w14:paraId="275BE564" w14:textId="77777777" w:rsidR="00122288" w:rsidRPr="00122288" w:rsidRDefault="00122288" w:rsidP="00122288">
      <w:pPr>
        <w:jc w:val="left"/>
      </w:pPr>
      <w:r w:rsidRPr="00122288">
        <w:t xml:space="preserve">Gupta, S. (2019) ‘Challenges faced by Adecco Employees in handling employee lifecycle’, </w:t>
      </w:r>
      <w:r w:rsidRPr="00122288">
        <w:rPr>
          <w:i/>
          <w:iCs/>
        </w:rPr>
        <w:t>SSRN Electronic Journal</w:t>
      </w:r>
      <w:r w:rsidRPr="00122288">
        <w:t xml:space="preserve"> [Preprint]. doi:10.2139/ssrn.3307019. </w:t>
      </w:r>
    </w:p>
    <w:p w14:paraId="0B7BF736" w14:textId="77777777" w:rsidR="00122288" w:rsidRPr="00122288" w:rsidRDefault="00122288" w:rsidP="00122288">
      <w:pPr>
        <w:jc w:val="left"/>
      </w:pPr>
      <w:r w:rsidRPr="00122288">
        <w:t xml:space="preserve">Hilton Hotel (2023) </w:t>
      </w:r>
      <w:r w:rsidRPr="00122288">
        <w:rPr>
          <w:i/>
          <w:iCs/>
        </w:rPr>
        <w:t>Hilton Hotels and resorts - find hotel rooms</w:t>
      </w:r>
      <w:r w:rsidRPr="00122288">
        <w:t xml:space="preserve">. Available at: https://www.hilton.com/en/brands/hilton-hotels/ (Accessed: 17 November 2023). </w:t>
      </w:r>
    </w:p>
    <w:p w14:paraId="2DC789D7" w14:textId="77777777" w:rsidR="00122288" w:rsidRPr="00122288" w:rsidRDefault="00122288" w:rsidP="00122288">
      <w:pPr>
        <w:jc w:val="left"/>
      </w:pPr>
      <w:r w:rsidRPr="00122288">
        <w:t xml:space="preserve">Lee, Y. and Li, J.-Y. (2022) ‘Workplace discrimination, involvement recognition, and employee engagement--model’, </w:t>
      </w:r>
      <w:proofErr w:type="spellStart"/>
      <w:r w:rsidRPr="00122288">
        <w:rPr>
          <w:i/>
          <w:iCs/>
        </w:rPr>
        <w:t>PsycTESTS</w:t>
      </w:r>
      <w:proofErr w:type="spellEnd"/>
      <w:r w:rsidRPr="00122288">
        <w:rPr>
          <w:i/>
          <w:iCs/>
        </w:rPr>
        <w:t xml:space="preserve"> Dataset</w:t>
      </w:r>
      <w:r w:rsidRPr="00122288">
        <w:t xml:space="preserve"> [Preprint]. doi:10.1037/t90190-000. </w:t>
      </w:r>
    </w:p>
    <w:p w14:paraId="5AFFD1EC" w14:textId="77777777" w:rsidR="00122288" w:rsidRPr="00757268" w:rsidRDefault="00122288" w:rsidP="00122288">
      <w:pPr>
        <w:jc w:val="left"/>
      </w:pPr>
      <w:r w:rsidRPr="00757268">
        <w:t xml:space="preserve">Lundby, K.M. and </w:t>
      </w:r>
      <w:proofErr w:type="spellStart"/>
      <w:r w:rsidRPr="00757268">
        <w:t>Jolton</w:t>
      </w:r>
      <w:proofErr w:type="spellEnd"/>
      <w:r w:rsidRPr="00757268">
        <w:t xml:space="preserve">, J. (2020) </w:t>
      </w:r>
      <w:r w:rsidRPr="00757268">
        <w:rPr>
          <w:i/>
          <w:iCs/>
        </w:rPr>
        <w:t>Going global: Practical applications and recommendations for HR and OD professionals in the global workplace</w:t>
      </w:r>
      <w:r w:rsidRPr="00757268">
        <w:t xml:space="preserve">. San Francisco: Jossey-Bass. </w:t>
      </w:r>
    </w:p>
    <w:p w14:paraId="23253C41" w14:textId="77777777" w:rsidR="00122288" w:rsidRPr="00757268" w:rsidRDefault="00122288" w:rsidP="00122288">
      <w:pPr>
        <w:jc w:val="left"/>
      </w:pPr>
      <w:r w:rsidRPr="00757268">
        <w:t xml:space="preserve">Macey, W.H. and Fink, A.A. (2020) </w:t>
      </w:r>
      <w:r w:rsidRPr="00757268">
        <w:rPr>
          <w:i/>
          <w:iCs/>
        </w:rPr>
        <w:t>Employee surveys and sensing: Challenges and opportunities</w:t>
      </w:r>
      <w:r w:rsidRPr="00757268">
        <w:t xml:space="preserve">. New York, NY: Oxford University Press. </w:t>
      </w:r>
    </w:p>
    <w:p w14:paraId="66854435" w14:textId="77777777" w:rsidR="00122288" w:rsidRPr="00122288" w:rsidRDefault="00122288" w:rsidP="00122288">
      <w:pPr>
        <w:jc w:val="left"/>
      </w:pPr>
      <w:r w:rsidRPr="00122288">
        <w:t xml:space="preserve">Maddox-Daines, K. (2023) ‘Introduction to the employee lifecycle’, </w:t>
      </w:r>
      <w:r w:rsidRPr="00122288">
        <w:rPr>
          <w:i/>
          <w:iCs/>
        </w:rPr>
        <w:t>Managing People in the Hybrid Workplace</w:t>
      </w:r>
      <w:r w:rsidRPr="00122288">
        <w:t xml:space="preserve">, pp. 7–17. doi:10.4324/9781003342984-2. </w:t>
      </w:r>
    </w:p>
    <w:p w14:paraId="219680BE" w14:textId="77777777" w:rsidR="00122288" w:rsidRPr="00757268" w:rsidRDefault="00122288" w:rsidP="00122288">
      <w:pPr>
        <w:jc w:val="left"/>
      </w:pPr>
      <w:r w:rsidRPr="00757268">
        <w:lastRenderedPageBreak/>
        <w:t xml:space="preserve">Marks, K. (2016) </w:t>
      </w:r>
      <w:r w:rsidRPr="00757268">
        <w:rPr>
          <w:i/>
          <w:iCs/>
        </w:rPr>
        <w:t>HR for creative companies</w:t>
      </w:r>
      <w:r w:rsidRPr="00757268">
        <w:t xml:space="preserve">. Newcastle upon Tyne: RIBA Publishing. </w:t>
      </w:r>
    </w:p>
    <w:p w14:paraId="25D5CA8C" w14:textId="77777777" w:rsidR="00122288" w:rsidRPr="00757268" w:rsidRDefault="00122288" w:rsidP="00122288">
      <w:pPr>
        <w:jc w:val="left"/>
      </w:pPr>
      <w:r w:rsidRPr="00757268">
        <w:t xml:space="preserve">Mattox, J.R. (2018) </w:t>
      </w:r>
      <w:r w:rsidRPr="00757268">
        <w:rPr>
          <w:i/>
          <w:iCs/>
        </w:rPr>
        <w:t>Learning analytics: Measurement innovations to support employee development</w:t>
      </w:r>
      <w:r w:rsidRPr="00757268">
        <w:t xml:space="preserve">. London: Kogan Page. </w:t>
      </w:r>
    </w:p>
    <w:p w14:paraId="15C82851" w14:textId="77777777" w:rsidR="00122288" w:rsidRPr="00757268" w:rsidRDefault="00122288" w:rsidP="00122288">
      <w:pPr>
        <w:jc w:val="left"/>
      </w:pPr>
      <w:r w:rsidRPr="00757268">
        <w:t xml:space="preserve">Phin, D. (2018) </w:t>
      </w:r>
      <w:r w:rsidRPr="00757268">
        <w:rPr>
          <w:i/>
          <w:iCs/>
        </w:rPr>
        <w:t>Human resources: Selecting an HR system</w:t>
      </w:r>
      <w:r w:rsidRPr="00757268">
        <w:t xml:space="preserve">. </w:t>
      </w:r>
      <w:proofErr w:type="spellStart"/>
      <w:r w:rsidRPr="00757268">
        <w:t>Erscheinungsort</w:t>
      </w:r>
      <w:proofErr w:type="spellEnd"/>
      <w:r w:rsidRPr="00757268">
        <w:t xml:space="preserve"> </w:t>
      </w:r>
      <w:proofErr w:type="spellStart"/>
      <w:r w:rsidRPr="00757268">
        <w:t>nicht</w:t>
      </w:r>
      <w:proofErr w:type="spellEnd"/>
      <w:r w:rsidRPr="00757268">
        <w:t xml:space="preserve"> </w:t>
      </w:r>
      <w:proofErr w:type="spellStart"/>
      <w:r w:rsidRPr="00757268">
        <w:t>ermittelbar</w:t>
      </w:r>
      <w:proofErr w:type="spellEnd"/>
      <w:r w:rsidRPr="00757268">
        <w:t xml:space="preserve">: LinkedIn. </w:t>
      </w:r>
    </w:p>
    <w:p w14:paraId="3ABF5B88" w14:textId="77777777" w:rsidR="00122288" w:rsidRPr="00757268" w:rsidRDefault="00122288" w:rsidP="00122288">
      <w:pPr>
        <w:jc w:val="left"/>
      </w:pPr>
      <w:r w:rsidRPr="00757268">
        <w:t xml:space="preserve">Ringo, T. (2020) </w:t>
      </w:r>
      <w:r w:rsidRPr="00757268">
        <w:rPr>
          <w:i/>
          <w:iCs/>
        </w:rPr>
        <w:t>Solving the productivity puzzle: How people engagement, innovation and performance will transform the world of work</w:t>
      </w:r>
      <w:r w:rsidRPr="00757268">
        <w:t xml:space="preserve">. New York: Kogan Page Inc. </w:t>
      </w:r>
    </w:p>
    <w:p w14:paraId="5A273B68" w14:textId="77777777" w:rsidR="00122288" w:rsidRPr="00757268" w:rsidRDefault="00122288" w:rsidP="00122288">
      <w:pPr>
        <w:jc w:val="left"/>
      </w:pPr>
      <w:r w:rsidRPr="00757268">
        <w:t xml:space="preserve">Thompsen, J.A. (2019) </w:t>
      </w:r>
      <w:r w:rsidRPr="00757268">
        <w:rPr>
          <w:i/>
          <w:iCs/>
        </w:rPr>
        <w:t>Managing the employee lifecycle</w:t>
      </w:r>
      <w:r w:rsidRPr="00757268">
        <w:t xml:space="preserve">. London: Routledge. </w:t>
      </w:r>
    </w:p>
    <w:p w14:paraId="2E1EFE2B" w14:textId="77777777" w:rsidR="00122288" w:rsidRPr="00757268" w:rsidRDefault="00122288" w:rsidP="00122288">
      <w:pPr>
        <w:jc w:val="left"/>
      </w:pPr>
      <w:r w:rsidRPr="00757268">
        <w:t xml:space="preserve">Thompsen, J.A. (2020) </w:t>
      </w:r>
      <w:r w:rsidRPr="00757268">
        <w:rPr>
          <w:i/>
          <w:iCs/>
        </w:rPr>
        <w:t>Achieving a triple win: Human Capital Management of the employee lifecycle</w:t>
      </w:r>
      <w:r w:rsidRPr="00757268">
        <w:t xml:space="preserve">. London: Routledge. </w:t>
      </w:r>
    </w:p>
    <w:p w14:paraId="760974FC" w14:textId="77777777" w:rsidR="00122288" w:rsidRPr="00757268" w:rsidRDefault="00122288" w:rsidP="00122288">
      <w:pPr>
        <w:jc w:val="left"/>
      </w:pPr>
      <w:proofErr w:type="spellStart"/>
      <w:r w:rsidRPr="00757268">
        <w:t>Voß</w:t>
      </w:r>
      <w:proofErr w:type="spellEnd"/>
      <w:r w:rsidRPr="00757268">
        <w:t xml:space="preserve">, E. and </w:t>
      </w:r>
      <w:proofErr w:type="spellStart"/>
      <w:r w:rsidRPr="00757268">
        <w:t>Würtemberger</w:t>
      </w:r>
      <w:proofErr w:type="spellEnd"/>
      <w:r w:rsidRPr="00757268">
        <w:t xml:space="preserve">, S. (2023) </w:t>
      </w:r>
      <w:proofErr w:type="spellStart"/>
      <w:r w:rsidRPr="00757268">
        <w:rPr>
          <w:i/>
          <w:iCs/>
        </w:rPr>
        <w:t>Vielfalt</w:t>
      </w:r>
      <w:proofErr w:type="spellEnd"/>
      <w:r w:rsidRPr="00757268">
        <w:rPr>
          <w:i/>
          <w:iCs/>
        </w:rPr>
        <w:t xml:space="preserve"> </w:t>
      </w:r>
      <w:proofErr w:type="spellStart"/>
      <w:r w:rsidRPr="00757268">
        <w:rPr>
          <w:i/>
          <w:iCs/>
        </w:rPr>
        <w:t>im</w:t>
      </w:r>
      <w:proofErr w:type="spellEnd"/>
      <w:r w:rsidRPr="00757268">
        <w:rPr>
          <w:i/>
          <w:iCs/>
        </w:rPr>
        <w:t xml:space="preserve"> employee lifecycle diversity management in </w:t>
      </w:r>
      <w:proofErr w:type="spellStart"/>
      <w:r w:rsidRPr="00757268">
        <w:rPr>
          <w:i/>
          <w:iCs/>
        </w:rPr>
        <w:t>HR-prozessen</w:t>
      </w:r>
      <w:proofErr w:type="spellEnd"/>
      <w:r w:rsidRPr="00757268">
        <w:t xml:space="preserve">. Wiesbaden: Springer Gabler. </w:t>
      </w:r>
    </w:p>
    <w:p w14:paraId="63D9DEAE" w14:textId="77777777" w:rsidR="00122288" w:rsidRPr="00122288" w:rsidRDefault="00122288" w:rsidP="00122288">
      <w:pPr>
        <w:jc w:val="left"/>
      </w:pPr>
      <w:r w:rsidRPr="00122288">
        <w:t xml:space="preserve">Whittington, J.L. </w:t>
      </w:r>
      <w:r w:rsidRPr="00122288">
        <w:rPr>
          <w:i/>
          <w:iCs/>
        </w:rPr>
        <w:t>et al.</w:t>
      </w:r>
      <w:r w:rsidRPr="00122288">
        <w:t xml:space="preserve"> (2019) ‘A comprehensive, integrative model of employee engagement’, </w:t>
      </w:r>
      <w:r w:rsidRPr="00122288">
        <w:rPr>
          <w:i/>
          <w:iCs/>
        </w:rPr>
        <w:t>Enhancing Employee Engagement</w:t>
      </w:r>
      <w:r w:rsidRPr="00122288">
        <w:t xml:space="preserve">, pp. 9–18. doi:10.1007/978-3-319-54732-9_2. </w:t>
      </w:r>
    </w:p>
    <w:p w14:paraId="3840B239" w14:textId="77777777" w:rsidR="00122288" w:rsidRPr="00757268" w:rsidRDefault="00122288" w:rsidP="00122288">
      <w:pPr>
        <w:jc w:val="left"/>
      </w:pPr>
      <w:r w:rsidRPr="00757268">
        <w:t xml:space="preserve">Ziskin, I. (2022) </w:t>
      </w:r>
      <w:r w:rsidRPr="00757268">
        <w:rPr>
          <w:i/>
          <w:iCs/>
        </w:rPr>
        <w:t>The secret sauce for leading transformational change</w:t>
      </w:r>
      <w:r w:rsidRPr="00757268">
        <w:t xml:space="preserve">. New York, NY: Routledge. </w:t>
      </w:r>
    </w:p>
    <w:p w14:paraId="1F9C4F95" w14:textId="77777777" w:rsidR="005C40F0" w:rsidRDefault="005C40F0" w:rsidP="005C40F0"/>
    <w:sectPr w:rsidR="005C40F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EBE3A" w14:textId="77777777" w:rsidR="00C07F52" w:rsidRDefault="00C07F52" w:rsidP="00122288">
      <w:pPr>
        <w:spacing w:after="0" w:line="240" w:lineRule="auto"/>
      </w:pPr>
      <w:r>
        <w:separator/>
      </w:r>
    </w:p>
  </w:endnote>
  <w:endnote w:type="continuationSeparator" w:id="0">
    <w:p w14:paraId="1805B34E" w14:textId="77777777" w:rsidR="00C07F52" w:rsidRDefault="00C07F52" w:rsidP="00122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550592"/>
      <w:docPartObj>
        <w:docPartGallery w:val="Page Numbers (Bottom of Page)"/>
        <w:docPartUnique/>
      </w:docPartObj>
    </w:sdtPr>
    <w:sdtEndPr>
      <w:rPr>
        <w:noProof/>
      </w:rPr>
    </w:sdtEndPr>
    <w:sdtContent>
      <w:p w14:paraId="24A02EBA" w14:textId="54BF9E60" w:rsidR="00122288" w:rsidRDefault="001222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2007E" w14:textId="77777777" w:rsidR="00122288" w:rsidRDefault="00122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E0471" w14:textId="77777777" w:rsidR="00C07F52" w:rsidRDefault="00C07F52" w:rsidP="00122288">
      <w:pPr>
        <w:spacing w:after="0" w:line="240" w:lineRule="auto"/>
      </w:pPr>
      <w:r>
        <w:separator/>
      </w:r>
    </w:p>
  </w:footnote>
  <w:footnote w:type="continuationSeparator" w:id="0">
    <w:p w14:paraId="5D5C25BA" w14:textId="77777777" w:rsidR="00C07F52" w:rsidRDefault="00C07F52" w:rsidP="001222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0F0"/>
    <w:rsid w:val="0003407E"/>
    <w:rsid w:val="000C7078"/>
    <w:rsid w:val="00122288"/>
    <w:rsid w:val="001B3B14"/>
    <w:rsid w:val="00234023"/>
    <w:rsid w:val="00245BCB"/>
    <w:rsid w:val="0042454A"/>
    <w:rsid w:val="004530CF"/>
    <w:rsid w:val="005C40F0"/>
    <w:rsid w:val="00602732"/>
    <w:rsid w:val="006E0EDF"/>
    <w:rsid w:val="00757268"/>
    <w:rsid w:val="00762CDF"/>
    <w:rsid w:val="00A159CA"/>
    <w:rsid w:val="00A378D3"/>
    <w:rsid w:val="00B255FB"/>
    <w:rsid w:val="00B63625"/>
    <w:rsid w:val="00BD0AC9"/>
    <w:rsid w:val="00C07F52"/>
    <w:rsid w:val="00E27389"/>
    <w:rsid w:val="00E364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CE9C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semiHidden/>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Header">
    <w:name w:val="header"/>
    <w:basedOn w:val="Normal"/>
    <w:link w:val="HeaderChar"/>
    <w:uiPriority w:val="99"/>
    <w:unhideWhenUsed/>
    <w:rsid w:val="001222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288"/>
    <w:rPr>
      <w:rFonts w:ascii="Times New Roman" w:hAnsi="Times New Roman"/>
      <w:sz w:val="24"/>
    </w:rPr>
  </w:style>
  <w:style w:type="paragraph" w:styleId="Footer">
    <w:name w:val="footer"/>
    <w:basedOn w:val="Normal"/>
    <w:link w:val="FooterChar"/>
    <w:uiPriority w:val="99"/>
    <w:unhideWhenUsed/>
    <w:rsid w:val="00122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288"/>
    <w:rPr>
      <w:rFonts w:ascii="Times New Roman" w:hAnsi="Times New Roman"/>
      <w:sz w:val="24"/>
    </w:rPr>
  </w:style>
  <w:style w:type="paragraph" w:styleId="TOCHeading">
    <w:name w:val="TOC Heading"/>
    <w:basedOn w:val="Heading1"/>
    <w:next w:val="Normal"/>
    <w:uiPriority w:val="39"/>
    <w:unhideWhenUsed/>
    <w:qFormat/>
    <w:rsid w:val="00762CDF"/>
    <w:pPr>
      <w:spacing w:line="259" w:lineRule="auto"/>
      <w:jc w:val="left"/>
      <w:outlineLvl w:val="9"/>
    </w:pPr>
    <w:rPr>
      <w:rFonts w:asciiTheme="majorHAnsi" w:hAnsiTheme="majorHAnsi"/>
      <w:b w:val="0"/>
      <w:bCs w:val="0"/>
      <w:kern w:val="0"/>
      <w:szCs w:val="32"/>
      <w14:ligatures w14:val="none"/>
    </w:rPr>
  </w:style>
  <w:style w:type="paragraph" w:styleId="TOC1">
    <w:name w:val="toc 1"/>
    <w:basedOn w:val="Normal"/>
    <w:next w:val="Normal"/>
    <w:autoRedefine/>
    <w:uiPriority w:val="39"/>
    <w:unhideWhenUsed/>
    <w:rsid w:val="00762CDF"/>
    <w:pPr>
      <w:spacing w:after="100"/>
    </w:pPr>
  </w:style>
  <w:style w:type="character" w:styleId="Hyperlink">
    <w:name w:val="Hyperlink"/>
    <w:basedOn w:val="DefaultParagraphFont"/>
    <w:uiPriority w:val="99"/>
    <w:unhideWhenUsed/>
    <w:rsid w:val="00762C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029338">
      <w:bodyDiv w:val="1"/>
      <w:marLeft w:val="0"/>
      <w:marRight w:val="0"/>
      <w:marTop w:val="0"/>
      <w:marBottom w:val="0"/>
      <w:divBdr>
        <w:top w:val="none" w:sz="0" w:space="0" w:color="auto"/>
        <w:left w:val="none" w:sz="0" w:space="0" w:color="auto"/>
        <w:bottom w:val="none" w:sz="0" w:space="0" w:color="auto"/>
        <w:right w:val="none" w:sz="0" w:space="0" w:color="auto"/>
      </w:divBdr>
    </w:div>
    <w:div w:id="162137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73950-2DB4-45C6-9FA8-3800F23D51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2617</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2023-11-16T19:57:00Z</dcterms:created>
  <dcterms:modified xsi:type="dcterms:W3CDTF">2023-11-20T21:08:00Z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339d56a02ec353cd5053e7181d051bedc28b00fc96c91287f930525e901f1d42</vt:lpwstr>
  </property>
</Properties>
</file>