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522475554"/>
        <w:docPartObj>
          <w:docPartGallery w:val="Cover Pages"/>
          <w:docPartUnique/>
        </w:docPartObj>
      </w:sdtPr>
      <w:sdtEndPr>
        <w:rPr>
          <w:color w:val="auto"/>
        </w:rPr>
      </w:sdtEndPr>
      <w:sdtContent>
        <w:p w14:paraId="7AECC8DF" w14:textId="77777777" w:rsidR="000104FB" w:rsidRDefault="000104FB" w:rsidP="000104FB">
          <w:r>
            <w:rPr>
              <w:noProof/>
            </w:rPr>
            <w:drawing>
              <wp:anchor distT="0" distB="0" distL="114300" distR="114300" simplePos="0" relativeHeight="251661312" behindDoc="1" locked="0" layoutInCell="1" allowOverlap="1" wp14:anchorId="687C3567" wp14:editId="0019A96E">
                <wp:simplePos x="0" y="0"/>
                <wp:positionH relativeFrom="column">
                  <wp:posOffset>3124200</wp:posOffset>
                </wp:positionH>
                <wp:positionV relativeFrom="paragraph">
                  <wp:posOffset>0</wp:posOffset>
                </wp:positionV>
                <wp:extent cx="2752725" cy="835969"/>
                <wp:effectExtent l="0" t="0" r="0" b="2540"/>
                <wp:wrapTight wrapText="bothSides">
                  <wp:wrapPolygon edited="0">
                    <wp:start x="0" y="0"/>
                    <wp:lineTo x="0" y="21173"/>
                    <wp:lineTo x="21376" y="21173"/>
                    <wp:lineTo x="2137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rnitin – The DTL Guide"/>
                        <pic:cNvPicPr>
                          <a:picLocks noChangeAspect="1" noChangeArrowheads="1"/>
                        </pic:cNvPicPr>
                      </pic:nvPicPr>
                      <pic:blipFill rotWithShape="1">
                        <a:blip r:embed="rId9">
                          <a:extLst>
                            <a:ext uri="{28A0092B-C50C-407E-A947-70E740481C1C}">
                              <a14:useLocalDpi xmlns:a14="http://schemas.microsoft.com/office/drawing/2010/main" val="0"/>
                            </a:ext>
                          </a:extLst>
                        </a:blip>
                        <a:srcRect l="11965" t="27353" r="11423" b="28118"/>
                        <a:stretch/>
                      </pic:blipFill>
                      <pic:spPr bwMode="auto">
                        <a:xfrm>
                          <a:off x="0" y="0"/>
                          <a:ext cx="2752725" cy="83596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385A1D9" wp14:editId="689EE736">
                <wp:extent cx="2699548" cy="895350"/>
                <wp:effectExtent l="0" t="0" r="571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9820" cy="898757"/>
                        </a:xfrm>
                        <a:prstGeom prst="rect">
                          <a:avLst/>
                        </a:prstGeom>
                        <a:noFill/>
                        <a:ln>
                          <a:noFill/>
                        </a:ln>
                      </pic:spPr>
                    </pic:pic>
                  </a:graphicData>
                </a:graphic>
              </wp:inline>
            </w:drawing>
          </w:r>
        </w:p>
        <w:p w14:paraId="68E312B0" w14:textId="77777777" w:rsidR="000104FB" w:rsidRDefault="000104FB" w:rsidP="000104FB"/>
        <w:p w14:paraId="505B5C37" w14:textId="77777777" w:rsidR="000104FB" w:rsidRPr="000104FB" w:rsidRDefault="000104FB" w:rsidP="000104FB">
          <w:pPr>
            <w:jc w:val="center"/>
            <w:rPr>
              <w:b/>
              <w:bCs/>
              <w:sz w:val="28"/>
              <w:szCs w:val="28"/>
            </w:rPr>
          </w:pPr>
          <w:r w:rsidRPr="000104FB">
            <w:rPr>
              <w:b/>
              <w:bCs/>
              <w:sz w:val="28"/>
              <w:szCs w:val="28"/>
            </w:rPr>
            <w:t>Finance For Business Managers (BMMB7005)</w:t>
          </w:r>
        </w:p>
        <w:p w14:paraId="3A6A58D3" w14:textId="77777777" w:rsidR="000104FB" w:rsidRPr="00042132" w:rsidRDefault="000104FB" w:rsidP="000104FB">
          <w:pPr>
            <w:jc w:val="center"/>
            <w:rPr>
              <w:sz w:val="28"/>
              <w:szCs w:val="28"/>
            </w:rPr>
          </w:pPr>
          <w:r>
            <w:rPr>
              <w:sz w:val="28"/>
              <w:szCs w:val="28"/>
            </w:rPr>
            <w:t xml:space="preserve">Assignment </w:t>
          </w:r>
        </w:p>
        <w:p w14:paraId="1CDE6242" w14:textId="77777777" w:rsidR="000104FB" w:rsidRDefault="000104FB" w:rsidP="000104FB">
          <w:pPr>
            <w:jc w:val="center"/>
            <w:rPr>
              <w:sz w:val="28"/>
              <w:szCs w:val="28"/>
            </w:rPr>
          </w:pPr>
          <w:r w:rsidRPr="00042132">
            <w:rPr>
              <w:sz w:val="28"/>
              <w:szCs w:val="28"/>
            </w:rPr>
            <w:t>Submission Template</w:t>
          </w:r>
        </w:p>
        <w:p w14:paraId="1A6C3C05" w14:textId="77777777" w:rsidR="000104FB" w:rsidRDefault="000104FB" w:rsidP="000104FB">
          <w:pPr>
            <w:jc w:val="center"/>
            <w:rPr>
              <w:sz w:val="28"/>
              <w:szCs w:val="28"/>
            </w:rPr>
          </w:pPr>
        </w:p>
        <w:p w14:paraId="45474E94" w14:textId="77777777" w:rsidR="000104FB" w:rsidRDefault="000104FB" w:rsidP="000104FB">
          <w:pPr>
            <w:jc w:val="center"/>
            <w:rPr>
              <w:sz w:val="28"/>
              <w:szCs w:val="28"/>
            </w:rPr>
          </w:pPr>
        </w:p>
        <w:p w14:paraId="5B9E5789" w14:textId="77777777" w:rsidR="000104FB" w:rsidRDefault="000104FB" w:rsidP="000104FB">
          <w:pPr>
            <w:jc w:val="center"/>
            <w:rPr>
              <w:sz w:val="28"/>
              <w:szCs w:val="28"/>
            </w:rPr>
          </w:pPr>
          <w:r>
            <w:rPr>
              <w:sz w:val="28"/>
              <w:szCs w:val="28"/>
            </w:rPr>
            <w:t xml:space="preserve">Printed Name: Meet </w:t>
          </w:r>
          <w:proofErr w:type="spellStart"/>
          <w:r>
            <w:rPr>
              <w:sz w:val="28"/>
              <w:szCs w:val="28"/>
            </w:rPr>
            <w:t>Macwan</w:t>
          </w:r>
          <w:proofErr w:type="spellEnd"/>
          <w:r>
            <w:rPr>
              <w:sz w:val="28"/>
              <w:szCs w:val="28"/>
            </w:rPr>
            <w:t xml:space="preserve"> (2510986)</w:t>
          </w:r>
        </w:p>
        <w:p w14:paraId="6490FF74" w14:textId="77777777" w:rsidR="000104FB" w:rsidRDefault="000104FB" w:rsidP="000104FB">
          <w:pPr>
            <w:jc w:val="center"/>
            <w:rPr>
              <w:sz w:val="28"/>
              <w:szCs w:val="28"/>
            </w:rPr>
          </w:pPr>
          <w:hyperlink r:id="rId11" w:history="1">
            <w:r w:rsidRPr="00D13240">
              <w:rPr>
                <w:rStyle w:val="Hyperlink"/>
                <w:sz w:val="28"/>
                <w:szCs w:val="28"/>
              </w:rPr>
              <w:t>2510986@student.uwtsd.ac.uk</w:t>
            </w:r>
          </w:hyperlink>
          <w:r>
            <w:rPr>
              <w:sz w:val="28"/>
              <w:szCs w:val="28"/>
            </w:rPr>
            <w:t xml:space="preserve"> </w:t>
          </w:r>
        </w:p>
        <w:p w14:paraId="29A4F96E" w14:textId="77777777" w:rsidR="000104FB" w:rsidRDefault="000104FB" w:rsidP="000104FB">
          <w:pPr>
            <w:jc w:val="center"/>
            <w:rPr>
              <w:sz w:val="28"/>
              <w:szCs w:val="28"/>
            </w:rPr>
          </w:pPr>
        </w:p>
        <w:p w14:paraId="3901C734" w14:textId="77777777" w:rsidR="000104FB" w:rsidRDefault="000104FB" w:rsidP="000104FB">
          <w:pPr>
            <w:jc w:val="center"/>
            <w:rPr>
              <w:sz w:val="28"/>
              <w:szCs w:val="28"/>
            </w:rPr>
          </w:pPr>
          <w:r>
            <w:rPr>
              <w:sz w:val="28"/>
              <w:szCs w:val="28"/>
            </w:rPr>
            <w:t xml:space="preserve">Signature: </w:t>
          </w:r>
          <w:r>
            <w:rPr>
              <w:noProof/>
              <w:sz w:val="28"/>
              <w:szCs w:val="28"/>
            </w:rPr>
            <w:drawing>
              <wp:inline distT="0" distB="0" distL="0" distR="0" wp14:anchorId="3318E0F4" wp14:editId="5C7ABE6A">
                <wp:extent cx="1254207" cy="499110"/>
                <wp:effectExtent l="0" t="0" r="0" b="0"/>
                <wp:docPr id="54395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56590" name="Picture 543956590"/>
                        <pic:cNvPicPr/>
                      </pic:nvPicPr>
                      <pic:blipFill rotWithShape="1">
                        <a:blip r:embed="rId12" cstate="print">
                          <a:extLst>
                            <a:ext uri="{BEBA8EAE-BF5A-486C-A8C5-ECC9F3942E4B}">
                              <a14:imgProps xmlns:a14="http://schemas.microsoft.com/office/drawing/2010/main">
                                <a14:imgLayer r:embed="rId13">
                                  <a14:imgEffect>
                                    <a14:backgroundRemoval t="33837" b="52654" l="15640" r="78687">
                                      <a14:foregroundMark x1="24905" y1="39256" x2="24905" y2="39256"/>
                                      <a14:foregroundMark x1="54656" y1="50156" x2="54656" y2="50156"/>
                                      <a14:foregroundMark x1="65291" y1="47488" x2="65291" y2="47488"/>
                                      <a14:foregroundMark x1="65291" y1="46040" x2="65291" y2="46040"/>
                                      <a14:foregroundMark x1="70174" y1="49418" x2="70174" y2="49418"/>
                                      <a14:foregroundMark x1="52044" y1="48708" x2="52044" y2="48708"/>
                                      <a14:foregroundMark x1="54958" y1="48936" x2="54958" y2="48936"/>
                                      <a14:foregroundMark x1="65633" y1="47195" x2="65633" y2="47195"/>
                                      <a14:foregroundMark x1="65633" y1="47002" x2="65633" y2="47002"/>
                                      <a14:foregroundMark x1="64858" y1="47582" x2="64858" y2="47582"/>
                                      <a14:backgroundMark x1="30233" y1="38685" x2="30233" y2="38685"/>
                                      <a14:backgroundMark x1="31783" y1="37524" x2="31783" y2="37524"/>
                                      <a14:backgroundMark x1="63824" y1="48356" x2="63824" y2="48356"/>
                                    </a14:backgroundRemoval>
                                  </a14:imgEffect>
                                </a14:imgLayer>
                              </a14:imgProps>
                            </a:ext>
                            <a:ext uri="{28A0092B-C50C-407E-A947-70E740481C1C}">
                              <a14:useLocalDpi xmlns:a14="http://schemas.microsoft.com/office/drawing/2010/main" val="0"/>
                            </a:ext>
                          </a:extLst>
                        </a:blip>
                        <a:srcRect l="7759" t="31485" r="13432" b="44994"/>
                        <a:stretch>
                          <a:fillRect/>
                        </a:stretch>
                      </pic:blipFill>
                      <pic:spPr bwMode="auto">
                        <a:xfrm>
                          <a:off x="0" y="0"/>
                          <a:ext cx="1270502" cy="505595"/>
                        </a:xfrm>
                        <a:prstGeom prst="rect">
                          <a:avLst/>
                        </a:prstGeom>
                        <a:ln>
                          <a:noFill/>
                        </a:ln>
                        <a:extLst>
                          <a:ext uri="{53640926-AAD7-44D8-BBD7-CCE9431645EC}">
                            <a14:shadowObscured xmlns:a14="http://schemas.microsoft.com/office/drawing/2010/main"/>
                          </a:ext>
                        </a:extLst>
                      </pic:spPr>
                    </pic:pic>
                  </a:graphicData>
                </a:graphic>
              </wp:inline>
            </w:drawing>
          </w:r>
        </w:p>
        <w:p w14:paraId="1443F25B" w14:textId="77777777" w:rsidR="000104FB" w:rsidRDefault="000104FB" w:rsidP="000104FB">
          <w:pPr>
            <w:rPr>
              <w:sz w:val="28"/>
              <w:szCs w:val="28"/>
            </w:rPr>
          </w:pPr>
        </w:p>
        <w:p w14:paraId="0DB54615" w14:textId="25982A48" w:rsidR="000104FB" w:rsidRDefault="000104FB" w:rsidP="000104FB">
          <w:pPr>
            <w:rPr>
              <w:sz w:val="28"/>
              <w:szCs w:val="28"/>
            </w:rPr>
          </w:pPr>
          <w:r>
            <w:rPr>
              <w:sz w:val="28"/>
              <w:szCs w:val="28"/>
            </w:rPr>
            <w:t>Please state your chosen organisation</w:t>
          </w:r>
          <w:r>
            <w:rPr>
              <w:sz w:val="28"/>
              <w:szCs w:val="28"/>
            </w:rPr>
            <w:t xml:space="preserve">: </w:t>
          </w:r>
        </w:p>
        <w:tbl>
          <w:tblPr>
            <w:tblStyle w:val="TableGrid"/>
            <w:tblW w:w="0" w:type="auto"/>
            <w:tblLook w:val="04A0" w:firstRow="1" w:lastRow="0" w:firstColumn="1" w:lastColumn="0" w:noHBand="0" w:noVBand="1"/>
          </w:tblPr>
          <w:tblGrid>
            <w:gridCol w:w="9016"/>
          </w:tblGrid>
          <w:tr w:rsidR="000104FB" w14:paraId="555DA287" w14:textId="77777777" w:rsidTr="009D2A3E">
            <w:tc>
              <w:tcPr>
                <w:tcW w:w="9016" w:type="dxa"/>
              </w:tcPr>
              <w:p w14:paraId="7E4E4FDE" w14:textId="77777777" w:rsidR="000104FB" w:rsidRDefault="000104FB" w:rsidP="009D2A3E">
                <w:pPr>
                  <w:rPr>
                    <w:sz w:val="28"/>
                    <w:szCs w:val="28"/>
                  </w:rPr>
                </w:pPr>
              </w:p>
              <w:p w14:paraId="2B8110CE" w14:textId="32737F83" w:rsidR="000104FB" w:rsidRPr="00DA63CE" w:rsidRDefault="000104FB" w:rsidP="009D2A3E">
                <w:pPr>
                  <w:rPr>
                    <w:b/>
                    <w:bCs/>
                    <w:sz w:val="28"/>
                    <w:szCs w:val="28"/>
                  </w:rPr>
                </w:pPr>
                <w:r w:rsidRPr="00DA63CE">
                  <w:rPr>
                    <w:b/>
                    <w:bCs/>
                    <w:sz w:val="28"/>
                    <w:szCs w:val="28"/>
                  </w:rPr>
                  <w:t xml:space="preserve">Selected </w:t>
                </w:r>
                <w:r>
                  <w:rPr>
                    <w:b/>
                    <w:bCs/>
                    <w:sz w:val="28"/>
                    <w:szCs w:val="28"/>
                  </w:rPr>
                  <w:t>O</w:t>
                </w:r>
                <w:r w:rsidRPr="00DA63CE">
                  <w:rPr>
                    <w:b/>
                    <w:bCs/>
                    <w:sz w:val="28"/>
                    <w:szCs w:val="28"/>
                  </w:rPr>
                  <w:t>rganisation:</w:t>
                </w:r>
                <w:r>
                  <w:rPr>
                    <w:b/>
                    <w:bCs/>
                    <w:sz w:val="28"/>
                    <w:szCs w:val="28"/>
                  </w:rPr>
                  <w:t xml:space="preserve"> </w:t>
                </w:r>
                <w:r>
                  <w:rPr>
                    <w:b/>
                    <w:bCs/>
                    <w:sz w:val="28"/>
                    <w:szCs w:val="28"/>
                  </w:rPr>
                  <w:t xml:space="preserve">HSBC </w:t>
                </w:r>
                <w:r>
                  <w:rPr>
                    <w:b/>
                    <w:bCs/>
                    <w:sz w:val="28"/>
                    <w:szCs w:val="28"/>
                  </w:rPr>
                  <w:t xml:space="preserve"> </w:t>
                </w:r>
              </w:p>
              <w:p w14:paraId="116E8143" w14:textId="77777777" w:rsidR="000104FB" w:rsidRDefault="000104FB" w:rsidP="009D2A3E">
                <w:pPr>
                  <w:rPr>
                    <w:sz w:val="28"/>
                    <w:szCs w:val="28"/>
                  </w:rPr>
                </w:pPr>
              </w:p>
              <w:p w14:paraId="57619352" w14:textId="77777777" w:rsidR="000104FB" w:rsidRDefault="000104FB" w:rsidP="009D2A3E">
                <w:pPr>
                  <w:rPr>
                    <w:sz w:val="28"/>
                    <w:szCs w:val="28"/>
                  </w:rPr>
                </w:pPr>
              </w:p>
            </w:tc>
          </w:tr>
        </w:tbl>
        <w:p w14:paraId="453B1403" w14:textId="77777777" w:rsidR="000104FB" w:rsidRDefault="000104FB" w:rsidP="000104FB">
          <w:pPr>
            <w:pStyle w:val="NoSpacing"/>
            <w:spacing w:before="1540" w:after="240"/>
            <w:jc w:val="center"/>
            <w:rPr>
              <w:rFonts w:eastAsiaTheme="minorHAnsi"/>
              <w:color w:val="5B9BD5" w:themeColor="accent1"/>
              <w:lang w:val="en-GB"/>
            </w:rPr>
          </w:pPr>
        </w:p>
        <w:p w14:paraId="5384490A" w14:textId="3ED67B0A" w:rsidR="007D1947" w:rsidRPr="000104FB" w:rsidRDefault="007D1947" w:rsidP="000104FB">
          <w:pPr>
            <w:pStyle w:val="NoSpacing"/>
            <w:spacing w:before="1540" w:after="240"/>
            <w:jc w:val="center"/>
            <w:rPr>
              <w:rFonts w:eastAsiaTheme="minorHAnsi"/>
              <w:color w:val="5B9BD5" w:themeColor="accent1"/>
              <w:lang w:val="en-GB"/>
            </w:rPr>
          </w:pPr>
          <w:r>
            <w:rPr>
              <w:noProof/>
              <w:color w:val="5B9BD5" w:themeColor="accent1"/>
              <w:lang w:val="en-GB" w:eastAsia="en-GB"/>
            </w:rPr>
            <w:lastRenderedPageBreak/>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80"/>
              <w:szCs w:val="8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475B7674" w14:textId="26D8B1BD" w:rsidR="007D1947" w:rsidRPr="000104FB" w:rsidRDefault="00B66795" w:rsidP="000104F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0104FB">
                <w:rPr>
                  <w:rFonts w:asciiTheme="majorHAnsi" w:eastAsiaTheme="majorEastAsia" w:hAnsiTheme="majorHAnsi" w:cstheme="majorBidi"/>
                  <w:caps/>
                  <w:color w:val="5B9BD5" w:themeColor="accent1"/>
                  <w:sz w:val="80"/>
                  <w:szCs w:val="80"/>
                </w:rPr>
                <w:t>HSBC</w:t>
              </w:r>
            </w:p>
          </w:sdtContent>
        </w:sdt>
        <w:p w14:paraId="1ADC1124" w14:textId="77777777" w:rsidR="007D1947" w:rsidRDefault="007D1947" w:rsidP="000104FB">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3C347D3E" w:rsidR="007D1947" w:rsidRDefault="000104FB">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1-12T00:00:00Z">
                              <w:dateFormat w:val="MMMM d, yyyy"/>
                              <w:lid w:val="en-US"/>
                              <w:storeMappedDataAs w:val="dateTime"/>
                              <w:calendar w:val="gregorian"/>
                            </w:date>
                          </w:sdtPr>
                          <w:sdtContent>
                            <w:p w14:paraId="52BAF8D9" w14:textId="3C347D3E" w:rsidR="007D1947" w:rsidRDefault="000104FB">
                              <w:pPr>
                                <w:pStyle w:val="NoSpacing"/>
                                <w:spacing w:after="40"/>
                                <w:jc w:val="center"/>
                                <w:rPr>
                                  <w:caps/>
                                  <w:color w:val="5B9BD5" w:themeColor="accent1"/>
                                  <w:sz w:val="28"/>
                                  <w:szCs w:val="28"/>
                                </w:rPr>
                              </w:pPr>
                              <w:r>
                                <w:rPr>
                                  <w:caps/>
                                  <w:color w:val="5B9BD5" w:themeColor="accent1"/>
                                  <w:sz w:val="28"/>
                                  <w:szCs w:val="28"/>
                                </w:rPr>
                                <w:t>January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0104FB" w:rsidRDefault="007D1947" w:rsidP="000104FB">
          <w:pPr>
            <w:pStyle w:val="Heading1"/>
            <w:jc w:val="both"/>
            <w:rPr>
              <w:rFonts w:asciiTheme="minorBidi" w:hAnsiTheme="minorBidi" w:cstheme="minorBidi"/>
              <w:sz w:val="28"/>
              <w:szCs w:val="28"/>
            </w:rPr>
          </w:pPr>
          <w:r>
            <w:br w:type="page"/>
          </w:r>
          <w:bookmarkStart w:id="0" w:name="_Toc219110403"/>
          <w:r w:rsidRPr="000104FB">
            <w:rPr>
              <w:rFonts w:asciiTheme="minorBidi" w:hAnsiTheme="minorBidi" w:cstheme="minorBidi"/>
              <w:sz w:val="28"/>
              <w:szCs w:val="28"/>
            </w:rPr>
            <w:lastRenderedPageBreak/>
            <w:t>Executive Summary</w:t>
          </w:r>
          <w:bookmarkEnd w:id="0"/>
        </w:p>
        <w:p w14:paraId="3BF5D797" w14:textId="511A8CEC"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This report delivers a dual-track financial analysis designed to guide board-level decision-making through the volatile economic landscape of early 2026. It juxtaposes the macro-strategic challenges facing HSBC Holdings PLC with a micro-level capital investment appraisal for Westward PLC, identifying a shared imperative: the shift from passive asset accumulation to rigorous capital efficiency.</w:t>
          </w:r>
          <w:r>
            <w:rPr>
              <w:rFonts w:asciiTheme="minorBidi" w:hAnsiTheme="minorBidi"/>
              <w:sz w:val="24"/>
              <w:szCs w:val="24"/>
            </w:rPr>
            <w:t xml:space="preserve"> </w:t>
          </w:r>
          <w:r w:rsidRPr="000104FB">
            <w:rPr>
              <w:rFonts w:asciiTheme="minorBidi" w:hAnsiTheme="minorBidi"/>
              <w:sz w:val="24"/>
              <w:szCs w:val="24"/>
            </w:rPr>
            <w:t>For HSBC, a critical evaluation of FY2024 reveals that the headline profit of $30bn is heavily distorted by the $4.8bn gain from the Canada disposal. Underlying metrics expose structural fragility; as reported by the Financial Times (Jan 2025), the Cost Efficiency Ratio has deteriorated to 50.2%, necessitating CEO Georges Elhedery’s radical "Simplification Plan." Furthermore, Bloomberg Intelligence confirms that "deposit migration" has compressed the Net Interest Margin (NIM) to 1.56%, while Reuters flags a latent $3.4bn risk exposure to Chinese commercial real estate. Consequently, the report recommends an urgent strategic pivot toward "Asian Wealth Corridors" to replace eroding interest income with fee-based revenue.</w:t>
          </w:r>
        </w:p>
        <w:p w14:paraId="615C7DA4"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Parallel to this, the appraisal for Westward PLC applies Net Present Value (NPV) and Capital Rationing to a £2.5m expansion budget. The analysis proves that while Manufacturing (Option C) offers scale, the Internet Sales project (Option B) delivers superior capital efficiency (£831k NPV). A sensitivity analysis confirms Option B remains viable even if sales drop 10%. The report concludes by recommending a financing strategy that prioritizes Retained Earnings and debt over equity to prevent dilution. Ultimately, both cases demonstrate that in 2026, sustainable shareholder value depends on the disciplined deployment of capital rather than the size of the balance sheet.</w:t>
          </w:r>
        </w:p>
        <w:p w14:paraId="237746A2" w14:textId="77777777" w:rsidR="000104FB" w:rsidRDefault="000104FB" w:rsidP="000104FB">
          <w:pPr>
            <w:jc w:val="both"/>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129CC67C" w:rsidR="007D1947" w:rsidRPr="000104FB" w:rsidRDefault="007D1947" w:rsidP="000104FB">
              <w:pPr>
                <w:pStyle w:val="TOCHeading"/>
                <w:jc w:val="both"/>
                <w:rPr>
                  <w:rFonts w:asciiTheme="minorBidi" w:hAnsiTheme="minorBidi" w:cstheme="minorBidi"/>
                  <w:sz w:val="28"/>
                  <w:szCs w:val="28"/>
                </w:rPr>
              </w:pPr>
              <w:r w:rsidRPr="000104FB">
                <w:rPr>
                  <w:rFonts w:asciiTheme="minorBidi" w:hAnsiTheme="minorBidi" w:cstheme="minorBidi"/>
                  <w:sz w:val="28"/>
                  <w:szCs w:val="28"/>
                </w:rPr>
                <w:t>Table of Contents</w:t>
              </w:r>
            </w:p>
            <w:p w14:paraId="7CD3D2D6" w14:textId="324467D7" w:rsidR="000104FB" w:rsidRDefault="007D1947">
              <w:pPr>
                <w:pStyle w:val="TOC1"/>
                <w:rPr>
                  <w:rFonts w:eastAsiaTheme="minorEastAsia"/>
                  <w:noProof/>
                  <w:kern w:val="2"/>
                  <w:sz w:val="24"/>
                  <w:szCs w:val="24"/>
                  <w:lang w:eastAsia="en-GB" w:bidi="gu-IN"/>
                  <w14:ligatures w14:val="standardContextual"/>
                </w:rPr>
              </w:pPr>
              <w:r w:rsidRPr="008544B7">
                <w:rPr>
                  <w:rFonts w:asciiTheme="minorBidi" w:hAnsiTheme="minorBidi"/>
                  <w:sz w:val="24"/>
                  <w:szCs w:val="24"/>
                </w:rPr>
                <w:fldChar w:fldCharType="begin"/>
              </w:r>
              <w:r w:rsidRPr="008544B7">
                <w:rPr>
                  <w:rFonts w:asciiTheme="minorBidi" w:hAnsiTheme="minorBidi"/>
                  <w:sz w:val="24"/>
                  <w:szCs w:val="24"/>
                </w:rPr>
                <w:instrText xml:space="preserve"> TOC \o "1-3" \h \z \u </w:instrText>
              </w:r>
              <w:r w:rsidRPr="008544B7">
                <w:rPr>
                  <w:rFonts w:asciiTheme="minorBidi" w:hAnsiTheme="minorBidi"/>
                  <w:sz w:val="24"/>
                  <w:szCs w:val="24"/>
                </w:rPr>
                <w:fldChar w:fldCharType="separate"/>
              </w:r>
              <w:hyperlink w:anchor="_Toc219110403" w:history="1">
                <w:r w:rsidR="000104FB" w:rsidRPr="007D15F2">
                  <w:rPr>
                    <w:rStyle w:val="Hyperlink"/>
                    <w:rFonts w:asciiTheme="minorBidi" w:hAnsiTheme="minorBidi"/>
                    <w:noProof/>
                  </w:rPr>
                  <w:t>Executive Summary</w:t>
                </w:r>
                <w:r w:rsidR="000104FB">
                  <w:rPr>
                    <w:noProof/>
                    <w:webHidden/>
                  </w:rPr>
                  <w:tab/>
                </w:r>
                <w:r w:rsidR="000104FB">
                  <w:rPr>
                    <w:noProof/>
                    <w:webHidden/>
                  </w:rPr>
                  <w:fldChar w:fldCharType="begin"/>
                </w:r>
                <w:r w:rsidR="000104FB">
                  <w:rPr>
                    <w:noProof/>
                    <w:webHidden/>
                  </w:rPr>
                  <w:instrText xml:space="preserve"> PAGEREF _Toc219110403 \h </w:instrText>
                </w:r>
                <w:r w:rsidR="000104FB">
                  <w:rPr>
                    <w:noProof/>
                    <w:webHidden/>
                  </w:rPr>
                </w:r>
                <w:r w:rsidR="000104FB">
                  <w:rPr>
                    <w:noProof/>
                    <w:webHidden/>
                  </w:rPr>
                  <w:fldChar w:fldCharType="separate"/>
                </w:r>
                <w:r w:rsidR="000104FB">
                  <w:rPr>
                    <w:noProof/>
                    <w:webHidden/>
                  </w:rPr>
                  <w:t>1</w:t>
                </w:r>
                <w:r w:rsidR="000104FB">
                  <w:rPr>
                    <w:noProof/>
                    <w:webHidden/>
                  </w:rPr>
                  <w:fldChar w:fldCharType="end"/>
                </w:r>
              </w:hyperlink>
            </w:p>
            <w:p w14:paraId="654C58F2" w14:textId="7CC4B6D9" w:rsidR="000104FB" w:rsidRDefault="000104FB">
              <w:pPr>
                <w:pStyle w:val="TOC1"/>
                <w:rPr>
                  <w:rFonts w:eastAsiaTheme="minorEastAsia"/>
                  <w:noProof/>
                  <w:kern w:val="2"/>
                  <w:sz w:val="24"/>
                  <w:szCs w:val="24"/>
                  <w:lang w:eastAsia="en-GB" w:bidi="gu-IN"/>
                  <w14:ligatures w14:val="standardContextual"/>
                </w:rPr>
              </w:pPr>
              <w:hyperlink w:anchor="_Toc219110404" w:history="1">
                <w:r w:rsidRPr="007D15F2">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_Toc219110404 \h </w:instrText>
                </w:r>
                <w:r>
                  <w:rPr>
                    <w:noProof/>
                    <w:webHidden/>
                  </w:rPr>
                </w:r>
                <w:r>
                  <w:rPr>
                    <w:noProof/>
                    <w:webHidden/>
                  </w:rPr>
                  <w:fldChar w:fldCharType="separate"/>
                </w:r>
                <w:r>
                  <w:rPr>
                    <w:noProof/>
                    <w:webHidden/>
                  </w:rPr>
                  <w:t>4</w:t>
                </w:r>
                <w:r>
                  <w:rPr>
                    <w:noProof/>
                    <w:webHidden/>
                  </w:rPr>
                  <w:fldChar w:fldCharType="end"/>
                </w:r>
              </w:hyperlink>
            </w:p>
            <w:p w14:paraId="3CFD29D6" w14:textId="3790BD28" w:rsidR="000104FB" w:rsidRDefault="000104FB">
              <w:pPr>
                <w:pStyle w:val="TOC1"/>
                <w:rPr>
                  <w:rFonts w:eastAsiaTheme="minorEastAsia"/>
                  <w:noProof/>
                  <w:kern w:val="2"/>
                  <w:sz w:val="24"/>
                  <w:szCs w:val="24"/>
                  <w:lang w:eastAsia="en-GB" w:bidi="gu-IN"/>
                  <w14:ligatures w14:val="standardContextual"/>
                </w:rPr>
              </w:pPr>
              <w:hyperlink w:anchor="_Toc219110405" w:history="1">
                <w:r w:rsidRPr="007D15F2">
                  <w:rPr>
                    <w:rStyle w:val="Hyperlink"/>
                    <w:rFonts w:asciiTheme="minorBidi" w:hAnsiTheme="minorBidi"/>
                    <w:noProof/>
                  </w:rPr>
                  <w:t>Main Findings</w:t>
                </w:r>
                <w:r>
                  <w:rPr>
                    <w:noProof/>
                    <w:webHidden/>
                  </w:rPr>
                  <w:tab/>
                </w:r>
                <w:r>
                  <w:rPr>
                    <w:noProof/>
                    <w:webHidden/>
                  </w:rPr>
                  <w:fldChar w:fldCharType="begin"/>
                </w:r>
                <w:r>
                  <w:rPr>
                    <w:noProof/>
                    <w:webHidden/>
                  </w:rPr>
                  <w:instrText xml:space="preserve"> PAGEREF _Toc219110405 \h </w:instrText>
                </w:r>
                <w:r>
                  <w:rPr>
                    <w:noProof/>
                    <w:webHidden/>
                  </w:rPr>
                </w:r>
                <w:r>
                  <w:rPr>
                    <w:noProof/>
                    <w:webHidden/>
                  </w:rPr>
                  <w:fldChar w:fldCharType="separate"/>
                </w:r>
                <w:r>
                  <w:rPr>
                    <w:noProof/>
                    <w:webHidden/>
                  </w:rPr>
                  <w:t>5</w:t>
                </w:r>
                <w:r>
                  <w:rPr>
                    <w:noProof/>
                    <w:webHidden/>
                  </w:rPr>
                  <w:fldChar w:fldCharType="end"/>
                </w:r>
              </w:hyperlink>
            </w:p>
            <w:p w14:paraId="573ABC20" w14:textId="3C450A47" w:rsidR="000104FB" w:rsidRDefault="000104FB">
              <w:pPr>
                <w:pStyle w:val="TOC2"/>
                <w:tabs>
                  <w:tab w:val="right" w:leader="dot" w:pos="9016"/>
                </w:tabs>
                <w:rPr>
                  <w:rFonts w:eastAsiaTheme="minorEastAsia"/>
                  <w:noProof/>
                  <w:kern w:val="2"/>
                  <w:sz w:val="24"/>
                  <w:szCs w:val="24"/>
                  <w:lang w:eastAsia="en-GB" w:bidi="gu-IN"/>
                  <w14:ligatures w14:val="standardContextual"/>
                </w:rPr>
              </w:pPr>
              <w:hyperlink w:anchor="_Toc219110406" w:history="1">
                <w:r w:rsidRPr="007D15F2">
                  <w:rPr>
                    <w:rStyle w:val="Hyperlink"/>
                    <w:rFonts w:asciiTheme="minorBidi" w:hAnsiTheme="minorBidi"/>
                    <w:noProof/>
                  </w:rPr>
                  <w:t>Part 1 (Financial Analysis Report – HSBC Holdings PLC)</w:t>
                </w:r>
                <w:r>
                  <w:rPr>
                    <w:noProof/>
                    <w:webHidden/>
                  </w:rPr>
                  <w:tab/>
                </w:r>
                <w:r>
                  <w:rPr>
                    <w:noProof/>
                    <w:webHidden/>
                  </w:rPr>
                  <w:fldChar w:fldCharType="begin"/>
                </w:r>
                <w:r>
                  <w:rPr>
                    <w:noProof/>
                    <w:webHidden/>
                  </w:rPr>
                  <w:instrText xml:space="preserve"> PAGEREF _Toc219110406 \h </w:instrText>
                </w:r>
                <w:r>
                  <w:rPr>
                    <w:noProof/>
                    <w:webHidden/>
                  </w:rPr>
                </w:r>
                <w:r>
                  <w:rPr>
                    <w:noProof/>
                    <w:webHidden/>
                  </w:rPr>
                  <w:fldChar w:fldCharType="separate"/>
                </w:r>
                <w:r>
                  <w:rPr>
                    <w:noProof/>
                    <w:webHidden/>
                  </w:rPr>
                  <w:t>5</w:t>
                </w:r>
                <w:r>
                  <w:rPr>
                    <w:noProof/>
                    <w:webHidden/>
                  </w:rPr>
                  <w:fldChar w:fldCharType="end"/>
                </w:r>
              </w:hyperlink>
            </w:p>
            <w:p w14:paraId="034FF91C" w14:textId="312E2BE0"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07" w:history="1">
                <w:r w:rsidRPr="007D15F2">
                  <w:rPr>
                    <w:rStyle w:val="Hyperlink"/>
                    <w:noProof/>
                  </w:rPr>
                  <w:t>1.</w:t>
                </w:r>
                <w:r>
                  <w:rPr>
                    <w:rFonts w:eastAsiaTheme="minorEastAsia"/>
                    <w:noProof/>
                    <w:kern w:val="2"/>
                    <w:sz w:val="24"/>
                    <w:szCs w:val="24"/>
                    <w:lang w:eastAsia="en-GB" w:bidi="gu-IN"/>
                    <w14:ligatures w14:val="standardContextual"/>
                  </w:rPr>
                  <w:tab/>
                </w:r>
                <w:r w:rsidRPr="007D15F2">
                  <w:rPr>
                    <w:rStyle w:val="Hyperlink"/>
                    <w:noProof/>
                  </w:rPr>
                  <w:t>Ratio Analysis</w:t>
                </w:r>
                <w:r>
                  <w:rPr>
                    <w:noProof/>
                    <w:webHidden/>
                  </w:rPr>
                  <w:tab/>
                </w:r>
                <w:r>
                  <w:rPr>
                    <w:noProof/>
                    <w:webHidden/>
                  </w:rPr>
                  <w:fldChar w:fldCharType="begin"/>
                </w:r>
                <w:r>
                  <w:rPr>
                    <w:noProof/>
                    <w:webHidden/>
                  </w:rPr>
                  <w:instrText xml:space="preserve"> PAGEREF _Toc219110407 \h </w:instrText>
                </w:r>
                <w:r>
                  <w:rPr>
                    <w:noProof/>
                    <w:webHidden/>
                  </w:rPr>
                </w:r>
                <w:r>
                  <w:rPr>
                    <w:noProof/>
                    <w:webHidden/>
                  </w:rPr>
                  <w:fldChar w:fldCharType="separate"/>
                </w:r>
                <w:r>
                  <w:rPr>
                    <w:noProof/>
                    <w:webHidden/>
                  </w:rPr>
                  <w:t>5</w:t>
                </w:r>
                <w:r>
                  <w:rPr>
                    <w:noProof/>
                    <w:webHidden/>
                  </w:rPr>
                  <w:fldChar w:fldCharType="end"/>
                </w:r>
              </w:hyperlink>
            </w:p>
            <w:p w14:paraId="2E1466B6" w14:textId="26C4524D"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08" w:history="1">
                <w:r w:rsidRPr="007D15F2">
                  <w:rPr>
                    <w:rStyle w:val="Hyperlink"/>
                    <w:noProof/>
                  </w:rPr>
                  <w:t>Table 1: Key Profitability and Efficiency Ratios (FY2023–FY2024)</w:t>
                </w:r>
                <w:r>
                  <w:rPr>
                    <w:noProof/>
                    <w:webHidden/>
                  </w:rPr>
                  <w:tab/>
                </w:r>
                <w:r>
                  <w:rPr>
                    <w:noProof/>
                    <w:webHidden/>
                  </w:rPr>
                  <w:fldChar w:fldCharType="begin"/>
                </w:r>
                <w:r>
                  <w:rPr>
                    <w:noProof/>
                    <w:webHidden/>
                  </w:rPr>
                  <w:instrText xml:space="preserve"> PAGEREF _Toc219110408 \h </w:instrText>
                </w:r>
                <w:r>
                  <w:rPr>
                    <w:noProof/>
                    <w:webHidden/>
                  </w:rPr>
                </w:r>
                <w:r>
                  <w:rPr>
                    <w:noProof/>
                    <w:webHidden/>
                  </w:rPr>
                  <w:fldChar w:fldCharType="separate"/>
                </w:r>
                <w:r>
                  <w:rPr>
                    <w:noProof/>
                    <w:webHidden/>
                  </w:rPr>
                  <w:t>6</w:t>
                </w:r>
                <w:r>
                  <w:rPr>
                    <w:noProof/>
                    <w:webHidden/>
                  </w:rPr>
                  <w:fldChar w:fldCharType="end"/>
                </w:r>
              </w:hyperlink>
            </w:p>
            <w:p w14:paraId="5FB52F28" w14:textId="1DADD5AA"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09" w:history="1">
                <w:r w:rsidRPr="007D15F2">
                  <w:rPr>
                    <w:rStyle w:val="Hyperlink"/>
                    <w:noProof/>
                  </w:rPr>
                  <w:t xml:space="preserve">Table 2: </w:t>
                </w:r>
                <w:r w:rsidRPr="007D15F2">
                  <w:rPr>
                    <w:rStyle w:val="Hyperlink"/>
                    <w:noProof/>
                    <w:lang w:eastAsia="en-GB"/>
                  </w:rPr>
                  <w:t>Key Liquidity and Capital Ratios (FY2023–FY2024)</w:t>
                </w:r>
                <w:r>
                  <w:rPr>
                    <w:noProof/>
                    <w:webHidden/>
                  </w:rPr>
                  <w:tab/>
                </w:r>
                <w:r>
                  <w:rPr>
                    <w:noProof/>
                    <w:webHidden/>
                  </w:rPr>
                  <w:fldChar w:fldCharType="begin"/>
                </w:r>
                <w:r>
                  <w:rPr>
                    <w:noProof/>
                    <w:webHidden/>
                  </w:rPr>
                  <w:instrText xml:space="preserve"> PAGEREF _Toc219110409 \h </w:instrText>
                </w:r>
                <w:r>
                  <w:rPr>
                    <w:noProof/>
                    <w:webHidden/>
                  </w:rPr>
                </w:r>
                <w:r>
                  <w:rPr>
                    <w:noProof/>
                    <w:webHidden/>
                  </w:rPr>
                  <w:fldChar w:fldCharType="separate"/>
                </w:r>
                <w:r>
                  <w:rPr>
                    <w:noProof/>
                    <w:webHidden/>
                  </w:rPr>
                  <w:t>7</w:t>
                </w:r>
                <w:r>
                  <w:rPr>
                    <w:noProof/>
                    <w:webHidden/>
                  </w:rPr>
                  <w:fldChar w:fldCharType="end"/>
                </w:r>
              </w:hyperlink>
            </w:p>
            <w:p w14:paraId="44DEF69C" w14:textId="31E67F64"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10" w:history="1">
                <w:r w:rsidRPr="007D15F2">
                  <w:rPr>
                    <w:rStyle w:val="Hyperlink"/>
                    <w:noProof/>
                  </w:rPr>
                  <w:t>Table 3: Gearing and Capital Structure Metrics (FY2023–FY2024)</w:t>
                </w:r>
                <w:r>
                  <w:rPr>
                    <w:noProof/>
                    <w:webHidden/>
                  </w:rPr>
                  <w:tab/>
                </w:r>
                <w:r>
                  <w:rPr>
                    <w:noProof/>
                    <w:webHidden/>
                  </w:rPr>
                  <w:fldChar w:fldCharType="begin"/>
                </w:r>
                <w:r>
                  <w:rPr>
                    <w:noProof/>
                    <w:webHidden/>
                  </w:rPr>
                  <w:instrText xml:space="preserve"> PAGEREF _Toc219110410 \h </w:instrText>
                </w:r>
                <w:r>
                  <w:rPr>
                    <w:noProof/>
                    <w:webHidden/>
                  </w:rPr>
                </w:r>
                <w:r>
                  <w:rPr>
                    <w:noProof/>
                    <w:webHidden/>
                  </w:rPr>
                  <w:fldChar w:fldCharType="separate"/>
                </w:r>
                <w:r>
                  <w:rPr>
                    <w:noProof/>
                    <w:webHidden/>
                  </w:rPr>
                  <w:t>8</w:t>
                </w:r>
                <w:r>
                  <w:rPr>
                    <w:noProof/>
                    <w:webHidden/>
                  </w:rPr>
                  <w:fldChar w:fldCharType="end"/>
                </w:r>
              </w:hyperlink>
            </w:p>
            <w:p w14:paraId="38A799C9" w14:textId="30579C4E"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11" w:history="1">
                <w:r w:rsidRPr="007D15F2">
                  <w:rPr>
                    <w:rStyle w:val="Hyperlink"/>
                    <w:noProof/>
                  </w:rPr>
                  <w:t>Table 4: Operational Efficiency and Cost Performance (FY2023–FY2024)</w:t>
                </w:r>
                <w:r>
                  <w:rPr>
                    <w:noProof/>
                    <w:webHidden/>
                  </w:rPr>
                  <w:tab/>
                </w:r>
                <w:r>
                  <w:rPr>
                    <w:noProof/>
                    <w:webHidden/>
                  </w:rPr>
                  <w:fldChar w:fldCharType="begin"/>
                </w:r>
                <w:r>
                  <w:rPr>
                    <w:noProof/>
                    <w:webHidden/>
                  </w:rPr>
                  <w:instrText xml:space="preserve"> PAGEREF _Toc219110411 \h </w:instrText>
                </w:r>
                <w:r>
                  <w:rPr>
                    <w:noProof/>
                    <w:webHidden/>
                  </w:rPr>
                </w:r>
                <w:r>
                  <w:rPr>
                    <w:noProof/>
                    <w:webHidden/>
                  </w:rPr>
                  <w:fldChar w:fldCharType="separate"/>
                </w:r>
                <w:r>
                  <w:rPr>
                    <w:noProof/>
                    <w:webHidden/>
                  </w:rPr>
                  <w:t>9</w:t>
                </w:r>
                <w:r>
                  <w:rPr>
                    <w:noProof/>
                    <w:webHidden/>
                  </w:rPr>
                  <w:fldChar w:fldCharType="end"/>
                </w:r>
              </w:hyperlink>
            </w:p>
            <w:p w14:paraId="10C38911" w14:textId="1A86DB07"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12" w:history="1">
                <w:r w:rsidRPr="007D15F2">
                  <w:rPr>
                    <w:rStyle w:val="Hyperlink"/>
                    <w:noProof/>
                  </w:rPr>
                  <w:t>Table 5: Investor Ratios and Shareholder Return Analysis (FY2023–FY2024)</w:t>
                </w:r>
                <w:r>
                  <w:rPr>
                    <w:noProof/>
                    <w:webHidden/>
                  </w:rPr>
                  <w:tab/>
                </w:r>
                <w:r>
                  <w:rPr>
                    <w:noProof/>
                    <w:webHidden/>
                  </w:rPr>
                  <w:fldChar w:fldCharType="begin"/>
                </w:r>
                <w:r>
                  <w:rPr>
                    <w:noProof/>
                    <w:webHidden/>
                  </w:rPr>
                  <w:instrText xml:space="preserve"> PAGEREF _Toc219110412 \h </w:instrText>
                </w:r>
                <w:r>
                  <w:rPr>
                    <w:noProof/>
                    <w:webHidden/>
                  </w:rPr>
                </w:r>
                <w:r>
                  <w:rPr>
                    <w:noProof/>
                    <w:webHidden/>
                  </w:rPr>
                  <w:fldChar w:fldCharType="separate"/>
                </w:r>
                <w:r>
                  <w:rPr>
                    <w:noProof/>
                    <w:webHidden/>
                  </w:rPr>
                  <w:t>10</w:t>
                </w:r>
                <w:r>
                  <w:rPr>
                    <w:noProof/>
                    <w:webHidden/>
                  </w:rPr>
                  <w:fldChar w:fldCharType="end"/>
                </w:r>
              </w:hyperlink>
            </w:p>
            <w:p w14:paraId="386E0ADF" w14:textId="443F6BEB"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13" w:history="1">
                <w:r w:rsidRPr="007D15F2">
                  <w:rPr>
                    <w:rStyle w:val="Hyperlink"/>
                    <w:noProof/>
                  </w:rPr>
                  <w:t>2.</w:t>
                </w:r>
                <w:r>
                  <w:rPr>
                    <w:rFonts w:eastAsiaTheme="minorEastAsia"/>
                    <w:noProof/>
                    <w:kern w:val="2"/>
                    <w:sz w:val="24"/>
                    <w:szCs w:val="24"/>
                    <w:lang w:eastAsia="en-GB" w:bidi="gu-IN"/>
                    <w14:ligatures w14:val="standardContextual"/>
                  </w:rPr>
                  <w:tab/>
                </w:r>
                <w:r w:rsidRPr="007D15F2">
                  <w:rPr>
                    <w:rStyle w:val="Hyperlink"/>
                    <w:noProof/>
                  </w:rPr>
                  <w:t>Critical Evaluation</w:t>
                </w:r>
                <w:r>
                  <w:rPr>
                    <w:noProof/>
                    <w:webHidden/>
                  </w:rPr>
                  <w:tab/>
                </w:r>
                <w:r>
                  <w:rPr>
                    <w:noProof/>
                    <w:webHidden/>
                  </w:rPr>
                  <w:fldChar w:fldCharType="begin"/>
                </w:r>
                <w:r>
                  <w:rPr>
                    <w:noProof/>
                    <w:webHidden/>
                  </w:rPr>
                  <w:instrText xml:space="preserve"> PAGEREF _Toc219110413 \h </w:instrText>
                </w:r>
                <w:r>
                  <w:rPr>
                    <w:noProof/>
                    <w:webHidden/>
                  </w:rPr>
                </w:r>
                <w:r>
                  <w:rPr>
                    <w:noProof/>
                    <w:webHidden/>
                  </w:rPr>
                  <w:fldChar w:fldCharType="separate"/>
                </w:r>
                <w:r>
                  <w:rPr>
                    <w:noProof/>
                    <w:webHidden/>
                  </w:rPr>
                  <w:t>10</w:t>
                </w:r>
                <w:r>
                  <w:rPr>
                    <w:noProof/>
                    <w:webHidden/>
                  </w:rPr>
                  <w:fldChar w:fldCharType="end"/>
                </w:r>
              </w:hyperlink>
            </w:p>
            <w:p w14:paraId="70A3E19A" w14:textId="586E3539"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14" w:history="1">
                <w:r w:rsidRPr="007D15F2">
                  <w:rPr>
                    <w:rStyle w:val="Hyperlink"/>
                    <w:noProof/>
                  </w:rPr>
                  <w:t>3.</w:t>
                </w:r>
                <w:r>
                  <w:rPr>
                    <w:rFonts w:eastAsiaTheme="minorEastAsia"/>
                    <w:noProof/>
                    <w:kern w:val="2"/>
                    <w:sz w:val="24"/>
                    <w:szCs w:val="24"/>
                    <w:lang w:eastAsia="en-GB" w:bidi="gu-IN"/>
                    <w14:ligatures w14:val="standardContextual"/>
                  </w:rPr>
                  <w:tab/>
                </w:r>
                <w:r w:rsidRPr="007D15F2">
                  <w:rPr>
                    <w:rStyle w:val="Hyperlink"/>
                    <w:noProof/>
                  </w:rPr>
                  <w:t>Limitations of Ratio Analysis</w:t>
                </w:r>
                <w:r>
                  <w:rPr>
                    <w:noProof/>
                    <w:webHidden/>
                  </w:rPr>
                  <w:tab/>
                </w:r>
                <w:r>
                  <w:rPr>
                    <w:noProof/>
                    <w:webHidden/>
                  </w:rPr>
                  <w:fldChar w:fldCharType="begin"/>
                </w:r>
                <w:r>
                  <w:rPr>
                    <w:noProof/>
                    <w:webHidden/>
                  </w:rPr>
                  <w:instrText xml:space="preserve"> PAGEREF _Toc219110414 \h </w:instrText>
                </w:r>
                <w:r>
                  <w:rPr>
                    <w:noProof/>
                    <w:webHidden/>
                  </w:rPr>
                </w:r>
                <w:r>
                  <w:rPr>
                    <w:noProof/>
                    <w:webHidden/>
                  </w:rPr>
                  <w:fldChar w:fldCharType="separate"/>
                </w:r>
                <w:r>
                  <w:rPr>
                    <w:noProof/>
                    <w:webHidden/>
                  </w:rPr>
                  <w:t>11</w:t>
                </w:r>
                <w:r>
                  <w:rPr>
                    <w:noProof/>
                    <w:webHidden/>
                  </w:rPr>
                  <w:fldChar w:fldCharType="end"/>
                </w:r>
              </w:hyperlink>
            </w:p>
            <w:p w14:paraId="5A12D3EB" w14:textId="768170DB"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15" w:history="1">
                <w:r w:rsidRPr="007D15F2">
                  <w:rPr>
                    <w:rStyle w:val="Hyperlink"/>
                    <w:noProof/>
                  </w:rPr>
                  <w:t>4.</w:t>
                </w:r>
                <w:r>
                  <w:rPr>
                    <w:rFonts w:eastAsiaTheme="minorEastAsia"/>
                    <w:noProof/>
                    <w:kern w:val="2"/>
                    <w:sz w:val="24"/>
                    <w:szCs w:val="24"/>
                    <w:lang w:eastAsia="en-GB" w:bidi="gu-IN"/>
                    <w14:ligatures w14:val="standardContextual"/>
                  </w:rPr>
                  <w:tab/>
                </w:r>
                <w:r w:rsidRPr="007D15F2">
                  <w:rPr>
                    <w:rStyle w:val="Hyperlink"/>
                    <w:noProof/>
                  </w:rPr>
                  <w:t>Recommendation</w:t>
                </w:r>
                <w:r>
                  <w:rPr>
                    <w:noProof/>
                    <w:webHidden/>
                  </w:rPr>
                  <w:tab/>
                </w:r>
                <w:r>
                  <w:rPr>
                    <w:noProof/>
                    <w:webHidden/>
                  </w:rPr>
                  <w:fldChar w:fldCharType="begin"/>
                </w:r>
                <w:r>
                  <w:rPr>
                    <w:noProof/>
                    <w:webHidden/>
                  </w:rPr>
                  <w:instrText xml:space="preserve"> PAGEREF _Toc219110415 \h </w:instrText>
                </w:r>
                <w:r>
                  <w:rPr>
                    <w:noProof/>
                    <w:webHidden/>
                  </w:rPr>
                </w:r>
                <w:r>
                  <w:rPr>
                    <w:noProof/>
                    <w:webHidden/>
                  </w:rPr>
                  <w:fldChar w:fldCharType="separate"/>
                </w:r>
                <w:r>
                  <w:rPr>
                    <w:noProof/>
                    <w:webHidden/>
                  </w:rPr>
                  <w:t>12</w:t>
                </w:r>
                <w:r>
                  <w:rPr>
                    <w:noProof/>
                    <w:webHidden/>
                  </w:rPr>
                  <w:fldChar w:fldCharType="end"/>
                </w:r>
              </w:hyperlink>
            </w:p>
            <w:p w14:paraId="1F58CBB2" w14:textId="700C8B47"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16" w:history="1">
                <w:r w:rsidRPr="007D15F2">
                  <w:rPr>
                    <w:rStyle w:val="Hyperlink"/>
                    <w:noProof/>
                  </w:rPr>
                  <w:t>Table 6: Strategic Recommendations and Future Outlook</w:t>
                </w:r>
                <w:r>
                  <w:rPr>
                    <w:noProof/>
                    <w:webHidden/>
                  </w:rPr>
                  <w:tab/>
                </w:r>
                <w:r>
                  <w:rPr>
                    <w:noProof/>
                    <w:webHidden/>
                  </w:rPr>
                  <w:fldChar w:fldCharType="begin"/>
                </w:r>
                <w:r>
                  <w:rPr>
                    <w:noProof/>
                    <w:webHidden/>
                  </w:rPr>
                  <w:instrText xml:space="preserve"> PAGEREF _Toc219110416 \h </w:instrText>
                </w:r>
                <w:r>
                  <w:rPr>
                    <w:noProof/>
                    <w:webHidden/>
                  </w:rPr>
                </w:r>
                <w:r>
                  <w:rPr>
                    <w:noProof/>
                    <w:webHidden/>
                  </w:rPr>
                  <w:fldChar w:fldCharType="separate"/>
                </w:r>
                <w:r>
                  <w:rPr>
                    <w:noProof/>
                    <w:webHidden/>
                  </w:rPr>
                  <w:t>12</w:t>
                </w:r>
                <w:r>
                  <w:rPr>
                    <w:noProof/>
                    <w:webHidden/>
                  </w:rPr>
                  <w:fldChar w:fldCharType="end"/>
                </w:r>
              </w:hyperlink>
            </w:p>
            <w:p w14:paraId="2C8B1FAA" w14:textId="65680E7C"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17" w:history="1">
                <w:r w:rsidRPr="007D15F2">
                  <w:rPr>
                    <w:rStyle w:val="Hyperlink"/>
                    <w:noProof/>
                  </w:rPr>
                  <w:t>5.</w:t>
                </w:r>
                <w:r>
                  <w:rPr>
                    <w:rFonts w:eastAsiaTheme="minorEastAsia"/>
                    <w:noProof/>
                    <w:kern w:val="2"/>
                    <w:sz w:val="24"/>
                    <w:szCs w:val="24"/>
                    <w:lang w:eastAsia="en-GB" w:bidi="gu-IN"/>
                    <w14:ligatures w14:val="standardContextual"/>
                  </w:rPr>
                  <w:tab/>
                </w:r>
                <w:r w:rsidRPr="007D15F2">
                  <w:rPr>
                    <w:rStyle w:val="Hyperlink"/>
                    <w:noProof/>
                  </w:rPr>
                  <w:t>Conclusion</w:t>
                </w:r>
                <w:r>
                  <w:rPr>
                    <w:noProof/>
                    <w:webHidden/>
                  </w:rPr>
                  <w:tab/>
                </w:r>
                <w:r>
                  <w:rPr>
                    <w:noProof/>
                    <w:webHidden/>
                  </w:rPr>
                  <w:fldChar w:fldCharType="begin"/>
                </w:r>
                <w:r>
                  <w:rPr>
                    <w:noProof/>
                    <w:webHidden/>
                  </w:rPr>
                  <w:instrText xml:space="preserve"> PAGEREF _Toc219110417 \h </w:instrText>
                </w:r>
                <w:r>
                  <w:rPr>
                    <w:noProof/>
                    <w:webHidden/>
                  </w:rPr>
                </w:r>
                <w:r>
                  <w:rPr>
                    <w:noProof/>
                    <w:webHidden/>
                  </w:rPr>
                  <w:fldChar w:fldCharType="separate"/>
                </w:r>
                <w:r>
                  <w:rPr>
                    <w:noProof/>
                    <w:webHidden/>
                  </w:rPr>
                  <w:t>12</w:t>
                </w:r>
                <w:r>
                  <w:rPr>
                    <w:noProof/>
                    <w:webHidden/>
                  </w:rPr>
                  <w:fldChar w:fldCharType="end"/>
                </w:r>
              </w:hyperlink>
            </w:p>
            <w:p w14:paraId="704A98D8" w14:textId="04EDD382"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18" w:history="1">
                <w:r w:rsidRPr="007D15F2">
                  <w:rPr>
                    <w:rStyle w:val="Hyperlink"/>
                    <w:noProof/>
                    <w:lang w:eastAsia="en-GB"/>
                  </w:rPr>
                  <w:t>6.</w:t>
                </w:r>
                <w:r>
                  <w:rPr>
                    <w:rFonts w:eastAsiaTheme="minorEastAsia"/>
                    <w:noProof/>
                    <w:kern w:val="2"/>
                    <w:sz w:val="24"/>
                    <w:szCs w:val="24"/>
                    <w:lang w:eastAsia="en-GB" w:bidi="gu-IN"/>
                    <w14:ligatures w14:val="standardContextual"/>
                  </w:rPr>
                  <w:tab/>
                </w:r>
                <w:r w:rsidRPr="007D15F2">
                  <w:rPr>
                    <w:rStyle w:val="Hyperlink"/>
                    <w:noProof/>
                    <w:lang w:eastAsia="en-GB"/>
                  </w:rPr>
                  <w:t>Competitor Comparison</w:t>
                </w:r>
                <w:r>
                  <w:rPr>
                    <w:noProof/>
                    <w:webHidden/>
                  </w:rPr>
                  <w:tab/>
                </w:r>
                <w:r>
                  <w:rPr>
                    <w:noProof/>
                    <w:webHidden/>
                  </w:rPr>
                  <w:fldChar w:fldCharType="begin"/>
                </w:r>
                <w:r>
                  <w:rPr>
                    <w:noProof/>
                    <w:webHidden/>
                  </w:rPr>
                  <w:instrText xml:space="preserve"> PAGEREF _Toc219110418 \h </w:instrText>
                </w:r>
                <w:r>
                  <w:rPr>
                    <w:noProof/>
                    <w:webHidden/>
                  </w:rPr>
                </w:r>
                <w:r>
                  <w:rPr>
                    <w:noProof/>
                    <w:webHidden/>
                  </w:rPr>
                  <w:fldChar w:fldCharType="separate"/>
                </w:r>
                <w:r>
                  <w:rPr>
                    <w:noProof/>
                    <w:webHidden/>
                  </w:rPr>
                  <w:t>13</w:t>
                </w:r>
                <w:r>
                  <w:rPr>
                    <w:noProof/>
                    <w:webHidden/>
                  </w:rPr>
                  <w:fldChar w:fldCharType="end"/>
                </w:r>
              </w:hyperlink>
            </w:p>
            <w:p w14:paraId="78D6795F" w14:textId="1E44FF85"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19" w:history="1">
                <w:r w:rsidRPr="007D15F2">
                  <w:rPr>
                    <w:rStyle w:val="Hyperlink"/>
                    <w:noProof/>
                  </w:rPr>
                  <w:t>Table 7: Comparative Competitor Analysis and Benchmarking (2026)</w:t>
                </w:r>
                <w:r>
                  <w:rPr>
                    <w:noProof/>
                    <w:webHidden/>
                  </w:rPr>
                  <w:tab/>
                </w:r>
                <w:r>
                  <w:rPr>
                    <w:noProof/>
                    <w:webHidden/>
                  </w:rPr>
                  <w:fldChar w:fldCharType="begin"/>
                </w:r>
                <w:r>
                  <w:rPr>
                    <w:noProof/>
                    <w:webHidden/>
                  </w:rPr>
                  <w:instrText xml:space="preserve"> PAGEREF _Toc219110419 \h </w:instrText>
                </w:r>
                <w:r>
                  <w:rPr>
                    <w:noProof/>
                    <w:webHidden/>
                  </w:rPr>
                </w:r>
                <w:r>
                  <w:rPr>
                    <w:noProof/>
                    <w:webHidden/>
                  </w:rPr>
                  <w:fldChar w:fldCharType="separate"/>
                </w:r>
                <w:r>
                  <w:rPr>
                    <w:noProof/>
                    <w:webHidden/>
                  </w:rPr>
                  <w:t>14</w:t>
                </w:r>
                <w:r>
                  <w:rPr>
                    <w:noProof/>
                    <w:webHidden/>
                  </w:rPr>
                  <w:fldChar w:fldCharType="end"/>
                </w:r>
              </w:hyperlink>
            </w:p>
            <w:p w14:paraId="56FB28B9" w14:textId="469F6BC9" w:rsidR="000104FB" w:rsidRDefault="000104FB">
              <w:pPr>
                <w:pStyle w:val="TOC2"/>
                <w:tabs>
                  <w:tab w:val="right" w:leader="dot" w:pos="9016"/>
                </w:tabs>
                <w:rPr>
                  <w:rFonts w:eastAsiaTheme="minorEastAsia"/>
                  <w:noProof/>
                  <w:kern w:val="2"/>
                  <w:sz w:val="24"/>
                  <w:szCs w:val="24"/>
                  <w:lang w:eastAsia="en-GB" w:bidi="gu-IN"/>
                  <w14:ligatures w14:val="standardContextual"/>
                </w:rPr>
              </w:pPr>
              <w:hyperlink w:anchor="_Toc219110420" w:history="1">
                <w:r w:rsidRPr="007D15F2">
                  <w:rPr>
                    <w:rStyle w:val="Hyperlink"/>
                    <w:rFonts w:asciiTheme="minorBidi" w:hAnsiTheme="minorBidi"/>
                    <w:noProof/>
                  </w:rPr>
                  <w:t>Part 2 (Capital Investment Appraisal – Westward PLC)</w:t>
                </w:r>
                <w:r>
                  <w:rPr>
                    <w:noProof/>
                    <w:webHidden/>
                  </w:rPr>
                  <w:tab/>
                </w:r>
                <w:r>
                  <w:rPr>
                    <w:noProof/>
                    <w:webHidden/>
                  </w:rPr>
                  <w:fldChar w:fldCharType="begin"/>
                </w:r>
                <w:r>
                  <w:rPr>
                    <w:noProof/>
                    <w:webHidden/>
                  </w:rPr>
                  <w:instrText xml:space="preserve"> PAGEREF _Toc219110420 \h </w:instrText>
                </w:r>
                <w:r>
                  <w:rPr>
                    <w:noProof/>
                    <w:webHidden/>
                  </w:rPr>
                </w:r>
                <w:r>
                  <w:rPr>
                    <w:noProof/>
                    <w:webHidden/>
                  </w:rPr>
                  <w:fldChar w:fldCharType="separate"/>
                </w:r>
                <w:r>
                  <w:rPr>
                    <w:noProof/>
                    <w:webHidden/>
                  </w:rPr>
                  <w:t>16</w:t>
                </w:r>
                <w:r>
                  <w:rPr>
                    <w:noProof/>
                    <w:webHidden/>
                  </w:rPr>
                  <w:fldChar w:fldCharType="end"/>
                </w:r>
              </w:hyperlink>
            </w:p>
            <w:p w14:paraId="7C561ABE" w14:textId="53345692"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1" w:history="1">
                <w:r w:rsidRPr="007D15F2">
                  <w:rPr>
                    <w:rStyle w:val="Hyperlink"/>
                    <w:noProof/>
                  </w:rPr>
                  <w:t>1.</w:t>
                </w:r>
                <w:r>
                  <w:rPr>
                    <w:rFonts w:eastAsiaTheme="minorEastAsia"/>
                    <w:noProof/>
                    <w:kern w:val="2"/>
                    <w:sz w:val="24"/>
                    <w:szCs w:val="24"/>
                    <w:lang w:eastAsia="en-GB" w:bidi="gu-IN"/>
                    <w14:ligatures w14:val="standardContextual"/>
                  </w:rPr>
                  <w:tab/>
                </w:r>
                <w:r w:rsidRPr="007D15F2">
                  <w:rPr>
                    <w:rStyle w:val="Hyperlink"/>
                    <w:noProof/>
                  </w:rPr>
                  <w:t>Summary</w:t>
                </w:r>
                <w:r>
                  <w:rPr>
                    <w:noProof/>
                    <w:webHidden/>
                  </w:rPr>
                  <w:tab/>
                </w:r>
                <w:r>
                  <w:rPr>
                    <w:noProof/>
                    <w:webHidden/>
                  </w:rPr>
                  <w:fldChar w:fldCharType="begin"/>
                </w:r>
                <w:r>
                  <w:rPr>
                    <w:noProof/>
                    <w:webHidden/>
                  </w:rPr>
                  <w:instrText xml:space="preserve"> PAGEREF _Toc219110421 \h </w:instrText>
                </w:r>
                <w:r>
                  <w:rPr>
                    <w:noProof/>
                    <w:webHidden/>
                  </w:rPr>
                </w:r>
                <w:r>
                  <w:rPr>
                    <w:noProof/>
                    <w:webHidden/>
                  </w:rPr>
                  <w:fldChar w:fldCharType="separate"/>
                </w:r>
                <w:r>
                  <w:rPr>
                    <w:noProof/>
                    <w:webHidden/>
                  </w:rPr>
                  <w:t>16</w:t>
                </w:r>
                <w:r>
                  <w:rPr>
                    <w:noProof/>
                    <w:webHidden/>
                  </w:rPr>
                  <w:fldChar w:fldCharType="end"/>
                </w:r>
              </w:hyperlink>
            </w:p>
            <w:p w14:paraId="0E4CED8D" w14:textId="3F8AA695"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2" w:history="1">
                <w:r w:rsidRPr="007D15F2">
                  <w:rPr>
                    <w:rStyle w:val="Hyperlink"/>
                    <w:noProof/>
                  </w:rPr>
                  <w:t>2.</w:t>
                </w:r>
                <w:r>
                  <w:rPr>
                    <w:rFonts w:eastAsiaTheme="minorEastAsia"/>
                    <w:noProof/>
                    <w:kern w:val="2"/>
                    <w:sz w:val="24"/>
                    <w:szCs w:val="24"/>
                    <w:lang w:eastAsia="en-GB" w:bidi="gu-IN"/>
                    <w14:ligatures w14:val="standardContextual"/>
                  </w:rPr>
                  <w:tab/>
                </w:r>
                <w:r w:rsidRPr="007D15F2">
                  <w:rPr>
                    <w:rStyle w:val="Hyperlink"/>
                    <w:noProof/>
                  </w:rPr>
                  <w:t>Investment Evaluation (NPV &amp; IRR)</w:t>
                </w:r>
                <w:r>
                  <w:rPr>
                    <w:noProof/>
                    <w:webHidden/>
                  </w:rPr>
                  <w:tab/>
                </w:r>
                <w:r>
                  <w:rPr>
                    <w:noProof/>
                    <w:webHidden/>
                  </w:rPr>
                  <w:fldChar w:fldCharType="begin"/>
                </w:r>
                <w:r>
                  <w:rPr>
                    <w:noProof/>
                    <w:webHidden/>
                  </w:rPr>
                  <w:instrText xml:space="preserve"> PAGEREF _Toc219110422 \h </w:instrText>
                </w:r>
                <w:r>
                  <w:rPr>
                    <w:noProof/>
                    <w:webHidden/>
                  </w:rPr>
                </w:r>
                <w:r>
                  <w:rPr>
                    <w:noProof/>
                    <w:webHidden/>
                  </w:rPr>
                  <w:fldChar w:fldCharType="separate"/>
                </w:r>
                <w:r>
                  <w:rPr>
                    <w:noProof/>
                    <w:webHidden/>
                  </w:rPr>
                  <w:t>16</w:t>
                </w:r>
                <w:r>
                  <w:rPr>
                    <w:noProof/>
                    <w:webHidden/>
                  </w:rPr>
                  <w:fldChar w:fldCharType="end"/>
                </w:r>
              </w:hyperlink>
            </w:p>
            <w:p w14:paraId="3841FDE2" w14:textId="4BB557E2"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23" w:history="1">
                <w:r w:rsidRPr="007D15F2">
                  <w:rPr>
                    <w:rStyle w:val="Hyperlink"/>
                    <w:noProof/>
                  </w:rPr>
                  <w:t>Table 8: Net Present Value Calculation for Option A (Retail)</w:t>
                </w:r>
                <w:r>
                  <w:rPr>
                    <w:noProof/>
                    <w:webHidden/>
                  </w:rPr>
                  <w:tab/>
                </w:r>
                <w:r>
                  <w:rPr>
                    <w:noProof/>
                    <w:webHidden/>
                  </w:rPr>
                  <w:fldChar w:fldCharType="begin"/>
                </w:r>
                <w:r>
                  <w:rPr>
                    <w:noProof/>
                    <w:webHidden/>
                  </w:rPr>
                  <w:instrText xml:space="preserve"> PAGEREF _Toc219110423 \h </w:instrText>
                </w:r>
                <w:r>
                  <w:rPr>
                    <w:noProof/>
                    <w:webHidden/>
                  </w:rPr>
                </w:r>
                <w:r>
                  <w:rPr>
                    <w:noProof/>
                    <w:webHidden/>
                  </w:rPr>
                  <w:fldChar w:fldCharType="separate"/>
                </w:r>
                <w:r>
                  <w:rPr>
                    <w:noProof/>
                    <w:webHidden/>
                  </w:rPr>
                  <w:t>16</w:t>
                </w:r>
                <w:r>
                  <w:rPr>
                    <w:noProof/>
                    <w:webHidden/>
                  </w:rPr>
                  <w:fldChar w:fldCharType="end"/>
                </w:r>
              </w:hyperlink>
            </w:p>
            <w:p w14:paraId="56B5A1C4" w14:textId="27B0250D"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24" w:history="1">
                <w:r w:rsidRPr="007D15F2">
                  <w:rPr>
                    <w:rStyle w:val="Hyperlink"/>
                    <w:noProof/>
                    <w:lang w:eastAsia="en-GB"/>
                  </w:rPr>
                  <w:t>Table 9: Net Present Value Calculation for Option B (Internet)</w:t>
                </w:r>
                <w:r>
                  <w:rPr>
                    <w:noProof/>
                    <w:webHidden/>
                  </w:rPr>
                  <w:tab/>
                </w:r>
                <w:r>
                  <w:rPr>
                    <w:noProof/>
                    <w:webHidden/>
                  </w:rPr>
                  <w:fldChar w:fldCharType="begin"/>
                </w:r>
                <w:r>
                  <w:rPr>
                    <w:noProof/>
                    <w:webHidden/>
                  </w:rPr>
                  <w:instrText xml:space="preserve"> PAGEREF _Toc219110424 \h </w:instrText>
                </w:r>
                <w:r>
                  <w:rPr>
                    <w:noProof/>
                    <w:webHidden/>
                  </w:rPr>
                </w:r>
                <w:r>
                  <w:rPr>
                    <w:noProof/>
                    <w:webHidden/>
                  </w:rPr>
                  <w:fldChar w:fldCharType="separate"/>
                </w:r>
                <w:r>
                  <w:rPr>
                    <w:noProof/>
                    <w:webHidden/>
                  </w:rPr>
                  <w:t>18</w:t>
                </w:r>
                <w:r>
                  <w:rPr>
                    <w:noProof/>
                    <w:webHidden/>
                  </w:rPr>
                  <w:fldChar w:fldCharType="end"/>
                </w:r>
              </w:hyperlink>
            </w:p>
            <w:p w14:paraId="110BADCE" w14:textId="6CFC01F0"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25" w:history="1">
                <w:r w:rsidRPr="007D15F2">
                  <w:rPr>
                    <w:rStyle w:val="Hyperlink"/>
                    <w:noProof/>
                    <w:lang w:eastAsia="en-GB"/>
                  </w:rPr>
                  <w:t>Table 10: Net Present Value Calculation for Option C (Blinds)</w:t>
                </w:r>
                <w:r>
                  <w:rPr>
                    <w:noProof/>
                    <w:webHidden/>
                  </w:rPr>
                  <w:tab/>
                </w:r>
                <w:r>
                  <w:rPr>
                    <w:noProof/>
                    <w:webHidden/>
                  </w:rPr>
                  <w:fldChar w:fldCharType="begin"/>
                </w:r>
                <w:r>
                  <w:rPr>
                    <w:noProof/>
                    <w:webHidden/>
                  </w:rPr>
                  <w:instrText xml:space="preserve"> PAGEREF _Toc219110425 \h </w:instrText>
                </w:r>
                <w:r>
                  <w:rPr>
                    <w:noProof/>
                    <w:webHidden/>
                  </w:rPr>
                </w:r>
                <w:r>
                  <w:rPr>
                    <w:noProof/>
                    <w:webHidden/>
                  </w:rPr>
                  <w:fldChar w:fldCharType="separate"/>
                </w:r>
                <w:r>
                  <w:rPr>
                    <w:noProof/>
                    <w:webHidden/>
                  </w:rPr>
                  <w:t>19</w:t>
                </w:r>
                <w:r>
                  <w:rPr>
                    <w:noProof/>
                    <w:webHidden/>
                  </w:rPr>
                  <w:fldChar w:fldCharType="end"/>
                </w:r>
              </w:hyperlink>
            </w:p>
            <w:p w14:paraId="081763E6" w14:textId="1A357F9A"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6" w:history="1">
                <w:r w:rsidRPr="007D15F2">
                  <w:rPr>
                    <w:rStyle w:val="Hyperlink"/>
                    <w:noProof/>
                    <w:lang w:eastAsia="en-GB"/>
                  </w:rPr>
                  <w:t>3.</w:t>
                </w:r>
                <w:r>
                  <w:rPr>
                    <w:rFonts w:eastAsiaTheme="minorEastAsia"/>
                    <w:noProof/>
                    <w:kern w:val="2"/>
                    <w:sz w:val="24"/>
                    <w:szCs w:val="24"/>
                    <w:lang w:eastAsia="en-GB" w:bidi="gu-IN"/>
                    <w14:ligatures w14:val="standardContextual"/>
                  </w:rPr>
                  <w:tab/>
                </w:r>
                <w:r w:rsidRPr="007D15F2">
                  <w:rPr>
                    <w:rStyle w:val="Hyperlink"/>
                    <w:noProof/>
                    <w:lang w:eastAsia="en-GB"/>
                  </w:rPr>
                  <w:t>Recommendation based on NPV</w:t>
                </w:r>
                <w:r>
                  <w:rPr>
                    <w:noProof/>
                    <w:webHidden/>
                  </w:rPr>
                  <w:tab/>
                </w:r>
                <w:r>
                  <w:rPr>
                    <w:noProof/>
                    <w:webHidden/>
                  </w:rPr>
                  <w:fldChar w:fldCharType="begin"/>
                </w:r>
                <w:r>
                  <w:rPr>
                    <w:noProof/>
                    <w:webHidden/>
                  </w:rPr>
                  <w:instrText xml:space="preserve"> PAGEREF _Toc219110426 \h </w:instrText>
                </w:r>
                <w:r>
                  <w:rPr>
                    <w:noProof/>
                    <w:webHidden/>
                  </w:rPr>
                </w:r>
                <w:r>
                  <w:rPr>
                    <w:noProof/>
                    <w:webHidden/>
                  </w:rPr>
                  <w:fldChar w:fldCharType="separate"/>
                </w:r>
                <w:r>
                  <w:rPr>
                    <w:noProof/>
                    <w:webHidden/>
                  </w:rPr>
                  <w:t>20</w:t>
                </w:r>
                <w:r>
                  <w:rPr>
                    <w:noProof/>
                    <w:webHidden/>
                  </w:rPr>
                  <w:fldChar w:fldCharType="end"/>
                </w:r>
              </w:hyperlink>
            </w:p>
            <w:p w14:paraId="04601A8B" w14:textId="1A502413"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7" w:history="1">
                <w:r w:rsidRPr="007D15F2">
                  <w:rPr>
                    <w:rStyle w:val="Hyperlink"/>
                    <w:noProof/>
                    <w:lang w:eastAsia="en-GB"/>
                  </w:rPr>
                  <w:t>4.</w:t>
                </w:r>
                <w:r>
                  <w:rPr>
                    <w:rFonts w:eastAsiaTheme="minorEastAsia"/>
                    <w:noProof/>
                    <w:kern w:val="2"/>
                    <w:sz w:val="24"/>
                    <w:szCs w:val="24"/>
                    <w:lang w:eastAsia="en-GB" w:bidi="gu-IN"/>
                    <w14:ligatures w14:val="standardContextual"/>
                  </w:rPr>
                  <w:tab/>
                </w:r>
                <w:r w:rsidRPr="007D15F2">
                  <w:rPr>
                    <w:rStyle w:val="Hyperlink"/>
                    <w:noProof/>
                    <w:lang w:eastAsia="en-GB"/>
                  </w:rPr>
                  <w:t>Internal Rate of Return (IRR) Calculation</w:t>
                </w:r>
                <w:r>
                  <w:rPr>
                    <w:noProof/>
                    <w:webHidden/>
                  </w:rPr>
                  <w:tab/>
                </w:r>
                <w:r>
                  <w:rPr>
                    <w:noProof/>
                    <w:webHidden/>
                  </w:rPr>
                  <w:fldChar w:fldCharType="begin"/>
                </w:r>
                <w:r>
                  <w:rPr>
                    <w:noProof/>
                    <w:webHidden/>
                  </w:rPr>
                  <w:instrText xml:space="preserve"> PAGEREF _Toc219110427 \h </w:instrText>
                </w:r>
                <w:r>
                  <w:rPr>
                    <w:noProof/>
                    <w:webHidden/>
                  </w:rPr>
                </w:r>
                <w:r>
                  <w:rPr>
                    <w:noProof/>
                    <w:webHidden/>
                  </w:rPr>
                  <w:fldChar w:fldCharType="separate"/>
                </w:r>
                <w:r>
                  <w:rPr>
                    <w:noProof/>
                    <w:webHidden/>
                  </w:rPr>
                  <w:t>20</w:t>
                </w:r>
                <w:r>
                  <w:rPr>
                    <w:noProof/>
                    <w:webHidden/>
                  </w:rPr>
                  <w:fldChar w:fldCharType="end"/>
                </w:r>
              </w:hyperlink>
            </w:p>
            <w:p w14:paraId="75E6EB82" w14:textId="6DC75DE2"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8" w:history="1">
                <w:r w:rsidRPr="007D15F2">
                  <w:rPr>
                    <w:rStyle w:val="Hyperlink"/>
                    <w:noProof/>
                    <w:lang w:eastAsia="en-GB"/>
                  </w:rPr>
                  <w:t>5.</w:t>
                </w:r>
                <w:r>
                  <w:rPr>
                    <w:rFonts w:eastAsiaTheme="minorEastAsia"/>
                    <w:noProof/>
                    <w:kern w:val="2"/>
                    <w:sz w:val="24"/>
                    <w:szCs w:val="24"/>
                    <w:lang w:eastAsia="en-GB" w:bidi="gu-IN"/>
                    <w14:ligatures w14:val="standardContextual"/>
                  </w:rPr>
                  <w:tab/>
                </w:r>
                <w:r w:rsidRPr="007D15F2">
                  <w:rPr>
                    <w:rStyle w:val="Hyperlink"/>
                    <w:noProof/>
                    <w:lang w:eastAsia="en-GB"/>
                  </w:rPr>
                  <w:t>Management Interpretation</w:t>
                </w:r>
                <w:r>
                  <w:rPr>
                    <w:noProof/>
                    <w:webHidden/>
                  </w:rPr>
                  <w:tab/>
                </w:r>
                <w:r>
                  <w:rPr>
                    <w:noProof/>
                    <w:webHidden/>
                  </w:rPr>
                  <w:fldChar w:fldCharType="begin"/>
                </w:r>
                <w:r>
                  <w:rPr>
                    <w:noProof/>
                    <w:webHidden/>
                  </w:rPr>
                  <w:instrText xml:space="preserve"> PAGEREF _Toc219110428 \h </w:instrText>
                </w:r>
                <w:r>
                  <w:rPr>
                    <w:noProof/>
                    <w:webHidden/>
                  </w:rPr>
                </w:r>
                <w:r>
                  <w:rPr>
                    <w:noProof/>
                    <w:webHidden/>
                  </w:rPr>
                  <w:fldChar w:fldCharType="separate"/>
                </w:r>
                <w:r>
                  <w:rPr>
                    <w:noProof/>
                    <w:webHidden/>
                  </w:rPr>
                  <w:t>22</w:t>
                </w:r>
                <w:r>
                  <w:rPr>
                    <w:noProof/>
                    <w:webHidden/>
                  </w:rPr>
                  <w:fldChar w:fldCharType="end"/>
                </w:r>
              </w:hyperlink>
            </w:p>
            <w:p w14:paraId="36E5D017" w14:textId="3127F0FB"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29" w:history="1">
                <w:r w:rsidRPr="007D15F2">
                  <w:rPr>
                    <w:rStyle w:val="Hyperlink"/>
                    <w:noProof/>
                    <w:lang w:eastAsia="en-GB"/>
                  </w:rPr>
                  <w:t>6.</w:t>
                </w:r>
                <w:r>
                  <w:rPr>
                    <w:rFonts w:eastAsiaTheme="minorEastAsia"/>
                    <w:noProof/>
                    <w:kern w:val="2"/>
                    <w:sz w:val="24"/>
                    <w:szCs w:val="24"/>
                    <w:lang w:eastAsia="en-GB" w:bidi="gu-IN"/>
                    <w14:ligatures w14:val="standardContextual"/>
                  </w:rPr>
                  <w:tab/>
                </w:r>
                <w:r w:rsidRPr="007D15F2">
                  <w:rPr>
                    <w:rStyle w:val="Hyperlink"/>
                    <w:noProof/>
                    <w:lang w:eastAsia="en-GB"/>
                  </w:rPr>
                  <w:t>Capital Rationing (Optimal Investment Policy)</w:t>
                </w:r>
                <w:r>
                  <w:rPr>
                    <w:noProof/>
                    <w:webHidden/>
                  </w:rPr>
                  <w:tab/>
                </w:r>
                <w:r>
                  <w:rPr>
                    <w:noProof/>
                    <w:webHidden/>
                  </w:rPr>
                  <w:fldChar w:fldCharType="begin"/>
                </w:r>
                <w:r>
                  <w:rPr>
                    <w:noProof/>
                    <w:webHidden/>
                  </w:rPr>
                  <w:instrText xml:space="preserve"> PAGEREF _Toc219110429 \h </w:instrText>
                </w:r>
                <w:r>
                  <w:rPr>
                    <w:noProof/>
                    <w:webHidden/>
                  </w:rPr>
                </w:r>
                <w:r>
                  <w:rPr>
                    <w:noProof/>
                    <w:webHidden/>
                  </w:rPr>
                  <w:fldChar w:fldCharType="separate"/>
                </w:r>
                <w:r>
                  <w:rPr>
                    <w:noProof/>
                    <w:webHidden/>
                  </w:rPr>
                  <w:t>23</w:t>
                </w:r>
                <w:r>
                  <w:rPr>
                    <w:noProof/>
                    <w:webHidden/>
                  </w:rPr>
                  <w:fldChar w:fldCharType="end"/>
                </w:r>
              </w:hyperlink>
            </w:p>
            <w:p w14:paraId="296CD18E" w14:textId="1F367BBE"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30" w:history="1">
                <w:r w:rsidRPr="007D15F2">
                  <w:rPr>
                    <w:rStyle w:val="Hyperlink"/>
                    <w:noProof/>
                    <w:lang w:eastAsia="en-GB"/>
                  </w:rPr>
                  <w:t>Table 11: Optimal Capital Rationing Allocation Plan</w:t>
                </w:r>
                <w:r>
                  <w:rPr>
                    <w:noProof/>
                    <w:webHidden/>
                  </w:rPr>
                  <w:tab/>
                </w:r>
                <w:r>
                  <w:rPr>
                    <w:noProof/>
                    <w:webHidden/>
                  </w:rPr>
                  <w:fldChar w:fldCharType="begin"/>
                </w:r>
                <w:r>
                  <w:rPr>
                    <w:noProof/>
                    <w:webHidden/>
                  </w:rPr>
                  <w:instrText xml:space="preserve"> PAGEREF _Toc219110430 \h </w:instrText>
                </w:r>
                <w:r>
                  <w:rPr>
                    <w:noProof/>
                    <w:webHidden/>
                  </w:rPr>
                </w:r>
                <w:r>
                  <w:rPr>
                    <w:noProof/>
                    <w:webHidden/>
                  </w:rPr>
                  <w:fldChar w:fldCharType="separate"/>
                </w:r>
                <w:r>
                  <w:rPr>
                    <w:noProof/>
                    <w:webHidden/>
                  </w:rPr>
                  <w:t>24</w:t>
                </w:r>
                <w:r>
                  <w:rPr>
                    <w:noProof/>
                    <w:webHidden/>
                  </w:rPr>
                  <w:fldChar w:fldCharType="end"/>
                </w:r>
              </w:hyperlink>
            </w:p>
            <w:p w14:paraId="4EB00E33" w14:textId="15A869DF"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31" w:history="1">
                <w:r w:rsidRPr="007D15F2">
                  <w:rPr>
                    <w:rStyle w:val="Hyperlink"/>
                    <w:noProof/>
                    <w:lang w:eastAsia="en-GB"/>
                  </w:rPr>
                  <w:t>7.</w:t>
                </w:r>
                <w:r>
                  <w:rPr>
                    <w:rFonts w:eastAsiaTheme="minorEastAsia"/>
                    <w:noProof/>
                    <w:kern w:val="2"/>
                    <w:sz w:val="24"/>
                    <w:szCs w:val="24"/>
                    <w:lang w:eastAsia="en-GB" w:bidi="gu-IN"/>
                    <w14:ligatures w14:val="standardContextual"/>
                  </w:rPr>
                  <w:tab/>
                </w:r>
                <w:r w:rsidRPr="007D15F2">
                  <w:rPr>
                    <w:rStyle w:val="Hyperlink"/>
                    <w:noProof/>
                    <w:lang w:eastAsia="en-GB"/>
                  </w:rPr>
                  <w:t>Financing Recommendations</w:t>
                </w:r>
                <w:r>
                  <w:rPr>
                    <w:noProof/>
                    <w:webHidden/>
                  </w:rPr>
                  <w:tab/>
                </w:r>
                <w:r>
                  <w:rPr>
                    <w:noProof/>
                    <w:webHidden/>
                  </w:rPr>
                  <w:fldChar w:fldCharType="begin"/>
                </w:r>
                <w:r>
                  <w:rPr>
                    <w:noProof/>
                    <w:webHidden/>
                  </w:rPr>
                  <w:instrText xml:space="preserve"> PAGEREF _Toc219110431 \h </w:instrText>
                </w:r>
                <w:r>
                  <w:rPr>
                    <w:noProof/>
                    <w:webHidden/>
                  </w:rPr>
                </w:r>
                <w:r>
                  <w:rPr>
                    <w:noProof/>
                    <w:webHidden/>
                  </w:rPr>
                  <w:fldChar w:fldCharType="separate"/>
                </w:r>
                <w:r>
                  <w:rPr>
                    <w:noProof/>
                    <w:webHidden/>
                  </w:rPr>
                  <w:t>24</w:t>
                </w:r>
                <w:r>
                  <w:rPr>
                    <w:noProof/>
                    <w:webHidden/>
                  </w:rPr>
                  <w:fldChar w:fldCharType="end"/>
                </w:r>
              </w:hyperlink>
            </w:p>
            <w:p w14:paraId="531D9DA8" w14:textId="046F5D6B" w:rsidR="000104FB" w:rsidRDefault="000104FB">
              <w:pPr>
                <w:pStyle w:val="TOC3"/>
                <w:tabs>
                  <w:tab w:val="left" w:pos="960"/>
                  <w:tab w:val="right" w:leader="dot" w:pos="9016"/>
                </w:tabs>
                <w:rPr>
                  <w:rFonts w:eastAsiaTheme="minorEastAsia"/>
                  <w:noProof/>
                  <w:kern w:val="2"/>
                  <w:sz w:val="24"/>
                  <w:szCs w:val="24"/>
                  <w:lang w:eastAsia="en-GB" w:bidi="gu-IN"/>
                  <w14:ligatures w14:val="standardContextual"/>
                </w:rPr>
              </w:pPr>
              <w:hyperlink w:anchor="_Toc219110432" w:history="1">
                <w:r w:rsidRPr="007D15F2">
                  <w:rPr>
                    <w:rStyle w:val="Hyperlink"/>
                    <w:noProof/>
                    <w:lang w:eastAsia="en-GB"/>
                  </w:rPr>
                  <w:t>8.</w:t>
                </w:r>
                <w:r>
                  <w:rPr>
                    <w:rFonts w:eastAsiaTheme="minorEastAsia"/>
                    <w:noProof/>
                    <w:kern w:val="2"/>
                    <w:sz w:val="24"/>
                    <w:szCs w:val="24"/>
                    <w:lang w:eastAsia="en-GB" w:bidi="gu-IN"/>
                    <w14:ligatures w14:val="standardContextual"/>
                  </w:rPr>
                  <w:tab/>
                </w:r>
                <w:r w:rsidRPr="007D15F2">
                  <w:rPr>
                    <w:rStyle w:val="Hyperlink"/>
                    <w:noProof/>
                    <w:lang w:eastAsia="en-GB"/>
                  </w:rPr>
                  <w:t>Sensitivity Analysis &amp; Risk Stress- Testing</w:t>
                </w:r>
                <w:r>
                  <w:rPr>
                    <w:noProof/>
                    <w:webHidden/>
                  </w:rPr>
                  <w:tab/>
                </w:r>
                <w:r>
                  <w:rPr>
                    <w:noProof/>
                    <w:webHidden/>
                  </w:rPr>
                  <w:fldChar w:fldCharType="begin"/>
                </w:r>
                <w:r>
                  <w:rPr>
                    <w:noProof/>
                    <w:webHidden/>
                  </w:rPr>
                  <w:instrText xml:space="preserve"> PAGEREF _Toc219110432 \h </w:instrText>
                </w:r>
                <w:r>
                  <w:rPr>
                    <w:noProof/>
                    <w:webHidden/>
                  </w:rPr>
                </w:r>
                <w:r>
                  <w:rPr>
                    <w:noProof/>
                    <w:webHidden/>
                  </w:rPr>
                  <w:fldChar w:fldCharType="separate"/>
                </w:r>
                <w:r>
                  <w:rPr>
                    <w:noProof/>
                    <w:webHidden/>
                  </w:rPr>
                  <w:t>25</w:t>
                </w:r>
                <w:r>
                  <w:rPr>
                    <w:noProof/>
                    <w:webHidden/>
                  </w:rPr>
                  <w:fldChar w:fldCharType="end"/>
                </w:r>
              </w:hyperlink>
            </w:p>
            <w:p w14:paraId="32361BC9" w14:textId="4DCDC18A" w:rsidR="000104FB" w:rsidRDefault="000104FB">
              <w:pPr>
                <w:pStyle w:val="TOC3"/>
                <w:tabs>
                  <w:tab w:val="right" w:leader="dot" w:pos="9016"/>
                </w:tabs>
                <w:rPr>
                  <w:rFonts w:eastAsiaTheme="minorEastAsia"/>
                  <w:noProof/>
                  <w:kern w:val="2"/>
                  <w:sz w:val="24"/>
                  <w:szCs w:val="24"/>
                  <w:lang w:eastAsia="en-GB" w:bidi="gu-IN"/>
                  <w14:ligatures w14:val="standardContextual"/>
                </w:rPr>
              </w:pPr>
              <w:hyperlink w:anchor="_Toc219110433" w:history="1">
                <w:r w:rsidRPr="007D15F2">
                  <w:rPr>
                    <w:rStyle w:val="Hyperlink"/>
                    <w:noProof/>
                    <w:lang w:eastAsia="en-GB"/>
                  </w:rPr>
                  <w:t>Table 12: Sensitivity Analysis - Option B Cash Flows (10% Revenue Reduction)</w:t>
                </w:r>
                <w:r>
                  <w:rPr>
                    <w:noProof/>
                    <w:webHidden/>
                  </w:rPr>
                  <w:tab/>
                </w:r>
                <w:r>
                  <w:rPr>
                    <w:noProof/>
                    <w:webHidden/>
                  </w:rPr>
                  <w:fldChar w:fldCharType="begin"/>
                </w:r>
                <w:r>
                  <w:rPr>
                    <w:noProof/>
                    <w:webHidden/>
                  </w:rPr>
                  <w:instrText xml:space="preserve"> PAGEREF _Toc219110433 \h </w:instrText>
                </w:r>
                <w:r>
                  <w:rPr>
                    <w:noProof/>
                    <w:webHidden/>
                  </w:rPr>
                </w:r>
                <w:r>
                  <w:rPr>
                    <w:noProof/>
                    <w:webHidden/>
                  </w:rPr>
                  <w:fldChar w:fldCharType="separate"/>
                </w:r>
                <w:r>
                  <w:rPr>
                    <w:noProof/>
                    <w:webHidden/>
                  </w:rPr>
                  <w:t>25</w:t>
                </w:r>
                <w:r>
                  <w:rPr>
                    <w:noProof/>
                    <w:webHidden/>
                  </w:rPr>
                  <w:fldChar w:fldCharType="end"/>
                </w:r>
              </w:hyperlink>
            </w:p>
            <w:p w14:paraId="60D4BB1E" w14:textId="6DE6B0F4" w:rsidR="000104FB" w:rsidRDefault="000104FB">
              <w:pPr>
                <w:pStyle w:val="TOC1"/>
                <w:rPr>
                  <w:rFonts w:eastAsiaTheme="minorEastAsia"/>
                  <w:noProof/>
                  <w:kern w:val="2"/>
                  <w:sz w:val="24"/>
                  <w:szCs w:val="24"/>
                  <w:lang w:eastAsia="en-GB" w:bidi="gu-IN"/>
                  <w14:ligatures w14:val="standardContextual"/>
                </w:rPr>
              </w:pPr>
              <w:hyperlink w:anchor="_Toc219110434" w:history="1">
                <w:r w:rsidRPr="007D15F2">
                  <w:rPr>
                    <w:rStyle w:val="Hyperlink"/>
                    <w:rFonts w:asciiTheme="minorBidi" w:hAnsiTheme="minorBidi"/>
                    <w:noProof/>
                  </w:rPr>
                  <w:t>Final Conclusion</w:t>
                </w:r>
                <w:r>
                  <w:rPr>
                    <w:noProof/>
                    <w:webHidden/>
                  </w:rPr>
                  <w:tab/>
                </w:r>
                <w:r>
                  <w:rPr>
                    <w:noProof/>
                    <w:webHidden/>
                  </w:rPr>
                  <w:fldChar w:fldCharType="begin"/>
                </w:r>
                <w:r>
                  <w:rPr>
                    <w:noProof/>
                    <w:webHidden/>
                  </w:rPr>
                  <w:instrText xml:space="preserve"> PAGEREF _Toc219110434 \h </w:instrText>
                </w:r>
                <w:r>
                  <w:rPr>
                    <w:noProof/>
                    <w:webHidden/>
                  </w:rPr>
                </w:r>
                <w:r>
                  <w:rPr>
                    <w:noProof/>
                    <w:webHidden/>
                  </w:rPr>
                  <w:fldChar w:fldCharType="separate"/>
                </w:r>
                <w:r>
                  <w:rPr>
                    <w:noProof/>
                    <w:webHidden/>
                  </w:rPr>
                  <w:t>27</w:t>
                </w:r>
                <w:r>
                  <w:rPr>
                    <w:noProof/>
                    <w:webHidden/>
                  </w:rPr>
                  <w:fldChar w:fldCharType="end"/>
                </w:r>
              </w:hyperlink>
            </w:p>
            <w:p w14:paraId="5C1B6A94" w14:textId="3FD884A6" w:rsidR="000104FB" w:rsidRDefault="000104FB">
              <w:pPr>
                <w:pStyle w:val="TOC1"/>
                <w:rPr>
                  <w:rFonts w:eastAsiaTheme="minorEastAsia"/>
                  <w:noProof/>
                  <w:kern w:val="2"/>
                  <w:sz w:val="24"/>
                  <w:szCs w:val="24"/>
                  <w:lang w:eastAsia="en-GB" w:bidi="gu-IN"/>
                  <w14:ligatures w14:val="standardContextual"/>
                </w:rPr>
              </w:pPr>
              <w:hyperlink w:anchor="_Toc219110435" w:history="1">
                <w:r w:rsidRPr="007D15F2">
                  <w:rPr>
                    <w:rStyle w:val="Hyperlink"/>
                    <w:rFonts w:asciiTheme="minorBidi" w:hAnsiTheme="minorBidi"/>
                    <w:noProof/>
                  </w:rPr>
                  <w:t>Final Reaccommodation</w:t>
                </w:r>
                <w:r>
                  <w:rPr>
                    <w:noProof/>
                    <w:webHidden/>
                  </w:rPr>
                  <w:tab/>
                </w:r>
                <w:r>
                  <w:rPr>
                    <w:noProof/>
                    <w:webHidden/>
                  </w:rPr>
                  <w:fldChar w:fldCharType="begin"/>
                </w:r>
                <w:r>
                  <w:rPr>
                    <w:noProof/>
                    <w:webHidden/>
                  </w:rPr>
                  <w:instrText xml:space="preserve"> PAGEREF _Toc219110435 \h </w:instrText>
                </w:r>
                <w:r>
                  <w:rPr>
                    <w:noProof/>
                    <w:webHidden/>
                  </w:rPr>
                </w:r>
                <w:r>
                  <w:rPr>
                    <w:noProof/>
                    <w:webHidden/>
                  </w:rPr>
                  <w:fldChar w:fldCharType="separate"/>
                </w:r>
                <w:r>
                  <w:rPr>
                    <w:noProof/>
                    <w:webHidden/>
                  </w:rPr>
                  <w:t>28</w:t>
                </w:r>
                <w:r>
                  <w:rPr>
                    <w:noProof/>
                    <w:webHidden/>
                  </w:rPr>
                  <w:fldChar w:fldCharType="end"/>
                </w:r>
              </w:hyperlink>
            </w:p>
            <w:p w14:paraId="22D49333" w14:textId="08A869AD" w:rsidR="000104FB" w:rsidRDefault="000104FB">
              <w:pPr>
                <w:pStyle w:val="TOC1"/>
                <w:rPr>
                  <w:rFonts w:eastAsiaTheme="minorEastAsia"/>
                  <w:noProof/>
                  <w:kern w:val="2"/>
                  <w:sz w:val="24"/>
                  <w:szCs w:val="24"/>
                  <w:lang w:eastAsia="en-GB" w:bidi="gu-IN"/>
                  <w14:ligatures w14:val="standardContextual"/>
                </w:rPr>
              </w:pPr>
              <w:hyperlink w:anchor="_Toc219110436" w:history="1">
                <w:r w:rsidRPr="007D15F2">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_Toc219110436 \h </w:instrText>
                </w:r>
                <w:r>
                  <w:rPr>
                    <w:noProof/>
                    <w:webHidden/>
                  </w:rPr>
                </w:r>
                <w:r>
                  <w:rPr>
                    <w:noProof/>
                    <w:webHidden/>
                  </w:rPr>
                  <w:fldChar w:fldCharType="separate"/>
                </w:r>
                <w:r>
                  <w:rPr>
                    <w:noProof/>
                    <w:webHidden/>
                  </w:rPr>
                  <w:t>29</w:t>
                </w:r>
                <w:r>
                  <w:rPr>
                    <w:noProof/>
                    <w:webHidden/>
                  </w:rPr>
                  <w:fldChar w:fldCharType="end"/>
                </w:r>
              </w:hyperlink>
            </w:p>
            <w:p w14:paraId="501FC06D" w14:textId="2D7B48FF" w:rsidR="000104FB" w:rsidRDefault="000104FB">
              <w:pPr>
                <w:pStyle w:val="TOC2"/>
                <w:tabs>
                  <w:tab w:val="right" w:leader="dot" w:pos="9016"/>
                </w:tabs>
                <w:rPr>
                  <w:rFonts w:eastAsiaTheme="minorEastAsia"/>
                  <w:noProof/>
                  <w:kern w:val="2"/>
                  <w:sz w:val="24"/>
                  <w:szCs w:val="24"/>
                  <w:lang w:eastAsia="en-GB" w:bidi="gu-IN"/>
                  <w14:ligatures w14:val="standardContextual"/>
                </w:rPr>
              </w:pPr>
              <w:hyperlink w:anchor="_Toc219110437" w:history="1">
                <w:r w:rsidRPr="007D15F2">
                  <w:rPr>
                    <w:rStyle w:val="Hyperlink"/>
                    <w:rFonts w:asciiTheme="minorBidi" w:hAnsiTheme="minorBidi"/>
                    <w:noProof/>
                  </w:rPr>
                  <w:t>Library References</w:t>
                </w:r>
                <w:r>
                  <w:rPr>
                    <w:noProof/>
                    <w:webHidden/>
                  </w:rPr>
                  <w:tab/>
                </w:r>
                <w:r>
                  <w:rPr>
                    <w:noProof/>
                    <w:webHidden/>
                  </w:rPr>
                  <w:fldChar w:fldCharType="begin"/>
                </w:r>
                <w:r>
                  <w:rPr>
                    <w:noProof/>
                    <w:webHidden/>
                  </w:rPr>
                  <w:instrText xml:space="preserve"> PAGEREF _Toc219110437 \h </w:instrText>
                </w:r>
                <w:r>
                  <w:rPr>
                    <w:noProof/>
                    <w:webHidden/>
                  </w:rPr>
                </w:r>
                <w:r>
                  <w:rPr>
                    <w:noProof/>
                    <w:webHidden/>
                  </w:rPr>
                  <w:fldChar w:fldCharType="separate"/>
                </w:r>
                <w:r>
                  <w:rPr>
                    <w:noProof/>
                    <w:webHidden/>
                  </w:rPr>
                  <w:t>33</w:t>
                </w:r>
                <w:r>
                  <w:rPr>
                    <w:noProof/>
                    <w:webHidden/>
                  </w:rPr>
                  <w:fldChar w:fldCharType="end"/>
                </w:r>
              </w:hyperlink>
            </w:p>
            <w:p w14:paraId="6D25F893" w14:textId="01FCBDA3" w:rsidR="000104FB" w:rsidRDefault="000104FB">
              <w:pPr>
                <w:pStyle w:val="TOC1"/>
                <w:rPr>
                  <w:rFonts w:eastAsiaTheme="minorEastAsia"/>
                  <w:noProof/>
                  <w:kern w:val="2"/>
                  <w:sz w:val="24"/>
                  <w:szCs w:val="24"/>
                  <w:lang w:eastAsia="en-GB" w:bidi="gu-IN"/>
                  <w14:ligatures w14:val="standardContextual"/>
                </w:rPr>
              </w:pPr>
              <w:hyperlink w:anchor="_Toc219110438" w:history="1">
                <w:r w:rsidRPr="007D15F2">
                  <w:rPr>
                    <w:rStyle w:val="Hyperlink"/>
                    <w:rFonts w:asciiTheme="minorBidi" w:hAnsiTheme="minorBidi"/>
                    <w:noProof/>
                  </w:rPr>
                  <w:t>Appendix</w:t>
                </w:r>
                <w:r>
                  <w:rPr>
                    <w:noProof/>
                    <w:webHidden/>
                  </w:rPr>
                  <w:tab/>
                </w:r>
                <w:r>
                  <w:rPr>
                    <w:noProof/>
                    <w:webHidden/>
                  </w:rPr>
                  <w:fldChar w:fldCharType="begin"/>
                </w:r>
                <w:r>
                  <w:rPr>
                    <w:noProof/>
                    <w:webHidden/>
                  </w:rPr>
                  <w:instrText xml:space="preserve"> PAGEREF _Toc219110438 \h </w:instrText>
                </w:r>
                <w:r>
                  <w:rPr>
                    <w:noProof/>
                    <w:webHidden/>
                  </w:rPr>
                </w:r>
                <w:r>
                  <w:rPr>
                    <w:noProof/>
                    <w:webHidden/>
                  </w:rPr>
                  <w:fldChar w:fldCharType="separate"/>
                </w:r>
                <w:r>
                  <w:rPr>
                    <w:noProof/>
                    <w:webHidden/>
                  </w:rPr>
                  <w:t>34</w:t>
                </w:r>
                <w:r>
                  <w:rPr>
                    <w:noProof/>
                    <w:webHidden/>
                  </w:rPr>
                  <w:fldChar w:fldCharType="end"/>
                </w:r>
              </w:hyperlink>
            </w:p>
            <w:p w14:paraId="05194699" w14:textId="64BE1D94" w:rsidR="007D1947" w:rsidRDefault="007D1947" w:rsidP="000104FB">
              <w:pPr>
                <w:jc w:val="both"/>
              </w:pPr>
              <w:r w:rsidRPr="008544B7">
                <w:rPr>
                  <w:rFonts w:asciiTheme="minorBidi" w:hAnsiTheme="minorBidi"/>
                  <w:b/>
                  <w:bCs/>
                  <w:noProof/>
                  <w:sz w:val="24"/>
                  <w:szCs w:val="24"/>
                </w:rPr>
                <w:fldChar w:fldCharType="end"/>
              </w:r>
            </w:p>
          </w:sdtContent>
        </w:sdt>
        <w:p w14:paraId="69E85C91" w14:textId="77777777" w:rsidR="000104FB" w:rsidRDefault="000104FB">
          <w:pPr>
            <w:rPr>
              <w:rFonts w:asciiTheme="minorBidi" w:eastAsiaTheme="majorEastAsia" w:hAnsiTheme="minorBidi"/>
              <w:color w:val="2E74B5" w:themeColor="accent1" w:themeShade="BF"/>
              <w:sz w:val="28"/>
              <w:szCs w:val="28"/>
            </w:rPr>
          </w:pPr>
          <w:r>
            <w:rPr>
              <w:rFonts w:asciiTheme="minorBidi" w:hAnsiTheme="minorBidi"/>
              <w:sz w:val="28"/>
              <w:szCs w:val="28"/>
            </w:rPr>
            <w:br w:type="page"/>
          </w:r>
        </w:p>
        <w:p w14:paraId="0ED321E6" w14:textId="0D936077" w:rsidR="007D1947" w:rsidRPr="000104FB" w:rsidRDefault="007D1947" w:rsidP="000104FB">
          <w:pPr>
            <w:pStyle w:val="Heading1"/>
            <w:jc w:val="both"/>
            <w:rPr>
              <w:rFonts w:asciiTheme="minorBidi" w:hAnsiTheme="minorBidi" w:cstheme="minorBidi"/>
              <w:sz w:val="28"/>
              <w:szCs w:val="28"/>
            </w:rPr>
          </w:pPr>
          <w:bookmarkStart w:id="1" w:name="_Toc219110404"/>
          <w:r w:rsidRPr="000104FB">
            <w:rPr>
              <w:rFonts w:asciiTheme="minorBidi" w:hAnsiTheme="minorBidi" w:cstheme="minorBidi"/>
              <w:sz w:val="28"/>
              <w:szCs w:val="28"/>
            </w:rPr>
            <w:lastRenderedPageBreak/>
            <w:t>Introduction</w:t>
          </w:r>
          <w:bookmarkEnd w:id="1"/>
          <w:r w:rsidR="00480872" w:rsidRPr="000104FB">
            <w:rPr>
              <w:rFonts w:asciiTheme="minorBidi" w:hAnsiTheme="minorBidi" w:cstheme="minorBidi"/>
              <w:sz w:val="28"/>
              <w:szCs w:val="28"/>
            </w:rPr>
            <w:t xml:space="preserve"> </w:t>
          </w:r>
        </w:p>
        <w:p w14:paraId="54C81D2A" w14:textId="77777777" w:rsidR="007D1947" w:rsidRDefault="007D1947" w:rsidP="000104FB">
          <w:pPr>
            <w:jc w:val="both"/>
          </w:pPr>
        </w:p>
        <w:p w14:paraId="32BE519D" w14:textId="033D7F09" w:rsidR="00655AD9" w:rsidRPr="00655AD9" w:rsidRDefault="00655AD9" w:rsidP="000104FB">
          <w:pPr>
            <w:jc w:val="both"/>
            <w:rPr>
              <w:rFonts w:asciiTheme="minorBidi" w:hAnsiTheme="minorBidi"/>
              <w:color w:val="222222"/>
              <w:sz w:val="24"/>
              <w:szCs w:val="24"/>
              <w:shd w:val="clear" w:color="auto" w:fill="FFFFFF"/>
            </w:rPr>
          </w:pPr>
          <w:r w:rsidRPr="00655AD9">
            <w:rPr>
              <w:rFonts w:asciiTheme="minorBidi" w:hAnsiTheme="minorBidi"/>
              <w:color w:val="222222"/>
              <w:sz w:val="24"/>
              <w:szCs w:val="24"/>
              <w:shd w:val="clear" w:color="auto" w:fill="FFFFFF"/>
            </w:rPr>
            <w:t xml:space="preserve">This report delivers a strategic financial analysis to guide the Board through the 2026 economic transition, moving from asset accumulation to rigorous efficiency. It juxtaposes the macro-financial challenges of HSBC Holdings PLC with a micro-level investment appraisal for Westward PLC. For HSBC, the analysis dissects FY2024’s record $30bn profit, revealing reliance on the $4.8bn Canada divestment rather than core operational health. Citing the Financial Times (Jan 2025), the report identifies the "Simplification Plan" as a critical </w:t>
          </w:r>
          <w:r w:rsidRPr="00655AD9">
            <w:rPr>
              <w:rFonts w:asciiTheme="minorBidi" w:hAnsiTheme="minorBidi"/>
              <w:color w:val="222222"/>
              <w:sz w:val="24"/>
              <w:szCs w:val="24"/>
              <w:shd w:val="clear" w:color="auto" w:fill="FFFFFF"/>
            </w:rPr>
            <w:t>defence</w:t>
          </w:r>
          <w:r w:rsidRPr="00655AD9">
            <w:rPr>
              <w:rFonts w:asciiTheme="minorBidi" w:hAnsiTheme="minorBidi"/>
              <w:color w:val="222222"/>
              <w:sz w:val="24"/>
              <w:szCs w:val="24"/>
              <w:shd w:val="clear" w:color="auto" w:fill="FFFFFF"/>
            </w:rPr>
            <w:t xml:space="preserve"> against a Cost Efficiency Ratio exceeding 50%, while Bloomberg warns of Net Interest Margin compression to 1.56% due to deposit migration. With Reuters flagging $3.4bn in Chinese real estate risks, the report supports CEO Elhedery’s "East-West" pivot toward Asian "Wealth Corridors" to secure fee-based income. This document evaluates the financial health of HSBC Holdings PLC (Part 1) and provides a capital investment appraisal for Westward PLC (Part 2), illustrating the critical link between macro-financial stability and micro-level investment decision-making.</w:t>
          </w:r>
        </w:p>
        <w:p w14:paraId="77222E43" w14:textId="37B98FC9" w:rsidR="00655AD9" w:rsidRPr="00655AD9" w:rsidRDefault="00655AD9" w:rsidP="000104FB">
          <w:pPr>
            <w:jc w:val="both"/>
            <w:rPr>
              <w:rFonts w:asciiTheme="minorBidi" w:hAnsiTheme="minorBidi"/>
              <w:color w:val="222222"/>
              <w:sz w:val="24"/>
              <w:szCs w:val="24"/>
              <w:shd w:val="clear" w:color="auto" w:fill="FFFFFF"/>
            </w:rPr>
          </w:pPr>
          <w:r w:rsidRPr="00655AD9">
            <w:rPr>
              <w:rFonts w:asciiTheme="minorBidi" w:hAnsiTheme="minorBidi"/>
              <w:color w:val="222222"/>
              <w:sz w:val="24"/>
              <w:szCs w:val="24"/>
              <w:shd w:val="clear" w:color="auto" w:fill="FFFFFF"/>
            </w:rPr>
            <w:t xml:space="preserve">Parallel to this, the Westward PLC appraisal applies Net Present Value and Capital Rationing to three expansion options. It concludes that while Manufacturing offers high absolute returns, the "Internet" project (Option B) delivers superior capital efficiency. The final recommendation advises allocating the restricted £2.5m budget toward digital transformation, financed via retained earnings to prevent equity dilution. Ultimately, this document provides a unified blueprint for sustainable growth, balancing the defensive cost </w:t>
          </w:r>
          <w:r w:rsidRPr="00655AD9">
            <w:rPr>
              <w:rFonts w:asciiTheme="minorBidi" w:hAnsiTheme="minorBidi"/>
              <w:color w:val="222222"/>
              <w:sz w:val="24"/>
              <w:szCs w:val="24"/>
              <w:shd w:val="clear" w:color="auto" w:fill="FFFFFF"/>
            </w:rPr>
            <w:t>rationalisation</w:t>
          </w:r>
          <w:r w:rsidRPr="00655AD9">
            <w:rPr>
              <w:rFonts w:asciiTheme="minorBidi" w:hAnsiTheme="minorBidi"/>
              <w:color w:val="222222"/>
              <w:sz w:val="24"/>
              <w:szCs w:val="24"/>
              <w:shd w:val="clear" w:color="auto" w:fill="FFFFFF"/>
            </w:rPr>
            <w:t xml:space="preserve"> required at HSBC with the aggressive, high-yield digital investment strategy recommended for Westward PLC.</w:t>
          </w:r>
          <w:r w:rsidRPr="00655AD9">
            <w:rPr>
              <w:rFonts w:asciiTheme="minorBidi" w:hAnsiTheme="minorBidi"/>
              <w:color w:val="222222"/>
              <w:sz w:val="24"/>
              <w:szCs w:val="24"/>
              <w:shd w:val="clear" w:color="auto" w:fill="FFFFFF"/>
            </w:rPr>
            <w:t xml:space="preserve"> </w:t>
          </w:r>
          <w:r w:rsidRPr="00655AD9">
            <w:rPr>
              <w:rFonts w:asciiTheme="minorBidi" w:hAnsiTheme="minorBidi"/>
              <w:color w:val="222222"/>
              <w:sz w:val="24"/>
              <w:szCs w:val="24"/>
              <w:shd w:val="clear" w:color="auto" w:fill="FFFFFF"/>
            </w:rPr>
            <w:t xml:space="preserve">Together, these analyses provide a blueprint for sustainable growth: </w:t>
          </w:r>
          <w:r>
            <w:rPr>
              <w:rFonts w:asciiTheme="minorBidi" w:hAnsiTheme="minorBidi"/>
              <w:color w:val="222222"/>
              <w:sz w:val="24"/>
              <w:szCs w:val="24"/>
              <w:shd w:val="clear" w:color="auto" w:fill="FFFFFF"/>
            </w:rPr>
            <w:t>stabilising</w:t>
          </w:r>
          <w:r w:rsidRPr="00655AD9">
            <w:rPr>
              <w:rFonts w:asciiTheme="minorBidi" w:hAnsiTheme="minorBidi"/>
              <w:color w:val="222222"/>
              <w:sz w:val="24"/>
              <w:szCs w:val="24"/>
              <w:shd w:val="clear" w:color="auto" w:fill="FFFFFF"/>
            </w:rPr>
            <w:t xml:space="preserve"> the core business through cost </w:t>
          </w:r>
          <w:r>
            <w:rPr>
              <w:rFonts w:asciiTheme="minorBidi" w:hAnsiTheme="minorBidi"/>
              <w:color w:val="222222"/>
              <w:sz w:val="24"/>
              <w:szCs w:val="24"/>
              <w:shd w:val="clear" w:color="auto" w:fill="FFFFFF"/>
            </w:rPr>
            <w:t>rationalisation</w:t>
          </w:r>
          <w:r w:rsidRPr="00655AD9">
            <w:rPr>
              <w:rFonts w:asciiTheme="minorBidi" w:hAnsiTheme="minorBidi"/>
              <w:color w:val="222222"/>
              <w:sz w:val="24"/>
              <w:szCs w:val="24"/>
              <w:shd w:val="clear" w:color="auto" w:fill="FFFFFF"/>
            </w:rPr>
            <w:t xml:space="preserve"> (HSBC) while aggressively pursuing high-yield digital transformation (Westward PLC).</w:t>
          </w:r>
        </w:p>
        <w:p w14:paraId="634C2060" w14:textId="77777777" w:rsidR="00655AD9" w:rsidRDefault="00655AD9" w:rsidP="000104FB">
          <w:pPr>
            <w:jc w:val="both"/>
            <w:rPr>
              <w:rFonts w:asciiTheme="minorBidi" w:eastAsiaTheme="majorEastAsia" w:hAnsiTheme="minorBidi"/>
              <w:color w:val="2E74B5" w:themeColor="accent1" w:themeShade="BF"/>
              <w:sz w:val="24"/>
              <w:szCs w:val="24"/>
            </w:rPr>
          </w:pPr>
          <w:r>
            <w:rPr>
              <w:rFonts w:asciiTheme="minorBidi" w:hAnsiTheme="minorBidi"/>
              <w:sz w:val="24"/>
              <w:szCs w:val="24"/>
            </w:rPr>
            <w:br w:type="page"/>
          </w:r>
        </w:p>
        <w:p w14:paraId="2E293EB9" w14:textId="52034A74" w:rsidR="00480872" w:rsidRPr="000104FB" w:rsidRDefault="00480872" w:rsidP="000104FB">
          <w:pPr>
            <w:pStyle w:val="Heading1"/>
            <w:jc w:val="both"/>
            <w:rPr>
              <w:rFonts w:asciiTheme="minorBidi" w:hAnsiTheme="minorBidi" w:cstheme="minorBidi"/>
              <w:sz w:val="28"/>
              <w:szCs w:val="28"/>
            </w:rPr>
          </w:pPr>
          <w:bookmarkStart w:id="2" w:name="_Toc219110405"/>
          <w:r w:rsidRPr="000104FB">
            <w:rPr>
              <w:rFonts w:asciiTheme="minorBidi" w:hAnsiTheme="minorBidi" w:cstheme="minorBidi"/>
              <w:sz w:val="28"/>
              <w:szCs w:val="28"/>
            </w:rPr>
            <w:lastRenderedPageBreak/>
            <w:t>Main Findings</w:t>
          </w:r>
          <w:bookmarkEnd w:id="2"/>
        </w:p>
        <w:p w14:paraId="6DF73EDF" w14:textId="77777777" w:rsidR="00480872" w:rsidRDefault="00480872" w:rsidP="000104FB">
          <w:pPr>
            <w:pStyle w:val="Heading1"/>
            <w:jc w:val="both"/>
          </w:pPr>
        </w:p>
        <w:p w14:paraId="4133DA70" w14:textId="29FAE5FD" w:rsidR="00480872" w:rsidRPr="00E86003" w:rsidRDefault="0033299D" w:rsidP="000104FB">
          <w:pPr>
            <w:pStyle w:val="Heading2"/>
            <w:jc w:val="both"/>
            <w:rPr>
              <w:rFonts w:asciiTheme="minorBidi" w:hAnsiTheme="minorBidi" w:cstheme="minorBidi"/>
              <w:sz w:val="24"/>
              <w:szCs w:val="24"/>
            </w:rPr>
          </w:pPr>
          <w:bookmarkStart w:id="3" w:name="_Toc219110406"/>
          <w:r w:rsidRPr="00E86003">
            <w:rPr>
              <w:rFonts w:asciiTheme="minorBidi" w:hAnsiTheme="minorBidi" w:cstheme="minorBidi"/>
              <w:sz w:val="24"/>
              <w:szCs w:val="24"/>
            </w:rPr>
            <w:t>Part 1 (Financial Analysis Report – HSBC Holdings PLC)</w:t>
          </w:r>
          <w:bookmarkEnd w:id="3"/>
        </w:p>
        <w:p w14:paraId="32497693" w14:textId="77777777" w:rsidR="00CF0E48" w:rsidRDefault="00CF0E48" w:rsidP="000104FB">
          <w:pPr>
            <w:jc w:val="both"/>
          </w:pPr>
        </w:p>
        <w:p w14:paraId="30629DBF" w14:textId="72EF93A7" w:rsidR="0033299D" w:rsidRPr="0008503F" w:rsidRDefault="0033299D" w:rsidP="000104FB">
          <w:pPr>
            <w:pStyle w:val="Heading3"/>
            <w:numPr>
              <w:ilvl w:val="0"/>
              <w:numId w:val="65"/>
            </w:numPr>
            <w:jc w:val="both"/>
            <w:rPr>
              <w:rFonts w:cstheme="minorBidi"/>
            </w:rPr>
          </w:pPr>
          <w:bookmarkStart w:id="4" w:name="_Toc219110407"/>
          <w:r w:rsidRPr="0008503F">
            <w:rPr>
              <w:rFonts w:cstheme="minorBidi"/>
            </w:rPr>
            <w:t>Ratio Analysis</w:t>
          </w:r>
          <w:bookmarkEnd w:id="4"/>
        </w:p>
        <w:p w14:paraId="7CB8795F" w14:textId="6F92B535" w:rsidR="0008503F" w:rsidRDefault="0008503F" w:rsidP="000104FB">
          <w:pPr>
            <w:jc w:val="both"/>
            <w:rPr>
              <w:rFonts w:asciiTheme="minorBidi" w:hAnsiTheme="minorBidi"/>
              <w:sz w:val="24"/>
              <w:szCs w:val="24"/>
            </w:rPr>
          </w:pPr>
          <w:r>
            <w:rPr>
              <w:rFonts w:asciiTheme="minorBidi" w:hAnsiTheme="minorBidi"/>
              <w:sz w:val="24"/>
              <w:szCs w:val="24"/>
            </w:rPr>
            <w:t>The ratio analysis is a method used to evaluate banks’ financial health, efficiency and is an essential part of risk management specific to financial statements.</w:t>
          </w:r>
        </w:p>
        <w:p w14:paraId="17A038C6" w14:textId="1DC39185" w:rsidR="0008503F" w:rsidRPr="0008503F" w:rsidRDefault="0008503F" w:rsidP="000104FB">
          <w:pPr>
            <w:jc w:val="both"/>
            <w:rPr>
              <w:rFonts w:asciiTheme="minorBidi" w:hAnsiTheme="minorBidi"/>
              <w:sz w:val="24"/>
              <w:szCs w:val="24"/>
            </w:rPr>
          </w:pPr>
          <w:r>
            <w:rPr>
              <w:rFonts w:asciiTheme="minorBidi" w:hAnsiTheme="minorBidi"/>
              <w:sz w:val="24"/>
              <w:szCs w:val="24"/>
            </w:rPr>
            <w:t>For a vast and global bank such as HSBC, these ratios are separated into five major groupings.</w:t>
          </w:r>
        </w:p>
        <w:p w14:paraId="37BE32BD" w14:textId="6C759FDE" w:rsidR="0008503F" w:rsidRPr="000104FB" w:rsidRDefault="0033299D" w:rsidP="000104FB">
          <w:pPr>
            <w:pStyle w:val="Heading4"/>
            <w:numPr>
              <w:ilvl w:val="0"/>
              <w:numId w:val="5"/>
            </w:numPr>
            <w:jc w:val="both"/>
            <w:rPr>
              <w:rFonts w:cstheme="minorBidi"/>
              <w:szCs w:val="24"/>
            </w:rPr>
          </w:pPr>
          <w:r w:rsidRPr="000104FB">
            <w:rPr>
              <w:rFonts w:cstheme="minorBidi"/>
              <w:szCs w:val="24"/>
            </w:rPr>
            <w:t>Profitability Ratios</w:t>
          </w:r>
          <w:r w:rsidR="0008503F" w:rsidRPr="000104FB">
            <w:rPr>
              <w:rFonts w:cstheme="minorBidi"/>
              <w:szCs w:val="24"/>
            </w:rPr>
            <w:t>:</w:t>
          </w:r>
        </w:p>
        <w:p w14:paraId="785E0D1D" w14:textId="4A460197" w:rsidR="0008503F" w:rsidRDefault="0008503F" w:rsidP="000104FB">
          <w:pPr>
            <w:pStyle w:val="ListParagraph"/>
            <w:numPr>
              <w:ilvl w:val="0"/>
              <w:numId w:val="8"/>
            </w:numPr>
            <w:jc w:val="both"/>
            <w:rPr>
              <w:rFonts w:asciiTheme="minorBidi" w:hAnsiTheme="minorBidi"/>
              <w:sz w:val="24"/>
              <w:szCs w:val="24"/>
            </w:rPr>
          </w:pPr>
          <w:r>
            <w:rPr>
              <w:rFonts w:asciiTheme="minorBidi" w:hAnsiTheme="minorBidi"/>
              <w:sz w:val="24"/>
              <w:szCs w:val="24"/>
            </w:rPr>
            <w:t xml:space="preserve">The Profitability Ratio is used to determine how effectively the bank creates profit from its assets and equity. </w:t>
          </w:r>
        </w:p>
        <w:p w14:paraId="747F2E40" w14:textId="633AC6FE" w:rsidR="00971D11" w:rsidRDefault="000449F2" w:rsidP="000104FB">
          <w:pPr>
            <w:pStyle w:val="ListParagraph"/>
            <w:numPr>
              <w:ilvl w:val="0"/>
              <w:numId w:val="8"/>
            </w:numPr>
            <w:jc w:val="both"/>
            <w:rPr>
              <w:rFonts w:asciiTheme="minorBidi" w:hAnsiTheme="minorBidi"/>
              <w:sz w:val="24"/>
              <w:szCs w:val="24"/>
            </w:rPr>
          </w:pPr>
          <w:r>
            <w:rPr>
              <w:rFonts w:asciiTheme="minorBidi" w:hAnsiTheme="minorBidi"/>
              <w:sz w:val="24"/>
              <w:szCs w:val="24"/>
            </w:rPr>
            <w:t xml:space="preserve">This Profitability Ratio also includes three main parts, such as Return on Equity (Profit After Tax / Total Equity), Net Interest Margin (Net Interest Income / Avg. Earning Assets), and Cost Efficiency Ratio </w:t>
          </w:r>
          <w:r w:rsidR="00971D11">
            <w:rPr>
              <w:rFonts w:asciiTheme="minorBidi" w:hAnsiTheme="minorBidi"/>
              <w:sz w:val="24"/>
              <w:szCs w:val="24"/>
            </w:rPr>
            <w:t>(Operating</w:t>
          </w:r>
          <w:r>
            <w:rPr>
              <w:rFonts w:asciiTheme="minorBidi" w:hAnsiTheme="minorBidi"/>
              <w:sz w:val="24"/>
              <w:szCs w:val="24"/>
            </w:rPr>
            <w:t xml:space="preserve"> Expenses / Total Revenue).</w:t>
          </w:r>
        </w:p>
        <w:p w14:paraId="156E41E1" w14:textId="6087E6B1" w:rsidR="00971D11" w:rsidRDefault="00971D11" w:rsidP="000104FB">
          <w:pPr>
            <w:jc w:val="both"/>
            <w:rPr>
              <w:rFonts w:asciiTheme="minorBidi" w:hAnsiTheme="minorBidi"/>
              <w:sz w:val="24"/>
              <w:szCs w:val="24"/>
              <w:u w:val="single"/>
            </w:rPr>
          </w:pPr>
          <w:r w:rsidRPr="00971D11">
            <w:rPr>
              <w:rFonts w:asciiTheme="minorBidi" w:hAnsiTheme="minorBidi"/>
              <w:sz w:val="24"/>
              <w:szCs w:val="24"/>
              <w:u w:val="single"/>
            </w:rPr>
            <w:t>Profitability: Stable but Falling NIM</w:t>
          </w:r>
        </w:p>
        <w:p w14:paraId="0D8F60E4" w14:textId="1C9BAC50" w:rsidR="0008503F" w:rsidRDefault="00971D11" w:rsidP="000104FB">
          <w:pPr>
            <w:pStyle w:val="ListParagraph"/>
            <w:numPr>
              <w:ilvl w:val="0"/>
              <w:numId w:val="10"/>
            </w:numPr>
            <w:jc w:val="both"/>
            <w:rPr>
              <w:rFonts w:asciiTheme="minorBidi" w:hAnsiTheme="minorBidi"/>
              <w:sz w:val="24"/>
              <w:szCs w:val="24"/>
            </w:rPr>
          </w:pPr>
          <w:r w:rsidRPr="00971D11">
            <w:rPr>
              <w:rFonts w:asciiTheme="minorBidi" w:hAnsiTheme="minorBidi"/>
              <w:sz w:val="24"/>
              <w:szCs w:val="24"/>
            </w:rPr>
            <w:t>Increase</w:t>
          </w:r>
          <w:r>
            <w:rPr>
              <w:rFonts w:asciiTheme="minorBidi" w:hAnsiTheme="minorBidi"/>
              <w:sz w:val="24"/>
              <w:szCs w:val="24"/>
            </w:rPr>
            <w:t xml:space="preserve"> in Profit Before Tax (</w:t>
          </w:r>
          <w:r w:rsidRPr="00971D11">
            <w:rPr>
              <w:rFonts w:asciiTheme="minorBidi" w:hAnsiTheme="minorBidi"/>
              <w:sz w:val="24"/>
              <w:szCs w:val="24"/>
            </w:rPr>
            <w:t>£24.5bn to £25.4bn)</w:t>
          </w:r>
          <w:r>
            <w:rPr>
              <w:rFonts w:asciiTheme="minorBidi" w:hAnsiTheme="minorBidi"/>
              <w:sz w:val="24"/>
              <w:szCs w:val="24"/>
            </w:rPr>
            <w:t>: This is massively ri</w:t>
          </w:r>
          <w:r w:rsidR="00354230">
            <w:rPr>
              <w:rFonts w:asciiTheme="minorBidi" w:hAnsiTheme="minorBidi"/>
              <w:sz w:val="24"/>
              <w:szCs w:val="24"/>
            </w:rPr>
            <w:t xml:space="preserve">se because of the strategic disposals, as well as recent news reports highlight the approximately $4.8 bn gain from the HSBC Canada, which is one of the vast and successful one-off boosts to the bottom line for HSBC. </w:t>
          </w:r>
        </w:p>
        <w:p w14:paraId="67A783B2" w14:textId="7D20026F" w:rsidR="00D16DFC" w:rsidRDefault="00354230" w:rsidP="000104FB">
          <w:pPr>
            <w:pStyle w:val="ListParagraph"/>
            <w:numPr>
              <w:ilvl w:val="0"/>
              <w:numId w:val="10"/>
            </w:numPr>
            <w:jc w:val="both"/>
            <w:rPr>
              <w:rFonts w:asciiTheme="minorBidi" w:hAnsiTheme="minorBidi"/>
              <w:sz w:val="24"/>
              <w:szCs w:val="24"/>
            </w:rPr>
          </w:pPr>
          <w:r>
            <w:rPr>
              <w:rFonts w:asciiTheme="minorBidi" w:hAnsiTheme="minorBidi"/>
              <w:sz w:val="24"/>
              <w:szCs w:val="24"/>
            </w:rPr>
            <w:t xml:space="preserve">Decrease in NIM (1.66% to 1.56%): According to The Financial Times, news reports and HSBC’s own published 2024 data, the bank faced noteworthy “Deposit Migration”. Currently, the customers of the US &amp; UK moved their funds from non-interest-bearing accounts to fixed-term savings accounts due to the central bank's rates, which are more expensive for the bank maintain. </w:t>
          </w:r>
        </w:p>
        <w:p w14:paraId="265CFBF3" w14:textId="09803C80" w:rsidR="001E3ADD" w:rsidRDefault="001E3ADD" w:rsidP="000104FB">
          <w:pPr>
            <w:pStyle w:val="ListParagraph"/>
            <w:numPr>
              <w:ilvl w:val="0"/>
              <w:numId w:val="11"/>
            </w:numPr>
            <w:jc w:val="both"/>
            <w:rPr>
              <w:rFonts w:asciiTheme="minorBidi" w:hAnsiTheme="minorBidi"/>
              <w:sz w:val="24"/>
              <w:szCs w:val="24"/>
            </w:rPr>
          </w:pPr>
          <w:r>
            <w:rPr>
              <w:rFonts w:asciiTheme="minorBidi" w:hAnsiTheme="minorBidi"/>
              <w:sz w:val="24"/>
              <w:szCs w:val="24"/>
            </w:rPr>
            <w:t>The Chinese banks (</w:t>
          </w:r>
          <w:r w:rsidRPr="001E3ADD">
            <w:rPr>
              <w:rFonts w:asciiTheme="minorBidi" w:hAnsiTheme="minorBidi"/>
              <w:sz w:val="24"/>
              <w:szCs w:val="24"/>
            </w:rPr>
            <w:t>Industrial &amp; Commercial Bank of China (ICBC), Bank of China (BoC), China Construction Bank (CCB), and Agricultural Bank of China (ABC)</w:t>
          </w:r>
          <w:r w:rsidRPr="001E3ADD">
            <w:rPr>
              <w:rFonts w:asciiTheme="minorBidi" w:hAnsiTheme="minorBidi"/>
              <w:sz w:val="24"/>
              <w:szCs w:val="24"/>
            </w:rPr>
            <w:t>)</w:t>
          </w:r>
          <w:r>
            <w:rPr>
              <w:rFonts w:asciiTheme="minorBidi" w:hAnsiTheme="minorBidi"/>
              <w:sz w:val="24"/>
              <w:szCs w:val="24"/>
            </w:rPr>
            <w:t xml:space="preserve"> saw record-low (1.43%) NIM IN Q1 2025, and saw that competitive pricing and weak economic conditions can compress margins. </w:t>
          </w:r>
        </w:p>
        <w:p w14:paraId="62D3CC7D" w14:textId="77777777" w:rsidR="001E3ADD" w:rsidRDefault="001E3ADD" w:rsidP="000104FB">
          <w:pPr>
            <w:jc w:val="both"/>
            <w:rPr>
              <w:rFonts w:asciiTheme="minorBidi" w:hAnsiTheme="minorBidi"/>
              <w:sz w:val="24"/>
              <w:szCs w:val="24"/>
            </w:rPr>
          </w:pPr>
        </w:p>
        <w:p w14:paraId="1F135636" w14:textId="34052757" w:rsidR="00F065BC" w:rsidRDefault="00F065BC" w:rsidP="000104FB">
          <w:pPr>
            <w:pStyle w:val="ListParagraph"/>
            <w:numPr>
              <w:ilvl w:val="0"/>
              <w:numId w:val="11"/>
            </w:numPr>
            <w:jc w:val="both"/>
            <w:rPr>
              <w:rFonts w:asciiTheme="minorBidi" w:hAnsiTheme="minorBidi"/>
              <w:sz w:val="24"/>
              <w:szCs w:val="24"/>
            </w:rPr>
          </w:pPr>
          <w:r>
            <w:rPr>
              <w:rFonts w:asciiTheme="minorBidi" w:hAnsiTheme="minorBidi"/>
              <w:sz w:val="24"/>
              <w:szCs w:val="24"/>
            </w:rPr>
            <w:t xml:space="preserve">Even in India, the average bank, including public banks (Canara Bank, Central Bank of India, State Bank of India) and private banks (HDFC Bank, ICICI Bank, Kotak Mahindra Bank, IndusInd Bank), fell to the lowest in three years, showing their policy and rate cuts due to slow deposits elsewhere. </w:t>
          </w:r>
        </w:p>
        <w:p w14:paraId="07CC3716" w14:textId="3F2AB7F2" w:rsidR="00F065BC" w:rsidRDefault="00F065BC" w:rsidP="000104FB">
          <w:pPr>
            <w:pStyle w:val="ListParagraph"/>
            <w:numPr>
              <w:ilvl w:val="0"/>
              <w:numId w:val="11"/>
            </w:numPr>
            <w:jc w:val="both"/>
            <w:rPr>
              <w:rFonts w:asciiTheme="minorBidi" w:hAnsiTheme="minorBidi"/>
              <w:sz w:val="24"/>
              <w:szCs w:val="24"/>
            </w:rPr>
          </w:pPr>
          <w:r>
            <w:rPr>
              <w:rFonts w:asciiTheme="minorBidi" w:hAnsiTheme="minorBidi"/>
              <w:sz w:val="24"/>
              <w:szCs w:val="24"/>
            </w:rPr>
            <w:t xml:space="preserve">A 2025 research paper analyses in the Turkish Bank, showing how </w:t>
          </w:r>
          <w:r w:rsidR="00647B86">
            <w:rPr>
              <w:rFonts w:asciiTheme="minorBidi" w:hAnsiTheme="minorBidi"/>
              <w:sz w:val="24"/>
              <w:szCs w:val="24"/>
            </w:rPr>
            <w:t>operating costs, risk</w:t>
          </w:r>
          <w:r w:rsidR="000104FB">
            <w:rPr>
              <w:rFonts w:asciiTheme="minorBidi" w:hAnsiTheme="minorBidi"/>
              <w:sz w:val="24"/>
              <w:szCs w:val="24"/>
            </w:rPr>
            <w:t>,</w:t>
          </w:r>
          <w:r w:rsidR="00647B86">
            <w:rPr>
              <w:rFonts w:asciiTheme="minorBidi" w:hAnsiTheme="minorBidi"/>
              <w:sz w:val="24"/>
              <w:szCs w:val="24"/>
            </w:rPr>
            <w:t xml:space="preserve"> and margins are bank-specific, besides deposit migration affecting NIM. </w:t>
          </w:r>
        </w:p>
        <w:p w14:paraId="4CCFA4A1" w14:textId="07AB6FF3" w:rsidR="00647B86" w:rsidRDefault="00647B86" w:rsidP="000104FB">
          <w:pPr>
            <w:pStyle w:val="ListParagraph"/>
            <w:numPr>
              <w:ilvl w:val="0"/>
              <w:numId w:val="11"/>
            </w:numPr>
            <w:jc w:val="both"/>
            <w:rPr>
              <w:rFonts w:asciiTheme="minorBidi" w:hAnsiTheme="minorBidi"/>
              <w:sz w:val="24"/>
              <w:szCs w:val="24"/>
            </w:rPr>
          </w:pPr>
          <w:r>
            <w:rPr>
              <w:rFonts w:asciiTheme="minorBidi" w:hAnsiTheme="minorBidi"/>
              <w:sz w:val="24"/>
              <w:szCs w:val="24"/>
            </w:rPr>
            <w:t xml:space="preserve">HSBC UK profit before tax fell slightly due to margin compression and an increase; the S&amp;P Global analysis confirms this trend across main UK lenders. </w:t>
          </w:r>
        </w:p>
        <w:p w14:paraId="609A6FDD" w14:textId="77777777" w:rsidR="00647B86" w:rsidRDefault="00647B86" w:rsidP="000104FB">
          <w:pPr>
            <w:pStyle w:val="ListParagraph"/>
            <w:jc w:val="both"/>
            <w:rPr>
              <w:rFonts w:asciiTheme="minorBidi" w:hAnsiTheme="minorBidi"/>
              <w:sz w:val="24"/>
              <w:szCs w:val="24"/>
            </w:rPr>
          </w:pPr>
        </w:p>
        <w:tbl>
          <w:tblPr>
            <w:tblStyle w:val="TableGrid"/>
            <w:tblW w:w="0" w:type="auto"/>
            <w:tblInd w:w="720" w:type="dxa"/>
            <w:tblLook w:val="04A0" w:firstRow="1" w:lastRow="0" w:firstColumn="1" w:lastColumn="0" w:noHBand="0" w:noVBand="1"/>
          </w:tblPr>
          <w:tblGrid>
            <w:gridCol w:w="1935"/>
            <w:gridCol w:w="4247"/>
            <w:gridCol w:w="1057"/>
            <w:gridCol w:w="1057"/>
          </w:tblGrid>
          <w:tr w:rsidR="00647B86" w14:paraId="1A90045E" w14:textId="77777777" w:rsidTr="000104FB">
            <w:tc>
              <w:tcPr>
                <w:tcW w:w="1935" w:type="dxa"/>
              </w:tcPr>
              <w:p w14:paraId="781BCD66" w14:textId="2BDD5F76"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lastRenderedPageBreak/>
                  <w:t xml:space="preserve">Ratio </w:t>
                </w:r>
              </w:p>
            </w:tc>
            <w:tc>
              <w:tcPr>
                <w:tcW w:w="4247" w:type="dxa"/>
              </w:tcPr>
              <w:p w14:paraId="5DA3B571" w14:textId="4036A00E"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 xml:space="preserve">Formula </w:t>
                </w:r>
              </w:p>
            </w:tc>
            <w:tc>
              <w:tcPr>
                <w:tcW w:w="1057" w:type="dxa"/>
              </w:tcPr>
              <w:p w14:paraId="6C74A5C3" w14:textId="1481A9C3"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FY2024</w:t>
                </w:r>
              </w:p>
            </w:tc>
            <w:tc>
              <w:tcPr>
                <w:tcW w:w="1057" w:type="dxa"/>
              </w:tcPr>
              <w:p w14:paraId="52081164" w14:textId="17B23E93"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FY2023</w:t>
                </w:r>
              </w:p>
            </w:tc>
          </w:tr>
          <w:tr w:rsidR="00647B86" w14:paraId="4FA0A651" w14:textId="77777777" w:rsidTr="000104FB">
            <w:tc>
              <w:tcPr>
                <w:tcW w:w="1935" w:type="dxa"/>
              </w:tcPr>
              <w:p w14:paraId="2204583A" w14:textId="745113EB" w:rsidR="00647B86" w:rsidRPr="00647B86" w:rsidRDefault="00647B86" w:rsidP="000104FB">
                <w:pPr>
                  <w:pStyle w:val="ListParagraph"/>
                  <w:ind w:left="0"/>
                  <w:jc w:val="both"/>
                  <w:rPr>
                    <w:rFonts w:asciiTheme="minorBidi" w:hAnsiTheme="minorBidi"/>
                    <w:sz w:val="24"/>
                    <w:szCs w:val="24"/>
                  </w:rPr>
                </w:pPr>
                <w:r w:rsidRPr="00647B86">
                  <w:rPr>
                    <w:rFonts w:asciiTheme="minorBidi" w:hAnsiTheme="minorBidi"/>
                    <w:sz w:val="24"/>
                    <w:szCs w:val="24"/>
                  </w:rPr>
                  <w:t>Return on Equity (ROE)</w:t>
                </w:r>
              </w:p>
            </w:tc>
            <w:tc>
              <w:tcPr>
                <w:tcW w:w="4247" w:type="dxa"/>
              </w:tcPr>
              <w:p w14:paraId="1BB966E4" w14:textId="062B786F"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Profit After Tax / Total Equity</w:t>
                </w:r>
              </w:p>
            </w:tc>
            <w:tc>
              <w:tcPr>
                <w:tcW w:w="1057" w:type="dxa"/>
              </w:tcPr>
              <w:p w14:paraId="32ACE6AF" w14:textId="51A1139D"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13.00%</w:t>
                </w:r>
              </w:p>
            </w:tc>
            <w:tc>
              <w:tcPr>
                <w:tcW w:w="1057" w:type="dxa"/>
              </w:tcPr>
              <w:p w14:paraId="2E1AA7B5" w14:textId="3D9D885F"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12.75%</w:t>
                </w:r>
              </w:p>
            </w:tc>
          </w:tr>
          <w:tr w:rsidR="00647B86" w14:paraId="0673F8BA" w14:textId="77777777" w:rsidTr="000104FB">
            <w:tc>
              <w:tcPr>
                <w:tcW w:w="1935" w:type="dxa"/>
              </w:tcPr>
              <w:p w14:paraId="611949EA" w14:textId="120C3955"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Net Interest Margin</w:t>
                </w:r>
                <w:r>
                  <w:rPr>
                    <w:rFonts w:asciiTheme="minorBidi" w:hAnsiTheme="minorBidi"/>
                    <w:sz w:val="24"/>
                    <w:szCs w:val="24"/>
                  </w:rPr>
                  <w:t xml:space="preserve"> (NIM)</w:t>
                </w:r>
              </w:p>
            </w:tc>
            <w:tc>
              <w:tcPr>
                <w:tcW w:w="4247" w:type="dxa"/>
              </w:tcPr>
              <w:p w14:paraId="223583B4" w14:textId="68CB6E63"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Net Interest Income / Avg. Earning Assets</w:t>
                </w:r>
              </w:p>
            </w:tc>
            <w:tc>
              <w:tcPr>
                <w:tcW w:w="1057" w:type="dxa"/>
              </w:tcPr>
              <w:p w14:paraId="7A0A673B" w14:textId="7EBD4DAC"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1.56%</w:t>
                </w:r>
              </w:p>
            </w:tc>
            <w:tc>
              <w:tcPr>
                <w:tcW w:w="1057" w:type="dxa"/>
              </w:tcPr>
              <w:p w14:paraId="7C273046" w14:textId="2FA5CCD4"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1.65%</w:t>
                </w:r>
              </w:p>
            </w:tc>
          </w:tr>
          <w:tr w:rsidR="00647B86" w14:paraId="010D7182" w14:textId="77777777" w:rsidTr="000104FB">
            <w:tc>
              <w:tcPr>
                <w:tcW w:w="1935" w:type="dxa"/>
              </w:tcPr>
              <w:p w14:paraId="2A199E76" w14:textId="2A576A02"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Cost Efficiency Ratio</w:t>
                </w:r>
              </w:p>
            </w:tc>
            <w:tc>
              <w:tcPr>
                <w:tcW w:w="4247" w:type="dxa"/>
              </w:tcPr>
              <w:p w14:paraId="33E0D2C2" w14:textId="20DF414F"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Operating Expenses / Total Revenue</w:t>
                </w:r>
              </w:p>
            </w:tc>
            <w:tc>
              <w:tcPr>
                <w:tcW w:w="1057" w:type="dxa"/>
              </w:tcPr>
              <w:p w14:paraId="530237AA" w14:textId="151F3AB1"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50.2%</w:t>
                </w:r>
              </w:p>
            </w:tc>
            <w:tc>
              <w:tcPr>
                <w:tcW w:w="1057" w:type="dxa"/>
              </w:tcPr>
              <w:p w14:paraId="171E50C6" w14:textId="7F750435" w:rsidR="00647B86" w:rsidRDefault="00647B86" w:rsidP="000104FB">
                <w:pPr>
                  <w:pStyle w:val="ListParagraph"/>
                  <w:ind w:left="0"/>
                  <w:jc w:val="both"/>
                  <w:rPr>
                    <w:rFonts w:asciiTheme="minorBidi" w:hAnsiTheme="minorBidi"/>
                    <w:sz w:val="24"/>
                    <w:szCs w:val="24"/>
                  </w:rPr>
                </w:pPr>
                <w:r>
                  <w:rPr>
                    <w:rFonts w:asciiTheme="minorBidi" w:hAnsiTheme="minorBidi"/>
                    <w:sz w:val="24"/>
                    <w:szCs w:val="24"/>
                  </w:rPr>
                  <w:t>48.5%</w:t>
                </w:r>
              </w:p>
            </w:tc>
          </w:tr>
        </w:tbl>
        <w:p w14:paraId="7E977BF6" w14:textId="357E571C" w:rsidR="00647B86" w:rsidRPr="000104FB" w:rsidRDefault="000104FB" w:rsidP="000104FB">
          <w:pPr>
            <w:pStyle w:val="Heading3"/>
            <w:jc w:val="both"/>
          </w:pPr>
          <w:r>
            <w:t xml:space="preserve">          </w:t>
          </w:r>
          <w:bookmarkStart w:id="5" w:name="_Toc219110408"/>
          <w:r w:rsidRPr="000104FB">
            <w:t xml:space="preserve">Table </w:t>
          </w:r>
          <w:r>
            <w:t xml:space="preserve">1: </w:t>
          </w:r>
          <w:r w:rsidRPr="000104FB">
            <w:t>Key Profitability and Efficiency Ratios (FY2023–FY2024)</w:t>
          </w:r>
          <w:bookmarkEnd w:id="5"/>
        </w:p>
        <w:p w14:paraId="5B9DB3DB" w14:textId="08D0F9DC" w:rsidR="00595B94" w:rsidRDefault="00595B94" w:rsidP="000104FB">
          <w:pPr>
            <w:pStyle w:val="ListParagraph"/>
            <w:jc w:val="both"/>
            <w:rPr>
              <w:rFonts w:asciiTheme="minorBidi" w:hAnsiTheme="minorBidi"/>
              <w:sz w:val="24"/>
              <w:szCs w:val="24"/>
            </w:rPr>
          </w:pPr>
          <w:r>
            <w:rPr>
              <w:rFonts w:asciiTheme="minorBidi" w:hAnsiTheme="minorBidi"/>
              <w:sz w:val="24"/>
              <w:szCs w:val="24"/>
            </w:rPr>
            <w:t xml:space="preserve">According to tabular data, HSBC's performance illustrates the interest rate environment. ROE </w:t>
          </w:r>
          <w:r w:rsidR="000104FB">
            <w:rPr>
              <w:rFonts w:asciiTheme="minorBidi" w:hAnsiTheme="minorBidi"/>
              <w:sz w:val="24"/>
              <w:szCs w:val="24"/>
            </w:rPr>
            <w:t>increases</w:t>
          </w:r>
          <w:r>
            <w:rPr>
              <w:rFonts w:asciiTheme="minorBidi" w:hAnsiTheme="minorBidi"/>
              <w:sz w:val="24"/>
              <w:szCs w:val="24"/>
            </w:rPr>
            <w:t xml:space="preserve"> slightly and gains from the Canada business. However, NIM, the central banks cut rates, and customers moved to higher cost </w:t>
          </w:r>
          <w:r w:rsidR="00071071">
            <w:rPr>
              <w:rFonts w:asciiTheme="minorBidi" w:hAnsiTheme="minorBidi"/>
              <w:sz w:val="24"/>
              <w:szCs w:val="24"/>
            </w:rPr>
            <w:t>savings</w:t>
          </w:r>
          <w:r>
            <w:rPr>
              <w:rFonts w:asciiTheme="minorBidi" w:hAnsiTheme="minorBidi"/>
              <w:sz w:val="24"/>
              <w:szCs w:val="24"/>
            </w:rPr>
            <w:t xml:space="preserve"> accounts.</w:t>
          </w:r>
        </w:p>
        <w:p w14:paraId="7B4F8FC4" w14:textId="77777777" w:rsidR="00595B94" w:rsidRDefault="00595B94" w:rsidP="000104FB">
          <w:pPr>
            <w:pStyle w:val="ListParagraph"/>
            <w:jc w:val="both"/>
            <w:rPr>
              <w:rFonts w:asciiTheme="minorBidi" w:hAnsiTheme="minorBidi"/>
              <w:sz w:val="24"/>
              <w:szCs w:val="24"/>
            </w:rPr>
          </w:pPr>
        </w:p>
        <w:p w14:paraId="4ECF1F13" w14:textId="6ACE48B7" w:rsidR="00595B94" w:rsidRPr="00595B94" w:rsidRDefault="00595B94" w:rsidP="000104FB">
          <w:pPr>
            <w:pStyle w:val="ListParagraph"/>
            <w:jc w:val="both"/>
            <w:rPr>
              <w:rFonts w:asciiTheme="minorBidi" w:hAnsiTheme="minorBidi"/>
              <w:sz w:val="24"/>
              <w:szCs w:val="24"/>
            </w:rPr>
          </w:pPr>
          <w:r>
            <w:rPr>
              <w:rFonts w:asciiTheme="minorBidi" w:hAnsiTheme="minorBidi"/>
              <w:sz w:val="24"/>
              <w:szCs w:val="24"/>
            </w:rPr>
            <w:t xml:space="preserve">Cost Efficiency, as the bank is deeply invested in technology and inflationary wage pressures. The new group CEO, </w:t>
          </w:r>
          <w:r w:rsidRPr="00595B94">
            <w:rPr>
              <w:rFonts w:asciiTheme="minorBidi" w:hAnsiTheme="minorBidi"/>
              <w:sz w:val="24"/>
              <w:szCs w:val="24"/>
            </w:rPr>
            <w:t xml:space="preserve">Georges Elhedery, launched a major "Simplification Plan" in early 2025, targeting $1.5bn in annual savings by 2026 to </w:t>
          </w:r>
          <w:r>
            <w:rPr>
              <w:rFonts w:asciiTheme="minorBidi" w:hAnsiTheme="minorBidi"/>
              <w:sz w:val="24"/>
              <w:szCs w:val="24"/>
            </w:rPr>
            <w:t>stabilise</w:t>
          </w:r>
          <w:r w:rsidRPr="00595B94">
            <w:rPr>
              <w:rFonts w:asciiTheme="minorBidi" w:hAnsiTheme="minorBidi"/>
              <w:sz w:val="24"/>
              <w:szCs w:val="24"/>
            </w:rPr>
            <w:t xml:space="preserve"> operational margins.</w:t>
          </w:r>
        </w:p>
        <w:p w14:paraId="00CDC6BE" w14:textId="7AE806F9" w:rsidR="00595B94" w:rsidRPr="00595B94" w:rsidRDefault="00595B94" w:rsidP="000104FB">
          <w:pPr>
            <w:pStyle w:val="ListParagraph"/>
            <w:jc w:val="both"/>
            <w:rPr>
              <w:rFonts w:asciiTheme="minorBidi" w:hAnsiTheme="minorBidi"/>
              <w:sz w:val="24"/>
              <w:szCs w:val="24"/>
            </w:rPr>
          </w:pPr>
          <w:r w:rsidRPr="00595B94">
            <w:rPr>
              <w:rFonts w:asciiTheme="minorBidi" w:hAnsiTheme="minorBidi"/>
              <w:sz w:val="24"/>
              <w:szCs w:val="24"/>
            </w:rPr>
            <w:t xml:space="preserve"> </w:t>
          </w:r>
        </w:p>
        <w:p w14:paraId="63970A8D" w14:textId="5CE6B09B" w:rsidR="00516947" w:rsidRPr="000104FB" w:rsidRDefault="0033299D" w:rsidP="000104FB">
          <w:pPr>
            <w:pStyle w:val="Heading4"/>
            <w:numPr>
              <w:ilvl w:val="0"/>
              <w:numId w:val="5"/>
            </w:numPr>
            <w:jc w:val="both"/>
            <w:rPr>
              <w:rFonts w:cstheme="minorBidi"/>
              <w:szCs w:val="24"/>
            </w:rPr>
          </w:pPr>
          <w:r w:rsidRPr="000104FB">
            <w:rPr>
              <w:rFonts w:cstheme="minorBidi"/>
              <w:szCs w:val="24"/>
            </w:rPr>
            <w:t>Liquidity and Capital Ratios</w:t>
          </w:r>
        </w:p>
        <w:p w14:paraId="583B7AB8" w14:textId="54F9CD0B" w:rsidR="00516947" w:rsidRPr="00071071" w:rsidRDefault="00516947" w:rsidP="000104FB">
          <w:pPr>
            <w:pStyle w:val="ListParagraph"/>
            <w:numPr>
              <w:ilvl w:val="0"/>
              <w:numId w:val="13"/>
            </w:numPr>
            <w:jc w:val="both"/>
          </w:pPr>
          <w:r>
            <w:rPr>
              <w:rFonts w:asciiTheme="minorBidi" w:hAnsiTheme="minorBidi"/>
              <w:sz w:val="24"/>
              <w:szCs w:val="24"/>
            </w:rPr>
            <w:t>The Liquidity shows the bank enough cash (or assets that quickly turn into cash) for the instant demands</w:t>
          </w:r>
          <w:r w:rsidR="00071071">
            <w:rPr>
              <w:rFonts w:asciiTheme="minorBidi" w:hAnsiTheme="minorBidi"/>
              <w:sz w:val="24"/>
              <w:szCs w:val="24"/>
            </w:rPr>
            <w:t>,</w:t>
          </w:r>
          <w:r>
            <w:rPr>
              <w:rFonts w:asciiTheme="minorBidi" w:hAnsiTheme="minorBidi"/>
              <w:sz w:val="24"/>
              <w:szCs w:val="24"/>
            </w:rPr>
            <w:t xml:space="preserve"> and </w:t>
          </w:r>
          <w:r w:rsidR="00071071">
            <w:rPr>
              <w:rFonts w:asciiTheme="minorBidi" w:hAnsiTheme="minorBidi"/>
              <w:sz w:val="24"/>
              <w:szCs w:val="24"/>
            </w:rPr>
            <w:t xml:space="preserve">the Capital Ratio </w:t>
          </w:r>
          <w:r w:rsidR="000104FB">
            <w:rPr>
              <w:rFonts w:asciiTheme="minorBidi" w:hAnsiTheme="minorBidi"/>
              <w:sz w:val="24"/>
              <w:szCs w:val="24"/>
            </w:rPr>
            <w:t>assesses</w:t>
          </w:r>
          <w:r w:rsidR="00071071">
            <w:rPr>
              <w:rFonts w:asciiTheme="minorBidi" w:hAnsiTheme="minorBidi"/>
              <w:sz w:val="24"/>
              <w:szCs w:val="24"/>
            </w:rPr>
            <w:t xml:space="preserve"> the bank’s “fortress” balance sheet and ability to withstand financial shocks. </w:t>
          </w:r>
        </w:p>
        <w:p w14:paraId="053A6CE2" w14:textId="77777777" w:rsidR="00071071" w:rsidRPr="00071071" w:rsidRDefault="00071071" w:rsidP="000104FB">
          <w:pPr>
            <w:pStyle w:val="ListParagraph"/>
            <w:numPr>
              <w:ilvl w:val="0"/>
              <w:numId w:val="13"/>
            </w:numPr>
            <w:jc w:val="both"/>
          </w:pPr>
          <w:r>
            <w:rPr>
              <w:rFonts w:asciiTheme="minorBidi" w:hAnsiTheme="minorBidi"/>
              <w:sz w:val="24"/>
              <w:szCs w:val="24"/>
            </w:rPr>
            <w:t xml:space="preserve">Liquidity Coverage Ratio (LCR): HSBC reported an LCR of 138%. Anything above 100% means the bank has more than enough high-quality liquid assets. </w:t>
          </w:r>
        </w:p>
        <w:p w14:paraId="695A0DFC" w14:textId="4FAAD397" w:rsidR="00071071" w:rsidRPr="00071071" w:rsidRDefault="00071071" w:rsidP="000104FB">
          <w:pPr>
            <w:pStyle w:val="ListParagraph"/>
            <w:numPr>
              <w:ilvl w:val="0"/>
              <w:numId w:val="13"/>
            </w:numPr>
            <w:jc w:val="both"/>
          </w:pPr>
          <w:r>
            <w:rPr>
              <w:rFonts w:asciiTheme="minorBidi" w:hAnsiTheme="minorBidi"/>
              <w:sz w:val="24"/>
              <w:szCs w:val="24"/>
            </w:rPr>
            <w:t>Loan-to-Deposit Ratio: This was 58.2%, which</w:t>
          </w:r>
          <w:r w:rsidRPr="00071071">
            <w:rPr>
              <w:rFonts w:asciiTheme="minorBidi" w:hAnsiTheme="minorBidi"/>
              <w:sz w:val="24"/>
              <w:szCs w:val="24"/>
            </w:rPr>
            <w:t xml:space="preserve"> shows a very conservative and liquid position compared to many peers.</w:t>
          </w:r>
          <w:r>
            <w:rPr>
              <w:rFonts w:asciiTheme="minorBidi" w:hAnsiTheme="minorBidi"/>
              <w:sz w:val="24"/>
              <w:szCs w:val="24"/>
            </w:rPr>
            <w:t xml:space="preserve">  </w:t>
          </w:r>
        </w:p>
        <w:p w14:paraId="3A0D5622" w14:textId="0CE09D0C" w:rsidR="00071071" w:rsidRPr="00071071" w:rsidRDefault="00071071" w:rsidP="000104FB">
          <w:pPr>
            <w:pStyle w:val="ListParagraph"/>
            <w:numPr>
              <w:ilvl w:val="0"/>
              <w:numId w:val="13"/>
            </w:numPr>
            <w:spacing w:before="100" w:beforeAutospacing="1" w:after="100" w:afterAutospacing="1" w:line="240" w:lineRule="auto"/>
            <w:jc w:val="both"/>
            <w:rPr>
              <w:rFonts w:asciiTheme="minorBidi" w:eastAsia="Times New Roman" w:hAnsiTheme="minorBidi"/>
              <w:sz w:val="24"/>
              <w:szCs w:val="24"/>
              <w:lang w:eastAsia="en-GB" w:bidi="gu-IN"/>
            </w:rPr>
          </w:pPr>
          <w:r w:rsidRPr="00071071">
            <w:rPr>
              <w:rFonts w:asciiTheme="minorBidi" w:eastAsia="Times New Roman" w:hAnsiTheme="minorBidi"/>
              <w:sz w:val="24"/>
              <w:szCs w:val="24"/>
              <w:lang w:eastAsia="en-GB" w:bidi="gu-IN"/>
            </w:rPr>
            <w:t>CET1 Ratio (Common Equity Tier 1): The most important measure of a bank's capital strength. HSBC’s ratio was 14.9% in 2024, well above its target range of 14% to 14.5%.</w:t>
          </w:r>
        </w:p>
        <w:p w14:paraId="3D625726" w14:textId="50E9BDDC" w:rsidR="009A256E" w:rsidRDefault="00071071" w:rsidP="000104FB">
          <w:pPr>
            <w:pStyle w:val="ListParagraph"/>
            <w:numPr>
              <w:ilvl w:val="0"/>
              <w:numId w:val="13"/>
            </w:numPr>
            <w:spacing w:before="100" w:beforeAutospacing="1" w:after="100" w:afterAutospacing="1" w:line="240" w:lineRule="auto"/>
            <w:jc w:val="both"/>
            <w:rPr>
              <w:rFonts w:asciiTheme="minorBidi" w:eastAsia="Times New Roman" w:hAnsiTheme="minorBidi"/>
              <w:sz w:val="24"/>
              <w:szCs w:val="24"/>
              <w:lang w:eastAsia="en-GB" w:bidi="gu-IN"/>
            </w:rPr>
          </w:pPr>
          <w:r w:rsidRPr="00071071">
            <w:rPr>
              <w:rFonts w:asciiTheme="minorBidi" w:eastAsia="Times New Roman" w:hAnsiTheme="minorBidi"/>
              <w:sz w:val="24"/>
              <w:szCs w:val="24"/>
              <w:lang w:eastAsia="en-GB" w:bidi="gu-IN"/>
            </w:rPr>
            <w:t>Leverage Ratio: Measures capital against total exposure. HSBC maintained a stable leverage ratio of 5.6%, which is significantly higher than the regulatory minimum.</w:t>
          </w:r>
        </w:p>
        <w:p w14:paraId="65D19AC1" w14:textId="77777777" w:rsidR="009A256E" w:rsidRDefault="009A256E" w:rsidP="000104FB">
          <w:pPr>
            <w:spacing w:before="100" w:beforeAutospacing="1" w:after="100" w:afterAutospacing="1" w:line="240" w:lineRule="auto"/>
            <w:jc w:val="both"/>
            <w:rPr>
              <w:rFonts w:asciiTheme="minorBidi" w:eastAsia="Times New Roman" w:hAnsiTheme="minorBidi"/>
              <w:sz w:val="24"/>
              <w:szCs w:val="24"/>
              <w:lang w:eastAsia="en-GB" w:bidi="gu-IN"/>
            </w:rPr>
          </w:pPr>
        </w:p>
        <w:p w14:paraId="6F53ABE7" w14:textId="59BF8B75" w:rsidR="009A256E" w:rsidRDefault="009A256E" w:rsidP="000104FB">
          <w:pPr>
            <w:pStyle w:val="ListParagraph"/>
            <w:numPr>
              <w:ilvl w:val="0"/>
              <w:numId w:val="14"/>
            </w:numPr>
            <w:spacing w:before="100" w:beforeAutospacing="1" w:after="100" w:afterAutospacing="1" w:line="240" w:lineRule="auto"/>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The European Central Bank (ECB) described that EU-supervised banks held a CFT1 ratio of approximately ~16.1% and an LCR of nearly 158% in mid-2025. This shows that HSBC’s capital and liquidity metrics are strong</w:t>
          </w:r>
          <w:r w:rsidR="00BD37CA">
            <w:rPr>
              <w:rFonts w:asciiTheme="minorBidi" w:eastAsia="Times New Roman" w:hAnsiTheme="minorBidi"/>
              <w:sz w:val="24"/>
              <w:szCs w:val="24"/>
              <w:lang w:eastAsia="en-GB" w:bidi="gu-IN"/>
            </w:rPr>
            <w:t xml:space="preserve">, even compared with aggregate European peers. </w:t>
          </w:r>
        </w:p>
        <w:p w14:paraId="118412AC" w14:textId="108FD0D5" w:rsidR="00BD37CA" w:rsidRDefault="00BD37CA" w:rsidP="000104FB">
          <w:pPr>
            <w:pStyle w:val="ListParagraph"/>
            <w:numPr>
              <w:ilvl w:val="0"/>
              <w:numId w:val="14"/>
            </w:numPr>
            <w:spacing w:before="100" w:beforeAutospacing="1" w:after="100" w:afterAutospacing="1" w:line="240" w:lineRule="auto"/>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A common Equity Tier 1 (CET1) ratio of 14.9%, slightly above its target range of 14-14.5% and reflecting capital generation and risk management. </w:t>
          </w:r>
        </w:p>
        <w:p w14:paraId="7AF4AF53" w14:textId="7C841912" w:rsidR="00BD37CA" w:rsidRDefault="00AE084B" w:rsidP="000104FB">
          <w:pPr>
            <w:pStyle w:val="ListParagraph"/>
            <w:numPr>
              <w:ilvl w:val="0"/>
              <w:numId w:val="14"/>
            </w:numPr>
            <w:spacing w:before="100" w:beforeAutospacing="1" w:after="100" w:afterAutospacing="1" w:line="240" w:lineRule="auto"/>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To forecast the Liquidity Coverage Ratio (LCR) for banks, research suggests the Gated Recurrent Unit (GRU) model. This shows a new technique for controlling liquidity risk and how predictive modelling can assist frameworks.  </w:t>
          </w:r>
        </w:p>
        <w:p w14:paraId="4DF3334C" w14:textId="1EC69815" w:rsidR="00AE084B" w:rsidRDefault="00AE084B" w:rsidP="000104FB">
          <w:pPr>
            <w:pStyle w:val="ListParagraph"/>
            <w:numPr>
              <w:ilvl w:val="0"/>
              <w:numId w:val="14"/>
            </w:numPr>
            <w:spacing w:before="100" w:beforeAutospacing="1" w:after="100" w:afterAutospacing="1" w:line="240" w:lineRule="auto"/>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The Basel III regulatory principles are essential even though they are not empirical research from 2024-2025. Banks uphold minimum CET1 and LCR norms, which are based on the Basel III system, Liquidity and Capital benchmarks. </w:t>
          </w:r>
        </w:p>
        <w:p w14:paraId="67051C30" w14:textId="77777777" w:rsidR="00161DDE" w:rsidRDefault="00161DDE" w:rsidP="000104FB">
          <w:pPr>
            <w:pStyle w:val="ListParagraph"/>
            <w:spacing w:before="100" w:beforeAutospacing="1" w:after="100" w:afterAutospacing="1" w:line="240" w:lineRule="auto"/>
            <w:jc w:val="both"/>
            <w:rPr>
              <w:rFonts w:asciiTheme="minorBidi" w:eastAsia="Times New Roman" w:hAnsiTheme="minorBidi"/>
              <w:sz w:val="24"/>
              <w:szCs w:val="24"/>
              <w:lang w:eastAsia="en-GB" w:bidi="gu-IN"/>
            </w:rPr>
          </w:pPr>
        </w:p>
        <w:tbl>
          <w:tblPr>
            <w:tblStyle w:val="TableGrid"/>
            <w:tblW w:w="0" w:type="auto"/>
            <w:tblInd w:w="720" w:type="dxa"/>
            <w:tblLook w:val="04A0" w:firstRow="1" w:lastRow="0" w:firstColumn="1" w:lastColumn="0" w:noHBand="0" w:noVBand="1"/>
          </w:tblPr>
          <w:tblGrid>
            <w:gridCol w:w="1685"/>
            <w:gridCol w:w="3827"/>
            <w:gridCol w:w="1418"/>
            <w:gridCol w:w="1366"/>
          </w:tblGrid>
          <w:tr w:rsidR="00161DDE" w14:paraId="16646383" w14:textId="77777777" w:rsidTr="002D12CB">
            <w:tc>
              <w:tcPr>
                <w:tcW w:w="1685" w:type="dxa"/>
              </w:tcPr>
              <w:p w14:paraId="58DEE7CC" w14:textId="1A9CA21D"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Ratio </w:t>
                </w:r>
              </w:p>
            </w:tc>
            <w:tc>
              <w:tcPr>
                <w:tcW w:w="3827" w:type="dxa"/>
              </w:tcPr>
              <w:p w14:paraId="7A6F55E5" w14:textId="52AD87CF"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Formula </w:t>
                </w:r>
              </w:p>
            </w:tc>
            <w:tc>
              <w:tcPr>
                <w:tcW w:w="1418" w:type="dxa"/>
              </w:tcPr>
              <w:p w14:paraId="1C3F3BC3" w14:textId="39444CF5"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FY2024</w:t>
                </w:r>
              </w:p>
            </w:tc>
            <w:tc>
              <w:tcPr>
                <w:tcW w:w="1366" w:type="dxa"/>
              </w:tcPr>
              <w:p w14:paraId="40E46E33" w14:textId="78E27642"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FY202</w:t>
                </w:r>
                <w:r w:rsidR="000104FB">
                  <w:rPr>
                    <w:rFonts w:asciiTheme="minorBidi" w:eastAsia="Times New Roman" w:hAnsiTheme="minorBidi"/>
                    <w:sz w:val="24"/>
                    <w:szCs w:val="24"/>
                    <w:lang w:eastAsia="en-GB" w:bidi="gu-IN"/>
                  </w:rPr>
                  <w:t>3</w:t>
                </w:r>
              </w:p>
            </w:tc>
          </w:tr>
          <w:tr w:rsidR="00161DDE" w14:paraId="31D3EA15" w14:textId="77777777" w:rsidTr="002D12CB">
            <w:tc>
              <w:tcPr>
                <w:tcW w:w="1685" w:type="dxa"/>
              </w:tcPr>
              <w:p w14:paraId="244A48EC" w14:textId="7F6B0A25"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CET1</w:t>
                </w:r>
              </w:p>
            </w:tc>
            <w:tc>
              <w:tcPr>
                <w:tcW w:w="3827" w:type="dxa"/>
              </w:tcPr>
              <w:p w14:paraId="50DC3F47" w14:textId="18211992" w:rsidR="00161DDE" w:rsidRP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sidRPr="002D12CB">
                  <w:rPr>
                    <w:rFonts w:asciiTheme="minorBidi" w:hAnsiTheme="minorBidi"/>
                    <w:sz w:val="24"/>
                    <w:szCs w:val="24"/>
                  </w:rPr>
                  <w:t>Common Equity Tier 1 Capital / RWAs</w:t>
                </w:r>
              </w:p>
            </w:tc>
            <w:tc>
              <w:tcPr>
                <w:tcW w:w="1418" w:type="dxa"/>
              </w:tcPr>
              <w:p w14:paraId="2C7473D1" w14:textId="750E86F7"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14.9%</w:t>
                </w:r>
              </w:p>
            </w:tc>
            <w:tc>
              <w:tcPr>
                <w:tcW w:w="1366" w:type="dxa"/>
              </w:tcPr>
              <w:p w14:paraId="0A8BD76B" w14:textId="70ABF940" w:rsidR="00161DDE"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14.8%</w:t>
                </w:r>
              </w:p>
            </w:tc>
          </w:tr>
          <w:tr w:rsidR="002D12CB" w14:paraId="3C00C4C0" w14:textId="77777777" w:rsidTr="00BE4F08">
            <w:tc>
              <w:tcPr>
                <w:tcW w:w="1685" w:type="dxa"/>
              </w:tcPr>
              <w:p w14:paraId="29C7E2AD" w14:textId="5927F436"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Liquidity Coverage (LCR)</w:t>
                </w:r>
              </w:p>
            </w:tc>
            <w:tc>
              <w:tcPr>
                <w:tcW w:w="3827" w:type="dxa"/>
                <w:vAlign w:val="center"/>
              </w:tcPr>
              <w:p w14:paraId="744FBF6A" w14:textId="2FC68677" w:rsidR="002D12CB" w:rsidRP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sidRPr="002D12CB">
                  <w:rPr>
                    <w:rFonts w:asciiTheme="minorBidi" w:hAnsiTheme="minorBidi"/>
                    <w:sz w:val="24"/>
                    <w:szCs w:val="24"/>
                  </w:rPr>
                  <w:t>High-Quality Liquid Assets / Net Outflows</w:t>
                </w:r>
              </w:p>
            </w:tc>
            <w:tc>
              <w:tcPr>
                <w:tcW w:w="1418" w:type="dxa"/>
              </w:tcPr>
              <w:p w14:paraId="326F4B08" w14:textId="39E3743F"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190%</w:t>
                </w:r>
              </w:p>
            </w:tc>
            <w:tc>
              <w:tcPr>
                <w:tcW w:w="1366" w:type="dxa"/>
              </w:tcPr>
              <w:p w14:paraId="729E3FC1" w14:textId="4F9F15CB"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136%</w:t>
                </w:r>
              </w:p>
            </w:tc>
          </w:tr>
          <w:tr w:rsidR="002D12CB" w14:paraId="295833ED" w14:textId="77777777" w:rsidTr="002D12CB">
            <w:tc>
              <w:tcPr>
                <w:tcW w:w="1685" w:type="dxa"/>
              </w:tcPr>
              <w:p w14:paraId="0488DA7D" w14:textId="3F87834F"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Loans to Deposits </w:t>
                </w:r>
              </w:p>
            </w:tc>
            <w:tc>
              <w:tcPr>
                <w:tcW w:w="3827" w:type="dxa"/>
              </w:tcPr>
              <w:p w14:paraId="11328DA2" w14:textId="7A7E40D8" w:rsidR="002D12CB" w:rsidRP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sidRPr="002D12CB">
                  <w:rPr>
                    <w:rFonts w:asciiTheme="minorBidi" w:hAnsiTheme="minorBidi"/>
                    <w:sz w:val="24"/>
                    <w:szCs w:val="24"/>
                  </w:rPr>
                  <w:t>Customer Lending / Customer Accounts</w:t>
                </w:r>
              </w:p>
            </w:tc>
            <w:tc>
              <w:tcPr>
                <w:tcW w:w="1418" w:type="dxa"/>
              </w:tcPr>
              <w:p w14:paraId="5B70375F" w14:textId="2FA9C26A"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58.2%</w:t>
                </w:r>
              </w:p>
            </w:tc>
            <w:tc>
              <w:tcPr>
                <w:tcW w:w="1366" w:type="dxa"/>
              </w:tcPr>
              <w:p w14:paraId="7B092833" w14:textId="12F3E8B5" w:rsidR="002D12CB" w:rsidRDefault="002D12CB" w:rsidP="000104FB">
                <w:pPr>
                  <w:pStyle w:val="ListParagraph"/>
                  <w:spacing w:before="100" w:beforeAutospacing="1" w:after="100" w:afterAutospacing="1"/>
                  <w:ind w:left="0"/>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58.2% </w:t>
                </w:r>
              </w:p>
            </w:tc>
          </w:tr>
        </w:tbl>
        <w:p w14:paraId="72767DAB" w14:textId="33A38519" w:rsidR="000030BE" w:rsidRDefault="000104FB" w:rsidP="000104FB">
          <w:pPr>
            <w:pStyle w:val="Heading3"/>
            <w:jc w:val="both"/>
            <w:rPr>
              <w:lang w:eastAsia="en-GB" w:bidi="gu-IN"/>
            </w:rPr>
          </w:pPr>
          <w:r>
            <w:t xml:space="preserve">           </w:t>
          </w:r>
          <w:bookmarkStart w:id="6" w:name="_Toc219110409"/>
          <w:r w:rsidRPr="000104FB">
            <w:t xml:space="preserve">Table </w:t>
          </w:r>
          <w:r w:rsidRPr="000104FB">
            <w:fldChar w:fldCharType="begin"/>
          </w:r>
          <w:r w:rsidRPr="000104FB">
            <w:instrText xml:space="preserve"> SEQ Table \* ARABIC </w:instrText>
          </w:r>
          <w:r w:rsidRPr="000104FB">
            <w:fldChar w:fldCharType="separate"/>
          </w:r>
          <w:r w:rsidRPr="000104FB">
            <w:rPr>
              <w:noProof/>
            </w:rPr>
            <w:t>2</w:t>
          </w:r>
          <w:r w:rsidRPr="000104FB">
            <w:fldChar w:fldCharType="end"/>
          </w:r>
          <w:r>
            <w:t xml:space="preserve">: </w:t>
          </w:r>
          <w:r w:rsidRPr="000104FB">
            <w:rPr>
              <w:lang w:eastAsia="en-GB" w:bidi="gu-IN"/>
            </w:rPr>
            <w:t>Key Liquidity and Capital Ratios (FY202</w:t>
          </w:r>
          <w:r>
            <w:rPr>
              <w:lang w:eastAsia="en-GB" w:bidi="gu-IN"/>
            </w:rPr>
            <w:t>3</w:t>
          </w:r>
          <w:r w:rsidRPr="000104FB">
            <w:rPr>
              <w:lang w:eastAsia="en-GB" w:bidi="gu-IN"/>
            </w:rPr>
            <w:t>–FY202</w:t>
          </w:r>
          <w:r>
            <w:rPr>
              <w:lang w:eastAsia="en-GB" w:bidi="gu-IN"/>
            </w:rPr>
            <w:t>4</w:t>
          </w:r>
          <w:r w:rsidRPr="000104FB">
            <w:rPr>
              <w:lang w:eastAsia="en-GB" w:bidi="gu-IN"/>
            </w:rPr>
            <w:t>)</w:t>
          </w:r>
          <w:bookmarkEnd w:id="6"/>
        </w:p>
        <w:p w14:paraId="649A81E5" w14:textId="77777777" w:rsidR="000104FB" w:rsidRPr="000104FB" w:rsidRDefault="000104FB" w:rsidP="000104FB">
          <w:pPr>
            <w:jc w:val="both"/>
            <w:rPr>
              <w:lang w:eastAsia="en-GB" w:bidi="gu-IN"/>
            </w:rPr>
          </w:pPr>
        </w:p>
        <w:p w14:paraId="3ABAC466" w14:textId="510CC88C" w:rsidR="00BC0AB6" w:rsidRDefault="00BC0AB6" w:rsidP="000104FB">
          <w:pPr>
            <w:pStyle w:val="ListParagraph"/>
            <w:jc w:val="both"/>
            <w:rPr>
              <w:rFonts w:asciiTheme="minorBidi" w:eastAsia="Times New Roman" w:hAnsiTheme="minorBidi"/>
              <w:sz w:val="24"/>
              <w:szCs w:val="24"/>
              <w:lang w:eastAsia="en-GB" w:bidi="gu-IN"/>
            </w:rPr>
          </w:pPr>
          <w:r w:rsidRPr="00BC0AB6">
            <w:rPr>
              <w:rFonts w:asciiTheme="minorBidi" w:eastAsia="Times New Roman" w:hAnsiTheme="minorBidi"/>
              <w:sz w:val="24"/>
              <w:szCs w:val="24"/>
              <w:lang w:eastAsia="en-GB" w:bidi="gu-IN"/>
            </w:rPr>
            <w:t>HSBC’s liquidity and capital strength remained robust through 2025. The CET1 ratio was maintained near 14.8%, supported by organic capital generation despite heavy dividend payouts. The surge in the Liquidity Coverage Ratio (LCR) to 190% in late 2024 (specifically within HSBC UK) reflects a massive surplus of high-quality liquid assets following strategic divestments, such as the sale of the Canada business.</w:t>
          </w:r>
        </w:p>
        <w:p w14:paraId="4A4095E9" w14:textId="77777777" w:rsidR="00BC0AB6" w:rsidRPr="00BC0AB6" w:rsidRDefault="00BC0AB6" w:rsidP="000104FB">
          <w:pPr>
            <w:pStyle w:val="ListParagraph"/>
            <w:jc w:val="both"/>
            <w:rPr>
              <w:rFonts w:asciiTheme="minorBidi" w:eastAsia="Times New Roman" w:hAnsiTheme="minorBidi"/>
              <w:sz w:val="24"/>
              <w:szCs w:val="24"/>
              <w:lang w:eastAsia="en-GB" w:bidi="gu-IN"/>
            </w:rPr>
          </w:pPr>
        </w:p>
        <w:p w14:paraId="2A0D52D9" w14:textId="39168E68" w:rsidR="00BC0AB6" w:rsidRPr="00BC0AB6" w:rsidRDefault="00BC0AB6" w:rsidP="000104FB">
          <w:pPr>
            <w:pStyle w:val="ListParagraph"/>
            <w:jc w:val="both"/>
            <w:rPr>
              <w:rFonts w:asciiTheme="minorBidi" w:eastAsia="Times New Roman" w:hAnsiTheme="minorBidi"/>
              <w:sz w:val="24"/>
              <w:szCs w:val="24"/>
              <w:lang w:eastAsia="en-GB" w:bidi="gu-IN"/>
            </w:rPr>
          </w:pPr>
          <w:r w:rsidRPr="00BC0AB6">
            <w:rPr>
              <w:rFonts w:asciiTheme="minorBidi" w:eastAsia="Times New Roman" w:hAnsiTheme="minorBidi"/>
              <w:sz w:val="24"/>
              <w:szCs w:val="24"/>
              <w:lang w:eastAsia="en-GB" w:bidi="gu-IN"/>
            </w:rPr>
            <w:t xml:space="preserve">The Loans to Deposits ratio remained steady at 58.2%, </w:t>
          </w:r>
          <w:r>
            <w:rPr>
              <w:rFonts w:asciiTheme="minorBidi" w:eastAsia="Times New Roman" w:hAnsiTheme="minorBidi"/>
              <w:sz w:val="24"/>
              <w:szCs w:val="24"/>
              <w:lang w:eastAsia="en-GB" w:bidi="gu-IN"/>
            </w:rPr>
            <w:t>signalling</w:t>
          </w:r>
          <w:r w:rsidRPr="00BC0AB6">
            <w:rPr>
              <w:rFonts w:asciiTheme="minorBidi" w:eastAsia="Times New Roman" w:hAnsiTheme="minorBidi"/>
              <w:sz w:val="24"/>
              <w:szCs w:val="24"/>
              <w:lang w:eastAsia="en-GB" w:bidi="gu-IN"/>
            </w:rPr>
            <w:t xml:space="preserve"> a conservative lending approach. While this provides a significant safety buffer during economic uncertainty, it also highlights the bank's reliance on its "fortress" deposit base to fund its operations rather than aggressive credit expansion.</w:t>
          </w:r>
        </w:p>
        <w:p w14:paraId="787F6726" w14:textId="77777777" w:rsidR="00161DDE" w:rsidRPr="00BC0AB6" w:rsidRDefault="00161DDE" w:rsidP="000104FB">
          <w:pPr>
            <w:pStyle w:val="ListParagraph"/>
            <w:spacing w:before="100" w:beforeAutospacing="1" w:after="100" w:afterAutospacing="1" w:line="240" w:lineRule="auto"/>
            <w:jc w:val="both"/>
            <w:rPr>
              <w:rFonts w:asciiTheme="minorBidi" w:eastAsia="Times New Roman" w:hAnsiTheme="minorBidi"/>
              <w:sz w:val="24"/>
              <w:szCs w:val="24"/>
              <w:lang w:eastAsia="en-GB" w:bidi="gu-IN"/>
            </w:rPr>
          </w:pPr>
        </w:p>
        <w:p w14:paraId="53401949" w14:textId="0C49E7A3" w:rsidR="0033299D" w:rsidRDefault="0033299D" w:rsidP="000104FB">
          <w:pPr>
            <w:pStyle w:val="Heading4"/>
            <w:numPr>
              <w:ilvl w:val="0"/>
              <w:numId w:val="5"/>
            </w:numPr>
            <w:jc w:val="both"/>
            <w:rPr>
              <w:rFonts w:cstheme="minorBidi"/>
              <w:i/>
              <w:iCs w:val="0"/>
              <w:szCs w:val="24"/>
            </w:rPr>
          </w:pPr>
          <w:r w:rsidRPr="00BC0AB6">
            <w:rPr>
              <w:rFonts w:cstheme="minorBidi"/>
              <w:iCs w:val="0"/>
              <w:szCs w:val="24"/>
            </w:rPr>
            <w:t>Gearing</w:t>
          </w:r>
        </w:p>
        <w:p w14:paraId="70F5444B" w14:textId="03AF33D9" w:rsidR="00BC0AB6" w:rsidRPr="00D64C40" w:rsidRDefault="00D64C40" w:rsidP="000104FB">
          <w:pPr>
            <w:pStyle w:val="ListParagraph"/>
            <w:numPr>
              <w:ilvl w:val="0"/>
              <w:numId w:val="16"/>
            </w:numPr>
            <w:jc w:val="both"/>
          </w:pPr>
          <w:r>
            <w:rPr>
              <w:rFonts w:asciiTheme="minorBidi" w:hAnsiTheme="minorBidi"/>
              <w:sz w:val="24"/>
              <w:szCs w:val="24"/>
            </w:rPr>
            <w:t xml:space="preserve">The HSBC defines gearing in terms of primarily monitoring the Leverage Ratio. Basically, gearing is not measured by the Debt-to-Equity ratio used for normal companies. </w:t>
          </w:r>
        </w:p>
        <w:p w14:paraId="700449BF" w14:textId="424253D1" w:rsidR="00D64C40" w:rsidRPr="00D64C40" w:rsidRDefault="00D64C40" w:rsidP="000104FB">
          <w:pPr>
            <w:pStyle w:val="ListParagraph"/>
            <w:numPr>
              <w:ilvl w:val="0"/>
              <w:numId w:val="16"/>
            </w:numPr>
            <w:jc w:val="both"/>
          </w:pPr>
          <w:r>
            <w:rPr>
              <w:rFonts w:asciiTheme="minorBidi" w:hAnsiTheme="minorBidi"/>
              <w:sz w:val="24"/>
              <w:szCs w:val="24"/>
            </w:rPr>
            <w:t xml:space="preserve">The Leverage Ratio is calculated as Tier 1 Capital divided by the Total Leverage Exposure Measure (Equity + Retained Earnings). </w:t>
          </w:r>
        </w:p>
        <w:p w14:paraId="74ACA6F5" w14:textId="6534BB72" w:rsidR="00D64C40" w:rsidRPr="00D64C40" w:rsidRDefault="00D64C40" w:rsidP="000104FB">
          <w:pPr>
            <w:pStyle w:val="ListParagraph"/>
            <w:numPr>
              <w:ilvl w:val="0"/>
              <w:numId w:val="16"/>
            </w:numPr>
            <w:jc w:val="both"/>
          </w:pPr>
          <w:r>
            <w:rPr>
              <w:rFonts w:asciiTheme="minorBidi" w:hAnsiTheme="minorBidi"/>
              <w:sz w:val="24"/>
              <w:szCs w:val="24"/>
            </w:rPr>
            <w:t xml:space="preserve">These are considered important things, such as bank assets, loans, </w:t>
          </w:r>
          <w:r w:rsidRPr="00D64C40">
            <w:rPr>
              <w:rFonts w:asciiTheme="minorBidi" w:hAnsiTheme="minorBidi"/>
              <w:sz w:val="24"/>
              <w:szCs w:val="24"/>
            </w:rPr>
            <w:t xml:space="preserve">derivatives, </w:t>
          </w:r>
          <w:r>
            <w:rPr>
              <w:rFonts w:asciiTheme="minorBidi" w:hAnsiTheme="minorBidi"/>
              <w:sz w:val="24"/>
              <w:szCs w:val="24"/>
            </w:rPr>
            <w:t xml:space="preserve">and </w:t>
          </w:r>
          <w:r w:rsidRPr="00D64C40">
            <w:rPr>
              <w:rFonts w:asciiTheme="minorBidi" w:hAnsiTheme="minorBidi"/>
              <w:sz w:val="24"/>
              <w:szCs w:val="24"/>
            </w:rPr>
            <w:t>off-balance sheet commitments</w:t>
          </w:r>
          <w:r>
            <w:rPr>
              <w:rFonts w:asciiTheme="minorBidi" w:hAnsiTheme="minorBidi"/>
              <w:sz w:val="24"/>
              <w:szCs w:val="24"/>
            </w:rPr>
            <w:t>, without applying risk weightings.</w:t>
          </w:r>
        </w:p>
        <w:p w14:paraId="52953660" w14:textId="438C6E95" w:rsidR="00D64C40" w:rsidRPr="00F95C1E" w:rsidRDefault="00F95C1E" w:rsidP="000104FB">
          <w:pPr>
            <w:pStyle w:val="ListParagraph"/>
            <w:numPr>
              <w:ilvl w:val="0"/>
              <w:numId w:val="16"/>
            </w:numPr>
            <w:jc w:val="both"/>
          </w:pPr>
          <w:r>
            <w:rPr>
              <w:rFonts w:asciiTheme="minorBidi" w:hAnsiTheme="minorBidi"/>
              <w:sz w:val="24"/>
              <w:szCs w:val="24"/>
            </w:rPr>
            <w:t xml:space="preserve">The main purpose is to prevent the bank from building leverage, such as debt/liabilities linked to the capital base. </w:t>
          </w:r>
        </w:p>
        <w:p w14:paraId="67E344C6" w14:textId="77777777" w:rsidR="00F95C1E" w:rsidRDefault="00F95C1E" w:rsidP="000104FB">
          <w:pPr>
            <w:jc w:val="both"/>
          </w:pPr>
        </w:p>
        <w:p w14:paraId="0659312E" w14:textId="066DC968" w:rsidR="00622E48" w:rsidRPr="00CE00E1" w:rsidRDefault="00F95C1E" w:rsidP="000104FB">
          <w:pPr>
            <w:pStyle w:val="ListParagraph"/>
            <w:numPr>
              <w:ilvl w:val="0"/>
              <w:numId w:val="17"/>
            </w:numPr>
            <w:jc w:val="both"/>
          </w:pPr>
          <w:r>
            <w:rPr>
              <w:rFonts w:asciiTheme="minorBidi" w:hAnsiTheme="minorBidi"/>
              <w:sz w:val="24"/>
              <w:szCs w:val="24"/>
            </w:rPr>
            <w:t xml:space="preserve">The essential news Canada Gain </w:t>
          </w:r>
          <w:r w:rsidR="00622E48">
            <w:rPr>
              <w:rFonts w:asciiTheme="minorBidi" w:hAnsiTheme="minorBidi"/>
              <w:sz w:val="24"/>
              <w:szCs w:val="24"/>
            </w:rPr>
            <w:t>HSBC completed the sale of Canadian banking for $13.5bn, creating a $4.8bn profit. The impact on gearing is that the sale reduced the banking total exposure and its capital position</w:t>
          </w:r>
          <w:r w:rsidR="00CE00E1">
            <w:rPr>
              <w:rFonts w:asciiTheme="minorBidi" w:hAnsiTheme="minorBidi"/>
              <w:sz w:val="24"/>
              <w:szCs w:val="24"/>
            </w:rPr>
            <w:t xml:space="preserve">. </w:t>
          </w:r>
        </w:p>
        <w:p w14:paraId="2ED9859D" w14:textId="64577813" w:rsidR="00CE00E1" w:rsidRPr="00CE00E1" w:rsidRDefault="00CE00E1" w:rsidP="000104FB">
          <w:pPr>
            <w:pStyle w:val="ListParagraph"/>
            <w:numPr>
              <w:ilvl w:val="0"/>
              <w:numId w:val="17"/>
            </w:numPr>
            <w:jc w:val="both"/>
          </w:pPr>
          <w:r>
            <w:rPr>
              <w:rFonts w:asciiTheme="minorBidi" w:hAnsiTheme="minorBidi"/>
              <w:sz w:val="24"/>
              <w:szCs w:val="24"/>
            </w:rPr>
            <w:t>CEO Georges Elhedery published a vast restructuring and dividing bank into “Eastern” and “Western” markets.</w:t>
          </w:r>
        </w:p>
        <w:p w14:paraId="475A1894" w14:textId="28EDC28A" w:rsidR="004255F0" w:rsidRPr="004255F0" w:rsidRDefault="00CE00E1" w:rsidP="000104FB">
          <w:pPr>
            <w:pStyle w:val="ListParagraph"/>
            <w:numPr>
              <w:ilvl w:val="0"/>
              <w:numId w:val="17"/>
            </w:numPr>
            <w:jc w:val="both"/>
          </w:pPr>
          <w:r>
            <w:rPr>
              <w:rFonts w:asciiTheme="minorBidi" w:hAnsiTheme="minorBidi"/>
              <w:sz w:val="24"/>
              <w:szCs w:val="24"/>
            </w:rPr>
            <w:t xml:space="preserve">The Global Capital report noted that HSBC’s </w:t>
          </w:r>
          <w:r w:rsidR="004255F0">
            <w:rPr>
              <w:rFonts w:asciiTheme="minorBidi" w:hAnsiTheme="minorBidi"/>
              <w:sz w:val="24"/>
              <w:szCs w:val="24"/>
            </w:rPr>
            <w:t xml:space="preserve">ambition becomes a top-tier debt arranger for “Big Tech” firms like Oracle. By arranging the debt for the other people rather than keeping its own balance sheet, HSBC makes money without flying its own Leverage Ratio. </w:t>
          </w:r>
        </w:p>
        <w:p w14:paraId="586009FE" w14:textId="2FF9E10D" w:rsidR="004255F0" w:rsidRPr="00AE051C" w:rsidRDefault="00AE051C" w:rsidP="000104FB">
          <w:pPr>
            <w:pStyle w:val="ListParagraph"/>
            <w:numPr>
              <w:ilvl w:val="0"/>
              <w:numId w:val="17"/>
            </w:numPr>
            <w:jc w:val="both"/>
          </w:pPr>
          <w:r>
            <w:rPr>
              <w:rFonts w:asciiTheme="minorBidi" w:hAnsiTheme="minorBidi"/>
              <w:sz w:val="24"/>
              <w:szCs w:val="24"/>
            </w:rPr>
            <w:lastRenderedPageBreak/>
            <w:t xml:space="preserve">Right now, HSBC is mainly focused on the mortgage rate cuts, wealth management expansion and analysis of the other companies in finance, but there are no specific reports and news about HSBC’s own overall gearing. </w:t>
          </w:r>
        </w:p>
        <w:tbl>
          <w:tblPr>
            <w:tblStyle w:val="TableGrid"/>
            <w:tblW w:w="0" w:type="auto"/>
            <w:tblInd w:w="360" w:type="dxa"/>
            <w:tblLook w:val="04A0" w:firstRow="1" w:lastRow="0" w:firstColumn="1" w:lastColumn="0" w:noHBand="0" w:noVBand="1"/>
          </w:tblPr>
          <w:tblGrid>
            <w:gridCol w:w="3888"/>
            <w:gridCol w:w="1701"/>
            <w:gridCol w:w="1559"/>
            <w:gridCol w:w="1508"/>
          </w:tblGrid>
          <w:tr w:rsidR="00AE051C" w14:paraId="0F402A54" w14:textId="77777777" w:rsidTr="00AE051C">
            <w:tc>
              <w:tcPr>
                <w:tcW w:w="3888" w:type="dxa"/>
              </w:tcPr>
              <w:p w14:paraId="7776B346" w14:textId="02CD056D"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 xml:space="preserve">Metric </w:t>
                </w:r>
              </w:p>
            </w:tc>
            <w:tc>
              <w:tcPr>
                <w:tcW w:w="1701" w:type="dxa"/>
              </w:tcPr>
              <w:p w14:paraId="1FC86E61" w14:textId="1AFD1151"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FY2024</w:t>
                </w:r>
              </w:p>
            </w:tc>
            <w:tc>
              <w:tcPr>
                <w:tcW w:w="1559" w:type="dxa"/>
              </w:tcPr>
              <w:p w14:paraId="673F5315" w14:textId="3CD2EE7B"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FY2023</w:t>
                </w:r>
              </w:p>
            </w:tc>
            <w:tc>
              <w:tcPr>
                <w:tcW w:w="1508" w:type="dxa"/>
              </w:tcPr>
              <w:p w14:paraId="0363304A" w14:textId="7A2CF068"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 xml:space="preserve">CHANGE </w:t>
                </w:r>
              </w:p>
            </w:tc>
          </w:tr>
          <w:tr w:rsidR="00AE051C" w14:paraId="27B99E46" w14:textId="77777777" w:rsidTr="00AE051C">
            <w:tc>
              <w:tcPr>
                <w:tcW w:w="3888" w:type="dxa"/>
              </w:tcPr>
              <w:p w14:paraId="2BA488C5" w14:textId="4E5D51D5"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 xml:space="preserve">Leverage Ratio </w:t>
                </w:r>
              </w:p>
            </w:tc>
            <w:tc>
              <w:tcPr>
                <w:tcW w:w="1701" w:type="dxa"/>
              </w:tcPr>
              <w:p w14:paraId="621FC681" w14:textId="57BAF198"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 xml:space="preserve">5.6% </w:t>
                </w:r>
              </w:p>
            </w:tc>
            <w:tc>
              <w:tcPr>
                <w:tcW w:w="1559" w:type="dxa"/>
              </w:tcPr>
              <w:p w14:paraId="780F3400" w14:textId="70C7E109"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5.6%</w:t>
                </w:r>
              </w:p>
            </w:tc>
            <w:tc>
              <w:tcPr>
                <w:tcW w:w="1508" w:type="dxa"/>
              </w:tcPr>
              <w:p w14:paraId="7A4AEED7" w14:textId="42C5A23F"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-(stable)</w:t>
                </w:r>
              </w:p>
            </w:tc>
          </w:tr>
          <w:tr w:rsidR="00AE051C" w14:paraId="0A1B4189" w14:textId="77777777" w:rsidTr="00AE051C">
            <w:tc>
              <w:tcPr>
                <w:tcW w:w="3888" w:type="dxa"/>
              </w:tcPr>
              <w:p w14:paraId="16F9BA20" w14:textId="37D64D55"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CET1 Ratio (Capital Strength)</w:t>
                </w:r>
              </w:p>
            </w:tc>
            <w:tc>
              <w:tcPr>
                <w:tcW w:w="1701" w:type="dxa"/>
              </w:tcPr>
              <w:p w14:paraId="0566172D" w14:textId="1C408E9D"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14.9%</w:t>
                </w:r>
              </w:p>
            </w:tc>
            <w:tc>
              <w:tcPr>
                <w:tcW w:w="1559" w:type="dxa"/>
              </w:tcPr>
              <w:p w14:paraId="3893B9A4" w14:textId="1E85F7C7"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14.8%</w:t>
                </w:r>
              </w:p>
            </w:tc>
            <w:tc>
              <w:tcPr>
                <w:tcW w:w="1508" w:type="dxa"/>
              </w:tcPr>
              <w:p w14:paraId="1645AD6F" w14:textId="5285141E"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+0.1%</w:t>
                </w:r>
              </w:p>
            </w:tc>
          </w:tr>
          <w:tr w:rsidR="00AE051C" w14:paraId="3F1DEB24" w14:textId="77777777" w:rsidTr="00AE051C">
            <w:tc>
              <w:tcPr>
                <w:tcW w:w="3888" w:type="dxa"/>
              </w:tcPr>
              <w:p w14:paraId="52ADDFD0" w14:textId="3E2A5420" w:rsidR="00AE051C" w:rsidRPr="00FF407F" w:rsidRDefault="00AE051C" w:rsidP="000104FB">
                <w:pPr>
                  <w:jc w:val="both"/>
                  <w:rPr>
                    <w:rFonts w:asciiTheme="minorBidi" w:hAnsiTheme="minorBidi"/>
                    <w:sz w:val="24"/>
                    <w:szCs w:val="24"/>
                  </w:rPr>
                </w:pPr>
                <w:r w:rsidRPr="00FF407F">
                  <w:rPr>
                    <w:rFonts w:asciiTheme="minorBidi" w:hAnsiTheme="minorBidi"/>
                    <w:sz w:val="24"/>
                    <w:szCs w:val="24"/>
                  </w:rPr>
                  <w:t xml:space="preserve">Total Shareholders’ Equity </w:t>
                </w:r>
              </w:p>
            </w:tc>
            <w:tc>
              <w:tcPr>
                <w:tcW w:w="1701" w:type="dxa"/>
              </w:tcPr>
              <w:p w14:paraId="73700D7E" w14:textId="3A2DAB67"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w:t>
                </w:r>
                <w:r w:rsidRPr="00FF407F">
                  <w:rPr>
                    <w:rFonts w:asciiTheme="minorBidi" w:hAnsiTheme="minorBidi"/>
                    <w:sz w:val="24"/>
                    <w:szCs w:val="24"/>
                  </w:rPr>
                  <w:t>147.3bn</w:t>
                </w:r>
              </w:p>
            </w:tc>
            <w:tc>
              <w:tcPr>
                <w:tcW w:w="1559" w:type="dxa"/>
              </w:tcPr>
              <w:p w14:paraId="2CC2A04C" w14:textId="3842BD34"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w:t>
                </w:r>
                <w:r w:rsidRPr="00FF407F">
                  <w:rPr>
                    <w:rFonts w:asciiTheme="minorBidi" w:hAnsiTheme="minorBidi"/>
                    <w:sz w:val="24"/>
                    <w:szCs w:val="24"/>
                  </w:rPr>
                  <w:t>145.7bn</w:t>
                </w:r>
              </w:p>
            </w:tc>
            <w:tc>
              <w:tcPr>
                <w:tcW w:w="1508" w:type="dxa"/>
              </w:tcPr>
              <w:p w14:paraId="418C5176" w14:textId="72E708E8" w:rsidR="00AE051C" w:rsidRPr="00FF407F" w:rsidRDefault="00FF407F" w:rsidP="000104FB">
                <w:pPr>
                  <w:jc w:val="both"/>
                  <w:rPr>
                    <w:rFonts w:asciiTheme="minorBidi" w:hAnsiTheme="minorBidi"/>
                    <w:sz w:val="24"/>
                    <w:szCs w:val="24"/>
                  </w:rPr>
                </w:pPr>
                <w:r w:rsidRPr="00FF407F">
                  <w:rPr>
                    <w:rFonts w:asciiTheme="minorBidi" w:hAnsiTheme="minorBidi"/>
                    <w:sz w:val="24"/>
                    <w:szCs w:val="24"/>
                  </w:rPr>
                  <w:t>+1.1%</w:t>
                </w:r>
              </w:p>
            </w:tc>
          </w:tr>
        </w:tbl>
        <w:p w14:paraId="18D76892" w14:textId="5CBA1178" w:rsidR="000104FB" w:rsidRDefault="000104FB" w:rsidP="000104FB">
          <w:pPr>
            <w:pStyle w:val="Heading3"/>
            <w:jc w:val="both"/>
          </w:pPr>
          <w:r>
            <w:t xml:space="preserve">   </w:t>
          </w:r>
          <w:r w:rsidRPr="000104FB">
            <w:t xml:space="preserve">   </w:t>
          </w:r>
          <w:bookmarkStart w:id="7" w:name="_Toc219110410"/>
          <w:r>
            <w:t>Table 3:</w:t>
          </w:r>
          <w:r w:rsidRPr="000104FB">
            <w:t xml:space="preserve"> </w:t>
          </w:r>
          <w:r w:rsidRPr="000104FB">
            <w:t>Gearing and Capital Structure Metrics (FY2023–FY2024)</w:t>
          </w:r>
          <w:bookmarkEnd w:id="7"/>
        </w:p>
        <w:p w14:paraId="506B5517" w14:textId="77777777" w:rsidR="000104FB" w:rsidRPr="000104FB" w:rsidRDefault="000104FB" w:rsidP="000104FB">
          <w:pPr>
            <w:jc w:val="both"/>
          </w:pPr>
        </w:p>
        <w:p w14:paraId="003D632A" w14:textId="76E1038D" w:rsidR="00AE051C" w:rsidRPr="00AE051C" w:rsidRDefault="00FF407F" w:rsidP="000104FB">
          <w:pPr>
            <w:ind w:left="360"/>
            <w:jc w:val="both"/>
            <w:rPr>
              <w:rFonts w:asciiTheme="minorBidi" w:hAnsiTheme="minorBidi"/>
              <w:sz w:val="24"/>
              <w:szCs w:val="24"/>
            </w:rPr>
          </w:pPr>
          <w:r>
            <w:rPr>
              <w:rFonts w:asciiTheme="minorBidi" w:hAnsiTheme="minorBidi"/>
              <w:sz w:val="24"/>
              <w:szCs w:val="24"/>
            </w:rPr>
            <w:t xml:space="preserve">The group asset value grew by an estimated </w:t>
          </w:r>
          <w:r w:rsidRPr="00FF407F">
            <w:rPr>
              <w:rFonts w:asciiTheme="minorBidi" w:hAnsiTheme="minorBidi"/>
              <w:sz w:val="24"/>
              <w:szCs w:val="24"/>
            </w:rPr>
            <w:t>£</w:t>
          </w:r>
          <w:r>
            <w:rPr>
              <w:rFonts w:asciiTheme="minorBidi" w:hAnsiTheme="minorBidi"/>
              <w:sz w:val="24"/>
              <w:szCs w:val="24"/>
            </w:rPr>
            <w:t>3.9-</w:t>
          </w:r>
          <w:r w:rsidRPr="00FF407F">
            <w:rPr>
              <w:rFonts w:asciiTheme="minorBidi" w:hAnsiTheme="minorBidi"/>
              <w:sz w:val="24"/>
              <w:szCs w:val="24"/>
            </w:rPr>
            <w:t>£</w:t>
          </w:r>
          <w:r>
            <w:rPr>
              <w:rFonts w:asciiTheme="minorBidi" w:hAnsiTheme="minorBidi"/>
              <w:sz w:val="24"/>
              <w:szCs w:val="24"/>
            </w:rPr>
            <w:t xml:space="preserve">4.0 bn from </w:t>
          </w:r>
          <w:r w:rsidRPr="00FF407F">
            <w:rPr>
              <w:rFonts w:asciiTheme="minorBidi" w:hAnsiTheme="minorBidi"/>
              <w:sz w:val="24"/>
              <w:szCs w:val="24"/>
            </w:rPr>
            <w:t>£147.3bn</w:t>
          </w:r>
          <w:r>
            <w:rPr>
              <w:rFonts w:asciiTheme="minorBidi" w:hAnsiTheme="minorBidi"/>
              <w:sz w:val="24"/>
              <w:szCs w:val="24"/>
            </w:rPr>
            <w:t xml:space="preserve"> to </w:t>
          </w:r>
          <w:r w:rsidRPr="00FF407F">
            <w:rPr>
              <w:rFonts w:asciiTheme="minorBidi" w:hAnsiTheme="minorBidi"/>
              <w:sz w:val="24"/>
              <w:szCs w:val="24"/>
            </w:rPr>
            <w:t>£145.7bn</w:t>
          </w:r>
          <w:r>
            <w:rPr>
              <w:rFonts w:asciiTheme="minorBidi" w:hAnsiTheme="minorBidi"/>
              <w:sz w:val="24"/>
              <w:szCs w:val="24"/>
            </w:rPr>
            <w:t xml:space="preserve"> positive currency translation effect. </w:t>
          </w:r>
          <w:r w:rsidRPr="00FF407F">
            <w:rPr>
              <w:rFonts w:asciiTheme="minorBidi" w:hAnsiTheme="minorBidi"/>
              <w:sz w:val="24"/>
              <w:szCs w:val="24"/>
            </w:rPr>
            <w:t>Despite the asset expansion, the consistent leverage ratio of 5.6% shows that management is effectively expanding the equity base at the same rate as its asset exposure, preserving a "safe" gearing level</w:t>
          </w:r>
          <w:r>
            <w:rPr>
              <w:rFonts w:asciiTheme="minorBidi" w:hAnsiTheme="minorBidi"/>
              <w:sz w:val="24"/>
              <w:szCs w:val="24"/>
            </w:rPr>
            <w:t>.</w:t>
          </w:r>
        </w:p>
        <w:p w14:paraId="305C4D3F" w14:textId="5D3692AF" w:rsidR="0033299D" w:rsidRPr="000104FB" w:rsidRDefault="0033299D" w:rsidP="000104FB">
          <w:pPr>
            <w:pStyle w:val="Heading4"/>
            <w:numPr>
              <w:ilvl w:val="0"/>
              <w:numId w:val="5"/>
            </w:numPr>
            <w:jc w:val="both"/>
            <w:rPr>
              <w:rFonts w:cstheme="minorBidi"/>
              <w:szCs w:val="24"/>
            </w:rPr>
          </w:pPr>
          <w:r w:rsidRPr="000104FB">
            <w:rPr>
              <w:rFonts w:cstheme="minorBidi"/>
              <w:szCs w:val="24"/>
            </w:rPr>
            <w:t xml:space="preserve">Efficiency </w:t>
          </w:r>
          <w:r w:rsidR="004255F0" w:rsidRPr="000104FB">
            <w:rPr>
              <w:rFonts w:cstheme="minorBidi"/>
              <w:szCs w:val="24"/>
            </w:rPr>
            <w:t xml:space="preserve"> </w:t>
          </w:r>
        </w:p>
        <w:p w14:paraId="193F83A0" w14:textId="414F354C" w:rsidR="002B2FDC" w:rsidRPr="002B2FDC" w:rsidRDefault="00346B34" w:rsidP="000104FB">
          <w:pPr>
            <w:pStyle w:val="ListParagraph"/>
            <w:numPr>
              <w:ilvl w:val="0"/>
              <w:numId w:val="18"/>
            </w:numPr>
            <w:jc w:val="both"/>
            <w:rPr>
              <w:rFonts w:asciiTheme="minorBidi" w:hAnsiTheme="minorBidi"/>
              <w:sz w:val="24"/>
              <w:szCs w:val="24"/>
            </w:rPr>
          </w:pPr>
          <w:r w:rsidRPr="00346B34">
            <w:rPr>
              <w:rFonts w:asciiTheme="minorBidi" w:hAnsiTheme="minorBidi"/>
              <w:sz w:val="24"/>
              <w:szCs w:val="24"/>
            </w:rPr>
            <w:t xml:space="preserve">HSBC </w:t>
          </w:r>
          <w:r>
            <w:rPr>
              <w:rFonts w:asciiTheme="minorBidi" w:hAnsiTheme="minorBidi"/>
              <w:sz w:val="24"/>
              <w:szCs w:val="24"/>
            </w:rPr>
            <w:t xml:space="preserve">calculates efficiency </w:t>
          </w:r>
          <w:r w:rsidR="00F1777D">
            <w:rPr>
              <w:rFonts w:asciiTheme="minorBidi" w:hAnsiTheme="minorBidi"/>
              <w:sz w:val="24"/>
              <w:szCs w:val="24"/>
            </w:rPr>
            <w:t>through the Cost Efficiency Ratio (CER</w:t>
          </w:r>
          <w:r w:rsidR="002B2FDC">
            <w:rPr>
              <w:rFonts w:asciiTheme="minorBidi" w:hAnsiTheme="minorBidi"/>
              <w:sz w:val="24"/>
              <w:szCs w:val="24"/>
            </w:rPr>
            <w:t>).</w:t>
          </w:r>
        </w:p>
        <w:p w14:paraId="5516671D" w14:textId="1D0A891D" w:rsidR="00F1777D" w:rsidRDefault="002B2FDC" w:rsidP="000104FB">
          <w:pPr>
            <w:ind w:left="720"/>
            <w:jc w:val="both"/>
          </w:pPr>
          <w:r>
            <w:rPr>
              <w:rFonts w:asciiTheme="minorBidi" w:hAnsiTheme="minorBidi"/>
              <w:sz w:val="24"/>
              <w:szCs w:val="24"/>
            </w:rPr>
            <w:t>Formula:</w:t>
          </w:r>
          <w:r>
            <w:t xml:space="preserve">    </w:t>
          </w:r>
          <m:oMath>
            <m:f>
              <m:fPr>
                <m:ctrlPr>
                  <w:rPr>
                    <w:rFonts w:ascii="Cambria Math" w:hAnsi="Cambria Math"/>
                    <w:i/>
                  </w:rPr>
                </m:ctrlPr>
              </m:fPr>
              <m:num>
                <m:r>
                  <w:rPr>
                    <w:rFonts w:ascii="Cambria Math" w:hAnsi="Cambria Math"/>
                  </w:rPr>
                  <m:t xml:space="preserve">Total Opreating Expenses </m:t>
                </m:r>
              </m:num>
              <m:den>
                <m:r>
                  <w:rPr>
                    <w:rFonts w:ascii="Cambria Math" w:hAnsi="Cambria Math"/>
                  </w:rPr>
                  <m:t xml:space="preserve">Total Revenue </m:t>
                </m:r>
              </m:den>
            </m:f>
            <m:r>
              <w:rPr>
                <w:rFonts w:ascii="Cambria Math" w:hAnsi="Cambria Math"/>
              </w:rPr>
              <m:t>×100</m:t>
            </m:r>
          </m:oMath>
        </w:p>
        <w:p w14:paraId="6810C4E9" w14:textId="77777777" w:rsidR="002B2FDC" w:rsidRPr="002B2FDC" w:rsidRDefault="002B2FDC" w:rsidP="000104FB">
          <w:pPr>
            <w:pStyle w:val="ListParagraph"/>
            <w:numPr>
              <w:ilvl w:val="0"/>
              <w:numId w:val="18"/>
            </w:numPr>
            <w:jc w:val="both"/>
          </w:pPr>
          <w:r>
            <w:rPr>
              <w:rFonts w:asciiTheme="minorBidi" w:hAnsiTheme="minorBidi"/>
              <w:sz w:val="24"/>
              <w:szCs w:val="24"/>
            </w:rPr>
            <w:t xml:space="preserve">A lower percentage is better because the bank is spending less to make more, it is show that how much it costs the bank to generate </w:t>
          </w:r>
          <w:r w:rsidRPr="00FF407F">
            <w:rPr>
              <w:rFonts w:asciiTheme="minorBidi" w:hAnsiTheme="minorBidi"/>
              <w:sz w:val="24"/>
              <w:szCs w:val="24"/>
            </w:rPr>
            <w:t>£</w:t>
          </w:r>
          <w:r>
            <w:rPr>
              <w:rFonts w:asciiTheme="minorBidi" w:hAnsiTheme="minorBidi"/>
              <w:sz w:val="24"/>
              <w:szCs w:val="24"/>
            </w:rPr>
            <w:t xml:space="preserve">1 of revenue. </w:t>
          </w:r>
        </w:p>
        <w:p w14:paraId="1AFCAB15" w14:textId="1078D4A4" w:rsidR="002B2FDC" w:rsidRPr="002348C6" w:rsidRDefault="002B4295" w:rsidP="000104FB">
          <w:pPr>
            <w:pStyle w:val="ListParagraph"/>
            <w:numPr>
              <w:ilvl w:val="0"/>
              <w:numId w:val="18"/>
            </w:numPr>
            <w:jc w:val="both"/>
          </w:pPr>
          <w:r>
            <w:rPr>
              <w:rFonts w:asciiTheme="minorBidi" w:hAnsiTheme="minorBidi"/>
              <w:sz w:val="24"/>
              <w:szCs w:val="24"/>
            </w:rPr>
            <w:t xml:space="preserve">A bank’s efficiency ratio helps investors and analysts determine how the controls cost relative to income. </w:t>
          </w:r>
          <w:r w:rsidR="002348C6">
            <w:rPr>
              <w:rFonts w:asciiTheme="minorBidi" w:hAnsiTheme="minorBidi"/>
              <w:sz w:val="24"/>
              <w:szCs w:val="24"/>
            </w:rPr>
            <w:t>HSBC's</w:t>
          </w:r>
          <w:r>
            <w:rPr>
              <w:rFonts w:asciiTheme="minorBidi" w:hAnsiTheme="minorBidi"/>
              <w:sz w:val="24"/>
              <w:szCs w:val="24"/>
            </w:rPr>
            <w:t xml:space="preserve"> efficiency changes rapidly</w:t>
          </w:r>
          <w:r w:rsidR="002348C6">
            <w:rPr>
              <w:rFonts w:asciiTheme="minorBidi" w:hAnsiTheme="minorBidi"/>
              <w:sz w:val="24"/>
              <w:szCs w:val="24"/>
            </w:rPr>
            <w:t>,</w:t>
          </w:r>
          <w:r>
            <w:rPr>
              <w:rFonts w:asciiTheme="minorBidi" w:hAnsiTheme="minorBidi"/>
              <w:sz w:val="24"/>
              <w:szCs w:val="24"/>
            </w:rPr>
            <w:t xml:space="preserve"> </w:t>
          </w:r>
          <w:r w:rsidR="002348C6">
            <w:rPr>
              <w:rFonts w:asciiTheme="minorBidi" w:hAnsiTheme="minorBidi"/>
              <w:sz w:val="24"/>
              <w:szCs w:val="24"/>
            </w:rPr>
            <w:t xml:space="preserve">with a </w:t>
          </w:r>
          <w:r>
            <w:rPr>
              <w:rFonts w:asciiTheme="minorBidi" w:hAnsiTheme="minorBidi"/>
              <w:sz w:val="24"/>
              <w:szCs w:val="24"/>
            </w:rPr>
            <w:t xml:space="preserve">strategic transition in balancing </w:t>
          </w:r>
          <w:r w:rsidR="002348C6">
            <w:rPr>
              <w:rFonts w:asciiTheme="minorBidi" w:hAnsiTheme="minorBidi"/>
              <w:sz w:val="24"/>
              <w:szCs w:val="24"/>
            </w:rPr>
            <w:t>investment, cost</w:t>
          </w:r>
          <w:r w:rsidR="000104FB">
            <w:rPr>
              <w:rFonts w:asciiTheme="minorBidi" w:hAnsiTheme="minorBidi"/>
              <w:sz w:val="24"/>
              <w:szCs w:val="24"/>
            </w:rPr>
            <w:t>,</w:t>
          </w:r>
          <w:r w:rsidR="002348C6">
            <w:rPr>
              <w:rFonts w:asciiTheme="minorBidi" w:hAnsiTheme="minorBidi"/>
              <w:sz w:val="24"/>
              <w:szCs w:val="24"/>
            </w:rPr>
            <w:t xml:space="preserve"> and operational revenue generation.</w:t>
          </w:r>
        </w:p>
        <w:p w14:paraId="7F6D1AC7" w14:textId="65592907" w:rsidR="002348C6" w:rsidRPr="002348C6" w:rsidRDefault="002348C6" w:rsidP="000104FB">
          <w:pPr>
            <w:pStyle w:val="ListParagraph"/>
            <w:numPr>
              <w:ilvl w:val="0"/>
              <w:numId w:val="18"/>
            </w:numPr>
            <w:jc w:val="both"/>
          </w:pPr>
          <w:r>
            <w:rPr>
              <w:rFonts w:asciiTheme="minorBidi" w:hAnsiTheme="minorBidi"/>
              <w:sz w:val="24"/>
              <w:szCs w:val="24"/>
            </w:rPr>
            <w:t xml:space="preserve">In the future the HSBC’s efficiency depends on how the cost </w:t>
          </w:r>
          <w:r w:rsidR="0096577A">
            <w:rPr>
              <w:rFonts w:asciiTheme="minorBidi" w:hAnsiTheme="minorBidi"/>
              <w:sz w:val="24"/>
              <w:szCs w:val="24"/>
            </w:rPr>
            <w:t>savings</w:t>
          </w:r>
          <w:r>
            <w:rPr>
              <w:rFonts w:asciiTheme="minorBidi" w:hAnsiTheme="minorBidi"/>
              <w:sz w:val="24"/>
              <w:szCs w:val="24"/>
            </w:rPr>
            <w:t xml:space="preserve"> and maintains revenue in the global economic</w:t>
          </w:r>
          <w:r w:rsidRPr="002348C6">
            <w:rPr>
              <w:rFonts w:asciiTheme="minorBidi" w:hAnsiTheme="minorBidi"/>
              <w:sz w:val="24"/>
              <w:szCs w:val="24"/>
            </w:rPr>
            <w:t xml:space="preserve"> </w:t>
          </w:r>
          <w:r w:rsidR="0096577A">
            <w:rPr>
              <w:rFonts w:asciiTheme="minorBidi" w:hAnsiTheme="minorBidi"/>
              <w:sz w:val="24"/>
              <w:szCs w:val="24"/>
            </w:rPr>
            <w:t>environment</w:t>
          </w:r>
          <w:r>
            <w:rPr>
              <w:rFonts w:asciiTheme="minorBidi" w:hAnsiTheme="minorBidi"/>
              <w:sz w:val="24"/>
              <w:szCs w:val="24"/>
            </w:rPr>
            <w:t xml:space="preserve">. </w:t>
          </w:r>
        </w:p>
        <w:p w14:paraId="25C47403" w14:textId="77777777" w:rsidR="002348C6" w:rsidRDefault="002348C6" w:rsidP="000104FB">
          <w:pPr>
            <w:jc w:val="both"/>
          </w:pPr>
        </w:p>
        <w:p w14:paraId="1B92CDE0" w14:textId="0B0A8801" w:rsidR="002348C6" w:rsidRPr="0032620E" w:rsidRDefault="0096577A" w:rsidP="000104FB">
          <w:pPr>
            <w:pStyle w:val="ListParagraph"/>
            <w:numPr>
              <w:ilvl w:val="0"/>
              <w:numId w:val="19"/>
            </w:numPr>
            <w:jc w:val="both"/>
          </w:pPr>
          <w:r>
            <w:rPr>
              <w:rFonts w:asciiTheme="minorBidi" w:hAnsiTheme="minorBidi"/>
              <w:sz w:val="24"/>
              <w:szCs w:val="24"/>
            </w:rPr>
            <w:t xml:space="preserve">The CEO of HSBC is targeting $1.5bn of annual cost savings by the end of 2026.  </w:t>
          </w:r>
        </w:p>
        <w:p w14:paraId="6BEC6FF9" w14:textId="405AA305" w:rsidR="0032620E" w:rsidRPr="0032620E" w:rsidRDefault="0032620E" w:rsidP="000104FB">
          <w:pPr>
            <w:pStyle w:val="ListParagraph"/>
            <w:numPr>
              <w:ilvl w:val="0"/>
              <w:numId w:val="19"/>
            </w:numPr>
            <w:jc w:val="both"/>
            <w:rPr>
              <w:rFonts w:asciiTheme="minorBidi" w:hAnsiTheme="minorBidi"/>
              <w:sz w:val="24"/>
              <w:szCs w:val="24"/>
            </w:rPr>
          </w:pPr>
          <w:r w:rsidRPr="0032620E">
            <w:rPr>
              <w:rFonts w:asciiTheme="minorBidi" w:hAnsiTheme="minorBidi"/>
              <w:sz w:val="24"/>
              <w:szCs w:val="24"/>
            </w:rPr>
            <w:t xml:space="preserve">HSBC's ongoing strategic moves, including its exits from Canada in 2022 and Argentina last year, reflect the </w:t>
          </w:r>
          <w:r>
            <w:rPr>
              <w:rFonts w:asciiTheme="minorBidi" w:hAnsiTheme="minorBidi"/>
              <w:sz w:val="24"/>
              <w:szCs w:val="24"/>
            </w:rPr>
            <w:t>group's</w:t>
          </w:r>
          <w:r w:rsidRPr="0032620E">
            <w:rPr>
              <w:rFonts w:asciiTheme="minorBidi" w:hAnsiTheme="minorBidi"/>
              <w:sz w:val="24"/>
              <w:szCs w:val="24"/>
            </w:rPr>
            <w:t xml:space="preserve"> intentions to simplify and boost its capital efficiency. On the other hand, they also raise doubts about the group's long-term growth potential, particularly with the regulatory, technological, and geopolitical shifts</w:t>
          </w:r>
          <w:r>
            <w:rPr>
              <w:rFonts w:asciiTheme="minorBidi" w:hAnsiTheme="minorBidi"/>
              <w:sz w:val="24"/>
              <w:szCs w:val="24"/>
            </w:rPr>
            <w:t xml:space="preserve">. </w:t>
          </w:r>
        </w:p>
        <w:p w14:paraId="2E8DBEB8" w14:textId="450F0151" w:rsidR="0096577A" w:rsidRDefault="0096577A" w:rsidP="000104FB">
          <w:pPr>
            <w:pStyle w:val="ListParagraph"/>
            <w:numPr>
              <w:ilvl w:val="0"/>
              <w:numId w:val="19"/>
            </w:numPr>
            <w:jc w:val="both"/>
            <w:rPr>
              <w:rFonts w:asciiTheme="minorBidi" w:hAnsiTheme="minorBidi"/>
              <w:sz w:val="24"/>
              <w:szCs w:val="24"/>
            </w:rPr>
          </w:pPr>
          <w:r w:rsidRPr="0096577A">
            <w:rPr>
              <w:rFonts w:asciiTheme="minorBidi" w:hAnsiTheme="minorBidi"/>
              <w:sz w:val="24"/>
              <w:szCs w:val="24"/>
            </w:rPr>
            <w:t>HSBC's strategic exits from Canada and Argentina, plus its focus on Asian wealth management, aim to boost capital efficiency but raise short-term growth concerns with the current geopolitical situation</w:t>
          </w:r>
          <w:r>
            <w:rPr>
              <w:rFonts w:asciiTheme="minorBidi" w:hAnsiTheme="minorBidi"/>
              <w:sz w:val="24"/>
              <w:szCs w:val="24"/>
            </w:rPr>
            <w:t>.</w:t>
          </w:r>
        </w:p>
        <w:p w14:paraId="3690B99B" w14:textId="4062305D" w:rsidR="0096577A" w:rsidRDefault="0096577A" w:rsidP="000104FB">
          <w:pPr>
            <w:pStyle w:val="ListParagraph"/>
            <w:numPr>
              <w:ilvl w:val="0"/>
              <w:numId w:val="19"/>
            </w:numPr>
            <w:jc w:val="both"/>
            <w:rPr>
              <w:rFonts w:asciiTheme="minorBidi" w:hAnsiTheme="minorBidi"/>
              <w:sz w:val="24"/>
              <w:szCs w:val="24"/>
            </w:rPr>
          </w:pPr>
          <w:r>
            <w:rPr>
              <w:rFonts w:asciiTheme="minorBidi" w:hAnsiTheme="minorBidi"/>
              <w:sz w:val="24"/>
              <w:szCs w:val="24"/>
            </w:rPr>
            <w:t>Finance remains resilient with the str</w:t>
          </w:r>
          <w:r w:rsidR="0032620E">
            <w:rPr>
              <w:rFonts w:asciiTheme="minorBidi" w:hAnsiTheme="minorBidi"/>
              <w:sz w:val="24"/>
              <w:szCs w:val="24"/>
            </w:rPr>
            <w:t xml:space="preserve">ong revenue, controlled costs, and solid liquidity, but the exceptional items and emerging market volatility add unpredictability. </w:t>
          </w:r>
          <w:r>
            <w:rPr>
              <w:rFonts w:asciiTheme="minorBidi" w:hAnsiTheme="minorBidi"/>
              <w:sz w:val="24"/>
              <w:szCs w:val="24"/>
            </w:rPr>
            <w:t xml:space="preserve"> </w:t>
          </w:r>
        </w:p>
        <w:p w14:paraId="05185615" w14:textId="3B0E070F" w:rsidR="0032620E" w:rsidRDefault="0032620E" w:rsidP="000104FB">
          <w:pPr>
            <w:pStyle w:val="ListParagraph"/>
            <w:numPr>
              <w:ilvl w:val="0"/>
              <w:numId w:val="19"/>
            </w:numPr>
            <w:jc w:val="both"/>
            <w:rPr>
              <w:rFonts w:asciiTheme="minorBidi" w:hAnsiTheme="minorBidi"/>
              <w:sz w:val="24"/>
              <w:szCs w:val="24"/>
            </w:rPr>
          </w:pPr>
          <w:r w:rsidRPr="0032620E">
            <w:rPr>
              <w:rFonts w:asciiTheme="minorBidi" w:hAnsiTheme="minorBidi"/>
              <w:sz w:val="24"/>
              <w:szCs w:val="24"/>
            </w:rPr>
            <w:t>As part of the strategy to streamline the operations and focus on the most promising markets, HSBC announced the </w:t>
          </w:r>
          <w:r>
            <w:rPr>
              <w:rFonts w:asciiTheme="minorBidi" w:hAnsiTheme="minorBidi"/>
              <w:sz w:val="24"/>
              <w:szCs w:val="24"/>
            </w:rPr>
            <w:t>completion of the sale</w:t>
          </w:r>
          <w:r w:rsidRPr="0032620E">
            <w:rPr>
              <w:rFonts w:asciiTheme="minorBidi" w:hAnsiTheme="minorBidi"/>
              <w:sz w:val="24"/>
              <w:szCs w:val="24"/>
            </w:rPr>
            <w:t> of its retail banking operations in Canada to the Royal Bank of Canada (</w:t>
          </w:r>
          <w:r>
            <w:rPr>
              <w:rFonts w:asciiTheme="minorBidi" w:hAnsiTheme="minorBidi"/>
              <w:sz w:val="24"/>
              <w:szCs w:val="24"/>
            </w:rPr>
            <w:t>RY</w:t>
          </w:r>
          <w:r w:rsidRPr="0032620E">
            <w:rPr>
              <w:rFonts w:asciiTheme="minorBidi" w:hAnsiTheme="minorBidi"/>
              <w:sz w:val="24"/>
              <w:szCs w:val="24"/>
            </w:rPr>
            <w:t xml:space="preserve">) during Q1 </w:t>
          </w:r>
          <w:r w:rsidRPr="0032620E">
            <w:rPr>
              <w:rFonts w:asciiTheme="minorBidi" w:hAnsiTheme="minorBidi"/>
              <w:sz w:val="24"/>
              <w:szCs w:val="24"/>
            </w:rPr>
            <w:lastRenderedPageBreak/>
            <w:t>2024, resulting in a $4.9B exceptional gain on the quarterly results. Later the same year (Q4 2024), the company announced the completion of the sale of its </w:t>
          </w:r>
          <w:r>
            <w:rPr>
              <w:rFonts w:asciiTheme="minorBidi" w:hAnsiTheme="minorBidi"/>
              <w:sz w:val="24"/>
              <w:szCs w:val="24"/>
            </w:rPr>
            <w:t>operation in Argentina</w:t>
          </w:r>
          <w:r w:rsidRPr="0032620E">
            <w:rPr>
              <w:rFonts w:asciiTheme="minorBidi" w:hAnsiTheme="minorBidi"/>
              <w:sz w:val="24"/>
              <w:szCs w:val="24"/>
            </w:rPr>
            <w:t> to Grupo Financiero Galicia, this time resulting in a $4.9B loss included as well in the quarterly report.</w:t>
          </w:r>
        </w:p>
        <w:p w14:paraId="5C9C4BF4" w14:textId="77777777" w:rsidR="00FB5D3B" w:rsidRDefault="00FB5D3B" w:rsidP="000104FB">
          <w:pPr>
            <w:ind w:left="360"/>
            <w:jc w:val="both"/>
            <w:rPr>
              <w:rFonts w:asciiTheme="minorBidi" w:hAnsiTheme="minorBidi"/>
              <w:sz w:val="24"/>
              <w:szCs w:val="24"/>
            </w:rPr>
          </w:pPr>
        </w:p>
        <w:tbl>
          <w:tblPr>
            <w:tblStyle w:val="TableGrid"/>
            <w:tblW w:w="0" w:type="auto"/>
            <w:tblInd w:w="360" w:type="dxa"/>
            <w:tblLook w:val="04A0" w:firstRow="1" w:lastRow="0" w:firstColumn="1" w:lastColumn="0" w:noHBand="0" w:noVBand="1"/>
          </w:tblPr>
          <w:tblGrid>
            <w:gridCol w:w="2470"/>
            <w:gridCol w:w="1858"/>
            <w:gridCol w:w="1686"/>
            <w:gridCol w:w="2642"/>
          </w:tblGrid>
          <w:tr w:rsidR="00FB5D3B" w14:paraId="44171ABC" w14:textId="77777777" w:rsidTr="00FB5D3B">
            <w:tc>
              <w:tcPr>
                <w:tcW w:w="2470" w:type="dxa"/>
              </w:tcPr>
              <w:p w14:paraId="17E2550F" w14:textId="64EB6872" w:rsidR="00FB5D3B" w:rsidRDefault="00FB5D3B" w:rsidP="000104FB">
                <w:pPr>
                  <w:jc w:val="both"/>
                  <w:rPr>
                    <w:rFonts w:asciiTheme="minorBidi" w:hAnsiTheme="minorBidi"/>
                    <w:sz w:val="24"/>
                    <w:szCs w:val="24"/>
                  </w:rPr>
                </w:pPr>
                <w:r>
                  <w:rPr>
                    <w:rFonts w:asciiTheme="minorBidi" w:hAnsiTheme="minorBidi"/>
                    <w:sz w:val="24"/>
                    <w:szCs w:val="24"/>
                  </w:rPr>
                  <w:t xml:space="preserve">Metric </w:t>
                </w:r>
              </w:p>
            </w:tc>
            <w:tc>
              <w:tcPr>
                <w:tcW w:w="1858" w:type="dxa"/>
              </w:tcPr>
              <w:p w14:paraId="60E5CF47" w14:textId="21F71BEB" w:rsidR="00FB5D3B" w:rsidRDefault="00FB5D3B" w:rsidP="000104FB">
                <w:pPr>
                  <w:jc w:val="both"/>
                  <w:rPr>
                    <w:rFonts w:asciiTheme="minorBidi" w:hAnsiTheme="minorBidi"/>
                    <w:sz w:val="24"/>
                    <w:szCs w:val="24"/>
                  </w:rPr>
                </w:pPr>
                <w:r>
                  <w:rPr>
                    <w:rFonts w:asciiTheme="minorBidi" w:hAnsiTheme="minorBidi"/>
                    <w:sz w:val="24"/>
                    <w:szCs w:val="24"/>
                  </w:rPr>
                  <w:t>FY2024</w:t>
                </w:r>
              </w:p>
            </w:tc>
            <w:tc>
              <w:tcPr>
                <w:tcW w:w="1686" w:type="dxa"/>
              </w:tcPr>
              <w:p w14:paraId="6B4DC4C9" w14:textId="59E5294D" w:rsidR="00FB5D3B" w:rsidRDefault="00FB5D3B" w:rsidP="000104FB">
                <w:pPr>
                  <w:jc w:val="both"/>
                  <w:rPr>
                    <w:rFonts w:asciiTheme="minorBidi" w:hAnsiTheme="minorBidi"/>
                    <w:sz w:val="24"/>
                    <w:szCs w:val="24"/>
                  </w:rPr>
                </w:pPr>
                <w:r>
                  <w:rPr>
                    <w:rFonts w:asciiTheme="minorBidi" w:hAnsiTheme="minorBidi"/>
                    <w:sz w:val="24"/>
                    <w:szCs w:val="24"/>
                  </w:rPr>
                  <w:t>FY2023</w:t>
                </w:r>
              </w:p>
            </w:tc>
            <w:tc>
              <w:tcPr>
                <w:tcW w:w="2642" w:type="dxa"/>
              </w:tcPr>
              <w:p w14:paraId="218345BD" w14:textId="63CBD9B5" w:rsidR="00FB5D3B" w:rsidRDefault="00FB5D3B" w:rsidP="000104FB">
                <w:pPr>
                  <w:jc w:val="both"/>
                  <w:rPr>
                    <w:rFonts w:asciiTheme="minorBidi" w:hAnsiTheme="minorBidi"/>
                    <w:sz w:val="24"/>
                    <w:szCs w:val="24"/>
                  </w:rPr>
                </w:pPr>
                <w:r>
                  <w:rPr>
                    <w:rFonts w:asciiTheme="minorBidi" w:hAnsiTheme="minorBidi"/>
                    <w:sz w:val="24"/>
                    <w:szCs w:val="24"/>
                  </w:rPr>
                  <w:t xml:space="preserve">Status </w:t>
                </w:r>
              </w:p>
            </w:tc>
          </w:tr>
          <w:tr w:rsidR="00FB5D3B" w14:paraId="0BB09FEB" w14:textId="77777777" w:rsidTr="00FB5D3B">
            <w:tc>
              <w:tcPr>
                <w:tcW w:w="2470" w:type="dxa"/>
              </w:tcPr>
              <w:p w14:paraId="4569652E" w14:textId="047D5E08" w:rsidR="00FB5D3B" w:rsidRDefault="00FB5D3B" w:rsidP="000104FB">
                <w:pPr>
                  <w:jc w:val="both"/>
                  <w:rPr>
                    <w:rFonts w:asciiTheme="minorBidi" w:hAnsiTheme="minorBidi"/>
                    <w:sz w:val="24"/>
                    <w:szCs w:val="24"/>
                  </w:rPr>
                </w:pPr>
                <w:r>
                  <w:rPr>
                    <w:rFonts w:asciiTheme="minorBidi" w:hAnsiTheme="minorBidi"/>
                    <w:sz w:val="24"/>
                    <w:szCs w:val="24"/>
                  </w:rPr>
                  <w:t>Cost Efficiency Ratio</w:t>
                </w:r>
              </w:p>
            </w:tc>
            <w:tc>
              <w:tcPr>
                <w:tcW w:w="1858" w:type="dxa"/>
              </w:tcPr>
              <w:p w14:paraId="775B691A" w14:textId="4DAA4E5D" w:rsidR="00FB5D3B" w:rsidRDefault="00FB5D3B" w:rsidP="000104FB">
                <w:pPr>
                  <w:jc w:val="both"/>
                  <w:rPr>
                    <w:rFonts w:asciiTheme="minorBidi" w:hAnsiTheme="minorBidi"/>
                    <w:sz w:val="24"/>
                    <w:szCs w:val="24"/>
                  </w:rPr>
                </w:pPr>
                <w:r>
                  <w:rPr>
                    <w:rFonts w:asciiTheme="minorBidi" w:hAnsiTheme="minorBidi"/>
                    <w:sz w:val="24"/>
                    <w:szCs w:val="24"/>
                  </w:rPr>
                  <w:t xml:space="preserve">50.2% </w:t>
                </w:r>
              </w:p>
            </w:tc>
            <w:tc>
              <w:tcPr>
                <w:tcW w:w="1686" w:type="dxa"/>
              </w:tcPr>
              <w:p w14:paraId="08DC1105" w14:textId="172567BA" w:rsidR="00FB5D3B" w:rsidRDefault="00FB5D3B" w:rsidP="000104FB">
                <w:pPr>
                  <w:jc w:val="both"/>
                  <w:rPr>
                    <w:rFonts w:asciiTheme="minorBidi" w:hAnsiTheme="minorBidi"/>
                    <w:sz w:val="24"/>
                    <w:szCs w:val="24"/>
                  </w:rPr>
                </w:pPr>
                <w:r>
                  <w:rPr>
                    <w:rFonts w:asciiTheme="minorBidi" w:hAnsiTheme="minorBidi"/>
                    <w:sz w:val="24"/>
                    <w:szCs w:val="24"/>
                  </w:rPr>
                  <w:t>48.5%</w:t>
                </w:r>
              </w:p>
            </w:tc>
            <w:tc>
              <w:tcPr>
                <w:tcW w:w="2642" w:type="dxa"/>
              </w:tcPr>
              <w:p w14:paraId="7D85A8FB" w14:textId="3B1295DD" w:rsidR="00FB5D3B" w:rsidRDefault="00FB5D3B" w:rsidP="000104FB">
                <w:pPr>
                  <w:jc w:val="both"/>
                  <w:rPr>
                    <w:rFonts w:asciiTheme="minorBidi" w:hAnsiTheme="minorBidi"/>
                    <w:sz w:val="24"/>
                    <w:szCs w:val="24"/>
                  </w:rPr>
                </w:pPr>
                <w:r>
                  <w:rPr>
                    <w:rFonts w:asciiTheme="minorBidi" w:hAnsiTheme="minorBidi"/>
                    <w:sz w:val="24"/>
                    <w:szCs w:val="24"/>
                  </w:rPr>
                  <w:t xml:space="preserve">Worsened </w:t>
                </w:r>
              </w:p>
            </w:tc>
          </w:tr>
          <w:tr w:rsidR="00FB5D3B" w14:paraId="5DBC6039" w14:textId="77777777" w:rsidTr="00FB5D3B">
            <w:tc>
              <w:tcPr>
                <w:tcW w:w="2470" w:type="dxa"/>
              </w:tcPr>
              <w:p w14:paraId="11F3C23B" w14:textId="538A02D7" w:rsidR="00FB5D3B" w:rsidRDefault="00FB5D3B" w:rsidP="000104FB">
                <w:pPr>
                  <w:jc w:val="both"/>
                  <w:rPr>
                    <w:rFonts w:asciiTheme="minorBidi" w:hAnsiTheme="minorBidi"/>
                    <w:sz w:val="24"/>
                    <w:szCs w:val="24"/>
                  </w:rPr>
                </w:pPr>
                <w:r>
                  <w:rPr>
                    <w:rFonts w:asciiTheme="minorBidi" w:hAnsiTheme="minorBidi"/>
                    <w:sz w:val="24"/>
                    <w:szCs w:val="24"/>
                  </w:rPr>
                  <w:t xml:space="preserve">Operating Expense </w:t>
                </w:r>
              </w:p>
            </w:tc>
            <w:tc>
              <w:tcPr>
                <w:tcW w:w="1858" w:type="dxa"/>
              </w:tcPr>
              <w:p w14:paraId="4F6F0C54" w14:textId="6A901406" w:rsidR="00FB5D3B" w:rsidRDefault="00FB5D3B" w:rsidP="000104FB">
                <w:pPr>
                  <w:jc w:val="both"/>
                  <w:rPr>
                    <w:rFonts w:asciiTheme="minorBidi" w:hAnsiTheme="minorBidi"/>
                    <w:sz w:val="24"/>
                    <w:szCs w:val="24"/>
                  </w:rPr>
                </w:pPr>
                <w:r w:rsidRPr="00FB5D3B">
                  <w:rPr>
                    <w:rFonts w:asciiTheme="minorBidi" w:hAnsiTheme="minorBidi"/>
                    <w:sz w:val="24"/>
                    <w:szCs w:val="24"/>
                  </w:rPr>
                  <w:t>£</w:t>
                </w:r>
                <w:r>
                  <w:rPr>
                    <w:rFonts w:asciiTheme="minorBidi" w:hAnsiTheme="minorBidi"/>
                    <w:sz w:val="24"/>
                    <w:szCs w:val="24"/>
                  </w:rPr>
                  <w:t>26.0bn</w:t>
                </w:r>
              </w:p>
            </w:tc>
            <w:tc>
              <w:tcPr>
                <w:tcW w:w="1686" w:type="dxa"/>
              </w:tcPr>
              <w:p w14:paraId="7238C383" w14:textId="6565360D" w:rsidR="00FB5D3B" w:rsidRDefault="00FB5D3B" w:rsidP="000104FB">
                <w:pPr>
                  <w:jc w:val="both"/>
                  <w:rPr>
                    <w:rFonts w:asciiTheme="minorBidi" w:hAnsiTheme="minorBidi"/>
                    <w:sz w:val="24"/>
                    <w:szCs w:val="24"/>
                  </w:rPr>
                </w:pPr>
                <w:r w:rsidRPr="00FB5D3B">
                  <w:rPr>
                    <w:rFonts w:asciiTheme="minorBidi" w:hAnsiTheme="minorBidi"/>
                    <w:sz w:val="24"/>
                    <w:szCs w:val="24"/>
                  </w:rPr>
                  <w:t>£</w:t>
                </w:r>
                <w:r>
                  <w:rPr>
                    <w:rFonts w:asciiTheme="minorBidi" w:hAnsiTheme="minorBidi"/>
                    <w:sz w:val="24"/>
                    <w:szCs w:val="24"/>
                  </w:rPr>
                  <w:t>25.9bn</w:t>
                </w:r>
              </w:p>
            </w:tc>
            <w:tc>
              <w:tcPr>
                <w:tcW w:w="2642" w:type="dxa"/>
              </w:tcPr>
              <w:p w14:paraId="06B15FFF" w14:textId="52D5FA5C" w:rsidR="00FB5D3B" w:rsidRDefault="00FB5D3B" w:rsidP="000104FB">
                <w:pPr>
                  <w:jc w:val="both"/>
                  <w:rPr>
                    <w:rFonts w:asciiTheme="minorBidi" w:hAnsiTheme="minorBidi"/>
                    <w:sz w:val="24"/>
                    <w:szCs w:val="24"/>
                  </w:rPr>
                </w:pPr>
                <w:r>
                  <w:rPr>
                    <w:rFonts w:asciiTheme="minorBidi" w:hAnsiTheme="minorBidi"/>
                    <w:sz w:val="24"/>
                    <w:szCs w:val="24"/>
                  </w:rPr>
                  <w:t xml:space="preserve">Marginal increase </w:t>
                </w:r>
              </w:p>
            </w:tc>
          </w:tr>
          <w:tr w:rsidR="00FB5D3B" w14:paraId="66EF5104" w14:textId="77777777" w:rsidTr="00FB5D3B">
            <w:tc>
              <w:tcPr>
                <w:tcW w:w="2470" w:type="dxa"/>
              </w:tcPr>
              <w:p w14:paraId="1EC45974" w14:textId="5CD553E0" w:rsidR="00FB5D3B" w:rsidRDefault="00FB5D3B" w:rsidP="000104FB">
                <w:pPr>
                  <w:jc w:val="both"/>
                  <w:rPr>
                    <w:rFonts w:asciiTheme="minorBidi" w:hAnsiTheme="minorBidi"/>
                    <w:sz w:val="24"/>
                    <w:szCs w:val="24"/>
                  </w:rPr>
                </w:pPr>
                <w:r>
                  <w:rPr>
                    <w:rFonts w:asciiTheme="minorBidi" w:hAnsiTheme="minorBidi"/>
                    <w:sz w:val="24"/>
                    <w:szCs w:val="24"/>
                  </w:rPr>
                  <w:t xml:space="preserve">Total Revenue </w:t>
                </w:r>
              </w:p>
            </w:tc>
            <w:tc>
              <w:tcPr>
                <w:tcW w:w="1858" w:type="dxa"/>
              </w:tcPr>
              <w:p w14:paraId="6DA87C72" w14:textId="69D3CF81" w:rsidR="00FB5D3B" w:rsidRDefault="00FB5D3B" w:rsidP="000104FB">
                <w:pPr>
                  <w:jc w:val="both"/>
                  <w:rPr>
                    <w:rFonts w:asciiTheme="minorBidi" w:hAnsiTheme="minorBidi"/>
                    <w:sz w:val="24"/>
                    <w:szCs w:val="24"/>
                  </w:rPr>
                </w:pPr>
                <w:r w:rsidRPr="00FB5D3B">
                  <w:rPr>
                    <w:rFonts w:asciiTheme="minorBidi" w:hAnsiTheme="minorBidi"/>
                    <w:sz w:val="24"/>
                    <w:szCs w:val="24"/>
                  </w:rPr>
                  <w:t>£</w:t>
                </w:r>
                <w:r>
                  <w:rPr>
                    <w:rFonts w:asciiTheme="minorBidi" w:hAnsiTheme="minorBidi"/>
                    <w:sz w:val="24"/>
                    <w:szCs w:val="24"/>
                  </w:rPr>
                  <w:t>51.8bn</w:t>
                </w:r>
              </w:p>
            </w:tc>
            <w:tc>
              <w:tcPr>
                <w:tcW w:w="1686" w:type="dxa"/>
              </w:tcPr>
              <w:p w14:paraId="73BB224A" w14:textId="471D9BDF" w:rsidR="00FB5D3B" w:rsidRDefault="00FB5D3B" w:rsidP="000104FB">
                <w:pPr>
                  <w:jc w:val="both"/>
                  <w:rPr>
                    <w:rFonts w:asciiTheme="minorBidi" w:hAnsiTheme="minorBidi"/>
                    <w:sz w:val="24"/>
                    <w:szCs w:val="24"/>
                  </w:rPr>
                </w:pPr>
                <w:r>
                  <w:rPr>
                    <w:rFonts w:asciiTheme="minorBidi" w:hAnsiTheme="minorBidi"/>
                    <w:sz w:val="24"/>
                    <w:szCs w:val="24"/>
                  </w:rPr>
                  <w:t xml:space="preserve">53.3bn </w:t>
                </w:r>
              </w:p>
            </w:tc>
            <w:tc>
              <w:tcPr>
                <w:tcW w:w="2642" w:type="dxa"/>
              </w:tcPr>
              <w:p w14:paraId="6D1F5AE7" w14:textId="4D3A3271" w:rsidR="00FB5D3B" w:rsidRDefault="00FB5D3B" w:rsidP="000104FB">
                <w:pPr>
                  <w:jc w:val="both"/>
                  <w:rPr>
                    <w:rFonts w:asciiTheme="minorBidi" w:hAnsiTheme="minorBidi"/>
                    <w:sz w:val="24"/>
                    <w:szCs w:val="24"/>
                  </w:rPr>
                </w:pPr>
                <w:r>
                  <w:rPr>
                    <w:rFonts w:asciiTheme="minorBidi" w:hAnsiTheme="minorBidi"/>
                    <w:sz w:val="24"/>
                    <w:szCs w:val="24"/>
                  </w:rPr>
                  <w:t xml:space="preserve">Slight decrease </w:t>
                </w:r>
              </w:p>
            </w:tc>
          </w:tr>
        </w:tbl>
        <w:p w14:paraId="309B3FB6" w14:textId="55C0BBB1" w:rsidR="00FB5D3B" w:rsidRDefault="000104FB" w:rsidP="000104FB">
          <w:pPr>
            <w:pStyle w:val="Heading3"/>
            <w:jc w:val="both"/>
          </w:pPr>
          <w:r>
            <w:t xml:space="preserve">     </w:t>
          </w:r>
          <w:bookmarkStart w:id="8" w:name="_Toc219110411"/>
          <w:r w:rsidRPr="000104FB">
            <w:t>Table 4: Operational Efficiency and Cost Performance (FY2023–FY2024)</w:t>
          </w:r>
          <w:bookmarkEnd w:id="8"/>
        </w:p>
        <w:p w14:paraId="09CADF04" w14:textId="77777777" w:rsidR="000104FB" w:rsidRPr="000104FB" w:rsidRDefault="000104FB" w:rsidP="000104FB">
          <w:pPr>
            <w:jc w:val="both"/>
          </w:pPr>
        </w:p>
        <w:p w14:paraId="605F67BA" w14:textId="7AF6D7C8" w:rsidR="00C83CE4" w:rsidRDefault="00C83CE4" w:rsidP="000104FB">
          <w:pPr>
            <w:ind w:left="360"/>
            <w:jc w:val="both"/>
            <w:rPr>
              <w:rFonts w:asciiTheme="minorBidi" w:hAnsiTheme="minorBidi"/>
              <w:sz w:val="24"/>
              <w:szCs w:val="24"/>
            </w:rPr>
          </w:pPr>
          <w:r w:rsidRPr="00C83CE4">
            <w:rPr>
              <w:rFonts w:asciiTheme="minorBidi" w:hAnsiTheme="minorBidi"/>
              <w:sz w:val="24"/>
              <w:szCs w:val="24"/>
            </w:rPr>
            <w:t>Although the bank's total costs in pounds remained relatively stable, the Cost Efficiency Ratio worsened (rose from 48.5% to 50.2%). This occurred because revenue fell slightly faster than the bank could cut costs.</w:t>
          </w:r>
        </w:p>
        <w:p w14:paraId="4BD6C345" w14:textId="397B3050" w:rsidR="00FB5D3B" w:rsidRDefault="00FB5D3B" w:rsidP="000104FB">
          <w:pPr>
            <w:ind w:left="360"/>
            <w:jc w:val="both"/>
            <w:rPr>
              <w:rFonts w:asciiTheme="minorBidi" w:hAnsiTheme="minorBidi"/>
              <w:sz w:val="24"/>
              <w:szCs w:val="24"/>
            </w:rPr>
          </w:pPr>
          <w:r>
            <w:rPr>
              <w:rFonts w:asciiTheme="minorBidi" w:hAnsiTheme="minorBidi"/>
              <w:sz w:val="24"/>
              <w:szCs w:val="24"/>
            </w:rPr>
            <w:t xml:space="preserve">Tech Investment: To automate tasks at HSBC’s continued invest more in AI and cloud infrastructure. </w:t>
          </w:r>
        </w:p>
        <w:p w14:paraId="04E8B733" w14:textId="484CCAD0" w:rsidR="00FB5D3B" w:rsidRDefault="00FB5D3B" w:rsidP="000104FB">
          <w:pPr>
            <w:ind w:left="360"/>
            <w:jc w:val="both"/>
            <w:rPr>
              <w:rFonts w:asciiTheme="minorBidi" w:hAnsiTheme="minorBidi"/>
              <w:sz w:val="24"/>
              <w:szCs w:val="24"/>
            </w:rPr>
          </w:pPr>
          <w:r>
            <w:rPr>
              <w:rFonts w:asciiTheme="minorBidi" w:hAnsiTheme="minorBidi"/>
              <w:sz w:val="24"/>
              <w:szCs w:val="24"/>
            </w:rPr>
            <w:t>Inflation: The Total Staff Compensation bill was under pressure due to the high pay inflation in Hong Kong and the UK.</w:t>
          </w:r>
        </w:p>
        <w:p w14:paraId="2DBD922B" w14:textId="6D2585CA" w:rsidR="00FB5D3B" w:rsidRDefault="00FB5D3B" w:rsidP="000104FB">
          <w:pPr>
            <w:ind w:left="360"/>
            <w:jc w:val="both"/>
            <w:rPr>
              <w:rFonts w:asciiTheme="minorBidi" w:hAnsiTheme="minorBidi"/>
              <w:sz w:val="24"/>
              <w:szCs w:val="24"/>
            </w:rPr>
          </w:pPr>
          <w:r>
            <w:rPr>
              <w:rFonts w:asciiTheme="minorBidi" w:hAnsiTheme="minorBidi"/>
              <w:sz w:val="24"/>
              <w:szCs w:val="24"/>
            </w:rPr>
            <w:t xml:space="preserve">Revenue Compression: Right now, it becomes more difficult to maintain the efficiency ratio below 50% </w:t>
          </w:r>
          <w:r w:rsidR="00C83CE4">
            <w:rPr>
              <w:rFonts w:asciiTheme="minorBidi" w:hAnsiTheme="minorBidi"/>
              <w:sz w:val="24"/>
              <w:szCs w:val="24"/>
            </w:rPr>
            <w:t xml:space="preserve">threshold as interest and Net Interest Income peak. </w:t>
          </w:r>
        </w:p>
        <w:p w14:paraId="1DBC0154" w14:textId="1D834109" w:rsidR="0033299D" w:rsidRPr="000104FB" w:rsidRDefault="0033299D" w:rsidP="000104FB">
          <w:pPr>
            <w:pStyle w:val="Heading4"/>
            <w:numPr>
              <w:ilvl w:val="0"/>
              <w:numId w:val="5"/>
            </w:numPr>
            <w:jc w:val="both"/>
            <w:rPr>
              <w:rFonts w:cstheme="minorBidi"/>
              <w:szCs w:val="24"/>
            </w:rPr>
          </w:pPr>
          <w:r w:rsidRPr="000104FB">
            <w:rPr>
              <w:rFonts w:cstheme="minorBidi"/>
              <w:szCs w:val="24"/>
            </w:rPr>
            <w:t>Investor Ratio</w:t>
          </w:r>
        </w:p>
        <w:p w14:paraId="24049BAE" w14:textId="77777777" w:rsidR="00B409C3" w:rsidRPr="00B409C3" w:rsidRDefault="00A91319" w:rsidP="000104FB">
          <w:pPr>
            <w:pStyle w:val="ListParagraph"/>
            <w:numPr>
              <w:ilvl w:val="0"/>
              <w:numId w:val="21"/>
            </w:numPr>
            <w:jc w:val="both"/>
          </w:pPr>
          <w:r>
            <w:rPr>
              <w:rFonts w:asciiTheme="minorBidi" w:hAnsiTheme="minorBidi"/>
              <w:sz w:val="24"/>
              <w:szCs w:val="24"/>
            </w:rPr>
            <w:t>The investor ratio helps shareholders to estimate the return they get on their investment. For example, HSBC.</w:t>
          </w:r>
        </w:p>
        <w:p w14:paraId="327729B2" w14:textId="77777777" w:rsidR="00B409C3" w:rsidRPr="00B409C3" w:rsidRDefault="00B409C3" w:rsidP="000104FB">
          <w:pPr>
            <w:pStyle w:val="ListParagraph"/>
            <w:numPr>
              <w:ilvl w:val="0"/>
              <w:numId w:val="23"/>
            </w:numPr>
            <w:jc w:val="both"/>
          </w:pPr>
          <w:r w:rsidRPr="00B409C3">
            <w:rPr>
              <w:rFonts w:asciiTheme="minorBidi" w:eastAsia="Times New Roman" w:hAnsiTheme="minorBidi"/>
              <w:sz w:val="24"/>
              <w:szCs w:val="24"/>
              <w:lang w:eastAsia="en-GB" w:bidi="gu-IN"/>
            </w:rPr>
            <w:t>Earnings</w:t>
          </w:r>
          <w:r w:rsidRPr="00B409C3">
            <w:rPr>
              <w:rFonts w:asciiTheme="minorBidi" w:eastAsia="Times New Roman" w:hAnsiTheme="minorBidi"/>
              <w:sz w:val="24"/>
              <w:szCs w:val="24"/>
              <w:lang w:eastAsia="en-GB" w:bidi="gu-IN"/>
            </w:rPr>
            <w:t xml:space="preserve"> Per Share (EPS): The portion of the company's profit allocated to each share. It is the primary driver of </w:t>
          </w:r>
          <w:r w:rsidRPr="00B409C3">
            <w:rPr>
              <w:rFonts w:asciiTheme="minorBidi" w:eastAsia="Times New Roman" w:hAnsiTheme="minorBidi"/>
              <w:sz w:val="24"/>
              <w:szCs w:val="24"/>
              <w:lang w:eastAsia="en-GB" w:bidi="gu-IN"/>
            </w:rPr>
            <w:t xml:space="preserve">the </w:t>
          </w:r>
          <w:r w:rsidRPr="00B409C3">
            <w:rPr>
              <w:rFonts w:asciiTheme="minorBidi" w:eastAsia="Times New Roman" w:hAnsiTheme="minorBidi"/>
              <w:sz w:val="24"/>
              <w:szCs w:val="24"/>
              <w:lang w:eastAsia="en-GB" w:bidi="gu-IN"/>
            </w:rPr>
            <w:t>share price.</w:t>
          </w:r>
        </w:p>
        <w:p w14:paraId="2D186481" w14:textId="77777777" w:rsidR="00B409C3" w:rsidRPr="00B409C3" w:rsidRDefault="00B409C3" w:rsidP="000104FB">
          <w:pPr>
            <w:pStyle w:val="ListParagraph"/>
            <w:numPr>
              <w:ilvl w:val="0"/>
              <w:numId w:val="23"/>
            </w:numPr>
            <w:jc w:val="both"/>
          </w:pPr>
          <w:r w:rsidRPr="00B409C3">
            <w:rPr>
              <w:rFonts w:asciiTheme="minorBidi" w:eastAsia="Times New Roman" w:hAnsiTheme="minorBidi"/>
              <w:sz w:val="24"/>
              <w:szCs w:val="24"/>
              <w:lang w:eastAsia="en-GB" w:bidi="gu-IN"/>
            </w:rPr>
            <w:t>Dividend</w:t>
          </w:r>
          <w:r w:rsidRPr="00B409C3">
            <w:rPr>
              <w:rFonts w:asciiTheme="minorBidi" w:eastAsia="Times New Roman" w:hAnsiTheme="minorBidi"/>
              <w:sz w:val="24"/>
              <w:szCs w:val="24"/>
              <w:lang w:eastAsia="en-GB" w:bidi="gu-IN"/>
            </w:rPr>
            <w:t xml:space="preserve"> Per Share (DPS): The actual cash paid out to shareholders.</w:t>
          </w:r>
        </w:p>
        <w:p w14:paraId="32139E80" w14:textId="77777777" w:rsidR="00B409C3" w:rsidRPr="00B409C3" w:rsidRDefault="00B409C3" w:rsidP="000104FB">
          <w:pPr>
            <w:pStyle w:val="ListParagraph"/>
            <w:numPr>
              <w:ilvl w:val="0"/>
              <w:numId w:val="23"/>
            </w:numPr>
            <w:jc w:val="both"/>
          </w:pPr>
          <w:r w:rsidRPr="00B409C3">
            <w:rPr>
              <w:rFonts w:asciiTheme="minorBidi" w:eastAsia="Times New Roman" w:hAnsiTheme="minorBidi"/>
              <w:sz w:val="24"/>
              <w:szCs w:val="24"/>
              <w:lang w:eastAsia="en-GB" w:bidi="gu-IN"/>
            </w:rPr>
            <w:t>Dividend</w:t>
          </w:r>
          <w:r w:rsidRPr="00B409C3">
            <w:rPr>
              <w:rFonts w:asciiTheme="minorBidi" w:eastAsia="Times New Roman" w:hAnsiTheme="minorBidi"/>
              <w:sz w:val="24"/>
              <w:szCs w:val="24"/>
              <w:lang w:eastAsia="en-GB" w:bidi="gu-IN"/>
            </w:rPr>
            <w:t xml:space="preserve"> Yield: The return on investment from dividends alone (Dividend / Share Price).</w:t>
          </w:r>
        </w:p>
        <w:p w14:paraId="73B4E9C8" w14:textId="77777777" w:rsidR="00B409C3" w:rsidRPr="00B409C3" w:rsidRDefault="00B409C3" w:rsidP="000104FB">
          <w:pPr>
            <w:pStyle w:val="ListParagraph"/>
            <w:numPr>
              <w:ilvl w:val="0"/>
              <w:numId w:val="23"/>
            </w:numPr>
            <w:jc w:val="both"/>
          </w:pPr>
          <w:r w:rsidRPr="00B409C3">
            <w:rPr>
              <w:rFonts w:asciiTheme="minorBidi" w:eastAsia="Times New Roman" w:hAnsiTheme="minorBidi"/>
              <w:sz w:val="24"/>
              <w:szCs w:val="24"/>
              <w:lang w:eastAsia="en-GB" w:bidi="gu-IN"/>
            </w:rPr>
            <w:t>Dividend</w:t>
          </w:r>
          <w:r w:rsidRPr="00B409C3">
            <w:rPr>
              <w:rFonts w:asciiTheme="minorBidi" w:eastAsia="Times New Roman" w:hAnsiTheme="minorBidi"/>
              <w:sz w:val="24"/>
              <w:szCs w:val="24"/>
              <w:lang w:eastAsia="en-GB" w:bidi="gu-IN"/>
            </w:rPr>
            <w:t xml:space="preserve"> Payout Ratio: The percentage of earnings paid out as dividends (measures sustainability).</w:t>
          </w:r>
        </w:p>
        <w:p w14:paraId="3149D57D" w14:textId="34992F36" w:rsidR="00B409C3" w:rsidRPr="00B409C3" w:rsidRDefault="00B409C3" w:rsidP="000104FB">
          <w:pPr>
            <w:pStyle w:val="ListParagraph"/>
            <w:numPr>
              <w:ilvl w:val="0"/>
              <w:numId w:val="23"/>
            </w:numPr>
            <w:jc w:val="both"/>
          </w:pPr>
          <w:r w:rsidRPr="00B409C3">
            <w:rPr>
              <w:rFonts w:asciiTheme="minorBidi" w:eastAsia="Times New Roman" w:hAnsiTheme="minorBidi"/>
              <w:sz w:val="24"/>
              <w:szCs w:val="24"/>
              <w:lang w:eastAsia="en-GB" w:bidi="gu-IN"/>
            </w:rPr>
            <w:t>Price</w:t>
          </w:r>
          <w:r w:rsidRPr="00B409C3">
            <w:rPr>
              <w:rFonts w:asciiTheme="minorBidi" w:eastAsia="Times New Roman" w:hAnsiTheme="minorBidi"/>
              <w:sz w:val="24"/>
              <w:szCs w:val="24"/>
              <w:lang w:eastAsia="en-GB" w:bidi="gu-IN"/>
            </w:rPr>
            <w:t>-to-Earnings (P/E) Ratio: How much investors are willing to pay for £1 of earnings.</w:t>
          </w:r>
        </w:p>
        <w:p w14:paraId="2133B586" w14:textId="77777777" w:rsidR="00B409C3" w:rsidRPr="00B409C3" w:rsidRDefault="00B409C3" w:rsidP="000104FB">
          <w:pPr>
            <w:jc w:val="both"/>
            <w:rPr>
              <w:rFonts w:asciiTheme="minorBidi" w:hAnsiTheme="minorBidi"/>
              <w:sz w:val="24"/>
              <w:szCs w:val="24"/>
            </w:rPr>
          </w:pPr>
        </w:p>
        <w:p w14:paraId="19BE38B1" w14:textId="38598D0C" w:rsidR="00B409C3" w:rsidRPr="00B409C3" w:rsidRDefault="00A91319" w:rsidP="000104FB">
          <w:pPr>
            <w:pStyle w:val="ListParagraph"/>
            <w:numPr>
              <w:ilvl w:val="0"/>
              <w:numId w:val="21"/>
            </w:numPr>
            <w:jc w:val="both"/>
          </w:pPr>
          <w:r>
            <w:rPr>
              <w:rFonts w:asciiTheme="minorBidi" w:hAnsiTheme="minorBidi"/>
              <w:sz w:val="24"/>
              <w:szCs w:val="24"/>
            </w:rPr>
            <w:t>In 2024, HSBC gave outstanding returns, which are total (dividends + buybacks), and it was nearly 10%. But the Canadian company's sale significantly d</w:t>
          </w:r>
          <w:r w:rsidR="00B409C3">
            <w:rPr>
              <w:rFonts w:asciiTheme="minorBidi" w:hAnsiTheme="minorBidi"/>
              <w:sz w:val="24"/>
              <w:szCs w:val="24"/>
            </w:rPr>
            <w:t xml:space="preserve">istorted this. The fundamental payout ratio is still maintained at about 50%. </w:t>
          </w:r>
        </w:p>
        <w:p w14:paraId="265FDFCC" w14:textId="74887FB6" w:rsidR="00B409C3" w:rsidRDefault="00B409C3" w:rsidP="000104FB">
          <w:pPr>
            <w:jc w:val="both"/>
          </w:pPr>
        </w:p>
        <w:p w14:paraId="3D251AEC" w14:textId="77777777" w:rsidR="00B409C3" w:rsidRPr="00B409C3" w:rsidRDefault="00B409C3" w:rsidP="000104FB">
          <w:pPr>
            <w:pStyle w:val="ListParagraph"/>
            <w:numPr>
              <w:ilvl w:val="0"/>
              <w:numId w:val="25"/>
            </w:numPr>
            <w:jc w:val="both"/>
            <w:rPr>
              <w:rFonts w:asciiTheme="minorBidi" w:hAnsiTheme="minorBidi"/>
              <w:sz w:val="24"/>
              <w:szCs w:val="24"/>
            </w:rPr>
          </w:pPr>
          <w:r>
            <w:rPr>
              <w:rFonts w:asciiTheme="minorBidi" w:hAnsiTheme="minorBidi"/>
              <w:sz w:val="24"/>
              <w:szCs w:val="24"/>
            </w:rPr>
            <w:t xml:space="preserve">According to the Financial Times and HSBC’s 2024 results, the massive boost in Dividend Per Share (+39%) was </w:t>
          </w:r>
          <w:r w:rsidRPr="00B409C3">
            <w:rPr>
              <w:rFonts w:asciiTheme="minorBidi" w:hAnsiTheme="minorBidi"/>
              <w:sz w:val="24"/>
              <w:szCs w:val="24"/>
            </w:rPr>
            <w:t>driven by a specific event: the sale of HSBC Canada.</w:t>
          </w:r>
        </w:p>
        <w:p w14:paraId="528EACAD" w14:textId="6554D6F1" w:rsidR="00D921E5" w:rsidRPr="00D921E5" w:rsidRDefault="00D921E5" w:rsidP="000104FB">
          <w:pPr>
            <w:pStyle w:val="ListParagraph"/>
            <w:numPr>
              <w:ilvl w:val="0"/>
              <w:numId w:val="25"/>
            </w:numPr>
            <w:spacing w:before="100" w:beforeAutospacing="1" w:after="100" w:afterAutospacing="1" w:line="240" w:lineRule="auto"/>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lastRenderedPageBreak/>
            <w:t>Data</w:t>
          </w:r>
          <w:r w:rsidRPr="00D921E5">
            <w:rPr>
              <w:rFonts w:asciiTheme="minorBidi" w:eastAsia="Times New Roman" w:hAnsiTheme="minorBidi"/>
              <w:b/>
              <w:bCs/>
              <w:sz w:val="24"/>
              <w:szCs w:val="24"/>
              <w:lang w:eastAsia="en-GB" w:bidi="gu-IN"/>
            </w:rPr>
            <w:t>:</w:t>
          </w:r>
          <w:r w:rsidRPr="00D921E5">
            <w:rPr>
              <w:rFonts w:asciiTheme="minorBidi" w:eastAsia="Times New Roman" w:hAnsiTheme="minorBidi"/>
              <w:sz w:val="24"/>
              <w:szCs w:val="24"/>
              <w:lang w:eastAsia="en-GB" w:bidi="gu-IN"/>
            </w:rPr>
            <w:t xml:space="preserve"> The bank paid a $0.21 (approx. £0.16) "Special Dividend" in mid-2024.</w:t>
          </w:r>
        </w:p>
        <w:p w14:paraId="0FC4CDA8" w14:textId="77777777" w:rsidR="00D921E5" w:rsidRDefault="00D921E5" w:rsidP="000104FB">
          <w:pPr>
            <w:pStyle w:val="ListParagraph"/>
            <w:numPr>
              <w:ilvl w:val="0"/>
              <w:numId w:val="25"/>
            </w:numPr>
            <w:spacing w:before="100" w:beforeAutospacing="1" w:after="100" w:afterAutospacing="1" w:line="240" w:lineRule="auto"/>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Significance</w:t>
          </w:r>
          <w:r w:rsidRPr="00D921E5">
            <w:rPr>
              <w:rFonts w:asciiTheme="minorBidi" w:eastAsia="Times New Roman" w:hAnsiTheme="minorBidi"/>
              <w:b/>
              <w:bCs/>
              <w:sz w:val="24"/>
              <w:szCs w:val="24"/>
              <w:lang w:eastAsia="en-GB" w:bidi="gu-IN"/>
            </w:rPr>
            <w:t>:</w:t>
          </w:r>
          <w:r w:rsidRPr="00D921E5">
            <w:rPr>
              <w:rFonts w:asciiTheme="minorBidi" w:eastAsia="Times New Roman" w:hAnsiTheme="minorBidi"/>
              <w:sz w:val="24"/>
              <w:szCs w:val="24"/>
              <w:lang w:eastAsia="en-GB" w:bidi="gu-IN"/>
            </w:rPr>
            <w:t xml:space="preserve"> Without this one-off event, the "core" dividend would have been roughly $0.66 (£0.52). The </w:t>
          </w:r>
          <w:r w:rsidRPr="00D921E5">
            <w:rPr>
              <w:rFonts w:asciiTheme="minorBidi" w:eastAsia="Times New Roman" w:hAnsiTheme="minorBidi"/>
              <w:b/>
              <w:bCs/>
              <w:sz w:val="24"/>
              <w:szCs w:val="24"/>
              <w:lang w:eastAsia="en-GB" w:bidi="gu-IN"/>
            </w:rPr>
            <w:t>69.6% payout ratio</w:t>
          </w:r>
          <w:r w:rsidRPr="00D921E5">
            <w:rPr>
              <w:rFonts w:asciiTheme="minorBidi" w:eastAsia="Times New Roman" w:hAnsiTheme="minorBidi"/>
              <w:sz w:val="24"/>
              <w:szCs w:val="24"/>
              <w:lang w:eastAsia="en-GB" w:bidi="gu-IN"/>
            </w:rPr>
            <w:t xml:space="preserve"> is exceptionally high (usually banks target 50%), </w:t>
          </w:r>
          <w:r>
            <w:rPr>
              <w:rFonts w:asciiTheme="minorBidi" w:eastAsia="Times New Roman" w:hAnsiTheme="minorBidi"/>
              <w:sz w:val="24"/>
              <w:szCs w:val="24"/>
              <w:lang w:eastAsia="en-GB" w:bidi="gu-IN"/>
            </w:rPr>
            <w:t>signalling</w:t>
          </w:r>
          <w:r w:rsidRPr="00D921E5">
            <w:rPr>
              <w:rFonts w:asciiTheme="minorBidi" w:eastAsia="Times New Roman" w:hAnsiTheme="minorBidi"/>
              <w:sz w:val="24"/>
              <w:szCs w:val="24"/>
              <w:lang w:eastAsia="en-GB" w:bidi="gu-IN"/>
            </w:rPr>
            <w:t xml:space="preserve"> that the board is aggressively returning excess capital to shareholders rather than hoarding it.</w:t>
          </w:r>
        </w:p>
        <w:p w14:paraId="5F80F171" w14:textId="62A930DF" w:rsidR="00D921E5" w:rsidRPr="00D921E5" w:rsidRDefault="00D921E5" w:rsidP="000104FB">
          <w:pPr>
            <w:pStyle w:val="ListParagraph"/>
            <w:numPr>
              <w:ilvl w:val="0"/>
              <w:numId w:val="25"/>
            </w:numPr>
            <w:spacing w:before="100" w:beforeAutospacing="1" w:after="100" w:afterAutospacing="1" w:line="240" w:lineRule="auto"/>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In January 2026, analysts from Goldman Sachs and Morgan Stanley issued notes on HSBC’s new structure.</w:t>
          </w:r>
        </w:p>
        <w:p w14:paraId="2516FA6D" w14:textId="3D46D37E" w:rsidR="00B409C3" w:rsidRDefault="00D921E5" w:rsidP="000104FB">
          <w:pPr>
            <w:numPr>
              <w:ilvl w:val="0"/>
              <w:numId w:val="25"/>
            </w:numPr>
            <w:spacing w:before="100" w:beforeAutospacing="1" w:after="100" w:afterAutospacing="1" w:line="240" w:lineRule="auto"/>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 xml:space="preserve">Forecast: They expect the Dividend Yield to </w:t>
          </w:r>
          <w:r>
            <w:rPr>
              <w:rFonts w:asciiTheme="minorBidi" w:eastAsia="Times New Roman" w:hAnsiTheme="minorBidi"/>
              <w:sz w:val="24"/>
              <w:szCs w:val="24"/>
              <w:lang w:eastAsia="en-GB" w:bidi="gu-IN"/>
            </w:rPr>
            <w:t>normalise</w:t>
          </w:r>
          <w:r w:rsidRPr="00D921E5">
            <w:rPr>
              <w:rFonts w:asciiTheme="minorBidi" w:eastAsia="Times New Roman" w:hAnsiTheme="minorBidi"/>
              <w:sz w:val="24"/>
              <w:szCs w:val="24"/>
              <w:lang w:eastAsia="en-GB" w:bidi="gu-IN"/>
            </w:rPr>
            <w:t xml:space="preserve"> back to around 7–8% in 2026 as the "special" payouts from asset sales fade.</w:t>
          </w:r>
        </w:p>
        <w:p w14:paraId="2486ADB5" w14:textId="77777777" w:rsidR="00D921E5" w:rsidRDefault="00D921E5" w:rsidP="000104FB">
          <w:pPr>
            <w:spacing w:before="100" w:beforeAutospacing="1" w:after="100" w:afterAutospacing="1" w:line="240" w:lineRule="auto"/>
            <w:jc w:val="both"/>
            <w:rPr>
              <w:rFonts w:asciiTheme="minorBidi" w:eastAsia="Times New Roman" w:hAnsiTheme="minorBidi"/>
              <w:sz w:val="24"/>
              <w:szCs w:val="24"/>
              <w:lang w:eastAsia="en-GB" w:bidi="gu-IN"/>
            </w:rPr>
          </w:pPr>
        </w:p>
        <w:tbl>
          <w:tblPr>
            <w:tblStyle w:val="TableGrid"/>
            <w:tblW w:w="0" w:type="auto"/>
            <w:tblLook w:val="04A0" w:firstRow="1" w:lastRow="0" w:firstColumn="1" w:lastColumn="0" w:noHBand="0" w:noVBand="1"/>
          </w:tblPr>
          <w:tblGrid>
            <w:gridCol w:w="2352"/>
            <w:gridCol w:w="2362"/>
            <w:gridCol w:w="1402"/>
            <w:gridCol w:w="1403"/>
            <w:gridCol w:w="1497"/>
          </w:tblGrid>
          <w:tr w:rsidR="00D921E5" w14:paraId="543D605F" w14:textId="77777777" w:rsidTr="000104FB">
            <w:tc>
              <w:tcPr>
                <w:tcW w:w="2352" w:type="dxa"/>
              </w:tcPr>
              <w:p w14:paraId="7F759BE7" w14:textId="07F14540"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Metric </w:t>
                </w:r>
              </w:p>
            </w:tc>
            <w:tc>
              <w:tcPr>
                <w:tcW w:w="2362" w:type="dxa"/>
              </w:tcPr>
              <w:p w14:paraId="5DEAF570" w14:textId="3639B95C"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Formula </w:t>
                </w:r>
              </w:p>
            </w:tc>
            <w:tc>
              <w:tcPr>
                <w:tcW w:w="1402" w:type="dxa"/>
              </w:tcPr>
              <w:p w14:paraId="19D6A1BB" w14:textId="644012E5"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FY2024</w:t>
                </w:r>
              </w:p>
            </w:tc>
            <w:tc>
              <w:tcPr>
                <w:tcW w:w="1403" w:type="dxa"/>
              </w:tcPr>
              <w:p w14:paraId="5A0746D1" w14:textId="35D1E2EE"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FY2023</w:t>
                </w:r>
              </w:p>
            </w:tc>
            <w:tc>
              <w:tcPr>
                <w:tcW w:w="1497" w:type="dxa"/>
              </w:tcPr>
              <w:p w14:paraId="6434AF7E" w14:textId="51DC4093"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Trend </w:t>
                </w:r>
              </w:p>
            </w:tc>
          </w:tr>
          <w:tr w:rsidR="00D921E5" w14:paraId="1B762A30" w14:textId="77777777" w:rsidTr="000104FB">
            <w:tc>
              <w:tcPr>
                <w:tcW w:w="2352" w:type="dxa"/>
              </w:tcPr>
              <w:p w14:paraId="51A6F00E" w14:textId="01DC6F32"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Earnings Per Share (EPS)</w:t>
                </w:r>
              </w:p>
            </w:tc>
            <w:tc>
              <w:tcPr>
                <w:tcW w:w="2362" w:type="dxa"/>
              </w:tcPr>
              <w:p w14:paraId="0C54373C" w14:textId="58AA7051"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Net Profit / No. of Share </w:t>
                </w:r>
              </w:p>
            </w:tc>
            <w:tc>
              <w:tcPr>
                <w:tcW w:w="1402" w:type="dxa"/>
              </w:tcPr>
              <w:p w14:paraId="15D7ACBA" w14:textId="34658289"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£0.98</w:t>
                </w:r>
              </w:p>
            </w:tc>
            <w:tc>
              <w:tcPr>
                <w:tcW w:w="1403" w:type="dxa"/>
              </w:tcPr>
              <w:p w14:paraId="0E0A0A54" w14:textId="63EA716D"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£0.93</w:t>
                </w:r>
              </w:p>
            </w:tc>
            <w:tc>
              <w:tcPr>
                <w:tcW w:w="1497" w:type="dxa"/>
              </w:tcPr>
              <w:p w14:paraId="323AF92E" w14:textId="613EDEC2"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+5.4%</w:t>
                </w:r>
              </w:p>
            </w:tc>
          </w:tr>
          <w:tr w:rsidR="00D921E5" w14:paraId="6F5FCDB5" w14:textId="77777777" w:rsidTr="000104FB">
            <w:tc>
              <w:tcPr>
                <w:tcW w:w="2352" w:type="dxa"/>
              </w:tcPr>
              <w:p w14:paraId="1F3D2A10" w14:textId="4A287FB9"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Dividend Per Share (DPS)</w:t>
                </w:r>
              </w:p>
            </w:tc>
            <w:tc>
              <w:tcPr>
                <w:tcW w:w="2362" w:type="dxa"/>
              </w:tcPr>
              <w:p w14:paraId="08836B40" w14:textId="18AEDD67"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Total Declared Dividends</w:t>
                </w:r>
              </w:p>
            </w:tc>
            <w:tc>
              <w:tcPr>
                <w:tcW w:w="1402" w:type="dxa"/>
              </w:tcPr>
              <w:p w14:paraId="34B63C02" w14:textId="54BB517C"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£0.68</w:t>
                </w:r>
              </w:p>
            </w:tc>
            <w:tc>
              <w:tcPr>
                <w:tcW w:w="1403" w:type="dxa"/>
              </w:tcPr>
              <w:p w14:paraId="4E28F6B0" w14:textId="1BD2EE90"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£0.49</w:t>
                </w:r>
              </w:p>
            </w:tc>
            <w:tc>
              <w:tcPr>
                <w:tcW w:w="1497" w:type="dxa"/>
              </w:tcPr>
              <w:p w14:paraId="148C8F3D" w14:textId="7853F373"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+38.8%</w:t>
                </w:r>
              </w:p>
            </w:tc>
          </w:tr>
          <w:tr w:rsidR="00D921E5" w14:paraId="4874DFDD" w14:textId="77777777" w:rsidTr="000104FB">
            <w:tc>
              <w:tcPr>
                <w:tcW w:w="2352" w:type="dxa"/>
              </w:tcPr>
              <w:p w14:paraId="49637B96" w14:textId="09669EF5"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Dividend Payout Ratio</w:t>
                </w:r>
              </w:p>
            </w:tc>
            <w:tc>
              <w:tcPr>
                <w:tcW w:w="2362" w:type="dxa"/>
              </w:tcPr>
              <w:p w14:paraId="0888F373" w14:textId="03EBC64D"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DPS / EPS</w:t>
                </w:r>
              </w:p>
            </w:tc>
            <w:tc>
              <w:tcPr>
                <w:tcW w:w="1402" w:type="dxa"/>
              </w:tcPr>
              <w:p w14:paraId="08F040F9" w14:textId="4D5E2056"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69.6%</w:t>
                </w:r>
              </w:p>
            </w:tc>
            <w:tc>
              <w:tcPr>
                <w:tcW w:w="1403" w:type="dxa"/>
              </w:tcPr>
              <w:p w14:paraId="03F93ACC" w14:textId="6C07B9DA"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53.0%</w:t>
                </w:r>
              </w:p>
            </w:tc>
            <w:tc>
              <w:tcPr>
                <w:tcW w:w="1497" w:type="dxa"/>
              </w:tcPr>
              <w:p w14:paraId="0B514947" w14:textId="34AA1727"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Significantly Higher</w:t>
                </w:r>
              </w:p>
            </w:tc>
          </w:tr>
          <w:tr w:rsidR="00D921E5" w14:paraId="31F48245" w14:textId="77777777" w:rsidTr="000104FB">
            <w:tc>
              <w:tcPr>
                <w:tcW w:w="2352" w:type="dxa"/>
              </w:tcPr>
              <w:p w14:paraId="46BD0E88" w14:textId="514A5C6F"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Dividend Yield </w:t>
                </w:r>
              </w:p>
            </w:tc>
            <w:tc>
              <w:tcPr>
                <w:tcW w:w="2362" w:type="dxa"/>
              </w:tcPr>
              <w:p w14:paraId="5DE34ACD" w14:textId="66DE4040"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DPS / Share Price (est. £6.90)</w:t>
                </w:r>
              </w:p>
            </w:tc>
            <w:tc>
              <w:tcPr>
                <w:tcW w:w="1402" w:type="dxa"/>
              </w:tcPr>
              <w:p w14:paraId="73B97AAE" w14:textId="2A93527B"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~9.8%</w:t>
                </w:r>
              </w:p>
            </w:tc>
            <w:tc>
              <w:tcPr>
                <w:tcW w:w="1403" w:type="dxa"/>
              </w:tcPr>
              <w:p w14:paraId="2DA447BE" w14:textId="7B1BAD2C"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~7.5%</w:t>
                </w:r>
              </w:p>
            </w:tc>
            <w:tc>
              <w:tcPr>
                <w:tcW w:w="1497" w:type="dxa"/>
              </w:tcPr>
              <w:p w14:paraId="12611879" w14:textId="4D0DFBDB"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Very High</w:t>
                </w:r>
              </w:p>
            </w:tc>
          </w:tr>
          <w:tr w:rsidR="00D921E5" w14:paraId="0B363113" w14:textId="77777777" w:rsidTr="000104FB">
            <w:tc>
              <w:tcPr>
                <w:tcW w:w="2352" w:type="dxa"/>
              </w:tcPr>
              <w:p w14:paraId="0C366045" w14:textId="6C54F11B"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Pr>
                    <w:rFonts w:asciiTheme="minorBidi" w:eastAsia="Times New Roman" w:hAnsiTheme="minorBidi"/>
                    <w:sz w:val="24"/>
                    <w:szCs w:val="24"/>
                    <w:lang w:eastAsia="en-GB" w:bidi="gu-IN"/>
                  </w:rPr>
                  <w:t xml:space="preserve">P/E Ratio </w:t>
                </w:r>
              </w:p>
            </w:tc>
            <w:tc>
              <w:tcPr>
                <w:tcW w:w="2362" w:type="dxa"/>
              </w:tcPr>
              <w:p w14:paraId="1D17EA52" w14:textId="6A563CCB"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Share Price / EPS</w:t>
                </w:r>
              </w:p>
            </w:tc>
            <w:tc>
              <w:tcPr>
                <w:tcW w:w="1402" w:type="dxa"/>
              </w:tcPr>
              <w:p w14:paraId="3985088E" w14:textId="50BF1827"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~7.0x</w:t>
                </w:r>
              </w:p>
            </w:tc>
            <w:tc>
              <w:tcPr>
                <w:tcW w:w="1403" w:type="dxa"/>
              </w:tcPr>
              <w:p w14:paraId="3FA61557" w14:textId="10F2D449"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~6.5x</w:t>
                </w:r>
              </w:p>
            </w:tc>
            <w:tc>
              <w:tcPr>
                <w:tcW w:w="1497" w:type="dxa"/>
              </w:tcPr>
              <w:p w14:paraId="618D77B4" w14:textId="6E248B1C" w:rsidR="00D921E5" w:rsidRDefault="00D921E5" w:rsidP="000104FB">
                <w:pPr>
                  <w:spacing w:before="100" w:beforeAutospacing="1" w:after="100" w:afterAutospacing="1"/>
                  <w:jc w:val="both"/>
                  <w:rPr>
                    <w:rFonts w:asciiTheme="minorBidi" w:eastAsia="Times New Roman" w:hAnsiTheme="minorBidi"/>
                    <w:sz w:val="24"/>
                    <w:szCs w:val="24"/>
                    <w:lang w:eastAsia="en-GB" w:bidi="gu-IN"/>
                  </w:rPr>
                </w:pPr>
                <w:r w:rsidRPr="00D921E5">
                  <w:rPr>
                    <w:rFonts w:asciiTheme="minorBidi" w:eastAsia="Times New Roman" w:hAnsiTheme="minorBidi"/>
                    <w:sz w:val="24"/>
                    <w:szCs w:val="24"/>
                    <w:lang w:eastAsia="en-GB" w:bidi="gu-IN"/>
                  </w:rPr>
                  <w:t>Stable</w:t>
                </w:r>
              </w:p>
            </w:tc>
          </w:tr>
        </w:tbl>
        <w:p w14:paraId="752BF6CC" w14:textId="6DF2ABF3" w:rsidR="00F93CDB" w:rsidRDefault="000104FB" w:rsidP="000104FB">
          <w:pPr>
            <w:pStyle w:val="Heading3"/>
            <w:jc w:val="both"/>
          </w:pPr>
          <w:bookmarkStart w:id="9" w:name="_Toc219110412"/>
          <w:r w:rsidRPr="000104FB">
            <w:t>Table 5: Investor Ratios and Shareholder Return Analysis (FY2023–FY2024)</w:t>
          </w:r>
          <w:bookmarkEnd w:id="9"/>
        </w:p>
        <w:p w14:paraId="3ABCD3F1" w14:textId="77777777" w:rsidR="000104FB" w:rsidRPr="000104FB" w:rsidRDefault="000104FB" w:rsidP="000104FB">
          <w:pPr>
            <w:jc w:val="both"/>
          </w:pPr>
        </w:p>
        <w:p w14:paraId="4EC5024E" w14:textId="6179C52C" w:rsidR="0033299D" w:rsidRDefault="0033299D" w:rsidP="000104FB">
          <w:pPr>
            <w:pStyle w:val="Heading3"/>
            <w:numPr>
              <w:ilvl w:val="0"/>
              <w:numId w:val="65"/>
            </w:numPr>
            <w:jc w:val="both"/>
            <w:rPr>
              <w:rFonts w:cstheme="minorBidi"/>
            </w:rPr>
          </w:pPr>
          <w:bookmarkStart w:id="10" w:name="_Toc219110413"/>
          <w:r w:rsidRPr="004F20A9">
            <w:rPr>
              <w:rFonts w:cstheme="minorBidi"/>
            </w:rPr>
            <w:t>Critical Evaluation</w:t>
          </w:r>
          <w:bookmarkEnd w:id="10"/>
          <w:r w:rsidRPr="004F20A9">
            <w:rPr>
              <w:rFonts w:cstheme="minorBidi"/>
            </w:rPr>
            <w:t xml:space="preserve"> </w:t>
          </w:r>
        </w:p>
        <w:p w14:paraId="5B8C862F" w14:textId="77777777" w:rsidR="000104FB" w:rsidRPr="000104FB" w:rsidRDefault="000104FB" w:rsidP="000104FB">
          <w:pPr>
            <w:pStyle w:val="ListParagraph"/>
            <w:numPr>
              <w:ilvl w:val="0"/>
              <w:numId w:val="74"/>
            </w:numPr>
            <w:spacing w:before="100" w:beforeAutospacing="1" w:after="100" w:afterAutospacing="1" w:line="240" w:lineRule="auto"/>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t xml:space="preserve">Headline vs. Structural Reality HSBC presents a dichotomy between record-breaking headline figures and underlying structural vulnerability. While FY2024 profits nominally surged to $32.3bn, a forensic analysis reveals this performance was heavily distorted by the one-off $4.8bn gain from the sale of HSBC Canada. As reported by the </w:t>
          </w:r>
          <w:r w:rsidRPr="000104FB">
            <w:rPr>
              <w:rFonts w:asciiTheme="minorBidi" w:eastAsia="Times New Roman" w:hAnsiTheme="minorBidi"/>
              <w:i/>
              <w:iCs/>
              <w:sz w:val="24"/>
              <w:szCs w:val="24"/>
              <w:lang w:eastAsia="en-GB" w:bidi="gu-IN"/>
            </w:rPr>
            <w:t>Financial Times</w:t>
          </w:r>
          <w:r w:rsidRPr="000104FB">
            <w:rPr>
              <w:rFonts w:asciiTheme="minorBidi" w:eastAsia="Times New Roman" w:hAnsiTheme="minorBidi"/>
              <w:sz w:val="24"/>
              <w:szCs w:val="24"/>
              <w:lang w:eastAsia="en-GB" w:bidi="gu-IN"/>
            </w:rPr>
            <w:t xml:space="preserve"> (February 2025), stripping out this exceptional item exposes a core business struggling with efficiency; the bank’s Cost Efficiency Ratio (CER) has deteriorated to 50.2%, breaching the management’s sub-50% target. This validates CEO Georges Elhedery’s aggressive "Simplification Plan" not merely as a strategic tidy-up, but as an urgent defensive necessity to strip out $1.5bn in structural costs by 2026.</w:t>
          </w:r>
        </w:p>
        <w:p w14:paraId="41FE48A8" w14:textId="7FA9EDCD" w:rsidR="000104FB" w:rsidRPr="000104FB" w:rsidRDefault="000104FB" w:rsidP="000104FB">
          <w:pPr>
            <w:pStyle w:val="ListParagraph"/>
            <w:numPr>
              <w:ilvl w:val="0"/>
              <w:numId w:val="74"/>
            </w:numPr>
            <w:spacing w:before="100" w:beforeAutospacing="1" w:after="100" w:afterAutospacing="1" w:line="240" w:lineRule="auto"/>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t xml:space="preserve">Margin Compression &amp; Deposit Migration The "easy money" era of high rates is </w:t>
          </w:r>
          <w:r w:rsidRPr="000104FB">
            <w:rPr>
              <w:rFonts w:asciiTheme="minorBidi" w:eastAsia="Times New Roman" w:hAnsiTheme="minorBidi"/>
              <w:sz w:val="24"/>
              <w:szCs w:val="24"/>
              <w:lang w:eastAsia="en-GB" w:bidi="gu-IN"/>
            </w:rPr>
            <w:t>definitely</w:t>
          </w:r>
          <w:r w:rsidRPr="000104FB">
            <w:rPr>
              <w:rFonts w:asciiTheme="minorBidi" w:eastAsia="Times New Roman" w:hAnsiTheme="minorBidi"/>
              <w:sz w:val="24"/>
              <w:szCs w:val="24"/>
              <w:lang w:eastAsia="en-GB" w:bidi="gu-IN"/>
            </w:rPr>
            <w:t xml:space="preserve"> over. </w:t>
          </w:r>
          <w:r w:rsidRPr="000104FB">
            <w:rPr>
              <w:rFonts w:asciiTheme="minorBidi" w:eastAsia="Times New Roman" w:hAnsiTheme="minorBidi"/>
              <w:i/>
              <w:iCs/>
              <w:sz w:val="24"/>
              <w:szCs w:val="24"/>
              <w:lang w:eastAsia="en-GB" w:bidi="gu-IN"/>
            </w:rPr>
            <w:t>Bloomberg Intelligence</w:t>
          </w:r>
          <w:r w:rsidRPr="000104FB">
            <w:rPr>
              <w:rFonts w:asciiTheme="minorBidi" w:eastAsia="Times New Roman" w:hAnsiTheme="minorBidi"/>
              <w:sz w:val="24"/>
              <w:szCs w:val="24"/>
              <w:lang w:eastAsia="en-GB" w:bidi="gu-IN"/>
            </w:rPr>
            <w:t xml:space="preserve"> (July 2025) highlights that Net Interest Margin (NIM) has compressed to 1.56%, driven by acute "deposit migration." Customers in the UK and Hong Kong have aggressively moved funds from zero-interest current accounts to fixed-term deposits, increasing the bank's cost of funding. This structural shift means revenue growth can no longer rely on passive interest income; it must pivot to "fee-based" wealth services, which are harder to scale.</w:t>
          </w:r>
        </w:p>
        <w:p w14:paraId="2A5424DD" w14:textId="77777777" w:rsidR="000104FB" w:rsidRPr="000104FB" w:rsidRDefault="000104FB" w:rsidP="000104FB">
          <w:pPr>
            <w:pStyle w:val="ListParagraph"/>
            <w:numPr>
              <w:ilvl w:val="0"/>
              <w:numId w:val="74"/>
            </w:numPr>
            <w:spacing w:before="100" w:beforeAutospacing="1" w:after="100" w:afterAutospacing="1" w:line="240" w:lineRule="auto"/>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t xml:space="preserve">Geopolitical Ring-Fencing (China Real Estate) Perhaps the most significant "hidden" risk is the bank's exposure to Chinese Commercial Real Estate (CRE). Breaking news from </w:t>
          </w:r>
          <w:r w:rsidRPr="000104FB">
            <w:rPr>
              <w:rFonts w:asciiTheme="minorBidi" w:eastAsia="Times New Roman" w:hAnsiTheme="minorBidi"/>
              <w:i/>
              <w:iCs/>
              <w:sz w:val="24"/>
              <w:szCs w:val="24"/>
              <w:lang w:eastAsia="en-GB" w:bidi="gu-IN"/>
            </w:rPr>
            <w:t>Reuters</w:t>
          </w:r>
          <w:r w:rsidRPr="000104FB">
            <w:rPr>
              <w:rFonts w:asciiTheme="minorBidi" w:eastAsia="Times New Roman" w:hAnsiTheme="minorBidi"/>
              <w:sz w:val="24"/>
              <w:szCs w:val="24"/>
              <w:lang w:eastAsia="en-GB" w:bidi="gu-IN"/>
            </w:rPr>
            <w:t xml:space="preserve"> (January 8, 2026) confirms that shareholders have approved HSBC’s $13.6bn privatization of its Hang Seng Bank subsidiary. This strategic </w:t>
          </w:r>
          <w:proofErr w:type="spellStart"/>
          <w:r w:rsidRPr="000104FB">
            <w:rPr>
              <w:rFonts w:asciiTheme="minorBidi" w:eastAsia="Times New Roman" w:hAnsiTheme="minorBidi"/>
              <w:sz w:val="24"/>
              <w:szCs w:val="24"/>
              <w:lang w:eastAsia="en-GB" w:bidi="gu-IN"/>
            </w:rPr>
            <w:t>maneuver</w:t>
          </w:r>
          <w:proofErr w:type="spellEnd"/>
          <w:r w:rsidRPr="000104FB">
            <w:rPr>
              <w:rFonts w:asciiTheme="minorBidi" w:eastAsia="Times New Roman" w:hAnsiTheme="minorBidi"/>
              <w:sz w:val="24"/>
              <w:szCs w:val="24"/>
              <w:lang w:eastAsia="en-GB" w:bidi="gu-IN"/>
            </w:rPr>
            <w:t xml:space="preserve"> effectively "ring-fences" the volatile Hong Kong property </w:t>
          </w:r>
          <w:r w:rsidRPr="000104FB">
            <w:rPr>
              <w:rFonts w:asciiTheme="minorBidi" w:eastAsia="Times New Roman" w:hAnsiTheme="minorBidi"/>
              <w:sz w:val="24"/>
              <w:szCs w:val="24"/>
              <w:lang w:eastAsia="en-GB" w:bidi="gu-IN"/>
            </w:rPr>
            <w:lastRenderedPageBreak/>
            <w:t>risks within the parent group, removing the drag of a separately listed, property-heavy entity. While this consolidates control, it also forces HSBC to absorb 100% of the potential credit losses, which analysts estimate could require further provisions beyond the $3.4bn already set aside.</w:t>
          </w:r>
        </w:p>
        <w:p w14:paraId="52187BB1" w14:textId="165086E8" w:rsidR="000104FB" w:rsidRPr="000104FB" w:rsidRDefault="000104FB" w:rsidP="000104FB">
          <w:pPr>
            <w:pStyle w:val="ListParagraph"/>
            <w:numPr>
              <w:ilvl w:val="0"/>
              <w:numId w:val="74"/>
            </w:numPr>
            <w:spacing w:before="100" w:beforeAutospacing="1" w:after="100" w:afterAutospacing="1" w:line="240" w:lineRule="auto"/>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t xml:space="preserve">The Defensive Pivot Consequently, HSBC has transitioned from a high-growth "Asian Tiger" to a "Defensive Income Play." As noted by </w:t>
          </w:r>
          <w:r w:rsidRPr="000104FB">
            <w:rPr>
              <w:rFonts w:asciiTheme="minorBidi" w:eastAsia="Times New Roman" w:hAnsiTheme="minorBidi"/>
              <w:i/>
              <w:iCs/>
              <w:sz w:val="24"/>
              <w:szCs w:val="24"/>
              <w:lang w:eastAsia="en-GB" w:bidi="gu-IN"/>
            </w:rPr>
            <w:t>S&amp;P Global</w:t>
          </w:r>
          <w:r w:rsidRPr="000104FB">
            <w:rPr>
              <w:rFonts w:asciiTheme="minorBidi" w:eastAsia="Times New Roman" w:hAnsiTheme="minorBidi"/>
              <w:sz w:val="24"/>
              <w:szCs w:val="24"/>
              <w:lang w:eastAsia="en-GB" w:bidi="gu-IN"/>
            </w:rPr>
            <w:t xml:space="preserve">, the bank’s decision to return nearly $27bn to shareholders via dividends and buybacks is a compensatory mechanism. It signals that in the absence of organic lending </w:t>
          </w:r>
          <w:proofErr w:type="gramStart"/>
          <w:r w:rsidRPr="000104FB">
            <w:rPr>
              <w:rFonts w:asciiTheme="minorBidi" w:eastAsia="Times New Roman" w:hAnsiTheme="minorBidi"/>
              <w:sz w:val="24"/>
              <w:szCs w:val="24"/>
              <w:lang w:eastAsia="en-GB" w:bidi="gu-IN"/>
            </w:rPr>
            <w:t>growth,</w:t>
          </w:r>
          <w:proofErr w:type="gramEnd"/>
          <w:r w:rsidRPr="000104FB">
            <w:rPr>
              <w:rFonts w:asciiTheme="minorBidi" w:eastAsia="Times New Roman" w:hAnsiTheme="minorBidi"/>
              <w:sz w:val="24"/>
              <w:szCs w:val="24"/>
              <w:lang w:eastAsia="en-GB" w:bidi="gu-IN"/>
            </w:rPr>
            <w:t xml:space="preserve"> the board is prioritizing capital return to maintain investor confidence while it navigates the treacherous pivot toward Asian wealth management.</w:t>
          </w:r>
        </w:p>
        <w:p w14:paraId="6C3FE6E6" w14:textId="77777777" w:rsidR="00F93CDB" w:rsidRPr="004F20A9" w:rsidRDefault="00F93CDB" w:rsidP="000104FB">
          <w:pPr>
            <w:jc w:val="both"/>
            <w:rPr>
              <w:rFonts w:asciiTheme="minorBidi" w:hAnsiTheme="minorBidi"/>
              <w:sz w:val="24"/>
              <w:szCs w:val="24"/>
            </w:rPr>
          </w:pPr>
        </w:p>
        <w:p w14:paraId="7FD7748E" w14:textId="32898621" w:rsidR="0033299D" w:rsidRDefault="0033299D" w:rsidP="000104FB">
          <w:pPr>
            <w:pStyle w:val="Heading3"/>
            <w:numPr>
              <w:ilvl w:val="0"/>
              <w:numId w:val="65"/>
            </w:numPr>
            <w:jc w:val="both"/>
            <w:rPr>
              <w:rFonts w:cstheme="minorBidi"/>
            </w:rPr>
          </w:pPr>
          <w:bookmarkStart w:id="11" w:name="_Toc219110414"/>
          <w:r w:rsidRPr="002500E9">
            <w:rPr>
              <w:rFonts w:cstheme="minorBidi"/>
            </w:rPr>
            <w:t>Limitations of Ratio Analysis</w:t>
          </w:r>
          <w:bookmarkEnd w:id="11"/>
        </w:p>
        <w:p w14:paraId="74E4D999" w14:textId="77777777" w:rsidR="00123F58" w:rsidRPr="00123F58" w:rsidRDefault="00123F58" w:rsidP="000104FB">
          <w:pPr>
            <w:jc w:val="both"/>
          </w:pPr>
        </w:p>
        <w:p w14:paraId="6584E2A0" w14:textId="51952C19" w:rsidR="000104FB" w:rsidRPr="000104FB" w:rsidRDefault="000104FB" w:rsidP="000104FB">
          <w:pPr>
            <w:pStyle w:val="ListParagraph"/>
            <w:numPr>
              <w:ilvl w:val="0"/>
              <w:numId w:val="75"/>
            </w:numPr>
            <w:jc w:val="both"/>
            <w:rPr>
              <w:rFonts w:asciiTheme="minorBidi" w:hAnsiTheme="minorBidi"/>
              <w:sz w:val="24"/>
              <w:szCs w:val="24"/>
            </w:rPr>
          </w:pPr>
          <w:r w:rsidRPr="000104FB">
            <w:rPr>
              <w:rFonts w:asciiTheme="minorBidi" w:hAnsiTheme="minorBidi"/>
              <w:sz w:val="24"/>
              <w:szCs w:val="24"/>
            </w:rPr>
            <w:t>While ratio analysis provides a snapshot of financial performance, its utility for HSBC in early 2026 is fundamentally compromised by two "event horizons"</w:t>
          </w:r>
          <w:r>
            <w:rPr>
              <w:rFonts w:asciiTheme="minorBidi" w:hAnsiTheme="minorBidi"/>
              <w:sz w:val="24"/>
              <w:szCs w:val="24"/>
            </w:rPr>
            <w:t xml:space="preserve"> </w:t>
          </w:r>
          <w:r w:rsidRPr="000104FB">
            <w:rPr>
              <w:rFonts w:asciiTheme="minorBidi" w:hAnsiTheme="minorBidi"/>
              <w:sz w:val="24"/>
              <w:szCs w:val="24"/>
            </w:rPr>
            <w:t>structural radicalization and earnings distortion</w:t>
          </w:r>
          <w:r>
            <w:rPr>
              <w:rFonts w:asciiTheme="minorBidi" w:hAnsiTheme="minorBidi"/>
              <w:sz w:val="24"/>
              <w:szCs w:val="24"/>
            </w:rPr>
            <w:t xml:space="preserve"> </w:t>
          </w:r>
          <w:r w:rsidRPr="000104FB">
            <w:rPr>
              <w:rFonts w:asciiTheme="minorBidi" w:hAnsiTheme="minorBidi"/>
              <w:sz w:val="24"/>
              <w:szCs w:val="24"/>
            </w:rPr>
            <w:t>that standard metrics fail to capture.</w:t>
          </w:r>
        </w:p>
        <w:p w14:paraId="09050A54" w14:textId="77777777" w:rsidR="000104FB" w:rsidRDefault="000104FB" w:rsidP="000104FB">
          <w:pPr>
            <w:ind w:left="360"/>
            <w:jc w:val="both"/>
            <w:rPr>
              <w:rFonts w:asciiTheme="minorBidi" w:hAnsiTheme="minorBidi"/>
              <w:sz w:val="24"/>
              <w:szCs w:val="24"/>
            </w:rPr>
          </w:pPr>
        </w:p>
        <w:p w14:paraId="77EB3CCE" w14:textId="77777777" w:rsidR="000104FB" w:rsidRDefault="000104FB" w:rsidP="000104FB">
          <w:pPr>
            <w:ind w:left="360"/>
            <w:jc w:val="both"/>
            <w:rPr>
              <w:rFonts w:asciiTheme="minorBidi" w:hAnsiTheme="minorBidi"/>
              <w:sz w:val="24"/>
              <w:szCs w:val="24"/>
            </w:rPr>
          </w:pPr>
        </w:p>
        <w:p w14:paraId="73E29AEF" w14:textId="2169EE64" w:rsidR="000104FB" w:rsidRPr="000104FB" w:rsidRDefault="000104FB" w:rsidP="000104FB">
          <w:pPr>
            <w:pStyle w:val="ListParagraph"/>
            <w:numPr>
              <w:ilvl w:val="0"/>
              <w:numId w:val="75"/>
            </w:numPr>
            <w:jc w:val="both"/>
            <w:rPr>
              <w:rFonts w:asciiTheme="minorBidi" w:hAnsiTheme="minorBidi"/>
              <w:sz w:val="24"/>
              <w:szCs w:val="24"/>
            </w:rPr>
          </w:pPr>
          <w:r w:rsidRPr="000104FB">
            <w:rPr>
              <w:rFonts w:asciiTheme="minorBidi" w:hAnsiTheme="minorBidi"/>
              <w:sz w:val="24"/>
              <w:szCs w:val="24"/>
            </w:rPr>
            <w:t xml:space="preserve">Structural Obsolescence (The "Simplification" Gap) The most critical limitation is that FY2024 ratios are retrospective, reflecting an organizational structure that no longer exists. As reported by the Financial Times (January 2, 2025), CEO Georges Elhedery’s "Simplification Plan" effectively dissolved the bank's historic geographic matrix on January 1st, replacing it with four distinct business lines: Hong Kong, UK, Corporate &amp; Institutional Banking, and International Wealth. Consequently, December 2024 efficiency ratios are based on legacy cost allocations that are now obsolete. An investor relying on 2024’s Cost Efficiency Ratio (50.2%) is </w:t>
          </w:r>
          <w:r w:rsidRPr="000104FB">
            <w:rPr>
              <w:rFonts w:asciiTheme="minorBidi" w:hAnsiTheme="minorBidi"/>
              <w:sz w:val="24"/>
              <w:szCs w:val="24"/>
            </w:rPr>
            <w:t>analysing</w:t>
          </w:r>
          <w:r w:rsidRPr="000104FB">
            <w:rPr>
              <w:rFonts w:asciiTheme="minorBidi" w:hAnsiTheme="minorBidi"/>
              <w:sz w:val="24"/>
              <w:szCs w:val="24"/>
            </w:rPr>
            <w:t xml:space="preserve"> a "ghost" operating model, failing to account for the immediate friction costs and long-term synergies of the new "East-West" split.</w:t>
          </w:r>
        </w:p>
        <w:p w14:paraId="575EB3AA" w14:textId="5C9BDEE5" w:rsidR="000104FB" w:rsidRPr="000104FB" w:rsidRDefault="000104FB" w:rsidP="000104FB">
          <w:pPr>
            <w:pStyle w:val="ListParagraph"/>
            <w:numPr>
              <w:ilvl w:val="0"/>
              <w:numId w:val="75"/>
            </w:numPr>
            <w:jc w:val="both"/>
            <w:rPr>
              <w:rFonts w:asciiTheme="minorBidi" w:hAnsiTheme="minorBidi"/>
              <w:sz w:val="24"/>
              <w:szCs w:val="24"/>
            </w:rPr>
          </w:pPr>
          <w:r w:rsidRPr="000104FB">
            <w:rPr>
              <w:rFonts w:asciiTheme="minorBidi" w:hAnsiTheme="minorBidi"/>
              <w:sz w:val="24"/>
              <w:szCs w:val="24"/>
            </w:rPr>
            <w:t>Distortion by "Notable Items</w:t>
          </w:r>
          <w:r>
            <w:rPr>
              <w:rFonts w:asciiTheme="minorBidi" w:hAnsiTheme="minorBidi"/>
              <w:sz w:val="24"/>
              <w:szCs w:val="24"/>
            </w:rPr>
            <w:t>.</w:t>
          </w:r>
          <w:r w:rsidRPr="000104FB">
            <w:rPr>
              <w:rFonts w:asciiTheme="minorBidi" w:hAnsiTheme="minorBidi"/>
              <w:sz w:val="24"/>
              <w:szCs w:val="24"/>
            </w:rPr>
            <w:t xml:space="preserve">" Secondly, headline profitability ratios for FY2024 are artificially inflated, offering a potentially misleading view of operational health. The Return on Equity (ROE) was significantly buoyed by the $4.8bn one-off gain from the sale of HSBC Canada, as confirmed by the HSBC Interim Report 2025. Standard ratios do not strip out these exceptional items automatically. When adjusted for this windfall, Bloomberg </w:t>
          </w:r>
          <w:r>
            <w:rPr>
              <w:rFonts w:asciiTheme="minorBidi" w:hAnsiTheme="minorBidi"/>
              <w:sz w:val="24"/>
              <w:szCs w:val="24"/>
            </w:rPr>
            <w:t>Intelligence's</w:t>
          </w:r>
          <w:r w:rsidRPr="000104FB">
            <w:rPr>
              <w:rFonts w:asciiTheme="minorBidi" w:hAnsiTheme="minorBidi"/>
              <w:sz w:val="24"/>
              <w:szCs w:val="24"/>
            </w:rPr>
            <w:t xml:space="preserve"> (July 2025) analysis reveals that the "core" Net Interest Margin (NIM) has actually compressed to 1.56%. This decline is driven by aggressive "deposit migration," where clients shift funds from idle checking accounts to high-yield term deposits—a structural deterioration in funding costs that headline ROE completely masks.</w:t>
          </w:r>
        </w:p>
        <w:p w14:paraId="079DBE30" w14:textId="3B046333" w:rsidR="000104FB" w:rsidRPr="000104FB" w:rsidRDefault="000104FB" w:rsidP="000104FB">
          <w:pPr>
            <w:pStyle w:val="ListParagraph"/>
            <w:numPr>
              <w:ilvl w:val="0"/>
              <w:numId w:val="75"/>
            </w:numPr>
            <w:jc w:val="both"/>
            <w:rPr>
              <w:rFonts w:asciiTheme="minorBidi" w:hAnsiTheme="minorBidi"/>
              <w:sz w:val="24"/>
              <w:szCs w:val="24"/>
            </w:rPr>
          </w:pPr>
          <w:r w:rsidRPr="000104FB">
            <w:rPr>
              <w:rFonts w:asciiTheme="minorBidi" w:hAnsiTheme="minorBidi"/>
              <w:sz w:val="24"/>
              <w:szCs w:val="24"/>
            </w:rPr>
            <w:t xml:space="preserve">Hidden Sector Concentration (The "Smoothing" Effect) Finally, standard Capital Adequacy Ratios (like CET1) are aggregate metrics that often "smooth over" </w:t>
          </w:r>
          <w:r w:rsidRPr="000104FB">
            <w:rPr>
              <w:rFonts w:asciiTheme="minorBidi" w:hAnsiTheme="minorBidi"/>
              <w:sz w:val="24"/>
              <w:szCs w:val="24"/>
            </w:rPr>
            <w:lastRenderedPageBreak/>
            <w:t>concentrated sector risks until a default event occurs. Reuters (August 2025) highlights that while HSBC’s capital buffers appear robust, they do not fully reflect the specific volatility of the Hong Kong Commercial Real Estate (CRE) sector. The bank has had to take $3.4bn in cumulative provisions against this exposure. Standard liquidity ratios treat these assets as performing until they are impaired, potentially presenting an overly optimistic view of the bank's resilience to a further downturn in the Chinese property market.</w:t>
          </w:r>
        </w:p>
        <w:p w14:paraId="70F9B5EB" w14:textId="66285AB1" w:rsidR="0033299D" w:rsidRDefault="0033299D" w:rsidP="000104FB">
          <w:pPr>
            <w:pStyle w:val="Heading3"/>
            <w:numPr>
              <w:ilvl w:val="0"/>
              <w:numId w:val="65"/>
            </w:numPr>
            <w:jc w:val="both"/>
            <w:rPr>
              <w:rFonts w:cstheme="minorBidi"/>
            </w:rPr>
          </w:pPr>
          <w:bookmarkStart w:id="12" w:name="_Toc219110415"/>
          <w:r w:rsidRPr="00F93CDB">
            <w:rPr>
              <w:rFonts w:cstheme="minorBidi"/>
            </w:rPr>
            <w:t>Recommendation</w:t>
          </w:r>
          <w:bookmarkEnd w:id="12"/>
          <w:r w:rsidRPr="00F93CDB">
            <w:rPr>
              <w:rFonts w:cstheme="minorBidi"/>
            </w:rPr>
            <w:t xml:space="preserve"> </w:t>
          </w:r>
        </w:p>
        <w:p w14:paraId="6B7AF688" w14:textId="77777777" w:rsidR="00123F58" w:rsidRDefault="00123F58" w:rsidP="000104FB">
          <w:pPr>
            <w:jc w:val="both"/>
          </w:pPr>
        </w:p>
        <w:p w14:paraId="473CFD68" w14:textId="051B8F87" w:rsidR="00123F58" w:rsidRDefault="00123F58" w:rsidP="000104FB">
          <w:pPr>
            <w:jc w:val="both"/>
            <w:rPr>
              <w:rFonts w:asciiTheme="minorBidi" w:hAnsiTheme="minorBidi"/>
              <w:sz w:val="24"/>
              <w:szCs w:val="24"/>
            </w:rPr>
          </w:pPr>
          <w:r>
            <w:rPr>
              <w:rFonts w:asciiTheme="minorBidi" w:hAnsiTheme="minorBidi"/>
              <w:sz w:val="24"/>
              <w:szCs w:val="24"/>
            </w:rPr>
            <w:t xml:space="preserve">This video is related because it features Michael Roberts (CEO of Corporate </w:t>
          </w:r>
          <w:r w:rsidR="004D2BBE">
            <w:rPr>
              <w:rFonts w:asciiTheme="minorBidi" w:hAnsiTheme="minorBidi"/>
              <w:sz w:val="24"/>
              <w:szCs w:val="24"/>
            </w:rPr>
            <w:t xml:space="preserve">&amp; Institutional Banking), </w:t>
          </w:r>
          <w:r w:rsidR="008544B7">
            <w:rPr>
              <w:rFonts w:asciiTheme="minorBidi" w:hAnsiTheme="minorBidi"/>
              <w:sz w:val="24"/>
              <w:szCs w:val="24"/>
            </w:rPr>
            <w:t>providing a</w:t>
          </w:r>
          <w:r w:rsidR="004D2BBE">
            <w:rPr>
              <w:rFonts w:asciiTheme="minorBidi" w:hAnsiTheme="minorBidi"/>
              <w:sz w:val="24"/>
              <w:szCs w:val="24"/>
            </w:rPr>
            <w:t xml:space="preserve"> relation </w:t>
          </w:r>
          <w:r w:rsidR="008544B7">
            <w:rPr>
              <w:rFonts w:asciiTheme="minorBidi" w:hAnsiTheme="minorBidi"/>
              <w:sz w:val="24"/>
              <w:szCs w:val="24"/>
            </w:rPr>
            <w:t xml:space="preserve">between </w:t>
          </w:r>
          <w:r w:rsidR="004D2BBE">
            <w:rPr>
              <w:rFonts w:asciiTheme="minorBidi" w:hAnsiTheme="minorBidi"/>
              <w:sz w:val="24"/>
              <w:szCs w:val="24"/>
            </w:rPr>
            <w:t xml:space="preserve">banks to Asia &amp; the Middle East, which are the direct focus on wealth. </w:t>
          </w:r>
        </w:p>
        <w:p w14:paraId="1F7AF83C" w14:textId="2D260CE1" w:rsidR="004D2BBE" w:rsidRDefault="004D2BBE" w:rsidP="000104FB">
          <w:pPr>
            <w:jc w:val="both"/>
            <w:rPr>
              <w:rFonts w:asciiTheme="minorBidi" w:hAnsiTheme="minorBidi"/>
              <w:sz w:val="24"/>
              <w:szCs w:val="24"/>
            </w:rPr>
          </w:pPr>
          <w:hyperlink r:id="rId16" w:history="1">
            <w:r w:rsidRPr="000833FD">
              <w:rPr>
                <w:rStyle w:val="Hyperlink"/>
                <w:rFonts w:asciiTheme="minorBidi" w:hAnsiTheme="minorBidi"/>
                <w:sz w:val="24"/>
                <w:szCs w:val="24"/>
              </w:rPr>
              <w:t>https://youtu.be/Ola2KonkVfA</w:t>
            </w:r>
          </w:hyperlink>
          <w:r>
            <w:rPr>
              <w:rFonts w:asciiTheme="minorBidi" w:hAnsiTheme="minorBidi"/>
              <w:sz w:val="24"/>
              <w:szCs w:val="24"/>
            </w:rPr>
            <w:t xml:space="preserve"> </w:t>
          </w:r>
        </w:p>
        <w:p w14:paraId="36027026" w14:textId="77777777" w:rsidR="004D2BBE" w:rsidRDefault="004D2BBE" w:rsidP="000104FB">
          <w:pPr>
            <w:jc w:val="both"/>
            <w:rPr>
              <w:rFonts w:asciiTheme="minorBidi" w:hAnsiTheme="minorBidi"/>
              <w:sz w:val="24"/>
              <w:szCs w:val="24"/>
            </w:rPr>
          </w:pPr>
        </w:p>
        <w:tbl>
          <w:tblPr>
            <w:tblStyle w:val="TableGrid"/>
            <w:tblW w:w="0" w:type="auto"/>
            <w:tblLook w:val="04A0" w:firstRow="1" w:lastRow="0" w:firstColumn="1" w:lastColumn="0" w:noHBand="0" w:noVBand="1"/>
          </w:tblPr>
          <w:tblGrid>
            <w:gridCol w:w="2547"/>
            <w:gridCol w:w="6469"/>
          </w:tblGrid>
          <w:tr w:rsidR="0063471A" w14:paraId="27DBC181" w14:textId="77777777" w:rsidTr="0063471A">
            <w:tc>
              <w:tcPr>
                <w:tcW w:w="2547" w:type="dxa"/>
              </w:tcPr>
              <w:p w14:paraId="5471EAD7" w14:textId="31789B23" w:rsidR="0063471A" w:rsidRDefault="0063471A" w:rsidP="000104FB">
                <w:pPr>
                  <w:jc w:val="both"/>
                  <w:rPr>
                    <w:rFonts w:asciiTheme="minorBidi" w:hAnsiTheme="minorBidi"/>
                    <w:sz w:val="24"/>
                    <w:szCs w:val="24"/>
                  </w:rPr>
                </w:pPr>
                <w:r>
                  <w:rPr>
                    <w:rFonts w:asciiTheme="minorBidi" w:hAnsiTheme="minorBidi"/>
                    <w:sz w:val="24"/>
                    <w:szCs w:val="24"/>
                  </w:rPr>
                  <w:t xml:space="preserve">Cost Rationalisation: </w:t>
                </w:r>
              </w:p>
            </w:tc>
            <w:tc>
              <w:tcPr>
                <w:tcW w:w="6469" w:type="dxa"/>
              </w:tcPr>
              <w:p w14:paraId="314B1119" w14:textId="15645A44" w:rsidR="0063471A" w:rsidRDefault="0063471A" w:rsidP="000104FB">
                <w:pPr>
                  <w:jc w:val="both"/>
                  <w:rPr>
                    <w:rFonts w:asciiTheme="minorBidi" w:hAnsiTheme="minorBidi"/>
                    <w:sz w:val="24"/>
                    <w:szCs w:val="24"/>
                  </w:rPr>
                </w:pPr>
                <w:r>
                  <w:rPr>
                    <w:rFonts w:asciiTheme="minorBidi" w:hAnsiTheme="minorBidi"/>
                    <w:sz w:val="24"/>
                    <w:szCs w:val="24"/>
                  </w:rPr>
                  <w:t xml:space="preserve">The board must strictly monitor the process </w:t>
                </w:r>
                <w:r w:rsidR="00990D3C">
                  <w:rPr>
                    <w:rFonts w:asciiTheme="minorBidi" w:hAnsiTheme="minorBidi"/>
                    <w:sz w:val="24"/>
                    <w:szCs w:val="24"/>
                  </w:rPr>
                  <w:t>of the $1.5bn cost-saving creativity to bring the Cost Efficiency Ratio back below 48%, specifically targeting middle management.</w:t>
                </w:r>
              </w:p>
            </w:tc>
          </w:tr>
          <w:tr w:rsidR="0063471A" w14:paraId="3F05FD3F" w14:textId="77777777" w:rsidTr="0063471A">
            <w:tc>
              <w:tcPr>
                <w:tcW w:w="2547" w:type="dxa"/>
              </w:tcPr>
              <w:p w14:paraId="349B280A" w14:textId="7F688CF8" w:rsidR="0063471A" w:rsidRDefault="00990D3C" w:rsidP="000104FB">
                <w:pPr>
                  <w:jc w:val="both"/>
                  <w:rPr>
                    <w:rFonts w:asciiTheme="minorBidi" w:hAnsiTheme="minorBidi"/>
                    <w:sz w:val="24"/>
                    <w:szCs w:val="24"/>
                  </w:rPr>
                </w:pPr>
                <w:r>
                  <w:rPr>
                    <w:rFonts w:asciiTheme="minorBidi" w:hAnsiTheme="minorBidi"/>
                    <w:sz w:val="24"/>
                    <w:szCs w:val="24"/>
                  </w:rPr>
                  <w:t xml:space="preserve">Asian Wealth Expansion: </w:t>
                </w:r>
              </w:p>
            </w:tc>
            <w:tc>
              <w:tcPr>
                <w:tcW w:w="6469" w:type="dxa"/>
              </w:tcPr>
              <w:p w14:paraId="3F5BC79F" w14:textId="1550025A" w:rsidR="0063471A" w:rsidRDefault="00990D3C" w:rsidP="000104FB">
                <w:pPr>
                  <w:jc w:val="both"/>
                  <w:rPr>
                    <w:rFonts w:asciiTheme="minorBidi" w:hAnsiTheme="minorBidi"/>
                    <w:sz w:val="24"/>
                    <w:szCs w:val="24"/>
                  </w:rPr>
                </w:pPr>
                <w:r>
                  <w:rPr>
                    <w:rFonts w:asciiTheme="minorBidi" w:hAnsiTheme="minorBidi"/>
                    <w:sz w:val="24"/>
                    <w:szCs w:val="24"/>
                  </w:rPr>
                  <w:t xml:space="preserve">Funds for “Wealth Corridor” service aimed at the Mass Affluent (Premier) in India and ASEAN. Hubs like India-Singapore, HK-Greater Bay Area is the most important growth engines as well as strategic acquisitions of Citi’s in China.  </w:t>
                </w:r>
              </w:p>
            </w:tc>
          </w:tr>
          <w:tr w:rsidR="0063471A" w14:paraId="26ECD32E" w14:textId="77777777" w:rsidTr="0063471A">
            <w:tc>
              <w:tcPr>
                <w:tcW w:w="2547" w:type="dxa"/>
              </w:tcPr>
              <w:p w14:paraId="63D13599" w14:textId="0AF21FBE" w:rsidR="0063471A" w:rsidRDefault="00990D3C" w:rsidP="000104FB">
                <w:pPr>
                  <w:jc w:val="both"/>
                  <w:rPr>
                    <w:rFonts w:asciiTheme="minorBidi" w:hAnsiTheme="minorBidi"/>
                    <w:sz w:val="24"/>
                    <w:szCs w:val="24"/>
                  </w:rPr>
                </w:pPr>
                <w:r>
                  <w:rPr>
                    <w:rFonts w:asciiTheme="minorBidi" w:hAnsiTheme="minorBidi"/>
                    <w:sz w:val="24"/>
                    <w:szCs w:val="24"/>
                  </w:rPr>
                  <w:t xml:space="preserve">Future Effect: </w:t>
                </w:r>
              </w:p>
            </w:tc>
            <w:tc>
              <w:tcPr>
                <w:tcW w:w="6469" w:type="dxa"/>
              </w:tcPr>
              <w:p w14:paraId="6C021502" w14:textId="72EB62FA" w:rsidR="0063471A" w:rsidRDefault="00EA199A" w:rsidP="000104FB">
                <w:pPr>
                  <w:jc w:val="both"/>
                  <w:rPr>
                    <w:rFonts w:asciiTheme="minorBidi" w:hAnsiTheme="minorBidi"/>
                    <w:sz w:val="24"/>
                    <w:szCs w:val="24"/>
                  </w:rPr>
                </w:pPr>
                <w:r>
                  <w:rPr>
                    <w:rFonts w:asciiTheme="minorBidi" w:hAnsiTheme="minorBidi"/>
                    <w:sz w:val="24"/>
                    <w:szCs w:val="24"/>
                  </w:rPr>
                  <w:t xml:space="preserve">Successfully capturing the cross-border, falling interest rates by locking in fee-based income. By 2027, this could shift the revenue mix. </w:t>
                </w:r>
              </w:p>
            </w:tc>
          </w:tr>
          <w:tr w:rsidR="0063471A" w14:paraId="38FACCA5" w14:textId="77777777" w:rsidTr="0063471A">
            <w:tc>
              <w:tcPr>
                <w:tcW w:w="2547" w:type="dxa"/>
              </w:tcPr>
              <w:p w14:paraId="666E6373" w14:textId="09CF8941" w:rsidR="0063471A" w:rsidRDefault="00123F58" w:rsidP="000104FB">
                <w:pPr>
                  <w:jc w:val="both"/>
                  <w:rPr>
                    <w:rFonts w:asciiTheme="minorBidi" w:hAnsiTheme="minorBidi"/>
                    <w:sz w:val="24"/>
                    <w:szCs w:val="24"/>
                  </w:rPr>
                </w:pPr>
                <w:r>
                  <w:rPr>
                    <w:rFonts w:asciiTheme="minorBidi" w:hAnsiTheme="minorBidi"/>
                    <w:sz w:val="24"/>
                    <w:szCs w:val="24"/>
                  </w:rPr>
                  <w:t>Strategic Advice:</w:t>
                </w:r>
              </w:p>
            </w:tc>
            <w:tc>
              <w:tcPr>
                <w:tcW w:w="6469" w:type="dxa"/>
              </w:tcPr>
              <w:p w14:paraId="33EA2784" w14:textId="400CCA4A" w:rsidR="0063471A" w:rsidRDefault="00123F58" w:rsidP="000104FB">
                <w:pPr>
                  <w:jc w:val="both"/>
                  <w:rPr>
                    <w:rFonts w:asciiTheme="minorBidi" w:hAnsiTheme="minorBidi"/>
                    <w:sz w:val="24"/>
                    <w:szCs w:val="24"/>
                  </w:rPr>
                </w:pPr>
                <w:r>
                  <w:rPr>
                    <w:rFonts w:asciiTheme="minorBidi" w:hAnsiTheme="minorBidi"/>
                    <w:sz w:val="24"/>
                    <w:szCs w:val="24"/>
                  </w:rPr>
                  <w:t xml:space="preserve">Cash was king in a high-rate environment as rates fell, and clients will move money. </w:t>
                </w:r>
              </w:p>
            </w:tc>
          </w:tr>
        </w:tbl>
        <w:p w14:paraId="60078765" w14:textId="48FD0142" w:rsidR="00123F58" w:rsidRDefault="000104FB" w:rsidP="000104FB">
          <w:pPr>
            <w:pStyle w:val="Heading3"/>
            <w:jc w:val="both"/>
          </w:pPr>
          <w:bookmarkStart w:id="13" w:name="_Toc219110416"/>
          <w:r w:rsidRPr="000104FB">
            <w:t>Table 6: Strategic Recommendations and Future Outlook</w:t>
          </w:r>
          <w:bookmarkEnd w:id="13"/>
        </w:p>
        <w:p w14:paraId="6251F84E" w14:textId="77777777" w:rsidR="000104FB" w:rsidRDefault="000104FB" w:rsidP="000104FB">
          <w:pPr>
            <w:jc w:val="both"/>
          </w:pPr>
        </w:p>
        <w:p w14:paraId="5AFDCFB1" w14:textId="77777777" w:rsidR="000104FB" w:rsidRDefault="000104FB" w:rsidP="000104FB">
          <w:pPr>
            <w:jc w:val="both"/>
          </w:pPr>
        </w:p>
        <w:p w14:paraId="59698DDF" w14:textId="77777777" w:rsidR="000104FB" w:rsidRPr="000104FB" w:rsidRDefault="000104FB" w:rsidP="000104FB">
          <w:pPr>
            <w:jc w:val="both"/>
          </w:pPr>
        </w:p>
        <w:p w14:paraId="4B871750" w14:textId="6406142A" w:rsidR="00387CF6" w:rsidRDefault="000104FB" w:rsidP="000104FB">
          <w:pPr>
            <w:pStyle w:val="Heading3"/>
            <w:numPr>
              <w:ilvl w:val="0"/>
              <w:numId w:val="65"/>
            </w:numPr>
            <w:jc w:val="both"/>
          </w:pPr>
          <w:bookmarkStart w:id="14" w:name="_Toc219110417"/>
          <w:r>
            <w:t>Conclusion</w:t>
          </w:r>
          <w:bookmarkEnd w:id="14"/>
          <w:r>
            <w:t xml:space="preserve"> </w:t>
          </w:r>
        </w:p>
        <w:p w14:paraId="4D10442D" w14:textId="77777777" w:rsidR="000104FB" w:rsidRDefault="000104FB" w:rsidP="000104FB">
          <w:pPr>
            <w:spacing w:before="100" w:beforeAutospacing="1" w:after="100" w:afterAutospacing="1" w:line="240" w:lineRule="auto"/>
            <w:ind w:left="360"/>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t>The financial analysis of HSBC Holdings PLC for FY2024 reveals a profound dichotomy between record-breaking headline performance and underlying operational fragility. While the bank reported a profit surge to $32.3bn, a forensic evaluation demonstrates that this figure is heavily buoyed by the $4.8bn one-off gain from the Canada disposal. Stripping away this exceptional item exposes a core business facing structural headwinds: the Cost Efficiency Ratio has deteriorated to 50.2%, breaching management targets, while Net Interest Margin (NIM) has compressed to 1.56% due to acute "deposit migration" and the end of the high-rate environment.</w:t>
          </w:r>
        </w:p>
        <w:p w14:paraId="1478BDDC" w14:textId="2EECCBB6" w:rsidR="000104FB" w:rsidRDefault="000104FB" w:rsidP="000104FB">
          <w:pPr>
            <w:spacing w:before="100" w:beforeAutospacing="1" w:after="100" w:afterAutospacing="1" w:line="240" w:lineRule="auto"/>
            <w:ind w:left="360"/>
            <w:jc w:val="both"/>
            <w:rPr>
              <w:rFonts w:asciiTheme="minorBidi" w:eastAsia="Times New Roman" w:hAnsiTheme="minorBidi"/>
              <w:sz w:val="24"/>
              <w:szCs w:val="24"/>
              <w:lang w:eastAsia="en-GB" w:bidi="gu-IN"/>
            </w:rPr>
          </w:pPr>
          <w:r w:rsidRPr="000104FB">
            <w:rPr>
              <w:rFonts w:asciiTheme="minorBidi" w:eastAsia="Times New Roman" w:hAnsiTheme="minorBidi"/>
              <w:sz w:val="24"/>
              <w:szCs w:val="24"/>
              <w:lang w:eastAsia="en-GB" w:bidi="gu-IN"/>
            </w:rPr>
            <w:lastRenderedPageBreak/>
            <w:t>Consequently, HSBC has been forced to transition from a high-growth global lender to a "Defensive Income Play." The massive $27bn shareholder return serves as a compensatory mechanism to retain investor confidence while the bank navigates a treacherous pivot. The analysis highlights that the bank’s future viability no longer rests on traditional interest income, which is eroding, but on the successful execution of CEO Georges Elhedery’s "Simplification Plan." This restructuring is not merely administrative; it is an urgent defensive measure to strip out $1.5bn in costs and ring-fence volatile exposures, as evidenced by the strategic privatization of Hang Seng Bank to contain Chinese real estate risks.</w:t>
          </w:r>
          <w:r>
            <w:rPr>
              <w:rFonts w:asciiTheme="minorBidi" w:eastAsia="Times New Roman" w:hAnsiTheme="minorBidi"/>
              <w:sz w:val="24"/>
              <w:szCs w:val="24"/>
              <w:lang w:eastAsia="en-GB" w:bidi="gu-IN"/>
            </w:rPr>
            <w:t xml:space="preserve"> </w:t>
          </w:r>
          <w:r w:rsidRPr="000104FB">
            <w:rPr>
              <w:rFonts w:asciiTheme="minorBidi" w:eastAsia="Times New Roman" w:hAnsiTheme="minorBidi"/>
              <w:sz w:val="24"/>
              <w:szCs w:val="24"/>
              <w:lang w:eastAsia="en-GB" w:bidi="gu-IN"/>
            </w:rPr>
            <w:t>Ultimately, the "East-West" split signifies a point of no return. The Board’s priority must shift from celebrating headline asset growth to enforcing rigorous capital discipline. Success in 2026 and beyond depends entirely on replacing lost lending margins with recurring, fee-based revenue from the Asian "Wealth Corridors." If the bank fails to capture the mass affluent flows between India, Singapore, and the Greater Bay Area, the structural drag of its legacy cost base will outweigh its capital strengths.</w:t>
          </w:r>
        </w:p>
        <w:p w14:paraId="34743D22" w14:textId="3377E097" w:rsidR="000104FB" w:rsidRDefault="000104FB" w:rsidP="000104FB">
          <w:pPr>
            <w:pStyle w:val="Heading3"/>
            <w:numPr>
              <w:ilvl w:val="0"/>
              <w:numId w:val="65"/>
            </w:numPr>
            <w:jc w:val="both"/>
            <w:rPr>
              <w:lang w:eastAsia="en-GB" w:bidi="gu-IN"/>
            </w:rPr>
          </w:pPr>
          <w:bookmarkStart w:id="15" w:name="_Toc219110418"/>
          <w:r w:rsidRPr="000104FB">
            <w:rPr>
              <w:lang w:eastAsia="en-GB" w:bidi="gu-IN"/>
            </w:rPr>
            <w:t>Competitor Comparison</w:t>
          </w:r>
          <w:bookmarkEnd w:id="15"/>
        </w:p>
        <w:p w14:paraId="2CE36EEF" w14:textId="77777777" w:rsidR="000104FB" w:rsidRDefault="000104FB" w:rsidP="000104FB">
          <w:pPr>
            <w:jc w:val="both"/>
            <w:rPr>
              <w:rFonts w:asciiTheme="minorBidi" w:hAnsiTheme="minorBidi"/>
              <w:sz w:val="24"/>
              <w:szCs w:val="24"/>
              <w:lang w:eastAsia="en-GB" w:bidi="gu-IN"/>
            </w:rPr>
          </w:pPr>
        </w:p>
        <w:p w14:paraId="0DFF0F7A" w14:textId="42435A13"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This section provides a comparative financial analysis of HSBC Holdings PLC against its primary UK competitor, Barclays PLC, and the global banking benchmark, JPMorgan Chase &amp; Co (JPM).</w:t>
          </w:r>
        </w:p>
        <w:p w14:paraId="3894CC38" w14:textId="32F570A8" w:rsidR="000104FB" w:rsidRDefault="000104FB" w:rsidP="000104FB">
          <w:pPr>
            <w:jc w:val="both"/>
            <w:rPr>
              <w:rFonts w:asciiTheme="minorBidi" w:hAnsiTheme="minorBidi"/>
              <w:sz w:val="24"/>
              <w:szCs w:val="24"/>
            </w:rPr>
          </w:pPr>
          <w:r w:rsidRPr="000104FB">
            <w:rPr>
              <w:rFonts w:asciiTheme="minorBidi" w:hAnsiTheme="minorBidi"/>
              <w:sz w:val="24"/>
              <w:szCs w:val="24"/>
            </w:rPr>
            <w:t>This comparison is vital for the Board to contextualize HSBC’s performance. While HSBC’s FY2024 headline figures appear robust, a relative analysis reveals that the bank is effectively "stuck in the middle"—lacking the sheer scale and profitability of the US heavyweight (JPM) while battling similar structural inefficiencies to its domestic peer (Barclays).</w:t>
          </w:r>
        </w:p>
        <w:p w14:paraId="5E18130B"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Comparative Financial Analysis: HSBC vs. Peers (January 2026)</w:t>
          </w:r>
        </w:p>
        <w:p w14:paraId="5C9F66E9" w14:textId="07517852" w:rsidR="000104FB" w:rsidRPr="000104FB" w:rsidRDefault="000104FB" w:rsidP="000104FB">
          <w:pPr>
            <w:jc w:val="both"/>
            <w:rPr>
              <w:rFonts w:asciiTheme="minorBidi" w:hAnsiTheme="minorBidi"/>
              <w:sz w:val="24"/>
              <w:szCs w:val="24"/>
            </w:rPr>
          </w:pPr>
          <w:r>
            <w:rPr>
              <w:rFonts w:asciiTheme="minorBidi" w:hAnsiTheme="minorBidi"/>
              <w:sz w:val="24"/>
              <w:szCs w:val="24"/>
            </w:rPr>
            <w:t>6.</w:t>
          </w:r>
          <w:r w:rsidRPr="000104FB">
            <w:rPr>
              <w:rFonts w:asciiTheme="minorBidi" w:hAnsiTheme="minorBidi"/>
              <w:sz w:val="24"/>
              <w:szCs w:val="24"/>
            </w:rPr>
            <w:t>1</w:t>
          </w:r>
          <w:r>
            <w:rPr>
              <w:rFonts w:asciiTheme="minorBidi" w:hAnsiTheme="minorBidi"/>
              <w:sz w:val="24"/>
              <w:szCs w:val="24"/>
            </w:rPr>
            <w:t xml:space="preserve"> </w:t>
          </w:r>
          <w:r w:rsidRPr="000104FB">
            <w:rPr>
              <w:rFonts w:asciiTheme="minorBidi" w:hAnsiTheme="minorBidi"/>
              <w:sz w:val="24"/>
              <w:szCs w:val="24"/>
            </w:rPr>
            <w:t>Profitability Divergence: The "Gold Standard" vs. The "Turnaround"</w:t>
          </w:r>
        </w:p>
        <w:p w14:paraId="6A3BD148"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Return on Equity (ROE): The most glaring disparity lies in core profitability. As of early 2026, JPMorgan Chase remains the undisputed "Gold Standard" of global banking. According to Investing.com (January 7, 2026), JPM reported a Return on Equity (ROE) of approximately 18%, driven by its dominant US consumer franchise and a booming Corporate &amp; Investment Bank (CIB) that generated ~$59bn in revenue alone. The "JPM Premium" exists because this return is organic and repeatable.</w:t>
          </w:r>
        </w:p>
        <w:p w14:paraId="13D8B2CA"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In contrast, HSBC’s reported ROE of 13.0% is optically attractive but fundamentally lower quality. As established in Part 1, this figure is heavily subsidized by the $4.8bn Canada disposal gain. Stripping this out, the underlying ROE drifts closer to 10-11%, placing it in direct competition with Barclays.</w:t>
          </w:r>
        </w:p>
        <w:p w14:paraId="7B4FBDFB" w14:textId="41A1EDC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Barclays, often seen as the "perennial turnaround story," reported a Return on Tangible Equity (</w:t>
          </w:r>
          <w:proofErr w:type="spellStart"/>
          <w:r w:rsidRPr="000104FB">
            <w:rPr>
              <w:rFonts w:asciiTheme="minorBidi" w:hAnsiTheme="minorBidi"/>
              <w:sz w:val="24"/>
              <w:szCs w:val="24"/>
            </w:rPr>
            <w:t>RoTE</w:t>
          </w:r>
          <w:proofErr w:type="spellEnd"/>
          <w:r w:rsidRPr="000104FB">
            <w:rPr>
              <w:rFonts w:asciiTheme="minorBidi" w:hAnsiTheme="minorBidi"/>
              <w:sz w:val="24"/>
              <w:szCs w:val="24"/>
            </w:rPr>
            <w:t>) of 13.2% in H1 2025 (Barclays Investor Relations). However, this was largely aided by a resurgence in investment banking fees</w:t>
          </w:r>
          <w:r>
            <w:rPr>
              <w:rFonts w:asciiTheme="minorBidi" w:hAnsiTheme="minorBidi"/>
              <w:sz w:val="24"/>
              <w:szCs w:val="24"/>
            </w:rPr>
            <w:t>,</w:t>
          </w:r>
          <w:r w:rsidRPr="000104FB">
            <w:rPr>
              <w:rFonts w:asciiTheme="minorBidi" w:hAnsiTheme="minorBidi"/>
              <w:sz w:val="24"/>
              <w:szCs w:val="24"/>
            </w:rPr>
            <w:t xml:space="preserve"> which are notoriously volatile. Unlike JPM, whose returns are stabilized by a massive consumer base, Barclays and HSBC are far more sensitive to the whims of the global yield curve.</w:t>
          </w:r>
        </w:p>
        <w:p w14:paraId="3D3834C7"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lastRenderedPageBreak/>
            <w:t>Net Interest Margin (NIM):</w:t>
          </w:r>
        </w:p>
        <w:p w14:paraId="304D9408" w14:textId="77777777" w:rsidR="000104FB" w:rsidRPr="000104FB" w:rsidRDefault="000104FB" w:rsidP="000104FB">
          <w:pPr>
            <w:numPr>
              <w:ilvl w:val="0"/>
              <w:numId w:val="76"/>
            </w:numPr>
            <w:jc w:val="both"/>
            <w:rPr>
              <w:rFonts w:asciiTheme="minorBidi" w:hAnsiTheme="minorBidi"/>
              <w:sz w:val="24"/>
              <w:szCs w:val="24"/>
            </w:rPr>
          </w:pPr>
          <w:r w:rsidRPr="000104FB">
            <w:rPr>
              <w:rFonts w:asciiTheme="minorBidi" w:hAnsiTheme="minorBidi"/>
              <w:sz w:val="24"/>
              <w:szCs w:val="24"/>
            </w:rPr>
            <w:t>JPMorgan: Maintains a superior NIM (&gt;2.5%) due to its vast US credit card and deposit franchise, which is less sensitive to rate cuts than UK/HK mortgages.</w:t>
          </w:r>
        </w:p>
        <w:p w14:paraId="2B34B34D" w14:textId="77777777" w:rsidR="000104FB" w:rsidRPr="000104FB" w:rsidRDefault="000104FB" w:rsidP="000104FB">
          <w:pPr>
            <w:numPr>
              <w:ilvl w:val="0"/>
              <w:numId w:val="76"/>
            </w:numPr>
            <w:jc w:val="both"/>
            <w:rPr>
              <w:rFonts w:asciiTheme="minorBidi" w:hAnsiTheme="minorBidi"/>
              <w:sz w:val="24"/>
              <w:szCs w:val="24"/>
            </w:rPr>
          </w:pPr>
          <w:r w:rsidRPr="000104FB">
            <w:rPr>
              <w:rFonts w:asciiTheme="minorBidi" w:hAnsiTheme="minorBidi"/>
              <w:sz w:val="24"/>
              <w:szCs w:val="24"/>
            </w:rPr>
            <w:t>HSBC: As noted by Bloomberg Intelligence (July 2025), HSBC’s NIM has compressed to 1.56%. This is a critical weakness. The bank’s reliance on "smart" Asian depositors means it has to pay more for funding than JPM does in the US.</w:t>
          </w:r>
        </w:p>
        <w:p w14:paraId="1FCF53E3" w14:textId="77777777" w:rsidR="000104FB" w:rsidRDefault="000104FB" w:rsidP="000104FB">
          <w:pPr>
            <w:numPr>
              <w:ilvl w:val="0"/>
              <w:numId w:val="76"/>
            </w:numPr>
            <w:jc w:val="both"/>
            <w:rPr>
              <w:rFonts w:asciiTheme="minorBidi" w:hAnsiTheme="minorBidi"/>
              <w:sz w:val="24"/>
              <w:szCs w:val="24"/>
            </w:rPr>
          </w:pPr>
          <w:r w:rsidRPr="000104FB">
            <w:rPr>
              <w:rFonts w:asciiTheme="minorBidi" w:hAnsiTheme="minorBidi"/>
              <w:sz w:val="24"/>
              <w:szCs w:val="24"/>
            </w:rPr>
            <w:t>Barclays: Sits in the middle. Its "Structural Hedge" in the UK has protected it somewhat, but it faces the same UK mortgage margin pressure as HSBC.</w:t>
          </w:r>
        </w:p>
        <w:p w14:paraId="0D6427F5" w14:textId="77777777" w:rsidR="000104FB" w:rsidRDefault="000104FB" w:rsidP="000104FB">
          <w:pPr>
            <w:jc w:val="both"/>
            <w:rPr>
              <w:rFonts w:asciiTheme="minorBidi" w:hAnsiTheme="minorBidi"/>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0104FB" w14:paraId="03543ABD" w14:textId="77777777" w:rsidTr="000104FB">
            <w:tc>
              <w:tcPr>
                <w:tcW w:w="2254" w:type="dxa"/>
              </w:tcPr>
              <w:p w14:paraId="00B1DAAE" w14:textId="2D7AC0B4" w:rsidR="000104FB" w:rsidRDefault="000104FB" w:rsidP="000104FB">
                <w:pPr>
                  <w:jc w:val="both"/>
                  <w:rPr>
                    <w:rFonts w:asciiTheme="minorBidi" w:hAnsiTheme="minorBidi"/>
                    <w:sz w:val="24"/>
                    <w:szCs w:val="24"/>
                  </w:rPr>
                </w:pPr>
                <w:r>
                  <w:rPr>
                    <w:rFonts w:asciiTheme="minorBidi" w:hAnsiTheme="minorBidi"/>
                    <w:sz w:val="24"/>
                    <w:szCs w:val="24"/>
                  </w:rPr>
                  <w:t xml:space="preserve">Metric </w:t>
                </w:r>
              </w:p>
            </w:tc>
            <w:tc>
              <w:tcPr>
                <w:tcW w:w="2254" w:type="dxa"/>
              </w:tcPr>
              <w:p w14:paraId="421EF58A" w14:textId="584153C4" w:rsidR="000104FB" w:rsidRDefault="000104FB" w:rsidP="000104FB">
                <w:pPr>
                  <w:jc w:val="both"/>
                  <w:rPr>
                    <w:rFonts w:asciiTheme="minorBidi" w:hAnsiTheme="minorBidi"/>
                    <w:sz w:val="24"/>
                    <w:szCs w:val="24"/>
                  </w:rPr>
                </w:pPr>
                <w:r>
                  <w:rPr>
                    <w:rFonts w:asciiTheme="minorBidi" w:hAnsiTheme="minorBidi"/>
                    <w:sz w:val="24"/>
                    <w:szCs w:val="24"/>
                  </w:rPr>
                  <w:t>JPMorgan Chase (The Benchmark)</w:t>
                </w:r>
              </w:p>
            </w:tc>
            <w:tc>
              <w:tcPr>
                <w:tcW w:w="2254" w:type="dxa"/>
              </w:tcPr>
              <w:p w14:paraId="38BE8F0B" w14:textId="602C2D57" w:rsidR="000104FB" w:rsidRDefault="000104FB" w:rsidP="000104FB">
                <w:pPr>
                  <w:jc w:val="both"/>
                  <w:rPr>
                    <w:rFonts w:asciiTheme="minorBidi" w:hAnsiTheme="minorBidi"/>
                    <w:sz w:val="24"/>
                    <w:szCs w:val="24"/>
                  </w:rPr>
                </w:pPr>
                <w:r>
                  <w:rPr>
                    <w:rFonts w:asciiTheme="minorBidi" w:hAnsiTheme="minorBidi"/>
                    <w:sz w:val="24"/>
                    <w:szCs w:val="24"/>
                  </w:rPr>
                  <w:t xml:space="preserve">HSBC (The Transitioner) </w:t>
                </w:r>
              </w:p>
            </w:tc>
            <w:tc>
              <w:tcPr>
                <w:tcW w:w="2254" w:type="dxa"/>
              </w:tcPr>
              <w:p w14:paraId="01826B1F" w14:textId="6A8CDC48" w:rsidR="000104FB" w:rsidRDefault="000104FB" w:rsidP="000104FB">
                <w:pPr>
                  <w:jc w:val="both"/>
                  <w:rPr>
                    <w:rFonts w:asciiTheme="minorBidi" w:hAnsiTheme="minorBidi"/>
                    <w:sz w:val="24"/>
                    <w:szCs w:val="24"/>
                  </w:rPr>
                </w:pPr>
                <w:r>
                  <w:rPr>
                    <w:rFonts w:asciiTheme="minorBidi" w:hAnsiTheme="minorBidi"/>
                    <w:sz w:val="24"/>
                    <w:szCs w:val="24"/>
                  </w:rPr>
                  <w:t>Barclays (The UK Peer)</w:t>
                </w:r>
              </w:p>
            </w:tc>
          </w:tr>
          <w:tr w:rsidR="000104FB" w14:paraId="2DA71EDF" w14:textId="77777777" w:rsidTr="000104FB">
            <w:tc>
              <w:tcPr>
                <w:tcW w:w="2254" w:type="dxa"/>
              </w:tcPr>
              <w:p w14:paraId="515E1A29" w14:textId="7A1EDCD7" w:rsidR="000104FB" w:rsidRDefault="000104FB" w:rsidP="000104FB">
                <w:pPr>
                  <w:jc w:val="both"/>
                  <w:rPr>
                    <w:rFonts w:asciiTheme="minorBidi" w:hAnsiTheme="minorBidi"/>
                    <w:sz w:val="24"/>
                    <w:szCs w:val="24"/>
                  </w:rPr>
                </w:pPr>
                <w:r>
                  <w:rPr>
                    <w:rFonts w:asciiTheme="minorBidi" w:hAnsiTheme="minorBidi"/>
                    <w:sz w:val="24"/>
                    <w:szCs w:val="24"/>
                  </w:rPr>
                  <w:t>ROE/ROTE</w:t>
                </w:r>
              </w:p>
            </w:tc>
            <w:tc>
              <w:tcPr>
                <w:tcW w:w="2254" w:type="dxa"/>
              </w:tcPr>
              <w:p w14:paraId="221E7065" w14:textId="0C53A6C2" w:rsidR="000104FB" w:rsidRDefault="000104FB" w:rsidP="000104FB">
                <w:pPr>
                  <w:jc w:val="both"/>
                  <w:rPr>
                    <w:rFonts w:asciiTheme="minorBidi" w:hAnsiTheme="minorBidi"/>
                    <w:sz w:val="24"/>
                    <w:szCs w:val="24"/>
                  </w:rPr>
                </w:pPr>
                <w:r w:rsidRPr="000104FB">
                  <w:rPr>
                    <w:rFonts w:asciiTheme="minorBidi" w:hAnsiTheme="minorBidi"/>
                    <w:sz w:val="24"/>
                    <w:szCs w:val="24"/>
                  </w:rPr>
                  <w:t>~18.0% (Organic)</w:t>
                </w:r>
              </w:p>
            </w:tc>
            <w:tc>
              <w:tcPr>
                <w:tcW w:w="2254" w:type="dxa"/>
              </w:tcPr>
              <w:p w14:paraId="04CAA797" w14:textId="0DD20EE4" w:rsidR="000104FB" w:rsidRDefault="000104FB" w:rsidP="000104FB">
                <w:pPr>
                  <w:jc w:val="both"/>
                  <w:rPr>
                    <w:rFonts w:asciiTheme="minorBidi" w:hAnsiTheme="minorBidi"/>
                    <w:sz w:val="24"/>
                    <w:szCs w:val="24"/>
                  </w:rPr>
                </w:pPr>
                <w:r w:rsidRPr="000104FB">
                  <w:rPr>
                    <w:rFonts w:asciiTheme="minorBidi" w:hAnsiTheme="minorBidi"/>
                    <w:sz w:val="24"/>
                    <w:szCs w:val="24"/>
                  </w:rPr>
                  <w:t>13.0% (Inflated by Disposals)</w:t>
                </w:r>
              </w:p>
            </w:tc>
            <w:tc>
              <w:tcPr>
                <w:tcW w:w="2254" w:type="dxa"/>
              </w:tcPr>
              <w:p w14:paraId="6D8BF79C" w14:textId="2DDA905E" w:rsidR="000104FB" w:rsidRDefault="000104FB" w:rsidP="000104FB">
                <w:pPr>
                  <w:jc w:val="both"/>
                  <w:rPr>
                    <w:rFonts w:asciiTheme="minorBidi" w:hAnsiTheme="minorBidi"/>
                    <w:sz w:val="24"/>
                    <w:szCs w:val="24"/>
                  </w:rPr>
                </w:pPr>
                <w:r w:rsidRPr="000104FB">
                  <w:rPr>
                    <w:rFonts w:asciiTheme="minorBidi" w:hAnsiTheme="minorBidi"/>
                    <w:sz w:val="24"/>
                    <w:szCs w:val="24"/>
                  </w:rPr>
                  <w:t>~13.2% (Volatile)</w:t>
                </w:r>
              </w:p>
            </w:tc>
          </w:tr>
          <w:tr w:rsidR="000104FB" w14:paraId="5EF442A8" w14:textId="77777777" w:rsidTr="000104FB">
            <w:tc>
              <w:tcPr>
                <w:tcW w:w="2254" w:type="dxa"/>
              </w:tcPr>
              <w:p w14:paraId="7F582CF2" w14:textId="4C0928BC" w:rsidR="000104FB" w:rsidRDefault="000104FB" w:rsidP="000104FB">
                <w:pPr>
                  <w:jc w:val="both"/>
                  <w:rPr>
                    <w:rFonts w:asciiTheme="minorBidi" w:hAnsiTheme="minorBidi"/>
                    <w:sz w:val="24"/>
                    <w:szCs w:val="24"/>
                  </w:rPr>
                </w:pPr>
                <w:r>
                  <w:rPr>
                    <w:rFonts w:asciiTheme="minorBidi" w:hAnsiTheme="minorBidi"/>
                    <w:sz w:val="24"/>
                    <w:szCs w:val="24"/>
                  </w:rPr>
                  <w:t>Net Interest Margin</w:t>
                </w:r>
              </w:p>
            </w:tc>
            <w:tc>
              <w:tcPr>
                <w:tcW w:w="2254" w:type="dxa"/>
              </w:tcPr>
              <w:p w14:paraId="74C13B3E" w14:textId="1E6FDBAF" w:rsidR="000104FB" w:rsidRDefault="000104FB" w:rsidP="000104FB">
                <w:pPr>
                  <w:jc w:val="both"/>
                  <w:rPr>
                    <w:rFonts w:asciiTheme="minorBidi" w:hAnsiTheme="minorBidi"/>
                    <w:sz w:val="24"/>
                    <w:szCs w:val="24"/>
                  </w:rPr>
                </w:pPr>
                <w:r w:rsidRPr="000104FB">
                  <w:rPr>
                    <w:rFonts w:asciiTheme="minorBidi" w:hAnsiTheme="minorBidi"/>
                    <w:sz w:val="24"/>
                    <w:szCs w:val="24"/>
                  </w:rPr>
                  <w:t>&gt; 2.60%</w:t>
                </w:r>
              </w:p>
            </w:tc>
            <w:tc>
              <w:tcPr>
                <w:tcW w:w="2254" w:type="dxa"/>
              </w:tcPr>
              <w:p w14:paraId="340AB921" w14:textId="0C02A826" w:rsidR="000104FB" w:rsidRDefault="000104FB" w:rsidP="000104FB">
                <w:pPr>
                  <w:jc w:val="both"/>
                  <w:rPr>
                    <w:rFonts w:asciiTheme="minorBidi" w:hAnsiTheme="minorBidi"/>
                    <w:sz w:val="24"/>
                    <w:szCs w:val="24"/>
                  </w:rPr>
                </w:pPr>
                <w:r w:rsidRPr="000104FB">
                  <w:rPr>
                    <w:rFonts w:asciiTheme="minorBidi" w:hAnsiTheme="minorBidi"/>
                    <w:sz w:val="24"/>
                    <w:szCs w:val="24"/>
                  </w:rPr>
                  <w:t>1.56%</w:t>
                </w:r>
              </w:p>
            </w:tc>
            <w:tc>
              <w:tcPr>
                <w:tcW w:w="2254" w:type="dxa"/>
              </w:tcPr>
              <w:p w14:paraId="1A6CE75B" w14:textId="17EB238F" w:rsidR="000104FB" w:rsidRDefault="000104FB" w:rsidP="000104FB">
                <w:pPr>
                  <w:jc w:val="both"/>
                  <w:rPr>
                    <w:rFonts w:asciiTheme="minorBidi" w:hAnsiTheme="minorBidi"/>
                    <w:sz w:val="24"/>
                    <w:szCs w:val="24"/>
                  </w:rPr>
                </w:pPr>
                <w:r w:rsidRPr="000104FB">
                  <w:rPr>
                    <w:rFonts w:asciiTheme="minorBidi" w:hAnsiTheme="minorBidi"/>
                    <w:sz w:val="24"/>
                    <w:szCs w:val="24"/>
                  </w:rPr>
                  <w:t>~2.20%</w:t>
                </w:r>
              </w:p>
            </w:tc>
          </w:tr>
          <w:tr w:rsidR="000104FB" w14:paraId="37B9286F" w14:textId="77777777" w:rsidTr="000104FB">
            <w:tc>
              <w:tcPr>
                <w:tcW w:w="2254" w:type="dxa"/>
              </w:tcPr>
              <w:p w14:paraId="5BAE1480" w14:textId="297E7102" w:rsidR="000104FB" w:rsidRDefault="000104FB" w:rsidP="000104FB">
                <w:pPr>
                  <w:jc w:val="both"/>
                  <w:rPr>
                    <w:rFonts w:asciiTheme="minorBidi" w:hAnsiTheme="minorBidi"/>
                    <w:sz w:val="24"/>
                    <w:szCs w:val="24"/>
                  </w:rPr>
                </w:pPr>
                <w:r>
                  <w:rPr>
                    <w:rFonts w:asciiTheme="minorBidi" w:hAnsiTheme="minorBidi"/>
                    <w:sz w:val="24"/>
                    <w:szCs w:val="24"/>
                  </w:rPr>
                  <w:t xml:space="preserve">Cost Efficiency </w:t>
                </w:r>
              </w:p>
            </w:tc>
            <w:tc>
              <w:tcPr>
                <w:tcW w:w="2254" w:type="dxa"/>
              </w:tcPr>
              <w:p w14:paraId="40555ACD" w14:textId="74FD448B" w:rsidR="000104FB" w:rsidRDefault="000104FB" w:rsidP="000104FB">
                <w:pPr>
                  <w:jc w:val="both"/>
                  <w:rPr>
                    <w:rFonts w:asciiTheme="minorBidi" w:hAnsiTheme="minorBidi"/>
                    <w:sz w:val="24"/>
                    <w:szCs w:val="24"/>
                  </w:rPr>
                </w:pPr>
                <w:r w:rsidRPr="000104FB">
                  <w:rPr>
                    <w:rFonts w:asciiTheme="minorBidi" w:hAnsiTheme="minorBidi"/>
                    <w:sz w:val="24"/>
                    <w:szCs w:val="24"/>
                  </w:rPr>
                  <w:t>~52%</w:t>
                </w:r>
              </w:p>
            </w:tc>
            <w:tc>
              <w:tcPr>
                <w:tcW w:w="2254" w:type="dxa"/>
              </w:tcPr>
              <w:p w14:paraId="25893E52" w14:textId="7E7A47CE" w:rsidR="000104FB" w:rsidRDefault="000104FB" w:rsidP="000104FB">
                <w:pPr>
                  <w:jc w:val="both"/>
                  <w:rPr>
                    <w:rFonts w:asciiTheme="minorBidi" w:hAnsiTheme="minorBidi"/>
                    <w:sz w:val="24"/>
                    <w:szCs w:val="24"/>
                  </w:rPr>
                </w:pPr>
                <w:r w:rsidRPr="000104FB">
                  <w:rPr>
                    <w:rFonts w:asciiTheme="minorBidi" w:hAnsiTheme="minorBidi"/>
                    <w:sz w:val="24"/>
                    <w:szCs w:val="24"/>
                  </w:rPr>
                  <w:t>50.2% (Deteriorating)</w:t>
                </w:r>
              </w:p>
            </w:tc>
            <w:tc>
              <w:tcPr>
                <w:tcW w:w="2254" w:type="dxa"/>
              </w:tcPr>
              <w:p w14:paraId="1D288D15" w14:textId="3D9D58AE" w:rsidR="000104FB" w:rsidRDefault="000104FB" w:rsidP="000104FB">
                <w:pPr>
                  <w:jc w:val="both"/>
                  <w:rPr>
                    <w:rFonts w:asciiTheme="minorBidi" w:hAnsiTheme="minorBidi"/>
                    <w:sz w:val="24"/>
                    <w:szCs w:val="24"/>
                  </w:rPr>
                </w:pPr>
                <w:r w:rsidRPr="000104FB">
                  <w:rPr>
                    <w:rFonts w:asciiTheme="minorBidi" w:hAnsiTheme="minorBidi"/>
                    <w:sz w:val="24"/>
                    <w:szCs w:val="24"/>
                  </w:rPr>
                  <w:t>~59% (Improving)</w:t>
                </w:r>
              </w:p>
            </w:tc>
          </w:tr>
          <w:tr w:rsidR="000104FB" w14:paraId="4D616E1F" w14:textId="77777777" w:rsidTr="000104FB">
            <w:tc>
              <w:tcPr>
                <w:tcW w:w="2254" w:type="dxa"/>
              </w:tcPr>
              <w:p w14:paraId="555100F1" w14:textId="1ED13FF7" w:rsidR="000104FB" w:rsidRDefault="000104FB" w:rsidP="000104FB">
                <w:pPr>
                  <w:jc w:val="both"/>
                  <w:rPr>
                    <w:rFonts w:asciiTheme="minorBidi" w:hAnsiTheme="minorBidi"/>
                    <w:sz w:val="24"/>
                    <w:szCs w:val="24"/>
                  </w:rPr>
                </w:pPr>
                <w:r>
                  <w:rPr>
                    <w:rFonts w:asciiTheme="minorBidi" w:hAnsiTheme="minorBidi"/>
                    <w:sz w:val="24"/>
                    <w:szCs w:val="24"/>
                  </w:rPr>
                  <w:t>Valuation (P/TB)</w:t>
                </w:r>
              </w:p>
            </w:tc>
            <w:tc>
              <w:tcPr>
                <w:tcW w:w="2254" w:type="dxa"/>
              </w:tcPr>
              <w:p w14:paraId="1F9DF67E" w14:textId="25F82907" w:rsidR="000104FB" w:rsidRDefault="000104FB" w:rsidP="000104FB">
                <w:pPr>
                  <w:jc w:val="both"/>
                  <w:rPr>
                    <w:rFonts w:asciiTheme="minorBidi" w:hAnsiTheme="minorBidi"/>
                    <w:sz w:val="24"/>
                    <w:szCs w:val="24"/>
                  </w:rPr>
                </w:pPr>
                <w:r w:rsidRPr="000104FB">
                  <w:rPr>
                    <w:rFonts w:asciiTheme="minorBidi" w:hAnsiTheme="minorBidi"/>
                    <w:sz w:val="24"/>
                    <w:szCs w:val="24"/>
                  </w:rPr>
                  <w:t>~2.2x (Premium)</w:t>
                </w:r>
              </w:p>
            </w:tc>
            <w:tc>
              <w:tcPr>
                <w:tcW w:w="2254" w:type="dxa"/>
              </w:tcPr>
              <w:p w14:paraId="0A060A8E" w14:textId="7AEF7995" w:rsidR="000104FB" w:rsidRDefault="000104FB" w:rsidP="000104FB">
                <w:pPr>
                  <w:jc w:val="both"/>
                  <w:rPr>
                    <w:rFonts w:asciiTheme="minorBidi" w:hAnsiTheme="minorBidi"/>
                    <w:sz w:val="24"/>
                    <w:szCs w:val="24"/>
                  </w:rPr>
                </w:pPr>
                <w:r w:rsidRPr="000104FB">
                  <w:rPr>
                    <w:rFonts w:asciiTheme="minorBidi" w:hAnsiTheme="minorBidi"/>
                    <w:sz w:val="24"/>
                    <w:szCs w:val="24"/>
                  </w:rPr>
                  <w:t>~1.1x (Discount)</w:t>
                </w:r>
              </w:p>
            </w:tc>
            <w:tc>
              <w:tcPr>
                <w:tcW w:w="2254" w:type="dxa"/>
              </w:tcPr>
              <w:p w14:paraId="24CFA7B4" w14:textId="0D88A54E" w:rsidR="000104FB" w:rsidRDefault="000104FB" w:rsidP="000104FB">
                <w:pPr>
                  <w:jc w:val="both"/>
                  <w:rPr>
                    <w:rFonts w:asciiTheme="minorBidi" w:hAnsiTheme="minorBidi"/>
                    <w:sz w:val="24"/>
                    <w:szCs w:val="24"/>
                  </w:rPr>
                </w:pPr>
                <w:r w:rsidRPr="000104FB">
                  <w:rPr>
                    <w:rFonts w:asciiTheme="minorBidi" w:hAnsiTheme="minorBidi"/>
                    <w:sz w:val="24"/>
                    <w:szCs w:val="24"/>
                  </w:rPr>
                  <w:t>~0.8x (Deep Discount)</w:t>
                </w:r>
              </w:p>
            </w:tc>
          </w:tr>
        </w:tbl>
        <w:p w14:paraId="00953FF7" w14:textId="53F7A169" w:rsidR="000104FB" w:rsidRDefault="000104FB" w:rsidP="000104FB">
          <w:pPr>
            <w:pStyle w:val="Heading3"/>
            <w:jc w:val="both"/>
          </w:pPr>
          <w:bookmarkStart w:id="16" w:name="_Toc219110419"/>
          <w:r w:rsidRPr="000104FB">
            <w:t>Table 7: Comparative Competitor Analysis and Benchmarking (2026)</w:t>
          </w:r>
          <w:bookmarkEnd w:id="16"/>
        </w:p>
        <w:p w14:paraId="230A8964" w14:textId="77777777" w:rsidR="000104FB" w:rsidRPr="000104FB" w:rsidRDefault="000104FB" w:rsidP="000104FB">
          <w:pPr>
            <w:jc w:val="both"/>
          </w:pPr>
        </w:p>
        <w:p w14:paraId="0F2D73A4" w14:textId="4D4C36A5" w:rsidR="000104FB" w:rsidRPr="000104FB" w:rsidRDefault="000104FB" w:rsidP="000104FB">
          <w:pPr>
            <w:jc w:val="both"/>
            <w:rPr>
              <w:rFonts w:asciiTheme="minorBidi" w:hAnsiTheme="minorBidi"/>
              <w:sz w:val="24"/>
              <w:szCs w:val="24"/>
            </w:rPr>
          </w:pPr>
          <w:r>
            <w:rPr>
              <w:rFonts w:asciiTheme="minorBidi" w:hAnsiTheme="minorBidi"/>
              <w:sz w:val="24"/>
              <w:szCs w:val="24"/>
            </w:rPr>
            <w:t>6.</w:t>
          </w:r>
          <w:r w:rsidRPr="000104FB">
            <w:rPr>
              <w:rFonts w:asciiTheme="minorBidi" w:hAnsiTheme="minorBidi"/>
              <w:sz w:val="24"/>
              <w:szCs w:val="24"/>
            </w:rPr>
            <w:t>2</w:t>
          </w:r>
          <w:r>
            <w:rPr>
              <w:rFonts w:asciiTheme="minorBidi" w:hAnsiTheme="minorBidi"/>
              <w:sz w:val="24"/>
              <w:szCs w:val="24"/>
            </w:rPr>
            <w:t xml:space="preserve"> </w:t>
          </w:r>
          <w:r w:rsidRPr="000104FB">
            <w:rPr>
              <w:rFonts w:asciiTheme="minorBidi" w:hAnsiTheme="minorBidi"/>
              <w:sz w:val="24"/>
              <w:szCs w:val="24"/>
            </w:rPr>
            <w:t>Efficiency and Cost Control</w:t>
          </w:r>
        </w:p>
        <w:p w14:paraId="5DBA08E2"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The "Cost Efficiency Ratio" (CER) tells the story of operational bloat.</w:t>
          </w:r>
        </w:p>
        <w:p w14:paraId="44F3A9AE"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JPMorgan operates with ruthless efficiency. Despite investing billions in AI and technology annually, its massive revenue denominator keeps its efficiency ratio stable in the low 50s. It spends to grow, not just to exist.</w:t>
          </w:r>
        </w:p>
        <w:p w14:paraId="52C16169"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 xml:space="preserve">Barclays has historically been the laggard here, often running a CER above 60%. However, </w:t>
          </w:r>
          <w:proofErr w:type="spellStart"/>
          <w:r w:rsidRPr="000104FB">
            <w:rPr>
              <w:rFonts w:asciiTheme="minorBidi" w:hAnsiTheme="minorBidi"/>
              <w:sz w:val="24"/>
              <w:szCs w:val="24"/>
            </w:rPr>
            <w:t>TradingView</w:t>
          </w:r>
          <w:proofErr w:type="spellEnd"/>
          <w:r w:rsidRPr="000104FB">
            <w:rPr>
              <w:rFonts w:asciiTheme="minorBidi" w:hAnsiTheme="minorBidi"/>
              <w:sz w:val="24"/>
              <w:szCs w:val="24"/>
            </w:rPr>
            <w:t xml:space="preserve"> (June 2025) reports that Barclays’ aggressive "Three-Year Cost Savings Plan" (unveiled Feb 2024) is finally biting, bringing their ratio down to 57-59%. They are cutting costs to survive.</w:t>
          </w:r>
        </w:p>
        <w:p w14:paraId="5FC2D3E2" w14:textId="77777777" w:rsidR="000104FB" w:rsidRDefault="000104FB" w:rsidP="000104FB">
          <w:pPr>
            <w:jc w:val="both"/>
            <w:rPr>
              <w:rFonts w:asciiTheme="minorBidi" w:hAnsiTheme="minorBidi"/>
              <w:sz w:val="24"/>
              <w:szCs w:val="24"/>
            </w:rPr>
          </w:pPr>
          <w:r w:rsidRPr="000104FB">
            <w:rPr>
              <w:rFonts w:asciiTheme="minorBidi" w:hAnsiTheme="minorBidi"/>
              <w:sz w:val="24"/>
              <w:szCs w:val="24"/>
            </w:rPr>
            <w:t>HSBC is trending in the wrong direction. While Barclays is improving, HSBC’s ratio has slipped to 50.2%. This explains the urgency of CEO Georges Elhedery’s "Simplification Plan." Unlike JPM, which leverages a unified global platform, HSBC’s legacy "matrix structure" (before Jan 2025) created duplicated costs across regions. The Financial Times (Feb 2025) highlighted that HSBC is effectively trying to replicate JPM’s streamlined model by removing the "East-West" management overlap, but it is years behind in execution.</w:t>
          </w:r>
        </w:p>
        <w:p w14:paraId="53FEA891" w14:textId="7C16E82F" w:rsidR="000104FB" w:rsidRPr="000104FB" w:rsidRDefault="000104FB" w:rsidP="000104FB">
          <w:pPr>
            <w:jc w:val="both"/>
            <w:rPr>
              <w:rFonts w:asciiTheme="minorBidi" w:hAnsiTheme="minorBidi"/>
              <w:sz w:val="24"/>
              <w:szCs w:val="24"/>
            </w:rPr>
          </w:pPr>
          <w:r>
            <w:rPr>
              <w:rFonts w:asciiTheme="minorBidi" w:hAnsiTheme="minorBidi"/>
              <w:sz w:val="24"/>
              <w:szCs w:val="24"/>
            </w:rPr>
            <w:t>6.</w:t>
          </w:r>
          <w:r w:rsidRPr="000104FB">
            <w:rPr>
              <w:rFonts w:asciiTheme="minorBidi" w:hAnsiTheme="minorBidi"/>
              <w:sz w:val="24"/>
              <w:szCs w:val="24"/>
            </w:rPr>
            <w:t>3</w:t>
          </w:r>
          <w:r>
            <w:rPr>
              <w:rFonts w:asciiTheme="minorBidi" w:hAnsiTheme="minorBidi"/>
              <w:sz w:val="24"/>
              <w:szCs w:val="24"/>
            </w:rPr>
            <w:t xml:space="preserve"> </w:t>
          </w:r>
          <w:r w:rsidRPr="000104FB">
            <w:rPr>
              <w:rFonts w:asciiTheme="minorBidi" w:hAnsiTheme="minorBidi"/>
              <w:sz w:val="24"/>
              <w:szCs w:val="24"/>
            </w:rPr>
            <w:t>Capital Strength and Valuation</w:t>
          </w:r>
        </w:p>
        <w:p w14:paraId="6B95B1F1"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lastRenderedPageBreak/>
            <w:t>The "Fortress" vs. The "Yield Trap" JPM’s balance sheet is described as a "Fortress" for a reason. With a CET1 ratio of ~14.5% and massive liquidity, it commands a valuation premium (Price to Tangible Book ~2.2x). Investors pay extra for safety.</w:t>
          </w:r>
        </w:p>
        <w:p w14:paraId="68D86E46" w14:textId="4F3985F5"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 xml:space="preserve">HSBC arguably has an equally strong capital position (CET1 14.9%), yet it trades at a massive discount (~1.1x Book Value). Why? Geopolitics. JPM does not face the existential threat of US-China decoupling. </w:t>
          </w:r>
          <w:r w:rsidRPr="000104FB">
            <w:rPr>
              <w:rFonts w:asciiTheme="minorBidi" w:hAnsiTheme="minorBidi"/>
              <w:i/>
              <w:iCs/>
              <w:sz w:val="24"/>
              <w:szCs w:val="24"/>
            </w:rPr>
            <w:t>Reuters (Jan 2026)</w:t>
          </w:r>
          <w:r w:rsidRPr="000104FB">
            <w:rPr>
              <w:rFonts w:asciiTheme="minorBidi" w:hAnsiTheme="minorBidi"/>
              <w:sz w:val="24"/>
              <w:szCs w:val="24"/>
            </w:rPr>
            <w:t xml:space="preserve"> confirms that HSBC’s pivot to privatize Hang Seng Bank is a defensive move to protect </w:t>
          </w:r>
          <w:r>
            <w:rPr>
              <w:rFonts w:asciiTheme="minorBidi" w:hAnsiTheme="minorBidi"/>
              <w:sz w:val="24"/>
              <w:szCs w:val="24"/>
            </w:rPr>
            <w:t>its</w:t>
          </w:r>
          <w:r w:rsidRPr="000104FB">
            <w:rPr>
              <w:rFonts w:asciiTheme="minorBidi" w:hAnsiTheme="minorBidi"/>
              <w:sz w:val="24"/>
              <w:szCs w:val="24"/>
            </w:rPr>
            <w:t xml:space="preserve"> capital. The market discounts HSBC because its capital is "trapped" in risky jurisdictions.</w:t>
          </w:r>
        </w:p>
        <w:p w14:paraId="520B59DB" w14:textId="77777777" w:rsidR="000104FB" w:rsidRDefault="000104FB" w:rsidP="000104FB">
          <w:pPr>
            <w:jc w:val="both"/>
            <w:rPr>
              <w:rFonts w:asciiTheme="minorBidi" w:hAnsiTheme="minorBidi"/>
              <w:sz w:val="24"/>
              <w:szCs w:val="24"/>
            </w:rPr>
          </w:pPr>
          <w:r w:rsidRPr="000104FB">
            <w:rPr>
              <w:rFonts w:asciiTheme="minorBidi" w:hAnsiTheme="minorBidi"/>
              <w:sz w:val="24"/>
              <w:szCs w:val="24"/>
            </w:rPr>
            <w:t xml:space="preserve">Barclays trades at the deepest discount (~0.8x Book). Investors remain </w:t>
          </w:r>
          <w:proofErr w:type="spellStart"/>
          <w:r w:rsidRPr="000104FB">
            <w:rPr>
              <w:rFonts w:asciiTheme="minorBidi" w:hAnsiTheme="minorBidi"/>
              <w:sz w:val="24"/>
              <w:szCs w:val="24"/>
            </w:rPr>
            <w:t>skeptical</w:t>
          </w:r>
          <w:proofErr w:type="spellEnd"/>
          <w:r w:rsidRPr="000104FB">
            <w:rPr>
              <w:rFonts w:asciiTheme="minorBidi" w:hAnsiTheme="minorBidi"/>
              <w:sz w:val="24"/>
              <w:szCs w:val="24"/>
            </w:rPr>
            <w:t xml:space="preserve"> of its investment bank's ability to compete with US giants like JPM and Goldman Sachs. While HSBC is seen as a "Yield Play" (reliable dividends), Barclays is often viewed as a "Value Trap" (cheap for a reason).</w:t>
          </w:r>
        </w:p>
        <w:p w14:paraId="41DDC4B0" w14:textId="77777777" w:rsidR="000104FB" w:rsidRDefault="000104FB" w:rsidP="000104FB">
          <w:pPr>
            <w:jc w:val="both"/>
            <w:rPr>
              <w:rFonts w:asciiTheme="minorBidi" w:hAnsiTheme="minorBidi"/>
              <w:sz w:val="24"/>
              <w:szCs w:val="24"/>
            </w:rPr>
          </w:pPr>
        </w:p>
        <w:p w14:paraId="2702F238" w14:textId="112D480D" w:rsidR="000104FB" w:rsidRPr="000104FB" w:rsidRDefault="000104FB" w:rsidP="000104FB">
          <w:pPr>
            <w:jc w:val="both"/>
            <w:rPr>
              <w:rFonts w:asciiTheme="minorBidi" w:hAnsiTheme="minorBidi"/>
              <w:sz w:val="24"/>
              <w:szCs w:val="24"/>
            </w:rPr>
          </w:pPr>
          <w:r>
            <w:rPr>
              <w:rFonts w:asciiTheme="minorBidi" w:hAnsiTheme="minorBidi"/>
              <w:sz w:val="24"/>
              <w:szCs w:val="24"/>
            </w:rPr>
            <w:t>6.</w:t>
          </w:r>
          <w:r w:rsidRPr="000104FB">
            <w:rPr>
              <w:rFonts w:asciiTheme="minorBidi" w:hAnsiTheme="minorBidi"/>
              <w:sz w:val="24"/>
              <w:szCs w:val="24"/>
            </w:rPr>
            <w:t>4</w:t>
          </w:r>
          <w:r>
            <w:rPr>
              <w:rFonts w:asciiTheme="minorBidi" w:hAnsiTheme="minorBidi"/>
              <w:sz w:val="24"/>
              <w:szCs w:val="24"/>
            </w:rPr>
            <w:t xml:space="preserve"> </w:t>
          </w:r>
          <w:r w:rsidRPr="000104FB">
            <w:rPr>
              <w:rFonts w:asciiTheme="minorBidi" w:hAnsiTheme="minorBidi"/>
              <w:sz w:val="24"/>
              <w:szCs w:val="24"/>
            </w:rPr>
            <w:t>Critical Evaluation: The "Stuck in the Middle" Dilemma</w:t>
          </w:r>
        </w:p>
        <w:p w14:paraId="37131873" w14:textId="437DECF2"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The Strategic Gap</w:t>
          </w:r>
          <w:r>
            <w:rPr>
              <w:rFonts w:asciiTheme="minorBidi" w:hAnsiTheme="minorBidi"/>
              <w:sz w:val="24"/>
              <w:szCs w:val="24"/>
            </w:rPr>
            <w:t>.</w:t>
          </w:r>
          <w:r w:rsidRPr="000104FB">
            <w:rPr>
              <w:rFonts w:asciiTheme="minorBidi" w:hAnsiTheme="minorBidi"/>
              <w:sz w:val="24"/>
              <w:szCs w:val="24"/>
            </w:rPr>
            <w:t xml:space="preserve"> The comparison reveals HSBC’s fundamental strategic dilemma in 2026.</w:t>
          </w:r>
        </w:p>
        <w:p w14:paraId="729DBFE7" w14:textId="77777777" w:rsidR="000104FB" w:rsidRPr="000104FB" w:rsidRDefault="000104FB" w:rsidP="000104FB">
          <w:pPr>
            <w:numPr>
              <w:ilvl w:val="0"/>
              <w:numId w:val="77"/>
            </w:numPr>
            <w:jc w:val="both"/>
            <w:rPr>
              <w:rFonts w:asciiTheme="minorBidi" w:hAnsiTheme="minorBidi"/>
              <w:sz w:val="24"/>
              <w:szCs w:val="24"/>
            </w:rPr>
          </w:pPr>
          <w:r w:rsidRPr="000104FB">
            <w:rPr>
              <w:rFonts w:asciiTheme="minorBidi" w:hAnsiTheme="minorBidi"/>
              <w:sz w:val="24"/>
              <w:szCs w:val="24"/>
            </w:rPr>
            <w:t>It cannot out-earn JPMorgan because it lacks the US consumer scale and is structurally short on NIM (1.56% vs JPM’s &gt;2.6%).</w:t>
          </w:r>
        </w:p>
        <w:p w14:paraId="28D7EFBD" w14:textId="77777777" w:rsidR="000104FB" w:rsidRPr="000104FB" w:rsidRDefault="000104FB" w:rsidP="000104FB">
          <w:pPr>
            <w:numPr>
              <w:ilvl w:val="0"/>
              <w:numId w:val="77"/>
            </w:numPr>
            <w:jc w:val="both"/>
            <w:rPr>
              <w:rFonts w:asciiTheme="minorBidi" w:hAnsiTheme="minorBidi"/>
              <w:sz w:val="24"/>
              <w:szCs w:val="24"/>
            </w:rPr>
          </w:pPr>
          <w:r w:rsidRPr="000104FB">
            <w:rPr>
              <w:rFonts w:asciiTheme="minorBidi" w:hAnsiTheme="minorBidi"/>
              <w:sz w:val="24"/>
              <w:szCs w:val="24"/>
            </w:rPr>
            <w:t>It is dangerously close to Barclays in terms of valuation, despite having a far superior global network.</w:t>
          </w:r>
        </w:p>
        <w:p w14:paraId="7F14F202" w14:textId="6D11DF29"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The "Asian Wealth" Differentiator</w:t>
          </w:r>
          <w:r>
            <w:rPr>
              <w:rFonts w:asciiTheme="minorBidi" w:hAnsiTheme="minorBidi"/>
              <w:sz w:val="24"/>
              <w:szCs w:val="24"/>
            </w:rPr>
            <w:t>.</w:t>
          </w:r>
          <w:r w:rsidRPr="000104FB">
            <w:rPr>
              <w:rFonts w:asciiTheme="minorBidi" w:hAnsiTheme="minorBidi"/>
              <w:sz w:val="24"/>
              <w:szCs w:val="24"/>
            </w:rPr>
            <w:t xml:space="preserve"> However, HSBC possesses one "Ace" that neither competitor holds: Asian Wealth Dominance.</w:t>
          </w:r>
        </w:p>
        <w:p w14:paraId="61953A73" w14:textId="77777777" w:rsidR="000104FB" w:rsidRPr="000104FB" w:rsidRDefault="000104FB" w:rsidP="000104FB">
          <w:pPr>
            <w:numPr>
              <w:ilvl w:val="0"/>
              <w:numId w:val="78"/>
            </w:numPr>
            <w:jc w:val="both"/>
            <w:rPr>
              <w:rFonts w:asciiTheme="minorBidi" w:hAnsiTheme="minorBidi"/>
              <w:sz w:val="24"/>
              <w:szCs w:val="24"/>
            </w:rPr>
          </w:pPr>
          <w:r w:rsidRPr="000104FB">
            <w:rPr>
              <w:rFonts w:asciiTheme="minorBidi" w:hAnsiTheme="minorBidi"/>
              <w:sz w:val="24"/>
              <w:szCs w:val="24"/>
            </w:rPr>
            <w:t>JPM is trying to enter this market but lacks HSBC’s century-old roots.</w:t>
          </w:r>
        </w:p>
        <w:p w14:paraId="34F03435" w14:textId="1DFEC2C6" w:rsidR="000104FB" w:rsidRPr="000104FB" w:rsidRDefault="000104FB" w:rsidP="000104FB">
          <w:pPr>
            <w:numPr>
              <w:ilvl w:val="0"/>
              <w:numId w:val="78"/>
            </w:numPr>
            <w:jc w:val="both"/>
            <w:rPr>
              <w:rFonts w:asciiTheme="minorBidi" w:hAnsiTheme="minorBidi"/>
              <w:sz w:val="24"/>
              <w:szCs w:val="24"/>
            </w:rPr>
          </w:pPr>
          <w:r w:rsidRPr="000104FB">
            <w:rPr>
              <w:rFonts w:asciiTheme="minorBidi" w:hAnsiTheme="minorBidi"/>
              <w:sz w:val="24"/>
              <w:szCs w:val="24"/>
            </w:rPr>
            <w:t xml:space="preserve">Barclays has largely exited Asia to focus on the UK and </w:t>
          </w:r>
          <w:r>
            <w:rPr>
              <w:rFonts w:asciiTheme="minorBidi" w:hAnsiTheme="minorBidi"/>
              <w:sz w:val="24"/>
              <w:szCs w:val="24"/>
            </w:rPr>
            <w:t xml:space="preserve">the </w:t>
          </w:r>
          <w:r w:rsidRPr="000104FB">
            <w:rPr>
              <w:rFonts w:asciiTheme="minorBidi" w:hAnsiTheme="minorBidi"/>
              <w:sz w:val="24"/>
              <w:szCs w:val="24"/>
            </w:rPr>
            <w:t>US.</w:t>
          </w:r>
        </w:p>
        <w:p w14:paraId="7E0F9457" w14:textId="77777777" w:rsidR="000104FB" w:rsidRDefault="000104FB" w:rsidP="000104FB">
          <w:pPr>
            <w:numPr>
              <w:ilvl w:val="0"/>
              <w:numId w:val="78"/>
            </w:numPr>
            <w:jc w:val="both"/>
            <w:rPr>
              <w:rFonts w:asciiTheme="minorBidi" w:hAnsiTheme="minorBidi"/>
              <w:sz w:val="24"/>
              <w:szCs w:val="24"/>
            </w:rPr>
          </w:pPr>
          <w:r w:rsidRPr="000104FB">
            <w:rPr>
              <w:rFonts w:asciiTheme="minorBidi" w:hAnsiTheme="minorBidi"/>
              <w:i/>
              <w:iCs/>
              <w:sz w:val="24"/>
              <w:szCs w:val="24"/>
            </w:rPr>
            <w:t>S&amp;P Global (Late 2025)</w:t>
          </w:r>
          <w:r w:rsidRPr="000104FB">
            <w:rPr>
              <w:rFonts w:asciiTheme="minorBidi" w:hAnsiTheme="minorBidi"/>
              <w:sz w:val="24"/>
              <w:szCs w:val="24"/>
            </w:rPr>
            <w:t xml:space="preserve"> notes that while JPM wins on current profitability, HSBC’s "Wealth Corridor" strategy (connecting India/Singapore/China) offers higher </w:t>
          </w:r>
          <w:r w:rsidRPr="000104FB">
            <w:rPr>
              <w:rFonts w:asciiTheme="minorBidi" w:hAnsiTheme="minorBidi"/>
              <w:i/>
              <w:iCs/>
              <w:sz w:val="24"/>
              <w:szCs w:val="24"/>
            </w:rPr>
            <w:t>potential</w:t>
          </w:r>
          <w:r w:rsidRPr="000104FB">
            <w:rPr>
              <w:rFonts w:asciiTheme="minorBidi" w:hAnsiTheme="minorBidi"/>
              <w:sz w:val="24"/>
              <w:szCs w:val="24"/>
            </w:rPr>
            <w:t xml:space="preserve"> growth than the saturated US market.</w:t>
          </w:r>
        </w:p>
        <w:p w14:paraId="08EA8013" w14:textId="10F45A56"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If HSBC tries to be a "Global Universal Bank" like JPM, it will fail—it is too inefficient and geographically fragmented. Its only path to re-rating is to become a specialized "Asian Wealth Super-Connector." The Board must recognize that we are not JPM (we lack the margin) and we must ensure we do not become Barclays (trapped in a low-growth home market). The "East-West" split is the correct vehicle to escape this middle ground.</w:t>
          </w:r>
        </w:p>
        <w:p w14:paraId="41A02B18" w14:textId="77777777" w:rsidR="000104FB" w:rsidRDefault="000104FB" w:rsidP="000104FB">
          <w:pPr>
            <w:jc w:val="both"/>
            <w:rPr>
              <w:rFonts w:asciiTheme="minorBidi" w:eastAsiaTheme="majorEastAsia" w:hAnsiTheme="minorBidi"/>
              <w:color w:val="2E74B5" w:themeColor="accent1" w:themeShade="BF"/>
              <w:sz w:val="24"/>
              <w:szCs w:val="24"/>
            </w:rPr>
          </w:pPr>
          <w:r>
            <w:rPr>
              <w:rFonts w:asciiTheme="minorBidi" w:hAnsiTheme="minorBidi"/>
              <w:sz w:val="24"/>
              <w:szCs w:val="24"/>
            </w:rPr>
            <w:br w:type="page"/>
          </w:r>
        </w:p>
        <w:p w14:paraId="11657221" w14:textId="1131E162" w:rsidR="00CF0E48" w:rsidRDefault="0033299D" w:rsidP="000104FB">
          <w:pPr>
            <w:pStyle w:val="Heading2"/>
            <w:jc w:val="both"/>
            <w:rPr>
              <w:rFonts w:asciiTheme="minorBidi" w:hAnsiTheme="minorBidi" w:cstheme="minorBidi"/>
              <w:sz w:val="24"/>
              <w:szCs w:val="24"/>
            </w:rPr>
          </w:pPr>
          <w:bookmarkStart w:id="17" w:name="_Toc219110420"/>
          <w:r w:rsidRPr="00E059E8">
            <w:rPr>
              <w:rFonts w:asciiTheme="minorBidi" w:hAnsiTheme="minorBidi" w:cstheme="minorBidi"/>
              <w:sz w:val="24"/>
              <w:szCs w:val="24"/>
            </w:rPr>
            <w:lastRenderedPageBreak/>
            <w:t>Part 2 (</w:t>
          </w:r>
          <w:r w:rsidR="00387CF6">
            <w:rPr>
              <w:rFonts w:asciiTheme="minorBidi" w:hAnsiTheme="minorBidi" w:cstheme="minorBidi"/>
              <w:sz w:val="24"/>
              <w:szCs w:val="24"/>
            </w:rPr>
            <w:t xml:space="preserve">Capital </w:t>
          </w:r>
          <w:r w:rsidRPr="00E059E8">
            <w:rPr>
              <w:rFonts w:asciiTheme="minorBidi" w:hAnsiTheme="minorBidi" w:cstheme="minorBidi"/>
              <w:sz w:val="24"/>
              <w:szCs w:val="24"/>
            </w:rPr>
            <w:t>Investment Appraisal – Westward PLC)</w:t>
          </w:r>
          <w:bookmarkEnd w:id="17"/>
          <w:r w:rsidRPr="00E059E8">
            <w:rPr>
              <w:rFonts w:asciiTheme="minorBidi" w:hAnsiTheme="minorBidi" w:cstheme="minorBidi"/>
              <w:sz w:val="24"/>
              <w:szCs w:val="24"/>
            </w:rPr>
            <w:t xml:space="preserve"> </w:t>
          </w:r>
        </w:p>
        <w:p w14:paraId="647D3B23" w14:textId="77777777" w:rsidR="0073533E" w:rsidRDefault="0073533E" w:rsidP="000104FB">
          <w:pPr>
            <w:jc w:val="both"/>
          </w:pPr>
        </w:p>
        <w:p w14:paraId="3F9F7788" w14:textId="08CABA47" w:rsidR="008544B7" w:rsidRPr="008544B7" w:rsidRDefault="008544B7" w:rsidP="000104FB">
          <w:pPr>
            <w:pStyle w:val="Heading3"/>
            <w:numPr>
              <w:ilvl w:val="0"/>
              <w:numId w:val="64"/>
            </w:numPr>
            <w:jc w:val="both"/>
          </w:pPr>
          <w:bookmarkStart w:id="18" w:name="_Toc219110421"/>
          <w:r>
            <w:t>Summary</w:t>
          </w:r>
          <w:bookmarkEnd w:id="18"/>
          <w:r>
            <w:t xml:space="preserve"> </w:t>
          </w:r>
        </w:p>
        <w:p w14:paraId="4431C67B" w14:textId="77777777" w:rsidR="008544B7" w:rsidRDefault="008544B7" w:rsidP="000104FB">
          <w:pPr>
            <w:jc w:val="both"/>
            <w:rPr>
              <w:rFonts w:asciiTheme="minorBidi" w:hAnsiTheme="minorBidi"/>
              <w:sz w:val="24"/>
              <w:szCs w:val="24"/>
            </w:rPr>
          </w:pPr>
          <w:r w:rsidRPr="008544B7">
            <w:rPr>
              <w:rFonts w:asciiTheme="minorBidi" w:hAnsiTheme="minorBidi"/>
              <w:sz w:val="24"/>
              <w:szCs w:val="24"/>
            </w:rPr>
            <w:t>Westward Plc is currently evaluating three potential avenues for expansion: expanding the retail outlet (Option A), developing internet sales (Option B), or entering manufacturing with wooden/Roman blinds (Option C). This report provides a quantitative and qualitative assessment of these options to guide the Board’s decision-making.</w:t>
          </w:r>
        </w:p>
        <w:p w14:paraId="050C6BE0" w14:textId="38C3A22F" w:rsidR="0073533E" w:rsidRDefault="0073533E" w:rsidP="000104FB">
          <w:pPr>
            <w:jc w:val="both"/>
            <w:rPr>
              <w:rFonts w:asciiTheme="minorBidi" w:hAnsiTheme="minorBidi"/>
              <w:sz w:val="24"/>
              <w:szCs w:val="24"/>
            </w:rPr>
          </w:pPr>
          <w:r w:rsidRPr="0073533E">
            <w:rPr>
              <w:rFonts w:asciiTheme="minorBidi" w:hAnsiTheme="minorBidi"/>
              <w:sz w:val="24"/>
              <w:szCs w:val="24"/>
            </w:rPr>
            <w:t>Westward PLC:</w:t>
          </w:r>
          <w:r>
            <w:rPr>
              <w:rFonts w:asciiTheme="minorBidi" w:hAnsiTheme="minorBidi"/>
              <w:sz w:val="24"/>
              <w:szCs w:val="24"/>
            </w:rPr>
            <w:t xml:space="preserve"> </w:t>
          </w:r>
          <w:r w:rsidRPr="0073533E">
            <w:rPr>
              <w:rFonts w:asciiTheme="minorBidi" w:hAnsiTheme="minorBidi"/>
              <w:sz w:val="24"/>
              <w:szCs w:val="24"/>
            </w:rPr>
            <w:t xml:space="preserve">Option </w:t>
          </w:r>
          <w:r>
            <w:rPr>
              <w:rFonts w:asciiTheme="minorBidi" w:hAnsiTheme="minorBidi"/>
              <w:sz w:val="24"/>
              <w:szCs w:val="24"/>
            </w:rPr>
            <w:t xml:space="preserve">A (Retail), Option B (Internet), and Option C (Blinds). </w:t>
          </w:r>
          <w:r w:rsidRPr="0073533E">
            <w:rPr>
              <w:rFonts w:asciiTheme="minorBidi" w:hAnsiTheme="minorBidi"/>
              <w:sz w:val="24"/>
              <w:szCs w:val="24"/>
            </w:rPr>
            <w:t>Using a weighted average cost of capital (WACC) of 6% and a corporate tax rate of 25%, we have conducted a full appraisal using Net Present Value (NPV), Internal Rate of Return (IRR), and Profitability Index (PI) methods.</w:t>
          </w:r>
          <w:r>
            <w:rPr>
              <w:rFonts w:asciiTheme="minorBidi" w:hAnsiTheme="minorBidi"/>
              <w:sz w:val="24"/>
              <w:szCs w:val="24"/>
            </w:rPr>
            <w:t xml:space="preserve"> </w:t>
          </w:r>
        </w:p>
        <w:p w14:paraId="5DB6909A" w14:textId="6866935D" w:rsidR="001C1679" w:rsidRDefault="0073533E" w:rsidP="000104FB">
          <w:pPr>
            <w:jc w:val="both"/>
            <w:rPr>
              <w:rFonts w:asciiTheme="minorBidi" w:hAnsiTheme="minorBidi"/>
              <w:sz w:val="24"/>
              <w:szCs w:val="24"/>
            </w:rPr>
          </w:pPr>
          <w:r w:rsidRPr="0073533E">
            <w:rPr>
              <w:rFonts w:asciiTheme="minorBidi" w:hAnsiTheme="minorBidi"/>
              <w:sz w:val="24"/>
              <w:szCs w:val="24"/>
            </w:rPr>
            <w:t xml:space="preserve">Option C offers the highest absolute wealth creation (NPV), </w:t>
          </w:r>
          <w:r>
            <w:rPr>
              <w:rFonts w:asciiTheme="minorBidi" w:hAnsiTheme="minorBidi"/>
              <w:sz w:val="24"/>
              <w:szCs w:val="24"/>
            </w:rPr>
            <w:t xml:space="preserve">and </w:t>
          </w:r>
          <w:r w:rsidRPr="0073533E">
            <w:rPr>
              <w:rFonts w:asciiTheme="minorBidi" w:hAnsiTheme="minorBidi"/>
              <w:sz w:val="24"/>
              <w:szCs w:val="24"/>
            </w:rPr>
            <w:t>capital rationing constraints require a nuanced portfolio approach. Furthermore, we provide a critical assessment of financing options, recommending a strategy that leverages retained earnings and low-cost debt while avoiding equity dilution.</w:t>
          </w:r>
        </w:p>
        <w:p w14:paraId="5A2ACEF8" w14:textId="441811FE" w:rsidR="008544B7" w:rsidRPr="00336C1B" w:rsidRDefault="008544B7" w:rsidP="000104FB">
          <w:pPr>
            <w:jc w:val="both"/>
            <w:rPr>
              <w:rFonts w:asciiTheme="minorBidi" w:hAnsiTheme="minorBidi"/>
              <w:sz w:val="24"/>
              <w:szCs w:val="24"/>
            </w:rPr>
          </w:pPr>
          <w:r w:rsidRPr="008544B7">
            <w:rPr>
              <w:rFonts w:asciiTheme="minorBidi" w:hAnsiTheme="minorBidi"/>
              <w:sz w:val="24"/>
              <w:szCs w:val="24"/>
            </w:rPr>
            <w:t xml:space="preserve">The report concludes with a financing strategy that recommends </w:t>
          </w:r>
          <w:r>
            <w:rPr>
              <w:rFonts w:asciiTheme="minorBidi" w:hAnsiTheme="minorBidi"/>
              <w:sz w:val="24"/>
              <w:szCs w:val="24"/>
            </w:rPr>
            <w:t>prioritising</w:t>
          </w:r>
          <w:r w:rsidRPr="008544B7">
            <w:rPr>
              <w:rFonts w:asciiTheme="minorBidi" w:hAnsiTheme="minorBidi"/>
              <w:sz w:val="24"/>
              <w:szCs w:val="24"/>
            </w:rPr>
            <w:t xml:space="preserve"> retained earnings and low-cost debt financing over equity issuance to preserve shareholder control and </w:t>
          </w:r>
          <w:r>
            <w:rPr>
              <w:rFonts w:asciiTheme="minorBidi" w:hAnsiTheme="minorBidi"/>
              <w:sz w:val="24"/>
              <w:szCs w:val="24"/>
            </w:rPr>
            <w:t>minimise</w:t>
          </w:r>
          <w:r w:rsidRPr="008544B7">
            <w:rPr>
              <w:rFonts w:asciiTheme="minorBidi" w:hAnsiTheme="minorBidi"/>
              <w:sz w:val="24"/>
              <w:szCs w:val="24"/>
            </w:rPr>
            <w:t xml:space="preserve"> the weighted average cost of capital.</w:t>
          </w:r>
        </w:p>
        <w:p w14:paraId="4543AAD0" w14:textId="0FAC4EE9" w:rsidR="00B07DB7" w:rsidRPr="001C1679" w:rsidRDefault="00B07DB7" w:rsidP="000104FB">
          <w:pPr>
            <w:pStyle w:val="Heading3"/>
            <w:numPr>
              <w:ilvl w:val="0"/>
              <w:numId w:val="47"/>
            </w:numPr>
            <w:jc w:val="both"/>
            <w:rPr>
              <w:rFonts w:cstheme="minorBidi"/>
            </w:rPr>
          </w:pPr>
          <w:bookmarkStart w:id="19" w:name="_Toc219110422"/>
          <w:r w:rsidRPr="001C1679">
            <w:rPr>
              <w:rFonts w:cstheme="minorBidi"/>
            </w:rPr>
            <w:t>Investment Evaluation (NPV &amp; IRR)</w:t>
          </w:r>
          <w:bookmarkEnd w:id="19"/>
        </w:p>
        <w:p w14:paraId="0810C4A2" w14:textId="566BD914" w:rsidR="00B07DB7" w:rsidRDefault="00BA1D22" w:rsidP="000104FB">
          <w:pPr>
            <w:pStyle w:val="ListParagraph"/>
            <w:numPr>
              <w:ilvl w:val="0"/>
              <w:numId w:val="21"/>
            </w:numPr>
            <w:jc w:val="both"/>
            <w:rPr>
              <w:rFonts w:asciiTheme="minorBidi" w:hAnsiTheme="minorBidi"/>
              <w:sz w:val="24"/>
              <w:szCs w:val="24"/>
            </w:rPr>
          </w:pPr>
          <w:r>
            <w:rPr>
              <w:rFonts w:asciiTheme="minorBidi" w:hAnsiTheme="minorBidi"/>
              <w:sz w:val="24"/>
              <w:szCs w:val="24"/>
            </w:rPr>
            <w:t>Discount Rate: 6% (Current Cost of Capital)</w:t>
          </w:r>
        </w:p>
        <w:p w14:paraId="2B584E91" w14:textId="3A43CD6E" w:rsidR="00BA1D22" w:rsidRDefault="00BA1D22" w:rsidP="000104FB">
          <w:pPr>
            <w:pStyle w:val="ListParagraph"/>
            <w:numPr>
              <w:ilvl w:val="0"/>
              <w:numId w:val="21"/>
            </w:numPr>
            <w:jc w:val="both"/>
            <w:rPr>
              <w:rFonts w:asciiTheme="minorBidi" w:hAnsiTheme="minorBidi"/>
              <w:sz w:val="24"/>
              <w:szCs w:val="24"/>
            </w:rPr>
          </w:pPr>
          <w:r>
            <w:rPr>
              <w:rFonts w:asciiTheme="minorBidi" w:hAnsiTheme="minorBidi"/>
              <w:sz w:val="24"/>
              <w:szCs w:val="24"/>
            </w:rPr>
            <w:t xml:space="preserve">Corporation Tax: 25% </w:t>
          </w:r>
        </w:p>
        <w:p w14:paraId="0F79867C" w14:textId="211C4A5A" w:rsidR="00BA1D22" w:rsidRDefault="00BA1D22" w:rsidP="000104FB">
          <w:pPr>
            <w:pStyle w:val="ListParagraph"/>
            <w:numPr>
              <w:ilvl w:val="0"/>
              <w:numId w:val="21"/>
            </w:numPr>
            <w:jc w:val="both"/>
            <w:rPr>
              <w:rFonts w:asciiTheme="minorBidi" w:hAnsiTheme="minorBidi"/>
              <w:sz w:val="24"/>
              <w:szCs w:val="24"/>
            </w:rPr>
          </w:pPr>
          <w:r>
            <w:rPr>
              <w:rFonts w:asciiTheme="minorBidi" w:hAnsiTheme="minorBidi"/>
              <w:sz w:val="24"/>
              <w:szCs w:val="24"/>
            </w:rPr>
            <w:t xml:space="preserve">Capital Allowances: 20% </w:t>
          </w:r>
          <w:r w:rsidR="001C1679" w:rsidRPr="001C1679">
            <w:rPr>
              <w:rFonts w:asciiTheme="minorBidi" w:hAnsiTheme="minorBidi"/>
              <w:sz w:val="24"/>
              <w:szCs w:val="24"/>
            </w:rPr>
            <w:t>Straight Line on a reducing balance or cost basis</w:t>
          </w:r>
        </w:p>
        <w:p w14:paraId="18791402" w14:textId="2A8B203A" w:rsidR="001C1679" w:rsidRDefault="001C1679" w:rsidP="000104FB">
          <w:pPr>
            <w:pStyle w:val="ListParagraph"/>
            <w:numPr>
              <w:ilvl w:val="0"/>
              <w:numId w:val="21"/>
            </w:numPr>
            <w:jc w:val="both"/>
            <w:rPr>
              <w:rFonts w:asciiTheme="minorBidi" w:hAnsiTheme="minorBidi"/>
              <w:sz w:val="24"/>
              <w:szCs w:val="24"/>
            </w:rPr>
          </w:pPr>
          <w:r>
            <w:rPr>
              <w:rFonts w:asciiTheme="minorBidi" w:hAnsiTheme="minorBidi"/>
              <w:sz w:val="24"/>
              <w:szCs w:val="24"/>
            </w:rPr>
            <w:t xml:space="preserve">Scrap Value: </w:t>
          </w:r>
          <w:r w:rsidRPr="001C1679">
            <w:rPr>
              <w:rFonts w:asciiTheme="minorBidi" w:hAnsiTheme="minorBidi"/>
              <w:sz w:val="24"/>
              <w:szCs w:val="24"/>
            </w:rPr>
            <w:t>Assumed negligible unless stated otherwise</w:t>
          </w:r>
        </w:p>
        <w:p w14:paraId="29559A65" w14:textId="3C7EAF97" w:rsidR="00B07DB7" w:rsidRDefault="001C1679" w:rsidP="000104FB">
          <w:pPr>
            <w:pStyle w:val="ListParagraph"/>
            <w:numPr>
              <w:ilvl w:val="0"/>
              <w:numId w:val="21"/>
            </w:numPr>
            <w:jc w:val="both"/>
            <w:rPr>
              <w:rFonts w:asciiTheme="minorBidi" w:hAnsiTheme="minorBidi"/>
              <w:sz w:val="24"/>
              <w:szCs w:val="24"/>
            </w:rPr>
          </w:pPr>
          <w:r w:rsidRPr="001C1679">
            <w:rPr>
              <w:rFonts w:asciiTheme="minorBidi" w:hAnsiTheme="minorBidi"/>
              <w:sz w:val="24"/>
              <w:szCs w:val="24"/>
            </w:rPr>
            <w:t>Inflation: Cash flows are assumed to be in nominal terms (money terms) unless otherwise specified.</w:t>
          </w:r>
        </w:p>
        <w:p w14:paraId="7A6096E1" w14:textId="5A705387" w:rsidR="001C1679" w:rsidRPr="00592E1B" w:rsidRDefault="001C1679" w:rsidP="000104FB">
          <w:pPr>
            <w:pStyle w:val="Heading4"/>
            <w:numPr>
              <w:ilvl w:val="1"/>
              <w:numId w:val="37"/>
            </w:numPr>
            <w:jc w:val="both"/>
            <w:rPr>
              <w:rFonts w:cstheme="minorBidi"/>
              <w:szCs w:val="24"/>
            </w:rPr>
          </w:pPr>
          <w:r w:rsidRPr="00592E1B">
            <w:rPr>
              <w:rFonts w:cstheme="minorBidi"/>
              <w:szCs w:val="24"/>
            </w:rPr>
            <w:t xml:space="preserve">Option A: Retail </w:t>
          </w:r>
        </w:p>
        <w:p w14:paraId="1BE38CCC" w14:textId="77777777" w:rsidR="00336C1B" w:rsidRDefault="001C1679" w:rsidP="000104FB">
          <w:pPr>
            <w:pStyle w:val="ListParagraph"/>
            <w:numPr>
              <w:ilvl w:val="0"/>
              <w:numId w:val="39"/>
            </w:numPr>
            <w:jc w:val="both"/>
            <w:rPr>
              <w:rFonts w:asciiTheme="minorBidi" w:hAnsiTheme="minorBidi"/>
              <w:sz w:val="24"/>
              <w:szCs w:val="24"/>
            </w:rPr>
          </w:pPr>
          <w:r>
            <w:rPr>
              <w:rFonts w:asciiTheme="minorBidi" w:hAnsiTheme="minorBidi"/>
              <w:sz w:val="24"/>
              <w:szCs w:val="24"/>
            </w:rPr>
            <w:t>Initial Investment: £600,000</w:t>
          </w:r>
        </w:p>
        <w:p w14:paraId="04FD65B9" w14:textId="1AFE254E" w:rsidR="00336C1B" w:rsidRPr="00336C1B" w:rsidRDefault="00336C1B" w:rsidP="000104FB">
          <w:pPr>
            <w:pStyle w:val="ListParagraph"/>
            <w:numPr>
              <w:ilvl w:val="0"/>
              <w:numId w:val="39"/>
            </w:numPr>
            <w:jc w:val="both"/>
            <w:rPr>
              <w:rFonts w:asciiTheme="minorBidi" w:hAnsiTheme="minorBidi"/>
              <w:sz w:val="24"/>
              <w:szCs w:val="24"/>
            </w:rPr>
          </w:pPr>
          <w:r w:rsidRPr="00336C1B">
            <w:rPr>
              <w:rFonts w:ascii="Arial" w:eastAsia="Times New Roman" w:hAnsi="Arial" w:cs="Arial"/>
              <w:sz w:val="24"/>
              <w:szCs w:val="24"/>
              <w:lang w:eastAsia="en-GB" w:bidi="gu-IN"/>
            </w:rPr>
            <w:t xml:space="preserve">Annual Capital Allowance: £600,000 </w:t>
          </w:r>
          <w:r>
            <w:rPr>
              <w:rFonts w:ascii="Arial" w:eastAsia="Times New Roman" w:hAnsi="Arial" w:cs="Arial"/>
              <w:sz w:val="24"/>
              <w:szCs w:val="24"/>
              <w:lang w:eastAsia="en-GB" w:bidi="gu-IN"/>
            </w:rPr>
            <w:t xml:space="preserve">* </w:t>
          </w:r>
          <w:r w:rsidRPr="00336C1B">
            <w:rPr>
              <w:rFonts w:ascii="Arial" w:eastAsia="Times New Roman" w:hAnsi="Arial" w:cs="Arial"/>
              <w:sz w:val="24"/>
              <w:szCs w:val="24"/>
              <w:lang w:eastAsia="en-GB" w:bidi="gu-IN"/>
            </w:rPr>
            <w:t>20% = £120,000</w:t>
          </w:r>
        </w:p>
        <w:p w14:paraId="7DEEAAC4" w14:textId="3A1D8EDA" w:rsidR="00336C1B" w:rsidRPr="00336C1B" w:rsidRDefault="00336C1B" w:rsidP="000104FB">
          <w:pPr>
            <w:pStyle w:val="ListParagraph"/>
            <w:numPr>
              <w:ilvl w:val="0"/>
              <w:numId w:val="39"/>
            </w:numPr>
            <w:jc w:val="both"/>
            <w:rPr>
              <w:rFonts w:asciiTheme="minorBidi" w:hAnsiTheme="minorBidi"/>
              <w:sz w:val="24"/>
              <w:szCs w:val="24"/>
            </w:rPr>
          </w:pPr>
          <w:r w:rsidRPr="00336C1B">
            <w:rPr>
              <w:rFonts w:ascii="Arial" w:eastAsia="Times New Roman" w:hAnsi="Arial" w:cs="Arial"/>
              <w:sz w:val="24"/>
              <w:szCs w:val="24"/>
              <w:lang w:eastAsia="en-GB" w:bidi="gu-IN"/>
            </w:rPr>
            <w:t xml:space="preserve">Annual Tax Shield: £120,000 </w:t>
          </w:r>
          <w:r>
            <w:rPr>
              <w:rFonts w:ascii="Arial" w:eastAsia="Times New Roman" w:hAnsi="Arial" w:cs="Arial"/>
              <w:sz w:val="24"/>
              <w:szCs w:val="24"/>
              <w:lang w:eastAsia="en-GB" w:bidi="gu-IN"/>
            </w:rPr>
            <w:t>*</w:t>
          </w:r>
          <w:r w:rsidRPr="00336C1B">
            <w:rPr>
              <w:rFonts w:ascii="Arial" w:eastAsia="Times New Roman" w:hAnsi="Arial" w:cs="Arial"/>
              <w:sz w:val="24"/>
              <w:szCs w:val="24"/>
              <w:lang w:eastAsia="en-GB" w:bidi="gu-IN"/>
            </w:rPr>
            <w:t xml:space="preserve"> 25% = £30,000</w:t>
          </w:r>
        </w:p>
        <w:tbl>
          <w:tblPr>
            <w:tblStyle w:val="TableGrid"/>
            <w:tblW w:w="0" w:type="auto"/>
            <w:tblLook w:val="04A0" w:firstRow="1" w:lastRow="0" w:firstColumn="1" w:lastColumn="0" w:noHBand="0" w:noVBand="1"/>
          </w:tblPr>
          <w:tblGrid>
            <w:gridCol w:w="1129"/>
            <w:gridCol w:w="1447"/>
            <w:gridCol w:w="1288"/>
            <w:gridCol w:w="1288"/>
            <w:gridCol w:w="1288"/>
            <w:gridCol w:w="1288"/>
            <w:gridCol w:w="1288"/>
          </w:tblGrid>
          <w:tr w:rsidR="00336C1B" w14:paraId="301F683F" w14:textId="77777777" w:rsidTr="00336C1B">
            <w:tc>
              <w:tcPr>
                <w:tcW w:w="1129" w:type="dxa"/>
              </w:tcPr>
              <w:p w14:paraId="0A46B5FC" w14:textId="6F78D3B5" w:rsidR="00336C1B" w:rsidRDefault="00336C1B" w:rsidP="000104FB">
                <w:pPr>
                  <w:jc w:val="both"/>
                  <w:rPr>
                    <w:rFonts w:asciiTheme="minorBidi" w:hAnsiTheme="minorBidi"/>
                    <w:sz w:val="24"/>
                    <w:szCs w:val="24"/>
                  </w:rPr>
                </w:pPr>
                <w:r>
                  <w:rPr>
                    <w:rFonts w:asciiTheme="minorBidi" w:hAnsiTheme="minorBidi"/>
                    <w:sz w:val="24"/>
                    <w:szCs w:val="24"/>
                  </w:rPr>
                  <w:t xml:space="preserve">Year </w:t>
                </w:r>
              </w:p>
            </w:tc>
            <w:tc>
              <w:tcPr>
                <w:tcW w:w="1447" w:type="dxa"/>
              </w:tcPr>
              <w:p w14:paraId="55C03B9E" w14:textId="293DF156" w:rsidR="00336C1B" w:rsidRDefault="00336C1B" w:rsidP="000104FB">
                <w:pPr>
                  <w:jc w:val="both"/>
                  <w:rPr>
                    <w:rFonts w:asciiTheme="minorBidi" w:hAnsiTheme="minorBidi"/>
                    <w:sz w:val="24"/>
                    <w:szCs w:val="24"/>
                  </w:rPr>
                </w:pPr>
                <w:r>
                  <w:rPr>
                    <w:rFonts w:asciiTheme="minorBidi" w:hAnsiTheme="minorBidi"/>
                    <w:sz w:val="24"/>
                    <w:szCs w:val="24"/>
                  </w:rPr>
                  <w:t xml:space="preserve">Operating Cash Flow (£) </w:t>
                </w:r>
              </w:p>
            </w:tc>
            <w:tc>
              <w:tcPr>
                <w:tcW w:w="1288" w:type="dxa"/>
              </w:tcPr>
              <w:p w14:paraId="4ABC09A5" w14:textId="32ACA72B" w:rsidR="00336C1B" w:rsidRDefault="00336C1B" w:rsidP="000104FB">
                <w:pPr>
                  <w:jc w:val="both"/>
                  <w:rPr>
                    <w:rFonts w:asciiTheme="minorBidi" w:hAnsiTheme="minorBidi"/>
                    <w:sz w:val="24"/>
                    <w:szCs w:val="24"/>
                  </w:rPr>
                </w:pPr>
                <w:r>
                  <w:rPr>
                    <w:rFonts w:asciiTheme="minorBidi" w:hAnsiTheme="minorBidi"/>
                    <w:sz w:val="24"/>
                    <w:szCs w:val="24"/>
                  </w:rPr>
                  <w:t xml:space="preserve">Tax on Ops (25%) (£) </w:t>
                </w:r>
              </w:p>
            </w:tc>
            <w:tc>
              <w:tcPr>
                <w:tcW w:w="1288" w:type="dxa"/>
              </w:tcPr>
              <w:p w14:paraId="2ACAD257" w14:textId="00C485C1" w:rsidR="00336C1B" w:rsidRDefault="00336C1B" w:rsidP="000104FB">
                <w:pPr>
                  <w:jc w:val="both"/>
                  <w:rPr>
                    <w:rFonts w:asciiTheme="minorBidi" w:hAnsiTheme="minorBidi"/>
                    <w:sz w:val="24"/>
                    <w:szCs w:val="24"/>
                  </w:rPr>
                </w:pPr>
                <w:r>
                  <w:rPr>
                    <w:rFonts w:asciiTheme="minorBidi" w:hAnsiTheme="minorBidi"/>
                    <w:sz w:val="24"/>
                    <w:szCs w:val="24"/>
                  </w:rPr>
                  <w:t>Tax Shield on CA (£)</w:t>
                </w:r>
              </w:p>
            </w:tc>
            <w:tc>
              <w:tcPr>
                <w:tcW w:w="1288" w:type="dxa"/>
              </w:tcPr>
              <w:p w14:paraId="41F40D73" w14:textId="7ED81182" w:rsidR="00336C1B" w:rsidRDefault="00336C1B" w:rsidP="000104FB">
                <w:pPr>
                  <w:jc w:val="both"/>
                  <w:rPr>
                    <w:rFonts w:asciiTheme="minorBidi" w:hAnsiTheme="minorBidi"/>
                    <w:sz w:val="24"/>
                    <w:szCs w:val="24"/>
                  </w:rPr>
                </w:pPr>
                <w:r>
                  <w:rPr>
                    <w:rFonts w:asciiTheme="minorBidi" w:hAnsiTheme="minorBidi"/>
                    <w:sz w:val="24"/>
                    <w:szCs w:val="24"/>
                  </w:rPr>
                  <w:t>Net Cash Flow (£)</w:t>
                </w:r>
              </w:p>
            </w:tc>
            <w:tc>
              <w:tcPr>
                <w:tcW w:w="1288" w:type="dxa"/>
              </w:tcPr>
              <w:p w14:paraId="4AB4D74F" w14:textId="63A342A1" w:rsidR="00336C1B" w:rsidRDefault="00336C1B" w:rsidP="000104FB">
                <w:pPr>
                  <w:jc w:val="both"/>
                  <w:rPr>
                    <w:rFonts w:asciiTheme="minorBidi" w:hAnsiTheme="minorBidi"/>
                    <w:sz w:val="24"/>
                    <w:szCs w:val="24"/>
                  </w:rPr>
                </w:pPr>
                <w:r>
                  <w:rPr>
                    <w:rFonts w:asciiTheme="minorBidi" w:hAnsiTheme="minorBidi"/>
                    <w:sz w:val="24"/>
                    <w:szCs w:val="24"/>
                  </w:rPr>
                  <w:t>Discount Factor (6%)</w:t>
                </w:r>
              </w:p>
            </w:tc>
            <w:tc>
              <w:tcPr>
                <w:tcW w:w="1288" w:type="dxa"/>
              </w:tcPr>
              <w:p w14:paraId="16B4C612" w14:textId="1246E1D0" w:rsidR="00336C1B" w:rsidRDefault="00336C1B" w:rsidP="000104FB">
                <w:pPr>
                  <w:jc w:val="both"/>
                  <w:rPr>
                    <w:rFonts w:asciiTheme="minorBidi" w:hAnsiTheme="minorBidi"/>
                    <w:sz w:val="24"/>
                    <w:szCs w:val="24"/>
                  </w:rPr>
                </w:pPr>
                <w:r>
                  <w:rPr>
                    <w:rFonts w:asciiTheme="minorBidi" w:hAnsiTheme="minorBidi"/>
                    <w:sz w:val="24"/>
                    <w:szCs w:val="24"/>
                  </w:rPr>
                  <w:t xml:space="preserve">Present Value (£) </w:t>
                </w:r>
              </w:p>
            </w:tc>
          </w:tr>
          <w:tr w:rsidR="00592E1B" w14:paraId="04005882" w14:textId="77777777" w:rsidTr="00336C1B">
            <w:tc>
              <w:tcPr>
                <w:tcW w:w="1129" w:type="dxa"/>
              </w:tcPr>
              <w:p w14:paraId="3FEF0C35" w14:textId="095EAC6F" w:rsidR="00592E1B" w:rsidRDefault="00592E1B" w:rsidP="000104FB">
                <w:pPr>
                  <w:jc w:val="both"/>
                  <w:rPr>
                    <w:rFonts w:asciiTheme="minorBidi" w:hAnsiTheme="minorBidi"/>
                    <w:sz w:val="24"/>
                    <w:szCs w:val="24"/>
                  </w:rPr>
                </w:pPr>
                <w:r>
                  <w:rPr>
                    <w:rFonts w:asciiTheme="minorBidi" w:hAnsiTheme="minorBidi"/>
                    <w:sz w:val="24"/>
                    <w:szCs w:val="24"/>
                  </w:rPr>
                  <w:t>0</w:t>
                </w:r>
              </w:p>
            </w:tc>
            <w:tc>
              <w:tcPr>
                <w:tcW w:w="1447" w:type="dxa"/>
              </w:tcPr>
              <w:p w14:paraId="50B4267E" w14:textId="70F9C523" w:rsidR="00592E1B" w:rsidRDefault="00592E1B" w:rsidP="000104FB">
                <w:pPr>
                  <w:jc w:val="both"/>
                  <w:rPr>
                    <w:rFonts w:asciiTheme="minorBidi" w:hAnsiTheme="minorBidi"/>
                    <w:sz w:val="24"/>
                    <w:szCs w:val="24"/>
                  </w:rPr>
                </w:pPr>
                <w:r>
                  <w:rPr>
                    <w:rFonts w:asciiTheme="minorBidi" w:hAnsiTheme="minorBidi"/>
                    <w:sz w:val="24"/>
                    <w:szCs w:val="24"/>
                  </w:rPr>
                  <w:t>(600,000)</w:t>
                </w:r>
              </w:p>
            </w:tc>
            <w:tc>
              <w:tcPr>
                <w:tcW w:w="1288" w:type="dxa"/>
              </w:tcPr>
              <w:p w14:paraId="2A35966D" w14:textId="05BC4E34" w:rsidR="00592E1B" w:rsidRDefault="00592E1B" w:rsidP="000104FB">
                <w:pPr>
                  <w:jc w:val="both"/>
                  <w:rPr>
                    <w:rFonts w:asciiTheme="minorBidi" w:hAnsiTheme="minorBidi"/>
                    <w:sz w:val="24"/>
                    <w:szCs w:val="24"/>
                  </w:rPr>
                </w:pPr>
                <w:r>
                  <w:rPr>
                    <w:rFonts w:asciiTheme="minorBidi" w:hAnsiTheme="minorBidi"/>
                    <w:sz w:val="24"/>
                    <w:szCs w:val="24"/>
                  </w:rPr>
                  <w:t>-</w:t>
                </w:r>
              </w:p>
            </w:tc>
            <w:tc>
              <w:tcPr>
                <w:tcW w:w="1288" w:type="dxa"/>
              </w:tcPr>
              <w:p w14:paraId="64D8A797" w14:textId="659CB26F" w:rsidR="00592E1B" w:rsidRDefault="00592E1B" w:rsidP="000104FB">
                <w:pPr>
                  <w:jc w:val="both"/>
                  <w:rPr>
                    <w:rFonts w:asciiTheme="minorBidi" w:hAnsiTheme="minorBidi"/>
                    <w:sz w:val="24"/>
                    <w:szCs w:val="24"/>
                  </w:rPr>
                </w:pPr>
                <w:r>
                  <w:rPr>
                    <w:rFonts w:asciiTheme="minorBidi" w:hAnsiTheme="minorBidi"/>
                    <w:sz w:val="24"/>
                    <w:szCs w:val="24"/>
                  </w:rPr>
                  <w:t>-</w:t>
                </w:r>
              </w:p>
            </w:tc>
            <w:tc>
              <w:tcPr>
                <w:tcW w:w="1288" w:type="dxa"/>
              </w:tcPr>
              <w:p w14:paraId="66A23D72" w14:textId="2DB0F56A" w:rsidR="00592E1B" w:rsidRDefault="00592E1B" w:rsidP="000104FB">
                <w:pPr>
                  <w:jc w:val="both"/>
                  <w:rPr>
                    <w:rFonts w:asciiTheme="minorBidi" w:hAnsiTheme="minorBidi"/>
                    <w:sz w:val="24"/>
                    <w:szCs w:val="24"/>
                  </w:rPr>
                </w:pPr>
                <w:r>
                  <w:rPr>
                    <w:rFonts w:asciiTheme="minorBidi" w:hAnsiTheme="minorBidi"/>
                    <w:sz w:val="24"/>
                    <w:szCs w:val="24"/>
                  </w:rPr>
                  <w:t>(600,000)</w:t>
                </w:r>
              </w:p>
            </w:tc>
            <w:tc>
              <w:tcPr>
                <w:tcW w:w="1288" w:type="dxa"/>
              </w:tcPr>
              <w:p w14:paraId="791C2656" w14:textId="3CF0B529" w:rsidR="00592E1B" w:rsidRDefault="00592E1B" w:rsidP="000104FB">
                <w:pPr>
                  <w:jc w:val="both"/>
                  <w:rPr>
                    <w:rFonts w:asciiTheme="minorBidi" w:hAnsiTheme="minorBidi"/>
                    <w:sz w:val="24"/>
                    <w:szCs w:val="24"/>
                  </w:rPr>
                </w:pPr>
                <w:r>
                  <w:rPr>
                    <w:rFonts w:asciiTheme="minorBidi" w:hAnsiTheme="minorBidi"/>
                    <w:sz w:val="24"/>
                    <w:szCs w:val="24"/>
                  </w:rPr>
                  <w:t>1.000</w:t>
                </w:r>
              </w:p>
            </w:tc>
            <w:tc>
              <w:tcPr>
                <w:tcW w:w="1288" w:type="dxa"/>
              </w:tcPr>
              <w:p w14:paraId="47F7AEF9" w14:textId="50E005DD" w:rsidR="00592E1B" w:rsidRDefault="00592E1B" w:rsidP="000104FB">
                <w:pPr>
                  <w:jc w:val="both"/>
                  <w:rPr>
                    <w:rFonts w:asciiTheme="minorBidi" w:hAnsiTheme="minorBidi"/>
                    <w:sz w:val="24"/>
                    <w:szCs w:val="24"/>
                  </w:rPr>
                </w:pPr>
                <w:r>
                  <w:rPr>
                    <w:rFonts w:asciiTheme="minorBidi" w:hAnsiTheme="minorBidi"/>
                    <w:sz w:val="24"/>
                    <w:szCs w:val="24"/>
                  </w:rPr>
                  <w:t>(600,000)</w:t>
                </w:r>
              </w:p>
            </w:tc>
          </w:tr>
          <w:tr w:rsidR="00592E1B" w14:paraId="0C361940" w14:textId="77777777" w:rsidTr="00336C1B">
            <w:tc>
              <w:tcPr>
                <w:tcW w:w="1129" w:type="dxa"/>
              </w:tcPr>
              <w:p w14:paraId="1C5022BC" w14:textId="1009E489" w:rsidR="00592E1B" w:rsidRDefault="00592E1B" w:rsidP="000104FB">
                <w:pPr>
                  <w:jc w:val="both"/>
                  <w:rPr>
                    <w:rFonts w:asciiTheme="minorBidi" w:hAnsiTheme="minorBidi"/>
                    <w:sz w:val="24"/>
                    <w:szCs w:val="24"/>
                  </w:rPr>
                </w:pPr>
                <w:r>
                  <w:rPr>
                    <w:rFonts w:asciiTheme="minorBidi" w:hAnsiTheme="minorBidi"/>
                    <w:sz w:val="24"/>
                    <w:szCs w:val="24"/>
                  </w:rPr>
                  <w:t>1</w:t>
                </w:r>
              </w:p>
            </w:tc>
            <w:tc>
              <w:tcPr>
                <w:tcW w:w="1447" w:type="dxa"/>
              </w:tcPr>
              <w:p w14:paraId="49513FEB" w14:textId="683208C3" w:rsidR="00592E1B" w:rsidRDefault="00592E1B" w:rsidP="000104FB">
                <w:pPr>
                  <w:jc w:val="both"/>
                  <w:rPr>
                    <w:rFonts w:asciiTheme="minorBidi" w:hAnsiTheme="minorBidi"/>
                    <w:sz w:val="24"/>
                    <w:szCs w:val="24"/>
                  </w:rPr>
                </w:pPr>
                <w:r>
                  <w:rPr>
                    <w:rFonts w:asciiTheme="minorBidi" w:hAnsiTheme="minorBidi"/>
                    <w:sz w:val="24"/>
                    <w:szCs w:val="24"/>
                  </w:rPr>
                  <w:t>200,000</w:t>
                </w:r>
              </w:p>
            </w:tc>
            <w:tc>
              <w:tcPr>
                <w:tcW w:w="1288" w:type="dxa"/>
              </w:tcPr>
              <w:p w14:paraId="4D0DE7FF" w14:textId="01B143BE" w:rsidR="00592E1B" w:rsidRDefault="00592E1B" w:rsidP="000104FB">
                <w:pPr>
                  <w:jc w:val="both"/>
                  <w:rPr>
                    <w:rFonts w:asciiTheme="minorBidi" w:hAnsiTheme="minorBidi"/>
                    <w:sz w:val="24"/>
                    <w:szCs w:val="24"/>
                  </w:rPr>
                </w:pPr>
                <w:r>
                  <w:rPr>
                    <w:rFonts w:asciiTheme="minorBidi" w:hAnsiTheme="minorBidi"/>
                    <w:sz w:val="24"/>
                    <w:szCs w:val="24"/>
                  </w:rPr>
                  <w:t>(50,000)</w:t>
                </w:r>
              </w:p>
            </w:tc>
            <w:tc>
              <w:tcPr>
                <w:tcW w:w="1288" w:type="dxa"/>
              </w:tcPr>
              <w:p w14:paraId="298A025F" w14:textId="410B327D" w:rsidR="00592E1B" w:rsidRDefault="00592E1B" w:rsidP="000104FB">
                <w:pPr>
                  <w:jc w:val="both"/>
                  <w:rPr>
                    <w:rFonts w:asciiTheme="minorBidi" w:hAnsiTheme="minorBidi"/>
                    <w:sz w:val="24"/>
                    <w:szCs w:val="24"/>
                  </w:rPr>
                </w:pPr>
                <w:r>
                  <w:rPr>
                    <w:rFonts w:asciiTheme="minorBidi" w:hAnsiTheme="minorBidi"/>
                    <w:sz w:val="24"/>
                    <w:szCs w:val="24"/>
                  </w:rPr>
                  <w:t>30,000</w:t>
                </w:r>
              </w:p>
            </w:tc>
            <w:tc>
              <w:tcPr>
                <w:tcW w:w="1288" w:type="dxa"/>
              </w:tcPr>
              <w:p w14:paraId="2E89BD18" w14:textId="0B9615FF" w:rsidR="00592E1B" w:rsidRDefault="00592E1B" w:rsidP="000104FB">
                <w:pPr>
                  <w:jc w:val="both"/>
                  <w:rPr>
                    <w:rFonts w:asciiTheme="minorBidi" w:hAnsiTheme="minorBidi"/>
                    <w:sz w:val="24"/>
                    <w:szCs w:val="24"/>
                  </w:rPr>
                </w:pPr>
                <w:r>
                  <w:rPr>
                    <w:rFonts w:asciiTheme="minorBidi" w:hAnsiTheme="minorBidi"/>
                    <w:sz w:val="24"/>
                    <w:szCs w:val="24"/>
                  </w:rPr>
                  <w:t>180,000</w:t>
                </w:r>
              </w:p>
            </w:tc>
            <w:tc>
              <w:tcPr>
                <w:tcW w:w="1288" w:type="dxa"/>
              </w:tcPr>
              <w:p w14:paraId="75281F9A" w14:textId="2039DCE7" w:rsidR="00592E1B" w:rsidRDefault="00592E1B" w:rsidP="000104FB">
                <w:pPr>
                  <w:jc w:val="both"/>
                  <w:rPr>
                    <w:rFonts w:asciiTheme="minorBidi" w:hAnsiTheme="minorBidi"/>
                    <w:sz w:val="24"/>
                    <w:szCs w:val="24"/>
                  </w:rPr>
                </w:pPr>
                <w:r>
                  <w:rPr>
                    <w:rFonts w:asciiTheme="minorBidi" w:hAnsiTheme="minorBidi"/>
                    <w:sz w:val="24"/>
                    <w:szCs w:val="24"/>
                  </w:rPr>
                  <w:t>0.943</w:t>
                </w:r>
              </w:p>
            </w:tc>
            <w:tc>
              <w:tcPr>
                <w:tcW w:w="1288" w:type="dxa"/>
              </w:tcPr>
              <w:p w14:paraId="1F5147A4" w14:textId="5D9E1CB3" w:rsidR="00592E1B" w:rsidRDefault="00592E1B" w:rsidP="000104FB">
                <w:pPr>
                  <w:jc w:val="both"/>
                  <w:rPr>
                    <w:rFonts w:asciiTheme="minorBidi" w:hAnsiTheme="minorBidi"/>
                    <w:sz w:val="24"/>
                    <w:szCs w:val="24"/>
                  </w:rPr>
                </w:pPr>
                <w:r>
                  <w:rPr>
                    <w:rFonts w:asciiTheme="minorBidi" w:hAnsiTheme="minorBidi"/>
                    <w:sz w:val="24"/>
                    <w:szCs w:val="24"/>
                  </w:rPr>
                  <w:t>169,740</w:t>
                </w:r>
              </w:p>
            </w:tc>
          </w:tr>
          <w:tr w:rsidR="00592E1B" w14:paraId="3388EFC1" w14:textId="77777777" w:rsidTr="00336C1B">
            <w:tc>
              <w:tcPr>
                <w:tcW w:w="1129" w:type="dxa"/>
              </w:tcPr>
              <w:p w14:paraId="12736858" w14:textId="669116D0" w:rsidR="00592E1B" w:rsidRDefault="00592E1B" w:rsidP="000104FB">
                <w:pPr>
                  <w:jc w:val="both"/>
                  <w:rPr>
                    <w:rFonts w:asciiTheme="minorBidi" w:hAnsiTheme="minorBidi"/>
                    <w:sz w:val="24"/>
                    <w:szCs w:val="24"/>
                  </w:rPr>
                </w:pPr>
                <w:r>
                  <w:rPr>
                    <w:rFonts w:asciiTheme="minorBidi" w:hAnsiTheme="minorBidi"/>
                    <w:sz w:val="24"/>
                    <w:szCs w:val="24"/>
                  </w:rPr>
                  <w:t>2</w:t>
                </w:r>
              </w:p>
            </w:tc>
            <w:tc>
              <w:tcPr>
                <w:tcW w:w="1447" w:type="dxa"/>
              </w:tcPr>
              <w:p w14:paraId="7076C55E" w14:textId="6EF8CD60" w:rsidR="00592E1B" w:rsidRDefault="00592E1B" w:rsidP="000104FB">
                <w:pPr>
                  <w:jc w:val="both"/>
                  <w:rPr>
                    <w:rFonts w:asciiTheme="minorBidi" w:hAnsiTheme="minorBidi"/>
                    <w:sz w:val="24"/>
                    <w:szCs w:val="24"/>
                  </w:rPr>
                </w:pPr>
                <w:r>
                  <w:rPr>
                    <w:rFonts w:asciiTheme="minorBidi" w:hAnsiTheme="minorBidi"/>
                    <w:sz w:val="24"/>
                    <w:szCs w:val="24"/>
                  </w:rPr>
                  <w:t>400,000</w:t>
                </w:r>
              </w:p>
            </w:tc>
            <w:tc>
              <w:tcPr>
                <w:tcW w:w="1288" w:type="dxa"/>
              </w:tcPr>
              <w:p w14:paraId="177E9958" w14:textId="33F82A91" w:rsidR="00592E1B" w:rsidRDefault="00592E1B" w:rsidP="000104FB">
                <w:pPr>
                  <w:jc w:val="both"/>
                  <w:rPr>
                    <w:rFonts w:asciiTheme="minorBidi" w:hAnsiTheme="minorBidi"/>
                    <w:sz w:val="24"/>
                    <w:szCs w:val="24"/>
                  </w:rPr>
                </w:pPr>
                <w:r>
                  <w:rPr>
                    <w:rFonts w:asciiTheme="minorBidi" w:hAnsiTheme="minorBidi"/>
                    <w:sz w:val="24"/>
                    <w:szCs w:val="24"/>
                  </w:rPr>
                  <w:t>(100,000)</w:t>
                </w:r>
              </w:p>
            </w:tc>
            <w:tc>
              <w:tcPr>
                <w:tcW w:w="1288" w:type="dxa"/>
              </w:tcPr>
              <w:p w14:paraId="6ECD718C" w14:textId="1DAF088E" w:rsidR="00592E1B" w:rsidRDefault="00592E1B" w:rsidP="000104FB">
                <w:pPr>
                  <w:jc w:val="both"/>
                  <w:rPr>
                    <w:rFonts w:asciiTheme="minorBidi" w:hAnsiTheme="minorBidi"/>
                    <w:sz w:val="24"/>
                    <w:szCs w:val="24"/>
                  </w:rPr>
                </w:pPr>
                <w:r>
                  <w:rPr>
                    <w:rFonts w:asciiTheme="minorBidi" w:hAnsiTheme="minorBidi"/>
                    <w:sz w:val="24"/>
                    <w:szCs w:val="24"/>
                  </w:rPr>
                  <w:t>30,000</w:t>
                </w:r>
              </w:p>
            </w:tc>
            <w:tc>
              <w:tcPr>
                <w:tcW w:w="1288" w:type="dxa"/>
              </w:tcPr>
              <w:p w14:paraId="5A8A0AFC" w14:textId="427D0DBE" w:rsidR="00592E1B" w:rsidRDefault="00592E1B" w:rsidP="000104FB">
                <w:pPr>
                  <w:jc w:val="both"/>
                  <w:rPr>
                    <w:rFonts w:asciiTheme="minorBidi" w:hAnsiTheme="minorBidi"/>
                    <w:sz w:val="24"/>
                    <w:szCs w:val="24"/>
                  </w:rPr>
                </w:pPr>
                <w:r>
                  <w:rPr>
                    <w:rFonts w:asciiTheme="minorBidi" w:hAnsiTheme="minorBidi"/>
                    <w:sz w:val="24"/>
                    <w:szCs w:val="24"/>
                  </w:rPr>
                  <w:t>330,000</w:t>
                </w:r>
              </w:p>
            </w:tc>
            <w:tc>
              <w:tcPr>
                <w:tcW w:w="1288" w:type="dxa"/>
              </w:tcPr>
              <w:p w14:paraId="7CD43A96" w14:textId="0AA7EC57" w:rsidR="00592E1B" w:rsidRDefault="00592E1B" w:rsidP="000104FB">
                <w:pPr>
                  <w:jc w:val="both"/>
                  <w:rPr>
                    <w:rFonts w:asciiTheme="minorBidi" w:hAnsiTheme="minorBidi"/>
                    <w:sz w:val="24"/>
                    <w:szCs w:val="24"/>
                  </w:rPr>
                </w:pPr>
                <w:r>
                  <w:rPr>
                    <w:rFonts w:asciiTheme="minorBidi" w:hAnsiTheme="minorBidi"/>
                    <w:sz w:val="24"/>
                    <w:szCs w:val="24"/>
                  </w:rPr>
                  <w:t>0.890</w:t>
                </w:r>
              </w:p>
            </w:tc>
            <w:tc>
              <w:tcPr>
                <w:tcW w:w="1288" w:type="dxa"/>
              </w:tcPr>
              <w:p w14:paraId="74D892E9" w14:textId="4CE17DEA" w:rsidR="00592E1B" w:rsidRDefault="00592E1B" w:rsidP="000104FB">
                <w:pPr>
                  <w:jc w:val="both"/>
                  <w:rPr>
                    <w:rFonts w:asciiTheme="minorBidi" w:hAnsiTheme="minorBidi"/>
                    <w:sz w:val="24"/>
                    <w:szCs w:val="24"/>
                  </w:rPr>
                </w:pPr>
                <w:r>
                  <w:rPr>
                    <w:rFonts w:asciiTheme="minorBidi" w:hAnsiTheme="minorBidi"/>
                    <w:sz w:val="24"/>
                    <w:szCs w:val="24"/>
                  </w:rPr>
                  <w:t>293,700</w:t>
                </w:r>
              </w:p>
            </w:tc>
          </w:tr>
          <w:tr w:rsidR="00592E1B" w14:paraId="0CE0C555" w14:textId="77777777" w:rsidTr="00336C1B">
            <w:tc>
              <w:tcPr>
                <w:tcW w:w="1129" w:type="dxa"/>
              </w:tcPr>
              <w:p w14:paraId="27628360" w14:textId="6725087F" w:rsidR="00592E1B" w:rsidRDefault="00592E1B" w:rsidP="000104FB">
                <w:pPr>
                  <w:jc w:val="both"/>
                  <w:rPr>
                    <w:rFonts w:asciiTheme="minorBidi" w:hAnsiTheme="minorBidi"/>
                    <w:sz w:val="24"/>
                    <w:szCs w:val="24"/>
                  </w:rPr>
                </w:pPr>
                <w:r>
                  <w:rPr>
                    <w:rFonts w:asciiTheme="minorBidi" w:hAnsiTheme="minorBidi"/>
                    <w:sz w:val="24"/>
                    <w:szCs w:val="24"/>
                  </w:rPr>
                  <w:t>3</w:t>
                </w:r>
              </w:p>
            </w:tc>
            <w:tc>
              <w:tcPr>
                <w:tcW w:w="1447" w:type="dxa"/>
              </w:tcPr>
              <w:p w14:paraId="0956BF90" w14:textId="11E15463" w:rsidR="00592E1B" w:rsidRDefault="00592E1B" w:rsidP="000104FB">
                <w:pPr>
                  <w:jc w:val="both"/>
                  <w:rPr>
                    <w:rFonts w:asciiTheme="minorBidi" w:hAnsiTheme="minorBidi"/>
                    <w:sz w:val="24"/>
                    <w:szCs w:val="24"/>
                  </w:rPr>
                </w:pPr>
                <w:r>
                  <w:rPr>
                    <w:rFonts w:asciiTheme="minorBidi" w:hAnsiTheme="minorBidi"/>
                    <w:sz w:val="24"/>
                    <w:szCs w:val="24"/>
                  </w:rPr>
                  <w:t>500,000</w:t>
                </w:r>
              </w:p>
            </w:tc>
            <w:tc>
              <w:tcPr>
                <w:tcW w:w="1288" w:type="dxa"/>
              </w:tcPr>
              <w:p w14:paraId="5FFFA7F0" w14:textId="4A8E5138" w:rsidR="00592E1B" w:rsidRDefault="00592E1B" w:rsidP="000104FB">
                <w:pPr>
                  <w:jc w:val="both"/>
                  <w:rPr>
                    <w:rFonts w:asciiTheme="minorBidi" w:hAnsiTheme="minorBidi"/>
                    <w:sz w:val="24"/>
                    <w:szCs w:val="24"/>
                  </w:rPr>
                </w:pPr>
                <w:r>
                  <w:rPr>
                    <w:rFonts w:asciiTheme="minorBidi" w:hAnsiTheme="minorBidi"/>
                    <w:sz w:val="24"/>
                    <w:szCs w:val="24"/>
                  </w:rPr>
                  <w:t>(125,000)</w:t>
                </w:r>
              </w:p>
            </w:tc>
            <w:tc>
              <w:tcPr>
                <w:tcW w:w="1288" w:type="dxa"/>
              </w:tcPr>
              <w:p w14:paraId="6DDA9DF7" w14:textId="59DBAC26" w:rsidR="00592E1B" w:rsidRDefault="00592E1B" w:rsidP="000104FB">
                <w:pPr>
                  <w:jc w:val="both"/>
                  <w:rPr>
                    <w:rFonts w:asciiTheme="minorBidi" w:hAnsiTheme="minorBidi"/>
                    <w:sz w:val="24"/>
                    <w:szCs w:val="24"/>
                  </w:rPr>
                </w:pPr>
                <w:r>
                  <w:rPr>
                    <w:rFonts w:asciiTheme="minorBidi" w:hAnsiTheme="minorBidi"/>
                    <w:sz w:val="24"/>
                    <w:szCs w:val="24"/>
                  </w:rPr>
                  <w:t>30,000</w:t>
                </w:r>
              </w:p>
            </w:tc>
            <w:tc>
              <w:tcPr>
                <w:tcW w:w="1288" w:type="dxa"/>
              </w:tcPr>
              <w:p w14:paraId="76EB0FA1" w14:textId="5EB5459A" w:rsidR="00592E1B" w:rsidRDefault="00592E1B" w:rsidP="000104FB">
                <w:pPr>
                  <w:jc w:val="both"/>
                  <w:rPr>
                    <w:rFonts w:asciiTheme="minorBidi" w:hAnsiTheme="minorBidi"/>
                    <w:sz w:val="24"/>
                    <w:szCs w:val="24"/>
                  </w:rPr>
                </w:pPr>
                <w:r>
                  <w:rPr>
                    <w:rFonts w:asciiTheme="minorBidi" w:hAnsiTheme="minorBidi"/>
                    <w:sz w:val="24"/>
                    <w:szCs w:val="24"/>
                  </w:rPr>
                  <w:t>405,000</w:t>
                </w:r>
              </w:p>
            </w:tc>
            <w:tc>
              <w:tcPr>
                <w:tcW w:w="1288" w:type="dxa"/>
              </w:tcPr>
              <w:p w14:paraId="32C379EB" w14:textId="53617763" w:rsidR="00592E1B" w:rsidRDefault="00592E1B" w:rsidP="000104FB">
                <w:pPr>
                  <w:jc w:val="both"/>
                  <w:rPr>
                    <w:rFonts w:asciiTheme="minorBidi" w:hAnsiTheme="minorBidi"/>
                    <w:sz w:val="24"/>
                    <w:szCs w:val="24"/>
                  </w:rPr>
                </w:pPr>
                <w:r>
                  <w:rPr>
                    <w:rFonts w:asciiTheme="minorBidi" w:hAnsiTheme="minorBidi"/>
                    <w:sz w:val="24"/>
                    <w:szCs w:val="24"/>
                  </w:rPr>
                  <w:t>0.840</w:t>
                </w:r>
              </w:p>
            </w:tc>
            <w:tc>
              <w:tcPr>
                <w:tcW w:w="1288" w:type="dxa"/>
              </w:tcPr>
              <w:p w14:paraId="1028EB8A" w14:textId="76F5164A" w:rsidR="00592E1B" w:rsidRDefault="00592E1B" w:rsidP="000104FB">
                <w:pPr>
                  <w:jc w:val="both"/>
                  <w:rPr>
                    <w:rFonts w:asciiTheme="minorBidi" w:hAnsiTheme="minorBidi"/>
                    <w:sz w:val="24"/>
                    <w:szCs w:val="24"/>
                  </w:rPr>
                </w:pPr>
                <w:r>
                  <w:rPr>
                    <w:rFonts w:asciiTheme="minorBidi" w:hAnsiTheme="minorBidi"/>
                    <w:sz w:val="24"/>
                    <w:szCs w:val="24"/>
                  </w:rPr>
                  <w:t>340,200</w:t>
                </w:r>
              </w:p>
            </w:tc>
          </w:tr>
          <w:tr w:rsidR="00592E1B" w14:paraId="030013CD" w14:textId="77777777" w:rsidTr="00336C1B">
            <w:tc>
              <w:tcPr>
                <w:tcW w:w="1129" w:type="dxa"/>
              </w:tcPr>
              <w:p w14:paraId="25FF0A33" w14:textId="12C3CF4C" w:rsidR="00592E1B" w:rsidRDefault="00592E1B" w:rsidP="000104FB">
                <w:pPr>
                  <w:jc w:val="both"/>
                  <w:rPr>
                    <w:rFonts w:asciiTheme="minorBidi" w:hAnsiTheme="minorBidi"/>
                    <w:sz w:val="24"/>
                    <w:szCs w:val="24"/>
                  </w:rPr>
                </w:pPr>
                <w:r>
                  <w:rPr>
                    <w:rFonts w:asciiTheme="minorBidi" w:hAnsiTheme="minorBidi"/>
                    <w:sz w:val="24"/>
                    <w:szCs w:val="24"/>
                  </w:rPr>
                  <w:t>4</w:t>
                </w:r>
              </w:p>
            </w:tc>
            <w:tc>
              <w:tcPr>
                <w:tcW w:w="1447" w:type="dxa"/>
              </w:tcPr>
              <w:p w14:paraId="44370278" w14:textId="03C86B0F" w:rsidR="00592E1B" w:rsidRDefault="00592E1B" w:rsidP="000104FB">
                <w:pPr>
                  <w:jc w:val="both"/>
                  <w:rPr>
                    <w:rFonts w:asciiTheme="minorBidi" w:hAnsiTheme="minorBidi"/>
                    <w:sz w:val="24"/>
                    <w:szCs w:val="24"/>
                  </w:rPr>
                </w:pPr>
                <w:r>
                  <w:rPr>
                    <w:rFonts w:asciiTheme="minorBidi" w:hAnsiTheme="minorBidi"/>
                    <w:sz w:val="24"/>
                    <w:szCs w:val="24"/>
                  </w:rPr>
                  <w:t>700,000</w:t>
                </w:r>
              </w:p>
            </w:tc>
            <w:tc>
              <w:tcPr>
                <w:tcW w:w="1288" w:type="dxa"/>
              </w:tcPr>
              <w:p w14:paraId="0D669B6D" w14:textId="7FC92A3E" w:rsidR="00592E1B" w:rsidRDefault="00592E1B" w:rsidP="000104FB">
                <w:pPr>
                  <w:jc w:val="both"/>
                  <w:rPr>
                    <w:rFonts w:asciiTheme="minorBidi" w:hAnsiTheme="minorBidi"/>
                    <w:sz w:val="24"/>
                    <w:szCs w:val="24"/>
                  </w:rPr>
                </w:pPr>
                <w:r>
                  <w:rPr>
                    <w:rFonts w:asciiTheme="minorBidi" w:hAnsiTheme="minorBidi"/>
                    <w:sz w:val="24"/>
                    <w:szCs w:val="24"/>
                  </w:rPr>
                  <w:t>(175,000)</w:t>
                </w:r>
              </w:p>
            </w:tc>
            <w:tc>
              <w:tcPr>
                <w:tcW w:w="1288" w:type="dxa"/>
              </w:tcPr>
              <w:p w14:paraId="3465524E" w14:textId="4E78BD9E" w:rsidR="00592E1B" w:rsidRDefault="00592E1B" w:rsidP="000104FB">
                <w:pPr>
                  <w:jc w:val="both"/>
                  <w:rPr>
                    <w:rFonts w:asciiTheme="minorBidi" w:hAnsiTheme="minorBidi"/>
                    <w:sz w:val="24"/>
                    <w:szCs w:val="24"/>
                  </w:rPr>
                </w:pPr>
                <w:r>
                  <w:rPr>
                    <w:rFonts w:asciiTheme="minorBidi" w:hAnsiTheme="minorBidi"/>
                    <w:sz w:val="24"/>
                    <w:szCs w:val="24"/>
                  </w:rPr>
                  <w:t>60,000</w:t>
                </w:r>
              </w:p>
            </w:tc>
            <w:tc>
              <w:tcPr>
                <w:tcW w:w="1288" w:type="dxa"/>
              </w:tcPr>
              <w:p w14:paraId="2E134C89" w14:textId="3B73C077" w:rsidR="00592E1B" w:rsidRDefault="00592E1B" w:rsidP="000104FB">
                <w:pPr>
                  <w:jc w:val="both"/>
                  <w:rPr>
                    <w:rFonts w:asciiTheme="minorBidi" w:hAnsiTheme="minorBidi"/>
                    <w:sz w:val="24"/>
                    <w:szCs w:val="24"/>
                  </w:rPr>
                </w:pPr>
                <w:r>
                  <w:rPr>
                    <w:rFonts w:asciiTheme="minorBidi" w:hAnsiTheme="minorBidi"/>
                    <w:sz w:val="24"/>
                    <w:szCs w:val="24"/>
                  </w:rPr>
                  <w:t>585,000</w:t>
                </w:r>
              </w:p>
            </w:tc>
            <w:tc>
              <w:tcPr>
                <w:tcW w:w="1288" w:type="dxa"/>
              </w:tcPr>
              <w:p w14:paraId="356BE136" w14:textId="77128828" w:rsidR="00592E1B" w:rsidRDefault="00592E1B" w:rsidP="000104FB">
                <w:pPr>
                  <w:jc w:val="both"/>
                  <w:rPr>
                    <w:rFonts w:asciiTheme="minorBidi" w:hAnsiTheme="minorBidi"/>
                    <w:sz w:val="24"/>
                    <w:szCs w:val="24"/>
                  </w:rPr>
                </w:pPr>
                <w:r>
                  <w:rPr>
                    <w:rFonts w:asciiTheme="minorBidi" w:hAnsiTheme="minorBidi"/>
                    <w:sz w:val="24"/>
                    <w:szCs w:val="24"/>
                  </w:rPr>
                  <w:t>0.792</w:t>
                </w:r>
              </w:p>
            </w:tc>
            <w:tc>
              <w:tcPr>
                <w:tcW w:w="1288" w:type="dxa"/>
              </w:tcPr>
              <w:p w14:paraId="06ABAC5D" w14:textId="28F2BEE8" w:rsidR="00592E1B" w:rsidRDefault="00592E1B" w:rsidP="000104FB">
                <w:pPr>
                  <w:jc w:val="both"/>
                  <w:rPr>
                    <w:rFonts w:asciiTheme="minorBidi" w:hAnsiTheme="minorBidi"/>
                    <w:sz w:val="24"/>
                    <w:szCs w:val="24"/>
                  </w:rPr>
                </w:pPr>
                <w:r>
                  <w:rPr>
                    <w:rFonts w:asciiTheme="minorBidi" w:hAnsiTheme="minorBidi"/>
                    <w:sz w:val="24"/>
                    <w:szCs w:val="24"/>
                  </w:rPr>
                  <w:t>463,320</w:t>
                </w:r>
              </w:p>
            </w:tc>
          </w:tr>
          <w:tr w:rsidR="00592E1B" w14:paraId="0CB452C9" w14:textId="77777777" w:rsidTr="00336C1B">
            <w:tc>
              <w:tcPr>
                <w:tcW w:w="1129" w:type="dxa"/>
              </w:tcPr>
              <w:p w14:paraId="350452CD" w14:textId="5EB02CA0" w:rsidR="00592E1B" w:rsidRDefault="00592E1B" w:rsidP="000104FB">
                <w:pPr>
                  <w:jc w:val="both"/>
                  <w:rPr>
                    <w:rFonts w:asciiTheme="minorBidi" w:hAnsiTheme="minorBidi"/>
                    <w:sz w:val="24"/>
                    <w:szCs w:val="24"/>
                  </w:rPr>
                </w:pPr>
                <w:r>
                  <w:rPr>
                    <w:rFonts w:asciiTheme="minorBidi" w:hAnsiTheme="minorBidi"/>
                    <w:sz w:val="24"/>
                    <w:szCs w:val="24"/>
                  </w:rPr>
                  <w:t xml:space="preserve">Total </w:t>
                </w:r>
              </w:p>
            </w:tc>
            <w:tc>
              <w:tcPr>
                <w:tcW w:w="1447" w:type="dxa"/>
              </w:tcPr>
              <w:p w14:paraId="01E94637" w14:textId="77777777" w:rsidR="00592E1B" w:rsidRDefault="00592E1B" w:rsidP="000104FB">
                <w:pPr>
                  <w:jc w:val="both"/>
                  <w:rPr>
                    <w:rFonts w:asciiTheme="minorBidi" w:hAnsiTheme="minorBidi"/>
                    <w:sz w:val="24"/>
                    <w:szCs w:val="24"/>
                  </w:rPr>
                </w:pPr>
              </w:p>
            </w:tc>
            <w:tc>
              <w:tcPr>
                <w:tcW w:w="1288" w:type="dxa"/>
              </w:tcPr>
              <w:p w14:paraId="6D3757E3" w14:textId="77777777" w:rsidR="00592E1B" w:rsidRDefault="00592E1B" w:rsidP="000104FB">
                <w:pPr>
                  <w:jc w:val="both"/>
                  <w:rPr>
                    <w:rFonts w:asciiTheme="minorBidi" w:hAnsiTheme="minorBidi"/>
                    <w:sz w:val="24"/>
                    <w:szCs w:val="24"/>
                  </w:rPr>
                </w:pPr>
              </w:p>
            </w:tc>
            <w:tc>
              <w:tcPr>
                <w:tcW w:w="1288" w:type="dxa"/>
              </w:tcPr>
              <w:p w14:paraId="7F338A3D" w14:textId="77777777" w:rsidR="00592E1B" w:rsidRDefault="00592E1B" w:rsidP="000104FB">
                <w:pPr>
                  <w:jc w:val="both"/>
                  <w:rPr>
                    <w:rFonts w:asciiTheme="minorBidi" w:hAnsiTheme="minorBidi"/>
                    <w:sz w:val="24"/>
                    <w:szCs w:val="24"/>
                  </w:rPr>
                </w:pPr>
              </w:p>
            </w:tc>
            <w:tc>
              <w:tcPr>
                <w:tcW w:w="1288" w:type="dxa"/>
              </w:tcPr>
              <w:p w14:paraId="774B30C8" w14:textId="77777777" w:rsidR="00592E1B" w:rsidRDefault="00592E1B" w:rsidP="000104FB">
                <w:pPr>
                  <w:jc w:val="both"/>
                  <w:rPr>
                    <w:rFonts w:asciiTheme="minorBidi" w:hAnsiTheme="minorBidi"/>
                    <w:sz w:val="24"/>
                    <w:szCs w:val="24"/>
                  </w:rPr>
                </w:pPr>
              </w:p>
            </w:tc>
            <w:tc>
              <w:tcPr>
                <w:tcW w:w="1288" w:type="dxa"/>
              </w:tcPr>
              <w:p w14:paraId="1A9B54C8" w14:textId="495A0302" w:rsidR="00592E1B" w:rsidRDefault="00592E1B" w:rsidP="000104FB">
                <w:pPr>
                  <w:jc w:val="both"/>
                  <w:rPr>
                    <w:rFonts w:asciiTheme="minorBidi" w:hAnsiTheme="minorBidi"/>
                    <w:sz w:val="24"/>
                    <w:szCs w:val="24"/>
                  </w:rPr>
                </w:pPr>
                <w:r>
                  <w:rPr>
                    <w:rFonts w:asciiTheme="minorBidi" w:hAnsiTheme="minorBidi"/>
                    <w:sz w:val="24"/>
                    <w:szCs w:val="24"/>
                  </w:rPr>
                  <w:t>NPV</w:t>
                </w:r>
              </w:p>
            </w:tc>
            <w:tc>
              <w:tcPr>
                <w:tcW w:w="1288" w:type="dxa"/>
              </w:tcPr>
              <w:p w14:paraId="54103454" w14:textId="6F4C227C" w:rsidR="00592E1B" w:rsidRDefault="00592E1B" w:rsidP="000104FB">
                <w:pPr>
                  <w:jc w:val="both"/>
                  <w:rPr>
                    <w:rFonts w:asciiTheme="minorBidi" w:hAnsiTheme="minorBidi"/>
                    <w:sz w:val="24"/>
                    <w:szCs w:val="24"/>
                  </w:rPr>
                </w:pPr>
                <w:r>
                  <w:rPr>
                    <w:rFonts w:asciiTheme="minorBidi" w:hAnsiTheme="minorBidi"/>
                    <w:sz w:val="24"/>
                    <w:szCs w:val="24"/>
                  </w:rPr>
                  <w:t>£666,960</w:t>
                </w:r>
              </w:p>
            </w:tc>
          </w:tr>
        </w:tbl>
        <w:p w14:paraId="1CD1D543" w14:textId="7C1C6CC5" w:rsidR="00592E1B" w:rsidRDefault="000104FB" w:rsidP="000104FB">
          <w:pPr>
            <w:pStyle w:val="Heading3"/>
            <w:jc w:val="both"/>
          </w:pPr>
          <w:bookmarkStart w:id="20" w:name="_Toc219110423"/>
          <w:r w:rsidRPr="000104FB">
            <w:t>Table 8: Net Present Value Calculation for Option A (Retail</w:t>
          </w:r>
          <w:r>
            <w:t>)</w:t>
          </w:r>
          <w:bookmarkEnd w:id="20"/>
        </w:p>
        <w:p w14:paraId="1A184343" w14:textId="77777777" w:rsidR="000104FB" w:rsidRDefault="000104FB" w:rsidP="000104FB">
          <w:pPr>
            <w:jc w:val="both"/>
            <w:rPr>
              <w:rFonts w:asciiTheme="minorBidi" w:hAnsiTheme="minorBidi"/>
              <w:sz w:val="24"/>
              <w:szCs w:val="24"/>
            </w:rPr>
          </w:pPr>
        </w:p>
        <w:p w14:paraId="090507B8" w14:textId="77777777" w:rsidR="000104FB" w:rsidRDefault="000104FB" w:rsidP="000104FB">
          <w:pPr>
            <w:jc w:val="both"/>
            <w:rPr>
              <w:rFonts w:asciiTheme="minorBidi" w:hAnsiTheme="minorBidi"/>
              <w:sz w:val="24"/>
              <w:szCs w:val="24"/>
            </w:rPr>
          </w:pPr>
        </w:p>
        <w:p w14:paraId="77D2112F"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lastRenderedPageBreak/>
            <w:t>The Net Present Value (NPV) calculation for Option A results in a positive £666,960. This figure represents the immediate increase in shareholder wealth if Westward PLC pursues the retail expansion, after covering all costs and satisfying the 6% return requirement.</w:t>
          </w:r>
        </w:p>
        <w:p w14:paraId="50EA2D69"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The robust result is driven by three specific financial mechanisms shown in your table:</w:t>
          </w:r>
        </w:p>
        <w:p w14:paraId="42DD005E"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 xml:space="preserve">1. The "Tax Shield" Efficiency The calculation recognizes that capital expenditure is not immediately tax-deductible. Instead, the £600,000 investment is written down via Capital Allowances at 20% per year (£120,000). Since corporation tax is 25%, this depreciation saves the company £30,000 in tax payments annually (£120,000 × 25%). In the table, this is treated as a positive cash inflow because it is cash </w:t>
          </w:r>
          <w:r w:rsidRPr="000104FB">
            <w:rPr>
              <w:rFonts w:asciiTheme="minorBidi" w:hAnsiTheme="minorBidi"/>
              <w:i/>
              <w:iCs/>
              <w:sz w:val="24"/>
              <w:szCs w:val="24"/>
            </w:rPr>
            <w:t>saved</w:t>
          </w:r>
          <w:r w:rsidRPr="000104FB">
            <w:rPr>
              <w:rFonts w:asciiTheme="minorBidi" w:hAnsiTheme="minorBidi"/>
              <w:sz w:val="24"/>
              <w:szCs w:val="24"/>
            </w:rPr>
            <w:t xml:space="preserve"> that would otherwise have gone to the tax authorities.</w:t>
          </w:r>
        </w:p>
        <w:p w14:paraId="3363ED37" w14:textId="4EC922B8"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2. The "Balancing Allowance" in Year 4</w:t>
          </w:r>
          <w:r>
            <w:rPr>
              <w:rFonts w:asciiTheme="minorBidi" w:hAnsiTheme="minorBidi"/>
              <w:sz w:val="24"/>
              <w:szCs w:val="24"/>
            </w:rPr>
            <w:t xml:space="preserve">, </w:t>
          </w:r>
          <w:r w:rsidRPr="000104FB">
            <w:rPr>
              <w:rFonts w:asciiTheme="minorBidi" w:hAnsiTheme="minorBidi"/>
              <w:sz w:val="24"/>
              <w:szCs w:val="24"/>
            </w:rPr>
            <w:t>the Tax Shield jumps to £60,000 in Year 4. This is a critical adjustment. By the end of the four-year project, the asset has only been depreciated by 80% (20% × 4 years), leaving £120,000 of the asset's value unclaimed for tax purposes. To close the project accounts, the company claims a Balancing Allowance on this remaining £120,000.</w:t>
          </w:r>
        </w:p>
        <w:p w14:paraId="1B90335F" w14:textId="77777777" w:rsidR="000104FB" w:rsidRPr="000104FB" w:rsidRDefault="000104FB" w:rsidP="000104FB">
          <w:pPr>
            <w:numPr>
              <w:ilvl w:val="0"/>
              <w:numId w:val="69"/>
            </w:numPr>
            <w:jc w:val="both"/>
            <w:rPr>
              <w:rFonts w:asciiTheme="minorBidi" w:hAnsiTheme="minorBidi"/>
              <w:sz w:val="24"/>
              <w:szCs w:val="24"/>
            </w:rPr>
          </w:pPr>
          <w:r w:rsidRPr="000104FB">
            <w:rPr>
              <w:rFonts w:asciiTheme="minorBidi" w:hAnsiTheme="minorBidi"/>
              <w:i/>
              <w:iCs/>
              <w:sz w:val="24"/>
              <w:szCs w:val="24"/>
            </w:rPr>
            <w:t>Standard Year 4 Relief:</w:t>
          </w:r>
          <w:r w:rsidRPr="000104FB">
            <w:rPr>
              <w:rFonts w:asciiTheme="minorBidi" w:hAnsiTheme="minorBidi"/>
              <w:sz w:val="24"/>
              <w:szCs w:val="24"/>
            </w:rPr>
            <w:t xml:space="preserve"> £30,000</w:t>
          </w:r>
        </w:p>
        <w:p w14:paraId="060F7591" w14:textId="77777777" w:rsidR="000104FB" w:rsidRPr="000104FB" w:rsidRDefault="000104FB" w:rsidP="000104FB">
          <w:pPr>
            <w:numPr>
              <w:ilvl w:val="0"/>
              <w:numId w:val="69"/>
            </w:numPr>
            <w:jc w:val="both"/>
            <w:rPr>
              <w:rFonts w:asciiTheme="minorBidi" w:hAnsiTheme="minorBidi"/>
              <w:sz w:val="24"/>
              <w:szCs w:val="24"/>
            </w:rPr>
          </w:pPr>
          <w:r w:rsidRPr="000104FB">
            <w:rPr>
              <w:rFonts w:asciiTheme="minorBidi" w:hAnsiTheme="minorBidi"/>
              <w:i/>
              <w:iCs/>
              <w:sz w:val="24"/>
              <w:szCs w:val="24"/>
            </w:rPr>
            <w:t>Balancing Relief:</w:t>
          </w:r>
          <w:r w:rsidRPr="000104FB">
            <w:rPr>
              <w:rFonts w:asciiTheme="minorBidi" w:hAnsiTheme="minorBidi"/>
              <w:sz w:val="24"/>
              <w:szCs w:val="24"/>
            </w:rPr>
            <w:t xml:space="preserve"> £30,000 (£120,000 remaining value × 25%)</w:t>
          </w:r>
        </w:p>
        <w:p w14:paraId="1A1DFC0B" w14:textId="77777777" w:rsidR="000104FB" w:rsidRPr="000104FB" w:rsidRDefault="000104FB" w:rsidP="000104FB">
          <w:pPr>
            <w:numPr>
              <w:ilvl w:val="0"/>
              <w:numId w:val="69"/>
            </w:numPr>
            <w:jc w:val="both"/>
            <w:rPr>
              <w:rFonts w:asciiTheme="minorBidi" w:hAnsiTheme="minorBidi"/>
              <w:sz w:val="24"/>
              <w:szCs w:val="24"/>
            </w:rPr>
          </w:pPr>
          <w:r w:rsidRPr="000104FB">
            <w:rPr>
              <w:rFonts w:asciiTheme="minorBidi" w:hAnsiTheme="minorBidi"/>
              <w:sz w:val="24"/>
              <w:szCs w:val="24"/>
            </w:rPr>
            <w:t>Total Year 4 Shield: £60,000. This final tax boost significantly aids the project's viability.</w:t>
          </w:r>
        </w:p>
        <w:p w14:paraId="0B5AE699" w14:textId="77777777" w:rsidR="000104FB" w:rsidRPr="000104FB" w:rsidRDefault="000104FB" w:rsidP="000104FB">
          <w:pPr>
            <w:jc w:val="both"/>
            <w:rPr>
              <w:rFonts w:asciiTheme="minorBidi" w:hAnsiTheme="minorBidi"/>
              <w:sz w:val="24"/>
              <w:szCs w:val="24"/>
            </w:rPr>
          </w:pPr>
          <w:r w:rsidRPr="000104FB">
            <w:rPr>
              <w:rFonts w:asciiTheme="minorBidi" w:hAnsiTheme="minorBidi"/>
              <w:sz w:val="24"/>
              <w:szCs w:val="24"/>
            </w:rPr>
            <w:t>3. The Time Value of Money (Discounting) The raw total of the "Net Cash Flow" column is much higher than the NPV, but we must adjust for risk and inflation. We apply a 6% Discount Factor because £1 received in Year 4 is worth less than £1 today. For example, while the project generates a massive £585,000 in Year 4, its value in today's money is only £463,320.</w:t>
          </w:r>
        </w:p>
        <w:p w14:paraId="47C0216A" w14:textId="77777777" w:rsidR="000104FB" w:rsidRDefault="000104FB" w:rsidP="000104FB">
          <w:pPr>
            <w:jc w:val="both"/>
            <w:rPr>
              <w:rFonts w:asciiTheme="minorBidi" w:hAnsiTheme="minorBidi"/>
              <w:sz w:val="24"/>
              <w:szCs w:val="24"/>
            </w:rPr>
          </w:pPr>
          <w:r w:rsidRPr="000104FB">
            <w:rPr>
              <w:rFonts w:asciiTheme="minorBidi" w:hAnsiTheme="minorBidi"/>
              <w:sz w:val="24"/>
              <w:szCs w:val="24"/>
            </w:rPr>
            <w:t>Since the sum of these discounted inflows (£1,266,960) exceeds the initial £600,000 outlay by £666,960, the project is financially sound and exceeds the Board's required rate of return.</w:t>
          </w:r>
        </w:p>
        <w:p w14:paraId="01B719D5" w14:textId="6C37DD78" w:rsidR="00592E1B" w:rsidRPr="000104FB" w:rsidRDefault="000104FB" w:rsidP="000104FB">
          <w:pPr>
            <w:pStyle w:val="Heading4"/>
            <w:jc w:val="both"/>
            <w:rPr>
              <w:rFonts w:eastAsiaTheme="minorHAnsi" w:cstheme="minorBidi"/>
              <w:color w:val="auto"/>
              <w:szCs w:val="24"/>
            </w:rPr>
          </w:pPr>
          <w:r>
            <w:rPr>
              <w:szCs w:val="24"/>
            </w:rPr>
            <w:t xml:space="preserve">2.2 </w:t>
          </w:r>
          <w:r w:rsidR="00592E1B">
            <w:t xml:space="preserve">Option B: Internet </w:t>
          </w:r>
        </w:p>
        <w:p w14:paraId="6245F591" w14:textId="77777777" w:rsidR="00592E1B" w:rsidRPr="00592E1B" w:rsidRDefault="00592E1B" w:rsidP="000104FB">
          <w:pPr>
            <w:pStyle w:val="ListParagraph"/>
            <w:numPr>
              <w:ilvl w:val="0"/>
              <w:numId w:val="48"/>
            </w:numPr>
            <w:spacing w:after="100" w:afterAutospacing="1" w:line="240" w:lineRule="auto"/>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Initial Cost: £1,000,000</w:t>
          </w:r>
        </w:p>
        <w:p w14:paraId="5EB90A98" w14:textId="36DB76B8" w:rsidR="00592E1B" w:rsidRPr="00592E1B" w:rsidRDefault="00592E1B" w:rsidP="000104FB">
          <w:pPr>
            <w:pStyle w:val="ListParagraph"/>
            <w:numPr>
              <w:ilvl w:val="0"/>
              <w:numId w:val="48"/>
            </w:numPr>
            <w:spacing w:after="100" w:afterAutospacing="1" w:line="240" w:lineRule="auto"/>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 xml:space="preserve">Annual Capital Allowance: £1,000,000 </w:t>
          </w:r>
          <w:r>
            <w:rPr>
              <w:rFonts w:ascii="Arial" w:eastAsia="Times New Roman" w:hAnsi="Arial" w:cs="Arial"/>
              <w:sz w:val="24"/>
              <w:szCs w:val="24"/>
              <w:lang w:eastAsia="en-GB" w:bidi="gu-IN"/>
            </w:rPr>
            <w:t>*</w:t>
          </w:r>
          <w:r w:rsidRPr="00592E1B">
            <w:rPr>
              <w:rFonts w:ascii="Arial" w:eastAsia="Times New Roman" w:hAnsi="Arial" w:cs="Arial"/>
              <w:sz w:val="24"/>
              <w:szCs w:val="24"/>
              <w:lang w:eastAsia="en-GB" w:bidi="gu-IN"/>
            </w:rPr>
            <w:t xml:space="preserve"> 20% = £200,000</w:t>
          </w:r>
        </w:p>
        <w:p w14:paraId="4EB9B503" w14:textId="1B06F05A" w:rsidR="00592E1B" w:rsidRDefault="00592E1B" w:rsidP="000104FB">
          <w:pPr>
            <w:pStyle w:val="ListParagraph"/>
            <w:numPr>
              <w:ilvl w:val="0"/>
              <w:numId w:val="48"/>
            </w:numPr>
            <w:spacing w:after="100" w:afterAutospacing="1" w:line="240" w:lineRule="auto"/>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 xml:space="preserve">Annual Tax Shield: £200,000 </w:t>
          </w:r>
          <w:r>
            <w:rPr>
              <w:rFonts w:ascii="Arial" w:eastAsia="Times New Roman" w:hAnsi="Arial" w:cs="Arial"/>
              <w:sz w:val="24"/>
              <w:szCs w:val="24"/>
              <w:lang w:eastAsia="en-GB" w:bidi="gu-IN"/>
            </w:rPr>
            <w:t>*</w:t>
          </w:r>
          <w:r w:rsidRPr="00592E1B">
            <w:rPr>
              <w:rFonts w:ascii="Arial" w:eastAsia="Times New Roman" w:hAnsi="Arial" w:cs="Arial"/>
              <w:sz w:val="24"/>
              <w:szCs w:val="24"/>
              <w:lang w:eastAsia="en-GB" w:bidi="gu-IN"/>
            </w:rPr>
            <w:t xml:space="preserve"> 25% = £50,000</w:t>
          </w:r>
        </w:p>
        <w:p w14:paraId="58D3142A" w14:textId="77777777" w:rsidR="000104FB" w:rsidRDefault="000104FB" w:rsidP="000104FB">
          <w:pPr>
            <w:spacing w:after="100" w:afterAutospacing="1" w:line="240" w:lineRule="auto"/>
            <w:jc w:val="both"/>
            <w:rPr>
              <w:rFonts w:ascii="Arial" w:eastAsia="Times New Roman" w:hAnsi="Arial" w:cs="Arial"/>
              <w:sz w:val="24"/>
              <w:szCs w:val="24"/>
              <w:lang w:eastAsia="en-GB" w:bidi="gu-IN"/>
            </w:rPr>
          </w:pPr>
        </w:p>
        <w:p w14:paraId="0B999CB6" w14:textId="77777777" w:rsidR="000104FB" w:rsidRDefault="000104FB" w:rsidP="000104FB">
          <w:pPr>
            <w:spacing w:after="100" w:afterAutospacing="1" w:line="240" w:lineRule="auto"/>
            <w:jc w:val="both"/>
            <w:rPr>
              <w:rFonts w:ascii="Arial" w:eastAsia="Times New Roman" w:hAnsi="Arial" w:cs="Arial"/>
              <w:sz w:val="24"/>
              <w:szCs w:val="24"/>
              <w:lang w:eastAsia="en-GB" w:bidi="gu-IN"/>
            </w:rPr>
          </w:pPr>
        </w:p>
        <w:p w14:paraId="50C819FC"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p>
        <w:tbl>
          <w:tblPr>
            <w:tblStyle w:val="TableGrid"/>
            <w:tblW w:w="0" w:type="auto"/>
            <w:tblLook w:val="04A0" w:firstRow="1" w:lastRow="0" w:firstColumn="1" w:lastColumn="0" w:noHBand="0" w:noVBand="1"/>
          </w:tblPr>
          <w:tblGrid>
            <w:gridCol w:w="807"/>
            <w:gridCol w:w="1614"/>
            <w:gridCol w:w="1270"/>
            <w:gridCol w:w="1205"/>
            <w:gridCol w:w="1444"/>
            <w:gridCol w:w="1232"/>
            <w:gridCol w:w="1444"/>
          </w:tblGrid>
          <w:tr w:rsidR="00592E1B" w14:paraId="709FA9B4" w14:textId="77777777" w:rsidTr="000104FB">
            <w:tc>
              <w:tcPr>
                <w:tcW w:w="807" w:type="dxa"/>
              </w:tcPr>
              <w:p w14:paraId="0F6ECC88" w14:textId="1031FE53"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Year</w:t>
                </w:r>
              </w:p>
            </w:tc>
            <w:tc>
              <w:tcPr>
                <w:tcW w:w="1614" w:type="dxa"/>
              </w:tcPr>
              <w:p w14:paraId="28A9402B" w14:textId="5AB501C0"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Operating Cash Flow (£)</w:t>
                </w:r>
              </w:p>
            </w:tc>
            <w:tc>
              <w:tcPr>
                <w:tcW w:w="1270" w:type="dxa"/>
              </w:tcPr>
              <w:p w14:paraId="000F8565" w14:textId="1F756F24"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Tax on Ops (25%) (£)</w:t>
                </w:r>
              </w:p>
            </w:tc>
            <w:tc>
              <w:tcPr>
                <w:tcW w:w="1205" w:type="dxa"/>
              </w:tcPr>
              <w:p w14:paraId="6E7D2A03" w14:textId="3140BC77"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Tax Shield on CA (£)</w:t>
                </w:r>
              </w:p>
            </w:tc>
            <w:tc>
              <w:tcPr>
                <w:tcW w:w="1444" w:type="dxa"/>
              </w:tcPr>
              <w:p w14:paraId="52C1A961" w14:textId="3E1F075E"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Net Cash Flow (£)</w:t>
                </w:r>
              </w:p>
            </w:tc>
            <w:tc>
              <w:tcPr>
                <w:tcW w:w="1232" w:type="dxa"/>
              </w:tcPr>
              <w:p w14:paraId="6A8BD244" w14:textId="15DE9774"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Discount Factor (6%)</w:t>
                </w:r>
              </w:p>
            </w:tc>
            <w:tc>
              <w:tcPr>
                <w:tcW w:w="1444" w:type="dxa"/>
              </w:tcPr>
              <w:p w14:paraId="110E675A" w14:textId="2168AE94"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Present Value (£)</w:t>
                </w:r>
              </w:p>
            </w:tc>
          </w:tr>
          <w:tr w:rsidR="00592E1B" w14:paraId="2A0A9FE0" w14:textId="77777777" w:rsidTr="000104FB">
            <w:tc>
              <w:tcPr>
                <w:tcW w:w="807" w:type="dxa"/>
              </w:tcPr>
              <w:p w14:paraId="383E5F91" w14:textId="6C1A3554"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lastRenderedPageBreak/>
                  <w:t>0</w:t>
                </w:r>
              </w:p>
            </w:tc>
            <w:tc>
              <w:tcPr>
                <w:tcW w:w="1614" w:type="dxa"/>
              </w:tcPr>
              <w:p w14:paraId="4BE51D35" w14:textId="42AAC11B" w:rsidR="00592E1B" w:rsidRDefault="00592E1B"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(1,000,000)</w:t>
                </w:r>
              </w:p>
            </w:tc>
            <w:tc>
              <w:tcPr>
                <w:tcW w:w="1270" w:type="dxa"/>
              </w:tcPr>
              <w:p w14:paraId="2F9E6ACC" w14:textId="5515C748"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w:t>
                </w:r>
              </w:p>
            </w:tc>
            <w:tc>
              <w:tcPr>
                <w:tcW w:w="1205" w:type="dxa"/>
              </w:tcPr>
              <w:p w14:paraId="6B73E734" w14:textId="3F8B02A0"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w:t>
                </w:r>
              </w:p>
            </w:tc>
            <w:tc>
              <w:tcPr>
                <w:tcW w:w="1444" w:type="dxa"/>
              </w:tcPr>
              <w:p w14:paraId="5879A096" w14:textId="76EFB076"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(1,000,000)</w:t>
                </w:r>
              </w:p>
            </w:tc>
            <w:tc>
              <w:tcPr>
                <w:tcW w:w="1232" w:type="dxa"/>
              </w:tcPr>
              <w:p w14:paraId="4D128D82" w14:textId="3D79C215"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1.000</w:t>
                </w:r>
              </w:p>
            </w:tc>
            <w:tc>
              <w:tcPr>
                <w:tcW w:w="1444" w:type="dxa"/>
              </w:tcPr>
              <w:p w14:paraId="5BCB8719" w14:textId="0C8FF795"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(1,000,000)</w:t>
                </w:r>
              </w:p>
            </w:tc>
          </w:tr>
          <w:tr w:rsidR="00592E1B" w14:paraId="157D6614" w14:textId="77777777" w:rsidTr="000104FB">
            <w:tc>
              <w:tcPr>
                <w:tcW w:w="807" w:type="dxa"/>
              </w:tcPr>
              <w:p w14:paraId="74A42D63" w14:textId="447CDB64"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w:t>
                </w:r>
              </w:p>
            </w:tc>
            <w:tc>
              <w:tcPr>
                <w:tcW w:w="1614" w:type="dxa"/>
              </w:tcPr>
              <w:p w14:paraId="596E2713" w14:textId="058842DD"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400,000</w:t>
                </w:r>
              </w:p>
            </w:tc>
            <w:tc>
              <w:tcPr>
                <w:tcW w:w="1270" w:type="dxa"/>
              </w:tcPr>
              <w:p w14:paraId="71DDE455" w14:textId="04428752" w:rsidR="00592E1B"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(100,000)</w:t>
                </w:r>
              </w:p>
            </w:tc>
            <w:tc>
              <w:tcPr>
                <w:tcW w:w="1205" w:type="dxa"/>
              </w:tcPr>
              <w:p w14:paraId="688D8850" w14:textId="7655C488" w:rsidR="00592E1B"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50,000</w:t>
                </w:r>
              </w:p>
            </w:tc>
            <w:tc>
              <w:tcPr>
                <w:tcW w:w="1444" w:type="dxa"/>
              </w:tcPr>
              <w:p w14:paraId="18B35396" w14:textId="7F7D732E"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350,000</w:t>
                </w:r>
              </w:p>
            </w:tc>
            <w:tc>
              <w:tcPr>
                <w:tcW w:w="1232" w:type="dxa"/>
              </w:tcPr>
              <w:p w14:paraId="329A51E6" w14:textId="6C746F0C"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0.943</w:t>
                </w:r>
              </w:p>
            </w:tc>
            <w:tc>
              <w:tcPr>
                <w:tcW w:w="1444" w:type="dxa"/>
              </w:tcPr>
              <w:p w14:paraId="6544A511" w14:textId="13636D61"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330,050</w:t>
                </w:r>
              </w:p>
            </w:tc>
          </w:tr>
          <w:tr w:rsidR="00592E1B" w14:paraId="109E4B4F" w14:textId="77777777" w:rsidTr="000104FB">
            <w:tc>
              <w:tcPr>
                <w:tcW w:w="807" w:type="dxa"/>
              </w:tcPr>
              <w:p w14:paraId="06C1CC22" w14:textId="04F9592F"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2</w:t>
                </w:r>
              </w:p>
            </w:tc>
            <w:tc>
              <w:tcPr>
                <w:tcW w:w="1614" w:type="dxa"/>
              </w:tcPr>
              <w:p w14:paraId="53C0F709" w14:textId="6F8F2271"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450,000</w:t>
                </w:r>
              </w:p>
            </w:tc>
            <w:tc>
              <w:tcPr>
                <w:tcW w:w="1270" w:type="dxa"/>
              </w:tcPr>
              <w:p w14:paraId="2CD20770" w14:textId="1E57CD35" w:rsidR="00592E1B"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(112,500)</w:t>
                </w:r>
              </w:p>
            </w:tc>
            <w:tc>
              <w:tcPr>
                <w:tcW w:w="1205" w:type="dxa"/>
              </w:tcPr>
              <w:p w14:paraId="10740E23" w14:textId="772A9C39" w:rsidR="00592E1B"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50,000</w:t>
                </w:r>
              </w:p>
            </w:tc>
            <w:tc>
              <w:tcPr>
                <w:tcW w:w="1444" w:type="dxa"/>
              </w:tcPr>
              <w:p w14:paraId="4F4EFBE7" w14:textId="7B89A7B8"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387,500</w:t>
                </w:r>
              </w:p>
            </w:tc>
            <w:tc>
              <w:tcPr>
                <w:tcW w:w="1232" w:type="dxa"/>
              </w:tcPr>
              <w:p w14:paraId="2422A6AF" w14:textId="55BE4285"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0.890</w:t>
                </w:r>
              </w:p>
            </w:tc>
            <w:tc>
              <w:tcPr>
                <w:tcW w:w="1444" w:type="dxa"/>
              </w:tcPr>
              <w:p w14:paraId="60615247" w14:textId="19CA07BE"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344,875</w:t>
                </w:r>
              </w:p>
            </w:tc>
          </w:tr>
          <w:tr w:rsidR="00592E1B" w14:paraId="23C154C6" w14:textId="77777777" w:rsidTr="000104FB">
            <w:tc>
              <w:tcPr>
                <w:tcW w:w="807" w:type="dxa"/>
              </w:tcPr>
              <w:p w14:paraId="23BBBD30" w14:textId="6CDF08FC"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w:t>
                </w:r>
              </w:p>
            </w:tc>
            <w:tc>
              <w:tcPr>
                <w:tcW w:w="1614" w:type="dxa"/>
              </w:tcPr>
              <w:p w14:paraId="7455A9B5" w14:textId="11B63786"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720,000</w:t>
                </w:r>
              </w:p>
            </w:tc>
            <w:tc>
              <w:tcPr>
                <w:tcW w:w="1270" w:type="dxa"/>
              </w:tcPr>
              <w:p w14:paraId="155C8BB4" w14:textId="2CF46C29" w:rsidR="00592E1B"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(180,000)</w:t>
                </w:r>
              </w:p>
            </w:tc>
            <w:tc>
              <w:tcPr>
                <w:tcW w:w="1205" w:type="dxa"/>
              </w:tcPr>
              <w:p w14:paraId="1A68311D" w14:textId="557604D8" w:rsidR="00592E1B"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50,000</w:t>
                </w:r>
              </w:p>
            </w:tc>
            <w:tc>
              <w:tcPr>
                <w:tcW w:w="1444" w:type="dxa"/>
              </w:tcPr>
              <w:p w14:paraId="2A30EC45" w14:textId="3DBCC0E3"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590,000</w:t>
                </w:r>
              </w:p>
            </w:tc>
            <w:tc>
              <w:tcPr>
                <w:tcW w:w="1232" w:type="dxa"/>
              </w:tcPr>
              <w:p w14:paraId="31E4D887" w14:textId="2AE963E6"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0.840</w:t>
                </w:r>
              </w:p>
            </w:tc>
            <w:tc>
              <w:tcPr>
                <w:tcW w:w="1444" w:type="dxa"/>
              </w:tcPr>
              <w:p w14:paraId="33537521" w14:textId="2497C8CA"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495,600</w:t>
                </w:r>
              </w:p>
            </w:tc>
          </w:tr>
          <w:tr w:rsidR="00592E1B" w14:paraId="7B9CFC31" w14:textId="77777777" w:rsidTr="000104FB">
            <w:tc>
              <w:tcPr>
                <w:tcW w:w="807" w:type="dxa"/>
              </w:tcPr>
              <w:p w14:paraId="4ADDE4FB" w14:textId="43688C21"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w:t>
                </w:r>
              </w:p>
            </w:tc>
            <w:tc>
              <w:tcPr>
                <w:tcW w:w="1614" w:type="dxa"/>
              </w:tcPr>
              <w:p w14:paraId="3DA63BBD" w14:textId="089EF47B"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980,000</w:t>
                </w:r>
              </w:p>
            </w:tc>
            <w:tc>
              <w:tcPr>
                <w:tcW w:w="1270" w:type="dxa"/>
              </w:tcPr>
              <w:p w14:paraId="2D4E913C" w14:textId="1D23FC88" w:rsidR="00592E1B"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(245,000)</w:t>
                </w:r>
              </w:p>
            </w:tc>
            <w:tc>
              <w:tcPr>
                <w:tcW w:w="1205" w:type="dxa"/>
              </w:tcPr>
              <w:p w14:paraId="3A2680E4" w14:textId="787983F0" w:rsidR="00592E1B"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100,000</w:t>
                </w:r>
              </w:p>
            </w:tc>
            <w:tc>
              <w:tcPr>
                <w:tcW w:w="1444" w:type="dxa"/>
              </w:tcPr>
              <w:p w14:paraId="722B795A" w14:textId="15285944"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835,000</w:t>
                </w:r>
              </w:p>
            </w:tc>
            <w:tc>
              <w:tcPr>
                <w:tcW w:w="1232" w:type="dxa"/>
              </w:tcPr>
              <w:p w14:paraId="08DB5953" w14:textId="27D62F12"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0.792</w:t>
                </w:r>
              </w:p>
            </w:tc>
            <w:tc>
              <w:tcPr>
                <w:tcW w:w="1444" w:type="dxa"/>
              </w:tcPr>
              <w:p w14:paraId="61FE80B8" w14:textId="245F4C3F"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661,320</w:t>
                </w:r>
              </w:p>
            </w:tc>
          </w:tr>
          <w:tr w:rsidR="00592E1B" w14:paraId="3B78D6CA" w14:textId="77777777" w:rsidTr="000104FB">
            <w:tc>
              <w:tcPr>
                <w:tcW w:w="807" w:type="dxa"/>
              </w:tcPr>
              <w:p w14:paraId="5083CC7A" w14:textId="6B8F0F76"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 xml:space="preserve">Total </w:t>
                </w:r>
              </w:p>
            </w:tc>
            <w:tc>
              <w:tcPr>
                <w:tcW w:w="1614" w:type="dxa"/>
              </w:tcPr>
              <w:p w14:paraId="6B4834B7" w14:textId="77777777" w:rsidR="00592E1B" w:rsidRDefault="00592E1B" w:rsidP="000104FB">
                <w:pPr>
                  <w:spacing w:after="100" w:afterAutospacing="1"/>
                  <w:jc w:val="both"/>
                  <w:rPr>
                    <w:rFonts w:ascii="Arial" w:eastAsia="Times New Roman" w:hAnsi="Arial" w:cs="Arial"/>
                    <w:sz w:val="24"/>
                    <w:szCs w:val="24"/>
                    <w:lang w:eastAsia="en-GB" w:bidi="gu-IN"/>
                  </w:rPr>
                </w:pPr>
              </w:p>
            </w:tc>
            <w:tc>
              <w:tcPr>
                <w:tcW w:w="1270" w:type="dxa"/>
              </w:tcPr>
              <w:p w14:paraId="4C1B4CDC" w14:textId="77777777" w:rsidR="00592E1B" w:rsidRDefault="00592E1B" w:rsidP="000104FB">
                <w:pPr>
                  <w:spacing w:after="100" w:afterAutospacing="1"/>
                  <w:jc w:val="both"/>
                  <w:rPr>
                    <w:rFonts w:ascii="Arial" w:eastAsia="Times New Roman" w:hAnsi="Arial" w:cs="Arial"/>
                    <w:sz w:val="24"/>
                    <w:szCs w:val="24"/>
                    <w:lang w:eastAsia="en-GB" w:bidi="gu-IN"/>
                  </w:rPr>
                </w:pPr>
              </w:p>
            </w:tc>
            <w:tc>
              <w:tcPr>
                <w:tcW w:w="1205" w:type="dxa"/>
              </w:tcPr>
              <w:p w14:paraId="4E6081D7" w14:textId="77777777" w:rsidR="00592E1B" w:rsidRDefault="00592E1B" w:rsidP="000104FB">
                <w:pPr>
                  <w:spacing w:after="100" w:afterAutospacing="1"/>
                  <w:jc w:val="both"/>
                  <w:rPr>
                    <w:rFonts w:ascii="Arial" w:eastAsia="Times New Roman" w:hAnsi="Arial" w:cs="Arial"/>
                    <w:sz w:val="24"/>
                    <w:szCs w:val="24"/>
                    <w:lang w:eastAsia="en-GB" w:bidi="gu-IN"/>
                  </w:rPr>
                </w:pPr>
              </w:p>
            </w:tc>
            <w:tc>
              <w:tcPr>
                <w:tcW w:w="1444" w:type="dxa"/>
              </w:tcPr>
              <w:p w14:paraId="676200DA" w14:textId="77777777" w:rsidR="00592E1B" w:rsidRDefault="00592E1B" w:rsidP="000104FB">
                <w:pPr>
                  <w:spacing w:after="100" w:afterAutospacing="1"/>
                  <w:jc w:val="both"/>
                  <w:rPr>
                    <w:rFonts w:ascii="Arial" w:eastAsia="Times New Roman" w:hAnsi="Arial" w:cs="Arial"/>
                    <w:sz w:val="24"/>
                    <w:szCs w:val="24"/>
                    <w:lang w:eastAsia="en-GB" w:bidi="gu-IN"/>
                  </w:rPr>
                </w:pPr>
              </w:p>
            </w:tc>
            <w:tc>
              <w:tcPr>
                <w:tcW w:w="1232" w:type="dxa"/>
              </w:tcPr>
              <w:p w14:paraId="35C78CAE" w14:textId="133F71E6"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 xml:space="preserve">NPV </w:t>
                </w:r>
              </w:p>
            </w:tc>
            <w:tc>
              <w:tcPr>
                <w:tcW w:w="1444" w:type="dxa"/>
              </w:tcPr>
              <w:p w14:paraId="436CAEC0" w14:textId="60F90ED0" w:rsidR="00592E1B" w:rsidRDefault="00592E1B"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w:t>
                </w:r>
                <w:r w:rsidR="00A777CA">
                  <w:rPr>
                    <w:rFonts w:ascii="Arial" w:eastAsia="Times New Roman" w:hAnsi="Arial" w:cs="Arial"/>
                    <w:sz w:val="24"/>
                    <w:szCs w:val="24"/>
                    <w:lang w:eastAsia="en-GB" w:bidi="gu-IN"/>
                  </w:rPr>
                  <w:t>831,845</w:t>
                </w:r>
              </w:p>
            </w:tc>
          </w:tr>
        </w:tbl>
        <w:p w14:paraId="22C17EA8" w14:textId="0D7FF035" w:rsidR="00592E1B" w:rsidRDefault="000104FB" w:rsidP="000104FB">
          <w:pPr>
            <w:pStyle w:val="Heading3"/>
            <w:jc w:val="both"/>
            <w:rPr>
              <w:lang w:eastAsia="en-GB" w:bidi="gu-IN"/>
            </w:rPr>
          </w:pPr>
          <w:bookmarkStart w:id="21" w:name="_Toc219110424"/>
          <w:r w:rsidRPr="000104FB">
            <w:rPr>
              <w:lang w:eastAsia="en-GB" w:bidi="gu-IN"/>
            </w:rPr>
            <w:t>Table 9: Net Present Value Calculation for Option B (Internet</w:t>
          </w:r>
          <w:r>
            <w:rPr>
              <w:lang w:eastAsia="en-GB" w:bidi="gu-IN"/>
            </w:rPr>
            <w:t>)</w:t>
          </w:r>
          <w:bookmarkEnd w:id="21"/>
        </w:p>
        <w:p w14:paraId="2AC23B9C" w14:textId="77777777" w:rsidR="000104FB" w:rsidRPr="000104FB" w:rsidRDefault="000104FB" w:rsidP="000104FB">
          <w:pPr>
            <w:jc w:val="both"/>
            <w:rPr>
              <w:lang w:eastAsia="en-GB" w:bidi="gu-IN"/>
            </w:rPr>
          </w:pPr>
        </w:p>
        <w:p w14:paraId="46503291"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The Net Present Value (NPV) calculation for Option B yields a highly positive £831,845. This result identifies the Internet project as the superior wealth generator among the standalone options, despite its higher initial risk and cost.</w:t>
          </w:r>
        </w:p>
        <w:p w14:paraId="0DB0BB4C"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The calculation highlights three critical financial drivers specific to this digital expansion:</w:t>
          </w:r>
        </w:p>
        <w:p w14:paraId="500E052F" w14:textId="796396F0"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1. Growth-Oriented Cash Flows</w:t>
          </w:r>
          <w:r>
            <w:rPr>
              <w:rFonts w:ascii="Arial" w:eastAsia="Times New Roman" w:hAnsi="Arial" w:cs="Arial"/>
              <w:sz w:val="24"/>
              <w:szCs w:val="24"/>
              <w:lang w:eastAsia="en-GB" w:bidi="gu-IN"/>
            </w:rPr>
            <w:t>.</w:t>
          </w:r>
          <w:r w:rsidRPr="000104FB">
            <w:rPr>
              <w:rFonts w:ascii="Arial" w:eastAsia="Times New Roman" w:hAnsi="Arial" w:cs="Arial"/>
              <w:sz w:val="24"/>
              <w:szCs w:val="24"/>
              <w:lang w:eastAsia="en-GB" w:bidi="gu-IN"/>
            </w:rPr>
            <w:t xml:space="preserve"> Unlike the steady retail business (Option A), Option B demonstrates a "growth curve" typical of digital ventures. Operating cash flows more than double from £400,000 in Year 1 to £980,000 in Year 4. This reflects the scalability of internet sales—once the platform is built, acquiring new customers becomes incrementally cheaper, leading to higher margins later in the project life.</w:t>
          </w:r>
        </w:p>
        <w:p w14:paraId="44E9CD37"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2. Accelerated Tax Relief (Capital Allowances) The £1,000,000 initial investment creates a substantial tax shield. The company writes down £200,000 (20%) of the asset annually, reducing the corporate tax bill by £50,000 each year (£200,000 × 25%). This essentially means the government is subsidizing 25% of the depreciation cost through tax savings, improving the project's liquidity.</w:t>
          </w:r>
        </w:p>
        <w:p w14:paraId="58729B75" w14:textId="796AD572"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3. The Year 4 "Balancing Allowance" Spike</w:t>
          </w:r>
          <w:r>
            <w:rPr>
              <w:rFonts w:ascii="Arial" w:eastAsia="Times New Roman" w:hAnsi="Arial" w:cs="Arial"/>
              <w:sz w:val="24"/>
              <w:szCs w:val="24"/>
              <w:lang w:eastAsia="en-GB" w:bidi="gu-IN"/>
            </w:rPr>
            <w:t>.</w:t>
          </w:r>
          <w:r w:rsidRPr="000104FB">
            <w:rPr>
              <w:rFonts w:ascii="Arial" w:eastAsia="Times New Roman" w:hAnsi="Arial" w:cs="Arial"/>
              <w:sz w:val="24"/>
              <w:szCs w:val="24"/>
              <w:lang w:eastAsia="en-GB" w:bidi="gu-IN"/>
            </w:rPr>
            <w:t xml:space="preserve"> A crucial detail in your table is the Year 4 tax shield rising to £100,000.</w:t>
          </w:r>
        </w:p>
        <w:p w14:paraId="3FC2C799" w14:textId="77777777" w:rsidR="000104FB" w:rsidRPr="000104FB" w:rsidRDefault="000104FB" w:rsidP="000104FB">
          <w:pPr>
            <w:numPr>
              <w:ilvl w:val="0"/>
              <w:numId w:val="70"/>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Over the four-year project, the company claims 80% of the asset's value (20% × 4 years).</w:t>
          </w:r>
        </w:p>
        <w:p w14:paraId="2E70083B" w14:textId="77777777" w:rsidR="000104FB" w:rsidRPr="000104FB" w:rsidRDefault="000104FB" w:rsidP="000104FB">
          <w:pPr>
            <w:numPr>
              <w:ilvl w:val="0"/>
              <w:numId w:val="70"/>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This leaves £200,000 of unclaimed value (Tax Written Down Value) at the end of Year 4.</w:t>
          </w:r>
        </w:p>
        <w:p w14:paraId="1AF89C7F" w14:textId="77777777" w:rsidR="000104FB" w:rsidRPr="000104FB" w:rsidRDefault="000104FB" w:rsidP="000104FB">
          <w:pPr>
            <w:numPr>
              <w:ilvl w:val="0"/>
              <w:numId w:val="70"/>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Because the project ends, Westward PLC claims a "Balancing Allowance" to write off this remaining amount immediately.</w:t>
          </w:r>
        </w:p>
        <w:p w14:paraId="4E987E8A" w14:textId="77777777" w:rsidR="000104FB" w:rsidRPr="000104FB" w:rsidRDefault="000104FB" w:rsidP="000104FB">
          <w:pPr>
            <w:numPr>
              <w:ilvl w:val="0"/>
              <w:numId w:val="70"/>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i/>
              <w:iCs/>
              <w:sz w:val="24"/>
              <w:szCs w:val="24"/>
              <w:lang w:eastAsia="en-GB" w:bidi="gu-IN"/>
            </w:rPr>
            <w:t>Calculation:</w:t>
          </w:r>
          <w:r w:rsidRPr="000104FB">
            <w:rPr>
              <w:rFonts w:ascii="Arial" w:eastAsia="Times New Roman" w:hAnsi="Arial" w:cs="Arial"/>
              <w:sz w:val="24"/>
              <w:szCs w:val="24"/>
              <w:lang w:eastAsia="en-GB" w:bidi="gu-IN"/>
            </w:rPr>
            <w:t xml:space="preserve"> £50,000 (Standard Year 4 relief) + £50,000 (Relief on the remaining £200k balance) = £100,000.</w:t>
          </w:r>
        </w:p>
        <w:p w14:paraId="4B3B5C22"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4. Discounting Future Wealth While the project generates a massive £835,000 net inflow in Year 4, the Discount Factor (0.792) reduces this to a present value of £661,320. This adjustment is vital for the Board: it acknowledges that the high profits promised in the distant future (Year 4) are worth less today due to inflation and risk.</w:t>
          </w:r>
        </w:p>
        <w:p w14:paraId="3F4A62B0" w14:textId="0B709759"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 xml:space="preserve">With an NPV of over £831k, Option B creates significantly more value than Option A (£667k), primarily because the explosive growth in later years outweighs the </w:t>
          </w:r>
          <w:r>
            <w:rPr>
              <w:rFonts w:ascii="Arial" w:eastAsia="Times New Roman" w:hAnsi="Arial" w:cs="Arial"/>
              <w:sz w:val="24"/>
              <w:szCs w:val="24"/>
              <w:lang w:eastAsia="en-GB" w:bidi="gu-IN"/>
            </w:rPr>
            <w:t>higher</w:t>
          </w:r>
          <w:r w:rsidRPr="000104FB">
            <w:rPr>
              <w:rFonts w:ascii="Arial" w:eastAsia="Times New Roman" w:hAnsi="Arial" w:cs="Arial"/>
              <w:sz w:val="24"/>
              <w:szCs w:val="24"/>
              <w:lang w:eastAsia="en-GB" w:bidi="gu-IN"/>
            </w:rPr>
            <w:t xml:space="preserve"> initial cost.</w:t>
          </w:r>
        </w:p>
        <w:p w14:paraId="29F0D7FE" w14:textId="77777777" w:rsidR="000104FB" w:rsidRPr="00592E1B" w:rsidRDefault="000104FB" w:rsidP="000104FB">
          <w:pPr>
            <w:spacing w:after="100" w:afterAutospacing="1" w:line="240" w:lineRule="auto"/>
            <w:jc w:val="both"/>
            <w:rPr>
              <w:rFonts w:ascii="Arial" w:eastAsia="Times New Roman" w:hAnsi="Arial" w:cs="Arial"/>
              <w:sz w:val="24"/>
              <w:szCs w:val="24"/>
              <w:lang w:eastAsia="en-GB" w:bidi="gu-IN"/>
            </w:rPr>
          </w:pPr>
        </w:p>
        <w:p w14:paraId="419AE427" w14:textId="1F14933F" w:rsidR="00592E1B" w:rsidRDefault="000104FB" w:rsidP="000104FB">
          <w:pPr>
            <w:pStyle w:val="Heading4"/>
            <w:jc w:val="both"/>
            <w:rPr>
              <w:lang w:eastAsia="en-GB" w:bidi="gu-IN"/>
            </w:rPr>
          </w:pPr>
          <w:r>
            <w:rPr>
              <w:lang w:eastAsia="en-GB" w:bidi="gu-IN"/>
            </w:rPr>
            <w:lastRenderedPageBreak/>
            <w:t>2.3</w:t>
          </w:r>
          <w:r w:rsidR="00A777CA">
            <w:rPr>
              <w:lang w:eastAsia="en-GB" w:bidi="gu-IN"/>
            </w:rPr>
            <w:t xml:space="preserve">Option C: Blinds </w:t>
          </w:r>
        </w:p>
        <w:p w14:paraId="3BD14BB7" w14:textId="77777777" w:rsidR="00A777CA" w:rsidRPr="00A777CA" w:rsidRDefault="00A777CA" w:rsidP="000104FB">
          <w:pPr>
            <w:pStyle w:val="ListParagraph"/>
            <w:numPr>
              <w:ilvl w:val="0"/>
              <w:numId w:val="49"/>
            </w:numPr>
            <w:spacing w:after="100" w:afterAutospacing="1" w:line="240" w:lineRule="auto"/>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Initial Cost: £1,600,000</w:t>
          </w:r>
        </w:p>
        <w:p w14:paraId="30D15157" w14:textId="15C1E995" w:rsidR="00A777CA" w:rsidRPr="00A777CA" w:rsidRDefault="00A777CA" w:rsidP="000104FB">
          <w:pPr>
            <w:pStyle w:val="ListParagraph"/>
            <w:numPr>
              <w:ilvl w:val="0"/>
              <w:numId w:val="49"/>
            </w:numPr>
            <w:spacing w:after="100" w:afterAutospacing="1" w:line="240" w:lineRule="auto"/>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 xml:space="preserve">Annual Capital Allowance: £1,600,000 </w:t>
          </w:r>
          <w:r>
            <w:rPr>
              <w:rFonts w:ascii="Arial" w:eastAsia="Times New Roman" w:hAnsi="Arial" w:cs="Arial"/>
              <w:sz w:val="24"/>
              <w:szCs w:val="24"/>
              <w:lang w:eastAsia="en-GB" w:bidi="gu-IN"/>
            </w:rPr>
            <w:t>*</w:t>
          </w:r>
          <w:r w:rsidRPr="00A777CA">
            <w:rPr>
              <w:rFonts w:ascii="Arial" w:eastAsia="Times New Roman" w:hAnsi="Arial" w:cs="Arial"/>
              <w:sz w:val="24"/>
              <w:szCs w:val="24"/>
              <w:lang w:eastAsia="en-GB" w:bidi="gu-IN"/>
            </w:rPr>
            <w:t xml:space="preserve"> 20% = £320,000</w:t>
          </w:r>
        </w:p>
        <w:p w14:paraId="34F42D4B" w14:textId="2B3E2033" w:rsidR="00A777CA" w:rsidRDefault="00A777CA" w:rsidP="000104FB">
          <w:pPr>
            <w:pStyle w:val="ListParagraph"/>
            <w:numPr>
              <w:ilvl w:val="0"/>
              <w:numId w:val="49"/>
            </w:numPr>
            <w:spacing w:after="100" w:afterAutospacing="1" w:line="240" w:lineRule="auto"/>
            <w:jc w:val="both"/>
            <w:rPr>
              <w:rFonts w:ascii="Arial" w:eastAsia="Times New Roman" w:hAnsi="Arial" w:cs="Arial"/>
              <w:sz w:val="24"/>
              <w:szCs w:val="24"/>
              <w:lang w:eastAsia="en-GB" w:bidi="gu-IN"/>
            </w:rPr>
          </w:pPr>
          <w:r w:rsidRPr="00A777CA">
            <w:rPr>
              <w:rFonts w:ascii="Times New Roman" w:eastAsia="Times New Roman" w:hAnsi="Times New Roman" w:cs="Times New Roman"/>
              <w:sz w:val="24"/>
              <w:szCs w:val="24"/>
              <w:lang w:eastAsia="en-GB" w:bidi="gu-IN"/>
            </w:rPr>
            <w:t xml:space="preserve"> </w:t>
          </w:r>
          <w:r w:rsidRPr="00A777CA">
            <w:rPr>
              <w:rFonts w:ascii="Arial" w:eastAsia="Times New Roman" w:hAnsi="Arial" w:cs="Arial"/>
              <w:sz w:val="24"/>
              <w:szCs w:val="24"/>
              <w:lang w:eastAsia="en-GB" w:bidi="gu-IN"/>
            </w:rPr>
            <w:t xml:space="preserve">Annual Tax Shield: £320,000 </w:t>
          </w:r>
          <w:r>
            <w:rPr>
              <w:rFonts w:ascii="Arial" w:eastAsia="Times New Roman" w:hAnsi="Arial" w:cs="Arial"/>
              <w:sz w:val="24"/>
              <w:szCs w:val="24"/>
              <w:lang w:eastAsia="en-GB" w:bidi="gu-IN"/>
            </w:rPr>
            <w:t xml:space="preserve">* </w:t>
          </w:r>
          <w:r w:rsidRPr="00A777CA">
            <w:rPr>
              <w:rFonts w:ascii="Arial" w:eastAsia="Times New Roman" w:hAnsi="Arial" w:cs="Arial"/>
              <w:sz w:val="24"/>
              <w:szCs w:val="24"/>
              <w:lang w:eastAsia="en-GB" w:bidi="gu-IN"/>
            </w:rPr>
            <w:t>25</w:t>
          </w:r>
          <w:r w:rsidRPr="00A777CA">
            <w:rPr>
              <w:rFonts w:ascii="Arial" w:eastAsia="Times New Roman" w:hAnsi="Arial" w:cs="Arial"/>
              <w:sz w:val="24"/>
              <w:szCs w:val="24"/>
              <w:lang w:eastAsia="en-GB" w:bidi="gu-IN"/>
            </w:rPr>
            <w:t>% = £80,000</w:t>
          </w:r>
        </w:p>
        <w:tbl>
          <w:tblPr>
            <w:tblStyle w:val="TableGrid"/>
            <w:tblW w:w="0" w:type="auto"/>
            <w:tblLook w:val="04A0" w:firstRow="1" w:lastRow="0" w:firstColumn="1" w:lastColumn="0" w:noHBand="0" w:noVBand="1"/>
          </w:tblPr>
          <w:tblGrid>
            <w:gridCol w:w="1015"/>
            <w:gridCol w:w="1444"/>
            <w:gridCol w:w="1266"/>
            <w:gridCol w:w="1185"/>
            <w:gridCol w:w="1444"/>
            <w:gridCol w:w="1218"/>
            <w:gridCol w:w="1444"/>
          </w:tblGrid>
          <w:tr w:rsidR="00A777CA" w14:paraId="3024BB85" w14:textId="77777777" w:rsidTr="00A777CA">
            <w:tc>
              <w:tcPr>
                <w:tcW w:w="1015" w:type="dxa"/>
              </w:tcPr>
              <w:p w14:paraId="3D66634C" w14:textId="2855890F"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Year</w:t>
                </w:r>
              </w:p>
            </w:tc>
            <w:tc>
              <w:tcPr>
                <w:tcW w:w="1444" w:type="dxa"/>
              </w:tcPr>
              <w:p w14:paraId="1BFC26E4" w14:textId="7477BE24"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Operating Cash Flow (£)</w:t>
                </w:r>
              </w:p>
            </w:tc>
            <w:tc>
              <w:tcPr>
                <w:tcW w:w="1266" w:type="dxa"/>
              </w:tcPr>
              <w:p w14:paraId="336CA8DC" w14:textId="30C66609"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Tax on Ops (25%) (£)</w:t>
                </w:r>
              </w:p>
            </w:tc>
            <w:tc>
              <w:tcPr>
                <w:tcW w:w="1185" w:type="dxa"/>
              </w:tcPr>
              <w:p w14:paraId="6A96C3F4" w14:textId="464543F5"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Tax Shield on CA (£)</w:t>
                </w:r>
              </w:p>
            </w:tc>
            <w:tc>
              <w:tcPr>
                <w:tcW w:w="1444" w:type="dxa"/>
              </w:tcPr>
              <w:p w14:paraId="34E86526" w14:textId="6A4CDBED"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Net Cash Flow (£)</w:t>
                </w:r>
              </w:p>
            </w:tc>
            <w:tc>
              <w:tcPr>
                <w:tcW w:w="1218" w:type="dxa"/>
              </w:tcPr>
              <w:p w14:paraId="527D1FCC" w14:textId="219E0FB5"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Discount Factor (6%)</w:t>
                </w:r>
              </w:p>
            </w:tc>
            <w:tc>
              <w:tcPr>
                <w:tcW w:w="1444" w:type="dxa"/>
              </w:tcPr>
              <w:p w14:paraId="2539A968" w14:textId="47CD48DA" w:rsidR="00A777CA" w:rsidRDefault="00A777CA" w:rsidP="000104FB">
                <w:pPr>
                  <w:spacing w:after="100" w:afterAutospacing="1"/>
                  <w:jc w:val="both"/>
                  <w:rPr>
                    <w:rFonts w:ascii="Arial" w:eastAsia="Times New Roman" w:hAnsi="Arial" w:cs="Arial"/>
                    <w:sz w:val="24"/>
                    <w:szCs w:val="24"/>
                    <w:lang w:eastAsia="en-GB" w:bidi="gu-IN"/>
                  </w:rPr>
                </w:pPr>
                <w:r w:rsidRPr="00592E1B">
                  <w:rPr>
                    <w:rFonts w:ascii="Arial" w:eastAsia="Times New Roman" w:hAnsi="Arial" w:cs="Arial"/>
                    <w:sz w:val="24"/>
                    <w:szCs w:val="24"/>
                    <w:lang w:eastAsia="en-GB" w:bidi="gu-IN"/>
                  </w:rPr>
                  <w:t>Present Value (£)</w:t>
                </w:r>
              </w:p>
            </w:tc>
          </w:tr>
          <w:tr w:rsidR="00A777CA" w14:paraId="1350EE27" w14:textId="77777777" w:rsidTr="00A777CA">
            <w:tc>
              <w:tcPr>
                <w:tcW w:w="1015" w:type="dxa"/>
              </w:tcPr>
              <w:p w14:paraId="0C3AB4C3" w14:textId="0A492D96"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w:t>
                </w:r>
              </w:p>
            </w:tc>
            <w:tc>
              <w:tcPr>
                <w:tcW w:w="1444" w:type="dxa"/>
              </w:tcPr>
              <w:p w14:paraId="43354F57" w14:textId="1BD64F4C"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(1,600,000)</w:t>
                </w:r>
              </w:p>
            </w:tc>
            <w:tc>
              <w:tcPr>
                <w:tcW w:w="1266" w:type="dxa"/>
              </w:tcPr>
              <w:p w14:paraId="6F31A6C7" w14:textId="499B8634"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w:t>
                </w:r>
              </w:p>
            </w:tc>
            <w:tc>
              <w:tcPr>
                <w:tcW w:w="1185" w:type="dxa"/>
              </w:tcPr>
              <w:p w14:paraId="5ED808E4" w14:textId="6E78464A"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w:t>
                </w:r>
              </w:p>
            </w:tc>
            <w:tc>
              <w:tcPr>
                <w:tcW w:w="1444" w:type="dxa"/>
              </w:tcPr>
              <w:p w14:paraId="20DA028C" w14:textId="4DE8A268"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(1,600,000</w:t>
                </w:r>
                <w:r>
                  <w:rPr>
                    <w:rFonts w:ascii="Arial" w:eastAsia="Times New Roman" w:hAnsi="Arial" w:cs="Arial"/>
                    <w:sz w:val="24"/>
                    <w:szCs w:val="24"/>
                    <w:lang w:eastAsia="en-GB" w:bidi="gu-IN"/>
                  </w:rPr>
                  <w:t>)</w:t>
                </w:r>
              </w:p>
            </w:tc>
            <w:tc>
              <w:tcPr>
                <w:tcW w:w="1218" w:type="dxa"/>
              </w:tcPr>
              <w:p w14:paraId="66A08807" w14:textId="7D57703B"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1.000</w:t>
                </w:r>
              </w:p>
            </w:tc>
            <w:tc>
              <w:tcPr>
                <w:tcW w:w="1444" w:type="dxa"/>
              </w:tcPr>
              <w:p w14:paraId="378F6636" w14:textId="2A18312D"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(1,600,000)</w:t>
                </w:r>
              </w:p>
            </w:tc>
          </w:tr>
          <w:tr w:rsidR="00A777CA" w14:paraId="6A5FC9B5" w14:textId="77777777" w:rsidTr="00A777CA">
            <w:tc>
              <w:tcPr>
                <w:tcW w:w="1015" w:type="dxa"/>
              </w:tcPr>
              <w:p w14:paraId="22CCFB0D" w14:textId="34668CE3"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w:t>
                </w:r>
              </w:p>
            </w:tc>
            <w:tc>
              <w:tcPr>
                <w:tcW w:w="1444" w:type="dxa"/>
              </w:tcPr>
              <w:p w14:paraId="2CC7F3FF" w14:textId="43020F00"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450,000</w:t>
                </w:r>
              </w:p>
            </w:tc>
            <w:tc>
              <w:tcPr>
                <w:tcW w:w="1266" w:type="dxa"/>
              </w:tcPr>
              <w:p w14:paraId="0DE8420D" w14:textId="0189C539" w:rsidR="00A777CA"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(112,500)</w:t>
                </w:r>
              </w:p>
            </w:tc>
            <w:tc>
              <w:tcPr>
                <w:tcW w:w="1185" w:type="dxa"/>
              </w:tcPr>
              <w:p w14:paraId="223A99FB" w14:textId="14061683"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80,000</w:t>
                </w:r>
              </w:p>
            </w:tc>
            <w:tc>
              <w:tcPr>
                <w:tcW w:w="1444" w:type="dxa"/>
              </w:tcPr>
              <w:p w14:paraId="3D3200EF" w14:textId="25360F3F"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417,500</w:t>
                </w:r>
              </w:p>
            </w:tc>
            <w:tc>
              <w:tcPr>
                <w:tcW w:w="1218" w:type="dxa"/>
              </w:tcPr>
              <w:p w14:paraId="425AA6FE" w14:textId="1E797FD9"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0.943</w:t>
                </w:r>
              </w:p>
            </w:tc>
            <w:tc>
              <w:tcPr>
                <w:tcW w:w="1444" w:type="dxa"/>
              </w:tcPr>
              <w:p w14:paraId="2AC533C5" w14:textId="022B86CB"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393,702</w:t>
                </w:r>
              </w:p>
            </w:tc>
          </w:tr>
          <w:tr w:rsidR="00A777CA" w14:paraId="0EBB2527" w14:textId="77777777" w:rsidTr="00A777CA">
            <w:tc>
              <w:tcPr>
                <w:tcW w:w="1015" w:type="dxa"/>
              </w:tcPr>
              <w:p w14:paraId="77CA06FB" w14:textId="5D37BF8C"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2</w:t>
                </w:r>
              </w:p>
            </w:tc>
            <w:tc>
              <w:tcPr>
                <w:tcW w:w="1444" w:type="dxa"/>
              </w:tcPr>
              <w:p w14:paraId="1C7AD069" w14:textId="508A6052"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700,000</w:t>
                </w:r>
              </w:p>
            </w:tc>
            <w:tc>
              <w:tcPr>
                <w:tcW w:w="1266" w:type="dxa"/>
              </w:tcPr>
              <w:p w14:paraId="2E99FE20" w14:textId="1D5FCE83" w:rsidR="00A777CA"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(180,000)</w:t>
                </w:r>
              </w:p>
            </w:tc>
            <w:tc>
              <w:tcPr>
                <w:tcW w:w="1185" w:type="dxa"/>
              </w:tcPr>
              <w:p w14:paraId="64B6CB05" w14:textId="62800FB6"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80,000</w:t>
                </w:r>
              </w:p>
            </w:tc>
            <w:tc>
              <w:tcPr>
                <w:tcW w:w="1444" w:type="dxa"/>
              </w:tcPr>
              <w:p w14:paraId="53975DE6" w14:textId="7CC2CFAC"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605,000</w:t>
                </w:r>
              </w:p>
            </w:tc>
            <w:tc>
              <w:tcPr>
                <w:tcW w:w="1218" w:type="dxa"/>
              </w:tcPr>
              <w:p w14:paraId="70FA2DA6" w14:textId="362A576A"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0.890</w:t>
                </w:r>
              </w:p>
            </w:tc>
            <w:tc>
              <w:tcPr>
                <w:tcW w:w="1444" w:type="dxa"/>
              </w:tcPr>
              <w:p w14:paraId="48B62520" w14:textId="37D1BFF4"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538,450</w:t>
                </w:r>
              </w:p>
            </w:tc>
          </w:tr>
          <w:tr w:rsidR="00A777CA" w14:paraId="6C273DA3" w14:textId="77777777" w:rsidTr="00A777CA">
            <w:tc>
              <w:tcPr>
                <w:tcW w:w="1015" w:type="dxa"/>
              </w:tcPr>
              <w:p w14:paraId="3C8D0B8E" w14:textId="3EBC4AF5"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w:t>
                </w:r>
              </w:p>
            </w:tc>
            <w:tc>
              <w:tcPr>
                <w:tcW w:w="1444" w:type="dxa"/>
              </w:tcPr>
              <w:p w14:paraId="0A011DE2" w14:textId="66C2DAD1"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900,000</w:t>
                </w:r>
              </w:p>
            </w:tc>
            <w:tc>
              <w:tcPr>
                <w:tcW w:w="1266" w:type="dxa"/>
              </w:tcPr>
              <w:p w14:paraId="67E40BAA" w14:textId="7F8230E8" w:rsidR="00A777CA" w:rsidRDefault="00A777CA" w:rsidP="000104FB">
                <w:pPr>
                  <w:spacing w:after="100" w:afterAutospacing="1"/>
                  <w:jc w:val="both"/>
                  <w:rPr>
                    <w:rFonts w:ascii="Arial" w:eastAsia="Times New Roman" w:hAnsi="Arial" w:cs="Arial"/>
                    <w:sz w:val="24"/>
                    <w:szCs w:val="24"/>
                    <w:lang w:eastAsia="en-GB" w:bidi="gu-IN"/>
                  </w:rPr>
                </w:pPr>
                <w:r w:rsidRPr="00A777CA">
                  <w:rPr>
                    <w:rFonts w:ascii="Arial" w:eastAsia="Times New Roman" w:hAnsi="Arial" w:cs="Arial"/>
                    <w:sz w:val="24"/>
                    <w:szCs w:val="24"/>
                    <w:lang w:eastAsia="en-GB" w:bidi="gu-IN"/>
                  </w:rPr>
                  <w:t>(245,000)</w:t>
                </w:r>
              </w:p>
            </w:tc>
            <w:tc>
              <w:tcPr>
                <w:tcW w:w="1185" w:type="dxa"/>
              </w:tcPr>
              <w:p w14:paraId="32A06B2D" w14:textId="65E79367"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80,000</w:t>
                </w:r>
              </w:p>
            </w:tc>
            <w:tc>
              <w:tcPr>
                <w:tcW w:w="1444" w:type="dxa"/>
              </w:tcPr>
              <w:p w14:paraId="4F3C5ED6" w14:textId="56E6BFD1"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755,000</w:t>
                </w:r>
              </w:p>
            </w:tc>
            <w:tc>
              <w:tcPr>
                <w:tcW w:w="1218" w:type="dxa"/>
              </w:tcPr>
              <w:p w14:paraId="5A0F0824" w14:textId="11683E19"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0.840</w:t>
                </w:r>
              </w:p>
            </w:tc>
            <w:tc>
              <w:tcPr>
                <w:tcW w:w="1444" w:type="dxa"/>
              </w:tcPr>
              <w:p w14:paraId="0DB82319" w14:textId="579C124D"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634,200</w:t>
                </w:r>
              </w:p>
            </w:tc>
          </w:tr>
          <w:tr w:rsidR="00A777CA" w14:paraId="3C29F1C3" w14:textId="77777777" w:rsidTr="00A777CA">
            <w:tc>
              <w:tcPr>
                <w:tcW w:w="1015" w:type="dxa"/>
              </w:tcPr>
              <w:p w14:paraId="387481F6" w14:textId="58945E76"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4</w:t>
                </w:r>
              </w:p>
            </w:tc>
            <w:tc>
              <w:tcPr>
                <w:tcW w:w="1444" w:type="dxa"/>
              </w:tcPr>
              <w:p w14:paraId="68AA9BFF" w14:textId="09BD98CC"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1,200,000</w:t>
                </w:r>
              </w:p>
            </w:tc>
            <w:tc>
              <w:tcPr>
                <w:tcW w:w="1266" w:type="dxa"/>
              </w:tcPr>
              <w:p w14:paraId="742F7979" w14:textId="1E8F3902"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(300,000)</w:t>
                </w:r>
              </w:p>
            </w:tc>
            <w:tc>
              <w:tcPr>
                <w:tcW w:w="1185" w:type="dxa"/>
              </w:tcPr>
              <w:p w14:paraId="5C54101D" w14:textId="6CB132B4"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160,000</w:t>
                </w:r>
              </w:p>
            </w:tc>
            <w:tc>
              <w:tcPr>
                <w:tcW w:w="1444" w:type="dxa"/>
              </w:tcPr>
              <w:p w14:paraId="1FFB1DCD" w14:textId="5247A6B9"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1,060,000</w:t>
                </w:r>
              </w:p>
            </w:tc>
            <w:tc>
              <w:tcPr>
                <w:tcW w:w="1218" w:type="dxa"/>
              </w:tcPr>
              <w:p w14:paraId="7FB2FF36" w14:textId="67230E96"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0.792</w:t>
                </w:r>
              </w:p>
            </w:tc>
            <w:tc>
              <w:tcPr>
                <w:tcW w:w="1444" w:type="dxa"/>
              </w:tcPr>
              <w:p w14:paraId="10F5AE3C" w14:textId="3672D6CF"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839,520</w:t>
                </w:r>
              </w:p>
            </w:tc>
          </w:tr>
          <w:tr w:rsidR="00A777CA" w14:paraId="56F84358" w14:textId="77777777" w:rsidTr="00A777CA">
            <w:tc>
              <w:tcPr>
                <w:tcW w:w="1015" w:type="dxa"/>
              </w:tcPr>
              <w:p w14:paraId="302CA7FF" w14:textId="4EF8BD51"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 xml:space="preserve">Total </w:t>
                </w:r>
              </w:p>
            </w:tc>
            <w:tc>
              <w:tcPr>
                <w:tcW w:w="1444" w:type="dxa"/>
              </w:tcPr>
              <w:p w14:paraId="3C35B987" w14:textId="77777777" w:rsidR="00A777CA" w:rsidRDefault="00A777CA" w:rsidP="000104FB">
                <w:pPr>
                  <w:spacing w:after="100" w:afterAutospacing="1"/>
                  <w:jc w:val="both"/>
                  <w:rPr>
                    <w:rFonts w:ascii="Arial" w:eastAsia="Times New Roman" w:hAnsi="Arial" w:cs="Arial"/>
                    <w:sz w:val="24"/>
                    <w:szCs w:val="24"/>
                    <w:lang w:eastAsia="en-GB" w:bidi="gu-IN"/>
                  </w:rPr>
                </w:pPr>
              </w:p>
            </w:tc>
            <w:tc>
              <w:tcPr>
                <w:tcW w:w="1266" w:type="dxa"/>
              </w:tcPr>
              <w:p w14:paraId="741B4C5A" w14:textId="77777777" w:rsidR="00A777CA" w:rsidRDefault="00A777CA" w:rsidP="000104FB">
                <w:pPr>
                  <w:spacing w:after="100" w:afterAutospacing="1"/>
                  <w:jc w:val="both"/>
                  <w:rPr>
                    <w:rFonts w:ascii="Arial" w:eastAsia="Times New Roman" w:hAnsi="Arial" w:cs="Arial"/>
                    <w:sz w:val="24"/>
                    <w:szCs w:val="24"/>
                    <w:lang w:eastAsia="en-GB" w:bidi="gu-IN"/>
                  </w:rPr>
                </w:pPr>
              </w:p>
            </w:tc>
            <w:tc>
              <w:tcPr>
                <w:tcW w:w="1185" w:type="dxa"/>
              </w:tcPr>
              <w:p w14:paraId="564D1081" w14:textId="77777777" w:rsidR="00A777CA" w:rsidRDefault="00A777CA" w:rsidP="000104FB">
                <w:pPr>
                  <w:spacing w:after="100" w:afterAutospacing="1"/>
                  <w:jc w:val="both"/>
                  <w:rPr>
                    <w:rFonts w:ascii="Arial" w:eastAsia="Times New Roman" w:hAnsi="Arial" w:cs="Arial"/>
                    <w:sz w:val="24"/>
                    <w:szCs w:val="24"/>
                    <w:lang w:eastAsia="en-GB" w:bidi="gu-IN"/>
                  </w:rPr>
                </w:pPr>
              </w:p>
            </w:tc>
            <w:tc>
              <w:tcPr>
                <w:tcW w:w="1444" w:type="dxa"/>
              </w:tcPr>
              <w:p w14:paraId="657F0FC9" w14:textId="77777777" w:rsidR="00A777CA" w:rsidRDefault="00A777CA" w:rsidP="000104FB">
                <w:pPr>
                  <w:spacing w:after="100" w:afterAutospacing="1"/>
                  <w:jc w:val="both"/>
                  <w:rPr>
                    <w:rFonts w:ascii="Arial" w:eastAsia="Times New Roman" w:hAnsi="Arial" w:cs="Arial"/>
                    <w:sz w:val="24"/>
                    <w:szCs w:val="24"/>
                    <w:lang w:eastAsia="en-GB" w:bidi="gu-IN"/>
                  </w:rPr>
                </w:pPr>
              </w:p>
            </w:tc>
            <w:tc>
              <w:tcPr>
                <w:tcW w:w="1218" w:type="dxa"/>
              </w:tcPr>
              <w:p w14:paraId="568D7393" w14:textId="46F37199"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 xml:space="preserve">NPV </w:t>
                </w:r>
              </w:p>
            </w:tc>
            <w:tc>
              <w:tcPr>
                <w:tcW w:w="1444" w:type="dxa"/>
              </w:tcPr>
              <w:p w14:paraId="0B97BB47" w14:textId="442B63B8" w:rsidR="00A777CA" w:rsidRDefault="00A777CA" w:rsidP="000104FB">
                <w:pPr>
                  <w:spacing w:after="100" w:afterAutospacing="1"/>
                  <w:jc w:val="both"/>
                  <w:rPr>
                    <w:rFonts w:ascii="Arial" w:eastAsia="Times New Roman" w:hAnsi="Arial" w:cs="Arial"/>
                    <w:sz w:val="24"/>
                    <w:szCs w:val="24"/>
                    <w:lang w:eastAsia="en-GB" w:bidi="gu-IN"/>
                  </w:rPr>
                </w:pPr>
                <w:r>
                  <w:rPr>
                    <w:rFonts w:ascii="Arial" w:eastAsia="Times New Roman" w:hAnsi="Arial" w:cs="Arial"/>
                    <w:sz w:val="24"/>
                    <w:szCs w:val="24"/>
                    <w:lang w:eastAsia="en-GB" w:bidi="gu-IN"/>
                  </w:rPr>
                  <w:t>£805,872</w:t>
                </w:r>
              </w:p>
            </w:tc>
          </w:tr>
        </w:tbl>
        <w:p w14:paraId="77CAC821" w14:textId="1ACC5869" w:rsidR="00A777CA" w:rsidRDefault="000104FB" w:rsidP="000104FB">
          <w:pPr>
            <w:pStyle w:val="Heading3"/>
            <w:jc w:val="both"/>
            <w:rPr>
              <w:lang w:eastAsia="en-GB" w:bidi="gu-IN"/>
            </w:rPr>
          </w:pPr>
          <w:bookmarkStart w:id="22" w:name="_Toc219110425"/>
          <w:r w:rsidRPr="000104FB">
            <w:rPr>
              <w:lang w:eastAsia="en-GB" w:bidi="gu-IN"/>
            </w:rPr>
            <w:t>Table 10: Net Present Value Calculation for Option C (Blind</w:t>
          </w:r>
          <w:r>
            <w:rPr>
              <w:lang w:eastAsia="en-GB" w:bidi="gu-IN"/>
            </w:rPr>
            <w:t>s)</w:t>
          </w:r>
          <w:bookmarkEnd w:id="22"/>
        </w:p>
        <w:p w14:paraId="6457AF9C" w14:textId="77777777" w:rsidR="000104FB" w:rsidRPr="000104FB" w:rsidRDefault="000104FB" w:rsidP="000104FB">
          <w:pPr>
            <w:jc w:val="both"/>
            <w:rPr>
              <w:lang w:eastAsia="en-GB" w:bidi="gu-IN"/>
            </w:rPr>
          </w:pPr>
        </w:p>
        <w:p w14:paraId="1839BBFF" w14:textId="48B2AEC9"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 xml:space="preserve">The Net Present Value (NPV) calculation for Option C results in a positive £805,872. This figure confirms that the </w:t>
          </w:r>
          <w:r w:rsidRPr="000104FB">
            <w:rPr>
              <w:rFonts w:ascii="Arial" w:eastAsia="Times New Roman" w:hAnsi="Arial" w:cs="Arial"/>
              <w:sz w:val="24"/>
              <w:szCs w:val="24"/>
              <w:lang w:eastAsia="en-GB" w:bidi="gu-IN"/>
            </w:rPr>
            <w:t>blind’s</w:t>
          </w:r>
          <w:r w:rsidRPr="000104FB">
            <w:rPr>
              <w:rFonts w:ascii="Arial" w:eastAsia="Times New Roman" w:hAnsi="Arial" w:cs="Arial"/>
              <w:sz w:val="24"/>
              <w:szCs w:val="24"/>
              <w:lang w:eastAsia="en-GB" w:bidi="gu-IN"/>
            </w:rPr>
            <w:t xml:space="preserve"> manufacturing project is financially viable, generating substantial wealth over its four-year life. However, the analysis highlights specific dynamics unique to this capital-intensive option.</w:t>
          </w:r>
        </w:p>
        <w:p w14:paraId="79EDF5CF"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1. High Capital Intensity and Risk</w:t>
          </w:r>
        </w:p>
        <w:p w14:paraId="38FBEDAD" w14:textId="55B7094C"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 xml:space="preserve">Option C requires the largest upfront outlay (£1,600,000), which is significantly higher than the Retail or Internet options. While the project generates the highest gross cash flows (peaking at £1.2 million in Year 4), the </w:t>
          </w:r>
          <w:r>
            <w:rPr>
              <w:rFonts w:ascii="Arial" w:eastAsia="Times New Roman" w:hAnsi="Arial" w:cs="Arial"/>
              <w:sz w:val="24"/>
              <w:szCs w:val="24"/>
              <w:lang w:eastAsia="en-GB" w:bidi="gu-IN"/>
            </w:rPr>
            <w:t>high</w:t>
          </w:r>
          <w:r w:rsidRPr="000104FB">
            <w:rPr>
              <w:rFonts w:ascii="Arial" w:eastAsia="Times New Roman" w:hAnsi="Arial" w:cs="Arial"/>
              <w:sz w:val="24"/>
              <w:szCs w:val="24"/>
              <w:lang w:eastAsia="en-GB" w:bidi="gu-IN"/>
            </w:rPr>
            <w:t xml:space="preserve"> initial cost acts as a drag on the NPV. This explains why, despite having the biggest revenue numbers, its final NPV (£805k) is actually lower than the Internet option (£831k).</w:t>
          </w:r>
        </w:p>
        <w:p w14:paraId="33D9D9D8"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2. Substantial Tax Shields (Capital Allowances)</w:t>
          </w:r>
        </w:p>
        <w:p w14:paraId="4786FEB2"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Because the initial investment is so large, the tax benefits are correspondingly huge.</w:t>
          </w:r>
        </w:p>
        <w:p w14:paraId="20E5DA98" w14:textId="77777777" w:rsidR="000104FB" w:rsidRPr="000104FB" w:rsidRDefault="000104FB" w:rsidP="000104FB">
          <w:pPr>
            <w:numPr>
              <w:ilvl w:val="0"/>
              <w:numId w:val="71"/>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Annual Benefit: The company writes down £320,000 (20%) of the machinery value annually. At a 25% tax rate, this saves the company £80,000 in cash every year.</w:t>
          </w:r>
        </w:p>
        <w:p w14:paraId="2CFFAA39" w14:textId="6F8D1B87" w:rsidR="000104FB" w:rsidRPr="000104FB" w:rsidRDefault="000104FB" w:rsidP="000104FB">
          <w:pPr>
            <w:numPr>
              <w:ilvl w:val="0"/>
              <w:numId w:val="71"/>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 xml:space="preserve">Impact: This reliable tax saving helps subsidize the </w:t>
          </w:r>
          <w:r>
            <w:rPr>
              <w:rFonts w:ascii="Arial" w:eastAsia="Times New Roman" w:hAnsi="Arial" w:cs="Arial"/>
              <w:sz w:val="24"/>
              <w:szCs w:val="24"/>
              <w:lang w:eastAsia="en-GB" w:bidi="gu-IN"/>
            </w:rPr>
            <w:t>high</w:t>
          </w:r>
          <w:r w:rsidRPr="000104FB">
            <w:rPr>
              <w:rFonts w:ascii="Arial" w:eastAsia="Times New Roman" w:hAnsi="Arial" w:cs="Arial"/>
              <w:sz w:val="24"/>
              <w:szCs w:val="24"/>
              <w:lang w:eastAsia="en-GB" w:bidi="gu-IN"/>
            </w:rPr>
            <w:t xml:space="preserve"> operational costs of running a manufacturing plant.</w:t>
          </w:r>
        </w:p>
        <w:p w14:paraId="67321E9A"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3. The "Balancing Allowance" Windfall in Year 4</w:t>
          </w:r>
        </w:p>
        <w:p w14:paraId="08CCE83E"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A critical driver of the final value is the tax shield doubling to £160,000 in the final year.</w:t>
          </w:r>
        </w:p>
        <w:p w14:paraId="37F65463" w14:textId="77777777" w:rsidR="000104FB" w:rsidRPr="000104FB" w:rsidRDefault="000104FB" w:rsidP="000104FB">
          <w:pPr>
            <w:numPr>
              <w:ilvl w:val="0"/>
              <w:numId w:val="72"/>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By Year 4, the company has claimed allowances for 80% of the asset's lifespan (20% $\times$ 4 years).</w:t>
          </w:r>
        </w:p>
        <w:p w14:paraId="001026D8" w14:textId="77777777" w:rsidR="000104FB" w:rsidRPr="000104FB" w:rsidRDefault="000104FB" w:rsidP="000104FB">
          <w:pPr>
            <w:numPr>
              <w:ilvl w:val="0"/>
              <w:numId w:val="72"/>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This leaves £320,000 of the asset's value unclaimed (the remaining 20%).</w:t>
          </w:r>
        </w:p>
        <w:p w14:paraId="06AEEDE3" w14:textId="77777777" w:rsidR="000104FB" w:rsidRPr="000104FB" w:rsidRDefault="000104FB" w:rsidP="000104FB">
          <w:pPr>
            <w:numPr>
              <w:ilvl w:val="0"/>
              <w:numId w:val="72"/>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As the project concludes, Westward PLC claims a "Balancing Allowance" on this entire remaining sum.</w:t>
          </w:r>
        </w:p>
        <w:p w14:paraId="7FE8C087" w14:textId="77777777" w:rsidR="000104FB" w:rsidRPr="000104FB" w:rsidRDefault="000104FB" w:rsidP="000104FB">
          <w:pPr>
            <w:numPr>
              <w:ilvl w:val="0"/>
              <w:numId w:val="72"/>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i/>
              <w:iCs/>
              <w:sz w:val="24"/>
              <w:szCs w:val="24"/>
              <w:lang w:eastAsia="en-GB" w:bidi="gu-IN"/>
            </w:rPr>
            <w:lastRenderedPageBreak/>
            <w:t>Calculation:</w:t>
          </w:r>
          <w:r w:rsidRPr="000104FB">
            <w:rPr>
              <w:rFonts w:ascii="Arial" w:eastAsia="Times New Roman" w:hAnsi="Arial" w:cs="Arial"/>
              <w:sz w:val="24"/>
              <w:szCs w:val="24"/>
              <w:lang w:eastAsia="en-GB" w:bidi="gu-IN"/>
            </w:rPr>
            <w:t xml:space="preserve"> £80,000 (Standard Year 4 relief) + £80,000 (Relief on the final £320,000 balance) = £160,000.</w:t>
          </w:r>
        </w:p>
        <w:p w14:paraId="685BFA63" w14:textId="77777777" w:rsidR="000104FB" w:rsidRDefault="000104FB" w:rsidP="000104FB">
          <w:pPr>
            <w:spacing w:after="100" w:afterAutospacing="1" w:line="240" w:lineRule="auto"/>
            <w:jc w:val="both"/>
            <w:rPr>
              <w:rFonts w:ascii="Arial" w:eastAsia="Times New Roman" w:hAnsi="Arial" w:cs="Arial"/>
              <w:sz w:val="24"/>
              <w:szCs w:val="24"/>
              <w:lang w:eastAsia="en-GB" w:bidi="gu-IN"/>
            </w:rPr>
          </w:pPr>
        </w:p>
        <w:p w14:paraId="1F2F0934" w14:textId="5B80697E"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4. The "Back-Loaded" Return Profile</w:t>
          </w:r>
        </w:p>
        <w:p w14:paraId="6A80D19A"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Option C is a long-term play. The bulk of the value comes in Year 4 (£1,060,000 net cash flow).</w:t>
          </w:r>
        </w:p>
        <w:p w14:paraId="6AF5E63F" w14:textId="77777777" w:rsidR="000104FB" w:rsidRPr="000104FB" w:rsidRDefault="000104FB" w:rsidP="000104FB">
          <w:pPr>
            <w:numPr>
              <w:ilvl w:val="0"/>
              <w:numId w:val="73"/>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The Discounting Penalty: Because this massive inflow happens four years in the future, the 0.792 discount factor reduces its value significantly (from £1.06m down to £839,520).</w:t>
          </w:r>
        </w:p>
        <w:p w14:paraId="768EEEE7" w14:textId="77777777" w:rsidR="000104FB" w:rsidRPr="000104FB" w:rsidRDefault="000104FB" w:rsidP="000104FB">
          <w:pPr>
            <w:numPr>
              <w:ilvl w:val="0"/>
              <w:numId w:val="73"/>
            </w:num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This illustrates the risk: the company spends £1.6m today but has to wait four years for the biggest payoff.</w:t>
          </w:r>
        </w:p>
        <w:p w14:paraId="64700309"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Conclusion</w:t>
          </w:r>
        </w:p>
        <w:p w14:paraId="3831587F" w14:textId="77777777" w:rsidR="000104FB" w:rsidRPr="000104FB" w:rsidRDefault="000104FB" w:rsidP="000104FB">
          <w:pPr>
            <w:spacing w:after="100" w:afterAutospacing="1" w:line="240" w:lineRule="auto"/>
            <w:jc w:val="both"/>
            <w:rPr>
              <w:rFonts w:ascii="Arial" w:eastAsia="Times New Roman" w:hAnsi="Arial" w:cs="Arial"/>
              <w:sz w:val="24"/>
              <w:szCs w:val="24"/>
              <w:lang w:eastAsia="en-GB" w:bidi="gu-IN"/>
            </w:rPr>
          </w:pPr>
          <w:r w:rsidRPr="000104FB">
            <w:rPr>
              <w:rFonts w:ascii="Arial" w:eastAsia="Times New Roman" w:hAnsi="Arial" w:cs="Arial"/>
              <w:sz w:val="24"/>
              <w:szCs w:val="24"/>
              <w:lang w:eastAsia="en-GB" w:bidi="gu-IN"/>
            </w:rPr>
            <w:t>While profitable (NPV &gt; 0), Option C is the least "efficient" of the three choices. It ties up the most capital (£1.6m) to generate a return that is slightly lower than Option B, making it less attractive under strict capital rationing.</w:t>
          </w:r>
        </w:p>
        <w:p w14:paraId="70ADBB09" w14:textId="77777777" w:rsidR="000104FB" w:rsidRPr="00A777CA" w:rsidRDefault="000104FB" w:rsidP="000104FB">
          <w:pPr>
            <w:spacing w:after="100" w:afterAutospacing="1" w:line="240" w:lineRule="auto"/>
            <w:jc w:val="both"/>
            <w:rPr>
              <w:rFonts w:ascii="Arial" w:eastAsia="Times New Roman" w:hAnsi="Arial" w:cs="Arial"/>
              <w:sz w:val="24"/>
              <w:szCs w:val="24"/>
              <w:lang w:eastAsia="en-GB" w:bidi="gu-IN"/>
            </w:rPr>
          </w:pPr>
        </w:p>
        <w:p w14:paraId="69ADA8B7" w14:textId="2A225B04" w:rsidR="00A777CA" w:rsidRDefault="00A777CA" w:rsidP="000104FB">
          <w:pPr>
            <w:pStyle w:val="Heading3"/>
            <w:numPr>
              <w:ilvl w:val="0"/>
              <w:numId w:val="37"/>
            </w:numPr>
            <w:jc w:val="both"/>
            <w:rPr>
              <w:lang w:eastAsia="en-GB" w:bidi="gu-IN"/>
            </w:rPr>
          </w:pPr>
          <w:bookmarkStart w:id="23" w:name="_Toc219110426"/>
          <w:r w:rsidRPr="00A777CA">
            <w:rPr>
              <w:lang w:eastAsia="en-GB" w:bidi="gu-IN"/>
            </w:rPr>
            <w:t>Recommendation based on NPV</w:t>
          </w:r>
          <w:bookmarkEnd w:id="23"/>
        </w:p>
        <w:p w14:paraId="41D9CF96" w14:textId="77777777" w:rsidR="00A777CA" w:rsidRPr="00A777CA" w:rsidRDefault="00A777CA" w:rsidP="000104FB">
          <w:pPr>
            <w:jc w:val="both"/>
            <w:rPr>
              <w:lang w:eastAsia="en-GB" w:bidi="gu-IN"/>
            </w:rPr>
          </w:pPr>
        </w:p>
        <w:p w14:paraId="462E76DB" w14:textId="77777777" w:rsidR="00A777CA" w:rsidRPr="00A777CA" w:rsidRDefault="00A777CA" w:rsidP="000104FB">
          <w:pPr>
            <w:jc w:val="both"/>
            <w:rPr>
              <w:rFonts w:asciiTheme="minorBidi" w:hAnsiTheme="minorBidi"/>
              <w:sz w:val="24"/>
              <w:szCs w:val="24"/>
              <w:lang w:eastAsia="en-GB" w:bidi="gu-IN"/>
            </w:rPr>
          </w:pPr>
          <w:r w:rsidRPr="00A777CA">
            <w:rPr>
              <w:rFonts w:asciiTheme="minorBidi" w:hAnsiTheme="minorBidi"/>
              <w:sz w:val="24"/>
              <w:szCs w:val="24"/>
              <w:lang w:eastAsia="en-GB" w:bidi="gu-IN"/>
            </w:rPr>
            <w:t>Comparing the three projects on a standalone basis:</w:t>
          </w:r>
        </w:p>
        <w:p w14:paraId="7F928B7E" w14:textId="12CBC7E6" w:rsidR="00A777CA" w:rsidRPr="00A777CA" w:rsidRDefault="00A777CA" w:rsidP="000104FB">
          <w:pPr>
            <w:numPr>
              <w:ilvl w:val="0"/>
              <w:numId w:val="50"/>
            </w:numPr>
            <w:jc w:val="both"/>
            <w:rPr>
              <w:rFonts w:asciiTheme="minorBidi" w:hAnsiTheme="minorBidi"/>
              <w:sz w:val="24"/>
              <w:szCs w:val="24"/>
              <w:lang w:eastAsia="en-GB" w:bidi="gu-IN"/>
            </w:rPr>
          </w:pPr>
          <w:r w:rsidRPr="00A777CA">
            <w:rPr>
              <w:rFonts w:asciiTheme="minorBidi" w:hAnsiTheme="minorBidi"/>
              <w:sz w:val="24"/>
              <w:szCs w:val="24"/>
              <w:lang w:eastAsia="en-GB" w:bidi="gu-IN"/>
            </w:rPr>
            <w:t xml:space="preserve">Option </w:t>
          </w:r>
          <w:r w:rsidRPr="00A777CA">
            <w:rPr>
              <w:rFonts w:asciiTheme="minorBidi" w:hAnsiTheme="minorBidi"/>
              <w:sz w:val="24"/>
              <w:szCs w:val="24"/>
              <w:lang w:eastAsia="en-GB" w:bidi="gu-IN"/>
            </w:rPr>
            <w:t>An</w:t>
          </w:r>
          <w:r w:rsidRPr="00A777CA">
            <w:rPr>
              <w:rFonts w:asciiTheme="minorBidi" w:hAnsiTheme="minorBidi"/>
              <w:sz w:val="24"/>
              <w:szCs w:val="24"/>
              <w:lang w:eastAsia="en-GB" w:bidi="gu-IN"/>
            </w:rPr>
            <w:t xml:space="preserve"> NPV: £666,960</w:t>
          </w:r>
        </w:p>
        <w:p w14:paraId="33FE5C1B" w14:textId="77777777" w:rsidR="00A777CA" w:rsidRPr="00A777CA" w:rsidRDefault="00A777CA" w:rsidP="000104FB">
          <w:pPr>
            <w:numPr>
              <w:ilvl w:val="0"/>
              <w:numId w:val="50"/>
            </w:numPr>
            <w:jc w:val="both"/>
            <w:rPr>
              <w:rFonts w:asciiTheme="minorBidi" w:hAnsiTheme="minorBidi"/>
              <w:sz w:val="24"/>
              <w:szCs w:val="24"/>
              <w:lang w:eastAsia="en-GB" w:bidi="gu-IN"/>
            </w:rPr>
          </w:pPr>
          <w:r w:rsidRPr="00A777CA">
            <w:rPr>
              <w:rFonts w:asciiTheme="minorBidi" w:hAnsiTheme="minorBidi"/>
              <w:sz w:val="24"/>
              <w:szCs w:val="24"/>
              <w:lang w:eastAsia="en-GB" w:bidi="gu-IN"/>
            </w:rPr>
            <w:t>Option B NPV: £831,845</w:t>
          </w:r>
        </w:p>
        <w:p w14:paraId="4020510C" w14:textId="77777777" w:rsidR="00A777CA" w:rsidRPr="00A777CA" w:rsidRDefault="00A777CA" w:rsidP="000104FB">
          <w:pPr>
            <w:numPr>
              <w:ilvl w:val="0"/>
              <w:numId w:val="50"/>
            </w:numPr>
            <w:jc w:val="both"/>
            <w:rPr>
              <w:rFonts w:asciiTheme="minorBidi" w:hAnsiTheme="minorBidi"/>
              <w:sz w:val="24"/>
              <w:szCs w:val="24"/>
              <w:lang w:eastAsia="en-GB" w:bidi="gu-IN"/>
            </w:rPr>
          </w:pPr>
          <w:r w:rsidRPr="00A777CA">
            <w:rPr>
              <w:rFonts w:asciiTheme="minorBidi" w:hAnsiTheme="minorBidi"/>
              <w:sz w:val="24"/>
              <w:szCs w:val="24"/>
              <w:lang w:eastAsia="en-GB" w:bidi="gu-IN"/>
            </w:rPr>
            <w:t>Option B NPV: £831,845 (Highest)</w:t>
          </w:r>
        </w:p>
        <w:p w14:paraId="32D22003" w14:textId="77777777" w:rsidR="00A777CA" w:rsidRPr="00A777CA" w:rsidRDefault="00A777CA" w:rsidP="000104FB">
          <w:pPr>
            <w:jc w:val="both"/>
            <w:rPr>
              <w:rFonts w:asciiTheme="minorBidi" w:hAnsiTheme="minorBidi"/>
              <w:sz w:val="24"/>
              <w:szCs w:val="24"/>
              <w:lang w:eastAsia="en-GB" w:bidi="gu-IN"/>
            </w:rPr>
          </w:pPr>
          <w:r w:rsidRPr="00A777CA">
            <w:rPr>
              <w:rFonts w:asciiTheme="minorBidi" w:hAnsiTheme="minorBidi"/>
              <w:sz w:val="24"/>
              <w:szCs w:val="24"/>
              <w:lang w:eastAsia="en-GB" w:bidi="gu-IN"/>
            </w:rPr>
            <w:t>Correction: Upon final tally, Option B provides the highest NPV (£831,845) compared to Option C (£805,872). The high initial cost of Option C weighs heavily against it despite the high Year 4 cash flow.</w:t>
          </w:r>
        </w:p>
        <w:p w14:paraId="5DD59D96" w14:textId="33F0BABC" w:rsidR="006D72F0" w:rsidRDefault="00A777CA" w:rsidP="000104FB">
          <w:pPr>
            <w:jc w:val="both"/>
            <w:rPr>
              <w:rFonts w:asciiTheme="minorBidi" w:hAnsiTheme="minorBidi"/>
              <w:sz w:val="24"/>
              <w:szCs w:val="24"/>
              <w:lang w:eastAsia="en-GB" w:bidi="gu-IN"/>
            </w:rPr>
          </w:pPr>
          <w:r w:rsidRPr="00A777CA">
            <w:rPr>
              <w:rFonts w:asciiTheme="minorBidi" w:hAnsiTheme="minorBidi"/>
              <w:sz w:val="24"/>
              <w:szCs w:val="24"/>
              <w:lang w:eastAsia="en-GB" w:bidi="gu-IN"/>
            </w:rPr>
            <w:t>Decision: Based strictly on single-project NPV, the Board should undertake Option B (Internet Sales) as it generates the highest shareholder wealth.</w:t>
          </w:r>
        </w:p>
        <w:p w14:paraId="43F1E25D" w14:textId="7869C096" w:rsidR="006D72F0" w:rsidRDefault="006D72F0" w:rsidP="000104FB">
          <w:pPr>
            <w:pStyle w:val="Heading3"/>
            <w:numPr>
              <w:ilvl w:val="0"/>
              <w:numId w:val="37"/>
            </w:numPr>
            <w:jc w:val="both"/>
            <w:rPr>
              <w:lang w:eastAsia="en-GB" w:bidi="gu-IN"/>
            </w:rPr>
          </w:pPr>
          <w:bookmarkStart w:id="24" w:name="_Toc219110427"/>
          <w:r w:rsidRPr="006D72F0">
            <w:rPr>
              <w:lang w:eastAsia="en-GB" w:bidi="gu-IN"/>
            </w:rPr>
            <w:t>Internal Rate of Return (IRR) Calculation</w:t>
          </w:r>
          <w:bookmarkEnd w:id="24"/>
        </w:p>
        <w:p w14:paraId="22489BC4" w14:textId="34C245F8" w:rsidR="006D72F0" w:rsidRDefault="006D72F0"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  </w:t>
          </w:r>
          <w:r w:rsidRPr="006D72F0">
            <w:rPr>
              <w:rFonts w:asciiTheme="minorBidi" w:hAnsiTheme="minorBidi"/>
              <w:sz w:val="24"/>
              <w:szCs w:val="24"/>
              <w:lang w:eastAsia="en-GB" w:bidi="gu-IN"/>
            </w:rPr>
            <w:t>The IRR is the discount rate at which the NPV of the project equals zero.</w:t>
          </w:r>
        </w:p>
        <w:p w14:paraId="432F1D2A" w14:textId="77777777" w:rsidR="006D72F0" w:rsidRPr="006D72F0" w:rsidRDefault="006D72F0" w:rsidP="000104FB">
          <w:pPr>
            <w:jc w:val="both"/>
            <w:rPr>
              <w:rFonts w:asciiTheme="minorBidi" w:hAnsiTheme="minorBidi"/>
              <w:sz w:val="24"/>
              <w:szCs w:val="24"/>
              <w:lang w:eastAsia="en-GB" w:bidi="gu-IN"/>
            </w:rPr>
          </w:pPr>
          <w:r w:rsidRPr="006D72F0">
            <w:rPr>
              <w:rFonts w:asciiTheme="minorBidi" w:hAnsiTheme="minorBidi"/>
              <w:sz w:val="24"/>
              <w:szCs w:val="24"/>
              <w:lang w:eastAsia="en-GB" w:bidi="gu-IN"/>
            </w:rPr>
            <w:t>Option B at 40% Discount Rate:</w:t>
          </w:r>
        </w:p>
        <w:p w14:paraId="017EB359" w14:textId="66F9BE6B"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t xml:space="preserve">Year 0: (1,000,000) </w:t>
          </w:r>
          <w:r>
            <w:rPr>
              <w:rFonts w:asciiTheme="minorBidi" w:hAnsiTheme="minorBidi"/>
              <w:sz w:val="24"/>
              <w:szCs w:val="24"/>
              <w:lang w:eastAsia="en-GB" w:bidi="gu-IN"/>
            </w:rPr>
            <w:t>*</w:t>
          </w:r>
          <w:r w:rsidRPr="006D72F0">
            <w:rPr>
              <w:rFonts w:asciiTheme="minorBidi" w:hAnsiTheme="minorBidi"/>
              <w:sz w:val="24"/>
              <w:szCs w:val="24"/>
              <w:lang w:eastAsia="en-GB" w:bidi="gu-IN"/>
            </w:rPr>
            <w:t xml:space="preserve"> 1.0 = (1,000,000)</w:t>
          </w:r>
        </w:p>
        <w:p w14:paraId="74B2FDB3" w14:textId="3FDE2E21"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t xml:space="preserve">Year 1: 350,000 </w:t>
          </w:r>
          <w:r>
            <w:rPr>
              <w:rFonts w:asciiTheme="minorBidi" w:hAnsiTheme="minorBidi"/>
              <w:sz w:val="24"/>
              <w:szCs w:val="24"/>
              <w:lang w:eastAsia="en-GB" w:bidi="gu-IN"/>
            </w:rPr>
            <w:t>*</w:t>
          </w:r>
          <w:r w:rsidRPr="006D72F0">
            <w:rPr>
              <w:rFonts w:asciiTheme="minorBidi" w:hAnsiTheme="minorBidi"/>
              <w:sz w:val="24"/>
              <w:szCs w:val="24"/>
              <w:lang w:eastAsia="en-GB" w:bidi="gu-IN"/>
            </w:rPr>
            <w:t xml:space="preserve"> 0.714 = 249,900</w:t>
          </w:r>
        </w:p>
        <w:p w14:paraId="11BBA7DA" w14:textId="12AC4505"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t xml:space="preserve">Year 2: 387,500 </w:t>
          </w:r>
          <w:r>
            <w:rPr>
              <w:rFonts w:asciiTheme="minorBidi" w:hAnsiTheme="minorBidi"/>
              <w:sz w:val="24"/>
              <w:szCs w:val="24"/>
              <w:lang w:eastAsia="en-GB" w:bidi="gu-IN"/>
            </w:rPr>
            <w:t>*</w:t>
          </w:r>
          <w:r w:rsidRPr="006D72F0">
            <w:rPr>
              <w:rFonts w:asciiTheme="minorBidi" w:hAnsiTheme="minorBidi"/>
              <w:sz w:val="24"/>
              <w:szCs w:val="24"/>
              <w:lang w:eastAsia="en-GB" w:bidi="gu-IN"/>
            </w:rPr>
            <w:t xml:space="preserve"> 0.510 = 197,625</w:t>
          </w:r>
        </w:p>
        <w:p w14:paraId="672323E5" w14:textId="43736992"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t xml:space="preserve">Year 3: 590,000 </w:t>
          </w:r>
          <w:r>
            <w:rPr>
              <w:rFonts w:asciiTheme="minorBidi" w:hAnsiTheme="minorBidi"/>
              <w:sz w:val="24"/>
              <w:szCs w:val="24"/>
              <w:lang w:eastAsia="en-GB" w:bidi="gu-IN"/>
            </w:rPr>
            <w:t>*</w:t>
          </w:r>
          <w:r w:rsidRPr="006D72F0">
            <w:rPr>
              <w:rFonts w:asciiTheme="minorBidi" w:hAnsiTheme="minorBidi"/>
              <w:sz w:val="24"/>
              <w:szCs w:val="24"/>
              <w:lang w:eastAsia="en-GB" w:bidi="gu-IN"/>
            </w:rPr>
            <w:t xml:space="preserve"> 0.364 = 214,760</w:t>
          </w:r>
        </w:p>
        <w:p w14:paraId="4A24EFE4" w14:textId="1F2E908D"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lastRenderedPageBreak/>
            <w:t xml:space="preserve">Year 4: 835,000 </w:t>
          </w:r>
          <w:r>
            <w:rPr>
              <w:rFonts w:asciiTheme="minorBidi" w:hAnsiTheme="minorBidi"/>
              <w:sz w:val="24"/>
              <w:szCs w:val="24"/>
              <w:lang w:eastAsia="en-GB" w:bidi="gu-IN"/>
            </w:rPr>
            <w:t>*</w:t>
          </w:r>
          <w:r w:rsidRPr="006D72F0">
            <w:rPr>
              <w:rFonts w:asciiTheme="minorBidi" w:hAnsiTheme="minorBidi"/>
              <w:sz w:val="24"/>
              <w:szCs w:val="24"/>
              <w:lang w:eastAsia="en-GB" w:bidi="gu-IN"/>
            </w:rPr>
            <w:t xml:space="preserve"> 0.260 = 217,100</w:t>
          </w:r>
        </w:p>
        <w:p w14:paraId="0613E6A8" w14:textId="77777777" w:rsidR="006D72F0" w:rsidRPr="006D72F0" w:rsidRDefault="006D72F0" w:rsidP="000104FB">
          <w:pPr>
            <w:numPr>
              <w:ilvl w:val="0"/>
              <w:numId w:val="51"/>
            </w:numPr>
            <w:jc w:val="both"/>
            <w:rPr>
              <w:rFonts w:asciiTheme="minorBidi" w:hAnsiTheme="minorBidi"/>
              <w:sz w:val="24"/>
              <w:szCs w:val="24"/>
              <w:lang w:eastAsia="en-GB" w:bidi="gu-IN"/>
            </w:rPr>
          </w:pPr>
          <w:r w:rsidRPr="006D72F0">
            <w:rPr>
              <w:rFonts w:asciiTheme="minorBidi" w:hAnsiTheme="minorBidi"/>
              <w:sz w:val="24"/>
              <w:szCs w:val="24"/>
              <w:lang w:eastAsia="en-GB" w:bidi="gu-IN"/>
            </w:rPr>
            <w:t>Total NPV @ 40% = (120,615)</w:t>
          </w:r>
        </w:p>
        <w:p w14:paraId="448472EE" w14:textId="77777777" w:rsidR="006D72F0" w:rsidRDefault="006D72F0" w:rsidP="000104FB">
          <w:pPr>
            <w:jc w:val="both"/>
            <w:rPr>
              <w:rFonts w:asciiTheme="minorBidi" w:hAnsiTheme="minorBidi"/>
              <w:sz w:val="24"/>
              <w:szCs w:val="24"/>
              <w:lang w:eastAsia="en-GB" w:bidi="gu-IN"/>
            </w:rPr>
          </w:pPr>
          <w:r w:rsidRPr="006D72F0">
            <w:rPr>
              <w:rFonts w:asciiTheme="minorBidi" w:hAnsiTheme="minorBidi"/>
              <w:sz w:val="24"/>
              <w:szCs w:val="24"/>
              <w:lang w:eastAsia="en-GB" w:bidi="gu-IN"/>
            </w:rPr>
            <w:t>Interpolation Formula:</w:t>
          </w:r>
        </w:p>
        <w:p w14:paraId="712067ED" w14:textId="4294E7FA" w:rsidR="00DD33C5" w:rsidRPr="00DD33C5" w:rsidRDefault="006D72F0" w:rsidP="000104FB">
          <w:pPr>
            <w:jc w:val="both"/>
            <w:rPr>
              <w:rFonts w:asciiTheme="minorBidi" w:eastAsiaTheme="minorEastAsia" w:hAnsiTheme="minorBidi"/>
              <w:sz w:val="24"/>
              <w:szCs w:val="24"/>
              <w:lang w:eastAsia="en-GB" w:bidi="gu-IN"/>
            </w:rPr>
          </w:pPr>
          <m:oMathPara>
            <m:oMath>
              <m:r>
                <w:rPr>
                  <w:rFonts w:ascii="Cambria Math" w:hAnsi="Cambria Math"/>
                  <w:sz w:val="24"/>
                  <w:szCs w:val="24"/>
                  <w:lang w:eastAsia="en-GB" w:bidi="gu-IN"/>
                </w:rPr>
                <m:t>IRR=L+[</m:t>
              </m:r>
              <m:f>
                <m:fPr>
                  <m:ctrlPr>
                    <w:rPr>
                      <w:rFonts w:ascii="Cambria Math" w:hAnsi="Cambria Math"/>
                      <w:i/>
                      <w:sz w:val="24"/>
                      <w:szCs w:val="24"/>
                      <w:lang w:eastAsia="en-GB" w:bidi="gu-IN"/>
                    </w:rPr>
                  </m:ctrlPr>
                </m:fPr>
                <m:num>
                  <m:r>
                    <w:rPr>
                      <w:rFonts w:ascii="Cambria Math" w:hAnsi="Cambria Math"/>
                      <w:sz w:val="24"/>
                      <w:szCs w:val="24"/>
                      <w:lang w:eastAsia="en-GB" w:bidi="gu-IN"/>
                    </w:rPr>
                    <m:t>NPV(L)</m:t>
                  </m:r>
                </m:num>
                <m:den>
                  <m:r>
                    <w:rPr>
                      <w:rFonts w:ascii="Cambria Math" w:hAnsi="Cambria Math"/>
                      <w:sz w:val="24"/>
                      <w:szCs w:val="24"/>
                      <w:lang w:eastAsia="en-GB" w:bidi="gu-IN"/>
                    </w:rPr>
                    <m:t>NPV(L)-NPV(H)</m:t>
                  </m:r>
                </m:den>
              </m:f>
              <m:r>
                <w:rPr>
                  <w:rFonts w:ascii="Cambria Math" w:hAnsi="Cambria Math"/>
                  <w:sz w:val="24"/>
                  <w:szCs w:val="24"/>
                  <w:lang w:eastAsia="en-GB" w:bidi="gu-IN"/>
                </w:rPr>
                <m:t>*</m:t>
              </m:r>
              <m:d>
                <m:dPr>
                  <m:ctrlPr>
                    <w:rPr>
                      <w:rFonts w:ascii="Cambria Math" w:hAnsi="Cambria Math"/>
                      <w:i/>
                      <w:sz w:val="24"/>
                      <w:szCs w:val="24"/>
                      <w:lang w:eastAsia="en-GB" w:bidi="gu-IN"/>
                    </w:rPr>
                  </m:ctrlPr>
                </m:dPr>
                <m:e>
                  <m:r>
                    <w:rPr>
                      <w:rFonts w:ascii="Cambria Math" w:hAnsi="Cambria Math"/>
                      <w:sz w:val="24"/>
                      <w:szCs w:val="24"/>
                      <w:lang w:eastAsia="en-GB" w:bidi="gu-IN"/>
                    </w:rPr>
                    <m:t>H-L</m:t>
                  </m:r>
                </m:e>
              </m:d>
              <m:r>
                <w:rPr>
                  <w:rFonts w:ascii="Cambria Math" w:hAnsi="Cambria Math"/>
                  <w:sz w:val="24"/>
                  <w:szCs w:val="24"/>
                  <w:lang w:eastAsia="en-GB" w:bidi="gu-IN"/>
                </w:rPr>
                <m:t>]</m:t>
              </m:r>
            </m:oMath>
          </m:oMathPara>
        </w:p>
        <w:p w14:paraId="6283DD50" w14:textId="6621CFC9" w:rsidR="00DD33C5" w:rsidRDefault="00DD33C5" w:rsidP="000104FB">
          <w:pPr>
            <w:jc w:val="both"/>
            <w:rPr>
              <w:rFonts w:asciiTheme="minorBidi" w:eastAsiaTheme="minorEastAsia" w:hAnsiTheme="minorBidi"/>
              <w:sz w:val="24"/>
              <w:szCs w:val="24"/>
              <w:lang w:eastAsia="en-GB" w:bidi="gu-IN"/>
            </w:rPr>
          </w:pPr>
          <w:r>
            <w:rPr>
              <w:rFonts w:asciiTheme="minorBidi" w:eastAsiaTheme="minorEastAsia" w:hAnsiTheme="minorBidi"/>
              <w:sz w:val="24"/>
              <w:szCs w:val="24"/>
              <w:lang w:eastAsia="en-GB" w:bidi="gu-IN"/>
            </w:rPr>
            <w:t xml:space="preserve">Where: </w:t>
          </w:r>
        </w:p>
        <w:p w14:paraId="76C3D15E" w14:textId="324F2A5E" w:rsidR="00DD33C5" w:rsidRDefault="00DD33C5" w:rsidP="000104FB">
          <w:pPr>
            <w:pStyle w:val="ListParagraph"/>
            <w:numPr>
              <w:ilvl w:val="0"/>
              <w:numId w:val="53"/>
            </w:numPr>
            <w:jc w:val="both"/>
            <w:rPr>
              <w:rFonts w:asciiTheme="minorBidi" w:eastAsiaTheme="minorEastAsia" w:hAnsiTheme="minorBidi"/>
              <w:sz w:val="24"/>
              <w:szCs w:val="24"/>
              <w:lang w:eastAsia="en-GB" w:bidi="gu-IN"/>
            </w:rPr>
          </w:pPr>
          <w:r>
            <w:rPr>
              <w:rFonts w:asciiTheme="minorBidi" w:eastAsiaTheme="minorEastAsia" w:hAnsiTheme="minorBidi"/>
              <w:sz w:val="24"/>
              <w:szCs w:val="24"/>
              <w:lang w:eastAsia="en-GB" w:bidi="gu-IN"/>
            </w:rPr>
            <w:t>L (Lower Rate) = 6%</w:t>
          </w:r>
        </w:p>
        <w:p w14:paraId="37CE348E" w14:textId="5745555E" w:rsidR="00DD33C5" w:rsidRDefault="00DD33C5" w:rsidP="000104FB">
          <w:pPr>
            <w:pStyle w:val="ListParagraph"/>
            <w:numPr>
              <w:ilvl w:val="0"/>
              <w:numId w:val="53"/>
            </w:numPr>
            <w:jc w:val="both"/>
            <w:rPr>
              <w:rFonts w:asciiTheme="minorBidi" w:eastAsiaTheme="minorEastAsia" w:hAnsiTheme="minorBidi"/>
              <w:sz w:val="24"/>
              <w:szCs w:val="24"/>
              <w:lang w:eastAsia="en-GB" w:bidi="gu-IN"/>
            </w:rPr>
          </w:pPr>
          <w:r>
            <w:rPr>
              <w:rFonts w:asciiTheme="minorBidi" w:eastAsiaTheme="minorEastAsia" w:hAnsiTheme="minorBidi"/>
              <w:sz w:val="24"/>
              <w:szCs w:val="24"/>
              <w:lang w:eastAsia="en-GB" w:bidi="gu-IN"/>
            </w:rPr>
            <w:t>H (Higher Rate) = 40%</w:t>
          </w:r>
        </w:p>
        <w:p w14:paraId="170D4466" w14:textId="33508C44" w:rsidR="00DD33C5" w:rsidRDefault="00DD33C5" w:rsidP="000104FB">
          <w:pPr>
            <w:pStyle w:val="ListParagraph"/>
            <w:numPr>
              <w:ilvl w:val="0"/>
              <w:numId w:val="53"/>
            </w:numPr>
            <w:jc w:val="both"/>
            <w:rPr>
              <w:rFonts w:asciiTheme="minorBidi" w:eastAsiaTheme="minorEastAsia" w:hAnsiTheme="minorBidi"/>
              <w:sz w:val="24"/>
              <w:szCs w:val="24"/>
              <w:lang w:eastAsia="en-GB" w:bidi="gu-IN"/>
            </w:rPr>
          </w:pPr>
          <w:r>
            <w:rPr>
              <w:rFonts w:asciiTheme="minorBidi" w:eastAsiaTheme="minorEastAsia" w:hAnsiTheme="minorBidi"/>
              <w:sz w:val="24"/>
              <w:szCs w:val="24"/>
              <w:lang w:eastAsia="en-GB" w:bidi="gu-IN"/>
            </w:rPr>
            <w:t>NPV(L) = £831,845</w:t>
          </w:r>
        </w:p>
        <w:p w14:paraId="120F45C2" w14:textId="4CA75C79" w:rsidR="00DD33C5" w:rsidRDefault="00DD33C5" w:rsidP="000104FB">
          <w:pPr>
            <w:pStyle w:val="ListParagraph"/>
            <w:numPr>
              <w:ilvl w:val="0"/>
              <w:numId w:val="53"/>
            </w:numPr>
            <w:jc w:val="both"/>
            <w:rPr>
              <w:rFonts w:asciiTheme="minorBidi" w:eastAsiaTheme="minorEastAsia" w:hAnsiTheme="minorBidi"/>
              <w:sz w:val="24"/>
              <w:szCs w:val="24"/>
              <w:lang w:eastAsia="en-GB" w:bidi="gu-IN"/>
            </w:rPr>
          </w:pPr>
          <w:r>
            <w:rPr>
              <w:rFonts w:asciiTheme="minorBidi" w:eastAsiaTheme="minorEastAsia" w:hAnsiTheme="minorBidi"/>
              <w:sz w:val="24"/>
              <w:szCs w:val="24"/>
              <w:lang w:eastAsia="en-GB" w:bidi="gu-IN"/>
            </w:rPr>
            <w:t>NPV(H) = £120,615</w:t>
          </w:r>
        </w:p>
        <w:p w14:paraId="71386C52" w14:textId="77777777" w:rsidR="00DD33C5" w:rsidRDefault="00DD33C5" w:rsidP="000104FB">
          <w:pPr>
            <w:pStyle w:val="ListParagraph"/>
            <w:jc w:val="both"/>
            <w:rPr>
              <w:rFonts w:asciiTheme="minorBidi" w:eastAsiaTheme="minorEastAsia" w:hAnsiTheme="minorBidi"/>
              <w:sz w:val="24"/>
              <w:szCs w:val="24"/>
              <w:lang w:eastAsia="en-GB" w:bidi="gu-IN"/>
            </w:rPr>
          </w:pPr>
        </w:p>
        <w:p w14:paraId="4D4BD416" w14:textId="1E6C8053" w:rsidR="00DD33C5" w:rsidRPr="00DD33C5" w:rsidRDefault="00DD33C5" w:rsidP="000104FB">
          <w:pPr>
            <w:pStyle w:val="ListParagraph"/>
            <w:jc w:val="both"/>
            <w:rPr>
              <w:rFonts w:asciiTheme="minorBidi" w:eastAsiaTheme="minorEastAsia" w:hAnsiTheme="minorBidi"/>
              <w:sz w:val="24"/>
              <w:szCs w:val="24"/>
              <w:lang w:eastAsia="en-GB" w:bidi="gu-IN"/>
            </w:rPr>
          </w:pPr>
          <m:oMathPara>
            <m:oMath>
              <m:r>
                <w:rPr>
                  <w:rFonts w:ascii="Cambria Math" w:eastAsiaTheme="minorEastAsia" w:hAnsi="Cambria Math"/>
                  <w:sz w:val="24"/>
                  <w:szCs w:val="24"/>
                  <w:lang w:eastAsia="en-GB" w:bidi="gu-IN"/>
                </w:rPr>
                <m:t>IRR=6+[</m:t>
              </m:r>
              <m:f>
                <m:fPr>
                  <m:ctrlPr>
                    <w:rPr>
                      <w:rFonts w:ascii="Cambria Math" w:eastAsiaTheme="minorEastAsia" w:hAnsi="Cambria Math"/>
                      <w:i/>
                      <w:sz w:val="24"/>
                      <w:szCs w:val="24"/>
                      <w:lang w:eastAsia="en-GB" w:bidi="gu-IN"/>
                    </w:rPr>
                  </m:ctrlPr>
                </m:fPr>
                <m:num>
                  <m:r>
                    <w:rPr>
                      <w:rFonts w:ascii="Cambria Math" w:eastAsiaTheme="minorEastAsia" w:hAnsi="Cambria Math"/>
                      <w:sz w:val="24"/>
                      <w:szCs w:val="24"/>
                      <w:lang w:eastAsia="en-GB" w:bidi="gu-IN"/>
                    </w:rPr>
                    <m:t>831,845</m:t>
                  </m:r>
                </m:num>
                <m:den>
                  <m:r>
                    <w:rPr>
                      <w:rFonts w:ascii="Cambria Math" w:eastAsiaTheme="minorEastAsia" w:hAnsi="Cambria Math"/>
                      <w:sz w:val="24"/>
                      <w:szCs w:val="24"/>
                      <w:lang w:eastAsia="en-GB" w:bidi="gu-IN"/>
                    </w:rPr>
                    <m:t>831,845-</m:t>
                  </m:r>
                  <m:d>
                    <m:dPr>
                      <m:ctrlPr>
                        <w:rPr>
                          <w:rFonts w:ascii="Cambria Math" w:eastAsiaTheme="minorEastAsia" w:hAnsi="Cambria Math"/>
                          <w:i/>
                          <w:sz w:val="24"/>
                          <w:szCs w:val="24"/>
                          <w:lang w:eastAsia="en-GB" w:bidi="gu-IN"/>
                        </w:rPr>
                      </m:ctrlPr>
                    </m:dPr>
                    <m:e>
                      <m:r>
                        <w:rPr>
                          <w:rFonts w:ascii="Cambria Math" w:eastAsiaTheme="minorEastAsia" w:hAnsi="Cambria Math"/>
                          <w:sz w:val="24"/>
                          <w:szCs w:val="24"/>
                          <w:lang w:eastAsia="en-GB" w:bidi="gu-IN"/>
                        </w:rPr>
                        <m:t>-120,615</m:t>
                      </m:r>
                    </m:e>
                  </m:d>
                </m:den>
              </m:f>
              <m:r>
                <w:rPr>
                  <w:rFonts w:ascii="Cambria Math" w:eastAsiaTheme="minorEastAsia" w:hAnsi="Cambria Math"/>
                  <w:sz w:val="24"/>
                  <w:szCs w:val="24"/>
                  <w:lang w:eastAsia="en-GB" w:bidi="gu-IN"/>
                </w:rPr>
                <m:t>*</m:t>
              </m:r>
              <m:d>
                <m:dPr>
                  <m:ctrlPr>
                    <w:rPr>
                      <w:rFonts w:ascii="Cambria Math" w:eastAsiaTheme="minorEastAsia" w:hAnsi="Cambria Math"/>
                      <w:i/>
                      <w:sz w:val="24"/>
                      <w:szCs w:val="24"/>
                      <w:lang w:eastAsia="en-GB" w:bidi="gu-IN"/>
                    </w:rPr>
                  </m:ctrlPr>
                </m:dPr>
                <m:e>
                  <m:r>
                    <w:rPr>
                      <w:rFonts w:ascii="Cambria Math" w:eastAsiaTheme="minorEastAsia" w:hAnsi="Cambria Math"/>
                      <w:sz w:val="24"/>
                      <w:szCs w:val="24"/>
                      <w:lang w:eastAsia="en-GB" w:bidi="gu-IN"/>
                    </w:rPr>
                    <m:t>34</m:t>
                  </m:r>
                </m:e>
              </m:d>
              <m:r>
                <w:rPr>
                  <w:rFonts w:ascii="Cambria Math" w:eastAsiaTheme="minorEastAsia" w:hAnsi="Cambria Math"/>
                  <w:sz w:val="24"/>
                  <w:szCs w:val="24"/>
                  <w:lang w:eastAsia="en-GB" w:bidi="gu-IN"/>
                </w:rPr>
                <m:t>]</m:t>
              </m:r>
            </m:oMath>
          </m:oMathPara>
        </w:p>
        <w:p w14:paraId="009CAA8C" w14:textId="77777777" w:rsidR="00DD33C5" w:rsidRPr="00DD33C5" w:rsidRDefault="00DD33C5" w:rsidP="000104FB">
          <w:pPr>
            <w:pStyle w:val="ListParagraph"/>
            <w:jc w:val="both"/>
            <w:rPr>
              <w:rFonts w:asciiTheme="minorBidi" w:eastAsiaTheme="minorEastAsia" w:hAnsiTheme="minorBidi"/>
              <w:sz w:val="24"/>
              <w:szCs w:val="24"/>
              <w:lang w:eastAsia="en-GB" w:bidi="gu-IN"/>
            </w:rPr>
          </w:pPr>
        </w:p>
        <w:p w14:paraId="5FE2CCCA" w14:textId="445D19C6" w:rsidR="00DD33C5" w:rsidRPr="00DD33C5" w:rsidRDefault="00DD33C5" w:rsidP="000104FB">
          <w:pPr>
            <w:pStyle w:val="ListParagraph"/>
            <w:jc w:val="both"/>
            <w:rPr>
              <w:rFonts w:asciiTheme="minorBidi" w:eastAsiaTheme="minorEastAsia" w:hAnsiTheme="minorBidi"/>
              <w:sz w:val="24"/>
              <w:szCs w:val="24"/>
              <w:lang w:eastAsia="en-GB" w:bidi="gu-IN"/>
            </w:rPr>
          </w:pPr>
          <m:oMathPara>
            <m:oMath>
              <m:r>
                <w:rPr>
                  <w:rFonts w:ascii="Cambria Math" w:eastAsiaTheme="minorEastAsia" w:hAnsi="Cambria Math"/>
                  <w:sz w:val="24"/>
                  <w:szCs w:val="24"/>
                  <w:lang w:eastAsia="en-GB" w:bidi="gu-IN"/>
                </w:rPr>
                <m:t>IRR=6+[</m:t>
              </m:r>
              <m:f>
                <m:fPr>
                  <m:ctrlPr>
                    <w:rPr>
                      <w:rFonts w:ascii="Cambria Math" w:eastAsiaTheme="minorEastAsia" w:hAnsi="Cambria Math"/>
                      <w:i/>
                      <w:sz w:val="24"/>
                      <w:szCs w:val="24"/>
                      <w:lang w:eastAsia="en-GB" w:bidi="gu-IN"/>
                    </w:rPr>
                  </m:ctrlPr>
                </m:fPr>
                <m:num>
                  <m:r>
                    <w:rPr>
                      <w:rFonts w:ascii="Cambria Math" w:eastAsiaTheme="minorEastAsia" w:hAnsi="Cambria Math"/>
                      <w:sz w:val="24"/>
                      <w:szCs w:val="24"/>
                      <w:lang w:eastAsia="en-GB" w:bidi="gu-IN"/>
                    </w:rPr>
                    <m:t>831,845</m:t>
                  </m:r>
                </m:num>
                <m:den>
                  <m:r>
                    <w:rPr>
                      <w:rFonts w:ascii="Cambria Math" w:eastAsiaTheme="minorEastAsia" w:hAnsi="Cambria Math"/>
                      <w:sz w:val="24"/>
                      <w:szCs w:val="24"/>
                      <w:lang w:eastAsia="en-GB" w:bidi="gu-IN"/>
                    </w:rPr>
                    <m:t>952,460</m:t>
                  </m:r>
                </m:den>
              </m:f>
              <m:r>
                <w:rPr>
                  <w:rFonts w:ascii="Cambria Math" w:eastAsiaTheme="minorEastAsia" w:hAnsi="Cambria Math"/>
                  <w:sz w:val="24"/>
                  <w:szCs w:val="24"/>
                  <w:lang w:eastAsia="en-GB" w:bidi="gu-IN"/>
                </w:rPr>
                <m:t>*34]</m:t>
              </m:r>
            </m:oMath>
          </m:oMathPara>
        </w:p>
        <w:p w14:paraId="38918155" w14:textId="77777777" w:rsidR="00DD33C5" w:rsidRPr="00DD33C5" w:rsidRDefault="00DD33C5" w:rsidP="000104FB">
          <w:pPr>
            <w:pStyle w:val="ListParagraph"/>
            <w:jc w:val="both"/>
            <w:rPr>
              <w:rFonts w:asciiTheme="minorBidi" w:eastAsiaTheme="minorEastAsia" w:hAnsiTheme="minorBidi"/>
              <w:sz w:val="24"/>
              <w:szCs w:val="24"/>
              <w:lang w:eastAsia="en-GB" w:bidi="gu-IN"/>
            </w:rPr>
          </w:pPr>
        </w:p>
        <w:p w14:paraId="6FC1AF84" w14:textId="7DB2CF2C" w:rsidR="00DD33C5" w:rsidRPr="00DD33C5" w:rsidRDefault="00DD33C5" w:rsidP="000104FB">
          <w:pPr>
            <w:pStyle w:val="ListParagraph"/>
            <w:jc w:val="both"/>
            <w:rPr>
              <w:rFonts w:asciiTheme="minorBidi" w:eastAsiaTheme="minorEastAsia" w:hAnsiTheme="minorBidi"/>
              <w:sz w:val="24"/>
              <w:szCs w:val="24"/>
              <w:lang w:eastAsia="en-GB" w:bidi="gu-IN"/>
            </w:rPr>
          </w:pPr>
          <m:oMathPara>
            <m:oMath>
              <m:r>
                <w:rPr>
                  <w:rFonts w:ascii="Cambria Math" w:eastAsiaTheme="minorEastAsia" w:hAnsi="Cambria Math"/>
                  <w:sz w:val="24"/>
                  <w:szCs w:val="24"/>
                  <w:lang w:eastAsia="en-GB" w:bidi="gu-IN"/>
                </w:rPr>
                <m:t>IRR=6+</m:t>
              </m:r>
              <m:d>
                <m:dPr>
                  <m:begChr m:val="["/>
                  <m:endChr m:val="]"/>
                  <m:ctrlPr>
                    <w:rPr>
                      <w:rFonts w:ascii="Cambria Math" w:eastAsiaTheme="minorEastAsia" w:hAnsi="Cambria Math"/>
                      <w:i/>
                      <w:sz w:val="24"/>
                      <w:szCs w:val="24"/>
                      <w:lang w:eastAsia="en-GB" w:bidi="gu-IN"/>
                    </w:rPr>
                  </m:ctrlPr>
                </m:dPr>
                <m:e>
                  <m:r>
                    <w:rPr>
                      <w:rFonts w:ascii="Cambria Math" w:eastAsiaTheme="minorEastAsia" w:hAnsi="Cambria Math"/>
                      <w:sz w:val="24"/>
                      <w:szCs w:val="24"/>
                      <w:lang w:eastAsia="en-GB" w:bidi="gu-IN"/>
                    </w:rPr>
                    <m:t>0.873*34</m:t>
                  </m:r>
                </m:e>
              </m:d>
            </m:oMath>
          </m:oMathPara>
        </w:p>
        <w:p w14:paraId="4B1313B2" w14:textId="77777777" w:rsidR="00DD33C5" w:rsidRPr="00DD33C5" w:rsidRDefault="00DD33C5" w:rsidP="000104FB">
          <w:pPr>
            <w:pStyle w:val="ListParagraph"/>
            <w:jc w:val="both"/>
            <w:rPr>
              <w:rFonts w:asciiTheme="minorBidi" w:eastAsiaTheme="minorEastAsia" w:hAnsiTheme="minorBidi"/>
              <w:sz w:val="24"/>
              <w:szCs w:val="24"/>
              <w:lang w:eastAsia="en-GB" w:bidi="gu-IN"/>
            </w:rPr>
          </w:pPr>
        </w:p>
        <w:p w14:paraId="1CC2EF94" w14:textId="203AE5CF" w:rsidR="00DD33C5" w:rsidRPr="00E56F2F" w:rsidRDefault="00DD33C5" w:rsidP="000104FB">
          <w:pPr>
            <w:pStyle w:val="ListParagraph"/>
            <w:jc w:val="both"/>
            <w:rPr>
              <w:rFonts w:asciiTheme="minorBidi" w:eastAsiaTheme="minorEastAsia" w:hAnsiTheme="minorBidi"/>
              <w:sz w:val="24"/>
              <w:szCs w:val="24"/>
              <w:lang w:eastAsia="en-GB" w:bidi="gu-IN"/>
            </w:rPr>
          </w:pPr>
          <m:oMathPara>
            <m:oMath>
              <m:r>
                <w:rPr>
                  <w:rFonts w:ascii="Cambria Math" w:eastAsiaTheme="minorEastAsia" w:hAnsi="Cambria Math"/>
                  <w:sz w:val="24"/>
                  <w:szCs w:val="24"/>
                  <w:lang w:eastAsia="en-GB" w:bidi="gu-IN"/>
                </w:rPr>
                <m:t>IRR=6+</m:t>
              </m:r>
              <m:r>
                <w:rPr>
                  <w:rFonts w:ascii="Cambria Math" w:eastAsiaTheme="minorEastAsia" w:hAnsi="Cambria Math"/>
                  <w:sz w:val="24"/>
                  <w:szCs w:val="24"/>
                  <w:lang w:eastAsia="en-GB" w:bidi="gu-IN"/>
                </w:rPr>
                <m:t>29.69</m:t>
              </m:r>
            </m:oMath>
          </m:oMathPara>
        </w:p>
        <w:p w14:paraId="6DA89511" w14:textId="77777777" w:rsidR="00E56F2F" w:rsidRPr="00DD33C5" w:rsidRDefault="00E56F2F" w:rsidP="000104FB">
          <w:pPr>
            <w:pStyle w:val="ListParagraph"/>
            <w:jc w:val="both"/>
            <w:rPr>
              <w:rFonts w:asciiTheme="minorBidi" w:eastAsiaTheme="minorEastAsia" w:hAnsiTheme="minorBidi"/>
              <w:sz w:val="24"/>
              <w:szCs w:val="24"/>
              <w:lang w:eastAsia="en-GB" w:bidi="gu-IN"/>
            </w:rPr>
          </w:pPr>
        </w:p>
        <w:p w14:paraId="47D369AC" w14:textId="5A665E20" w:rsidR="00DD33C5" w:rsidRPr="000104FB" w:rsidRDefault="00DD33C5" w:rsidP="000104FB">
          <w:pPr>
            <w:pStyle w:val="ListParagraph"/>
            <w:jc w:val="both"/>
            <w:rPr>
              <w:rFonts w:asciiTheme="minorBidi" w:eastAsiaTheme="minorEastAsia" w:hAnsiTheme="minorBidi"/>
              <w:sz w:val="24"/>
              <w:szCs w:val="24"/>
              <w:lang w:eastAsia="en-GB" w:bidi="gu-IN"/>
            </w:rPr>
          </w:pPr>
          <m:oMathPara>
            <m:oMath>
              <m:r>
                <w:rPr>
                  <w:rFonts w:ascii="Cambria Math" w:eastAsiaTheme="minorEastAsia" w:hAnsi="Cambria Math"/>
                  <w:sz w:val="24"/>
                  <w:szCs w:val="24"/>
                  <w:lang w:eastAsia="en-GB" w:bidi="gu-IN"/>
                </w:rPr>
                <m:t>IRR</m:t>
              </m:r>
              <m:r>
                <w:rPr>
                  <w:rFonts w:ascii="Cambria Math" w:eastAsiaTheme="minorEastAsia" w:hAnsi="Cambria Math"/>
                  <w:sz w:val="24"/>
                  <w:szCs w:val="24"/>
                  <w:lang w:eastAsia="en-GB" w:bidi="gu-IN"/>
                </w:rPr>
                <m:t xml:space="preserve"> ≈35.7% </m:t>
              </m:r>
            </m:oMath>
          </m:oMathPara>
        </w:p>
        <w:p w14:paraId="1CAEE1A9"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The Internal Rate of Return (IRR) of 35.7% is a critical indicator of financial success for Westward PLC. Here is the breakdown of why this figure confirms the project's viability and how the calculation leads to this conclusion.</w:t>
          </w:r>
        </w:p>
        <w:p w14:paraId="7C13C3DE"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1. The "Hurdle Rate" Test (Viability)</w:t>
          </w:r>
        </w:p>
        <w:p w14:paraId="1D4E13B0"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The primary reason this result confirms viability is the relationship between the Return and the Cost.</w:t>
          </w:r>
        </w:p>
        <w:p w14:paraId="5755FA1D" w14:textId="77777777" w:rsidR="000104FB" w:rsidRPr="000104FB" w:rsidRDefault="000104FB" w:rsidP="000104FB">
          <w:pPr>
            <w:numPr>
              <w:ilvl w:val="0"/>
              <w:numId w:val="66"/>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Cost of Capital (The Hurdle): 6%. This is what it costs Westward PLC to obtain funds (interest on loans or dividends to shareholders).</w:t>
          </w:r>
        </w:p>
        <w:p w14:paraId="186906B3" w14:textId="77777777" w:rsidR="000104FB" w:rsidRPr="000104FB" w:rsidRDefault="000104FB" w:rsidP="000104FB">
          <w:pPr>
            <w:numPr>
              <w:ilvl w:val="0"/>
              <w:numId w:val="66"/>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Internal Return (The Jump): 35.7%. This is the effective annual interest rate the project earns on the money invested.</w:t>
          </w:r>
        </w:p>
        <w:p w14:paraId="1032C48A"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Why it matters: Since 35.7% &gt; 6%, the project is generating returns significantly faster than the cost of financing it. Effectively, for every £1 Westward invests, the company pays 6 pence in costs but earns nearly 36 pence in return. The difference (the "spread") represents pure profit for shareholders.</w:t>
          </w:r>
        </w:p>
        <w:p w14:paraId="06AAAEDD"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2. The Margin of Safety (Risk Assessment)</w:t>
          </w:r>
        </w:p>
        <w:p w14:paraId="5D0307C2"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The gap between the calculated IRR (35.7%) and the Cost of Capital (6%) is approximately 29.7%.</w:t>
          </w:r>
        </w:p>
        <w:p w14:paraId="584D9583" w14:textId="77777777" w:rsidR="000104FB" w:rsidRPr="000104FB" w:rsidRDefault="000104FB" w:rsidP="000104FB">
          <w:pPr>
            <w:numPr>
              <w:ilvl w:val="0"/>
              <w:numId w:val="67"/>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lastRenderedPageBreak/>
            <w:t>This large buffer is crucial for risk management.</w:t>
          </w:r>
        </w:p>
        <w:p w14:paraId="336D9BFB" w14:textId="77777777" w:rsidR="000104FB" w:rsidRPr="000104FB" w:rsidRDefault="000104FB" w:rsidP="000104FB">
          <w:pPr>
            <w:numPr>
              <w:ilvl w:val="0"/>
              <w:numId w:val="67"/>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 xml:space="preserve">It means that even if market conditions worsen and the cost of borrowing triples (e.g., to 18%), the project would </w:t>
          </w:r>
          <w:r w:rsidRPr="000104FB">
            <w:rPr>
              <w:rFonts w:asciiTheme="minorBidi" w:eastAsiaTheme="minorEastAsia" w:hAnsiTheme="minorBidi"/>
              <w:i/>
              <w:iCs/>
              <w:sz w:val="24"/>
              <w:szCs w:val="24"/>
              <w:lang w:eastAsia="en-GB" w:bidi="gu-IN"/>
            </w:rPr>
            <w:t>still</w:t>
          </w:r>
          <w:r w:rsidRPr="000104FB">
            <w:rPr>
              <w:rFonts w:asciiTheme="minorBidi" w:eastAsiaTheme="minorEastAsia" w:hAnsiTheme="minorBidi"/>
              <w:sz w:val="24"/>
              <w:szCs w:val="24"/>
              <w:lang w:eastAsia="en-GB" w:bidi="gu-IN"/>
            </w:rPr>
            <w:t xml:space="preserve"> be profitable.</w:t>
          </w:r>
        </w:p>
        <w:p w14:paraId="0F05BA69" w14:textId="77777777" w:rsidR="000104FB" w:rsidRPr="000104FB" w:rsidRDefault="000104FB" w:rsidP="000104FB">
          <w:pPr>
            <w:numPr>
              <w:ilvl w:val="0"/>
              <w:numId w:val="67"/>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It also implies that even if the internet sales forecasts (Option B) are slightly optimistic and actual returns are lower than expected, there is a massive safety net before the project actually destroys value (NPV &lt; 0).</w:t>
          </w:r>
        </w:p>
        <w:p w14:paraId="69CD19E5"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3. The "Breakeven" Logic (The Calculation)</w:t>
          </w:r>
        </w:p>
        <w:p w14:paraId="7C675887" w14:textId="77777777" w:rsidR="000104FB" w:rsidRPr="000104FB" w:rsidRDefault="000104FB" w:rsidP="000104FB">
          <w:p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The calculation you performed is finding the Breakeven Discount Rate.</w:t>
          </w:r>
        </w:p>
        <w:p w14:paraId="23BC3A4A" w14:textId="77777777" w:rsidR="000104FB" w:rsidRPr="000104FB" w:rsidRDefault="000104FB" w:rsidP="000104FB">
          <w:pPr>
            <w:numPr>
              <w:ilvl w:val="0"/>
              <w:numId w:val="68"/>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At 6% interest, the project is highly profitable (NPV = £831,845).</w:t>
          </w:r>
        </w:p>
        <w:p w14:paraId="0714FD7B" w14:textId="77777777" w:rsidR="000104FB" w:rsidRPr="000104FB" w:rsidRDefault="000104FB" w:rsidP="000104FB">
          <w:pPr>
            <w:numPr>
              <w:ilvl w:val="0"/>
              <w:numId w:val="68"/>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At 40% interest, the project creates a loss (NPV = -£120,615).</w:t>
          </w:r>
        </w:p>
        <w:p w14:paraId="14F594AD" w14:textId="4C2BD263" w:rsidR="000104FB" w:rsidRPr="000104FB" w:rsidRDefault="000104FB" w:rsidP="000104FB">
          <w:pPr>
            <w:numPr>
              <w:ilvl w:val="0"/>
              <w:numId w:val="68"/>
            </w:numPr>
            <w:jc w:val="both"/>
            <w:rPr>
              <w:rFonts w:asciiTheme="minorBidi" w:eastAsiaTheme="minorEastAsia" w:hAnsiTheme="minorBidi"/>
              <w:sz w:val="24"/>
              <w:szCs w:val="24"/>
              <w:lang w:eastAsia="en-GB" w:bidi="gu-IN"/>
            </w:rPr>
          </w:pPr>
          <w:r w:rsidRPr="000104FB">
            <w:rPr>
              <w:rFonts w:asciiTheme="minorBidi" w:eastAsiaTheme="minorEastAsia" w:hAnsiTheme="minorBidi"/>
              <w:sz w:val="24"/>
              <w:szCs w:val="24"/>
              <w:lang w:eastAsia="en-GB" w:bidi="gu-IN"/>
            </w:rPr>
            <w:t>The Logic: Since the project is profitable at a low rate and unprofitable at a very high rate, there must be a specific rate in the middle where the NPV is exactly zero.</w:t>
          </w:r>
        </w:p>
        <w:p w14:paraId="110F4680" w14:textId="6891AF64" w:rsidR="00E56F2F" w:rsidRDefault="006D72F0" w:rsidP="000104FB">
          <w:pPr>
            <w:jc w:val="both"/>
            <w:rPr>
              <w:rFonts w:asciiTheme="minorBidi" w:hAnsiTheme="minorBidi"/>
              <w:sz w:val="24"/>
              <w:szCs w:val="24"/>
              <w:lang w:eastAsia="en-GB" w:bidi="gu-IN"/>
            </w:rPr>
          </w:pPr>
          <w:r w:rsidRPr="006D72F0">
            <w:rPr>
              <w:rFonts w:asciiTheme="minorBidi" w:hAnsiTheme="minorBidi"/>
              <w:sz w:val="24"/>
              <w:szCs w:val="24"/>
              <w:lang w:eastAsia="en-GB" w:bidi="gu-IN"/>
            </w:rPr>
            <w:t>Result: The approximate IRR for Option B is 35.7%. This is significantly higher than the 6% cost of capital, confirming the project's robust financial viability.</w:t>
          </w:r>
        </w:p>
        <w:p w14:paraId="15047093" w14:textId="30196A5F" w:rsidR="00E56F2F" w:rsidRDefault="00E56F2F" w:rsidP="000104FB">
          <w:pPr>
            <w:pStyle w:val="Heading3"/>
            <w:numPr>
              <w:ilvl w:val="0"/>
              <w:numId w:val="37"/>
            </w:numPr>
            <w:jc w:val="both"/>
            <w:rPr>
              <w:lang w:eastAsia="en-GB" w:bidi="gu-IN"/>
            </w:rPr>
          </w:pPr>
          <w:bookmarkStart w:id="25" w:name="_Toc219110428"/>
          <w:r w:rsidRPr="00E56F2F">
            <w:rPr>
              <w:lang w:eastAsia="en-GB" w:bidi="gu-IN"/>
            </w:rPr>
            <w:t>Management Interpretation</w:t>
          </w:r>
          <w:bookmarkEnd w:id="25"/>
        </w:p>
        <w:p w14:paraId="230B3DDF" w14:textId="400F693F"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I</w:t>
          </w:r>
          <w:r w:rsidRPr="00E56F2F">
            <w:rPr>
              <w:rFonts w:asciiTheme="minorBidi" w:hAnsiTheme="minorBidi"/>
              <w:sz w:val="24"/>
              <w:szCs w:val="24"/>
              <w:lang w:eastAsia="en-GB" w:bidi="gu-IN"/>
            </w:rPr>
            <w:t>. Theoretical arguments for NPV as the best method</w:t>
          </w:r>
        </w:p>
        <w:p w14:paraId="01514A0A" w14:textId="153D2511"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The Net Present Value (NPV) method is theoretically superior to other appraisal techniques for three primary reasons, which align with the Board's fiduciary duty to </w:t>
          </w:r>
          <w:r>
            <w:rPr>
              <w:rFonts w:asciiTheme="minorBidi" w:hAnsiTheme="minorBidi"/>
              <w:sz w:val="24"/>
              <w:szCs w:val="24"/>
              <w:lang w:eastAsia="en-GB" w:bidi="gu-IN"/>
            </w:rPr>
            <w:t>maximise</w:t>
          </w:r>
          <w:r w:rsidRPr="00E56F2F">
            <w:rPr>
              <w:rFonts w:asciiTheme="minorBidi" w:hAnsiTheme="minorBidi"/>
              <w:sz w:val="24"/>
              <w:szCs w:val="24"/>
              <w:lang w:eastAsia="en-GB" w:bidi="gu-IN"/>
            </w:rPr>
            <w:t xml:space="preserve"> shareholder value:</w:t>
          </w:r>
        </w:p>
        <w:p w14:paraId="269213B0" w14:textId="2121C1E8" w:rsidR="00E56F2F" w:rsidRPr="00E56F2F" w:rsidRDefault="00E56F2F" w:rsidP="000104FB">
          <w:pPr>
            <w:numPr>
              <w:ilvl w:val="0"/>
              <w:numId w:val="54"/>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Shareholder Wealth </w:t>
          </w:r>
          <w:r>
            <w:rPr>
              <w:rFonts w:asciiTheme="minorBidi" w:hAnsiTheme="minorBidi"/>
              <w:sz w:val="24"/>
              <w:szCs w:val="24"/>
              <w:lang w:eastAsia="en-GB" w:bidi="gu-IN"/>
            </w:rPr>
            <w:t>Maximisation</w:t>
          </w:r>
          <w:r w:rsidRPr="00E56F2F">
            <w:rPr>
              <w:rFonts w:asciiTheme="minorBidi" w:hAnsiTheme="minorBidi"/>
              <w:sz w:val="24"/>
              <w:szCs w:val="24"/>
              <w:lang w:eastAsia="en-GB" w:bidi="gu-IN"/>
            </w:rPr>
            <w:t>: NPV gives an absolute measure (in Pounds Sterling) of the value added to the company. If a project has an NPV of £831,845, theoretically, the market value of the company should increase by exactly that amount upon the project's announcement.</w:t>
          </w:r>
        </w:p>
        <w:p w14:paraId="4D0A074D" w14:textId="249E208B" w:rsidR="00E56F2F" w:rsidRPr="00E56F2F" w:rsidRDefault="00E56F2F" w:rsidP="000104FB">
          <w:pPr>
            <w:numPr>
              <w:ilvl w:val="0"/>
              <w:numId w:val="54"/>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Time Value of Money: unlike simple payback or Return on Capital Employed (ROCE), NPV </w:t>
          </w:r>
          <w:r>
            <w:rPr>
              <w:rFonts w:asciiTheme="minorBidi" w:hAnsiTheme="minorBidi"/>
              <w:sz w:val="24"/>
              <w:szCs w:val="24"/>
              <w:lang w:eastAsia="en-GB" w:bidi="gu-IN"/>
            </w:rPr>
            <w:t>recognises</w:t>
          </w:r>
          <w:r w:rsidRPr="00E56F2F">
            <w:rPr>
              <w:rFonts w:asciiTheme="minorBidi" w:hAnsiTheme="minorBidi"/>
              <w:sz w:val="24"/>
              <w:szCs w:val="24"/>
              <w:lang w:eastAsia="en-GB" w:bidi="gu-IN"/>
            </w:rPr>
            <w:t xml:space="preserve"> that £1 today is worth more than £1 next year. By discounting cash flows at the company's cost of capital (6%), it accounts for the risk and opportunity cost of the funds employed.</w:t>
          </w:r>
        </w:p>
        <w:p w14:paraId="14C6FB71" w14:textId="77777777" w:rsidR="00E56F2F" w:rsidRPr="00E56F2F" w:rsidRDefault="00E56F2F" w:rsidP="000104FB">
          <w:pPr>
            <w:numPr>
              <w:ilvl w:val="0"/>
              <w:numId w:val="54"/>
            </w:numPr>
            <w:jc w:val="both"/>
            <w:rPr>
              <w:rFonts w:asciiTheme="minorBidi" w:hAnsiTheme="minorBidi"/>
              <w:sz w:val="24"/>
              <w:szCs w:val="24"/>
              <w:lang w:eastAsia="en-GB" w:bidi="gu-IN"/>
            </w:rPr>
          </w:pPr>
          <w:r w:rsidRPr="00E56F2F">
            <w:rPr>
              <w:rFonts w:asciiTheme="minorBidi" w:hAnsiTheme="minorBidi"/>
              <w:sz w:val="24"/>
              <w:szCs w:val="24"/>
              <w:lang w:eastAsia="en-GB" w:bidi="gu-IN"/>
            </w:rPr>
            <w:t>The Reinvestment Assumption: NPV assumes that cash inflows generated during the project are reinvested at the cost of capital (6%). This is a conservative and realistic assumption compared to IRR, which assumes reinvestment at the project's own internal rate (often unrealistically high, e.g., 35%).</w:t>
          </w:r>
        </w:p>
        <w:p w14:paraId="30A8CD68" w14:textId="501B387A" w:rsidR="00E56F2F" w:rsidRP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II</w:t>
          </w:r>
          <w:r w:rsidRPr="00E56F2F">
            <w:rPr>
              <w:rFonts w:asciiTheme="minorBidi" w:hAnsiTheme="minorBidi"/>
              <w:sz w:val="24"/>
              <w:szCs w:val="24"/>
              <w:lang w:eastAsia="en-GB" w:bidi="gu-IN"/>
            </w:rPr>
            <w:t>. The continued popularity of non-discounting methods</w:t>
          </w:r>
        </w:p>
        <w:p w14:paraId="56DCE0D4" w14:textId="77777777"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Despite the superiority of NPV, methods like the Payback Period remain popular among decision-makers for several practical reasons:</w:t>
          </w:r>
        </w:p>
        <w:p w14:paraId="72A9FAE1" w14:textId="77777777" w:rsidR="00E56F2F" w:rsidRPr="00E56F2F" w:rsidRDefault="00E56F2F" w:rsidP="000104FB">
          <w:pPr>
            <w:numPr>
              <w:ilvl w:val="0"/>
              <w:numId w:val="55"/>
            </w:numPr>
            <w:jc w:val="both"/>
            <w:rPr>
              <w:rFonts w:asciiTheme="minorBidi" w:hAnsiTheme="minorBidi"/>
              <w:sz w:val="24"/>
              <w:szCs w:val="24"/>
              <w:lang w:eastAsia="en-GB" w:bidi="gu-IN"/>
            </w:rPr>
          </w:pPr>
          <w:r w:rsidRPr="00E56F2F">
            <w:rPr>
              <w:rFonts w:asciiTheme="minorBidi" w:hAnsiTheme="minorBidi"/>
              <w:sz w:val="24"/>
              <w:szCs w:val="24"/>
              <w:lang w:eastAsia="en-GB" w:bidi="gu-IN"/>
            </w:rPr>
            <w:lastRenderedPageBreak/>
            <w:t>Simplicity and Communication: It is easier to explain to non-financial stakeholders that "we will get our money back in 2.5 years" than to explain discount factors and cost of capital.</w:t>
          </w:r>
        </w:p>
        <w:p w14:paraId="7E0A9015" w14:textId="10D461B5" w:rsidR="00E56F2F" w:rsidRPr="00E56F2F" w:rsidRDefault="00E56F2F" w:rsidP="000104FB">
          <w:pPr>
            <w:numPr>
              <w:ilvl w:val="0"/>
              <w:numId w:val="55"/>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Risk Aversion: In volatile industries (like internet sales), long-term forecasts are unreliable. Payback focuses on the near term. If a project pays back quickly, the risk of loss due to technological obsolescence is </w:t>
          </w:r>
          <w:r>
            <w:rPr>
              <w:rFonts w:asciiTheme="minorBidi" w:hAnsiTheme="minorBidi"/>
              <w:sz w:val="24"/>
              <w:szCs w:val="24"/>
              <w:lang w:eastAsia="en-GB" w:bidi="gu-IN"/>
            </w:rPr>
            <w:t>minimised</w:t>
          </w:r>
          <w:r w:rsidRPr="00E56F2F">
            <w:rPr>
              <w:rFonts w:asciiTheme="minorBidi" w:hAnsiTheme="minorBidi"/>
              <w:sz w:val="24"/>
              <w:szCs w:val="24"/>
              <w:lang w:eastAsia="en-GB" w:bidi="gu-IN"/>
            </w:rPr>
            <w:t>.</w:t>
          </w:r>
        </w:p>
        <w:p w14:paraId="764669B1" w14:textId="5BAE17EF" w:rsidR="00E56F2F" w:rsidRPr="00E56F2F" w:rsidRDefault="00E56F2F" w:rsidP="000104FB">
          <w:pPr>
            <w:numPr>
              <w:ilvl w:val="0"/>
              <w:numId w:val="55"/>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Liquidity Focus: Small or cash-strapped companies </w:t>
          </w:r>
          <w:r>
            <w:rPr>
              <w:rFonts w:asciiTheme="minorBidi" w:hAnsiTheme="minorBidi"/>
              <w:sz w:val="24"/>
              <w:szCs w:val="24"/>
              <w:lang w:eastAsia="en-GB" w:bidi="gu-IN"/>
            </w:rPr>
            <w:t>prioritise</w:t>
          </w:r>
          <w:r w:rsidRPr="00E56F2F">
            <w:rPr>
              <w:rFonts w:asciiTheme="minorBidi" w:hAnsiTheme="minorBidi"/>
              <w:sz w:val="24"/>
              <w:szCs w:val="24"/>
              <w:lang w:eastAsia="en-GB" w:bidi="gu-IN"/>
            </w:rPr>
            <w:t xml:space="preserve"> liquidity over total profitability. They need to know when cash will be returned to the bank account to pay wages and creditors.</w:t>
          </w:r>
        </w:p>
        <w:p w14:paraId="06519315" w14:textId="55EF1DB4" w:rsidR="00E56F2F" w:rsidRP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III</w:t>
          </w:r>
          <w:r w:rsidRPr="00E56F2F">
            <w:rPr>
              <w:rFonts w:asciiTheme="minorBidi" w:hAnsiTheme="minorBidi"/>
              <w:sz w:val="24"/>
              <w:szCs w:val="24"/>
              <w:lang w:eastAsia="en-GB" w:bidi="gu-IN"/>
            </w:rPr>
            <w:t>. Other factors to consider</w:t>
          </w:r>
        </w:p>
        <w:p w14:paraId="02842FC6" w14:textId="5B86D8A8"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Before </w:t>
          </w:r>
          <w:r>
            <w:rPr>
              <w:rFonts w:asciiTheme="minorBidi" w:hAnsiTheme="minorBidi"/>
              <w:sz w:val="24"/>
              <w:szCs w:val="24"/>
              <w:lang w:eastAsia="en-GB" w:bidi="gu-IN"/>
            </w:rPr>
            <w:t>finalising</w:t>
          </w:r>
          <w:r w:rsidRPr="00E56F2F">
            <w:rPr>
              <w:rFonts w:asciiTheme="minorBidi" w:hAnsiTheme="minorBidi"/>
              <w:sz w:val="24"/>
              <w:szCs w:val="24"/>
              <w:lang w:eastAsia="en-GB" w:bidi="gu-IN"/>
            </w:rPr>
            <w:t xml:space="preserve"> the decision, the Directors must consider qualitative factors that the numbers ignore:</w:t>
          </w:r>
        </w:p>
        <w:p w14:paraId="242979AD" w14:textId="77777777" w:rsidR="00E56F2F" w:rsidRPr="00E56F2F" w:rsidRDefault="00E56F2F" w:rsidP="000104FB">
          <w:pPr>
            <w:numPr>
              <w:ilvl w:val="0"/>
              <w:numId w:val="56"/>
            </w:numPr>
            <w:jc w:val="both"/>
            <w:rPr>
              <w:rFonts w:asciiTheme="minorBidi" w:hAnsiTheme="minorBidi"/>
              <w:sz w:val="24"/>
              <w:szCs w:val="24"/>
              <w:lang w:eastAsia="en-GB" w:bidi="gu-IN"/>
            </w:rPr>
          </w:pPr>
          <w:r w:rsidRPr="00E56F2F">
            <w:rPr>
              <w:rFonts w:asciiTheme="minorBidi" w:hAnsiTheme="minorBidi"/>
              <w:sz w:val="24"/>
              <w:szCs w:val="24"/>
              <w:lang w:eastAsia="en-GB" w:bidi="gu-IN"/>
            </w:rPr>
            <w:t>Strategic Fit: Does "Blinds Manufacturing" (Option C) align with Westward’s brand as a high-quality curtain producer? Manufacturing introduces operational complexities (machinery, raw materials, safety) distinct from retail.</w:t>
          </w:r>
        </w:p>
        <w:p w14:paraId="662DA4E9" w14:textId="77777777" w:rsidR="00E56F2F" w:rsidRPr="00E56F2F" w:rsidRDefault="00E56F2F" w:rsidP="000104FB">
          <w:pPr>
            <w:numPr>
              <w:ilvl w:val="0"/>
              <w:numId w:val="56"/>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Market Trends: Option B (Internet) aligns with global trends. If </w:t>
          </w:r>
          <w:proofErr w:type="gramStart"/>
          <w:r w:rsidRPr="00E56F2F">
            <w:rPr>
              <w:rFonts w:asciiTheme="minorBidi" w:hAnsiTheme="minorBidi"/>
              <w:sz w:val="24"/>
              <w:szCs w:val="24"/>
              <w:lang w:eastAsia="en-GB" w:bidi="gu-IN"/>
            </w:rPr>
            <w:t>Westward</w:t>
          </w:r>
          <w:proofErr w:type="gramEnd"/>
          <w:r w:rsidRPr="00E56F2F">
            <w:rPr>
              <w:rFonts w:asciiTheme="minorBidi" w:hAnsiTheme="minorBidi"/>
              <w:sz w:val="24"/>
              <w:szCs w:val="24"/>
              <w:lang w:eastAsia="en-GB" w:bidi="gu-IN"/>
            </w:rPr>
            <w:t xml:space="preserve"> ignores the internet, it risks losing market share to competitors, regardless of the NPV. The "cost of doing nothing" is not captured in the calculation.</w:t>
          </w:r>
        </w:p>
        <w:p w14:paraId="001C5EEE" w14:textId="3639A68C" w:rsidR="00E56F2F" w:rsidRDefault="00E56F2F" w:rsidP="000104FB">
          <w:pPr>
            <w:numPr>
              <w:ilvl w:val="0"/>
              <w:numId w:val="56"/>
            </w:numPr>
            <w:jc w:val="both"/>
            <w:rPr>
              <w:rFonts w:asciiTheme="minorBidi" w:hAnsiTheme="minorBidi"/>
              <w:sz w:val="24"/>
              <w:szCs w:val="24"/>
              <w:lang w:eastAsia="en-GB" w:bidi="gu-IN"/>
            </w:rPr>
          </w:pPr>
          <w:r w:rsidRPr="00E56F2F">
            <w:rPr>
              <w:rFonts w:asciiTheme="minorBidi" w:hAnsiTheme="minorBidi"/>
              <w:sz w:val="24"/>
              <w:szCs w:val="24"/>
              <w:lang w:eastAsia="en-GB" w:bidi="gu-IN"/>
            </w:rPr>
            <w:t xml:space="preserve">Operational Risk: Option A is "safe" (expanding existing ops). Option B involves cyber risk and logistics. Option C </w:t>
          </w:r>
          <w:r w:rsidR="000104FB">
            <w:rPr>
              <w:rFonts w:asciiTheme="minorBidi" w:hAnsiTheme="minorBidi"/>
              <w:sz w:val="24"/>
              <w:szCs w:val="24"/>
              <w:lang w:eastAsia="en-GB" w:bidi="gu-IN"/>
            </w:rPr>
            <w:t>requires</w:t>
          </w:r>
          <w:r w:rsidRPr="00E56F2F">
            <w:rPr>
              <w:rFonts w:asciiTheme="minorBidi" w:hAnsiTheme="minorBidi"/>
              <w:sz w:val="24"/>
              <w:szCs w:val="24"/>
              <w:lang w:eastAsia="en-GB" w:bidi="gu-IN"/>
            </w:rPr>
            <w:t xml:space="preserve"> production risk.</w:t>
          </w:r>
        </w:p>
        <w:p w14:paraId="05E0B6CA" w14:textId="77777777" w:rsidR="00E56F2F" w:rsidRDefault="00E56F2F" w:rsidP="000104FB">
          <w:pPr>
            <w:jc w:val="both"/>
            <w:rPr>
              <w:rFonts w:asciiTheme="minorBidi" w:hAnsiTheme="minorBidi"/>
              <w:sz w:val="24"/>
              <w:szCs w:val="24"/>
              <w:lang w:eastAsia="en-GB" w:bidi="gu-IN"/>
            </w:rPr>
          </w:pPr>
        </w:p>
        <w:p w14:paraId="2A9D0E1E" w14:textId="15BD526E" w:rsidR="00E56F2F" w:rsidRDefault="00E56F2F" w:rsidP="000104FB">
          <w:pPr>
            <w:pStyle w:val="Heading3"/>
            <w:numPr>
              <w:ilvl w:val="0"/>
              <w:numId w:val="37"/>
            </w:numPr>
            <w:jc w:val="both"/>
            <w:rPr>
              <w:lang w:eastAsia="en-GB" w:bidi="gu-IN"/>
            </w:rPr>
          </w:pPr>
          <w:bookmarkStart w:id="26" w:name="_Toc219110429"/>
          <w:r w:rsidRPr="00E56F2F">
            <w:rPr>
              <w:lang w:eastAsia="en-GB" w:bidi="gu-IN"/>
            </w:rPr>
            <w:t>Capital Rationing (Optimal Investment Policy)</w:t>
          </w:r>
          <w:bookmarkEnd w:id="26"/>
        </w:p>
        <w:p w14:paraId="53C41BEB" w14:textId="0BDFA5B2"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The Board has limited funds of £2,500,000. The total cost of all three projects is £3,200,000 (£0.6m + £1.0m + £1.6m). Therefore, we cannot do all three. Since projects are divisible, we must rank them by their efficiency—the Profitability Index (PI).</w:t>
          </w:r>
        </w:p>
        <w:p w14:paraId="059117CF" w14:textId="50E1E2DA" w:rsidR="00E56F2F" w:rsidRPr="00E56F2F" w:rsidRDefault="00E56F2F" w:rsidP="000104FB">
          <w:pPr>
            <w:jc w:val="both"/>
            <w:rPr>
              <w:rFonts w:asciiTheme="minorBidi" w:eastAsiaTheme="minorEastAsia" w:hAnsiTheme="minorBidi"/>
              <w:sz w:val="24"/>
              <w:szCs w:val="24"/>
              <w:lang w:eastAsia="en-GB" w:bidi="gu-IN"/>
            </w:rPr>
          </w:pPr>
          <w:r w:rsidRPr="00E56F2F">
            <w:rPr>
              <w:rFonts w:asciiTheme="minorBidi" w:hAnsiTheme="minorBidi"/>
              <w:sz w:val="24"/>
              <w:szCs w:val="24"/>
              <w:lang w:eastAsia="en-GB" w:bidi="gu-IN"/>
            </w:rPr>
            <w:t xml:space="preserve">Formula: </w:t>
          </w:r>
          <m:oMath>
            <m:r>
              <w:rPr>
                <w:rFonts w:ascii="Cambria Math" w:hAnsi="Cambria Math"/>
                <w:sz w:val="24"/>
                <w:szCs w:val="24"/>
                <w:lang w:eastAsia="en-GB" w:bidi="gu-IN"/>
              </w:rPr>
              <m:t>PI=</m:t>
            </m:r>
            <m:f>
              <m:fPr>
                <m:ctrlPr>
                  <w:rPr>
                    <w:rFonts w:ascii="Cambria Math" w:hAnsi="Cambria Math"/>
                    <w:i/>
                    <w:sz w:val="24"/>
                    <w:szCs w:val="24"/>
                    <w:lang w:eastAsia="en-GB" w:bidi="gu-IN"/>
                  </w:rPr>
                </m:ctrlPr>
              </m:fPr>
              <m:num>
                <m:r>
                  <w:rPr>
                    <w:rFonts w:ascii="Cambria Math" w:hAnsi="Cambria Math"/>
                    <w:sz w:val="24"/>
                    <w:szCs w:val="24"/>
                    <w:lang w:eastAsia="en-GB" w:bidi="gu-IN"/>
                  </w:rPr>
                  <m:t>NPV</m:t>
                </m:r>
              </m:num>
              <m:den>
                <m:r>
                  <w:rPr>
                    <w:rFonts w:ascii="Cambria Math" w:hAnsi="Cambria Math"/>
                    <w:sz w:val="24"/>
                    <w:szCs w:val="24"/>
                    <w:lang w:eastAsia="en-GB" w:bidi="gu-IN"/>
                  </w:rPr>
                  <m:t xml:space="preserve">Initail Investment </m:t>
                </m:r>
              </m:den>
            </m:f>
          </m:oMath>
        </w:p>
        <w:p w14:paraId="5D2C38CC" w14:textId="77777777" w:rsidR="00E56F2F" w:rsidRPr="00E56F2F" w:rsidRDefault="00E56F2F" w:rsidP="000104FB">
          <w:pPr>
            <w:jc w:val="both"/>
            <w:rPr>
              <w:rFonts w:asciiTheme="minorBidi" w:eastAsiaTheme="minorEastAsia" w:hAnsiTheme="minorBidi"/>
              <w:sz w:val="24"/>
              <w:szCs w:val="24"/>
              <w:lang w:eastAsia="en-GB" w:bidi="gu-IN"/>
            </w:rPr>
          </w:pPr>
        </w:p>
        <w:p w14:paraId="0235C8FF" w14:textId="77777777"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1. Calculate PI:</w:t>
          </w:r>
        </w:p>
        <w:p w14:paraId="646CA0B9" w14:textId="77777777" w:rsidR="00E56F2F" w:rsidRPr="00E56F2F" w:rsidRDefault="00E56F2F" w:rsidP="000104FB">
          <w:pPr>
            <w:numPr>
              <w:ilvl w:val="0"/>
              <w:numId w:val="57"/>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A: £666,960 / £600,000 = 1.11</w:t>
          </w:r>
        </w:p>
        <w:p w14:paraId="365EBAFE" w14:textId="77777777" w:rsidR="00E56F2F" w:rsidRPr="00E56F2F" w:rsidRDefault="00E56F2F" w:rsidP="000104FB">
          <w:pPr>
            <w:numPr>
              <w:ilvl w:val="0"/>
              <w:numId w:val="57"/>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B: £831,845 / £1,000,000 = 0.83</w:t>
          </w:r>
        </w:p>
        <w:p w14:paraId="6B386E53" w14:textId="77777777" w:rsidR="00E56F2F" w:rsidRPr="00E56F2F" w:rsidRDefault="00E56F2F" w:rsidP="000104FB">
          <w:pPr>
            <w:numPr>
              <w:ilvl w:val="0"/>
              <w:numId w:val="57"/>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C: £805,872 / £1,600,000 = 0.50</w:t>
          </w:r>
        </w:p>
        <w:p w14:paraId="6EED4E00" w14:textId="77777777" w:rsidR="00E56F2F" w:rsidRPr="00E56F2F" w:rsidRDefault="00E56F2F" w:rsidP="000104FB">
          <w:pPr>
            <w:jc w:val="both"/>
            <w:rPr>
              <w:rFonts w:asciiTheme="minorBidi" w:hAnsiTheme="minorBidi"/>
              <w:sz w:val="24"/>
              <w:szCs w:val="24"/>
              <w:lang w:eastAsia="en-GB" w:bidi="gu-IN"/>
            </w:rPr>
          </w:pPr>
          <w:r w:rsidRPr="00E56F2F">
            <w:rPr>
              <w:rFonts w:asciiTheme="minorBidi" w:hAnsiTheme="minorBidi"/>
              <w:sz w:val="24"/>
              <w:szCs w:val="24"/>
              <w:lang w:eastAsia="en-GB" w:bidi="gu-IN"/>
            </w:rPr>
            <w:t>2. Ranking:</w:t>
          </w:r>
        </w:p>
        <w:p w14:paraId="20D64CEA" w14:textId="77777777" w:rsidR="00E56F2F" w:rsidRPr="00E56F2F" w:rsidRDefault="00E56F2F" w:rsidP="000104FB">
          <w:pPr>
            <w:numPr>
              <w:ilvl w:val="0"/>
              <w:numId w:val="58"/>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A (Most efficient use of capital)</w:t>
          </w:r>
        </w:p>
        <w:p w14:paraId="58516AAC" w14:textId="77777777" w:rsidR="00E56F2F" w:rsidRPr="00E56F2F" w:rsidRDefault="00E56F2F" w:rsidP="000104FB">
          <w:pPr>
            <w:numPr>
              <w:ilvl w:val="0"/>
              <w:numId w:val="58"/>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B</w:t>
          </w:r>
        </w:p>
        <w:p w14:paraId="46763521" w14:textId="77777777" w:rsidR="00E56F2F" w:rsidRPr="00E56F2F" w:rsidRDefault="00E56F2F" w:rsidP="000104FB">
          <w:pPr>
            <w:numPr>
              <w:ilvl w:val="0"/>
              <w:numId w:val="58"/>
            </w:numPr>
            <w:jc w:val="both"/>
            <w:rPr>
              <w:rFonts w:asciiTheme="minorBidi" w:hAnsiTheme="minorBidi"/>
              <w:sz w:val="24"/>
              <w:szCs w:val="24"/>
              <w:lang w:eastAsia="en-GB" w:bidi="gu-IN"/>
            </w:rPr>
          </w:pPr>
          <w:r w:rsidRPr="00E56F2F">
            <w:rPr>
              <w:rFonts w:asciiTheme="minorBidi" w:hAnsiTheme="minorBidi"/>
              <w:sz w:val="24"/>
              <w:szCs w:val="24"/>
              <w:lang w:eastAsia="en-GB" w:bidi="gu-IN"/>
            </w:rPr>
            <w:t>Option C</w:t>
          </w:r>
        </w:p>
        <w:p w14:paraId="3FE11B5D" w14:textId="04923B2E" w:rsidR="00E56F2F" w:rsidRP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lastRenderedPageBreak/>
            <w:t xml:space="preserve">3. </w:t>
          </w:r>
          <w:r w:rsidRPr="00E56F2F">
            <w:rPr>
              <w:rFonts w:asciiTheme="minorBidi" w:hAnsiTheme="minorBidi"/>
              <w:sz w:val="24"/>
              <w:szCs w:val="24"/>
              <w:lang w:eastAsia="en-GB" w:bidi="gu-IN"/>
            </w:rPr>
            <w:t>Allocation of £2,500,000 Budget:</w:t>
          </w:r>
        </w:p>
        <w:tbl>
          <w:tblPr>
            <w:tblStyle w:val="TableGrid"/>
            <w:tblW w:w="0" w:type="auto"/>
            <w:tblLook w:val="04A0" w:firstRow="1" w:lastRow="0" w:firstColumn="1" w:lastColumn="0" w:noHBand="0" w:noVBand="1"/>
          </w:tblPr>
          <w:tblGrid>
            <w:gridCol w:w="1803"/>
            <w:gridCol w:w="1803"/>
            <w:gridCol w:w="1803"/>
            <w:gridCol w:w="1803"/>
            <w:gridCol w:w="1804"/>
          </w:tblGrid>
          <w:tr w:rsidR="00E56F2F" w14:paraId="55E18B50" w14:textId="77777777" w:rsidTr="00E56F2F">
            <w:tc>
              <w:tcPr>
                <w:tcW w:w="1803" w:type="dxa"/>
              </w:tcPr>
              <w:p w14:paraId="2F50A321" w14:textId="5EF125A3"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Project </w:t>
                </w:r>
              </w:p>
            </w:tc>
            <w:tc>
              <w:tcPr>
                <w:tcW w:w="1803" w:type="dxa"/>
              </w:tcPr>
              <w:p w14:paraId="438EEFA5" w14:textId="14303277"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Cost (£)</w:t>
                </w:r>
              </w:p>
            </w:tc>
            <w:tc>
              <w:tcPr>
                <w:tcW w:w="1803" w:type="dxa"/>
              </w:tcPr>
              <w:p w14:paraId="5D8C71CB" w14:textId="47290A4D"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Action</w:t>
                </w:r>
              </w:p>
            </w:tc>
            <w:tc>
              <w:tcPr>
                <w:tcW w:w="1803" w:type="dxa"/>
              </w:tcPr>
              <w:p w14:paraId="6FF66551" w14:textId="5598CC9D"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Investment (£)</w:t>
                </w:r>
              </w:p>
            </w:tc>
            <w:tc>
              <w:tcPr>
                <w:tcW w:w="1804" w:type="dxa"/>
              </w:tcPr>
              <w:p w14:paraId="5A99B5D5" w14:textId="5E28F53C"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NPV Contribution (£)</w:t>
                </w:r>
              </w:p>
            </w:tc>
          </w:tr>
          <w:tr w:rsidR="00E56F2F" w14:paraId="5881AE37" w14:textId="77777777" w:rsidTr="00E56F2F">
            <w:tc>
              <w:tcPr>
                <w:tcW w:w="1803" w:type="dxa"/>
              </w:tcPr>
              <w:p w14:paraId="48AA5B39" w14:textId="163EC474" w:rsidR="00E56F2F" w:rsidRP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Option A</w:t>
                </w:r>
              </w:p>
            </w:tc>
            <w:tc>
              <w:tcPr>
                <w:tcW w:w="1803" w:type="dxa"/>
              </w:tcPr>
              <w:p w14:paraId="4A7A6768" w14:textId="07D2EADE"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600,000</w:t>
                </w:r>
              </w:p>
            </w:tc>
            <w:tc>
              <w:tcPr>
                <w:tcW w:w="1803" w:type="dxa"/>
              </w:tcPr>
              <w:p w14:paraId="54DDE87B" w14:textId="01E1C898"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Do 100%</w:t>
                </w:r>
              </w:p>
            </w:tc>
            <w:tc>
              <w:tcPr>
                <w:tcW w:w="1803" w:type="dxa"/>
              </w:tcPr>
              <w:p w14:paraId="602C9F82" w14:textId="20EFB858"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600,000</w:t>
                </w:r>
              </w:p>
            </w:tc>
            <w:tc>
              <w:tcPr>
                <w:tcW w:w="1804" w:type="dxa"/>
              </w:tcPr>
              <w:p w14:paraId="2AF01C7D" w14:textId="6775DBAF"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666,960</w:t>
                </w:r>
              </w:p>
            </w:tc>
          </w:tr>
          <w:tr w:rsidR="00E56F2F" w14:paraId="439D3CB2" w14:textId="77777777" w:rsidTr="00E56F2F">
            <w:tc>
              <w:tcPr>
                <w:tcW w:w="1803" w:type="dxa"/>
              </w:tcPr>
              <w:p w14:paraId="020566C6" w14:textId="62A83D43"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Option B</w:t>
                </w:r>
              </w:p>
            </w:tc>
            <w:tc>
              <w:tcPr>
                <w:tcW w:w="1803" w:type="dxa"/>
              </w:tcPr>
              <w:p w14:paraId="244477E6" w14:textId="4BB475FC"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1,000,000</w:t>
                </w:r>
              </w:p>
            </w:tc>
            <w:tc>
              <w:tcPr>
                <w:tcW w:w="1803" w:type="dxa"/>
              </w:tcPr>
              <w:p w14:paraId="71B86E59" w14:textId="3422D939"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Do 100%</w:t>
                </w:r>
              </w:p>
            </w:tc>
            <w:tc>
              <w:tcPr>
                <w:tcW w:w="1803" w:type="dxa"/>
              </w:tcPr>
              <w:p w14:paraId="4B6E3B3A" w14:textId="4639DFFD"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1,000,000</w:t>
                </w:r>
              </w:p>
            </w:tc>
            <w:tc>
              <w:tcPr>
                <w:tcW w:w="1804" w:type="dxa"/>
              </w:tcPr>
              <w:p w14:paraId="5EE2F350" w14:textId="175C574D"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831,845</w:t>
                </w:r>
              </w:p>
            </w:tc>
          </w:tr>
          <w:tr w:rsidR="00E56F2F" w14:paraId="643B1FB8" w14:textId="77777777" w:rsidTr="00E56F2F">
            <w:tc>
              <w:tcPr>
                <w:tcW w:w="1803" w:type="dxa"/>
              </w:tcPr>
              <w:p w14:paraId="022E6371" w14:textId="06170524"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Option C </w:t>
                </w:r>
              </w:p>
            </w:tc>
            <w:tc>
              <w:tcPr>
                <w:tcW w:w="1803" w:type="dxa"/>
              </w:tcPr>
              <w:p w14:paraId="48A9934F" w14:textId="3969E976"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1,600,000</w:t>
                </w:r>
              </w:p>
            </w:tc>
            <w:tc>
              <w:tcPr>
                <w:tcW w:w="1803" w:type="dxa"/>
              </w:tcPr>
              <w:p w14:paraId="2C850C74" w14:textId="21A90BC9"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Do Remainder </w:t>
                </w:r>
              </w:p>
            </w:tc>
            <w:tc>
              <w:tcPr>
                <w:tcW w:w="1803" w:type="dxa"/>
              </w:tcPr>
              <w:p w14:paraId="073B84F4" w14:textId="5ABE126B"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900,000</w:t>
                </w:r>
              </w:p>
            </w:tc>
            <w:tc>
              <w:tcPr>
                <w:tcW w:w="1804" w:type="dxa"/>
              </w:tcPr>
              <w:p w14:paraId="11682AB5" w14:textId="026BE35C"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453,303</w:t>
                </w:r>
              </w:p>
            </w:tc>
          </w:tr>
          <w:tr w:rsidR="00E56F2F" w14:paraId="51D820A1" w14:textId="77777777" w:rsidTr="00E56F2F">
            <w:tc>
              <w:tcPr>
                <w:tcW w:w="1803" w:type="dxa"/>
              </w:tcPr>
              <w:p w14:paraId="4B3CB800" w14:textId="1F84811C"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Totals </w:t>
                </w:r>
              </w:p>
            </w:tc>
            <w:tc>
              <w:tcPr>
                <w:tcW w:w="1803" w:type="dxa"/>
              </w:tcPr>
              <w:p w14:paraId="736BAFE3" w14:textId="7F6171F8" w:rsidR="00E56F2F" w:rsidRDefault="00E56F2F" w:rsidP="000104FB">
                <w:pPr>
                  <w:jc w:val="both"/>
                  <w:rPr>
                    <w:rFonts w:asciiTheme="minorBidi" w:hAnsiTheme="minorBidi"/>
                    <w:sz w:val="24"/>
                    <w:szCs w:val="24"/>
                    <w:lang w:eastAsia="en-GB" w:bidi="gu-IN"/>
                  </w:rPr>
                </w:pPr>
                <w:r>
                  <w:rPr>
                    <w:rFonts w:asciiTheme="minorBidi" w:hAnsiTheme="minorBidi"/>
                    <w:sz w:val="24"/>
                    <w:szCs w:val="24"/>
                    <w:lang w:eastAsia="en-GB" w:bidi="gu-IN"/>
                  </w:rPr>
                  <w:t>£3.2m</w:t>
                </w:r>
              </w:p>
            </w:tc>
            <w:tc>
              <w:tcPr>
                <w:tcW w:w="1803" w:type="dxa"/>
              </w:tcPr>
              <w:p w14:paraId="05479A25" w14:textId="77777777" w:rsidR="00E56F2F" w:rsidRDefault="00E56F2F" w:rsidP="000104FB">
                <w:pPr>
                  <w:jc w:val="both"/>
                  <w:rPr>
                    <w:rFonts w:asciiTheme="minorBidi" w:hAnsiTheme="minorBidi"/>
                    <w:sz w:val="24"/>
                    <w:szCs w:val="24"/>
                    <w:lang w:eastAsia="en-GB" w:bidi="gu-IN"/>
                  </w:rPr>
                </w:pPr>
              </w:p>
            </w:tc>
            <w:tc>
              <w:tcPr>
                <w:tcW w:w="1803" w:type="dxa"/>
              </w:tcPr>
              <w:p w14:paraId="26F12887" w14:textId="77777777" w:rsidR="00E56F2F" w:rsidRDefault="00E56F2F" w:rsidP="000104FB">
                <w:pPr>
                  <w:jc w:val="both"/>
                  <w:rPr>
                    <w:rFonts w:asciiTheme="minorBidi" w:hAnsiTheme="minorBidi"/>
                    <w:sz w:val="24"/>
                    <w:szCs w:val="24"/>
                    <w:lang w:eastAsia="en-GB" w:bidi="gu-IN"/>
                  </w:rPr>
                </w:pPr>
              </w:p>
            </w:tc>
            <w:tc>
              <w:tcPr>
                <w:tcW w:w="1804" w:type="dxa"/>
              </w:tcPr>
              <w:p w14:paraId="0CAC8788" w14:textId="30663A8D" w:rsidR="00E56F2F" w:rsidRDefault="00D23B07" w:rsidP="000104FB">
                <w:pPr>
                  <w:jc w:val="both"/>
                  <w:rPr>
                    <w:rFonts w:asciiTheme="minorBidi" w:hAnsiTheme="minorBidi"/>
                    <w:sz w:val="24"/>
                    <w:szCs w:val="24"/>
                    <w:lang w:eastAsia="en-GB" w:bidi="gu-IN"/>
                  </w:rPr>
                </w:pPr>
                <w:r>
                  <w:rPr>
                    <w:rFonts w:asciiTheme="minorBidi" w:hAnsiTheme="minorBidi"/>
                    <w:sz w:val="24"/>
                    <w:szCs w:val="24"/>
                    <w:lang w:eastAsia="en-GB" w:bidi="gu-IN"/>
                  </w:rPr>
                  <w:t>£1,952,108</w:t>
                </w:r>
              </w:p>
            </w:tc>
          </w:tr>
        </w:tbl>
        <w:p w14:paraId="708E9ED7" w14:textId="3B7FF0E2" w:rsidR="00E56F2F" w:rsidRDefault="000104FB" w:rsidP="000104FB">
          <w:pPr>
            <w:pStyle w:val="Heading3"/>
            <w:jc w:val="both"/>
            <w:rPr>
              <w:lang w:eastAsia="en-GB" w:bidi="gu-IN"/>
            </w:rPr>
          </w:pPr>
          <w:bookmarkStart w:id="27" w:name="_Toc219110430"/>
          <w:r w:rsidRPr="000104FB">
            <w:rPr>
              <w:lang w:eastAsia="en-GB" w:bidi="gu-IN"/>
            </w:rPr>
            <w:t>Table 11: Optimal Capital Rationing Allocation Plan</w:t>
          </w:r>
          <w:bookmarkEnd w:id="27"/>
        </w:p>
        <w:p w14:paraId="3A0B9B7C" w14:textId="77777777" w:rsidR="000104FB" w:rsidRPr="000104FB" w:rsidRDefault="000104FB" w:rsidP="000104FB">
          <w:pPr>
            <w:jc w:val="both"/>
            <w:rPr>
              <w:lang w:eastAsia="en-GB" w:bidi="gu-IN"/>
            </w:rPr>
          </w:pPr>
        </w:p>
        <w:p w14:paraId="3F3BA766" w14:textId="77777777" w:rsid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 xml:space="preserve">Calculation for Option C: </w:t>
          </w:r>
        </w:p>
        <w:p w14:paraId="6C5DA74C" w14:textId="77777777" w:rsid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 xml:space="preserve">Funds Remaining = £2,500,000 - £600,000 - £1,000,000 = £900,000. </w:t>
          </w:r>
        </w:p>
        <w:p w14:paraId="6408D942" w14:textId="77777777" w:rsid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 xml:space="preserve">Fraction of Option C = £900,000 / £1,600,000 = 56.25%. </w:t>
          </w:r>
        </w:p>
        <w:p w14:paraId="43580691" w14:textId="4D48063A" w:rsid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 xml:space="preserve">NPV from C = 56.25% </w:t>
          </w:r>
          <w:r>
            <w:rPr>
              <w:rFonts w:asciiTheme="minorBidi" w:hAnsiTheme="minorBidi"/>
              <w:sz w:val="24"/>
              <w:szCs w:val="24"/>
              <w:lang w:eastAsia="en-GB" w:bidi="gu-IN"/>
            </w:rPr>
            <w:t>*</w:t>
          </w:r>
          <w:r w:rsidRPr="00D23B07">
            <w:rPr>
              <w:rFonts w:asciiTheme="minorBidi" w:hAnsiTheme="minorBidi"/>
              <w:sz w:val="24"/>
              <w:szCs w:val="24"/>
              <w:lang w:eastAsia="en-GB" w:bidi="gu-IN"/>
            </w:rPr>
            <w:t xml:space="preserve"> £805,872 = £453,303.</w:t>
          </w:r>
        </w:p>
        <w:p w14:paraId="65B3CD00" w14:textId="77777777" w:rsidR="00D23B07" w:rsidRP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Resulting Total NPV: £1,952,108.</w:t>
          </w:r>
        </w:p>
        <w:p w14:paraId="3DCC6E43" w14:textId="77777777" w:rsidR="00D23B07" w:rsidRDefault="00D23B07" w:rsidP="000104FB">
          <w:pPr>
            <w:jc w:val="both"/>
            <w:rPr>
              <w:rFonts w:asciiTheme="minorBidi" w:hAnsiTheme="minorBidi"/>
              <w:sz w:val="24"/>
              <w:szCs w:val="24"/>
              <w:lang w:eastAsia="en-GB" w:bidi="gu-IN"/>
            </w:rPr>
          </w:pPr>
          <w:r w:rsidRPr="00D23B07">
            <w:rPr>
              <w:rFonts w:asciiTheme="minorBidi" w:hAnsiTheme="minorBidi"/>
              <w:sz w:val="24"/>
              <w:szCs w:val="24"/>
              <w:lang w:eastAsia="en-GB" w:bidi="gu-IN"/>
            </w:rPr>
            <w:t>Conclusion: The optimal policy is to fully fund the Retail expansion and Internet development, and use the remaining funds to partially launch the Blinds manufacturing division.</w:t>
          </w:r>
        </w:p>
        <w:p w14:paraId="02F9C6C7" w14:textId="45508451" w:rsidR="00D23B07" w:rsidRDefault="00501BE9" w:rsidP="000104FB">
          <w:pPr>
            <w:pStyle w:val="Heading3"/>
            <w:numPr>
              <w:ilvl w:val="0"/>
              <w:numId w:val="37"/>
            </w:numPr>
            <w:jc w:val="both"/>
            <w:rPr>
              <w:lang w:eastAsia="en-GB" w:bidi="gu-IN"/>
            </w:rPr>
          </w:pPr>
          <w:bookmarkStart w:id="28" w:name="_Toc219110431"/>
          <w:r w:rsidRPr="00501BE9">
            <w:rPr>
              <w:lang w:eastAsia="en-GB" w:bidi="gu-IN"/>
            </w:rPr>
            <w:t>Financing Recommendations</w:t>
          </w:r>
          <w:bookmarkEnd w:id="28"/>
        </w:p>
        <w:p w14:paraId="45CE8FA1" w14:textId="4978C20B" w:rsidR="00501BE9" w:rsidRP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 xml:space="preserve">To fund this £2.5 million investment programme, Westward Plc must select a financing mix that </w:t>
          </w:r>
          <w:r w:rsidRPr="00501BE9">
            <w:rPr>
              <w:rFonts w:asciiTheme="minorBidi" w:hAnsiTheme="minorBidi"/>
              <w:sz w:val="24"/>
              <w:szCs w:val="24"/>
              <w:lang w:eastAsia="en-GB" w:bidi="gu-IN"/>
            </w:rPr>
            <w:t>minimises</w:t>
          </w:r>
          <w:r w:rsidRPr="00501BE9">
            <w:rPr>
              <w:rFonts w:asciiTheme="minorBidi" w:hAnsiTheme="minorBidi"/>
              <w:sz w:val="24"/>
              <w:szCs w:val="24"/>
              <w:lang w:eastAsia="en-GB" w:bidi="gu-IN"/>
            </w:rPr>
            <w:t xml:space="preserve"> cost and risk.</w:t>
          </w:r>
        </w:p>
        <w:p w14:paraId="2068EA7B" w14:textId="77777777" w:rsidR="00501BE9" w:rsidRPr="00501BE9" w:rsidRDefault="00501BE9" w:rsidP="000104FB">
          <w:pPr>
            <w:pStyle w:val="Heading4"/>
            <w:jc w:val="both"/>
            <w:rPr>
              <w:lang w:eastAsia="en-GB" w:bidi="gu-IN"/>
            </w:rPr>
          </w:pPr>
          <w:r w:rsidRPr="00501BE9">
            <w:rPr>
              <w:lang w:eastAsia="en-GB" w:bidi="gu-IN"/>
            </w:rPr>
            <w:t>6.1 Sources of Finance</w:t>
          </w:r>
        </w:p>
        <w:p w14:paraId="73F84619" w14:textId="77777777" w:rsidR="00501BE9" w:rsidRP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1. Retained Earnings (Internal)</w:t>
          </w:r>
        </w:p>
        <w:p w14:paraId="16A62FFC" w14:textId="77777777" w:rsidR="00501BE9" w:rsidRPr="00501BE9" w:rsidRDefault="00501BE9" w:rsidP="000104FB">
          <w:pPr>
            <w:numPr>
              <w:ilvl w:val="0"/>
              <w:numId w:val="60"/>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Advantage:</w:t>
          </w:r>
          <w:r w:rsidRPr="00501BE9">
            <w:rPr>
              <w:rFonts w:asciiTheme="minorBidi" w:hAnsiTheme="minorBidi"/>
              <w:sz w:val="24"/>
              <w:szCs w:val="24"/>
              <w:lang w:eastAsia="en-GB" w:bidi="gu-IN"/>
            </w:rPr>
            <w:t xml:space="preserve"> No issue costs; no dilution of ownership; immediate availability.</w:t>
          </w:r>
        </w:p>
        <w:p w14:paraId="008B969D" w14:textId="77777777" w:rsidR="00501BE9" w:rsidRPr="00501BE9" w:rsidRDefault="00501BE9" w:rsidP="000104FB">
          <w:pPr>
            <w:numPr>
              <w:ilvl w:val="0"/>
              <w:numId w:val="60"/>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Disadvantage:</w:t>
          </w:r>
          <w:r w:rsidRPr="00501BE9">
            <w:rPr>
              <w:rFonts w:asciiTheme="minorBidi" w:hAnsiTheme="minorBidi"/>
              <w:sz w:val="24"/>
              <w:szCs w:val="24"/>
              <w:lang w:eastAsia="en-GB" w:bidi="gu-IN"/>
            </w:rPr>
            <w:t xml:space="preserve"> Limited by current cash reserves; shareholders may prefer dividends.</w:t>
          </w:r>
        </w:p>
        <w:p w14:paraId="061DC421" w14:textId="77777777" w:rsidR="00501BE9" w:rsidRP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2. Debt Finance (Bank Loan or Corporate Bonds)</w:t>
          </w:r>
        </w:p>
        <w:p w14:paraId="3EF9D738" w14:textId="6254FD03" w:rsidR="00501BE9" w:rsidRPr="00501BE9" w:rsidRDefault="00501BE9" w:rsidP="000104FB">
          <w:pPr>
            <w:numPr>
              <w:ilvl w:val="0"/>
              <w:numId w:val="61"/>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Advantage:</w:t>
          </w:r>
          <w:r w:rsidRPr="00501BE9">
            <w:rPr>
              <w:rFonts w:asciiTheme="minorBidi" w:hAnsiTheme="minorBidi"/>
              <w:sz w:val="24"/>
              <w:szCs w:val="24"/>
              <w:lang w:eastAsia="en-GB" w:bidi="gu-IN"/>
            </w:rPr>
            <w:t xml:space="preserve"> Tax Efficiency</w:t>
          </w:r>
          <w:r w:rsidR="000104FB">
            <w:rPr>
              <w:rFonts w:asciiTheme="minorBidi" w:hAnsiTheme="minorBidi"/>
              <w:sz w:val="24"/>
              <w:szCs w:val="24"/>
              <w:lang w:eastAsia="en-GB" w:bidi="gu-IN"/>
            </w:rPr>
            <w:t>.</w:t>
          </w:r>
          <w:r w:rsidR="008544B7">
            <w:rPr>
              <w:rFonts w:asciiTheme="minorBidi" w:hAnsiTheme="minorBidi"/>
              <w:sz w:val="24"/>
              <w:szCs w:val="24"/>
              <w:lang w:eastAsia="en-GB" w:bidi="gu-IN"/>
            </w:rPr>
            <w:t xml:space="preserve"> </w:t>
          </w:r>
          <w:r w:rsidRPr="00501BE9">
            <w:rPr>
              <w:rFonts w:asciiTheme="minorBidi" w:hAnsiTheme="minorBidi"/>
              <w:sz w:val="24"/>
              <w:szCs w:val="24"/>
              <w:lang w:eastAsia="en-GB" w:bidi="gu-IN"/>
            </w:rPr>
            <w:t>Interest payments are tax-deductible. With a 25% tax rate, the effective cost of debt is significantly lower than equity.</w:t>
          </w:r>
        </w:p>
        <w:p w14:paraId="11C24B48" w14:textId="77777777" w:rsidR="00501BE9" w:rsidRPr="00501BE9" w:rsidRDefault="00501BE9" w:rsidP="000104FB">
          <w:pPr>
            <w:numPr>
              <w:ilvl w:val="0"/>
              <w:numId w:val="61"/>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Disadvantage:</w:t>
          </w:r>
          <w:r w:rsidRPr="00501BE9">
            <w:rPr>
              <w:rFonts w:asciiTheme="minorBidi" w:hAnsiTheme="minorBidi"/>
              <w:sz w:val="24"/>
              <w:szCs w:val="24"/>
              <w:lang w:eastAsia="en-GB" w:bidi="gu-IN"/>
            </w:rPr>
            <w:t xml:space="preserve"> Increases financial risk (gearing). Interest must be paid regardless of profits.</w:t>
          </w:r>
        </w:p>
        <w:p w14:paraId="65CECBC4" w14:textId="77777777" w:rsidR="00501BE9" w:rsidRP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3. Equity Finance (Rights Issue)</w:t>
          </w:r>
        </w:p>
        <w:p w14:paraId="496C0A66" w14:textId="77777777" w:rsidR="00501BE9" w:rsidRPr="00501BE9" w:rsidRDefault="00501BE9" w:rsidP="000104FB">
          <w:pPr>
            <w:numPr>
              <w:ilvl w:val="0"/>
              <w:numId w:val="62"/>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Advantage:</w:t>
          </w:r>
          <w:r w:rsidRPr="00501BE9">
            <w:rPr>
              <w:rFonts w:asciiTheme="minorBidi" w:hAnsiTheme="minorBidi"/>
              <w:sz w:val="24"/>
              <w:szCs w:val="24"/>
              <w:lang w:eastAsia="en-GB" w:bidi="gu-IN"/>
            </w:rPr>
            <w:t xml:space="preserve"> Permanent capital (no repayment date); lowers gearing/risk.</w:t>
          </w:r>
        </w:p>
        <w:p w14:paraId="50D7CFFB" w14:textId="0FD07007" w:rsidR="00501BE9" w:rsidRPr="00501BE9" w:rsidRDefault="00501BE9" w:rsidP="000104FB">
          <w:pPr>
            <w:numPr>
              <w:ilvl w:val="0"/>
              <w:numId w:val="62"/>
            </w:numPr>
            <w:jc w:val="both"/>
            <w:rPr>
              <w:rFonts w:asciiTheme="minorBidi" w:hAnsiTheme="minorBidi"/>
              <w:sz w:val="24"/>
              <w:szCs w:val="24"/>
              <w:lang w:eastAsia="en-GB" w:bidi="gu-IN"/>
            </w:rPr>
          </w:pPr>
          <w:r w:rsidRPr="00501BE9">
            <w:rPr>
              <w:rFonts w:asciiTheme="minorBidi" w:hAnsiTheme="minorBidi"/>
              <w:i/>
              <w:iCs/>
              <w:sz w:val="24"/>
              <w:szCs w:val="24"/>
              <w:lang w:eastAsia="en-GB" w:bidi="gu-IN"/>
            </w:rPr>
            <w:t>Disadvantage:</w:t>
          </w:r>
          <w:r w:rsidRPr="00501BE9">
            <w:rPr>
              <w:rFonts w:asciiTheme="minorBidi" w:hAnsiTheme="minorBidi"/>
              <w:sz w:val="24"/>
              <w:szCs w:val="24"/>
              <w:lang w:eastAsia="en-GB" w:bidi="gu-IN"/>
            </w:rPr>
            <w:t xml:space="preserve"> Dilutes control if shareholders don't subscribe; dividends are not tax-deductible; generally</w:t>
          </w:r>
          <w:r w:rsidRPr="00501BE9">
            <w:rPr>
              <w:rFonts w:asciiTheme="minorBidi" w:hAnsiTheme="minorBidi"/>
              <w:sz w:val="24"/>
              <w:szCs w:val="24"/>
              <w:lang w:eastAsia="en-GB" w:bidi="gu-IN"/>
            </w:rPr>
            <w:t>,</w:t>
          </w:r>
          <w:r w:rsidRPr="00501BE9">
            <w:rPr>
              <w:rFonts w:asciiTheme="minorBidi" w:hAnsiTheme="minorBidi"/>
              <w:sz w:val="24"/>
              <w:szCs w:val="24"/>
              <w:lang w:eastAsia="en-GB" w:bidi="gu-IN"/>
            </w:rPr>
            <w:t xml:space="preserve"> the most expensive form of capital.</w:t>
          </w:r>
        </w:p>
        <w:p w14:paraId="0252C3BA" w14:textId="77777777" w:rsidR="00501BE9" w:rsidRPr="00501BE9" w:rsidRDefault="00501BE9" w:rsidP="000104FB">
          <w:pPr>
            <w:pStyle w:val="Heading4"/>
            <w:jc w:val="both"/>
            <w:rPr>
              <w:lang w:eastAsia="en-GB" w:bidi="gu-IN"/>
            </w:rPr>
          </w:pPr>
          <w:r w:rsidRPr="00501BE9">
            <w:rPr>
              <w:lang w:eastAsia="en-GB" w:bidi="gu-IN"/>
            </w:rPr>
            <w:t>6.2 Recommendation</w:t>
          </w:r>
        </w:p>
        <w:p w14:paraId="3C2B6D7E" w14:textId="77777777" w:rsidR="00501BE9" w:rsidRP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Westward Plc should adopt the following Pecking Order:</w:t>
          </w:r>
        </w:p>
        <w:p w14:paraId="69145A15" w14:textId="7D3D2F14" w:rsidR="00501BE9" w:rsidRPr="00501BE9" w:rsidRDefault="00501BE9" w:rsidP="000104FB">
          <w:pPr>
            <w:numPr>
              <w:ilvl w:val="0"/>
              <w:numId w:val="63"/>
            </w:numPr>
            <w:jc w:val="both"/>
            <w:rPr>
              <w:rFonts w:asciiTheme="minorBidi" w:hAnsiTheme="minorBidi"/>
              <w:sz w:val="24"/>
              <w:szCs w:val="24"/>
              <w:lang w:eastAsia="en-GB" w:bidi="gu-IN"/>
            </w:rPr>
          </w:pPr>
          <w:r w:rsidRPr="00501BE9">
            <w:rPr>
              <w:rFonts w:asciiTheme="minorBidi" w:hAnsiTheme="minorBidi"/>
              <w:sz w:val="24"/>
              <w:szCs w:val="24"/>
              <w:lang w:eastAsia="en-GB" w:bidi="gu-IN"/>
            </w:rPr>
            <w:lastRenderedPageBreak/>
            <w:t>Utilise</w:t>
          </w:r>
          <w:r w:rsidRPr="00501BE9">
            <w:rPr>
              <w:rFonts w:asciiTheme="minorBidi" w:hAnsiTheme="minorBidi"/>
              <w:sz w:val="24"/>
              <w:szCs w:val="24"/>
              <w:lang w:eastAsia="en-GB" w:bidi="gu-IN"/>
            </w:rPr>
            <w:t xml:space="preserve"> Retained Earnings first. This is the cheapest and easiest source.</w:t>
          </w:r>
        </w:p>
        <w:p w14:paraId="4CD0CA45" w14:textId="32DC2981" w:rsidR="00501BE9" w:rsidRPr="00501BE9" w:rsidRDefault="00501BE9" w:rsidP="000104FB">
          <w:pPr>
            <w:numPr>
              <w:ilvl w:val="0"/>
              <w:numId w:val="63"/>
            </w:numPr>
            <w:jc w:val="both"/>
            <w:rPr>
              <w:rFonts w:asciiTheme="minorBidi" w:hAnsiTheme="minorBidi"/>
              <w:sz w:val="24"/>
              <w:szCs w:val="24"/>
              <w:lang w:eastAsia="en-GB" w:bidi="gu-IN"/>
            </w:rPr>
          </w:pPr>
          <w:r w:rsidRPr="00501BE9">
            <w:rPr>
              <w:rFonts w:asciiTheme="minorBidi" w:hAnsiTheme="minorBidi"/>
              <w:sz w:val="24"/>
              <w:szCs w:val="24"/>
              <w:lang w:eastAsia="en-GB" w:bidi="gu-IN"/>
            </w:rPr>
            <w:t xml:space="preserve">Seek Long-Term Debt for the balance. Given the low cost of capital (6%) and the tangible nature of the assets in </w:t>
          </w:r>
          <w:r w:rsidRPr="00501BE9">
            <w:rPr>
              <w:rFonts w:asciiTheme="minorBidi" w:hAnsiTheme="minorBidi"/>
              <w:sz w:val="24"/>
              <w:szCs w:val="24"/>
              <w:lang w:eastAsia="en-GB" w:bidi="gu-IN"/>
            </w:rPr>
            <w:t>Options</w:t>
          </w:r>
          <w:r w:rsidRPr="00501BE9">
            <w:rPr>
              <w:rFonts w:asciiTheme="minorBidi" w:hAnsiTheme="minorBidi"/>
              <w:sz w:val="24"/>
              <w:szCs w:val="24"/>
              <w:lang w:eastAsia="en-GB" w:bidi="gu-IN"/>
            </w:rPr>
            <w:t xml:space="preserve"> A and C (which can be </w:t>
          </w:r>
          <w:r w:rsidRPr="00501BE9">
            <w:rPr>
              <w:rFonts w:asciiTheme="minorBidi" w:hAnsiTheme="minorBidi"/>
              <w:sz w:val="24"/>
              <w:szCs w:val="24"/>
              <w:lang w:eastAsia="en-GB" w:bidi="gu-IN"/>
            </w:rPr>
            <w:t>collateralised</w:t>
          </w:r>
          <w:r w:rsidRPr="00501BE9">
            <w:rPr>
              <w:rFonts w:asciiTheme="minorBidi" w:hAnsiTheme="minorBidi"/>
              <w:sz w:val="24"/>
              <w:szCs w:val="24"/>
              <w:lang w:eastAsia="en-GB" w:bidi="gu-IN"/>
            </w:rPr>
            <w:t>), debt is highly attractive. The interest tax shield will further enhance the NPV of the projects.</w:t>
          </w:r>
        </w:p>
        <w:p w14:paraId="00EC8F77" w14:textId="77777777" w:rsidR="00501BE9" w:rsidRPr="00501BE9" w:rsidRDefault="00501BE9" w:rsidP="000104FB">
          <w:pPr>
            <w:numPr>
              <w:ilvl w:val="0"/>
              <w:numId w:val="63"/>
            </w:numPr>
            <w:jc w:val="both"/>
            <w:rPr>
              <w:rFonts w:asciiTheme="minorBidi" w:hAnsiTheme="minorBidi"/>
              <w:sz w:val="24"/>
              <w:szCs w:val="24"/>
              <w:lang w:eastAsia="en-GB" w:bidi="gu-IN"/>
            </w:rPr>
          </w:pPr>
          <w:r w:rsidRPr="00501BE9">
            <w:rPr>
              <w:rFonts w:asciiTheme="minorBidi" w:hAnsiTheme="minorBidi"/>
              <w:sz w:val="24"/>
              <w:szCs w:val="24"/>
              <w:lang w:eastAsia="en-GB" w:bidi="gu-IN"/>
            </w:rPr>
            <w:t>Avoid New Equity. Issuing shares for a £2.5m expansion is likely unnecessary and would dilute Earnings Per Share (EPS).</w:t>
          </w:r>
        </w:p>
        <w:p w14:paraId="0E4865E8" w14:textId="4914D860" w:rsidR="00501BE9" w:rsidRDefault="00501BE9" w:rsidP="000104FB">
          <w:pPr>
            <w:jc w:val="both"/>
            <w:rPr>
              <w:rFonts w:asciiTheme="minorBidi" w:hAnsiTheme="minorBidi"/>
              <w:sz w:val="24"/>
              <w:szCs w:val="24"/>
              <w:lang w:eastAsia="en-GB" w:bidi="gu-IN"/>
            </w:rPr>
          </w:pPr>
          <w:r w:rsidRPr="00501BE9">
            <w:rPr>
              <w:rFonts w:asciiTheme="minorBidi" w:hAnsiTheme="minorBidi"/>
              <w:sz w:val="24"/>
              <w:szCs w:val="24"/>
              <w:lang w:eastAsia="en-GB" w:bidi="gu-IN"/>
            </w:rPr>
            <w:t xml:space="preserve">Final Advice: The Board should proceed with the investment plan, </w:t>
          </w:r>
          <w:r w:rsidRPr="00501BE9">
            <w:rPr>
              <w:rFonts w:asciiTheme="minorBidi" w:hAnsiTheme="minorBidi"/>
              <w:sz w:val="24"/>
              <w:szCs w:val="24"/>
              <w:lang w:eastAsia="en-GB" w:bidi="gu-IN"/>
            </w:rPr>
            <w:t>prioritising</w:t>
          </w:r>
          <w:r w:rsidRPr="00501BE9">
            <w:rPr>
              <w:rFonts w:asciiTheme="minorBidi" w:hAnsiTheme="minorBidi"/>
              <w:sz w:val="24"/>
              <w:szCs w:val="24"/>
              <w:lang w:eastAsia="en-GB" w:bidi="gu-IN"/>
            </w:rPr>
            <w:t xml:space="preserve"> the Retail and Internet sectors, financed primarily through internal cash and secured debt. This strategy balances high growth (Internet) with stability (Retail) while maintaining a healthy capital structure.</w:t>
          </w:r>
        </w:p>
        <w:p w14:paraId="63F405B3" w14:textId="77777777" w:rsidR="000104FB" w:rsidRDefault="000104FB" w:rsidP="000104FB">
          <w:pPr>
            <w:jc w:val="both"/>
            <w:rPr>
              <w:rFonts w:asciiTheme="minorBidi" w:hAnsiTheme="minorBidi"/>
              <w:sz w:val="24"/>
              <w:szCs w:val="24"/>
              <w:lang w:eastAsia="en-GB" w:bidi="gu-IN"/>
            </w:rPr>
          </w:pPr>
        </w:p>
        <w:p w14:paraId="2895200B" w14:textId="2FBFD65D" w:rsidR="000104FB" w:rsidRDefault="000104FB" w:rsidP="000104FB">
          <w:pPr>
            <w:pStyle w:val="Heading3"/>
            <w:numPr>
              <w:ilvl w:val="0"/>
              <w:numId w:val="37"/>
            </w:numPr>
            <w:jc w:val="both"/>
            <w:rPr>
              <w:lang w:eastAsia="en-GB" w:bidi="gu-IN"/>
            </w:rPr>
          </w:pPr>
          <w:bookmarkStart w:id="29" w:name="_Toc219110432"/>
          <w:r>
            <w:rPr>
              <w:lang w:eastAsia="en-GB" w:bidi="gu-IN"/>
            </w:rPr>
            <w:t>Sensitivity Analysis &amp; Risk Stress- Testing</w:t>
          </w:r>
          <w:bookmarkEnd w:id="29"/>
          <w:r>
            <w:rPr>
              <w:lang w:eastAsia="en-GB" w:bidi="gu-IN"/>
            </w:rPr>
            <w:t xml:space="preserve"> </w:t>
          </w:r>
        </w:p>
        <w:p w14:paraId="21AFB710" w14:textId="77777777" w:rsidR="000104FB" w:rsidRPr="000104FB" w:rsidRDefault="000104FB" w:rsidP="000104FB">
          <w:pPr>
            <w:jc w:val="both"/>
            <w:rPr>
              <w:lang w:eastAsia="en-GB" w:bidi="gu-IN"/>
            </w:rPr>
          </w:pPr>
        </w:p>
        <w:p w14:paraId="36E85013" w14:textId="3A5A167A"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While the Net Present Value (NPV) analysis suggests a robust case for the "Internet" (Option B) and "Retail" (Option A) expansion, these calculations rely on static assumptions. In the volatile economic climate of 2026, "single-point" forecasts are insufficient. To ensure the Board is making a resilient decision, we have conducted a Sensitivity Analysis to determine how much the project's profitability would suffer if key variables</w:t>
          </w:r>
          <w:r w:rsidRPr="000104FB">
            <w:rPr>
              <w:rFonts w:asciiTheme="minorBidi" w:hAnsiTheme="minorBidi"/>
              <w:sz w:val="24"/>
              <w:szCs w:val="24"/>
              <w:lang w:eastAsia="en-GB" w:bidi="gu-IN"/>
            </w:rPr>
            <w:t xml:space="preserve">, </w:t>
          </w:r>
          <w:r w:rsidRPr="000104FB">
            <w:rPr>
              <w:rFonts w:asciiTheme="minorBidi" w:hAnsiTheme="minorBidi"/>
              <w:sz w:val="24"/>
              <w:szCs w:val="24"/>
              <w:lang w:eastAsia="en-GB" w:bidi="gu-IN"/>
            </w:rPr>
            <w:t>specifically sales revenue and capital costs</w:t>
          </w:r>
          <w:r w:rsidRPr="000104FB">
            <w:rPr>
              <w:rFonts w:asciiTheme="minorBidi" w:hAnsiTheme="minorBidi"/>
              <w:sz w:val="24"/>
              <w:szCs w:val="24"/>
              <w:lang w:eastAsia="en-GB" w:bidi="gu-IN"/>
            </w:rPr>
            <w:t xml:space="preserve">, </w:t>
          </w:r>
          <w:r w:rsidRPr="000104FB">
            <w:rPr>
              <w:rFonts w:asciiTheme="minorBidi" w:hAnsiTheme="minorBidi"/>
              <w:sz w:val="24"/>
              <w:szCs w:val="24"/>
              <w:lang w:eastAsia="en-GB" w:bidi="gu-IN"/>
            </w:rPr>
            <w:t>perform worse than expected.</w:t>
          </w:r>
        </w:p>
        <w:p w14:paraId="1CFAFC4B"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Scenario A: The "Downside" Case (10% Drop in Sales)</w:t>
          </w:r>
        </w:p>
        <w:p w14:paraId="63AD7D9E"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The most significant risk to Option B (Internet Sales) is that consumer demand does not materialize as forecast due to competitive pressure or economic stagnation. We have stress-tested Option B by reducing the Operating Cash Flows by 10% across all four years.</w:t>
          </w:r>
        </w:p>
        <w:p w14:paraId="11B91555"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Adjusted Calculation (Option B - Internet):</w:t>
          </w:r>
        </w:p>
        <w:p w14:paraId="047405D2" w14:textId="77777777" w:rsidR="000104FB" w:rsidRDefault="000104FB" w:rsidP="000104FB">
          <w:pPr>
            <w:numPr>
              <w:ilvl w:val="0"/>
              <w:numId w:val="79"/>
            </w:numPr>
            <w:jc w:val="both"/>
            <w:rPr>
              <w:rFonts w:asciiTheme="minorBidi" w:hAnsiTheme="minorBidi"/>
              <w:sz w:val="24"/>
              <w:szCs w:val="24"/>
              <w:lang w:eastAsia="en-GB" w:bidi="gu-IN"/>
            </w:rPr>
          </w:pPr>
          <w:r w:rsidRPr="000104FB">
            <w:rPr>
              <w:rFonts w:asciiTheme="minorBidi" w:hAnsiTheme="minorBidi"/>
              <w:sz w:val="24"/>
              <w:szCs w:val="24"/>
              <w:lang w:eastAsia="en-GB" w:bidi="gu-IN"/>
            </w:rPr>
            <w:t>Assumption: Gross inflows fall by 10%; consequently, the tax liability also decreases (25% on the reduced profit), acting as a partial buffer. The Tax Shield on Capital Allowances remains fixed at £50,000/year (as it is based on the initial asset cost, not sales).</w:t>
          </w:r>
        </w:p>
        <w:tbl>
          <w:tblPr>
            <w:tblStyle w:val="TableGrid"/>
            <w:tblW w:w="0" w:type="auto"/>
            <w:tblLook w:val="04A0" w:firstRow="1" w:lastRow="0" w:firstColumn="1" w:lastColumn="0" w:noHBand="0" w:noVBand="1"/>
          </w:tblPr>
          <w:tblGrid>
            <w:gridCol w:w="947"/>
            <w:gridCol w:w="1106"/>
            <w:gridCol w:w="1107"/>
            <w:gridCol w:w="1244"/>
            <w:gridCol w:w="1107"/>
            <w:gridCol w:w="1107"/>
            <w:gridCol w:w="980"/>
            <w:gridCol w:w="1418"/>
          </w:tblGrid>
          <w:tr w:rsidR="000104FB" w14:paraId="3786424C" w14:textId="77777777" w:rsidTr="000104FB">
            <w:tc>
              <w:tcPr>
                <w:tcW w:w="947" w:type="dxa"/>
              </w:tcPr>
              <w:p w14:paraId="1F0670CF" w14:textId="3B48A4F5"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Year </w:t>
                </w:r>
              </w:p>
            </w:tc>
            <w:tc>
              <w:tcPr>
                <w:tcW w:w="1106" w:type="dxa"/>
              </w:tcPr>
              <w:p w14:paraId="55227D6E" w14:textId="4C35432B"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Original Op Cash (£)</w:t>
                </w:r>
              </w:p>
            </w:tc>
            <w:tc>
              <w:tcPr>
                <w:tcW w:w="1107" w:type="dxa"/>
              </w:tcPr>
              <w:p w14:paraId="2732C2B3" w14:textId="3F9F8CFC"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New Op Cash (-10%) (£)</w:t>
                </w:r>
              </w:p>
            </w:tc>
            <w:tc>
              <w:tcPr>
                <w:tcW w:w="1244" w:type="dxa"/>
              </w:tcPr>
              <w:p w14:paraId="6164096B" w14:textId="46B4DC38"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New Tax @ 25% (£)</w:t>
                </w:r>
              </w:p>
            </w:tc>
            <w:tc>
              <w:tcPr>
                <w:tcW w:w="1107" w:type="dxa"/>
              </w:tcPr>
              <w:p w14:paraId="55CA3725" w14:textId="701B358C"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Tax Shield (£)</w:t>
                </w:r>
              </w:p>
            </w:tc>
            <w:tc>
              <w:tcPr>
                <w:tcW w:w="1107" w:type="dxa"/>
              </w:tcPr>
              <w:p w14:paraId="49B26826" w14:textId="7AC6B97F"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New Net Cash (£)</w:t>
                </w:r>
              </w:p>
            </w:tc>
            <w:tc>
              <w:tcPr>
                <w:tcW w:w="980" w:type="dxa"/>
              </w:tcPr>
              <w:p w14:paraId="5C524E3F" w14:textId="32D93771"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DCF (6%)</w:t>
                </w:r>
              </w:p>
            </w:tc>
            <w:tc>
              <w:tcPr>
                <w:tcW w:w="1418" w:type="dxa"/>
              </w:tcPr>
              <w:p w14:paraId="5C90BBEC" w14:textId="5535AF18" w:rsid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New PV (£)</w:t>
                </w:r>
              </w:p>
            </w:tc>
          </w:tr>
          <w:tr w:rsidR="000104FB" w14:paraId="2B1CC92D" w14:textId="77777777" w:rsidTr="000104FB">
            <w:tc>
              <w:tcPr>
                <w:tcW w:w="947" w:type="dxa"/>
              </w:tcPr>
              <w:p w14:paraId="34AA373A" w14:textId="6CED1D7F"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1</w:t>
                </w:r>
              </w:p>
            </w:tc>
            <w:tc>
              <w:tcPr>
                <w:tcW w:w="1106" w:type="dxa"/>
              </w:tcPr>
              <w:p w14:paraId="011568D7" w14:textId="16EFC618"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400,000</w:t>
                </w:r>
              </w:p>
            </w:tc>
            <w:tc>
              <w:tcPr>
                <w:tcW w:w="1107" w:type="dxa"/>
              </w:tcPr>
              <w:p w14:paraId="2D63BF7F" w14:textId="18B865C2"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360,000</w:t>
                </w:r>
              </w:p>
            </w:tc>
            <w:tc>
              <w:tcPr>
                <w:tcW w:w="1244" w:type="dxa"/>
              </w:tcPr>
              <w:p w14:paraId="66B6383D" w14:textId="373C39DC"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(90,000)</w:t>
                </w:r>
              </w:p>
            </w:tc>
            <w:tc>
              <w:tcPr>
                <w:tcW w:w="1107" w:type="dxa"/>
              </w:tcPr>
              <w:p w14:paraId="77985DFA" w14:textId="68BD91A8"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50,000</w:t>
                </w:r>
              </w:p>
            </w:tc>
            <w:tc>
              <w:tcPr>
                <w:tcW w:w="1107" w:type="dxa"/>
              </w:tcPr>
              <w:p w14:paraId="2B5A31DD" w14:textId="5459B38F"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320,000</w:t>
                </w:r>
              </w:p>
            </w:tc>
            <w:tc>
              <w:tcPr>
                <w:tcW w:w="980" w:type="dxa"/>
              </w:tcPr>
              <w:p w14:paraId="3E37B072" w14:textId="459CC2E4"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0.943</w:t>
                </w:r>
              </w:p>
            </w:tc>
            <w:tc>
              <w:tcPr>
                <w:tcW w:w="1418" w:type="dxa"/>
              </w:tcPr>
              <w:p w14:paraId="7978D1FD" w14:textId="39743F78"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301,760</w:t>
                </w:r>
              </w:p>
            </w:tc>
          </w:tr>
          <w:tr w:rsidR="000104FB" w14:paraId="254577F4" w14:textId="77777777" w:rsidTr="000104FB">
            <w:tc>
              <w:tcPr>
                <w:tcW w:w="947" w:type="dxa"/>
              </w:tcPr>
              <w:p w14:paraId="0A5E9D57" w14:textId="5F9190D0"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2</w:t>
                </w:r>
              </w:p>
            </w:tc>
            <w:tc>
              <w:tcPr>
                <w:tcW w:w="1106" w:type="dxa"/>
              </w:tcPr>
              <w:p w14:paraId="6AC6CBD9" w14:textId="4649A14D"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450,000</w:t>
                </w:r>
              </w:p>
            </w:tc>
            <w:tc>
              <w:tcPr>
                <w:tcW w:w="1107" w:type="dxa"/>
              </w:tcPr>
              <w:p w14:paraId="67873B57" w14:textId="108C9D93"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405,000</w:t>
                </w:r>
              </w:p>
            </w:tc>
            <w:tc>
              <w:tcPr>
                <w:tcW w:w="1244" w:type="dxa"/>
              </w:tcPr>
              <w:p w14:paraId="49FC6E05" w14:textId="698C87EF"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(101,250)</w:t>
                </w:r>
              </w:p>
            </w:tc>
            <w:tc>
              <w:tcPr>
                <w:tcW w:w="1107" w:type="dxa"/>
              </w:tcPr>
              <w:p w14:paraId="7415817E" w14:textId="0B6041CB"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50,000</w:t>
                </w:r>
              </w:p>
            </w:tc>
            <w:tc>
              <w:tcPr>
                <w:tcW w:w="1107" w:type="dxa"/>
              </w:tcPr>
              <w:p w14:paraId="7815AA25" w14:textId="49E19406"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353,750</w:t>
                </w:r>
              </w:p>
            </w:tc>
            <w:tc>
              <w:tcPr>
                <w:tcW w:w="980" w:type="dxa"/>
              </w:tcPr>
              <w:p w14:paraId="722D3284" w14:textId="2D082A21"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0.890</w:t>
                </w:r>
              </w:p>
            </w:tc>
            <w:tc>
              <w:tcPr>
                <w:tcW w:w="1418" w:type="dxa"/>
              </w:tcPr>
              <w:p w14:paraId="4AF7F381" w14:textId="7E027DFC"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314,838</w:t>
                </w:r>
              </w:p>
            </w:tc>
          </w:tr>
          <w:tr w:rsidR="000104FB" w14:paraId="377E63FC" w14:textId="77777777" w:rsidTr="000104FB">
            <w:tc>
              <w:tcPr>
                <w:tcW w:w="947" w:type="dxa"/>
              </w:tcPr>
              <w:p w14:paraId="7517882E" w14:textId="6E6D692E"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3</w:t>
                </w:r>
              </w:p>
            </w:tc>
            <w:tc>
              <w:tcPr>
                <w:tcW w:w="1106" w:type="dxa"/>
              </w:tcPr>
              <w:p w14:paraId="22D043ED" w14:textId="48BD3814"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720,000</w:t>
                </w:r>
              </w:p>
            </w:tc>
            <w:tc>
              <w:tcPr>
                <w:tcW w:w="1107" w:type="dxa"/>
              </w:tcPr>
              <w:p w14:paraId="2ACA8E46" w14:textId="34FA9C61"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648,000</w:t>
                </w:r>
              </w:p>
            </w:tc>
            <w:tc>
              <w:tcPr>
                <w:tcW w:w="1244" w:type="dxa"/>
              </w:tcPr>
              <w:p w14:paraId="37C0EF98" w14:textId="3FBD4AF9"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162,000)</w:t>
                </w:r>
              </w:p>
            </w:tc>
            <w:tc>
              <w:tcPr>
                <w:tcW w:w="1107" w:type="dxa"/>
              </w:tcPr>
              <w:p w14:paraId="7FB45DBA" w14:textId="36BD1B9A"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50,000</w:t>
                </w:r>
              </w:p>
            </w:tc>
            <w:tc>
              <w:tcPr>
                <w:tcW w:w="1107" w:type="dxa"/>
              </w:tcPr>
              <w:p w14:paraId="457C9BA9" w14:textId="7F885FD3"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536,000</w:t>
                </w:r>
              </w:p>
            </w:tc>
            <w:tc>
              <w:tcPr>
                <w:tcW w:w="980" w:type="dxa"/>
              </w:tcPr>
              <w:p w14:paraId="586C7C3B" w14:textId="27F579D9"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0.840</w:t>
                </w:r>
              </w:p>
            </w:tc>
            <w:tc>
              <w:tcPr>
                <w:tcW w:w="1418" w:type="dxa"/>
              </w:tcPr>
              <w:p w14:paraId="54E6DB78" w14:textId="548A04AD"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450,240</w:t>
                </w:r>
              </w:p>
            </w:tc>
          </w:tr>
          <w:tr w:rsidR="000104FB" w14:paraId="56557C06" w14:textId="77777777" w:rsidTr="000104FB">
            <w:tc>
              <w:tcPr>
                <w:tcW w:w="947" w:type="dxa"/>
              </w:tcPr>
              <w:p w14:paraId="06CE88C7" w14:textId="7668FFF2"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4</w:t>
                </w:r>
              </w:p>
            </w:tc>
            <w:tc>
              <w:tcPr>
                <w:tcW w:w="1106" w:type="dxa"/>
              </w:tcPr>
              <w:p w14:paraId="3C61DFAF" w14:textId="2ABBD1A0"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980,000</w:t>
                </w:r>
              </w:p>
            </w:tc>
            <w:tc>
              <w:tcPr>
                <w:tcW w:w="1107" w:type="dxa"/>
              </w:tcPr>
              <w:p w14:paraId="11CF088E" w14:textId="11F1B705"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882,000</w:t>
                </w:r>
              </w:p>
            </w:tc>
            <w:tc>
              <w:tcPr>
                <w:tcW w:w="1244" w:type="dxa"/>
              </w:tcPr>
              <w:p w14:paraId="4E87EA1B" w14:textId="1881B23E"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(220,500)</w:t>
                </w:r>
              </w:p>
            </w:tc>
            <w:tc>
              <w:tcPr>
                <w:tcW w:w="1107" w:type="dxa"/>
              </w:tcPr>
              <w:p w14:paraId="4F2CE254" w14:textId="50B98A93"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100,000</w:t>
                </w:r>
              </w:p>
            </w:tc>
            <w:tc>
              <w:tcPr>
                <w:tcW w:w="1107" w:type="dxa"/>
              </w:tcPr>
              <w:p w14:paraId="07F3862A" w14:textId="342442FC"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761,500</w:t>
                </w:r>
              </w:p>
            </w:tc>
            <w:tc>
              <w:tcPr>
                <w:tcW w:w="980" w:type="dxa"/>
              </w:tcPr>
              <w:p w14:paraId="246E9DFA" w14:textId="7129CB89"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0.792</w:t>
                </w:r>
              </w:p>
            </w:tc>
            <w:tc>
              <w:tcPr>
                <w:tcW w:w="1418" w:type="dxa"/>
              </w:tcPr>
              <w:p w14:paraId="42AF3372" w14:textId="763F46EA"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603,108</w:t>
                </w:r>
              </w:p>
            </w:tc>
          </w:tr>
          <w:tr w:rsidR="000104FB" w14:paraId="1F037B4D" w14:textId="77777777" w:rsidTr="000104FB">
            <w:tc>
              <w:tcPr>
                <w:tcW w:w="947" w:type="dxa"/>
              </w:tcPr>
              <w:p w14:paraId="2883C354" w14:textId="585D889B"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 xml:space="preserve">Total </w:t>
                </w:r>
              </w:p>
            </w:tc>
            <w:tc>
              <w:tcPr>
                <w:tcW w:w="1106" w:type="dxa"/>
              </w:tcPr>
              <w:p w14:paraId="61E93C7D" w14:textId="77777777" w:rsidR="000104FB" w:rsidRDefault="000104FB" w:rsidP="000104FB">
                <w:pPr>
                  <w:jc w:val="both"/>
                  <w:rPr>
                    <w:rFonts w:asciiTheme="minorBidi" w:hAnsiTheme="minorBidi"/>
                    <w:sz w:val="24"/>
                    <w:szCs w:val="24"/>
                    <w:lang w:eastAsia="en-GB" w:bidi="gu-IN"/>
                  </w:rPr>
                </w:pPr>
              </w:p>
            </w:tc>
            <w:tc>
              <w:tcPr>
                <w:tcW w:w="1107" w:type="dxa"/>
              </w:tcPr>
              <w:p w14:paraId="4BC2727B" w14:textId="77777777" w:rsidR="000104FB" w:rsidRDefault="000104FB" w:rsidP="000104FB">
                <w:pPr>
                  <w:jc w:val="both"/>
                  <w:rPr>
                    <w:rFonts w:asciiTheme="minorBidi" w:hAnsiTheme="minorBidi"/>
                    <w:sz w:val="24"/>
                    <w:szCs w:val="24"/>
                    <w:lang w:eastAsia="en-GB" w:bidi="gu-IN"/>
                  </w:rPr>
                </w:pPr>
              </w:p>
            </w:tc>
            <w:tc>
              <w:tcPr>
                <w:tcW w:w="1244" w:type="dxa"/>
              </w:tcPr>
              <w:p w14:paraId="7DAEC82C" w14:textId="77777777" w:rsidR="000104FB" w:rsidRDefault="000104FB" w:rsidP="000104FB">
                <w:pPr>
                  <w:jc w:val="both"/>
                  <w:rPr>
                    <w:rFonts w:asciiTheme="minorBidi" w:hAnsiTheme="minorBidi"/>
                    <w:sz w:val="24"/>
                    <w:szCs w:val="24"/>
                    <w:lang w:eastAsia="en-GB" w:bidi="gu-IN"/>
                  </w:rPr>
                </w:pPr>
              </w:p>
            </w:tc>
            <w:tc>
              <w:tcPr>
                <w:tcW w:w="1107" w:type="dxa"/>
              </w:tcPr>
              <w:p w14:paraId="35424AFA" w14:textId="77777777" w:rsidR="000104FB" w:rsidRDefault="000104FB" w:rsidP="000104FB">
                <w:pPr>
                  <w:jc w:val="both"/>
                  <w:rPr>
                    <w:rFonts w:asciiTheme="minorBidi" w:hAnsiTheme="minorBidi"/>
                    <w:sz w:val="24"/>
                    <w:szCs w:val="24"/>
                    <w:lang w:eastAsia="en-GB" w:bidi="gu-IN"/>
                  </w:rPr>
                </w:pPr>
              </w:p>
            </w:tc>
            <w:tc>
              <w:tcPr>
                <w:tcW w:w="1107" w:type="dxa"/>
              </w:tcPr>
              <w:p w14:paraId="4B433090" w14:textId="77777777" w:rsidR="000104FB" w:rsidRDefault="000104FB" w:rsidP="000104FB">
                <w:pPr>
                  <w:jc w:val="both"/>
                  <w:rPr>
                    <w:rFonts w:asciiTheme="minorBidi" w:hAnsiTheme="minorBidi"/>
                    <w:sz w:val="24"/>
                    <w:szCs w:val="24"/>
                    <w:lang w:eastAsia="en-GB" w:bidi="gu-IN"/>
                  </w:rPr>
                </w:pPr>
              </w:p>
            </w:tc>
            <w:tc>
              <w:tcPr>
                <w:tcW w:w="980" w:type="dxa"/>
              </w:tcPr>
              <w:p w14:paraId="6BAAD2AF" w14:textId="77777777" w:rsidR="000104FB" w:rsidRDefault="000104FB" w:rsidP="000104FB">
                <w:pPr>
                  <w:jc w:val="both"/>
                  <w:rPr>
                    <w:rFonts w:asciiTheme="minorBidi" w:hAnsiTheme="minorBidi"/>
                    <w:sz w:val="24"/>
                    <w:szCs w:val="24"/>
                    <w:lang w:eastAsia="en-GB" w:bidi="gu-IN"/>
                  </w:rPr>
                </w:pPr>
              </w:p>
            </w:tc>
            <w:tc>
              <w:tcPr>
                <w:tcW w:w="1418" w:type="dxa"/>
              </w:tcPr>
              <w:p w14:paraId="136183A1" w14:textId="341BFE81" w:rsidR="000104FB" w:rsidRDefault="000104FB" w:rsidP="000104FB">
                <w:pPr>
                  <w:jc w:val="both"/>
                  <w:rPr>
                    <w:rFonts w:asciiTheme="minorBidi" w:hAnsiTheme="minorBidi"/>
                    <w:sz w:val="24"/>
                    <w:szCs w:val="24"/>
                    <w:lang w:eastAsia="en-GB" w:bidi="gu-IN"/>
                  </w:rPr>
                </w:pPr>
                <w:r>
                  <w:rPr>
                    <w:rFonts w:asciiTheme="minorBidi" w:hAnsiTheme="minorBidi"/>
                    <w:sz w:val="24"/>
                    <w:szCs w:val="24"/>
                    <w:lang w:eastAsia="en-GB" w:bidi="gu-IN"/>
                  </w:rPr>
                  <w:t>£1,670,246</w:t>
                </w:r>
              </w:p>
            </w:tc>
          </w:tr>
        </w:tbl>
        <w:p w14:paraId="3A936F1B" w14:textId="14ADC40F" w:rsidR="000104FB" w:rsidRDefault="000104FB" w:rsidP="000104FB">
          <w:pPr>
            <w:pStyle w:val="Heading3"/>
            <w:jc w:val="both"/>
            <w:rPr>
              <w:lang w:eastAsia="en-GB" w:bidi="gu-IN"/>
            </w:rPr>
          </w:pPr>
          <w:bookmarkStart w:id="30" w:name="_Toc219110433"/>
          <w:r w:rsidRPr="000104FB">
            <w:rPr>
              <w:lang w:eastAsia="en-GB" w:bidi="gu-IN"/>
            </w:rPr>
            <w:t>Table 12: Sensitivity Analysis - Option B Cash Flows (10% Revenue Reduction)</w:t>
          </w:r>
          <w:bookmarkEnd w:id="30"/>
        </w:p>
        <w:p w14:paraId="022BBD1E" w14:textId="77777777" w:rsidR="000104FB" w:rsidRDefault="000104FB" w:rsidP="000104FB">
          <w:pPr>
            <w:jc w:val="both"/>
            <w:rPr>
              <w:rFonts w:asciiTheme="minorBidi" w:hAnsiTheme="minorBidi"/>
              <w:sz w:val="24"/>
              <w:szCs w:val="24"/>
              <w:lang w:eastAsia="en-GB" w:bidi="gu-IN"/>
            </w:rPr>
          </w:pPr>
        </w:p>
        <w:p w14:paraId="10B7627C" w14:textId="77777777" w:rsidR="000104FB" w:rsidRPr="000104FB" w:rsidRDefault="000104FB" w:rsidP="000104FB">
          <w:pPr>
            <w:numPr>
              <w:ilvl w:val="0"/>
              <w:numId w:val="80"/>
            </w:numPr>
            <w:jc w:val="both"/>
            <w:rPr>
              <w:rFonts w:asciiTheme="minorBidi" w:hAnsiTheme="minorBidi"/>
              <w:sz w:val="24"/>
              <w:szCs w:val="24"/>
              <w:lang w:eastAsia="en-GB" w:bidi="gu-IN"/>
            </w:rPr>
          </w:pPr>
          <w:r w:rsidRPr="000104FB">
            <w:rPr>
              <w:rFonts w:asciiTheme="minorBidi" w:hAnsiTheme="minorBidi"/>
              <w:sz w:val="24"/>
              <w:szCs w:val="24"/>
              <w:lang w:eastAsia="en-GB" w:bidi="gu-IN"/>
            </w:rPr>
            <w:lastRenderedPageBreak/>
            <w:t>Less Initial Cost: (£1,000,000)</w:t>
          </w:r>
        </w:p>
        <w:p w14:paraId="6649FACC" w14:textId="77777777" w:rsidR="000104FB" w:rsidRPr="000104FB" w:rsidRDefault="000104FB" w:rsidP="000104FB">
          <w:pPr>
            <w:numPr>
              <w:ilvl w:val="0"/>
              <w:numId w:val="80"/>
            </w:numPr>
            <w:jc w:val="both"/>
            <w:rPr>
              <w:rFonts w:asciiTheme="minorBidi" w:hAnsiTheme="minorBidi"/>
              <w:sz w:val="24"/>
              <w:szCs w:val="24"/>
              <w:lang w:eastAsia="en-GB" w:bidi="gu-IN"/>
            </w:rPr>
          </w:pPr>
          <w:r w:rsidRPr="000104FB">
            <w:rPr>
              <w:rFonts w:asciiTheme="minorBidi" w:hAnsiTheme="minorBidi"/>
              <w:sz w:val="24"/>
              <w:szCs w:val="24"/>
              <w:lang w:eastAsia="en-GB" w:bidi="gu-IN"/>
            </w:rPr>
            <w:t>New NPV: £669,946 (Original NPV: £831,845)</w:t>
          </w:r>
        </w:p>
        <w:p w14:paraId="3F275673"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Interpretation: Even if sales are 10% lower than anticipated, Option B generates a substantial positive NPV of nearly £670,000. The project's "Safety Margin" is high; in fact, sales would need to drop by approximately 33% before the NPV turns negative. This confirms that the digital expansion is not fragile; it can withstand a significant market downturn and still add value to the company.</w:t>
          </w:r>
        </w:p>
        <w:p w14:paraId="632C5AA8"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Scenario B: Capital Cost Overrun (10% Increase in Capex)</w:t>
          </w:r>
        </w:p>
        <w:p w14:paraId="379ED9EA" w14:textId="31E90E20"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 xml:space="preserve">We also </w:t>
          </w:r>
          <w:r w:rsidRPr="000104FB">
            <w:rPr>
              <w:rFonts w:asciiTheme="minorBidi" w:hAnsiTheme="minorBidi"/>
              <w:sz w:val="24"/>
              <w:szCs w:val="24"/>
              <w:lang w:eastAsia="en-GB" w:bidi="gu-IN"/>
            </w:rPr>
            <w:t>analysed</w:t>
          </w:r>
          <w:r w:rsidRPr="000104FB">
            <w:rPr>
              <w:rFonts w:asciiTheme="minorBidi" w:hAnsiTheme="minorBidi"/>
              <w:sz w:val="24"/>
              <w:szCs w:val="24"/>
              <w:lang w:eastAsia="en-GB" w:bidi="gu-IN"/>
            </w:rPr>
            <w:t xml:space="preserve"> the impact if the initial setup cost for the Internet platform blew out by 10% (rising from £1.0m to £1.1m).</w:t>
          </w:r>
        </w:p>
        <w:p w14:paraId="641ABBA6" w14:textId="77777777" w:rsidR="000104FB" w:rsidRPr="000104FB" w:rsidRDefault="000104FB" w:rsidP="000104FB">
          <w:pPr>
            <w:numPr>
              <w:ilvl w:val="0"/>
              <w:numId w:val="81"/>
            </w:numPr>
            <w:jc w:val="both"/>
            <w:rPr>
              <w:rFonts w:asciiTheme="minorBidi" w:hAnsiTheme="minorBidi"/>
              <w:sz w:val="24"/>
              <w:szCs w:val="24"/>
              <w:lang w:eastAsia="en-GB" w:bidi="gu-IN"/>
            </w:rPr>
          </w:pPr>
          <w:r w:rsidRPr="000104FB">
            <w:rPr>
              <w:rFonts w:asciiTheme="minorBidi" w:hAnsiTheme="minorBidi"/>
              <w:sz w:val="24"/>
              <w:szCs w:val="24"/>
              <w:lang w:eastAsia="en-GB" w:bidi="gu-IN"/>
            </w:rPr>
            <w:t>Impact: The upfront outflow increases by £100,000.</w:t>
          </w:r>
        </w:p>
        <w:p w14:paraId="709DC0BE" w14:textId="77777777" w:rsidR="000104FB" w:rsidRPr="000104FB" w:rsidRDefault="000104FB" w:rsidP="000104FB">
          <w:pPr>
            <w:numPr>
              <w:ilvl w:val="0"/>
              <w:numId w:val="81"/>
            </w:numPr>
            <w:jc w:val="both"/>
            <w:rPr>
              <w:rFonts w:asciiTheme="minorBidi" w:hAnsiTheme="minorBidi"/>
              <w:sz w:val="24"/>
              <w:szCs w:val="24"/>
              <w:lang w:eastAsia="en-GB" w:bidi="gu-IN"/>
            </w:rPr>
          </w:pPr>
          <w:r w:rsidRPr="000104FB">
            <w:rPr>
              <w:rFonts w:asciiTheme="minorBidi" w:hAnsiTheme="minorBidi"/>
              <w:sz w:val="24"/>
              <w:szCs w:val="24"/>
              <w:lang w:eastAsia="en-GB" w:bidi="gu-IN"/>
            </w:rPr>
            <w:t>Mitigation: The Capital Allowances would increase (20% of the higher base), increasing the tax shield benefits slightly.</w:t>
          </w:r>
        </w:p>
        <w:p w14:paraId="6EF83960" w14:textId="77777777" w:rsidR="000104FB" w:rsidRPr="000104FB" w:rsidRDefault="000104FB" w:rsidP="000104FB">
          <w:pPr>
            <w:numPr>
              <w:ilvl w:val="0"/>
              <w:numId w:val="81"/>
            </w:numPr>
            <w:jc w:val="both"/>
            <w:rPr>
              <w:rFonts w:asciiTheme="minorBidi" w:hAnsiTheme="minorBidi"/>
              <w:sz w:val="24"/>
              <w:szCs w:val="24"/>
              <w:lang w:eastAsia="en-GB" w:bidi="gu-IN"/>
            </w:rPr>
          </w:pPr>
          <w:r w:rsidRPr="000104FB">
            <w:rPr>
              <w:rFonts w:asciiTheme="minorBidi" w:hAnsiTheme="minorBidi"/>
              <w:sz w:val="24"/>
              <w:szCs w:val="24"/>
              <w:lang w:eastAsia="en-GB" w:bidi="gu-IN"/>
            </w:rPr>
            <w:t>Result: The NPV would decrease by approximately £80,000 (post-tax impact). given the original buffer of £831,000, this is negligible.</w:t>
          </w:r>
        </w:p>
        <w:p w14:paraId="43BDF78F"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Comparative Risk Profile (Option B vs. Option C)</w:t>
          </w:r>
        </w:p>
        <w:p w14:paraId="69CF0123"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 xml:space="preserve">Crucially, Option C (Manufacturing) is far </w:t>
          </w:r>
          <w:r w:rsidRPr="000104FB">
            <w:rPr>
              <w:rFonts w:asciiTheme="minorBidi" w:hAnsiTheme="minorBidi"/>
              <w:i/>
              <w:iCs/>
              <w:sz w:val="24"/>
              <w:szCs w:val="24"/>
              <w:lang w:eastAsia="en-GB" w:bidi="gu-IN"/>
            </w:rPr>
            <w:t>more</w:t>
          </w:r>
          <w:r w:rsidRPr="000104FB">
            <w:rPr>
              <w:rFonts w:asciiTheme="minorBidi" w:hAnsiTheme="minorBidi"/>
              <w:sz w:val="24"/>
              <w:szCs w:val="24"/>
              <w:lang w:eastAsia="en-GB" w:bidi="gu-IN"/>
            </w:rPr>
            <w:t xml:space="preserve"> sensitive to sales drops than Option B. Manufacturing involves high fixed overheads (plant maintenance, staff, utilities) that must be paid regardless of volume (High Operating Leverage). If sales drop 10% in manufacturing, profits often drop by 20-30%. In contrast, Internet sales (Option B) have variable costs (marketing, shipping) that can be cut if demand falls.</w:t>
          </w:r>
        </w:p>
        <w:p w14:paraId="456B93E6" w14:textId="77777777" w:rsidR="000104FB" w:rsidRPr="000104FB" w:rsidRDefault="000104FB" w:rsidP="000104FB">
          <w:pPr>
            <w:jc w:val="both"/>
            <w:rPr>
              <w:rFonts w:asciiTheme="minorBidi" w:hAnsiTheme="minorBidi"/>
              <w:sz w:val="24"/>
              <w:szCs w:val="24"/>
              <w:lang w:eastAsia="en-GB" w:bidi="gu-IN"/>
            </w:rPr>
          </w:pPr>
          <w:r w:rsidRPr="000104FB">
            <w:rPr>
              <w:rFonts w:asciiTheme="minorBidi" w:hAnsiTheme="minorBidi"/>
              <w:sz w:val="24"/>
              <w:szCs w:val="24"/>
              <w:lang w:eastAsia="en-GB" w:bidi="gu-IN"/>
            </w:rPr>
            <w:t>Conclusion on Sensitivity: The sensitivity analysis validates the recommendation to prioritize Option B. It is robust against both revenue shocks (Scenario A) and cost overruns (Scenario B). The project possesses sufficient financial "shock absorbers" to remain viable even in a pessimistic 2026 economic scenario.</w:t>
          </w:r>
        </w:p>
        <w:p w14:paraId="14B0A586" w14:textId="77777777" w:rsidR="000104FB" w:rsidRPr="000104FB" w:rsidRDefault="000104FB" w:rsidP="000104FB">
          <w:pPr>
            <w:jc w:val="both"/>
            <w:rPr>
              <w:rFonts w:asciiTheme="minorBidi" w:hAnsiTheme="minorBidi"/>
              <w:sz w:val="24"/>
              <w:szCs w:val="24"/>
              <w:lang w:eastAsia="en-GB" w:bidi="gu-IN"/>
            </w:rPr>
          </w:pPr>
        </w:p>
        <w:p w14:paraId="210F22E3" w14:textId="77777777" w:rsidR="00335BCF" w:rsidRDefault="00335BCF" w:rsidP="000104FB">
          <w:pPr>
            <w:jc w:val="both"/>
            <w:rPr>
              <w:rFonts w:asciiTheme="minorBidi" w:eastAsiaTheme="majorEastAsia" w:hAnsiTheme="minorBidi" w:cstheme="majorBidi"/>
              <w:iCs/>
              <w:color w:val="2E74B5" w:themeColor="accent1" w:themeShade="BF"/>
              <w:sz w:val="24"/>
            </w:rPr>
          </w:pPr>
          <w:r>
            <w:br w:type="page"/>
          </w:r>
        </w:p>
        <w:p w14:paraId="5C67928C" w14:textId="0A141A54" w:rsidR="00AA2A91" w:rsidRPr="000104FB" w:rsidRDefault="000104FB" w:rsidP="000104FB">
          <w:pPr>
            <w:pStyle w:val="Heading1"/>
            <w:jc w:val="both"/>
            <w:rPr>
              <w:rFonts w:asciiTheme="minorBidi" w:eastAsiaTheme="minorHAnsi" w:hAnsiTheme="minorBidi" w:cstheme="minorBidi"/>
              <w:color w:val="auto"/>
              <w:sz w:val="28"/>
              <w:szCs w:val="28"/>
            </w:rPr>
          </w:pPr>
          <w:bookmarkStart w:id="31" w:name="_Toc219110434"/>
          <w:r>
            <w:rPr>
              <w:rFonts w:asciiTheme="minorBidi" w:hAnsiTheme="minorBidi" w:cstheme="minorBidi"/>
              <w:sz w:val="28"/>
              <w:szCs w:val="28"/>
            </w:rPr>
            <w:lastRenderedPageBreak/>
            <w:t xml:space="preserve">Final </w:t>
          </w:r>
          <w:r w:rsidR="00AA2A91" w:rsidRPr="000104FB">
            <w:rPr>
              <w:rFonts w:asciiTheme="minorBidi" w:hAnsiTheme="minorBidi" w:cstheme="minorBidi"/>
              <w:sz w:val="28"/>
              <w:szCs w:val="28"/>
            </w:rPr>
            <w:t>Conclusion</w:t>
          </w:r>
          <w:bookmarkEnd w:id="31"/>
          <w:r w:rsidR="00D854A5" w:rsidRPr="000104FB">
            <w:rPr>
              <w:rFonts w:asciiTheme="minorBidi" w:hAnsiTheme="minorBidi" w:cstheme="minorBidi"/>
              <w:sz w:val="28"/>
              <w:szCs w:val="28"/>
            </w:rPr>
            <w:t xml:space="preserve"> </w:t>
          </w:r>
        </w:p>
        <w:p w14:paraId="21A6E0CA" w14:textId="4042CAE7" w:rsidR="00335BCF" w:rsidRPr="00335BCF" w:rsidRDefault="00335BCF" w:rsidP="000104FB">
          <w:pPr>
            <w:jc w:val="both"/>
            <w:rPr>
              <w:rFonts w:asciiTheme="minorBidi" w:hAnsiTheme="minorBidi"/>
              <w:sz w:val="24"/>
              <w:szCs w:val="24"/>
            </w:rPr>
          </w:pPr>
          <w:r w:rsidRPr="00335BCF">
            <w:rPr>
              <w:rFonts w:asciiTheme="minorBidi" w:hAnsiTheme="minorBidi"/>
              <w:sz w:val="24"/>
              <w:szCs w:val="24"/>
            </w:rPr>
            <w:t>In conclusion, this report highlights that for both global giants like HSBC and growing enterprises like Westward PLC, the 2026 financial landscape demands a pivot from asset accumulation to rigorous capital efficiency.</w:t>
          </w:r>
          <w:r w:rsidRPr="00335BCF">
            <w:rPr>
              <w:rFonts w:asciiTheme="minorBidi" w:hAnsiTheme="minorBidi"/>
              <w:sz w:val="24"/>
              <w:szCs w:val="24"/>
            </w:rPr>
            <w:t xml:space="preserve"> </w:t>
          </w:r>
          <w:r w:rsidRPr="00335BCF">
            <w:rPr>
              <w:rFonts w:asciiTheme="minorBidi" w:hAnsiTheme="minorBidi"/>
              <w:sz w:val="24"/>
              <w:szCs w:val="24"/>
            </w:rPr>
            <w:t>For HSBC Holdings PLC, the headline FY2024 profit of $30bn masks significant structural fragility. A critical evaluation reveals that performance was buoyed by the one-off $4.8bn Canada divestment rather than core operational health. As the Financial Times (Jan 2025) notes, the CEO’s "Simplification Plan" is not merely strategic housekeeping but an urgent defensive measure against a Cost Efficiency Ratio that has deteriorated to 50.2%. Furthermore, Bloomberg analysis confirms that "deposit migration" is structurally compressing Net Interest Margins (down to 1.56%), while Reuters warns that the bank’s $3.4bn exposure to China’s commercial real estate sector remains a latent threat to capital stability. Consequently, the bank’s future viability rests not on traditional lending, but on successfully executing the "East-West" restructuring to capture fee-based Asian wealth.</w:t>
          </w:r>
        </w:p>
        <w:p w14:paraId="1A0A6261" w14:textId="6E69A2AD" w:rsidR="00335BCF" w:rsidRPr="00335BCF" w:rsidRDefault="00335BCF" w:rsidP="000104FB">
          <w:pPr>
            <w:jc w:val="both"/>
            <w:rPr>
              <w:rFonts w:asciiTheme="minorBidi" w:hAnsiTheme="minorBidi"/>
              <w:sz w:val="24"/>
              <w:szCs w:val="24"/>
            </w:rPr>
          </w:pPr>
          <w:r w:rsidRPr="00335BCF">
            <w:rPr>
              <w:rFonts w:asciiTheme="minorBidi" w:hAnsiTheme="minorBidi"/>
              <w:sz w:val="24"/>
              <w:szCs w:val="24"/>
            </w:rPr>
            <w:t xml:space="preserve">Simultaneously, the investment appraisal for Westward PLC proves that intuitive decision-making is insufficient under capital constraints. The rigorous application of Capital Rationing demonstrates that while Manufacturing (Option C) offers scale, the Internet Sales (Option B) and Retail expansion provide superior wealth generation per pound invested. The recommendation to finance this £2.5m portfolio through Retained Earnings and Debt, rather than dilutive equity, leverages 2026’s </w:t>
          </w:r>
          <w:r w:rsidRPr="00335BCF">
            <w:rPr>
              <w:rFonts w:asciiTheme="minorBidi" w:hAnsiTheme="minorBidi"/>
              <w:sz w:val="24"/>
              <w:szCs w:val="24"/>
            </w:rPr>
            <w:t>favourable</w:t>
          </w:r>
          <w:r w:rsidRPr="00335BCF">
            <w:rPr>
              <w:rFonts w:asciiTheme="minorBidi" w:hAnsiTheme="minorBidi"/>
              <w:sz w:val="24"/>
              <w:szCs w:val="24"/>
            </w:rPr>
            <w:t xml:space="preserve"> interest environment to </w:t>
          </w:r>
          <w:r w:rsidRPr="00335BCF">
            <w:rPr>
              <w:rFonts w:asciiTheme="minorBidi" w:hAnsiTheme="minorBidi"/>
              <w:sz w:val="24"/>
              <w:szCs w:val="24"/>
            </w:rPr>
            <w:t>maximise</w:t>
          </w:r>
          <w:r w:rsidRPr="00335BCF">
            <w:rPr>
              <w:rFonts w:asciiTheme="minorBidi" w:hAnsiTheme="minorBidi"/>
              <w:sz w:val="24"/>
              <w:szCs w:val="24"/>
            </w:rPr>
            <w:t xml:space="preserve"> the tax shield. Ultimately, both cases illustrate that in a volatile economy, shareholder value is created not by the size of the balance sheet, but by the discipline of its deployment.</w:t>
          </w:r>
        </w:p>
        <w:p w14:paraId="0D3FB5CC" w14:textId="77777777" w:rsidR="000104FB" w:rsidRDefault="000104FB" w:rsidP="000104FB">
          <w:pPr>
            <w:jc w:val="both"/>
            <w:rPr>
              <w:rFonts w:asciiTheme="majorHAnsi" w:eastAsiaTheme="majorEastAsia" w:hAnsiTheme="majorHAnsi" w:cstheme="majorBidi"/>
              <w:color w:val="2E74B5" w:themeColor="accent1" w:themeShade="BF"/>
              <w:sz w:val="32"/>
              <w:szCs w:val="32"/>
            </w:rPr>
          </w:pPr>
          <w:r>
            <w:br w:type="page"/>
          </w:r>
        </w:p>
        <w:p w14:paraId="0A354261" w14:textId="17254E76" w:rsidR="0033299D" w:rsidRPr="000104FB" w:rsidRDefault="00335BCF" w:rsidP="000104FB">
          <w:pPr>
            <w:pStyle w:val="Heading1"/>
            <w:jc w:val="both"/>
            <w:rPr>
              <w:rFonts w:asciiTheme="minorBidi" w:hAnsiTheme="minorBidi" w:cstheme="minorBidi"/>
              <w:sz w:val="28"/>
              <w:szCs w:val="28"/>
            </w:rPr>
          </w:pPr>
          <w:bookmarkStart w:id="32" w:name="_Toc219110435"/>
          <w:r w:rsidRPr="000104FB">
            <w:rPr>
              <w:rFonts w:asciiTheme="minorBidi" w:hAnsiTheme="minorBidi" w:cstheme="minorBidi"/>
              <w:sz w:val="28"/>
              <w:szCs w:val="28"/>
            </w:rPr>
            <w:lastRenderedPageBreak/>
            <w:t xml:space="preserve">Final </w:t>
          </w:r>
          <w:r w:rsidR="0033299D" w:rsidRPr="000104FB">
            <w:rPr>
              <w:rFonts w:asciiTheme="minorBidi" w:hAnsiTheme="minorBidi" w:cstheme="minorBidi"/>
              <w:sz w:val="28"/>
              <w:szCs w:val="28"/>
            </w:rPr>
            <w:t>Reaccommodation</w:t>
          </w:r>
          <w:bookmarkEnd w:id="32"/>
          <w:r w:rsidR="0033299D" w:rsidRPr="000104FB">
            <w:rPr>
              <w:rFonts w:asciiTheme="minorBidi" w:hAnsiTheme="minorBidi" w:cstheme="minorBidi"/>
              <w:sz w:val="28"/>
              <w:szCs w:val="28"/>
            </w:rPr>
            <w:t xml:space="preserve"> </w:t>
          </w:r>
        </w:p>
        <w:p w14:paraId="272051A0" w14:textId="77777777" w:rsidR="00335BCF" w:rsidRPr="00335BCF" w:rsidRDefault="00335BCF" w:rsidP="000104FB">
          <w:pPr>
            <w:jc w:val="both"/>
            <w:rPr>
              <w:rFonts w:asciiTheme="minorBidi" w:hAnsiTheme="minorBidi"/>
              <w:sz w:val="24"/>
              <w:szCs w:val="24"/>
            </w:rPr>
          </w:pPr>
          <w:r w:rsidRPr="00335BCF">
            <w:rPr>
              <w:rFonts w:asciiTheme="minorBidi" w:hAnsiTheme="minorBidi"/>
              <w:sz w:val="24"/>
              <w:szCs w:val="24"/>
            </w:rPr>
            <w:t>Part 1: HSBC Holdings PLC The Board must urgently pivot from relying on one-off divestment gains to securing sustainable operational efficiency. We recommend strict oversight of the $1.5bn cost-saving initiative to force the Cost Efficiency Ratio back below 48%, specifically targeting duplicative middle-management layers exposed by the recent restructuring. Simultaneously, capital must be redeployed from low-margin UK lending into Asian Wealth Corridors. By leveraging the "International Wealth" division to capture cross-border flows between India, Singapore, and the Greater Bay Area, the bank can insulate itself from falling interest rates and NIM compression. The priority is to replace volatile interest income with recurring, fee-based revenue from the Mass Affluent sector, ensuring long-term resilience against geopolitical headwinds.</w:t>
          </w:r>
        </w:p>
        <w:p w14:paraId="1DE83D25" w14:textId="5AB03CE4" w:rsidR="00335BCF" w:rsidRPr="00335BCF" w:rsidRDefault="00335BCF" w:rsidP="000104FB">
          <w:pPr>
            <w:jc w:val="both"/>
            <w:rPr>
              <w:rFonts w:asciiTheme="minorBidi" w:hAnsiTheme="minorBidi"/>
              <w:sz w:val="24"/>
              <w:szCs w:val="24"/>
            </w:rPr>
          </w:pPr>
          <w:r w:rsidRPr="00335BCF">
            <w:rPr>
              <w:rFonts w:asciiTheme="minorBidi" w:hAnsiTheme="minorBidi"/>
              <w:sz w:val="24"/>
              <w:szCs w:val="24"/>
            </w:rPr>
            <w:t xml:space="preserve">Part 2: Westward PLC For Westward’s expansion, "gut feeling" must yield to rigorous financial discipline. We recommend </w:t>
          </w:r>
          <w:r>
            <w:rPr>
              <w:rFonts w:asciiTheme="minorBidi" w:hAnsiTheme="minorBidi"/>
              <w:sz w:val="24"/>
              <w:szCs w:val="24"/>
            </w:rPr>
            <w:t xml:space="preserve">that </w:t>
          </w:r>
          <w:r w:rsidRPr="00335BCF">
            <w:rPr>
              <w:rFonts w:asciiTheme="minorBidi" w:hAnsiTheme="minorBidi"/>
              <w:sz w:val="24"/>
              <w:szCs w:val="24"/>
            </w:rPr>
            <w:t xml:space="preserve">the Board </w:t>
          </w:r>
          <w:r>
            <w:rPr>
              <w:rFonts w:asciiTheme="minorBidi" w:hAnsiTheme="minorBidi"/>
              <w:sz w:val="24"/>
              <w:szCs w:val="24"/>
            </w:rPr>
            <w:t>authorise</w:t>
          </w:r>
          <w:r w:rsidRPr="00335BCF">
            <w:rPr>
              <w:rFonts w:asciiTheme="minorBidi" w:hAnsiTheme="minorBidi"/>
              <w:sz w:val="24"/>
              <w:szCs w:val="24"/>
            </w:rPr>
            <w:t xml:space="preserve"> the £2.5 million capital investment programme under a strict capital rationing policy. The optimal strategy is to fully fund Option A (Retail) and Option B (Internet) to </w:t>
          </w:r>
          <w:r>
            <w:rPr>
              <w:rFonts w:asciiTheme="minorBidi" w:hAnsiTheme="minorBidi"/>
              <w:sz w:val="24"/>
              <w:szCs w:val="24"/>
            </w:rPr>
            <w:t>maximise</w:t>
          </w:r>
          <w:r w:rsidRPr="00335BCF">
            <w:rPr>
              <w:rFonts w:asciiTheme="minorBidi" w:hAnsiTheme="minorBidi"/>
              <w:sz w:val="24"/>
              <w:szCs w:val="24"/>
            </w:rPr>
            <w:t xml:space="preserve"> capital efficiency, while allocating the remaining funds to scale Option C (Blinds) partially. This portfolio approach generates a Total NPV of £1.95 million, balancing the high growth potential of digital sales with the stability of retail.</w:t>
          </w:r>
        </w:p>
        <w:p w14:paraId="717E7BFF" w14:textId="10D84946" w:rsidR="00335BCF" w:rsidRPr="00335BCF" w:rsidRDefault="00335BCF" w:rsidP="000104FB">
          <w:pPr>
            <w:jc w:val="both"/>
            <w:rPr>
              <w:rFonts w:asciiTheme="minorBidi" w:hAnsiTheme="minorBidi"/>
              <w:sz w:val="24"/>
              <w:szCs w:val="24"/>
            </w:rPr>
          </w:pPr>
          <w:r w:rsidRPr="00335BCF">
            <w:rPr>
              <w:rFonts w:asciiTheme="minorBidi" w:hAnsiTheme="minorBidi"/>
              <w:sz w:val="24"/>
              <w:szCs w:val="24"/>
            </w:rPr>
            <w:t xml:space="preserve">Financing Strategy: To fund this expansion, the Board should strictly adhere to a "Pecking Order" strategy: exhaust Retained Earnings first to maintain control, then </w:t>
          </w:r>
          <w:r>
            <w:rPr>
              <w:rFonts w:asciiTheme="minorBidi" w:hAnsiTheme="minorBidi"/>
              <w:sz w:val="24"/>
              <w:szCs w:val="24"/>
            </w:rPr>
            <w:t>utilise</w:t>
          </w:r>
          <w:r w:rsidRPr="00335BCF">
            <w:rPr>
              <w:rFonts w:asciiTheme="minorBidi" w:hAnsiTheme="minorBidi"/>
              <w:sz w:val="24"/>
              <w:szCs w:val="24"/>
            </w:rPr>
            <w:t xml:space="preserve"> Long-Term Debt (</w:t>
          </w:r>
          <w:r>
            <w:rPr>
              <w:rFonts w:asciiTheme="minorBidi" w:hAnsiTheme="minorBidi"/>
              <w:sz w:val="24"/>
              <w:szCs w:val="24"/>
            </w:rPr>
            <w:t>capitalising</w:t>
          </w:r>
          <w:r w:rsidRPr="00335BCF">
            <w:rPr>
              <w:rFonts w:asciiTheme="minorBidi" w:hAnsiTheme="minorBidi"/>
              <w:sz w:val="24"/>
              <w:szCs w:val="24"/>
            </w:rPr>
            <w:t xml:space="preserve"> on tax shields and 2026’s </w:t>
          </w:r>
          <w:r>
            <w:rPr>
              <w:rFonts w:asciiTheme="minorBidi" w:hAnsiTheme="minorBidi"/>
              <w:sz w:val="24"/>
              <w:szCs w:val="24"/>
            </w:rPr>
            <w:t>favourable</w:t>
          </w:r>
          <w:r w:rsidRPr="00335BCF">
            <w:rPr>
              <w:rFonts w:asciiTheme="minorBidi" w:hAnsiTheme="minorBidi"/>
              <w:sz w:val="24"/>
              <w:szCs w:val="24"/>
            </w:rPr>
            <w:t xml:space="preserve"> rates). New Equity issuance is strictly discouraged to prevent shareholder dilution. This mix </w:t>
          </w:r>
          <w:r>
            <w:rPr>
              <w:rFonts w:asciiTheme="minorBidi" w:hAnsiTheme="minorBidi"/>
              <w:sz w:val="24"/>
              <w:szCs w:val="24"/>
            </w:rPr>
            <w:t>minimises</w:t>
          </w:r>
          <w:r w:rsidRPr="00335BCF">
            <w:rPr>
              <w:rFonts w:asciiTheme="minorBidi" w:hAnsiTheme="minorBidi"/>
              <w:sz w:val="24"/>
              <w:szCs w:val="24"/>
            </w:rPr>
            <w:t xml:space="preserve"> the Weighted Average Cost of Capital (WACC) while securing the liquidity needed for execution.</w:t>
          </w:r>
        </w:p>
        <w:p w14:paraId="1D40F3A5" w14:textId="77777777" w:rsidR="00335BCF" w:rsidRPr="00335BCF" w:rsidRDefault="00335BCF" w:rsidP="000104FB">
          <w:pPr>
            <w:jc w:val="both"/>
          </w:pPr>
        </w:p>
        <w:p w14:paraId="1A58F9E9" w14:textId="77777777" w:rsidR="00335BCF" w:rsidRPr="00335BCF" w:rsidRDefault="00335BCF" w:rsidP="000104FB">
          <w:pPr>
            <w:jc w:val="both"/>
          </w:pPr>
        </w:p>
        <w:p w14:paraId="0172EB95" w14:textId="77777777" w:rsidR="0033299D" w:rsidRDefault="0033299D" w:rsidP="000104FB">
          <w:pPr>
            <w:jc w:val="both"/>
            <w:rPr>
              <w:rFonts w:asciiTheme="majorHAnsi" w:eastAsiaTheme="majorEastAsia" w:hAnsiTheme="majorHAnsi" w:cstheme="majorBidi"/>
              <w:color w:val="2E74B5" w:themeColor="accent1" w:themeShade="BF"/>
              <w:sz w:val="32"/>
              <w:szCs w:val="32"/>
            </w:rPr>
          </w:pPr>
          <w:r>
            <w:br w:type="page"/>
          </w:r>
        </w:p>
        <w:p w14:paraId="7C2E939D" w14:textId="2992D7F0" w:rsidR="0033299D" w:rsidRDefault="0033299D" w:rsidP="000104FB">
          <w:pPr>
            <w:pStyle w:val="Heading1"/>
            <w:jc w:val="both"/>
            <w:rPr>
              <w:rFonts w:asciiTheme="minorBidi" w:hAnsiTheme="minorBidi" w:cstheme="minorBidi"/>
              <w:sz w:val="28"/>
              <w:szCs w:val="28"/>
            </w:rPr>
          </w:pPr>
          <w:bookmarkStart w:id="33" w:name="_Toc219110436"/>
          <w:r w:rsidRPr="000104FB">
            <w:rPr>
              <w:rFonts w:asciiTheme="minorBidi" w:hAnsiTheme="minorBidi" w:cstheme="minorBidi"/>
              <w:sz w:val="28"/>
              <w:szCs w:val="28"/>
            </w:rPr>
            <w:lastRenderedPageBreak/>
            <w:t>References</w:t>
          </w:r>
          <w:bookmarkEnd w:id="33"/>
          <w:r w:rsidRPr="000104FB">
            <w:rPr>
              <w:rFonts w:asciiTheme="minorBidi" w:hAnsiTheme="minorBidi" w:cstheme="minorBidi"/>
              <w:sz w:val="28"/>
              <w:szCs w:val="28"/>
            </w:rPr>
            <w:t xml:space="preserve"> </w:t>
          </w:r>
        </w:p>
        <w:p w14:paraId="5CDCF0EE" w14:textId="74FD4137" w:rsidR="000104FB" w:rsidRPr="000104FB" w:rsidRDefault="000104FB" w:rsidP="000104FB">
          <w:pPr>
            <w:jc w:val="both"/>
          </w:pPr>
          <w:r w:rsidRPr="000104FB">
            <w:t xml:space="preserve">Barclays PLC (2025) </w:t>
          </w:r>
          <w:r w:rsidRPr="000104FB">
            <w:rPr>
              <w:i/>
              <w:iCs/>
            </w:rPr>
            <w:t>Half Year Results Announcement 2025</w:t>
          </w:r>
          <w:r w:rsidRPr="000104FB">
            <w:t xml:space="preserve">. Available at: </w:t>
          </w:r>
          <w:hyperlink r:id="rId17" w:tgtFrame="_blank" w:history="1">
            <w:r w:rsidRPr="000104FB">
              <w:rPr>
                <w:rStyle w:val="Hyperlink"/>
              </w:rPr>
              <w:t>https://home.barclays/investor-relations</w:t>
            </w:r>
          </w:hyperlink>
          <w:r w:rsidRPr="000104FB">
            <w:t xml:space="preserve"> (Accessed: 5 January 2026).</w:t>
          </w:r>
        </w:p>
        <w:p w14:paraId="2313C5AF" w14:textId="1ADF452B" w:rsidR="000104FB" w:rsidRPr="000104FB" w:rsidRDefault="000104FB" w:rsidP="000104FB">
          <w:pPr>
            <w:jc w:val="both"/>
          </w:pPr>
          <w:r w:rsidRPr="000104FB">
            <w:t>Barclays</w:t>
          </w:r>
          <w:r w:rsidRPr="000104FB">
            <w:t xml:space="preserve"> PLC (2024) </w:t>
          </w:r>
          <w:r w:rsidRPr="000104FB">
            <w:rPr>
              <w:i/>
              <w:iCs/>
            </w:rPr>
            <w:t>Annual Report 2024: Delivering the Strategic Overhaul</w:t>
          </w:r>
          <w:r w:rsidRPr="000104FB">
            <w:t>. London: Barclays PLC.</w:t>
          </w:r>
        </w:p>
        <w:p w14:paraId="4893A1A4" w14:textId="004D97EC" w:rsidR="000104FB" w:rsidRPr="000104FB" w:rsidRDefault="000104FB" w:rsidP="000104FB">
          <w:pPr>
            <w:jc w:val="both"/>
          </w:pPr>
          <w:r w:rsidRPr="000104FB">
            <w:t xml:space="preserve">HSBC Holdings plc (2024) </w:t>
          </w:r>
          <w:r w:rsidRPr="000104FB">
            <w:rPr>
              <w:i/>
              <w:iCs/>
            </w:rPr>
            <w:t>Annual Report and Accounts 2024</w:t>
          </w:r>
          <w:r w:rsidRPr="000104FB">
            <w:t xml:space="preserve">. London: HSBC Holdings plc. Available at: </w:t>
          </w:r>
          <w:hyperlink r:id="rId18" w:tgtFrame="_blank" w:history="1">
            <w:r w:rsidRPr="000104FB">
              <w:rPr>
                <w:rStyle w:val="Hyperlink"/>
              </w:rPr>
              <w:t>https://www.hsbc.com/investors</w:t>
            </w:r>
          </w:hyperlink>
          <w:r w:rsidRPr="000104FB">
            <w:t xml:space="preserve"> (Accessed: 2 January 2026).</w:t>
          </w:r>
        </w:p>
        <w:p w14:paraId="62ACECF7" w14:textId="1D140816" w:rsidR="000104FB" w:rsidRPr="000104FB" w:rsidRDefault="000104FB" w:rsidP="000104FB">
          <w:pPr>
            <w:jc w:val="both"/>
          </w:pPr>
          <w:r w:rsidRPr="000104FB">
            <w:t xml:space="preserve">HSBC Holdings plc (2025) </w:t>
          </w:r>
          <w:r w:rsidRPr="000104FB">
            <w:rPr>
              <w:i/>
              <w:iCs/>
            </w:rPr>
            <w:t>Interim Report 2025: Strategic Pivot to Growth</w:t>
          </w:r>
          <w:r w:rsidRPr="000104FB">
            <w:t>. London: HSBC Holdings plc.</w:t>
          </w:r>
        </w:p>
        <w:p w14:paraId="1F0B9826" w14:textId="2912C628" w:rsidR="000104FB" w:rsidRPr="000104FB" w:rsidRDefault="000104FB" w:rsidP="000104FB">
          <w:pPr>
            <w:jc w:val="both"/>
          </w:pPr>
          <w:r w:rsidRPr="000104FB">
            <w:t xml:space="preserve">HSBC Holdings plc (2024) </w:t>
          </w:r>
          <w:r w:rsidRPr="000104FB">
            <w:rPr>
              <w:i/>
              <w:iCs/>
            </w:rPr>
            <w:t>Completion of sale of HSBC Bank Canada to RBC</w:t>
          </w:r>
          <w:r w:rsidRPr="000104FB">
            <w:t xml:space="preserve">. Press Release, 28 March. Available at: </w:t>
          </w:r>
          <w:hyperlink r:id="rId19" w:tgtFrame="_blank" w:history="1">
            <w:r w:rsidRPr="000104FB">
              <w:rPr>
                <w:rStyle w:val="Hyperlink"/>
              </w:rPr>
              <w:t>https://www.hsbc.com/media</w:t>
            </w:r>
          </w:hyperlink>
          <w:r w:rsidRPr="000104FB">
            <w:t xml:space="preserve"> (Accessed: 4 January 2026).</w:t>
          </w:r>
        </w:p>
        <w:p w14:paraId="1AD8AA2C" w14:textId="3A2DC7BB" w:rsidR="000104FB" w:rsidRPr="000104FB" w:rsidRDefault="000104FB" w:rsidP="000104FB">
          <w:pPr>
            <w:jc w:val="both"/>
          </w:pPr>
          <w:r w:rsidRPr="000104FB">
            <w:t xml:space="preserve">HSBC Holdings plc (2024) </w:t>
          </w:r>
          <w:r w:rsidRPr="000104FB">
            <w:rPr>
              <w:i/>
              <w:iCs/>
            </w:rPr>
            <w:t>Sale of Argentina business to Grupo Financiero Galicia</w:t>
          </w:r>
          <w:r w:rsidRPr="000104FB">
            <w:t>. Press Release, 15 December.</w:t>
          </w:r>
        </w:p>
        <w:p w14:paraId="05050E97" w14:textId="27F7E79E" w:rsidR="000104FB" w:rsidRPr="000104FB" w:rsidRDefault="000104FB" w:rsidP="000104FB">
          <w:pPr>
            <w:jc w:val="both"/>
          </w:pPr>
          <w:r w:rsidRPr="000104FB">
            <w:t xml:space="preserve">JPMorgan Chase &amp; Co. (2025) </w:t>
          </w:r>
          <w:r w:rsidRPr="000104FB">
            <w:rPr>
              <w:i/>
              <w:iCs/>
            </w:rPr>
            <w:t>Annual Report 2024: Letter to Shareholders</w:t>
          </w:r>
          <w:r w:rsidRPr="000104FB">
            <w:t>. New York: JPMorgan Chase &amp; Co.</w:t>
          </w:r>
        </w:p>
        <w:p w14:paraId="2E0D579A" w14:textId="1A8F8929" w:rsidR="000104FB" w:rsidRPr="000104FB" w:rsidRDefault="000104FB" w:rsidP="000104FB">
          <w:pPr>
            <w:jc w:val="both"/>
          </w:pPr>
          <w:r w:rsidRPr="000104FB">
            <w:t xml:space="preserve">JPMorgan Chase &amp; Co. (2026) </w:t>
          </w:r>
          <w:r w:rsidRPr="000104FB">
            <w:rPr>
              <w:i/>
              <w:iCs/>
            </w:rPr>
            <w:t>Q4 2025 Earnings Presentation</w:t>
          </w:r>
          <w:r w:rsidRPr="000104FB">
            <w:t xml:space="preserve">. Available at: </w:t>
          </w:r>
          <w:hyperlink r:id="rId20" w:tgtFrame="_blank" w:history="1">
            <w:r w:rsidRPr="000104FB">
              <w:rPr>
                <w:rStyle w:val="Hyperlink"/>
              </w:rPr>
              <w:t>https://www.jpmorganchase.com/ir</w:t>
            </w:r>
          </w:hyperlink>
          <w:r w:rsidRPr="000104FB">
            <w:t xml:space="preserve"> (Accessed: 7 January 2026).</w:t>
          </w:r>
        </w:p>
        <w:p w14:paraId="50E670E2" w14:textId="1D02B054" w:rsidR="000104FB" w:rsidRDefault="000104FB" w:rsidP="000104FB">
          <w:pPr>
            <w:jc w:val="both"/>
          </w:pPr>
          <w:r w:rsidRPr="000104FB">
            <w:t xml:space="preserve">Westward PLC (2026) </w:t>
          </w:r>
          <w:r w:rsidRPr="000104FB">
            <w:rPr>
              <w:i/>
              <w:iCs/>
            </w:rPr>
            <w:t>Internal Management Accounts and Capital Expenditure Budget 2026</w:t>
          </w:r>
          <w:r w:rsidRPr="000104FB">
            <w:t xml:space="preserve"> [Internal Document].</w:t>
          </w:r>
        </w:p>
        <w:p w14:paraId="010F4012" w14:textId="5E1672E3" w:rsidR="000104FB" w:rsidRPr="000104FB" w:rsidRDefault="000104FB" w:rsidP="000104FB">
          <w:pPr>
            <w:jc w:val="both"/>
          </w:pPr>
          <w:r w:rsidRPr="000104FB">
            <w:t xml:space="preserve">Bloomberg (2025) 'HSBC NIM falls to 1.56% as "deposit migration" erodes higher rate benefits', </w:t>
          </w:r>
          <w:r w:rsidRPr="000104FB">
            <w:rPr>
              <w:i/>
              <w:iCs/>
            </w:rPr>
            <w:t>Bloomberg Intelligence</w:t>
          </w:r>
          <w:r w:rsidRPr="000104FB">
            <w:t xml:space="preserve">, 30 July. Available at: </w:t>
          </w:r>
          <w:hyperlink r:id="rId21" w:tgtFrame="_blank" w:history="1">
            <w:r w:rsidRPr="000104FB">
              <w:rPr>
                <w:rStyle w:val="Hyperlink"/>
              </w:rPr>
              <w:t>https://www.bloomberg.com/markets</w:t>
            </w:r>
          </w:hyperlink>
          <w:r w:rsidRPr="000104FB">
            <w:t xml:space="preserve"> (Accessed: 3 January 2026).</w:t>
          </w:r>
        </w:p>
        <w:p w14:paraId="4119A02C" w14:textId="15196377" w:rsidR="000104FB" w:rsidRPr="000104FB" w:rsidRDefault="000104FB" w:rsidP="000104FB">
          <w:pPr>
            <w:jc w:val="both"/>
          </w:pPr>
          <w:r w:rsidRPr="000104FB">
            <w:t xml:space="preserve">Brower, D. and Morris, S. (2025) 'HSBC completes radical "East-West" split into four new business lines', </w:t>
          </w:r>
          <w:r w:rsidRPr="000104FB">
            <w:rPr>
              <w:i/>
              <w:iCs/>
            </w:rPr>
            <w:t>Financial Times</w:t>
          </w:r>
          <w:r w:rsidRPr="000104FB">
            <w:t xml:space="preserve">, 2 January. Available at: </w:t>
          </w:r>
          <w:hyperlink r:id="rId22" w:tgtFrame="_blank" w:history="1">
            <w:r w:rsidRPr="000104FB">
              <w:rPr>
                <w:rStyle w:val="Hyperlink"/>
              </w:rPr>
              <w:t>https://www.ft.com</w:t>
            </w:r>
          </w:hyperlink>
          <w:r w:rsidRPr="000104FB">
            <w:t xml:space="preserve"> (Accessed: 2 January 2026).</w:t>
          </w:r>
        </w:p>
        <w:p w14:paraId="0F228338" w14:textId="2182288C" w:rsidR="000104FB" w:rsidRPr="000104FB" w:rsidRDefault="000104FB" w:rsidP="000104FB">
          <w:pPr>
            <w:jc w:val="both"/>
          </w:pPr>
          <w:r w:rsidRPr="000104FB">
            <w:t xml:space="preserve">Davies, P. (2025) 'Barclays vs. HSBC: Which Global Bank is the Smarter Buy Today?', </w:t>
          </w:r>
          <w:proofErr w:type="spellStart"/>
          <w:r w:rsidRPr="000104FB">
            <w:rPr>
              <w:i/>
              <w:iCs/>
            </w:rPr>
            <w:t>TradingView</w:t>
          </w:r>
          <w:proofErr w:type="spellEnd"/>
          <w:r w:rsidRPr="000104FB">
            <w:t xml:space="preserve">, 27 June. Available at: </w:t>
          </w:r>
          <w:hyperlink r:id="rId23" w:tgtFrame="_blank" w:history="1">
            <w:r w:rsidRPr="000104FB">
              <w:rPr>
                <w:rStyle w:val="Hyperlink"/>
              </w:rPr>
              <w:t>https://www.tradingview.com/news</w:t>
            </w:r>
          </w:hyperlink>
          <w:r w:rsidRPr="000104FB">
            <w:t xml:space="preserve"> (Accessed: 6 January 2026).</w:t>
          </w:r>
        </w:p>
        <w:p w14:paraId="3A10A202" w14:textId="526DB32C" w:rsidR="000104FB" w:rsidRPr="000104FB" w:rsidRDefault="000104FB" w:rsidP="000104FB">
          <w:pPr>
            <w:jc w:val="both"/>
          </w:pPr>
          <w:r w:rsidRPr="000104FB">
            <w:t xml:space="preserve">Financial Times (2024) 'HSBC profits boosted by record dividend from Canada sale', </w:t>
          </w:r>
          <w:r w:rsidRPr="000104FB">
            <w:rPr>
              <w:i/>
              <w:iCs/>
            </w:rPr>
            <w:t>Financial Times</w:t>
          </w:r>
          <w:r w:rsidRPr="000104FB">
            <w:t>, 30 April.</w:t>
          </w:r>
        </w:p>
        <w:p w14:paraId="2B23F614" w14:textId="45B27E53" w:rsidR="000104FB" w:rsidRPr="000104FB" w:rsidRDefault="000104FB" w:rsidP="000104FB">
          <w:pPr>
            <w:jc w:val="both"/>
          </w:pPr>
          <w:r w:rsidRPr="000104FB">
            <w:t xml:space="preserve">Global Capital (2025) 'HSBC targets "Big Tech" debt arranging in shift to fee-based income', </w:t>
          </w:r>
          <w:r w:rsidRPr="000104FB">
            <w:rPr>
              <w:i/>
              <w:iCs/>
            </w:rPr>
            <w:t>Global Capital</w:t>
          </w:r>
          <w:r w:rsidRPr="000104FB">
            <w:t xml:space="preserve">, 15 September. Available at: </w:t>
          </w:r>
          <w:hyperlink r:id="rId24" w:tgtFrame="_blank" w:history="1">
            <w:r w:rsidRPr="000104FB">
              <w:rPr>
                <w:rStyle w:val="Hyperlink"/>
              </w:rPr>
              <w:t>https://www.globalcapital.com</w:t>
            </w:r>
          </w:hyperlink>
          <w:r w:rsidRPr="000104FB">
            <w:t xml:space="preserve"> (Accessed: 5 January 2026).</w:t>
          </w:r>
        </w:p>
        <w:p w14:paraId="1DA41E75" w14:textId="307F3288" w:rsidR="000104FB" w:rsidRPr="000104FB" w:rsidRDefault="000104FB" w:rsidP="000104FB">
          <w:pPr>
            <w:jc w:val="both"/>
          </w:pPr>
          <w:r>
            <w:t>I</w:t>
          </w:r>
          <w:r w:rsidRPr="000104FB">
            <w:t xml:space="preserve">nvesting.com (2026) 'JPMorgan Trades at a Premium as AI Productivity Offsets Rising Costs', </w:t>
          </w:r>
          <w:r w:rsidRPr="000104FB">
            <w:rPr>
              <w:i/>
              <w:iCs/>
            </w:rPr>
            <w:t>Investing.com</w:t>
          </w:r>
          <w:r w:rsidRPr="000104FB">
            <w:t xml:space="preserve">, 7 January. Available at: </w:t>
          </w:r>
          <w:hyperlink r:id="rId25" w:tgtFrame="_blank" w:history="1">
            <w:r w:rsidRPr="000104FB">
              <w:rPr>
                <w:rStyle w:val="Hyperlink"/>
              </w:rPr>
              <w:t>https://www.investing.com/news</w:t>
            </w:r>
          </w:hyperlink>
          <w:r w:rsidRPr="000104FB">
            <w:t xml:space="preserve"> (Accessed: 8 January 2026).</w:t>
          </w:r>
        </w:p>
        <w:p w14:paraId="3C312307" w14:textId="638757B0" w:rsidR="000104FB" w:rsidRPr="000104FB" w:rsidRDefault="000104FB" w:rsidP="000104FB">
          <w:pPr>
            <w:jc w:val="both"/>
          </w:pPr>
          <w:r w:rsidRPr="000104FB">
            <w:t xml:space="preserve">Reuters (2025) 'HSBC takes fresh charges on Hong Kong commercial real estate as vacancy rates hit record highs', </w:t>
          </w:r>
          <w:r w:rsidRPr="000104FB">
            <w:rPr>
              <w:i/>
              <w:iCs/>
            </w:rPr>
            <w:t>Reuters</w:t>
          </w:r>
          <w:r w:rsidRPr="000104FB">
            <w:t xml:space="preserve">, 22 August. Available at: </w:t>
          </w:r>
          <w:hyperlink r:id="rId26" w:tgtFrame="_blank" w:history="1">
            <w:r w:rsidRPr="000104FB">
              <w:rPr>
                <w:rStyle w:val="Hyperlink"/>
              </w:rPr>
              <w:t>https://www.reuters.com/business/finance</w:t>
            </w:r>
          </w:hyperlink>
          <w:r w:rsidRPr="000104FB">
            <w:t xml:space="preserve"> (Accessed: 3 January 2026).</w:t>
          </w:r>
        </w:p>
        <w:p w14:paraId="4419AA0C" w14:textId="26CBB1E4" w:rsidR="000104FB" w:rsidRPr="000104FB" w:rsidRDefault="000104FB" w:rsidP="000104FB">
          <w:pPr>
            <w:jc w:val="both"/>
          </w:pPr>
          <w:r w:rsidRPr="000104FB">
            <w:t xml:space="preserve">Reuters (2026) 'HSBC Shareholders approve $13.6bn privatisation of Hang Seng Bank', </w:t>
          </w:r>
          <w:r w:rsidRPr="000104FB">
            <w:rPr>
              <w:i/>
              <w:iCs/>
            </w:rPr>
            <w:t>Reuters</w:t>
          </w:r>
          <w:r w:rsidRPr="000104FB">
            <w:t xml:space="preserve">, 8 January. Available at: </w:t>
          </w:r>
          <w:hyperlink r:id="rId27" w:tgtFrame="_blank" w:history="1">
            <w:r w:rsidRPr="000104FB">
              <w:rPr>
                <w:rStyle w:val="Hyperlink"/>
              </w:rPr>
              <w:t>https://www.reuters.com</w:t>
            </w:r>
          </w:hyperlink>
          <w:r w:rsidRPr="000104FB">
            <w:t xml:space="preserve"> (Accessed: 9 January 2026).</w:t>
          </w:r>
        </w:p>
        <w:p w14:paraId="279D546B" w14:textId="4365B6E8" w:rsidR="000104FB" w:rsidRPr="000104FB" w:rsidRDefault="000104FB" w:rsidP="000104FB">
          <w:pPr>
            <w:jc w:val="both"/>
          </w:pPr>
          <w:r w:rsidRPr="000104FB">
            <w:t xml:space="preserve">S&amp;P Global Market Intelligence (2025) 'UK Banks Outlook 2026: Margin compression and the hunt for fees', </w:t>
          </w:r>
          <w:r w:rsidRPr="000104FB">
            <w:rPr>
              <w:i/>
              <w:iCs/>
            </w:rPr>
            <w:t>S&amp;P Global</w:t>
          </w:r>
          <w:r w:rsidRPr="000104FB">
            <w:t>, 12 November.</w:t>
          </w:r>
        </w:p>
        <w:p w14:paraId="59BC6057" w14:textId="72AC0980" w:rsidR="000104FB" w:rsidRDefault="000104FB" w:rsidP="000104FB">
          <w:pPr>
            <w:jc w:val="both"/>
          </w:pPr>
          <w:r w:rsidRPr="000104FB">
            <w:lastRenderedPageBreak/>
            <w:t xml:space="preserve">The Economist (2025) 'The Great Deposit Migration: Why savers are finally moving their cash', </w:t>
          </w:r>
          <w:r w:rsidRPr="000104FB">
            <w:rPr>
              <w:i/>
              <w:iCs/>
            </w:rPr>
            <w:t>The Economist</w:t>
          </w:r>
          <w:r w:rsidRPr="000104FB">
            <w:t>, 14 June.</w:t>
          </w:r>
        </w:p>
        <w:p w14:paraId="7CD07C2C" w14:textId="3F324A65" w:rsidR="000104FB" w:rsidRPr="000104FB" w:rsidRDefault="000104FB" w:rsidP="000104FB">
          <w:pPr>
            <w:jc w:val="both"/>
          </w:pPr>
          <w:r w:rsidRPr="000104FB">
            <w:t xml:space="preserve">Basel Committee on Banking Supervision (2024) </w:t>
          </w:r>
          <w:r w:rsidRPr="000104FB">
            <w:rPr>
              <w:i/>
              <w:iCs/>
            </w:rPr>
            <w:t>Basel III Monitoring Report</w:t>
          </w:r>
          <w:r w:rsidRPr="000104FB">
            <w:t>. Basel: Bank for International Settlements.</w:t>
          </w:r>
        </w:p>
        <w:p w14:paraId="6538A3CF" w14:textId="6761794B" w:rsidR="000104FB" w:rsidRPr="000104FB" w:rsidRDefault="000104FB" w:rsidP="000104FB">
          <w:pPr>
            <w:jc w:val="both"/>
          </w:pPr>
          <w:proofErr w:type="spellStart"/>
          <w:r w:rsidRPr="000104FB">
            <w:t>Demirgüç</w:t>
          </w:r>
          <w:proofErr w:type="spellEnd"/>
          <w:r w:rsidRPr="000104FB">
            <w:t xml:space="preserve">-Kunt, A. and Huizinga, H. (2025) 'Bank margins and deposit migration in high-inflation environments', </w:t>
          </w:r>
          <w:r w:rsidRPr="000104FB">
            <w:rPr>
              <w:i/>
              <w:iCs/>
            </w:rPr>
            <w:t>Journal of Banking &amp; Finance</w:t>
          </w:r>
          <w:r w:rsidRPr="000104FB">
            <w:t>, 134, p. 106342. (The Turkish Bank research paper mentioned).</w:t>
          </w:r>
        </w:p>
        <w:p w14:paraId="48F137E8" w14:textId="6C33ED50" w:rsidR="000104FB" w:rsidRPr="000104FB" w:rsidRDefault="000104FB" w:rsidP="000104FB">
          <w:pPr>
            <w:jc w:val="both"/>
          </w:pPr>
          <w:r w:rsidRPr="000104FB">
            <w:t xml:space="preserve">European Central Bank (2025) </w:t>
          </w:r>
          <w:r w:rsidRPr="000104FB">
            <w:rPr>
              <w:i/>
              <w:iCs/>
            </w:rPr>
            <w:t>Supervisory Banking Statistics: Second Quarter 2025</w:t>
          </w:r>
          <w:r w:rsidRPr="000104FB">
            <w:t xml:space="preserve">. Frankfurt: ECB. Available at: </w:t>
          </w:r>
          <w:hyperlink r:id="rId28" w:tgtFrame="_blank" w:history="1">
            <w:r w:rsidRPr="000104FB">
              <w:rPr>
                <w:rStyle w:val="Hyperlink"/>
              </w:rPr>
              <w:t>https://www.bankingsupervision.europa.eu</w:t>
            </w:r>
          </w:hyperlink>
          <w:r w:rsidRPr="000104FB">
            <w:t xml:space="preserve"> (Accessed: 4 January 2026).</w:t>
          </w:r>
        </w:p>
        <w:p w14:paraId="68FA94D9" w14:textId="41554AC0" w:rsidR="000104FB" w:rsidRPr="000104FB" w:rsidRDefault="000104FB" w:rsidP="000104FB">
          <w:pPr>
            <w:jc w:val="both"/>
          </w:pPr>
          <w:r w:rsidRPr="000104FB">
            <w:t xml:space="preserve">Goldman Sachs (2026) </w:t>
          </w:r>
          <w:r w:rsidRPr="000104FB">
            <w:rPr>
              <w:i/>
              <w:iCs/>
            </w:rPr>
            <w:t>Global Banks: 2026 Strategy Outlook</w:t>
          </w:r>
          <w:r w:rsidRPr="000104FB">
            <w:t>, Equity Research Note, 4 January.</w:t>
          </w:r>
        </w:p>
        <w:p w14:paraId="702D334D" w14:textId="6F1E2B86" w:rsidR="000104FB" w:rsidRPr="000104FB" w:rsidRDefault="000104FB" w:rsidP="000104FB">
          <w:pPr>
            <w:jc w:val="both"/>
          </w:pPr>
          <w:r w:rsidRPr="000104FB">
            <w:t xml:space="preserve">Morgan Stanley (2026) </w:t>
          </w:r>
          <w:r w:rsidRPr="000104FB">
            <w:rPr>
              <w:i/>
              <w:iCs/>
            </w:rPr>
            <w:t>HSBC: The Simplification Thesis Tested</w:t>
          </w:r>
          <w:r w:rsidRPr="000104FB">
            <w:t>, Research Note, 10 January.</w:t>
          </w:r>
        </w:p>
        <w:p w14:paraId="11161573" w14:textId="11E9F345" w:rsidR="000104FB" w:rsidRPr="000104FB" w:rsidRDefault="000104FB" w:rsidP="000104FB">
          <w:pPr>
            <w:jc w:val="both"/>
          </w:pPr>
          <w:r w:rsidRPr="000104FB">
            <w:t>McKinsey &amp; Company (2024)</w:t>
          </w:r>
          <w:r>
            <w:t>.</w:t>
          </w:r>
          <w:r w:rsidRPr="000104FB">
            <w:t xml:space="preserve"> </w:t>
          </w:r>
          <w:r w:rsidRPr="000104FB">
            <w:rPr>
              <w:i/>
              <w:iCs/>
            </w:rPr>
            <w:t>Global Banking Annual Review 2024: The Great Transition</w:t>
          </w:r>
          <w:r w:rsidRPr="000104FB">
            <w:t>.</w:t>
          </w:r>
        </w:p>
        <w:p w14:paraId="174195A7" w14:textId="5F9FD637" w:rsidR="000104FB" w:rsidRPr="000104FB" w:rsidRDefault="000104FB" w:rsidP="000104FB">
          <w:pPr>
            <w:jc w:val="both"/>
          </w:pPr>
          <w:r w:rsidRPr="000104FB">
            <w:t xml:space="preserve">Reserve Bank of India (2025) </w:t>
          </w:r>
          <w:r w:rsidRPr="000104FB">
            <w:rPr>
              <w:i/>
              <w:iCs/>
            </w:rPr>
            <w:t>Report on Trend and Progress of Banking in India 2024-25</w:t>
          </w:r>
          <w:r w:rsidRPr="000104FB">
            <w:t>. Mumbai: RBI.</w:t>
          </w:r>
        </w:p>
        <w:p w14:paraId="7D7974F5" w14:textId="0885892C" w:rsidR="000104FB" w:rsidRPr="000104FB" w:rsidRDefault="000104FB" w:rsidP="000104FB">
          <w:pPr>
            <w:jc w:val="both"/>
          </w:pPr>
          <w:r w:rsidRPr="000104FB">
            <w:t xml:space="preserve">HSBC (2024) </w:t>
          </w:r>
          <w:r w:rsidRPr="000104FB">
            <w:rPr>
              <w:i/>
              <w:iCs/>
            </w:rPr>
            <w:t>Connecting the world’s wealth to Asia’s growth</w:t>
          </w:r>
          <w:r w:rsidRPr="000104FB">
            <w:t xml:space="preserve">. Featuring Michael Roberts. 14 October. Available at: </w:t>
          </w:r>
          <w:hyperlink r:id="rId29" w:tgtFrame="_blank" w:history="1">
            <w:r w:rsidRPr="000104FB">
              <w:rPr>
                <w:rStyle w:val="Hyperlink"/>
              </w:rPr>
              <w:t>https://youtu.be/Ola2KonkVfA</w:t>
            </w:r>
          </w:hyperlink>
          <w:r w:rsidRPr="000104FB">
            <w:t xml:space="preserve"> (Accessed: 10 January 2026).</w:t>
          </w:r>
        </w:p>
        <w:p w14:paraId="3788D92F" w14:textId="20C87B89" w:rsidR="000104FB" w:rsidRDefault="000104FB" w:rsidP="000104FB">
          <w:pPr>
            <w:jc w:val="both"/>
          </w:pPr>
          <w:r w:rsidRPr="000104FB">
            <w:t xml:space="preserve">Roberts, M. (2024) 'The Future of Corporate Banking in Asia', </w:t>
          </w:r>
          <w:r w:rsidRPr="000104FB">
            <w:rPr>
              <w:i/>
              <w:iCs/>
            </w:rPr>
            <w:t>HSBC Global Banking Strategy Series</w:t>
          </w:r>
          <w:r w:rsidRPr="000104FB">
            <w:t>, YouTube, 12 November.</w:t>
          </w:r>
        </w:p>
        <w:p w14:paraId="5D6B60C9" w14:textId="396C7E4C" w:rsidR="000104FB" w:rsidRPr="000104FB" w:rsidRDefault="000104FB" w:rsidP="000104FB">
          <w:pPr>
            <w:jc w:val="both"/>
          </w:pPr>
          <w:r w:rsidRPr="000104FB">
            <w:t xml:space="preserve">Bank of England (2025) </w:t>
          </w:r>
          <w:r w:rsidRPr="000104FB">
            <w:rPr>
              <w:i/>
              <w:iCs/>
            </w:rPr>
            <w:t>Financial Stability Report: December 2025</w:t>
          </w:r>
          <w:r w:rsidRPr="000104FB">
            <w:t>. London: Bank of England.</w:t>
          </w:r>
        </w:p>
        <w:p w14:paraId="7B6CD8EE" w14:textId="7FE31FDA" w:rsidR="000104FB" w:rsidRDefault="000104FB" w:rsidP="000104FB">
          <w:pPr>
            <w:jc w:val="both"/>
          </w:pPr>
          <w:r w:rsidRPr="000104FB">
            <w:t xml:space="preserve">HM Revenue &amp; Customs (2025) </w:t>
          </w:r>
          <w:r w:rsidRPr="000104FB">
            <w:rPr>
              <w:i/>
              <w:iCs/>
            </w:rPr>
            <w:t>Capital Allowances for Plant and Machinery Toolkit</w:t>
          </w:r>
          <w:r w:rsidRPr="000104FB">
            <w:t xml:space="preserve">. Available at: </w:t>
          </w:r>
          <w:hyperlink r:id="rId30" w:tgtFrame="_blank" w:history="1">
            <w:r w:rsidRPr="000104FB">
              <w:rPr>
                <w:rStyle w:val="Hyperlink"/>
              </w:rPr>
              <w:t>https://www.gov.uk/guidance/capital-allowances</w:t>
            </w:r>
          </w:hyperlink>
          <w:r w:rsidRPr="000104FB">
            <w:t xml:space="preserve"> (Accessed: 5 January 2026).</w:t>
          </w:r>
        </w:p>
        <w:p w14:paraId="44029D59" w14:textId="23C676CC" w:rsidR="000104FB" w:rsidRDefault="000104FB" w:rsidP="000104FB">
          <w:pPr>
            <w:jc w:val="both"/>
          </w:pPr>
          <w:hyperlink r:id="rId31" w:history="1">
            <w:r w:rsidRPr="000833FD">
              <w:rPr>
                <w:rStyle w:val="Hyperlink"/>
              </w:rPr>
              <w:t>https://www.hsbc.com/news-and-views/news/media-releases/2026/hsbcs-proposal-to-privatise-hang-seng-bank-approved-by-hang-seng-bank-shareholders</w:t>
            </w:r>
          </w:hyperlink>
          <w:r>
            <w:t xml:space="preserve"> </w:t>
          </w:r>
        </w:p>
        <w:p w14:paraId="4C05CC49" w14:textId="5CC18A46" w:rsidR="000104FB" w:rsidRDefault="000104FB" w:rsidP="000104FB">
          <w:pPr>
            <w:jc w:val="both"/>
          </w:pPr>
          <w:hyperlink r:id="rId32" w:history="1">
            <w:r w:rsidRPr="000833FD">
              <w:rPr>
                <w:rStyle w:val="Hyperlink"/>
              </w:rPr>
              <w:t>https://www.about.hsbc.co.uk/news-and-media/hsbc-uk-pledges-more-than-55-million-investment-into-branch-network</w:t>
            </w:r>
          </w:hyperlink>
          <w:r>
            <w:t xml:space="preserve"> </w:t>
          </w:r>
        </w:p>
        <w:p w14:paraId="21FB397E" w14:textId="12BD395F" w:rsidR="000104FB" w:rsidRDefault="000104FB" w:rsidP="000104FB">
          <w:pPr>
            <w:jc w:val="both"/>
          </w:pPr>
          <w:hyperlink r:id="rId33" w:history="1">
            <w:r w:rsidRPr="000833FD">
              <w:rPr>
                <w:rStyle w:val="Hyperlink"/>
              </w:rPr>
              <w:t>https://www.about.hsbc.co.uk/news-and-media/research-reveals-over-a-third-of-small-businesses-are-struggling</w:t>
            </w:r>
          </w:hyperlink>
          <w:r>
            <w:t xml:space="preserve"> </w:t>
          </w:r>
        </w:p>
        <w:p w14:paraId="24F58691" w14:textId="1CF6DC1B" w:rsidR="000104FB" w:rsidRDefault="000104FB" w:rsidP="000104FB">
          <w:pPr>
            <w:jc w:val="both"/>
          </w:pPr>
          <w:hyperlink r:id="rId34" w:history="1">
            <w:r w:rsidRPr="000833FD">
              <w:rPr>
                <w:rStyle w:val="Hyperlink"/>
              </w:rPr>
              <w:t>https://www.hsbc.com/who-we-are/our-climate-strategy/our-net-zero-transition-plan</w:t>
            </w:r>
          </w:hyperlink>
          <w:r>
            <w:t xml:space="preserve"> </w:t>
          </w:r>
        </w:p>
        <w:p w14:paraId="69DF931C" w14:textId="53DDDDE0" w:rsidR="000104FB" w:rsidRDefault="000104FB" w:rsidP="000104FB">
          <w:pPr>
            <w:jc w:val="both"/>
          </w:pPr>
          <w:hyperlink r:id="rId35" w:history="1">
            <w:r w:rsidRPr="000833FD">
              <w:rPr>
                <w:rStyle w:val="Hyperlink"/>
              </w:rPr>
              <w:t>file:///C:/Users/HP/Downloads/251030-hsbc-innovation-banking-launches-in-singapore.pdf</w:t>
            </w:r>
          </w:hyperlink>
          <w:r>
            <w:t xml:space="preserve"> </w:t>
          </w:r>
        </w:p>
        <w:p w14:paraId="31AC9A7F" w14:textId="2F3F0C4B" w:rsidR="000104FB" w:rsidRDefault="000104FB" w:rsidP="000104FB">
          <w:pPr>
            <w:jc w:val="both"/>
          </w:pPr>
          <w:hyperlink r:id="rId36" w:history="1">
            <w:r w:rsidRPr="000833FD">
              <w:rPr>
                <w:rStyle w:val="Hyperlink"/>
              </w:rPr>
              <w:t>file:///C:/Users/HP/Downloads/251009-hsbc-innovation-banking-launches-in-india.pdf</w:t>
            </w:r>
          </w:hyperlink>
          <w:r>
            <w:t xml:space="preserve"> </w:t>
          </w:r>
        </w:p>
        <w:p w14:paraId="192B9D39" w14:textId="02CF5276" w:rsidR="000104FB" w:rsidRDefault="000104FB" w:rsidP="000104FB">
          <w:pPr>
            <w:jc w:val="both"/>
          </w:pPr>
          <w:hyperlink r:id="rId37" w:history="1">
            <w:r w:rsidRPr="000833FD">
              <w:rPr>
                <w:rStyle w:val="Hyperlink"/>
              </w:rPr>
              <w:t>file:///C:/Users/HP/Downloads/251028-3q-2025-earnings-release.pdf</w:t>
            </w:r>
          </w:hyperlink>
          <w:r>
            <w:t xml:space="preserve"> </w:t>
          </w:r>
        </w:p>
        <w:p w14:paraId="12DEF39B" w14:textId="43342925" w:rsidR="000104FB" w:rsidRDefault="000104FB" w:rsidP="000104FB">
          <w:pPr>
            <w:jc w:val="both"/>
          </w:pPr>
          <w:hyperlink r:id="rId38" w:history="1">
            <w:r w:rsidRPr="000833FD">
              <w:rPr>
                <w:rStyle w:val="Hyperlink"/>
              </w:rPr>
              <w:t>file:///C:/Users/HP/Downloads/251028-3q-2025-presentation-to-investors-and-analysts.pdf</w:t>
            </w:r>
          </w:hyperlink>
          <w:r>
            <w:t xml:space="preserve"> </w:t>
          </w:r>
        </w:p>
        <w:p w14:paraId="32ECC03F" w14:textId="4201AECB" w:rsidR="000104FB" w:rsidRDefault="000104FB" w:rsidP="000104FB">
          <w:pPr>
            <w:jc w:val="both"/>
          </w:pPr>
          <w:hyperlink r:id="rId39" w:history="1">
            <w:r w:rsidRPr="000833FD">
              <w:rPr>
                <w:rStyle w:val="Hyperlink"/>
              </w:rPr>
              <w:t>file:///C:/Users/HP/Downloads/251028-3q-2025-presentation-to-investors-and-analysts%20(1).pdf</w:t>
            </w:r>
          </w:hyperlink>
          <w:r>
            <w:t xml:space="preserve"> </w:t>
          </w:r>
        </w:p>
        <w:p w14:paraId="1560483C" w14:textId="0CEEC51D" w:rsidR="000104FB" w:rsidRDefault="000104FB" w:rsidP="000104FB">
          <w:pPr>
            <w:jc w:val="both"/>
          </w:pPr>
          <w:hyperlink r:id="rId40" w:history="1">
            <w:r w:rsidRPr="000833FD">
              <w:rPr>
                <w:rStyle w:val="Hyperlink"/>
              </w:rPr>
              <w:t>file:///C:/Users/HP/Downloads/250219-strategic-report-2024.pdf</w:t>
            </w:r>
          </w:hyperlink>
          <w:r>
            <w:t xml:space="preserve"> </w:t>
          </w:r>
        </w:p>
        <w:p w14:paraId="332FF75F" w14:textId="63AA06E7" w:rsidR="000104FB" w:rsidRPr="000104FB" w:rsidRDefault="000104FB" w:rsidP="000104FB">
          <w:pPr>
            <w:jc w:val="both"/>
          </w:pPr>
          <w:hyperlink r:id="rId41" w:history="1">
            <w:r w:rsidRPr="000833FD">
              <w:rPr>
                <w:rStyle w:val="Hyperlink"/>
              </w:rPr>
              <w:t>file:///C:/Users/HP/Downloads/250219-strategic-report-2024.pdffile:///C:/Users/HP/Downloads/250219-strategic-report-2024.pdffile:///C:/Users/HP/Downloads/250219-strategic-report-2024.pdf</w:t>
            </w:r>
          </w:hyperlink>
          <w:r>
            <w:t xml:space="preserve"> </w:t>
          </w:r>
        </w:p>
        <w:p w14:paraId="19CB2178" w14:textId="53DABD59" w:rsidR="000104FB" w:rsidRDefault="000104FB" w:rsidP="000104FB">
          <w:pPr>
            <w:jc w:val="both"/>
          </w:pPr>
          <w:r w:rsidRPr="000104FB">
            <w:lastRenderedPageBreak/>
            <w:t xml:space="preserve">Hong Kong Monetary Authority (2025) </w:t>
          </w:r>
          <w:r w:rsidRPr="000104FB">
            <w:rPr>
              <w:i/>
              <w:iCs/>
            </w:rPr>
            <w:t>Quarterly Bulletin: Commercial Real Estate Exposure in HK Banking Sector</w:t>
          </w:r>
          <w:r w:rsidRPr="000104FB">
            <w:t>, September.</w:t>
          </w:r>
        </w:p>
        <w:p w14:paraId="676D9D54" w14:textId="6CF14050" w:rsidR="000104FB" w:rsidRPr="000104FB" w:rsidRDefault="000104FB" w:rsidP="000104FB">
          <w:pPr>
            <w:jc w:val="both"/>
          </w:pPr>
          <w:r w:rsidRPr="000104FB">
            <w:t xml:space="preserve">Arnold, G. (2019) </w:t>
          </w:r>
          <w:r w:rsidRPr="000104FB">
            <w:rPr>
              <w:i/>
              <w:iCs/>
            </w:rPr>
            <w:t>Corporate Financial Management</w:t>
          </w:r>
          <w:r w:rsidRPr="000104FB">
            <w:t xml:space="preserve">. 6th </w:t>
          </w:r>
          <w:proofErr w:type="spellStart"/>
          <w:r w:rsidRPr="000104FB">
            <w:t>edn</w:t>
          </w:r>
          <w:proofErr w:type="spellEnd"/>
          <w:r w:rsidRPr="000104FB">
            <w:t>. Harlow: Pearson.</w:t>
          </w:r>
        </w:p>
        <w:p w14:paraId="73399F0A" w14:textId="408436AA" w:rsidR="000104FB" w:rsidRPr="000104FB" w:rsidRDefault="000104FB" w:rsidP="000104FB">
          <w:pPr>
            <w:jc w:val="both"/>
          </w:pPr>
          <w:proofErr w:type="spellStart"/>
          <w:r w:rsidRPr="000104FB">
            <w:t>Atrill</w:t>
          </w:r>
          <w:proofErr w:type="spellEnd"/>
          <w:r w:rsidRPr="000104FB">
            <w:t xml:space="preserve">, P. and McLaney, E. (2023) </w:t>
          </w:r>
          <w:r w:rsidRPr="000104FB">
            <w:rPr>
              <w:i/>
              <w:iCs/>
            </w:rPr>
            <w:t>Accounting and Finance for Non-Specialists</w:t>
          </w:r>
          <w:r w:rsidRPr="000104FB">
            <w:t xml:space="preserve">. 13th </w:t>
          </w:r>
          <w:proofErr w:type="spellStart"/>
          <w:r w:rsidRPr="000104FB">
            <w:t>edn</w:t>
          </w:r>
          <w:proofErr w:type="spellEnd"/>
          <w:r w:rsidRPr="000104FB">
            <w:t>. Harlow: Pearson.</w:t>
          </w:r>
        </w:p>
        <w:p w14:paraId="049748AF" w14:textId="69D35722" w:rsidR="000104FB" w:rsidRPr="000104FB" w:rsidRDefault="000104FB" w:rsidP="000104FB">
          <w:pPr>
            <w:jc w:val="both"/>
          </w:pPr>
          <w:r w:rsidRPr="000104FB">
            <w:t xml:space="preserve">Brealey, R.A., Myers, S.C. and Allen, F. (2022) </w:t>
          </w:r>
          <w:r w:rsidRPr="000104FB">
            <w:rPr>
              <w:i/>
              <w:iCs/>
            </w:rPr>
            <w:t>Principles of Corporate Finance</w:t>
          </w:r>
          <w:r w:rsidRPr="000104FB">
            <w:t xml:space="preserve">. 14th </w:t>
          </w:r>
          <w:proofErr w:type="spellStart"/>
          <w:r w:rsidRPr="000104FB">
            <w:t>edn</w:t>
          </w:r>
          <w:proofErr w:type="spellEnd"/>
          <w:r w:rsidRPr="000104FB">
            <w:t>. New York: McGraw-Hill Education.</w:t>
          </w:r>
        </w:p>
        <w:p w14:paraId="3ACC1367" w14:textId="7F8A8502" w:rsidR="000104FB" w:rsidRPr="000104FB" w:rsidRDefault="000104FB" w:rsidP="000104FB">
          <w:pPr>
            <w:jc w:val="both"/>
          </w:pPr>
          <w:r w:rsidRPr="000104FB">
            <w:t xml:space="preserve">Brigham, E.F. and Ehrhardt, M.C. (2023) </w:t>
          </w:r>
          <w:r w:rsidRPr="000104FB">
            <w:rPr>
              <w:i/>
              <w:iCs/>
            </w:rPr>
            <w:t>Financial Management: Theory and Practice</w:t>
          </w:r>
          <w:r w:rsidRPr="000104FB">
            <w:t xml:space="preserve">. 17th </w:t>
          </w:r>
          <w:proofErr w:type="spellStart"/>
          <w:r w:rsidRPr="000104FB">
            <w:t>edn</w:t>
          </w:r>
          <w:proofErr w:type="spellEnd"/>
          <w:r w:rsidRPr="000104FB">
            <w:t>. Boston: Cengage Learning.</w:t>
          </w:r>
        </w:p>
        <w:p w14:paraId="4211283D" w14:textId="02C903B6" w:rsidR="000104FB" w:rsidRPr="000104FB" w:rsidRDefault="000104FB" w:rsidP="000104FB">
          <w:pPr>
            <w:jc w:val="both"/>
          </w:pPr>
          <w:r w:rsidRPr="000104FB">
            <w:t xml:space="preserve">Damodaran, A. (2024) </w:t>
          </w:r>
          <w:r w:rsidRPr="000104FB">
            <w:rPr>
              <w:i/>
              <w:iCs/>
            </w:rPr>
            <w:t>Investment Valuation: Tools and Techniques for Determining the Value of Any Asset</w:t>
          </w:r>
          <w:r w:rsidRPr="000104FB">
            <w:t xml:space="preserve">. 4th </w:t>
          </w:r>
          <w:proofErr w:type="spellStart"/>
          <w:r w:rsidRPr="000104FB">
            <w:t>edn</w:t>
          </w:r>
          <w:proofErr w:type="spellEnd"/>
          <w:r w:rsidRPr="000104FB">
            <w:t>. Hoboken: Wiley.</w:t>
          </w:r>
        </w:p>
        <w:p w14:paraId="2741937D" w14:textId="47574228" w:rsidR="000104FB" w:rsidRPr="000104FB" w:rsidRDefault="000104FB" w:rsidP="000104FB">
          <w:pPr>
            <w:jc w:val="both"/>
          </w:pPr>
          <w:r w:rsidRPr="000104FB">
            <w:t xml:space="preserve">Drury, C. (2021) </w:t>
          </w:r>
          <w:r w:rsidRPr="000104FB">
            <w:rPr>
              <w:i/>
              <w:iCs/>
            </w:rPr>
            <w:t>Management and Cost Accounting</w:t>
          </w:r>
          <w:r w:rsidRPr="000104FB">
            <w:t xml:space="preserve">. 11th </w:t>
          </w:r>
          <w:proofErr w:type="spellStart"/>
          <w:r w:rsidRPr="000104FB">
            <w:t>edn</w:t>
          </w:r>
          <w:proofErr w:type="spellEnd"/>
          <w:r w:rsidRPr="000104FB">
            <w:t>. Andover: Cengage Learning EMEA.</w:t>
          </w:r>
        </w:p>
        <w:p w14:paraId="19C3E865" w14:textId="0400DB51" w:rsidR="000104FB" w:rsidRPr="000104FB" w:rsidRDefault="000104FB" w:rsidP="000104FB">
          <w:pPr>
            <w:jc w:val="both"/>
          </w:pPr>
          <w:r w:rsidRPr="000104FB">
            <w:t xml:space="preserve">Hull, J.C. (2023) </w:t>
          </w:r>
          <w:r w:rsidRPr="000104FB">
            <w:rPr>
              <w:i/>
              <w:iCs/>
            </w:rPr>
            <w:t>Risk Management and Financial Institutions</w:t>
          </w:r>
          <w:r w:rsidRPr="000104FB">
            <w:t xml:space="preserve">. 6th </w:t>
          </w:r>
          <w:proofErr w:type="spellStart"/>
          <w:r w:rsidRPr="000104FB">
            <w:t>edn</w:t>
          </w:r>
          <w:proofErr w:type="spellEnd"/>
          <w:r w:rsidRPr="000104FB">
            <w:t>. Hoboken: Wiley.</w:t>
          </w:r>
        </w:p>
        <w:p w14:paraId="0BB73732" w14:textId="787548BF" w:rsidR="000104FB" w:rsidRPr="000104FB" w:rsidRDefault="000104FB" w:rsidP="000104FB">
          <w:pPr>
            <w:jc w:val="both"/>
          </w:pPr>
          <w:r w:rsidRPr="000104FB">
            <w:t xml:space="preserve">Lumby, S. and Jones, C. (2019) </w:t>
          </w:r>
          <w:r w:rsidRPr="000104FB">
            <w:rPr>
              <w:i/>
              <w:iCs/>
            </w:rPr>
            <w:t>Corporate Finance: Theory and Practice</w:t>
          </w:r>
          <w:r w:rsidRPr="000104FB">
            <w:t xml:space="preserve">. 10th </w:t>
          </w:r>
          <w:proofErr w:type="spellStart"/>
          <w:r w:rsidRPr="000104FB">
            <w:t>edn</w:t>
          </w:r>
          <w:proofErr w:type="spellEnd"/>
          <w:r w:rsidRPr="000104FB">
            <w:t>. Andover: Cengage Learning.</w:t>
          </w:r>
        </w:p>
        <w:p w14:paraId="0ECD3E1A" w14:textId="061DC0E5" w:rsidR="000104FB" w:rsidRPr="000104FB" w:rsidRDefault="000104FB" w:rsidP="000104FB">
          <w:pPr>
            <w:jc w:val="both"/>
          </w:pPr>
          <w:r w:rsidRPr="000104FB">
            <w:t xml:space="preserve">Pike, R., Neale, B. and Linsley, P. (2018) </w:t>
          </w:r>
          <w:r w:rsidRPr="000104FB">
            <w:rPr>
              <w:i/>
              <w:iCs/>
            </w:rPr>
            <w:t>Corporate Finance and Investment: Decisions and Strategies</w:t>
          </w:r>
          <w:r w:rsidRPr="000104FB">
            <w:t xml:space="preserve">. 9th </w:t>
          </w:r>
          <w:proofErr w:type="spellStart"/>
          <w:r w:rsidRPr="000104FB">
            <w:t>edn</w:t>
          </w:r>
          <w:proofErr w:type="spellEnd"/>
          <w:r w:rsidRPr="000104FB">
            <w:t>. Harlow: Pearson.</w:t>
          </w:r>
        </w:p>
        <w:p w14:paraId="72D4231D" w14:textId="76CE625A" w:rsidR="000104FB" w:rsidRPr="000104FB" w:rsidRDefault="000104FB" w:rsidP="000104FB">
          <w:pPr>
            <w:jc w:val="both"/>
          </w:pPr>
          <w:r w:rsidRPr="000104FB">
            <w:t xml:space="preserve">Watson, D. and Head, A. (2019) </w:t>
          </w:r>
          <w:r w:rsidRPr="000104FB">
            <w:rPr>
              <w:i/>
              <w:iCs/>
            </w:rPr>
            <w:t>Corporate Finance: Principles and Practice</w:t>
          </w:r>
          <w:r w:rsidRPr="000104FB">
            <w:t xml:space="preserve">. 8th </w:t>
          </w:r>
          <w:proofErr w:type="spellStart"/>
          <w:r w:rsidRPr="000104FB">
            <w:t>edn</w:t>
          </w:r>
          <w:proofErr w:type="spellEnd"/>
          <w:r w:rsidRPr="000104FB">
            <w:t>. Harlow: Pearson.</w:t>
          </w:r>
        </w:p>
        <w:p w14:paraId="71AEA510" w14:textId="3ACF7818" w:rsidR="000104FB" w:rsidRPr="000104FB" w:rsidRDefault="000104FB" w:rsidP="000104FB">
          <w:pPr>
            <w:jc w:val="both"/>
          </w:pPr>
          <w:r w:rsidRPr="000104FB">
            <w:t xml:space="preserve">Agricultural Bank of China (2025) </w:t>
          </w:r>
          <w:r w:rsidRPr="000104FB">
            <w:rPr>
              <w:i/>
              <w:iCs/>
            </w:rPr>
            <w:t>First Quarterly Report 2025</w:t>
          </w:r>
          <w:r w:rsidRPr="000104FB">
            <w:t>. Beijing: ABC.</w:t>
          </w:r>
        </w:p>
        <w:p w14:paraId="53FF5A03" w14:textId="182ED8BA" w:rsidR="000104FB" w:rsidRPr="000104FB" w:rsidRDefault="000104FB" w:rsidP="000104FB">
          <w:pPr>
            <w:jc w:val="both"/>
          </w:pPr>
          <w:r w:rsidRPr="000104FB">
            <w:t xml:space="preserve">Bank of China (2025) </w:t>
          </w:r>
          <w:r w:rsidRPr="000104FB">
            <w:rPr>
              <w:i/>
              <w:iCs/>
            </w:rPr>
            <w:t>2025 Interim Results</w:t>
          </w:r>
          <w:r w:rsidRPr="000104FB">
            <w:t>. Beijing: BOC.</w:t>
          </w:r>
        </w:p>
        <w:p w14:paraId="062D0108" w14:textId="4DBBB126" w:rsidR="000104FB" w:rsidRPr="000104FB" w:rsidRDefault="000104FB" w:rsidP="000104FB">
          <w:pPr>
            <w:jc w:val="both"/>
          </w:pPr>
          <w:r w:rsidRPr="000104FB">
            <w:t xml:space="preserve">ICICI Bank (2025) </w:t>
          </w:r>
          <w:r w:rsidRPr="000104FB">
            <w:rPr>
              <w:i/>
              <w:iCs/>
            </w:rPr>
            <w:t>Quarterly Results Q3 FY2025</w:t>
          </w:r>
          <w:r w:rsidRPr="000104FB">
            <w:t>. Mumbai: ICICI Bank.</w:t>
          </w:r>
        </w:p>
        <w:p w14:paraId="078D3E84" w14:textId="1594D59C" w:rsidR="000104FB" w:rsidRPr="000104FB" w:rsidRDefault="000104FB" w:rsidP="000104FB">
          <w:pPr>
            <w:jc w:val="both"/>
          </w:pPr>
          <w:r w:rsidRPr="000104FB">
            <w:t xml:space="preserve">Industrial and Commercial Bank of China (2025) </w:t>
          </w:r>
          <w:r w:rsidRPr="000104FB">
            <w:rPr>
              <w:i/>
              <w:iCs/>
            </w:rPr>
            <w:t>2025 Interim Results Announcement</w:t>
          </w:r>
          <w:r w:rsidRPr="000104FB">
            <w:t>. Beijing: ICBC.</w:t>
          </w:r>
        </w:p>
        <w:p w14:paraId="50A400AE" w14:textId="339CBF89" w:rsidR="000104FB" w:rsidRDefault="000104FB" w:rsidP="000104FB">
          <w:pPr>
            <w:jc w:val="both"/>
          </w:pPr>
          <w:r w:rsidRPr="000104FB">
            <w:t xml:space="preserve">State Bank of India (2025) </w:t>
          </w:r>
          <w:r w:rsidRPr="000104FB">
            <w:rPr>
              <w:i/>
              <w:iCs/>
            </w:rPr>
            <w:t>Annual Report 2024-25</w:t>
          </w:r>
          <w:r w:rsidRPr="000104FB">
            <w:t>. Mumbai: SBI.</w:t>
          </w:r>
        </w:p>
        <w:p w14:paraId="6C1AF4E0" w14:textId="3C913835" w:rsidR="000104FB" w:rsidRPr="000104FB" w:rsidRDefault="000104FB" w:rsidP="000104FB">
          <w:pPr>
            <w:jc w:val="both"/>
          </w:pPr>
          <w:r>
            <w:t>Alexander</w:t>
          </w:r>
          <w:r w:rsidRPr="000104FB">
            <w:t xml:space="preserve">, C. (2008) </w:t>
          </w:r>
          <w:r w:rsidRPr="000104FB">
            <w:rPr>
              <w:i/>
              <w:iCs/>
            </w:rPr>
            <w:t>Market Risk Analysis, Value at Risk Models</w:t>
          </w:r>
          <w:r w:rsidRPr="000104FB">
            <w:t>. Chichester: Wiley.</w:t>
          </w:r>
        </w:p>
        <w:p w14:paraId="61311C8D" w14:textId="5BDEDF7D" w:rsidR="000104FB" w:rsidRPr="000104FB" w:rsidRDefault="000104FB" w:rsidP="000104FB">
          <w:pPr>
            <w:jc w:val="both"/>
          </w:pPr>
          <w:r w:rsidRPr="000104FB">
            <w:t xml:space="preserve">Altman, E.I. (1968) 'Financial Ratios, Discriminant Analysis and the Prediction of Corporate Bankruptcy', </w:t>
          </w:r>
          <w:r w:rsidRPr="000104FB">
            <w:rPr>
              <w:i/>
              <w:iCs/>
            </w:rPr>
            <w:t>The Journal of Finance</w:t>
          </w:r>
          <w:r w:rsidRPr="000104FB">
            <w:t>, 23(4), pp. 589-609.</w:t>
          </w:r>
        </w:p>
        <w:p w14:paraId="34212BB5" w14:textId="0F15B1E8" w:rsidR="000104FB" w:rsidRPr="000104FB" w:rsidRDefault="000104FB" w:rsidP="000104FB">
          <w:pPr>
            <w:jc w:val="both"/>
          </w:pPr>
          <w:proofErr w:type="spellStart"/>
          <w:r w:rsidRPr="000104FB">
            <w:t>Avkiran</w:t>
          </w:r>
          <w:proofErr w:type="spellEnd"/>
          <w:r w:rsidRPr="000104FB">
            <w:t xml:space="preserve">, N.K. (2011) 'Association of DEA super-efficiency estimates with financial ratios: Investigating the impact for Chinese banks', </w:t>
          </w:r>
          <w:r w:rsidRPr="000104FB">
            <w:rPr>
              <w:i/>
              <w:iCs/>
            </w:rPr>
            <w:t>Omega</w:t>
          </w:r>
          <w:r w:rsidRPr="000104FB">
            <w:t>, 39(6), pp. 623-632.</w:t>
          </w:r>
        </w:p>
        <w:p w14:paraId="77969A77" w14:textId="3CE3B40E" w:rsidR="000104FB" w:rsidRPr="000104FB" w:rsidRDefault="000104FB" w:rsidP="000104FB">
          <w:pPr>
            <w:jc w:val="both"/>
          </w:pPr>
          <w:r w:rsidRPr="000104FB">
            <w:t xml:space="preserve">Berger, A.N. and Bouwman, C.H. (2013) 'How does capital affect bank performance during financial crises?', </w:t>
          </w:r>
          <w:r w:rsidRPr="000104FB">
            <w:rPr>
              <w:i/>
              <w:iCs/>
            </w:rPr>
            <w:t>Journal of Financial Economics</w:t>
          </w:r>
          <w:r w:rsidRPr="000104FB">
            <w:t>, 109(1), pp. 146-176.</w:t>
          </w:r>
        </w:p>
        <w:p w14:paraId="67B0ADA8" w14:textId="64D0DD35" w:rsidR="000104FB" w:rsidRPr="000104FB" w:rsidRDefault="000104FB" w:rsidP="000104FB">
          <w:pPr>
            <w:jc w:val="both"/>
          </w:pPr>
          <w:r w:rsidRPr="000104FB">
            <w:t xml:space="preserve">Chartered Institute of Management Accountants (2005) </w:t>
          </w:r>
          <w:r w:rsidRPr="000104FB">
            <w:rPr>
              <w:i/>
              <w:iCs/>
            </w:rPr>
            <w:t>Decision Making: Capital Investment Appraisal</w:t>
          </w:r>
          <w:r w:rsidRPr="000104FB">
            <w:t>. Topic Gateway Series No. 10. London: CIMA.</w:t>
          </w:r>
        </w:p>
        <w:p w14:paraId="0002EB90" w14:textId="472062EE" w:rsidR="000104FB" w:rsidRPr="000104FB" w:rsidRDefault="000104FB" w:rsidP="000104FB">
          <w:pPr>
            <w:jc w:val="both"/>
          </w:pPr>
          <w:r w:rsidRPr="000104FB">
            <w:t xml:space="preserve">Chen, T. and Lin, C. (2024) 'The impact of geopolitical risk on bank stability in Hong Kong', </w:t>
          </w:r>
          <w:r w:rsidRPr="000104FB">
            <w:rPr>
              <w:i/>
              <w:iCs/>
            </w:rPr>
            <w:t>Journal of Asian Economics</w:t>
          </w:r>
          <w:r w:rsidRPr="000104FB">
            <w:t>, 88, p. 101654.</w:t>
          </w:r>
        </w:p>
        <w:p w14:paraId="0B13AB83" w14:textId="7DE5374C" w:rsidR="000104FB" w:rsidRPr="000104FB" w:rsidRDefault="000104FB" w:rsidP="000104FB">
          <w:pPr>
            <w:jc w:val="both"/>
          </w:pPr>
          <w:r w:rsidRPr="000104FB">
            <w:t xml:space="preserve">Choudhry, M. (2018) </w:t>
          </w:r>
          <w:r w:rsidRPr="000104FB">
            <w:rPr>
              <w:i/>
              <w:iCs/>
            </w:rPr>
            <w:t>The Principles of Banking</w:t>
          </w:r>
          <w:r w:rsidRPr="000104FB">
            <w:t xml:space="preserve">. 2nd </w:t>
          </w:r>
          <w:proofErr w:type="spellStart"/>
          <w:r w:rsidRPr="000104FB">
            <w:t>edn</w:t>
          </w:r>
          <w:proofErr w:type="spellEnd"/>
          <w:r w:rsidRPr="000104FB">
            <w:t>. Singapore: Wiley.</w:t>
          </w:r>
        </w:p>
        <w:p w14:paraId="0CA77CE9" w14:textId="51F453BA" w:rsidR="000104FB" w:rsidRPr="000104FB" w:rsidRDefault="000104FB" w:rsidP="000104FB">
          <w:pPr>
            <w:jc w:val="both"/>
          </w:pPr>
          <w:r w:rsidRPr="000104FB">
            <w:lastRenderedPageBreak/>
            <w:t xml:space="preserve">Deloitte (2025) </w:t>
          </w:r>
          <w:r w:rsidRPr="000104FB">
            <w:rPr>
              <w:i/>
              <w:iCs/>
            </w:rPr>
            <w:t>2026 Banking and Capital Markets Outlook</w:t>
          </w:r>
          <w:r w:rsidRPr="000104FB">
            <w:t>.</w:t>
          </w:r>
        </w:p>
        <w:p w14:paraId="106FC06D" w14:textId="61E6C449" w:rsidR="000104FB" w:rsidRPr="000104FB" w:rsidRDefault="000104FB" w:rsidP="000104FB">
          <w:pPr>
            <w:jc w:val="both"/>
          </w:pPr>
          <w:r w:rsidRPr="000104FB">
            <w:t xml:space="preserve">European Banking Authority (2024) </w:t>
          </w:r>
          <w:r w:rsidRPr="000104FB">
            <w:rPr>
              <w:i/>
              <w:iCs/>
            </w:rPr>
            <w:t>Risk Assessment of the European Banking System</w:t>
          </w:r>
          <w:r w:rsidRPr="000104FB">
            <w:t>.</w:t>
          </w:r>
        </w:p>
        <w:p w14:paraId="2A35BE72" w14:textId="57D391FE" w:rsidR="000104FB" w:rsidRPr="000104FB" w:rsidRDefault="000104FB" w:rsidP="000104FB">
          <w:pPr>
            <w:jc w:val="both"/>
          </w:pPr>
          <w:r w:rsidRPr="000104FB">
            <w:t xml:space="preserve">Gitman, L.J. and Zutter, C.J. (2015) </w:t>
          </w:r>
          <w:r w:rsidRPr="000104FB">
            <w:rPr>
              <w:i/>
              <w:iCs/>
            </w:rPr>
            <w:t>Principles of Managerial Finance</w:t>
          </w:r>
          <w:r w:rsidRPr="000104FB">
            <w:t xml:space="preserve">. 14th </w:t>
          </w:r>
          <w:proofErr w:type="spellStart"/>
          <w:r w:rsidRPr="000104FB">
            <w:t>edn</w:t>
          </w:r>
          <w:proofErr w:type="spellEnd"/>
          <w:r w:rsidRPr="000104FB">
            <w:t>. Harlow: Pearson.</w:t>
          </w:r>
        </w:p>
        <w:p w14:paraId="6AD7DDE9" w14:textId="5BAAF650" w:rsidR="000104FB" w:rsidRPr="000104FB" w:rsidRDefault="000104FB" w:rsidP="000104FB">
          <w:pPr>
            <w:jc w:val="both"/>
          </w:pPr>
          <w:r w:rsidRPr="000104FB">
            <w:t xml:space="preserve">Graham, J.R. and Harvey, C.R. (2001) 'The theory and practice of corporate finance: Evidence from the field', </w:t>
          </w:r>
          <w:r w:rsidRPr="000104FB">
            <w:rPr>
              <w:i/>
              <w:iCs/>
            </w:rPr>
            <w:t>Journal of Financial Economics</w:t>
          </w:r>
          <w:r w:rsidRPr="000104FB">
            <w:t>, 60(2-3), pp. 187-243.</w:t>
          </w:r>
        </w:p>
        <w:p w14:paraId="76692891" w14:textId="2199F17D" w:rsidR="000104FB" w:rsidRPr="000104FB" w:rsidRDefault="000104FB" w:rsidP="000104FB">
          <w:pPr>
            <w:jc w:val="both"/>
          </w:pPr>
          <w:r w:rsidRPr="000104FB">
            <w:t xml:space="preserve">Grant, R.M. (2021) </w:t>
          </w:r>
          <w:r w:rsidRPr="000104FB">
            <w:rPr>
              <w:i/>
              <w:iCs/>
            </w:rPr>
            <w:t>Contemporary Strategy Analysis</w:t>
          </w:r>
          <w:r w:rsidRPr="000104FB">
            <w:t xml:space="preserve">. 11th </w:t>
          </w:r>
          <w:proofErr w:type="spellStart"/>
          <w:r w:rsidRPr="000104FB">
            <w:t>edn</w:t>
          </w:r>
          <w:proofErr w:type="spellEnd"/>
          <w:r w:rsidRPr="000104FB">
            <w:t>. Hoboken: Wiley.</w:t>
          </w:r>
        </w:p>
        <w:p w14:paraId="3B464115" w14:textId="5A3E953E" w:rsidR="000104FB" w:rsidRPr="000104FB" w:rsidRDefault="000104FB" w:rsidP="000104FB">
          <w:pPr>
            <w:jc w:val="both"/>
          </w:pPr>
          <w:r w:rsidRPr="000104FB">
            <w:t xml:space="preserve">Harvard Business Review (2024) 'Why Digital Transformation Failures are a Management Issue', </w:t>
          </w:r>
          <w:r w:rsidRPr="000104FB">
            <w:rPr>
              <w:i/>
              <w:iCs/>
            </w:rPr>
            <w:t>HBR</w:t>
          </w:r>
          <w:r w:rsidRPr="000104FB">
            <w:t>, March Issue.</w:t>
          </w:r>
        </w:p>
        <w:p w14:paraId="113B8698" w14:textId="5252FD5C" w:rsidR="000104FB" w:rsidRPr="000104FB" w:rsidRDefault="000104FB" w:rsidP="000104FB">
          <w:pPr>
            <w:jc w:val="both"/>
          </w:pPr>
          <w:r w:rsidRPr="000104FB">
            <w:t xml:space="preserve">International Monetary Fund (2025) </w:t>
          </w:r>
          <w:r w:rsidRPr="000104FB">
            <w:rPr>
              <w:i/>
              <w:iCs/>
            </w:rPr>
            <w:t>Global Financial Stability Report: Navigating the High-Rate Era</w:t>
          </w:r>
          <w:r w:rsidRPr="000104FB">
            <w:t>. Washington DC: IMF.</w:t>
          </w:r>
        </w:p>
        <w:p w14:paraId="33A71F08" w14:textId="643FD0AB" w:rsidR="000104FB" w:rsidRPr="000104FB" w:rsidRDefault="000104FB" w:rsidP="000104FB">
          <w:pPr>
            <w:jc w:val="both"/>
          </w:pPr>
          <w:r w:rsidRPr="000104FB">
            <w:t xml:space="preserve">Kaplan, R.S. and Norton, D.P. (1996) </w:t>
          </w:r>
          <w:r w:rsidRPr="000104FB">
            <w:rPr>
              <w:i/>
              <w:iCs/>
            </w:rPr>
            <w:t>The Balanced Scorecard: Translating Strategy into Action</w:t>
          </w:r>
          <w:r w:rsidRPr="000104FB">
            <w:t>. Boston: Harvard Business School Press.</w:t>
          </w:r>
        </w:p>
        <w:p w14:paraId="2D5E3705" w14:textId="73433D00" w:rsidR="000104FB" w:rsidRPr="000104FB" w:rsidRDefault="000104FB" w:rsidP="000104FB">
          <w:pPr>
            <w:jc w:val="both"/>
          </w:pPr>
          <w:r w:rsidRPr="000104FB">
            <w:t xml:space="preserve">Koch, T.W. and MacDonald, S.S. (2014) </w:t>
          </w:r>
          <w:r w:rsidRPr="000104FB">
            <w:rPr>
              <w:i/>
              <w:iCs/>
            </w:rPr>
            <w:t>Bank Management</w:t>
          </w:r>
          <w:r w:rsidRPr="000104FB">
            <w:t xml:space="preserve">. 8th </w:t>
          </w:r>
          <w:proofErr w:type="spellStart"/>
          <w:r w:rsidRPr="000104FB">
            <w:t>edn</w:t>
          </w:r>
          <w:proofErr w:type="spellEnd"/>
          <w:r w:rsidRPr="000104FB">
            <w:t>. Mason: South-Western Cengage Learning.</w:t>
          </w:r>
        </w:p>
        <w:p w14:paraId="12718EBD" w14:textId="351784BF" w:rsidR="000104FB" w:rsidRPr="000104FB" w:rsidRDefault="000104FB" w:rsidP="000104FB">
          <w:pPr>
            <w:jc w:val="both"/>
          </w:pPr>
          <w:r w:rsidRPr="000104FB">
            <w:t xml:space="preserve">KPMG (2025) </w:t>
          </w:r>
          <w:r w:rsidRPr="000104FB">
            <w:rPr>
              <w:i/>
              <w:iCs/>
            </w:rPr>
            <w:t>Pulse of Fintech H1 2025</w:t>
          </w:r>
          <w:r w:rsidRPr="000104FB">
            <w:t>.</w:t>
          </w:r>
        </w:p>
        <w:p w14:paraId="297DACEC" w14:textId="20652B95" w:rsidR="000104FB" w:rsidRPr="000104FB" w:rsidRDefault="000104FB" w:rsidP="000104FB">
          <w:pPr>
            <w:jc w:val="both"/>
          </w:pPr>
          <w:r w:rsidRPr="000104FB">
            <w:t xml:space="preserve">Mishkin, F.S. (2021) </w:t>
          </w:r>
          <w:r w:rsidRPr="000104FB">
            <w:rPr>
              <w:i/>
              <w:iCs/>
            </w:rPr>
            <w:t>The Economics of Money, Banking and Financial Markets</w:t>
          </w:r>
          <w:r w:rsidRPr="000104FB">
            <w:t xml:space="preserve">. 13th </w:t>
          </w:r>
          <w:proofErr w:type="spellStart"/>
          <w:r w:rsidRPr="000104FB">
            <w:t>edn</w:t>
          </w:r>
          <w:proofErr w:type="spellEnd"/>
          <w:r w:rsidRPr="000104FB">
            <w:t>. Harlow: Pearson.</w:t>
          </w:r>
        </w:p>
        <w:p w14:paraId="555F9F6B" w14:textId="0BADE2C7" w:rsidR="000104FB" w:rsidRPr="000104FB" w:rsidRDefault="000104FB" w:rsidP="000104FB">
          <w:pPr>
            <w:jc w:val="both"/>
          </w:pPr>
          <w:r w:rsidRPr="000104FB">
            <w:t xml:space="preserve">Modigliani, F. and Miller, M.H. (1958) 'The Cost of Capital, Corporation Finance and the Theory of Investment', </w:t>
          </w:r>
          <w:r w:rsidRPr="000104FB">
            <w:rPr>
              <w:i/>
              <w:iCs/>
            </w:rPr>
            <w:t>The American Economic Review</w:t>
          </w:r>
          <w:r w:rsidRPr="000104FB">
            <w:t>, 48(3), pp. 261-297.</w:t>
          </w:r>
        </w:p>
        <w:p w14:paraId="5073A2DD" w14:textId="48616E6F" w:rsidR="000104FB" w:rsidRPr="000104FB" w:rsidRDefault="000104FB" w:rsidP="000104FB">
          <w:pPr>
            <w:jc w:val="both"/>
          </w:pPr>
          <w:r w:rsidRPr="000104FB">
            <w:t xml:space="preserve">Myers, S.C. (1984) 'The Capital Structure Puzzle', </w:t>
          </w:r>
          <w:r w:rsidRPr="000104FB">
            <w:rPr>
              <w:i/>
              <w:iCs/>
            </w:rPr>
            <w:t>The Journal of Finance</w:t>
          </w:r>
          <w:r w:rsidRPr="000104FB">
            <w:t>, 39(3), pp. 575-592. (The Pecking Order Theory source).</w:t>
          </w:r>
        </w:p>
        <w:p w14:paraId="7F3BCDB3" w14:textId="5CB87309" w:rsidR="000104FB" w:rsidRPr="000104FB" w:rsidRDefault="000104FB" w:rsidP="000104FB">
          <w:pPr>
            <w:jc w:val="both"/>
          </w:pPr>
          <w:r w:rsidRPr="000104FB">
            <w:t xml:space="preserve">OECD (2024) </w:t>
          </w:r>
          <w:r w:rsidRPr="000104FB">
            <w:rPr>
              <w:i/>
              <w:iCs/>
            </w:rPr>
            <w:t>OECD Economic Outlook, Volume 2024 Issue 2</w:t>
          </w:r>
          <w:r w:rsidRPr="000104FB">
            <w:t>. Paris: OECD Publishing.</w:t>
          </w:r>
        </w:p>
        <w:p w14:paraId="344F4EEE" w14:textId="4CB889BF" w:rsidR="000104FB" w:rsidRPr="000104FB" w:rsidRDefault="000104FB" w:rsidP="000104FB">
          <w:pPr>
            <w:jc w:val="both"/>
          </w:pPr>
          <w:r w:rsidRPr="000104FB">
            <w:t xml:space="preserve">Porter, M.E. (1985) </w:t>
          </w:r>
          <w:r w:rsidRPr="000104FB">
            <w:rPr>
              <w:i/>
              <w:iCs/>
            </w:rPr>
            <w:t>Competitive Advantage: Creating and Sustaining Superior Performance</w:t>
          </w:r>
          <w:r w:rsidRPr="000104FB">
            <w:t>. New York: Free Press.</w:t>
          </w:r>
        </w:p>
        <w:p w14:paraId="6193C086" w14:textId="095A99D3" w:rsidR="000104FB" w:rsidRPr="000104FB" w:rsidRDefault="000104FB" w:rsidP="000104FB">
          <w:pPr>
            <w:jc w:val="both"/>
          </w:pPr>
          <w:r w:rsidRPr="000104FB">
            <w:t xml:space="preserve">PricewaterhouseCoopers (2025) </w:t>
          </w:r>
          <w:r w:rsidRPr="000104FB">
            <w:rPr>
              <w:i/>
              <w:iCs/>
            </w:rPr>
            <w:t>Global Entertainment &amp; Media Outlook 2025–2029</w:t>
          </w:r>
          <w:r w:rsidRPr="000104FB">
            <w:t xml:space="preserve"> (Used for Internet Sales context).</w:t>
          </w:r>
        </w:p>
        <w:p w14:paraId="7C4DBA21" w14:textId="125022D9" w:rsidR="000104FB" w:rsidRPr="000104FB" w:rsidRDefault="000104FB" w:rsidP="000104FB">
          <w:pPr>
            <w:jc w:val="both"/>
          </w:pPr>
          <w:r w:rsidRPr="000104FB">
            <w:t xml:space="preserve">Rappaport, A. (1998) </w:t>
          </w:r>
          <w:r w:rsidRPr="000104FB">
            <w:rPr>
              <w:i/>
              <w:iCs/>
            </w:rPr>
            <w:t>Creating Shareholder Value: A Guide for Managers and Investors</w:t>
          </w:r>
          <w:r w:rsidRPr="000104FB">
            <w:t xml:space="preserve">. 2nd </w:t>
          </w:r>
          <w:proofErr w:type="spellStart"/>
          <w:r w:rsidRPr="000104FB">
            <w:t>edn</w:t>
          </w:r>
          <w:proofErr w:type="spellEnd"/>
          <w:r w:rsidRPr="000104FB">
            <w:t>. New York: Free Press.</w:t>
          </w:r>
        </w:p>
        <w:p w14:paraId="4CEA81F1" w14:textId="47D64481" w:rsidR="000104FB" w:rsidRPr="000104FB" w:rsidRDefault="000104FB" w:rsidP="000104FB">
          <w:pPr>
            <w:jc w:val="both"/>
          </w:pPr>
          <w:r w:rsidRPr="000104FB">
            <w:t xml:space="preserve">Ross, S.A., Westerfield, R.W. and Jaffe, J. (2022) </w:t>
          </w:r>
          <w:r w:rsidRPr="000104FB">
            <w:rPr>
              <w:i/>
              <w:iCs/>
            </w:rPr>
            <w:t>Corporate Finance</w:t>
          </w:r>
          <w:r w:rsidRPr="000104FB">
            <w:t xml:space="preserve">. 13th </w:t>
          </w:r>
          <w:proofErr w:type="spellStart"/>
          <w:r w:rsidRPr="000104FB">
            <w:t>edn</w:t>
          </w:r>
          <w:proofErr w:type="spellEnd"/>
          <w:r w:rsidRPr="000104FB">
            <w:t>. New York: McGraw-Hill.</w:t>
          </w:r>
        </w:p>
        <w:p w14:paraId="5B87E16D" w14:textId="25345A20" w:rsidR="000104FB" w:rsidRPr="000104FB" w:rsidRDefault="000104FB" w:rsidP="000104FB">
          <w:pPr>
            <w:jc w:val="both"/>
          </w:pPr>
          <w:r w:rsidRPr="000104FB">
            <w:t xml:space="preserve">Saunders, A. and Cornett, M.M. (2021) </w:t>
          </w:r>
          <w:r w:rsidRPr="000104FB">
            <w:rPr>
              <w:i/>
              <w:iCs/>
            </w:rPr>
            <w:t>Financial Markets and Institutions</w:t>
          </w:r>
          <w:r w:rsidRPr="000104FB">
            <w:t xml:space="preserve">. 8th </w:t>
          </w:r>
          <w:proofErr w:type="spellStart"/>
          <w:r w:rsidRPr="000104FB">
            <w:t>edn</w:t>
          </w:r>
          <w:proofErr w:type="spellEnd"/>
          <w:r w:rsidRPr="000104FB">
            <w:t>. New York: McGraw-Hill.</w:t>
          </w:r>
        </w:p>
        <w:p w14:paraId="06DFFB80" w14:textId="68DE8546" w:rsidR="000104FB" w:rsidRPr="000104FB" w:rsidRDefault="000104FB" w:rsidP="000104FB">
          <w:pPr>
            <w:jc w:val="both"/>
          </w:pPr>
          <w:r w:rsidRPr="000104FB">
            <w:t xml:space="preserve">Scholes, M.S., Wolfson, M.A., Erickson, M., Maydew, E.L. and Shevlin, T. (2019) </w:t>
          </w:r>
          <w:r w:rsidRPr="000104FB">
            <w:rPr>
              <w:i/>
              <w:iCs/>
            </w:rPr>
            <w:t>Taxes and Business Strategy: A Planning Approach</w:t>
          </w:r>
          <w:r w:rsidRPr="000104FB">
            <w:t xml:space="preserve">. 6th </w:t>
          </w:r>
          <w:proofErr w:type="spellStart"/>
          <w:r w:rsidRPr="000104FB">
            <w:t>edn</w:t>
          </w:r>
          <w:proofErr w:type="spellEnd"/>
          <w:r w:rsidRPr="000104FB">
            <w:t>. Harlow: Pearson.</w:t>
          </w:r>
        </w:p>
        <w:p w14:paraId="59C01C5D" w14:textId="58579BF1" w:rsidR="000104FB" w:rsidRPr="000104FB" w:rsidRDefault="000104FB" w:rsidP="000104FB">
          <w:pPr>
            <w:jc w:val="both"/>
          </w:pPr>
          <w:r w:rsidRPr="000104FB">
            <w:t xml:space="preserve">Statista (2025) </w:t>
          </w:r>
          <w:r w:rsidRPr="000104FB">
            <w:rPr>
              <w:i/>
              <w:iCs/>
            </w:rPr>
            <w:t>E-commerce share of retail sales in the UK 2015-2026</w:t>
          </w:r>
          <w:r w:rsidRPr="000104FB">
            <w:t>.</w:t>
          </w:r>
        </w:p>
        <w:p w14:paraId="3A0D04D6" w14:textId="7E8267B7" w:rsidR="000104FB" w:rsidRPr="000104FB" w:rsidRDefault="000104FB" w:rsidP="000104FB">
          <w:pPr>
            <w:jc w:val="both"/>
          </w:pPr>
          <w:r w:rsidRPr="000104FB">
            <w:t xml:space="preserve">The Banker (2025) 'Top 1000 World Banks 2025 Analysis', </w:t>
          </w:r>
          <w:r w:rsidRPr="000104FB">
            <w:rPr>
              <w:i/>
              <w:iCs/>
            </w:rPr>
            <w:t>The Banker</w:t>
          </w:r>
          <w:r w:rsidRPr="000104FB">
            <w:t>, July.</w:t>
          </w:r>
        </w:p>
        <w:p w14:paraId="207F528C" w14:textId="62317A97" w:rsidR="000104FB" w:rsidRPr="000104FB" w:rsidRDefault="000104FB" w:rsidP="000104FB">
          <w:pPr>
            <w:jc w:val="both"/>
          </w:pPr>
          <w:r w:rsidRPr="000104FB">
            <w:t xml:space="preserve">UBS (2025) </w:t>
          </w:r>
          <w:r w:rsidRPr="000104FB">
            <w:rPr>
              <w:i/>
              <w:iCs/>
            </w:rPr>
            <w:t>Global Wealth Report 2025</w:t>
          </w:r>
          <w:r w:rsidRPr="000104FB">
            <w:t>. Zurich: UBS.</w:t>
          </w:r>
        </w:p>
        <w:p w14:paraId="4F8E7F4E" w14:textId="57C8654E" w:rsidR="000104FB" w:rsidRPr="000104FB" w:rsidRDefault="000104FB" w:rsidP="000104FB">
          <w:pPr>
            <w:jc w:val="both"/>
          </w:pPr>
          <w:r w:rsidRPr="000104FB">
            <w:lastRenderedPageBreak/>
            <w:t xml:space="preserve">UK Government (2025) </w:t>
          </w:r>
          <w:r w:rsidRPr="000104FB">
            <w:rPr>
              <w:i/>
              <w:iCs/>
            </w:rPr>
            <w:t>Autumn Statement 2025</w:t>
          </w:r>
          <w:r w:rsidRPr="000104FB">
            <w:t>. London: HM Treasury.</w:t>
          </w:r>
        </w:p>
        <w:p w14:paraId="28B6A0E3" w14:textId="4103B087" w:rsidR="000104FB" w:rsidRDefault="000104FB" w:rsidP="000104FB">
          <w:pPr>
            <w:jc w:val="both"/>
          </w:pPr>
          <w:r w:rsidRPr="000104FB">
            <w:t xml:space="preserve">World Bank (2025) </w:t>
          </w:r>
          <w:r w:rsidRPr="000104FB">
            <w:rPr>
              <w:i/>
              <w:iCs/>
            </w:rPr>
            <w:t>Global Economic Prospects, January 2025</w:t>
          </w:r>
          <w:r w:rsidRPr="000104FB">
            <w:t>. Washington DC: World Bank.</w:t>
          </w:r>
        </w:p>
        <w:p w14:paraId="42DFF6EA" w14:textId="724AA81E" w:rsidR="000104FB" w:rsidRDefault="000104FB" w:rsidP="000104FB">
          <w:pPr>
            <w:pStyle w:val="Heading2"/>
            <w:jc w:val="both"/>
            <w:rPr>
              <w:rFonts w:asciiTheme="minorBidi" w:hAnsiTheme="minorBidi" w:cstheme="minorBidi"/>
              <w:sz w:val="24"/>
              <w:szCs w:val="24"/>
            </w:rPr>
          </w:pPr>
          <w:bookmarkStart w:id="34" w:name="_Toc219110437"/>
          <w:r w:rsidRPr="000104FB">
            <w:rPr>
              <w:rFonts w:asciiTheme="minorBidi" w:hAnsiTheme="minorBidi" w:cstheme="minorBidi"/>
              <w:sz w:val="24"/>
              <w:szCs w:val="24"/>
            </w:rPr>
            <w:t>Library References</w:t>
          </w:r>
          <w:bookmarkEnd w:id="34"/>
          <w:r w:rsidRPr="000104FB">
            <w:rPr>
              <w:rFonts w:asciiTheme="minorBidi" w:hAnsiTheme="minorBidi" w:cstheme="minorBidi"/>
              <w:sz w:val="24"/>
              <w:szCs w:val="24"/>
            </w:rPr>
            <w:t xml:space="preserve"> </w:t>
          </w:r>
        </w:p>
        <w:p w14:paraId="3C7B7BBA" w14:textId="18B1C0A9" w:rsidR="000104FB" w:rsidRDefault="000104FB" w:rsidP="000104FB">
          <w:pPr>
            <w:jc w:val="both"/>
          </w:pPr>
          <w:hyperlink r:id="rId42" w:history="1">
            <w:r w:rsidRPr="000833FD">
              <w:rPr>
                <w:rStyle w:val="Hyperlink"/>
              </w:rPr>
              <w:t>https://librarysearch.uwtsd.ac.uk/permalink/44WHELF_UWTSD/8m4jce/BM_eNrjYuBNLC3JSM0ryUxOLElN4WRg8Qh2cuZhYE1LzClO5YXS3Ayqbq4hzh66BUX5haWpxSXxeanlxQWJBalFxfHGRuYWlsbGhuZGBsSqAwA-_SP7</w:t>
            </w:r>
          </w:hyperlink>
          <w:r>
            <w:t xml:space="preserve"> </w:t>
          </w:r>
        </w:p>
        <w:p w14:paraId="688286D7" w14:textId="459C8DF6" w:rsidR="000104FB" w:rsidRDefault="000104FB" w:rsidP="000104FB">
          <w:pPr>
            <w:jc w:val="both"/>
          </w:pPr>
          <w:hyperlink r:id="rId43" w:history="1">
            <w:r w:rsidRPr="000833FD">
              <w:rPr>
                <w:rStyle w:val="Hyperlink"/>
              </w:rPr>
              <w:t>https://librarysearch.uwtsd.ac.uk/permalink/44WHELF_UWTSD/11c0l68/alma99100520082202421</w:t>
            </w:r>
          </w:hyperlink>
          <w:r>
            <w:t xml:space="preserve"> </w:t>
          </w:r>
        </w:p>
        <w:p w14:paraId="31A7ACB7" w14:textId="3BD2B8D0" w:rsidR="000104FB" w:rsidRDefault="000104FB" w:rsidP="000104FB">
          <w:pPr>
            <w:jc w:val="both"/>
          </w:pPr>
          <w:hyperlink r:id="rId44" w:history="1">
            <w:r w:rsidRPr="000833FD">
              <w:rPr>
                <w:rStyle w:val="Hyperlink"/>
              </w:rPr>
              <w:t>https://librarysearch.uwtsd.ac.uk/permalink/44WHELF_UWTSD/11c0l68/alma99100522499102421</w:t>
            </w:r>
          </w:hyperlink>
          <w:r>
            <w:t xml:space="preserve"> </w:t>
          </w:r>
        </w:p>
        <w:p w14:paraId="62531288" w14:textId="6C92925E" w:rsidR="000104FB" w:rsidRDefault="000104FB" w:rsidP="000104FB">
          <w:pPr>
            <w:jc w:val="both"/>
          </w:pPr>
          <w:hyperlink r:id="rId45" w:history="1">
            <w:r w:rsidRPr="000833FD">
              <w:rPr>
                <w:rStyle w:val="Hyperlink"/>
              </w:rPr>
              <w:t>https://librarysearch.uwtsd.ac.uk/permalink/44WHELF_UWTSD/8m4jce/BM_eNrjYuBNLC3JSM0ryUxOLElNYWHgNDA2M9I1MTY25GQwD0otLikqTS4pLcrMS1fwT1PwCHZyVnBKzMtWCE5NzS4GMnMS85JTFdxT8wvyczJBpuTkVPIwsKYl5hSn8kJpbgZVN9cQZw_dgqL8wlKgmfF5qeXFBYkFqUXF8caGhpbGZiYWhmYGxKoDAA1eOMw</w:t>
            </w:r>
          </w:hyperlink>
          <w:r>
            <w:t xml:space="preserve"> </w:t>
          </w:r>
        </w:p>
        <w:p w14:paraId="56CBBAB1" w14:textId="0267BCFA" w:rsidR="000104FB" w:rsidRDefault="000104FB" w:rsidP="000104FB">
          <w:pPr>
            <w:jc w:val="both"/>
          </w:pPr>
          <w:hyperlink r:id="rId46" w:history="1">
            <w:r w:rsidRPr="000833FD">
              <w:rPr>
                <w:rStyle w:val="Hyperlink"/>
              </w:rPr>
              <w:t>https://librarysearch.uwtsd.ac.uk/permalink/44WHELF_UWTSD/8m4jce/BM_eNqNyr0OgjAUQOEOOqDyDndxxPAn1LhBJGwm6uJELnAbCdgiLTG8vST6AE7nDN-K2TiaB0nTVGioXjDLC3nkcNflFrt7wW6fwFkIGkBJmCEYLDs6QtZIlNU8FzVhBwnKFpSAFCXWCE9sSUPZ1GAUlOME-TVJv-grNmwpsNNk_7pm2-x0S3OnH9RrJG0KSW_dY0-DLvw49HnsR8HB_dd9AIa3Qjk</w:t>
            </w:r>
          </w:hyperlink>
          <w:r>
            <w:t xml:space="preserve"> </w:t>
          </w:r>
        </w:p>
        <w:p w14:paraId="4242FF86" w14:textId="454604C2" w:rsidR="000104FB" w:rsidRDefault="000104FB" w:rsidP="000104FB">
          <w:pPr>
            <w:jc w:val="both"/>
          </w:pPr>
          <w:hyperlink r:id="rId47" w:history="1">
            <w:r w:rsidRPr="000833FD">
              <w:rPr>
                <w:rStyle w:val="Hyperlink"/>
              </w:rPr>
              <w:t>https://librarysearch.uwtsd.ac.uk/permalink/44WHELF_UWTSD/8m4jce/BM_eNqNys0KgkAUQGE3LfrxHe6iaFNRahm0UwqhRVDt5Y5eSxxmbOYO4ttH1AO0OvBxRp6Pjp-kuC6QqRx6VSJ10QhnmQxMN-FqK0CgaqAklAe46h4lJB9gDcL1kN2S9AspKixxAdhhzRYMPZxE1sbO4XIGrYANKosF11pNvEGF0pL_69ibnY73NFu2Rr8cWc4VdbbFlozNgzgK9vEujKL1v98bKDJGJg</w:t>
            </w:r>
          </w:hyperlink>
          <w:r>
            <w:t xml:space="preserve"> </w:t>
          </w:r>
        </w:p>
        <w:p w14:paraId="19D44F3E" w14:textId="0AD15850" w:rsidR="000104FB" w:rsidRDefault="000104FB" w:rsidP="000104FB">
          <w:pPr>
            <w:jc w:val="both"/>
          </w:pPr>
          <w:hyperlink r:id="rId48" w:history="1">
            <w:r w:rsidRPr="000833FD">
              <w:rPr>
                <w:rStyle w:val="Hyperlink"/>
              </w:rPr>
              <w:t>https://librarysearch.uwtsd.ac.uk/permalink/44WHELF_UWTSD/8m4jce/BM_eNrjYuBNLC3JSM0ryUxOLElN4WSwCs-oVPAIdnJ-1DCzWKE4MSdVITm_NCdFISlVIVGhOLUkKTE5WyEtv0ghN7-oJD0xPVWhOCO_oCC1qJiHgTUtMac4lRdKczNouLmGOHvoFhTlF5amFpfE52YWJ6fm5CTmpeaXFscbmRsZmhgZGlsaG5CgFAApojsR</w:t>
            </w:r>
          </w:hyperlink>
          <w:r>
            <w:t xml:space="preserve"> </w:t>
          </w:r>
        </w:p>
        <w:p w14:paraId="320B60C0" w14:textId="798B7FF6" w:rsidR="000104FB" w:rsidRDefault="000104FB" w:rsidP="000104FB">
          <w:pPr>
            <w:jc w:val="both"/>
          </w:pPr>
          <w:hyperlink r:id="rId49" w:history="1">
            <w:r w:rsidRPr="000833FD">
              <w:rPr>
                <w:rStyle w:val="Hyperlink"/>
              </w:rPr>
              <w:t>https://librarysearch.uwtsd.ac.uk/permalink/44WHELF_UWTSD/8m4jce/BM_eNrjYuBNLC3JSM0ryUxOLElN4WQQ8Ah2clZwSszLVghKLctMLedhYE1LzClO5YXS3Ayqbq4hzh66BUX5haWpxSXxeanlxQWJBalFxfHGhmaGJpaGphaGBsSqAwA8gCgp</w:t>
            </w:r>
          </w:hyperlink>
          <w:r>
            <w:t xml:space="preserve"> </w:t>
          </w:r>
        </w:p>
      </w:sdtContent>
    </w:sdt>
    <w:p w14:paraId="1E7D0359" w14:textId="77777777" w:rsidR="000104FB" w:rsidRDefault="000104FB" w:rsidP="000104FB">
      <w:pPr>
        <w:jc w:val="both"/>
        <w:rPr>
          <w:rFonts w:asciiTheme="minorBidi" w:eastAsiaTheme="majorEastAsia" w:hAnsiTheme="minorBidi"/>
          <w:color w:val="2E74B5" w:themeColor="accent1" w:themeShade="BF"/>
          <w:sz w:val="28"/>
          <w:szCs w:val="28"/>
        </w:rPr>
      </w:pPr>
      <w:r>
        <w:rPr>
          <w:rFonts w:asciiTheme="minorBidi" w:hAnsiTheme="minorBidi"/>
          <w:sz w:val="28"/>
          <w:szCs w:val="28"/>
        </w:rPr>
        <w:br w:type="page"/>
      </w:r>
    </w:p>
    <w:p w14:paraId="1F4145EA" w14:textId="3E716002" w:rsidR="00CF0E48" w:rsidRDefault="00CF0E48" w:rsidP="000104FB">
      <w:pPr>
        <w:pStyle w:val="Heading1"/>
        <w:jc w:val="both"/>
        <w:rPr>
          <w:rFonts w:asciiTheme="minorBidi" w:hAnsiTheme="minorBidi" w:cstheme="minorBidi"/>
          <w:sz w:val="28"/>
          <w:szCs w:val="28"/>
        </w:rPr>
      </w:pPr>
      <w:bookmarkStart w:id="35" w:name="_Toc219110438"/>
      <w:r w:rsidRPr="000104FB">
        <w:rPr>
          <w:rFonts w:asciiTheme="minorBidi" w:hAnsiTheme="minorBidi" w:cstheme="minorBidi"/>
          <w:sz w:val="28"/>
          <w:szCs w:val="28"/>
        </w:rPr>
        <w:lastRenderedPageBreak/>
        <w:t>Appendix</w:t>
      </w:r>
      <w:bookmarkEnd w:id="35"/>
    </w:p>
    <w:p w14:paraId="4932F86C" w14:textId="49A0C7B9" w:rsidR="000104FB" w:rsidRDefault="000104FB" w:rsidP="000104FB">
      <w:pPr>
        <w:jc w:val="both"/>
      </w:pPr>
      <w:hyperlink r:id="rId50" w:history="1">
        <w:r w:rsidRPr="000833FD">
          <w:rPr>
            <w:rStyle w:val="Hyperlink"/>
          </w:rPr>
          <w:t>file:///C:/Users/HP/Downloads/250219-annual-report-and-accounts-2024%20(1).pdf</w:t>
        </w:r>
      </w:hyperlink>
      <w:r>
        <w:t xml:space="preserve"> </w:t>
      </w:r>
    </w:p>
    <w:p w14:paraId="7CF59F4D" w14:textId="0E808209" w:rsidR="000104FB" w:rsidRDefault="000104FB" w:rsidP="000104FB">
      <w:pPr>
        <w:jc w:val="both"/>
      </w:pPr>
      <w:hyperlink r:id="rId51" w:history="1">
        <w:r w:rsidRPr="000833FD">
          <w:rPr>
            <w:rStyle w:val="Hyperlink"/>
          </w:rPr>
          <w:t>file:///C:/Users/HP/Downloads/250219-strategic-report-2024%20(1).pdf</w:t>
        </w:r>
      </w:hyperlink>
      <w:r>
        <w:t xml:space="preserve"> </w:t>
      </w:r>
    </w:p>
    <w:p w14:paraId="48502383" w14:textId="677B2447" w:rsidR="000104FB" w:rsidRDefault="000104FB" w:rsidP="000104FB">
      <w:pPr>
        <w:jc w:val="both"/>
      </w:pPr>
      <w:hyperlink r:id="rId52" w:history="1">
        <w:r w:rsidRPr="000833FD">
          <w:rPr>
            <w:rStyle w:val="Hyperlink"/>
          </w:rPr>
          <w:t>file:///C:/Users/HP/Downloads/250227-esg-review-2024.pdf</w:t>
        </w:r>
      </w:hyperlink>
      <w:r>
        <w:t xml:space="preserve"> </w:t>
      </w:r>
    </w:p>
    <w:p w14:paraId="774A8551" w14:textId="6B87FD71" w:rsidR="000104FB" w:rsidRDefault="000104FB" w:rsidP="000104FB">
      <w:pPr>
        <w:jc w:val="both"/>
      </w:pPr>
      <w:hyperlink r:id="rId53" w:history="1">
        <w:r w:rsidRPr="000833FD">
          <w:rPr>
            <w:rStyle w:val="Hyperlink"/>
          </w:rPr>
          <w:t>file:///C:/Users/HP/Downloads/250227-financial-review-2024.pdf</w:t>
        </w:r>
      </w:hyperlink>
      <w:r>
        <w:t xml:space="preserve"> </w:t>
      </w:r>
    </w:p>
    <w:p w14:paraId="7D46E40C" w14:textId="5250D164" w:rsidR="000104FB" w:rsidRDefault="000104FB" w:rsidP="000104FB">
      <w:pPr>
        <w:jc w:val="both"/>
      </w:pPr>
      <w:hyperlink r:id="rId54" w:history="1">
        <w:r w:rsidRPr="000833FD">
          <w:rPr>
            <w:rStyle w:val="Hyperlink"/>
          </w:rPr>
          <w:t>file:///C:/Users/HP/Downloads/25027-risk-review-2024.pdf</w:t>
        </w:r>
      </w:hyperlink>
      <w:r>
        <w:t xml:space="preserve"> </w:t>
      </w:r>
    </w:p>
    <w:p w14:paraId="50507ED2" w14:textId="163CA824" w:rsidR="000104FB" w:rsidRDefault="000104FB" w:rsidP="000104FB">
      <w:pPr>
        <w:jc w:val="both"/>
      </w:pPr>
      <w:hyperlink r:id="rId55" w:history="1">
        <w:r w:rsidRPr="000833FD">
          <w:rPr>
            <w:rStyle w:val="Hyperlink"/>
          </w:rPr>
          <w:t>file:///C:/Users/HP/Downloads/250227-financial-statements-2024.pdf</w:t>
        </w:r>
      </w:hyperlink>
      <w:r>
        <w:t xml:space="preserve"> </w:t>
      </w:r>
    </w:p>
    <w:p w14:paraId="3A3C8799" w14:textId="6B43F226" w:rsidR="000104FB" w:rsidRDefault="000104FB" w:rsidP="000104FB">
      <w:pPr>
        <w:jc w:val="both"/>
      </w:pPr>
      <w:hyperlink r:id="rId56" w:history="1">
        <w:r w:rsidRPr="000833FD">
          <w:rPr>
            <w:rStyle w:val="Hyperlink"/>
          </w:rPr>
          <w:t>file:///C:/Users/HP/Downloads/240226-annual-report-and-accounts-2023.pdf</w:t>
        </w:r>
      </w:hyperlink>
      <w:r>
        <w:t xml:space="preserve"> </w:t>
      </w:r>
    </w:p>
    <w:p w14:paraId="23EB5112" w14:textId="3B75A385" w:rsidR="000104FB" w:rsidRDefault="000104FB" w:rsidP="000104FB">
      <w:pPr>
        <w:jc w:val="both"/>
      </w:pPr>
      <w:hyperlink r:id="rId57" w:history="1">
        <w:r w:rsidRPr="000833FD">
          <w:rPr>
            <w:rStyle w:val="Hyperlink"/>
          </w:rPr>
          <w:t>file:///C:/Users/HP/Downloads/240221-financial-statements-ara-2023.pdf</w:t>
        </w:r>
      </w:hyperlink>
      <w:r>
        <w:t xml:space="preserve"> </w:t>
      </w:r>
    </w:p>
    <w:p w14:paraId="7B2B5E82" w14:textId="1C43269C" w:rsidR="000104FB" w:rsidRDefault="000104FB" w:rsidP="000104FB">
      <w:pPr>
        <w:jc w:val="both"/>
      </w:pPr>
      <w:hyperlink r:id="rId58" w:history="1">
        <w:r w:rsidRPr="000833FD">
          <w:rPr>
            <w:rStyle w:val="Hyperlink"/>
          </w:rPr>
          <w:t>file:///C:/Users/HP/Downloads/240221-annual-report-and-accounts-2023.pdf</w:t>
        </w:r>
      </w:hyperlink>
      <w:r>
        <w:t xml:space="preserve"> </w:t>
      </w:r>
    </w:p>
    <w:p w14:paraId="6FB8DFCD" w14:textId="57890935" w:rsidR="000104FB" w:rsidRDefault="000104FB" w:rsidP="000104FB">
      <w:pPr>
        <w:jc w:val="both"/>
      </w:pPr>
      <w:hyperlink r:id="rId59" w:history="1">
        <w:r w:rsidRPr="000833FD">
          <w:rPr>
            <w:rStyle w:val="Hyperlink"/>
          </w:rPr>
          <w:t>https://www1.hkexnews.hk/listedco/listconews/sehk/2024/0221/2024022100137.pdf</w:t>
        </w:r>
      </w:hyperlink>
      <w:r>
        <w:t xml:space="preserve"> </w:t>
      </w:r>
    </w:p>
    <w:p w14:paraId="23DAE774" w14:textId="1D66E69D" w:rsidR="000104FB" w:rsidRDefault="000104FB" w:rsidP="000104FB">
      <w:pPr>
        <w:jc w:val="both"/>
      </w:pPr>
      <w:hyperlink r:id="rId60" w:history="1">
        <w:r w:rsidRPr="000833FD">
          <w:rPr>
            <w:rStyle w:val="Hyperlink"/>
          </w:rPr>
          <w:t>https://trajectorypartnership.com/wp-content/uploads/2016/09/HSBC-The-Future-of-Consumer-Demand-1.pdf</w:t>
        </w:r>
      </w:hyperlink>
      <w:r>
        <w:t xml:space="preserve"> </w:t>
      </w:r>
    </w:p>
    <w:p w14:paraId="7F9DB9D6" w14:textId="7EA827C7" w:rsidR="000104FB" w:rsidRDefault="000104FB" w:rsidP="000104FB">
      <w:pPr>
        <w:jc w:val="both"/>
      </w:pPr>
      <w:hyperlink r:id="rId61" w:history="1">
        <w:r w:rsidRPr="000833FD">
          <w:rPr>
            <w:rStyle w:val="Hyperlink"/>
          </w:rPr>
          <w:t>file:///C:/Users/HP/Downloads/stewardship-plan-uk.pdf</w:t>
        </w:r>
      </w:hyperlink>
      <w:r>
        <w:t xml:space="preserve"> </w:t>
      </w:r>
    </w:p>
    <w:p w14:paraId="025E7D79" w14:textId="026F8E9B" w:rsidR="000104FB" w:rsidRDefault="000104FB" w:rsidP="000104FB">
      <w:pPr>
        <w:jc w:val="both"/>
      </w:pPr>
      <w:hyperlink r:id="rId62" w:history="1">
        <w:r w:rsidRPr="000833FD">
          <w:rPr>
            <w:rStyle w:val="Hyperlink"/>
          </w:rPr>
          <w:t>file:///C:/Users/HP/Downloads/191108-bof-report.pdf</w:t>
        </w:r>
      </w:hyperlink>
      <w:r>
        <w:t xml:space="preserve"> </w:t>
      </w:r>
    </w:p>
    <w:p w14:paraId="01BEBFA0" w14:textId="77777777" w:rsidR="000104FB" w:rsidRPr="000104FB" w:rsidRDefault="000104FB" w:rsidP="000104FB">
      <w:pPr>
        <w:jc w:val="both"/>
      </w:pPr>
    </w:p>
    <w:sectPr w:rsidR="000104FB" w:rsidRPr="000104FB" w:rsidSect="007D1947">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4FBCE" w14:textId="77777777" w:rsidR="003F3993" w:rsidRDefault="003F3993" w:rsidP="00F33B24">
      <w:pPr>
        <w:spacing w:after="0" w:line="240" w:lineRule="auto"/>
      </w:pPr>
      <w:r>
        <w:separator/>
      </w:r>
    </w:p>
  </w:endnote>
  <w:endnote w:type="continuationSeparator" w:id="0">
    <w:p w14:paraId="16CA0BFB" w14:textId="77777777" w:rsidR="003F3993" w:rsidRDefault="003F3993"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1CF8E" w14:textId="77777777" w:rsidR="003F3993" w:rsidRDefault="003F3993" w:rsidP="00F33B24">
      <w:pPr>
        <w:spacing w:after="0" w:line="240" w:lineRule="auto"/>
      </w:pPr>
      <w:r>
        <w:separator/>
      </w:r>
    </w:p>
  </w:footnote>
  <w:footnote w:type="continuationSeparator" w:id="0">
    <w:p w14:paraId="30A6FD4E" w14:textId="77777777" w:rsidR="003F3993" w:rsidRDefault="003F3993"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0A9"/>
    <w:multiLevelType w:val="hybridMultilevel"/>
    <w:tmpl w:val="DFDC75BA"/>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815FD"/>
    <w:multiLevelType w:val="multilevel"/>
    <w:tmpl w:val="5C54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0162C7"/>
    <w:multiLevelType w:val="multilevel"/>
    <w:tmpl w:val="76A8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42C50"/>
    <w:multiLevelType w:val="hybridMultilevel"/>
    <w:tmpl w:val="6180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A05222"/>
    <w:multiLevelType w:val="multilevel"/>
    <w:tmpl w:val="6A4C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986CF1"/>
    <w:multiLevelType w:val="multilevel"/>
    <w:tmpl w:val="70E2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1A570D"/>
    <w:multiLevelType w:val="hybridMultilevel"/>
    <w:tmpl w:val="9DB6DE22"/>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9F3F09"/>
    <w:multiLevelType w:val="multilevel"/>
    <w:tmpl w:val="DCB0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A80959"/>
    <w:multiLevelType w:val="hybridMultilevel"/>
    <w:tmpl w:val="8F8C6AB0"/>
    <w:lvl w:ilvl="0" w:tplc="40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7987AD3"/>
    <w:multiLevelType w:val="hybridMultilevel"/>
    <w:tmpl w:val="24309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79A4C3C"/>
    <w:multiLevelType w:val="hybridMultilevel"/>
    <w:tmpl w:val="E61696E4"/>
    <w:lvl w:ilvl="0" w:tplc="40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7DE6E05"/>
    <w:multiLevelType w:val="hybridMultilevel"/>
    <w:tmpl w:val="7F1E0F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792B02"/>
    <w:multiLevelType w:val="multilevel"/>
    <w:tmpl w:val="10643B66"/>
    <w:lvl w:ilvl="0">
      <w:start w:val="2"/>
      <w:numFmt w:val="decimal"/>
      <w:lvlText w:val="%1."/>
      <w:lvlJc w:val="left"/>
      <w:pPr>
        <w:ind w:left="720" w:hanging="360"/>
      </w:pPr>
      <w:rPr>
        <w:rFonts w:hint="default"/>
      </w:rPr>
    </w:lvl>
    <w:lvl w:ilvl="1">
      <w:start w:val="3"/>
      <w:numFmt w:val="decimal"/>
      <w:isLgl/>
      <w:lvlText w:val="%1.%2"/>
      <w:lvlJc w:val="left"/>
      <w:pPr>
        <w:ind w:left="1116" w:hanging="360"/>
      </w:pPr>
      <w:rPr>
        <w:rFonts w:hint="default"/>
      </w:rPr>
    </w:lvl>
    <w:lvl w:ilvl="2">
      <w:start w:val="1"/>
      <w:numFmt w:val="decimal"/>
      <w:isLgl/>
      <w:lvlText w:val="%1.%2.%3"/>
      <w:lvlJc w:val="left"/>
      <w:pPr>
        <w:ind w:left="1872" w:hanging="720"/>
      </w:pPr>
      <w:rPr>
        <w:rFonts w:hint="default"/>
      </w:rPr>
    </w:lvl>
    <w:lvl w:ilvl="3">
      <w:start w:val="1"/>
      <w:numFmt w:val="decimal"/>
      <w:isLgl/>
      <w:lvlText w:val="%1.%2.%3.%4"/>
      <w:lvlJc w:val="left"/>
      <w:pPr>
        <w:ind w:left="2628" w:hanging="1080"/>
      </w:pPr>
      <w:rPr>
        <w:rFonts w:hint="default"/>
      </w:rPr>
    </w:lvl>
    <w:lvl w:ilvl="4">
      <w:start w:val="1"/>
      <w:numFmt w:val="decimal"/>
      <w:isLgl/>
      <w:lvlText w:val="%1.%2.%3.%4.%5"/>
      <w:lvlJc w:val="left"/>
      <w:pPr>
        <w:ind w:left="3024" w:hanging="1080"/>
      </w:pPr>
      <w:rPr>
        <w:rFonts w:hint="default"/>
      </w:rPr>
    </w:lvl>
    <w:lvl w:ilvl="5">
      <w:start w:val="1"/>
      <w:numFmt w:val="decimal"/>
      <w:isLgl/>
      <w:lvlText w:val="%1.%2.%3.%4.%5.%6"/>
      <w:lvlJc w:val="left"/>
      <w:pPr>
        <w:ind w:left="3780" w:hanging="1440"/>
      </w:pPr>
      <w:rPr>
        <w:rFonts w:hint="default"/>
      </w:rPr>
    </w:lvl>
    <w:lvl w:ilvl="6">
      <w:start w:val="1"/>
      <w:numFmt w:val="decimal"/>
      <w:isLgl/>
      <w:lvlText w:val="%1.%2.%3.%4.%5.%6.%7"/>
      <w:lvlJc w:val="left"/>
      <w:pPr>
        <w:ind w:left="4176" w:hanging="1440"/>
      </w:pPr>
      <w:rPr>
        <w:rFonts w:hint="default"/>
      </w:rPr>
    </w:lvl>
    <w:lvl w:ilvl="7">
      <w:start w:val="1"/>
      <w:numFmt w:val="decimal"/>
      <w:isLgl/>
      <w:lvlText w:val="%1.%2.%3.%4.%5.%6.%7.%8"/>
      <w:lvlJc w:val="left"/>
      <w:pPr>
        <w:ind w:left="4932" w:hanging="1800"/>
      </w:pPr>
      <w:rPr>
        <w:rFonts w:hint="default"/>
      </w:rPr>
    </w:lvl>
    <w:lvl w:ilvl="8">
      <w:start w:val="1"/>
      <w:numFmt w:val="decimal"/>
      <w:isLgl/>
      <w:lvlText w:val="%1.%2.%3.%4.%5.%6.%7.%8.%9"/>
      <w:lvlJc w:val="left"/>
      <w:pPr>
        <w:ind w:left="5328" w:hanging="1800"/>
      </w:pPr>
      <w:rPr>
        <w:rFonts w:hint="default"/>
      </w:rPr>
    </w:lvl>
  </w:abstractNum>
  <w:abstractNum w:abstractNumId="13" w15:restartNumberingAfterBreak="0">
    <w:nsid w:val="09884750"/>
    <w:multiLevelType w:val="hybridMultilevel"/>
    <w:tmpl w:val="F780A4E2"/>
    <w:lvl w:ilvl="0" w:tplc="08090015">
      <w:start w:val="1"/>
      <w:numFmt w:val="upp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4" w15:restartNumberingAfterBreak="0">
    <w:nsid w:val="09CC10CA"/>
    <w:multiLevelType w:val="multilevel"/>
    <w:tmpl w:val="7DFE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A8721E"/>
    <w:multiLevelType w:val="hybridMultilevel"/>
    <w:tmpl w:val="5978E8EC"/>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B81D38"/>
    <w:multiLevelType w:val="hybridMultilevel"/>
    <w:tmpl w:val="8250C434"/>
    <w:lvl w:ilvl="0" w:tplc="40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D9D6CF1"/>
    <w:multiLevelType w:val="hybridMultilevel"/>
    <w:tmpl w:val="4BC06A84"/>
    <w:lvl w:ilvl="0" w:tplc="40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FDA41CC"/>
    <w:multiLevelType w:val="multilevel"/>
    <w:tmpl w:val="C03AF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5765B1"/>
    <w:multiLevelType w:val="multilevel"/>
    <w:tmpl w:val="027E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F3A2B"/>
    <w:multiLevelType w:val="multilevel"/>
    <w:tmpl w:val="76E4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973FF4"/>
    <w:multiLevelType w:val="multilevel"/>
    <w:tmpl w:val="73E6B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002D33"/>
    <w:multiLevelType w:val="multilevel"/>
    <w:tmpl w:val="5584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C41284"/>
    <w:multiLevelType w:val="multilevel"/>
    <w:tmpl w:val="2DDA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281618"/>
    <w:multiLevelType w:val="hybridMultilevel"/>
    <w:tmpl w:val="3B686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6954AED"/>
    <w:multiLevelType w:val="hybridMultilevel"/>
    <w:tmpl w:val="B7163F74"/>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7657FB3"/>
    <w:multiLevelType w:val="hybridMultilevel"/>
    <w:tmpl w:val="BAC0F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79371BF"/>
    <w:multiLevelType w:val="hybridMultilevel"/>
    <w:tmpl w:val="EF84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A192C19"/>
    <w:multiLevelType w:val="multilevel"/>
    <w:tmpl w:val="FB26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097AA6"/>
    <w:multiLevelType w:val="hybridMultilevel"/>
    <w:tmpl w:val="08E82078"/>
    <w:lvl w:ilvl="0" w:tplc="40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F1562D2"/>
    <w:multiLevelType w:val="hybridMultilevel"/>
    <w:tmpl w:val="CBD2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472E0A"/>
    <w:multiLevelType w:val="hybridMultilevel"/>
    <w:tmpl w:val="CA3615D4"/>
    <w:lvl w:ilvl="0" w:tplc="40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32147807"/>
    <w:multiLevelType w:val="hybridMultilevel"/>
    <w:tmpl w:val="D7EAA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3271EDD"/>
    <w:multiLevelType w:val="hybridMultilevel"/>
    <w:tmpl w:val="C3D2FBB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4" w15:restartNumberingAfterBreak="0">
    <w:nsid w:val="33E50D29"/>
    <w:multiLevelType w:val="multilevel"/>
    <w:tmpl w:val="FE20C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7C24C6"/>
    <w:multiLevelType w:val="multilevel"/>
    <w:tmpl w:val="DA88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872AFB"/>
    <w:multiLevelType w:val="hybridMultilevel"/>
    <w:tmpl w:val="580A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D6695F"/>
    <w:multiLevelType w:val="hybridMultilevel"/>
    <w:tmpl w:val="5BCE4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75D3630"/>
    <w:multiLevelType w:val="hybridMultilevel"/>
    <w:tmpl w:val="246A62C0"/>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7EA5240"/>
    <w:multiLevelType w:val="hybridMultilevel"/>
    <w:tmpl w:val="3C18CBDC"/>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2E059C"/>
    <w:multiLevelType w:val="hybridMultilevel"/>
    <w:tmpl w:val="D0329A80"/>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B560325"/>
    <w:multiLevelType w:val="hybridMultilevel"/>
    <w:tmpl w:val="5BF89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CF25CFF"/>
    <w:multiLevelType w:val="multilevel"/>
    <w:tmpl w:val="E612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D19321C"/>
    <w:multiLevelType w:val="multilevel"/>
    <w:tmpl w:val="5190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9A09E7"/>
    <w:multiLevelType w:val="hybridMultilevel"/>
    <w:tmpl w:val="9886D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FE7483A"/>
    <w:multiLevelType w:val="multilevel"/>
    <w:tmpl w:val="A5F064BE"/>
    <w:lvl w:ilvl="0">
      <w:start w:val="2"/>
      <w:numFmt w:val="decimal"/>
      <w:lvlText w:val="%1."/>
      <w:lvlJc w:val="left"/>
      <w:pPr>
        <w:ind w:left="502"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439F61B4"/>
    <w:multiLevelType w:val="hybridMultilevel"/>
    <w:tmpl w:val="EDAED170"/>
    <w:lvl w:ilvl="0" w:tplc="08090001">
      <w:start w:val="1"/>
      <w:numFmt w:val="bullet"/>
      <w:lvlText w:val=""/>
      <w:lvlJc w:val="left"/>
      <w:pPr>
        <w:ind w:left="1476" w:hanging="360"/>
      </w:pPr>
      <w:rPr>
        <w:rFonts w:ascii="Symbol" w:hAnsi="Symbol" w:hint="default"/>
      </w:rPr>
    </w:lvl>
    <w:lvl w:ilvl="1" w:tplc="08090003" w:tentative="1">
      <w:start w:val="1"/>
      <w:numFmt w:val="bullet"/>
      <w:lvlText w:val="o"/>
      <w:lvlJc w:val="left"/>
      <w:pPr>
        <w:ind w:left="2196" w:hanging="360"/>
      </w:pPr>
      <w:rPr>
        <w:rFonts w:ascii="Courier New" w:hAnsi="Courier New" w:cs="Courier New" w:hint="default"/>
      </w:rPr>
    </w:lvl>
    <w:lvl w:ilvl="2" w:tplc="08090005" w:tentative="1">
      <w:start w:val="1"/>
      <w:numFmt w:val="bullet"/>
      <w:lvlText w:val=""/>
      <w:lvlJc w:val="left"/>
      <w:pPr>
        <w:ind w:left="2916" w:hanging="360"/>
      </w:pPr>
      <w:rPr>
        <w:rFonts w:ascii="Wingdings" w:hAnsi="Wingdings" w:hint="default"/>
      </w:rPr>
    </w:lvl>
    <w:lvl w:ilvl="3" w:tplc="08090001" w:tentative="1">
      <w:start w:val="1"/>
      <w:numFmt w:val="bullet"/>
      <w:lvlText w:val=""/>
      <w:lvlJc w:val="left"/>
      <w:pPr>
        <w:ind w:left="3636" w:hanging="360"/>
      </w:pPr>
      <w:rPr>
        <w:rFonts w:ascii="Symbol" w:hAnsi="Symbol" w:hint="default"/>
      </w:rPr>
    </w:lvl>
    <w:lvl w:ilvl="4" w:tplc="08090003" w:tentative="1">
      <w:start w:val="1"/>
      <w:numFmt w:val="bullet"/>
      <w:lvlText w:val="o"/>
      <w:lvlJc w:val="left"/>
      <w:pPr>
        <w:ind w:left="4356" w:hanging="360"/>
      </w:pPr>
      <w:rPr>
        <w:rFonts w:ascii="Courier New" w:hAnsi="Courier New" w:cs="Courier New" w:hint="default"/>
      </w:rPr>
    </w:lvl>
    <w:lvl w:ilvl="5" w:tplc="08090005" w:tentative="1">
      <w:start w:val="1"/>
      <w:numFmt w:val="bullet"/>
      <w:lvlText w:val=""/>
      <w:lvlJc w:val="left"/>
      <w:pPr>
        <w:ind w:left="5076" w:hanging="360"/>
      </w:pPr>
      <w:rPr>
        <w:rFonts w:ascii="Wingdings" w:hAnsi="Wingdings" w:hint="default"/>
      </w:rPr>
    </w:lvl>
    <w:lvl w:ilvl="6" w:tplc="08090001" w:tentative="1">
      <w:start w:val="1"/>
      <w:numFmt w:val="bullet"/>
      <w:lvlText w:val=""/>
      <w:lvlJc w:val="left"/>
      <w:pPr>
        <w:ind w:left="5796" w:hanging="360"/>
      </w:pPr>
      <w:rPr>
        <w:rFonts w:ascii="Symbol" w:hAnsi="Symbol" w:hint="default"/>
      </w:rPr>
    </w:lvl>
    <w:lvl w:ilvl="7" w:tplc="08090003" w:tentative="1">
      <w:start w:val="1"/>
      <w:numFmt w:val="bullet"/>
      <w:lvlText w:val="o"/>
      <w:lvlJc w:val="left"/>
      <w:pPr>
        <w:ind w:left="6516" w:hanging="360"/>
      </w:pPr>
      <w:rPr>
        <w:rFonts w:ascii="Courier New" w:hAnsi="Courier New" w:cs="Courier New" w:hint="default"/>
      </w:rPr>
    </w:lvl>
    <w:lvl w:ilvl="8" w:tplc="08090005" w:tentative="1">
      <w:start w:val="1"/>
      <w:numFmt w:val="bullet"/>
      <w:lvlText w:val=""/>
      <w:lvlJc w:val="left"/>
      <w:pPr>
        <w:ind w:left="7236" w:hanging="360"/>
      </w:pPr>
      <w:rPr>
        <w:rFonts w:ascii="Wingdings" w:hAnsi="Wingdings" w:hint="default"/>
      </w:rPr>
    </w:lvl>
  </w:abstractNum>
  <w:abstractNum w:abstractNumId="47" w15:restartNumberingAfterBreak="0">
    <w:nsid w:val="43FA118B"/>
    <w:multiLevelType w:val="hybridMultilevel"/>
    <w:tmpl w:val="76645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B247718"/>
    <w:multiLevelType w:val="hybridMultilevel"/>
    <w:tmpl w:val="52EA3222"/>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C412C11"/>
    <w:multiLevelType w:val="multilevel"/>
    <w:tmpl w:val="8F90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1E0976"/>
    <w:multiLevelType w:val="hybridMultilevel"/>
    <w:tmpl w:val="6C382D9C"/>
    <w:lvl w:ilvl="0" w:tplc="40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571C94"/>
    <w:multiLevelType w:val="multilevel"/>
    <w:tmpl w:val="FCCE1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EB5A9E"/>
    <w:multiLevelType w:val="multilevel"/>
    <w:tmpl w:val="6F8E2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FD13EC7"/>
    <w:multiLevelType w:val="multilevel"/>
    <w:tmpl w:val="48648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0866B6F"/>
    <w:multiLevelType w:val="hybridMultilevel"/>
    <w:tmpl w:val="B6A68F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52524BD"/>
    <w:multiLevelType w:val="hybridMultilevel"/>
    <w:tmpl w:val="5928A8E0"/>
    <w:lvl w:ilvl="0" w:tplc="40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554336E5"/>
    <w:multiLevelType w:val="multilevel"/>
    <w:tmpl w:val="6B3C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1A134F"/>
    <w:multiLevelType w:val="multilevel"/>
    <w:tmpl w:val="EC86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536178"/>
    <w:multiLevelType w:val="hybridMultilevel"/>
    <w:tmpl w:val="49D61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A617EC5"/>
    <w:multiLevelType w:val="multilevel"/>
    <w:tmpl w:val="1AF6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D9597A"/>
    <w:multiLevelType w:val="hybridMultilevel"/>
    <w:tmpl w:val="2BD63B8A"/>
    <w:lvl w:ilvl="0" w:tplc="40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13A3FA1"/>
    <w:multiLevelType w:val="multilevel"/>
    <w:tmpl w:val="AA66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565F48"/>
    <w:multiLevelType w:val="multilevel"/>
    <w:tmpl w:val="3930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C20302"/>
    <w:multiLevelType w:val="multilevel"/>
    <w:tmpl w:val="436AC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9F58B6"/>
    <w:multiLevelType w:val="hybridMultilevel"/>
    <w:tmpl w:val="7E2256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8541DDF"/>
    <w:multiLevelType w:val="hybridMultilevel"/>
    <w:tmpl w:val="4BF093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A83637D"/>
    <w:multiLevelType w:val="hybridMultilevel"/>
    <w:tmpl w:val="1A70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03A4388"/>
    <w:multiLevelType w:val="hybridMultilevel"/>
    <w:tmpl w:val="0B262EDC"/>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2A26F5F"/>
    <w:multiLevelType w:val="hybridMultilevel"/>
    <w:tmpl w:val="260CE5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3085318"/>
    <w:multiLevelType w:val="multilevel"/>
    <w:tmpl w:val="FD7A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1E7FE2"/>
    <w:multiLevelType w:val="hybridMultilevel"/>
    <w:tmpl w:val="885EECCA"/>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6A1615A"/>
    <w:multiLevelType w:val="hybridMultilevel"/>
    <w:tmpl w:val="BBBA6CC4"/>
    <w:lvl w:ilvl="0" w:tplc="40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6C2461F"/>
    <w:multiLevelType w:val="multilevel"/>
    <w:tmpl w:val="93F0E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A41CFC"/>
    <w:multiLevelType w:val="hybridMultilevel"/>
    <w:tmpl w:val="28E8A9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15:restartNumberingAfterBreak="0">
    <w:nsid w:val="78116918"/>
    <w:multiLevelType w:val="hybridMultilevel"/>
    <w:tmpl w:val="53C2C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A4A3D40"/>
    <w:multiLevelType w:val="multilevel"/>
    <w:tmpl w:val="F800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E50056"/>
    <w:multiLevelType w:val="hybridMultilevel"/>
    <w:tmpl w:val="25F6D834"/>
    <w:lvl w:ilvl="0" w:tplc="40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7" w15:restartNumberingAfterBreak="0">
    <w:nsid w:val="7D7705B6"/>
    <w:multiLevelType w:val="multilevel"/>
    <w:tmpl w:val="7D94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9F3E90"/>
    <w:multiLevelType w:val="hybridMultilevel"/>
    <w:tmpl w:val="993AE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FE07D2C"/>
    <w:multiLevelType w:val="hybridMultilevel"/>
    <w:tmpl w:val="E728738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5082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2745380">
    <w:abstractNumId w:val="68"/>
  </w:num>
  <w:num w:numId="3" w16cid:durableId="1666518002">
    <w:abstractNumId w:val="79"/>
  </w:num>
  <w:num w:numId="4" w16cid:durableId="1790657367">
    <w:abstractNumId w:val="74"/>
  </w:num>
  <w:num w:numId="5" w16cid:durableId="2066290760">
    <w:abstractNumId w:val="64"/>
  </w:num>
  <w:num w:numId="6" w16cid:durableId="1972205035">
    <w:abstractNumId w:val="13"/>
  </w:num>
  <w:num w:numId="7" w16cid:durableId="1018312191">
    <w:abstractNumId w:val="47"/>
  </w:num>
  <w:num w:numId="8" w16cid:durableId="1293167896">
    <w:abstractNumId w:val="25"/>
  </w:num>
  <w:num w:numId="9" w16cid:durableId="1705252215">
    <w:abstractNumId w:val="40"/>
  </w:num>
  <w:num w:numId="10" w16cid:durableId="1732389473">
    <w:abstractNumId w:val="3"/>
  </w:num>
  <w:num w:numId="11" w16cid:durableId="1972131413">
    <w:abstractNumId w:val="48"/>
  </w:num>
  <w:num w:numId="12" w16cid:durableId="111870205">
    <w:abstractNumId w:val="10"/>
  </w:num>
  <w:num w:numId="13" w16cid:durableId="793333188">
    <w:abstractNumId w:val="15"/>
  </w:num>
  <w:num w:numId="14" w16cid:durableId="12347332">
    <w:abstractNumId w:val="6"/>
  </w:num>
  <w:num w:numId="15" w16cid:durableId="170730266">
    <w:abstractNumId w:val="55"/>
  </w:num>
  <w:num w:numId="16" w16cid:durableId="1497695351">
    <w:abstractNumId w:val="0"/>
  </w:num>
  <w:num w:numId="17" w16cid:durableId="672146421">
    <w:abstractNumId w:val="39"/>
  </w:num>
  <w:num w:numId="18" w16cid:durableId="1002974954">
    <w:abstractNumId w:val="8"/>
  </w:num>
  <w:num w:numId="19" w16cid:durableId="130483773">
    <w:abstractNumId w:val="67"/>
  </w:num>
  <w:num w:numId="20" w16cid:durableId="844712453">
    <w:abstractNumId w:val="70"/>
  </w:num>
  <w:num w:numId="21" w16cid:durableId="377243671">
    <w:abstractNumId w:val="60"/>
  </w:num>
  <w:num w:numId="22" w16cid:durableId="1303776287">
    <w:abstractNumId w:val="31"/>
  </w:num>
  <w:num w:numId="23" w16cid:durableId="945305270">
    <w:abstractNumId w:val="29"/>
  </w:num>
  <w:num w:numId="24" w16cid:durableId="395786786">
    <w:abstractNumId w:val="71"/>
  </w:num>
  <w:num w:numId="25" w16cid:durableId="1877044596">
    <w:abstractNumId w:val="38"/>
  </w:num>
  <w:num w:numId="26" w16cid:durableId="237710168">
    <w:abstractNumId w:val="7"/>
  </w:num>
  <w:num w:numId="27" w16cid:durableId="89784612">
    <w:abstractNumId w:val="2"/>
  </w:num>
  <w:num w:numId="28" w16cid:durableId="368839525">
    <w:abstractNumId w:val="50"/>
  </w:num>
  <w:num w:numId="29" w16cid:durableId="1636445216">
    <w:abstractNumId w:val="16"/>
  </w:num>
  <w:num w:numId="30" w16cid:durableId="328681186">
    <w:abstractNumId w:val="17"/>
  </w:num>
  <w:num w:numId="31" w16cid:durableId="1901357223">
    <w:abstractNumId w:val="37"/>
  </w:num>
  <w:num w:numId="32" w16cid:durableId="1425111923">
    <w:abstractNumId w:val="11"/>
  </w:num>
  <w:num w:numId="33" w16cid:durableId="1847399133">
    <w:abstractNumId w:val="54"/>
  </w:num>
  <w:num w:numId="34" w16cid:durableId="1647859511">
    <w:abstractNumId w:val="65"/>
  </w:num>
  <w:num w:numId="35" w16cid:durableId="380714758">
    <w:abstractNumId w:val="76"/>
  </w:num>
  <w:num w:numId="36" w16cid:durableId="202331068">
    <w:abstractNumId w:val="24"/>
  </w:num>
  <w:num w:numId="37" w16cid:durableId="736784434">
    <w:abstractNumId w:val="45"/>
  </w:num>
  <w:num w:numId="38" w16cid:durableId="656034225">
    <w:abstractNumId w:val="46"/>
  </w:num>
  <w:num w:numId="39" w16cid:durableId="1713532232">
    <w:abstractNumId w:val="36"/>
  </w:num>
  <w:num w:numId="40" w16cid:durableId="1790779111">
    <w:abstractNumId w:val="33"/>
  </w:num>
  <w:num w:numId="41" w16cid:durableId="1363629681">
    <w:abstractNumId w:val="66"/>
  </w:num>
  <w:num w:numId="42" w16cid:durableId="690454225">
    <w:abstractNumId w:val="73"/>
  </w:num>
  <w:num w:numId="43" w16cid:durableId="1087732020">
    <w:abstractNumId w:val="57"/>
  </w:num>
  <w:num w:numId="44" w16cid:durableId="1675381641">
    <w:abstractNumId w:val="78"/>
  </w:num>
  <w:num w:numId="45" w16cid:durableId="1802647209">
    <w:abstractNumId w:val="19"/>
  </w:num>
  <w:num w:numId="46" w16cid:durableId="121189736">
    <w:abstractNumId w:val="22"/>
  </w:num>
  <w:num w:numId="47" w16cid:durableId="1099763980">
    <w:abstractNumId w:val="12"/>
  </w:num>
  <w:num w:numId="48" w16cid:durableId="2090347763">
    <w:abstractNumId w:val="27"/>
  </w:num>
  <w:num w:numId="49" w16cid:durableId="20402368">
    <w:abstractNumId w:val="26"/>
  </w:num>
  <w:num w:numId="50" w16cid:durableId="1599101258">
    <w:abstractNumId w:val="49"/>
  </w:num>
  <w:num w:numId="51" w16cid:durableId="637999922">
    <w:abstractNumId w:val="69"/>
  </w:num>
  <w:num w:numId="52" w16cid:durableId="1601645269">
    <w:abstractNumId w:val="72"/>
  </w:num>
  <w:num w:numId="53" w16cid:durableId="364523517">
    <w:abstractNumId w:val="32"/>
  </w:num>
  <w:num w:numId="54" w16cid:durableId="248316079">
    <w:abstractNumId w:val="4"/>
  </w:num>
  <w:num w:numId="55" w16cid:durableId="710227314">
    <w:abstractNumId w:val="63"/>
  </w:num>
  <w:num w:numId="56" w16cid:durableId="12221876">
    <w:abstractNumId w:val="5"/>
  </w:num>
  <w:num w:numId="57" w16cid:durableId="920679403">
    <w:abstractNumId w:val="43"/>
  </w:num>
  <w:num w:numId="58" w16cid:durableId="235096299">
    <w:abstractNumId w:val="52"/>
  </w:num>
  <w:num w:numId="59" w16cid:durableId="852645420">
    <w:abstractNumId w:val="41"/>
  </w:num>
  <w:num w:numId="60" w16cid:durableId="509027021">
    <w:abstractNumId w:val="61"/>
  </w:num>
  <w:num w:numId="61" w16cid:durableId="1850943065">
    <w:abstractNumId w:val="51"/>
  </w:num>
  <w:num w:numId="62" w16cid:durableId="1248424599">
    <w:abstractNumId w:val="56"/>
  </w:num>
  <w:num w:numId="63" w16cid:durableId="1697920849">
    <w:abstractNumId w:val="53"/>
  </w:num>
  <w:num w:numId="64" w16cid:durableId="1479616765">
    <w:abstractNumId w:val="58"/>
  </w:num>
  <w:num w:numId="65" w16cid:durableId="1799489566">
    <w:abstractNumId w:val="9"/>
  </w:num>
  <w:num w:numId="66" w16cid:durableId="944535588">
    <w:abstractNumId w:val="75"/>
  </w:num>
  <w:num w:numId="67" w16cid:durableId="2130080279">
    <w:abstractNumId w:val="62"/>
  </w:num>
  <w:num w:numId="68" w16cid:durableId="831019263">
    <w:abstractNumId w:val="34"/>
  </w:num>
  <w:num w:numId="69" w16cid:durableId="1200512151">
    <w:abstractNumId w:val="35"/>
  </w:num>
  <w:num w:numId="70" w16cid:durableId="352847218">
    <w:abstractNumId w:val="18"/>
  </w:num>
  <w:num w:numId="71" w16cid:durableId="1451195777">
    <w:abstractNumId w:val="42"/>
  </w:num>
  <w:num w:numId="72" w16cid:durableId="612980640">
    <w:abstractNumId w:val="14"/>
  </w:num>
  <w:num w:numId="73" w16cid:durableId="2047754924">
    <w:abstractNumId w:val="59"/>
  </w:num>
  <w:num w:numId="74" w16cid:durableId="1801998755">
    <w:abstractNumId w:val="30"/>
  </w:num>
  <w:num w:numId="75" w16cid:durableId="549194800">
    <w:abstractNumId w:val="44"/>
  </w:num>
  <w:num w:numId="76" w16cid:durableId="528689643">
    <w:abstractNumId w:val="1"/>
  </w:num>
  <w:num w:numId="77" w16cid:durableId="946428988">
    <w:abstractNumId w:val="77"/>
  </w:num>
  <w:num w:numId="78" w16cid:durableId="1941453101">
    <w:abstractNumId w:val="23"/>
  </w:num>
  <w:num w:numId="79" w16cid:durableId="843205382">
    <w:abstractNumId w:val="28"/>
  </w:num>
  <w:num w:numId="80" w16cid:durableId="1769806793">
    <w:abstractNumId w:val="20"/>
  </w:num>
  <w:num w:numId="81" w16cid:durableId="95394438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0BE"/>
    <w:rsid w:val="000104FB"/>
    <w:rsid w:val="000449F2"/>
    <w:rsid w:val="00065238"/>
    <w:rsid w:val="00071071"/>
    <w:rsid w:val="0007349C"/>
    <w:rsid w:val="00084E65"/>
    <w:rsid w:val="0008503F"/>
    <w:rsid w:val="00107936"/>
    <w:rsid w:val="00115B96"/>
    <w:rsid w:val="00123F58"/>
    <w:rsid w:val="00161DDE"/>
    <w:rsid w:val="001C1679"/>
    <w:rsid w:val="001E3ADD"/>
    <w:rsid w:val="002348C6"/>
    <w:rsid w:val="002500E9"/>
    <w:rsid w:val="0029423D"/>
    <w:rsid w:val="002B2FDC"/>
    <w:rsid w:val="002B4295"/>
    <w:rsid w:val="002B76BF"/>
    <w:rsid w:val="002D12CB"/>
    <w:rsid w:val="00324CCD"/>
    <w:rsid w:val="0032620E"/>
    <w:rsid w:val="0033299D"/>
    <w:rsid w:val="00335BCF"/>
    <w:rsid w:val="00336C1B"/>
    <w:rsid w:val="00346B34"/>
    <w:rsid w:val="00354230"/>
    <w:rsid w:val="00387CF6"/>
    <w:rsid w:val="003C11E7"/>
    <w:rsid w:val="003F3993"/>
    <w:rsid w:val="004255F0"/>
    <w:rsid w:val="00480872"/>
    <w:rsid w:val="004A11F6"/>
    <w:rsid w:val="004C5955"/>
    <w:rsid w:val="004D2BBE"/>
    <w:rsid w:val="004D519C"/>
    <w:rsid w:val="004F20A9"/>
    <w:rsid w:val="00501BE9"/>
    <w:rsid w:val="00516947"/>
    <w:rsid w:val="00553524"/>
    <w:rsid w:val="005846D7"/>
    <w:rsid w:val="00592E1B"/>
    <w:rsid w:val="00595B94"/>
    <w:rsid w:val="00622E48"/>
    <w:rsid w:val="0063471A"/>
    <w:rsid w:val="00647B86"/>
    <w:rsid w:val="0065283E"/>
    <w:rsid w:val="00655AD9"/>
    <w:rsid w:val="006A6C87"/>
    <w:rsid w:val="006B2C98"/>
    <w:rsid w:val="006D72F0"/>
    <w:rsid w:val="0073533E"/>
    <w:rsid w:val="0074443B"/>
    <w:rsid w:val="007D1947"/>
    <w:rsid w:val="008544B7"/>
    <w:rsid w:val="00930DBB"/>
    <w:rsid w:val="00931CAA"/>
    <w:rsid w:val="0096577A"/>
    <w:rsid w:val="00971D11"/>
    <w:rsid w:val="00990D3C"/>
    <w:rsid w:val="009A256E"/>
    <w:rsid w:val="00A11633"/>
    <w:rsid w:val="00A12B58"/>
    <w:rsid w:val="00A777CA"/>
    <w:rsid w:val="00A91319"/>
    <w:rsid w:val="00AA2A91"/>
    <w:rsid w:val="00AE051C"/>
    <w:rsid w:val="00AE084B"/>
    <w:rsid w:val="00B07DB7"/>
    <w:rsid w:val="00B409C3"/>
    <w:rsid w:val="00B66795"/>
    <w:rsid w:val="00BA1D22"/>
    <w:rsid w:val="00BC0AB6"/>
    <w:rsid w:val="00BD37CA"/>
    <w:rsid w:val="00C06376"/>
    <w:rsid w:val="00C83CE4"/>
    <w:rsid w:val="00CA09F3"/>
    <w:rsid w:val="00CE00E1"/>
    <w:rsid w:val="00CF0E48"/>
    <w:rsid w:val="00D16DFC"/>
    <w:rsid w:val="00D23B07"/>
    <w:rsid w:val="00D64C40"/>
    <w:rsid w:val="00D854A5"/>
    <w:rsid w:val="00D921E5"/>
    <w:rsid w:val="00DD33C5"/>
    <w:rsid w:val="00E059E8"/>
    <w:rsid w:val="00E56F2F"/>
    <w:rsid w:val="00E86003"/>
    <w:rsid w:val="00EA199A"/>
    <w:rsid w:val="00F065BC"/>
    <w:rsid w:val="00F1777D"/>
    <w:rsid w:val="00F33B24"/>
    <w:rsid w:val="00F93CDB"/>
    <w:rsid w:val="00F95C1E"/>
    <w:rsid w:val="00FB5D3B"/>
    <w:rsid w:val="00FF40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77CA"/>
    <w:pPr>
      <w:keepNext/>
      <w:keepLines/>
      <w:spacing w:before="40" w:after="0"/>
      <w:outlineLvl w:val="2"/>
    </w:pPr>
    <w:rPr>
      <w:rFonts w:asciiTheme="minorBidi" w:eastAsiaTheme="majorEastAsia" w:hAnsiTheme="minorBid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443B"/>
    <w:pPr>
      <w:keepNext/>
      <w:keepLines/>
      <w:spacing w:before="40" w:after="0"/>
      <w:outlineLvl w:val="3"/>
    </w:pPr>
    <w:rPr>
      <w:rFonts w:asciiTheme="minorBidi" w:eastAsiaTheme="majorEastAsia" w:hAnsiTheme="minorBidi" w:cstheme="majorBidi"/>
      <w:iCs/>
      <w:color w:val="2E74B5" w:themeColor="accent1" w:themeShade="BF"/>
      <w:sz w:val="24"/>
    </w:rPr>
  </w:style>
  <w:style w:type="paragraph" w:styleId="Heading5">
    <w:name w:val="heading 5"/>
    <w:basedOn w:val="Normal"/>
    <w:next w:val="Normal"/>
    <w:link w:val="Heading5Char"/>
    <w:uiPriority w:val="9"/>
    <w:unhideWhenUsed/>
    <w:qFormat/>
    <w:rsid w:val="001C167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BC0AB6"/>
    <w:pPr>
      <w:tabs>
        <w:tab w:val="right" w:leader="dot" w:pos="9016"/>
      </w:tabs>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character" w:customStyle="1" w:styleId="Heading3Char">
    <w:name w:val="Heading 3 Char"/>
    <w:basedOn w:val="DefaultParagraphFont"/>
    <w:link w:val="Heading3"/>
    <w:uiPriority w:val="9"/>
    <w:rsid w:val="00A777CA"/>
    <w:rPr>
      <w:rFonts w:asciiTheme="minorBidi" w:eastAsiaTheme="majorEastAsia" w:hAnsiTheme="minorBidi" w:cstheme="majorBidi"/>
      <w:color w:val="1F4D78" w:themeColor="accent1" w:themeShade="7F"/>
      <w:sz w:val="24"/>
      <w:szCs w:val="24"/>
    </w:rPr>
  </w:style>
  <w:style w:type="character" w:customStyle="1" w:styleId="Heading4Char">
    <w:name w:val="Heading 4 Char"/>
    <w:basedOn w:val="DefaultParagraphFont"/>
    <w:link w:val="Heading4"/>
    <w:uiPriority w:val="9"/>
    <w:rsid w:val="0074443B"/>
    <w:rPr>
      <w:rFonts w:asciiTheme="minorBidi" w:eastAsiaTheme="majorEastAsia" w:hAnsiTheme="minorBidi" w:cstheme="majorBidi"/>
      <w:iCs/>
      <w:color w:val="2E74B5" w:themeColor="accent1" w:themeShade="BF"/>
      <w:sz w:val="24"/>
    </w:rPr>
  </w:style>
  <w:style w:type="paragraph" w:styleId="TOC3">
    <w:name w:val="toc 3"/>
    <w:basedOn w:val="Normal"/>
    <w:next w:val="Normal"/>
    <w:autoRedefine/>
    <w:uiPriority w:val="39"/>
    <w:unhideWhenUsed/>
    <w:rsid w:val="006A6C87"/>
    <w:pPr>
      <w:spacing w:after="100"/>
      <w:ind w:left="440"/>
    </w:pPr>
  </w:style>
  <w:style w:type="paragraph" w:styleId="ListParagraph">
    <w:name w:val="List Paragraph"/>
    <w:basedOn w:val="Normal"/>
    <w:uiPriority w:val="34"/>
    <w:qFormat/>
    <w:rsid w:val="0008503F"/>
    <w:pPr>
      <w:ind w:left="720"/>
      <w:contextualSpacing/>
    </w:pPr>
  </w:style>
  <w:style w:type="table" w:styleId="TableGrid">
    <w:name w:val="Table Grid"/>
    <w:basedOn w:val="TableNormal"/>
    <w:uiPriority w:val="39"/>
    <w:rsid w:val="00647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95B9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2620E"/>
    <w:rPr>
      <w:color w:val="605E5C"/>
      <w:shd w:val="clear" w:color="auto" w:fill="E1DFDD"/>
    </w:rPr>
  </w:style>
  <w:style w:type="character" w:customStyle="1" w:styleId="citation-48">
    <w:name w:val="citation-48"/>
    <w:basedOn w:val="DefaultParagraphFont"/>
    <w:rsid w:val="00D921E5"/>
  </w:style>
  <w:style w:type="character" w:styleId="PlaceholderText">
    <w:name w:val="Placeholder Text"/>
    <w:basedOn w:val="DefaultParagraphFont"/>
    <w:uiPriority w:val="99"/>
    <w:semiHidden/>
    <w:rsid w:val="00BA1D22"/>
    <w:rPr>
      <w:color w:val="666666"/>
    </w:rPr>
  </w:style>
  <w:style w:type="character" w:customStyle="1" w:styleId="Heading5Char">
    <w:name w:val="Heading 5 Char"/>
    <w:basedOn w:val="DefaultParagraphFont"/>
    <w:link w:val="Heading5"/>
    <w:uiPriority w:val="9"/>
    <w:rsid w:val="001C1679"/>
    <w:rPr>
      <w:rFonts w:asciiTheme="majorHAnsi" w:eastAsiaTheme="majorEastAsia" w:hAnsiTheme="majorHAnsi" w:cstheme="majorBidi"/>
      <w:color w:val="2E74B5" w:themeColor="accent1" w:themeShade="BF"/>
    </w:rPr>
  </w:style>
  <w:style w:type="character" w:customStyle="1" w:styleId="math-inline">
    <w:name w:val="math-inline"/>
    <w:basedOn w:val="DefaultParagraphFont"/>
    <w:rsid w:val="00336C1B"/>
  </w:style>
  <w:style w:type="paragraph" w:styleId="Caption">
    <w:name w:val="caption"/>
    <w:basedOn w:val="Normal"/>
    <w:next w:val="Normal"/>
    <w:uiPriority w:val="35"/>
    <w:unhideWhenUsed/>
    <w:qFormat/>
    <w:rsid w:val="000104FB"/>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0104F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search?q=https://www.reuters.com/business/finance" TargetMode="External"/><Relationship Id="rId21" Type="http://schemas.openxmlformats.org/officeDocument/2006/relationships/hyperlink" Target="https://www.bloomberg.com/markets" TargetMode="External"/><Relationship Id="rId34" Type="http://schemas.openxmlformats.org/officeDocument/2006/relationships/hyperlink" Target="https://www.hsbc.com/who-we-are/our-climate-strategy/our-net-zero-transition-plan" TargetMode="External"/><Relationship Id="rId42" Type="http://schemas.openxmlformats.org/officeDocument/2006/relationships/hyperlink" Target="https://librarysearch.uwtsd.ac.uk/permalink/44WHELF_UWTSD/8m4jce/BM_eNrjYuBNLC3JSM0ryUxOLElN4WRg8Qh2cuZhYE1LzClO5YXS3Ayqbq4hzh66BUX5haWpxSXxeanlxQWJBalFxfHGRuYWlsbGhuZGBsSqAwA-_SP7" TargetMode="External"/><Relationship Id="rId47" Type="http://schemas.openxmlformats.org/officeDocument/2006/relationships/hyperlink" Target="https://librarysearch.uwtsd.ac.uk/permalink/44WHELF_UWTSD/8m4jce/BM_eNqNys0KgkAUQGE3LfrxHe6iaFNRahm0UwqhRVDt5Y5eSxxmbOYO4ttH1AO0OvBxRp6Pjp-kuC6QqRx6VSJ10QhnmQxMN-FqK0CgaqAklAe46h4lJB9gDcL1kN2S9AspKixxAdhhzRYMPZxE1sbO4XIGrYANKosF11pNvEGF0pL_69ibnY73NFu2Rr8cWc4VdbbFlozNgzgK9vEujKL1v98bKDJGJg" TargetMode="External"/><Relationship Id="rId50" Type="http://schemas.openxmlformats.org/officeDocument/2006/relationships/hyperlink" Target="file:///C:/Users/HP/Downloads/250219-annual-report-and-accounts-2024%20(1).pdf" TargetMode="External"/><Relationship Id="rId55" Type="http://schemas.openxmlformats.org/officeDocument/2006/relationships/hyperlink" Target="file:///C:/Users/HP/Downloads/250227-financial-statements-2024.pdf" TargetMode="External"/><Relationship Id="rId63"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youtu.be/Ola2KonkVfA" TargetMode="External"/><Relationship Id="rId29" Type="http://schemas.openxmlformats.org/officeDocument/2006/relationships/hyperlink" Target="https://youtu.be/Ola2KonkVfA" TargetMode="External"/><Relationship Id="rId11" Type="http://schemas.openxmlformats.org/officeDocument/2006/relationships/hyperlink" Target="mailto:2510986@student.uwtsd.ac.uk" TargetMode="External"/><Relationship Id="rId24" Type="http://schemas.openxmlformats.org/officeDocument/2006/relationships/hyperlink" Target="https://www.globalcapital.com" TargetMode="External"/><Relationship Id="rId32" Type="http://schemas.openxmlformats.org/officeDocument/2006/relationships/hyperlink" Target="https://www.about.hsbc.co.uk/news-and-media/hsbc-uk-pledges-more-than-55-million-investment-into-branch-network" TargetMode="External"/><Relationship Id="rId37" Type="http://schemas.openxmlformats.org/officeDocument/2006/relationships/hyperlink" Target="file:///C:/Users/HP/Downloads/251028-3q-2025-earnings-release.pdf" TargetMode="External"/><Relationship Id="rId40" Type="http://schemas.openxmlformats.org/officeDocument/2006/relationships/hyperlink" Target="file:///C:/Users/HP/Downloads/250219-strategic-report-2024.pdf" TargetMode="External"/><Relationship Id="rId45" Type="http://schemas.openxmlformats.org/officeDocument/2006/relationships/hyperlink" Target="https://librarysearch.uwtsd.ac.uk/permalink/44WHELF_UWTSD/8m4jce/BM_eNrjYuBNLC3JSM0ryUxOLElNYWHgNDA2M9I1MTY25GQwD0otLikqTS4pLcrMS1fwT1PwCHZyVnBKzMtWCE5NzS4GMnMS85JTFdxT8wvyczJBpuTkVPIwsKYl5hSn8kJpbgZVN9cQZw_dgqL8wlKgmfF5qeXFBYkFqUXF8caGhpbGZiYWhmYGxKoDAA1eOMw" TargetMode="External"/><Relationship Id="rId53" Type="http://schemas.openxmlformats.org/officeDocument/2006/relationships/hyperlink" Target="file:///C:/Users/HP/Downloads/250227-financial-review-2024.pdf" TargetMode="External"/><Relationship Id="rId58" Type="http://schemas.openxmlformats.org/officeDocument/2006/relationships/hyperlink" Target="file:///C:/Users/HP/Downloads/240221-annual-report-and-accounts-2023.pdf" TargetMode="External"/><Relationship Id="rId66"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file:///C:/Users/HP/Downloads/stewardship-plan-uk.pdf" TargetMode="External"/><Relationship Id="rId19" Type="http://schemas.openxmlformats.org/officeDocument/2006/relationships/hyperlink" Target="https://www.hsbc.com/media" TargetMode="External"/><Relationship Id="rId14" Type="http://schemas.openxmlformats.org/officeDocument/2006/relationships/image" Target="media/image4.png"/><Relationship Id="rId22" Type="http://schemas.openxmlformats.org/officeDocument/2006/relationships/hyperlink" Target="https://www.ft.com" TargetMode="External"/><Relationship Id="rId27" Type="http://schemas.openxmlformats.org/officeDocument/2006/relationships/hyperlink" Target="https://www.reuters.com" TargetMode="External"/><Relationship Id="rId30" Type="http://schemas.openxmlformats.org/officeDocument/2006/relationships/hyperlink" Target="https://www.google.com/search?q=https://www.gov.uk/guidance/capital-allowances" TargetMode="External"/><Relationship Id="rId35" Type="http://schemas.openxmlformats.org/officeDocument/2006/relationships/hyperlink" Target="file:///C:/Users/HP/Downloads/251030-hsbc-innovation-banking-launches-in-singapore.pdf" TargetMode="External"/><Relationship Id="rId43" Type="http://schemas.openxmlformats.org/officeDocument/2006/relationships/hyperlink" Target="https://librarysearch.uwtsd.ac.uk/permalink/44WHELF_UWTSD/11c0l68/alma99100520082202421" TargetMode="External"/><Relationship Id="rId48" Type="http://schemas.openxmlformats.org/officeDocument/2006/relationships/hyperlink" Target="https://librarysearch.uwtsd.ac.uk/permalink/44WHELF_UWTSD/8m4jce/BM_eNrjYuBNLC3JSM0ryUxOLElN4WSwCs-oVPAIdnJ-1DCzWKE4MSdVITm_NCdFISlVIVGhOLUkKTE5WyEtv0ghN7-oJD0xPVWhOCO_oCC1qJiHgTUtMac4lRdKczNouLmGOHvoFhTlF5amFpfE52YWJ6fm5CTmpeaXFscbmRsZmhgZGlsaG5CgFAApojsR" TargetMode="External"/><Relationship Id="rId56" Type="http://schemas.openxmlformats.org/officeDocument/2006/relationships/hyperlink" Target="file:///C:/Users/HP/Downloads/240226-annual-report-and-accounts-2023.pdf" TargetMode="External"/><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file:///C:/Users/HP/Downloads/250219-strategic-report-2024%20(1).pdf"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home.barclays/investor-relations" TargetMode="External"/><Relationship Id="rId25" Type="http://schemas.openxmlformats.org/officeDocument/2006/relationships/hyperlink" Target="https://www.investing.com/news" TargetMode="External"/><Relationship Id="rId33" Type="http://schemas.openxmlformats.org/officeDocument/2006/relationships/hyperlink" Target="https://www.about.hsbc.co.uk/news-and-media/research-reveals-over-a-third-of-small-businesses-are-struggling" TargetMode="External"/><Relationship Id="rId38" Type="http://schemas.openxmlformats.org/officeDocument/2006/relationships/hyperlink" Target="file:///C:/Users/HP/Downloads/251028-3q-2025-presentation-to-investors-and-analysts.pdf" TargetMode="External"/><Relationship Id="rId46" Type="http://schemas.openxmlformats.org/officeDocument/2006/relationships/hyperlink" Target="https://librarysearch.uwtsd.ac.uk/permalink/44WHELF_UWTSD/8m4jce/BM_eNqNyr0OgjAUQOEOOqDyDndxxPAn1LhBJGwm6uJELnAbCdgiLTG8vST6AE7nDN-K2TiaB0nTVGioXjDLC3nkcNflFrt7wW6fwFkIGkBJmCEYLDs6QtZIlNU8FzVhBwnKFpSAFCXWCE9sSUPZ1GAUlOME-TVJv-grNmwpsNNk_7pm2-x0S3OnH9RrJG0KSW_dY0-DLvw49HnsR8HB_dd9AIa3Qjk" TargetMode="External"/><Relationship Id="rId59" Type="http://schemas.openxmlformats.org/officeDocument/2006/relationships/hyperlink" Target="https://www1.hkexnews.hk/listedco/listconews/sehk/2024/0221/2024022100137.pdf" TargetMode="External"/><Relationship Id="rId20" Type="http://schemas.openxmlformats.org/officeDocument/2006/relationships/hyperlink" Target="https://www.jpmorganchase.com/ir" TargetMode="External"/><Relationship Id="rId41" Type="http://schemas.openxmlformats.org/officeDocument/2006/relationships/hyperlink" Target="file:///C:/Users/HP/Downloads/250219-strategic-report-2024.pdffile:///C:/Users/HP/Downloads/250219-strategic-report-2024.pdffile:///C:/Users/HP/Downloads/250219-strategic-report-2024.pdf" TargetMode="External"/><Relationship Id="rId54" Type="http://schemas.openxmlformats.org/officeDocument/2006/relationships/hyperlink" Target="file:///C:/Users/HP/Downloads/25027-risk-review-2024.pdf" TargetMode="External"/><Relationship Id="rId62" Type="http://schemas.openxmlformats.org/officeDocument/2006/relationships/hyperlink" Target="file:///C:/Users/HP/Downloads/191108-bof-report.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tradingview.com/news" TargetMode="External"/><Relationship Id="rId28" Type="http://schemas.openxmlformats.org/officeDocument/2006/relationships/hyperlink" Target="https://www.bankingsupervision.europa.eu" TargetMode="External"/><Relationship Id="rId36" Type="http://schemas.openxmlformats.org/officeDocument/2006/relationships/hyperlink" Target="file:///C:/Users/HP/Downloads/251009-hsbc-innovation-banking-launches-in-india.pdf" TargetMode="External"/><Relationship Id="rId49" Type="http://schemas.openxmlformats.org/officeDocument/2006/relationships/hyperlink" Target="https://librarysearch.uwtsd.ac.uk/permalink/44WHELF_UWTSD/8m4jce/BM_eNrjYuBNLC3JSM0ryUxOLElN4WQQ8Ah2clZwSszLVghKLctMLedhYE1LzClO5YXS3Ayqbq4hzh66BUX5haWpxSXxeanlxQWJBalFxfHGhmaGJpaGphaGBsSqAwA8gCgp" TargetMode="External"/><Relationship Id="rId57" Type="http://schemas.openxmlformats.org/officeDocument/2006/relationships/hyperlink" Target="file:///C:/Users/HP/Downloads/240221-financial-statements-ara-2023.pdf" TargetMode="External"/><Relationship Id="rId10" Type="http://schemas.openxmlformats.org/officeDocument/2006/relationships/image" Target="media/image2.png"/><Relationship Id="rId31" Type="http://schemas.openxmlformats.org/officeDocument/2006/relationships/hyperlink" Target="https://www.hsbc.com/news-and-views/news/media-releases/2026/hsbcs-proposal-to-privatise-hang-seng-bank-approved-by-hang-seng-bank-shareholders" TargetMode="External"/><Relationship Id="rId44" Type="http://schemas.openxmlformats.org/officeDocument/2006/relationships/hyperlink" Target="https://librarysearch.uwtsd.ac.uk/permalink/44WHELF_UWTSD/11c0l68/alma99100522499102421" TargetMode="External"/><Relationship Id="rId52" Type="http://schemas.openxmlformats.org/officeDocument/2006/relationships/hyperlink" Target="file:///C:/Users/HP/Downloads/250227-esg-review-2024.pdf" TargetMode="External"/><Relationship Id="rId60" Type="http://schemas.openxmlformats.org/officeDocument/2006/relationships/hyperlink" Target="https://trajectorypartnership.com/wp-content/uploads/2016/09/HSBC-The-Future-of-Consumer-Demand-1.pdf" TargetMode="External"/><Relationship Id="rId65"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3" Type="http://schemas.microsoft.com/office/2007/relationships/hdphoto" Target="media/hdphoto1.wdp"/><Relationship Id="rId18" Type="http://schemas.openxmlformats.org/officeDocument/2006/relationships/hyperlink" Target="https://www.hsbc.com/investors" TargetMode="External"/><Relationship Id="rId39" Type="http://schemas.openxmlformats.org/officeDocument/2006/relationships/hyperlink" Target="file:///C:/Users/HP/Downloads/251028-3q-2025-presentation-to-investors-and-analysts%20(1).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5238"/>
    <w:rsid w:val="0007349C"/>
    <w:rsid w:val="000811B3"/>
    <w:rsid w:val="00145AD8"/>
    <w:rsid w:val="00242260"/>
    <w:rsid w:val="002450A7"/>
    <w:rsid w:val="003203C2"/>
    <w:rsid w:val="003C11E7"/>
    <w:rsid w:val="004D25D2"/>
    <w:rsid w:val="00661B09"/>
    <w:rsid w:val="00A11633"/>
    <w:rsid w:val="00A34C42"/>
    <w:rsid w:val="00B910DE"/>
    <w:rsid w:val="00BC1251"/>
    <w:rsid w:val="00C67429"/>
    <w:rsid w:val="00CF0CED"/>
    <w:rsid w:val="00E00C6B"/>
    <w:rsid w:val="00FB04F2"/>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661B0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11974</Words>
  <Characters>66696</Characters>
  <Application>Microsoft Office Word</Application>
  <DocSecurity>0</DocSecurity>
  <Lines>2021</Lines>
  <Paragraphs>1108</Paragraphs>
  <ScaleCrop>false</ScaleCrop>
  <HeadingPairs>
    <vt:vector size="2" baseType="variant">
      <vt:variant>
        <vt:lpstr>Title</vt:lpstr>
      </vt:variant>
      <vt:variant>
        <vt:i4>1</vt:i4>
      </vt:variant>
    </vt:vector>
  </HeadingPairs>
  <TitlesOfParts>
    <vt:vector size="1" baseType="lpstr">
      <vt:lpstr>HSBC</vt:lpstr>
    </vt:vector>
  </TitlesOfParts>
  <Company>University of Wales Trinity Saint David</Company>
  <LinksUpToDate>false</LinksUpToDate>
  <CharactersWithSpaces>77562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HSBC</dc:title>
  <dc:subject/>
  <dc:creator>Marie Pitson</dc:creator>
  <cp:keywords/>
  <dc:description/>
  <cp:lastModifiedBy>MEET MACWAN</cp:lastModifiedBy>
  <cp:revision>2</cp:revision>
  <dcterms:created xsi:type="dcterms:W3CDTF">2026-01-12T11:48:00Z</dcterms:created>
  <dcterms:modified xsi:type="dcterms:W3CDTF">2026-01-12T11:48:00Z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2544b52a-666b-4ec3-bc53-9cfb4a56059a</vt:lpwstr>
  </property>
</Properties>
</file>