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DC4" w:rsidRDefault="00D65DC4" w:rsidP="00D65DC4">
      <w:pPr>
        <w:pStyle w:val="NormalWeb"/>
        <w:spacing w:before="0" w:beforeAutospacing="0" w:after="0" w:afterAutospacing="0"/>
        <w:ind w:left="-180" w:right="-334"/>
      </w:pPr>
      <w:r>
        <w:rPr>
          <w:noProof/>
          <w:lang w:eastAsia="en-GB"/>
        </w:rPr>
        <w:drawing>
          <wp:inline distT="0" distB="0" distL="0" distR="0">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rsidR="00D65DC4" w:rsidRDefault="00D65DC4" w:rsidP="00D65DC4">
      <w:pPr>
        <w:pStyle w:val="NormalWeb"/>
        <w:spacing w:before="0" w:beforeAutospacing="0" w:after="0" w:afterAutospacing="0"/>
        <w:ind w:left="-180" w:right="-334"/>
      </w:pPr>
    </w:p>
    <w:p w:rsidR="00D65DC4" w:rsidRDefault="00D65DC4" w:rsidP="00D65DC4">
      <w:pPr>
        <w:pStyle w:val="NormalWeb"/>
        <w:spacing w:before="0" w:beforeAutospacing="0" w:after="0" w:afterAutospacing="0"/>
        <w:ind w:left="-180" w:right="-334"/>
      </w:pPr>
    </w:p>
    <w:p w:rsidR="00D65DC4" w:rsidRDefault="00D65DC4" w:rsidP="00D65DC4">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rsidR="00D65DC4" w:rsidRDefault="00D65DC4" w:rsidP="00D65DC4">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rsidR="00D65DC4" w:rsidRDefault="00D65DC4" w:rsidP="00D65DC4">
      <w:pPr>
        <w:rPr>
          <w:rFonts w:ascii="Arial" w:hAnsi="Arial" w:cs="Arial"/>
          <w:sz w:val="28"/>
          <w:szCs w:val="28"/>
          <w:lang w:val="cy-GB"/>
        </w:rPr>
      </w:pPr>
    </w:p>
    <w:p w:rsidR="00D65DC4" w:rsidRDefault="00D65DC4" w:rsidP="00D65DC4">
      <w:pPr>
        <w:pStyle w:val="Heading3"/>
        <w:jc w:val="center"/>
        <w:rPr>
          <w:rFonts w:eastAsia="SimSun"/>
          <w:lang w:val="cy-GB"/>
        </w:rPr>
      </w:pPr>
      <w:r>
        <w:rPr>
          <w:rFonts w:eastAsia="SimSun"/>
          <w:lang w:val="cy-GB"/>
        </w:rPr>
        <w:t>THIS SHEET MUST BE THE FIRST PAGE OF THE ASSIGNMENT YOU ARE SUBMITTING  (DO NOT SEND AS A SEPARATE FILE)</w:t>
      </w:r>
    </w:p>
    <w:p w:rsidR="00D65DC4" w:rsidRDefault="00D65DC4" w:rsidP="00D65DC4">
      <w:pPr>
        <w:pStyle w:val="Heading3"/>
        <w:jc w:val="center"/>
        <w:rPr>
          <w:rFonts w:ascii="Trebuchet MS" w:eastAsia="SimSun"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65DC4" w:rsidTr="00D65DC4">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rsidR="00D65DC4" w:rsidRDefault="00D65DC4">
            <w:pPr>
              <w:pStyle w:val="NormalWeb"/>
              <w:spacing w:before="0" w:beforeAutospacing="0" w:after="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D65DC4" w:rsidTr="00D65DC4">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rsidR="00D65DC4" w:rsidRDefault="00D65DC4">
            <w:pPr>
              <w:pStyle w:val="NormalWeb"/>
              <w:spacing w:before="0" w:beforeAutospacing="0" w:after="0" w:afterAutospacing="0"/>
              <w:ind w:right="34"/>
              <w:rPr>
                <w:rFonts w:ascii="Arial" w:hAnsi="Arial" w:cs="Arial"/>
                <w:sz w:val="22"/>
                <w:szCs w:val="22"/>
              </w:rPr>
            </w:pPr>
            <w:r>
              <w:rPr>
                <w:rFonts w:ascii="Arial" w:hAnsi="Arial" w:cs="Arial"/>
                <w:sz w:val="22"/>
                <w:szCs w:val="22"/>
              </w:rPr>
              <w:t>Student Name:</w:t>
            </w:r>
            <w:r>
              <w:rPr>
                <w:rFonts w:ascii="Arial" w:hAnsi="Arial" w:cs="Arial"/>
                <w:sz w:val="22"/>
                <w:szCs w:val="22"/>
              </w:rPr>
              <w:t xml:space="preserve"> </w:t>
            </w:r>
            <w:r w:rsidRPr="003A439C">
              <w:rPr>
                <w:rFonts w:ascii="Arial" w:hAnsi="Arial" w:cs="Arial"/>
                <w:b/>
                <w:sz w:val="22"/>
                <w:szCs w:val="22"/>
              </w:rPr>
              <w:t>Amy Mercy</w:t>
            </w:r>
          </w:p>
          <w:p w:rsidR="00D65DC4" w:rsidRDefault="00D65DC4">
            <w:pPr>
              <w:pStyle w:val="NormalWeb"/>
              <w:spacing w:before="0" w:beforeAutospacing="0" w:after="0" w:afterAutospacing="0"/>
              <w:ind w:right="34"/>
              <w:rPr>
                <w:rFonts w:ascii="Arial" w:hAnsi="Arial" w:cs="Arial"/>
                <w:sz w:val="22"/>
                <w:szCs w:val="22"/>
              </w:rPr>
            </w:pPr>
          </w:p>
          <w:p w:rsidR="00D65DC4" w:rsidRDefault="00D65DC4">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Student </w:t>
            </w:r>
            <w:r w:rsidRPr="003A439C">
              <w:rPr>
                <w:rFonts w:ascii="Arial" w:hAnsi="Arial" w:cs="Arial"/>
                <w:bCs/>
                <w:sz w:val="22"/>
                <w:szCs w:val="22"/>
              </w:rPr>
              <w:t>University</w:t>
            </w:r>
            <w:r w:rsidRPr="003A439C">
              <w:rPr>
                <w:rFonts w:ascii="Arial" w:hAnsi="Arial" w:cs="Arial"/>
                <w:sz w:val="22"/>
                <w:szCs w:val="22"/>
              </w:rPr>
              <w:t xml:space="preserve"> </w:t>
            </w:r>
            <w:r>
              <w:rPr>
                <w:rFonts w:ascii="Arial" w:hAnsi="Arial" w:cs="Arial"/>
                <w:sz w:val="22"/>
                <w:szCs w:val="22"/>
              </w:rPr>
              <w:t xml:space="preserve">Email: </w:t>
            </w:r>
            <w:r w:rsidRPr="003A439C">
              <w:rPr>
                <w:rFonts w:ascii="Arial" w:hAnsi="Arial" w:cs="Arial"/>
                <w:b/>
                <w:sz w:val="22"/>
                <w:szCs w:val="22"/>
              </w:rPr>
              <w:t>2114637@student.uwtsd.ac.uk</w:t>
            </w:r>
          </w:p>
        </w:tc>
      </w:tr>
      <w:tr w:rsidR="00D65DC4" w:rsidTr="00D65DC4">
        <w:trPr>
          <w:trHeight w:val="849"/>
        </w:trPr>
        <w:tc>
          <w:tcPr>
            <w:tcW w:w="4788" w:type="dxa"/>
            <w:tcBorders>
              <w:top w:val="single" w:sz="4" w:space="0" w:color="000000"/>
              <w:left w:val="single" w:sz="4" w:space="0" w:color="000000"/>
              <w:bottom w:val="single" w:sz="4" w:space="0" w:color="000000"/>
              <w:right w:val="single" w:sz="4" w:space="0" w:color="000000"/>
            </w:tcBorders>
          </w:tcPr>
          <w:p w:rsidR="00D65DC4" w:rsidRDefault="00D65DC4">
            <w:pPr>
              <w:pStyle w:val="NormalWeb"/>
              <w:spacing w:before="0" w:beforeAutospacing="0" w:after="0" w:afterAutospacing="0"/>
              <w:ind w:right="34"/>
              <w:rPr>
                <w:rFonts w:ascii="Arial" w:hAnsi="Arial" w:cs="Arial"/>
                <w:sz w:val="22"/>
                <w:szCs w:val="22"/>
              </w:rPr>
            </w:pPr>
            <w:r>
              <w:rPr>
                <w:rFonts w:ascii="Arial" w:hAnsi="Arial" w:cs="Arial"/>
                <w:sz w:val="22"/>
                <w:szCs w:val="22"/>
              </w:rPr>
              <w:t>Module code:</w:t>
            </w:r>
            <w:r>
              <w:rPr>
                <w:rFonts w:ascii="Arial" w:hAnsi="Arial" w:cs="Arial"/>
                <w:sz w:val="22"/>
                <w:szCs w:val="22"/>
              </w:rPr>
              <w:t xml:space="preserve"> </w:t>
            </w:r>
            <w:r w:rsidRPr="003A439C">
              <w:rPr>
                <w:rFonts w:ascii="Arial" w:hAnsi="Arial" w:cs="Arial"/>
                <w:b/>
                <w:sz w:val="22"/>
                <w:szCs w:val="22"/>
              </w:rPr>
              <w:t>HPCA7014</w:t>
            </w:r>
          </w:p>
          <w:p w:rsidR="00D65DC4" w:rsidRDefault="00D65DC4">
            <w:pPr>
              <w:pStyle w:val="NormalWeb"/>
              <w:spacing w:before="0" w:beforeAutospacing="0" w:after="0" w:afterAutospacing="0"/>
              <w:ind w:right="34"/>
              <w:rPr>
                <w:rFonts w:ascii="Arial" w:hAnsi="Arial" w:cs="Arial"/>
                <w:sz w:val="22"/>
                <w:szCs w:val="22"/>
              </w:rPr>
            </w:pPr>
          </w:p>
          <w:p w:rsidR="00D65DC4" w:rsidRDefault="00D65DC4">
            <w:pPr>
              <w:pStyle w:val="NormalWeb"/>
              <w:spacing w:before="0" w:beforeAutospacing="0" w:after="0" w:afterAutospacing="0"/>
              <w:ind w:right="34"/>
              <w:rPr>
                <w:rFonts w:ascii="Arial" w:hAnsi="Arial" w:cs="Arial"/>
                <w:sz w:val="22"/>
                <w:szCs w:val="22"/>
              </w:rPr>
            </w:pPr>
            <w:r>
              <w:rPr>
                <w:rFonts w:ascii="Arial" w:hAnsi="Arial" w:cs="Arial"/>
                <w:sz w:val="22"/>
                <w:szCs w:val="22"/>
              </w:rPr>
              <w:t>Module title:</w:t>
            </w:r>
            <w:r>
              <w:rPr>
                <w:rFonts w:ascii="Arial" w:hAnsi="Arial" w:cs="Arial"/>
                <w:sz w:val="22"/>
                <w:szCs w:val="22"/>
              </w:rPr>
              <w:t xml:space="preserve"> </w:t>
            </w:r>
            <w:r w:rsidRPr="003A439C">
              <w:rPr>
                <w:rFonts w:ascii="Arial" w:hAnsi="Arial" w:cs="Arial"/>
                <w:b/>
                <w:sz w:val="22"/>
                <w:szCs w:val="22"/>
              </w:rPr>
              <w:t>Sacred Geography</w:t>
            </w:r>
          </w:p>
          <w:p w:rsidR="00D65DC4" w:rsidRDefault="00D65DC4">
            <w:pPr>
              <w:pStyle w:val="NormalWeb"/>
              <w:spacing w:before="0" w:beforeAutospacing="0" w:after="0" w:afterAutospacing="0"/>
              <w:ind w:right="34"/>
              <w:rPr>
                <w:rFonts w:ascii="Arial" w:hAnsi="Arial" w:cs="Arial"/>
                <w:sz w:val="22"/>
                <w:szCs w:val="22"/>
              </w:rPr>
            </w:pPr>
            <w:bookmarkStart w:id="0" w:name="_GoBack"/>
            <w:bookmarkEnd w:id="0"/>
          </w:p>
          <w:p w:rsidR="00D65DC4" w:rsidRDefault="00D65DC4">
            <w:pPr>
              <w:pStyle w:val="NormalWeb"/>
              <w:spacing w:before="0" w:beforeAutospacing="0" w:after="0" w:afterAutospacing="0"/>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rsidR="00D65DC4" w:rsidRDefault="00D65DC4">
            <w:pPr>
              <w:pStyle w:val="NormalWeb"/>
              <w:spacing w:before="0" w:beforeAutospacing="0" w:after="0" w:afterAutospacing="0"/>
              <w:ind w:right="34"/>
              <w:rPr>
                <w:rFonts w:ascii="Arial" w:hAnsi="Arial" w:cs="Arial"/>
                <w:sz w:val="22"/>
                <w:szCs w:val="22"/>
              </w:rPr>
            </w:pPr>
            <w:r>
              <w:rPr>
                <w:rFonts w:ascii="Arial" w:hAnsi="Arial" w:cs="Arial"/>
                <w:sz w:val="22"/>
                <w:szCs w:val="22"/>
              </w:rPr>
              <w:t>Student ID number:</w:t>
            </w:r>
            <w:r>
              <w:rPr>
                <w:rFonts w:ascii="Arial" w:hAnsi="Arial" w:cs="Arial"/>
                <w:sz w:val="22"/>
                <w:szCs w:val="22"/>
              </w:rPr>
              <w:t xml:space="preserve"> </w:t>
            </w:r>
          </w:p>
          <w:p w:rsidR="00D65DC4" w:rsidRDefault="00D65DC4">
            <w:pPr>
              <w:pStyle w:val="NormalWeb"/>
              <w:spacing w:before="0" w:beforeAutospacing="0" w:after="0" w:afterAutospacing="0"/>
              <w:ind w:right="34"/>
              <w:rPr>
                <w:rFonts w:ascii="Arial" w:hAnsi="Arial" w:cs="Arial"/>
                <w:sz w:val="22"/>
                <w:szCs w:val="22"/>
              </w:rPr>
            </w:pPr>
          </w:p>
          <w:p w:rsidR="00D65DC4" w:rsidRPr="003A439C" w:rsidRDefault="00D65DC4">
            <w:pPr>
              <w:pStyle w:val="NormalWeb"/>
              <w:spacing w:before="0" w:beforeAutospacing="0" w:after="0" w:afterAutospacing="0"/>
              <w:ind w:right="34"/>
              <w:rPr>
                <w:rFonts w:ascii="Arial" w:hAnsi="Arial" w:cs="Arial"/>
                <w:b/>
                <w:sz w:val="22"/>
                <w:szCs w:val="22"/>
              </w:rPr>
            </w:pPr>
            <w:r w:rsidRPr="003A439C">
              <w:rPr>
                <w:rFonts w:ascii="Arial" w:hAnsi="Arial" w:cs="Arial"/>
                <w:b/>
                <w:sz w:val="22"/>
                <w:szCs w:val="22"/>
              </w:rPr>
              <w:t>2114637</w:t>
            </w:r>
          </w:p>
        </w:tc>
        <w:tc>
          <w:tcPr>
            <w:tcW w:w="1802" w:type="dxa"/>
            <w:tcBorders>
              <w:top w:val="single" w:sz="4" w:space="0" w:color="000000"/>
              <w:left w:val="single" w:sz="4" w:space="0" w:color="000000"/>
              <w:bottom w:val="single" w:sz="4" w:space="0" w:color="000000"/>
              <w:right w:val="single" w:sz="4" w:space="0" w:color="000000"/>
            </w:tcBorders>
            <w:hideMark/>
          </w:tcPr>
          <w:p w:rsidR="00D65DC4" w:rsidRDefault="00D65DC4">
            <w:pPr>
              <w:pStyle w:val="NormalWeb"/>
              <w:spacing w:before="0" w:beforeAutospacing="0" w:after="0" w:afterAutospacing="0"/>
              <w:ind w:right="34"/>
              <w:rPr>
                <w:rFonts w:ascii="Arial" w:hAnsi="Arial" w:cs="Arial"/>
                <w:sz w:val="22"/>
                <w:szCs w:val="22"/>
              </w:rPr>
            </w:pPr>
            <w:r>
              <w:rPr>
                <w:rFonts w:ascii="Arial" w:hAnsi="Arial" w:cs="Arial"/>
                <w:sz w:val="22"/>
                <w:szCs w:val="22"/>
              </w:rPr>
              <w:t>Educational support needs:</w:t>
            </w:r>
          </w:p>
          <w:p w:rsidR="00D65DC4" w:rsidRPr="003A439C" w:rsidRDefault="00D65DC4">
            <w:pPr>
              <w:pStyle w:val="NormalWeb"/>
              <w:spacing w:before="0" w:beforeAutospacing="0" w:after="0" w:afterAutospacing="0"/>
              <w:ind w:right="34"/>
              <w:rPr>
                <w:rFonts w:ascii="Arial" w:hAnsi="Arial" w:cs="Arial"/>
                <w:b/>
                <w:sz w:val="22"/>
                <w:szCs w:val="22"/>
              </w:rPr>
            </w:pPr>
            <w:r w:rsidRPr="003A439C">
              <w:rPr>
                <w:rFonts w:ascii="Arial" w:hAnsi="Arial" w:cs="Arial"/>
                <w:b/>
                <w:sz w:val="22"/>
                <w:szCs w:val="22"/>
              </w:rPr>
              <w:t>No</w:t>
            </w:r>
          </w:p>
        </w:tc>
      </w:tr>
      <w:tr w:rsidR="00D65DC4" w:rsidTr="00D65DC4">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rsidR="00D65DC4" w:rsidRDefault="00D65DC4" w:rsidP="00D65DC4">
            <w:pPr>
              <w:rPr>
                <w:rFonts w:ascii="Arial" w:hAnsi="Arial" w:cs="Arial"/>
              </w:rPr>
            </w:pPr>
            <w:r>
              <w:rPr>
                <w:rFonts w:ascii="Arial" w:hAnsi="Arial" w:cs="Arial"/>
              </w:rPr>
              <w:t>Assignment title:</w:t>
            </w:r>
            <w:r>
              <w:rPr>
                <w:rFonts w:ascii="Arial" w:hAnsi="Arial" w:cs="Arial"/>
              </w:rPr>
              <w:t xml:space="preserve"> </w:t>
            </w:r>
          </w:p>
          <w:p w:rsidR="00D65DC4" w:rsidRPr="003A439C" w:rsidRDefault="00D65DC4" w:rsidP="00D65DC4">
            <w:pPr>
              <w:rPr>
                <w:b/>
              </w:rPr>
            </w:pPr>
            <w:r w:rsidRPr="003A439C">
              <w:rPr>
                <w:rFonts w:ascii="Arial" w:hAnsi="Arial" w:cs="Arial"/>
                <w:b/>
              </w:rPr>
              <w:t>Compare and critically contrast Mircea Eliade’s and Emile Durkheim’s views of sacred space.</w:t>
            </w:r>
          </w:p>
          <w:p w:rsidR="00D65DC4" w:rsidRDefault="00D65DC4">
            <w:pPr>
              <w:pStyle w:val="NormalWeb"/>
              <w:spacing w:before="0" w:beforeAutospacing="0" w:after="0" w:afterAutospacing="0"/>
              <w:ind w:right="34"/>
              <w:rPr>
                <w:rFonts w:ascii="Arial" w:hAnsi="Arial" w:cs="Arial"/>
                <w:sz w:val="22"/>
                <w:szCs w:val="22"/>
              </w:rPr>
            </w:pPr>
          </w:p>
          <w:p w:rsidR="00D65DC4" w:rsidRDefault="00D65DC4">
            <w:pPr>
              <w:pStyle w:val="NormalWeb"/>
              <w:spacing w:before="0" w:beforeAutospacing="0" w:after="0" w:afterAutospacing="0"/>
              <w:ind w:right="34"/>
              <w:rPr>
                <w:rFonts w:ascii="Arial" w:hAnsi="Arial" w:cs="Arial"/>
                <w:sz w:val="22"/>
                <w:szCs w:val="22"/>
              </w:rPr>
            </w:pPr>
            <w:r>
              <w:rPr>
                <w:rFonts w:ascii="Arial" w:hAnsi="Arial" w:cs="Arial"/>
                <w:sz w:val="22"/>
                <w:szCs w:val="22"/>
              </w:rPr>
              <w:t>Assignment due date:</w:t>
            </w:r>
            <w:r>
              <w:rPr>
                <w:rFonts w:ascii="Arial" w:hAnsi="Arial" w:cs="Arial"/>
                <w:sz w:val="22"/>
                <w:szCs w:val="22"/>
              </w:rPr>
              <w:t xml:space="preserve"> </w:t>
            </w:r>
            <w:r w:rsidRPr="003A439C">
              <w:rPr>
                <w:rFonts w:ascii="Arial" w:hAnsi="Arial" w:cs="Arial"/>
                <w:b/>
                <w:sz w:val="22"/>
                <w:szCs w:val="22"/>
              </w:rPr>
              <w:t>14 November 2022</w:t>
            </w:r>
          </w:p>
        </w:tc>
      </w:tr>
      <w:tr w:rsidR="00D65DC4" w:rsidTr="00D65DC4">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rsidR="00D65DC4" w:rsidRDefault="00D65DC4" w:rsidP="00D65DC4">
            <w:pPr>
              <w:rPr>
                <w:rFonts w:ascii="Arial" w:hAnsi="Arial" w:cs="Arial"/>
                <w:lang w:eastAsia="zh-CN"/>
              </w:rPr>
            </w:pPr>
            <w:r>
              <w:rPr>
                <w:rFonts w:ascii="Arial" w:hAnsi="Arial" w:cs="Arial"/>
              </w:rPr>
              <w:t>This assignment is for the       1</w:t>
            </w:r>
            <w:r>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1" w:name="Check13"/>
            <w:r>
              <w:rPr>
                <w:rFonts w:ascii="Arial" w:hAnsi="Arial" w:cs="Arial"/>
              </w:rPr>
              <w:instrText xml:space="preserve"> FORMCHECKBOX </w:instrText>
            </w:r>
            <w:r>
              <w:rPr>
                <w:rFonts w:ascii="Times New Roman" w:hAnsi="Times New Roman" w:cs="Times New Roman"/>
                <w:sz w:val="24"/>
                <w:szCs w:val="24"/>
              </w:rPr>
              <w:fldChar w:fldCharType="end"/>
            </w:r>
            <w:bookmarkEnd w:id="1"/>
            <w:r>
              <w:rPr>
                <w:rFonts w:ascii="Arial" w:hAnsi="Arial" w:cs="Arial"/>
              </w:rPr>
              <w:t xml:space="preserve">    2</w:t>
            </w:r>
            <w:r>
              <w:rPr>
                <w:rFonts w:ascii="Arial" w:hAnsi="Arial" w:cs="Arial"/>
                <w:vertAlign w:val="superscript"/>
              </w:rPr>
              <w:t>nd</w:t>
            </w:r>
            <w:r>
              <w:rPr>
                <w:rFonts w:ascii="Arial" w:hAnsi="Arial" w:cs="Arial"/>
              </w:rPr>
              <w:t xml:space="preserve">  </w:t>
            </w:r>
            <w:r>
              <w:rPr>
                <w:rFonts w:ascii="Arial" w:hAnsi="Arial" w:cs="Arial"/>
              </w:rPr>
              <w:fldChar w:fldCharType="begin">
                <w:ffData>
                  <w:name w:val="Check14"/>
                  <w:enabled/>
                  <w:calcOnExit w:val="0"/>
                  <w:checkBox>
                    <w:sizeAuto/>
                    <w:default w:val="0"/>
                  </w:checkBox>
                </w:ffData>
              </w:fldChar>
            </w:r>
            <w:bookmarkStart w:id="2" w:name="Check14"/>
            <w:r>
              <w:rPr>
                <w:rFonts w:ascii="Arial" w:hAnsi="Arial" w:cs="Arial"/>
              </w:rPr>
              <w:instrText xml:space="preserve"> FORMCHECKBOX </w:instrText>
            </w:r>
            <w:r>
              <w:rPr>
                <w:rFonts w:ascii="Times New Roman" w:hAnsi="Times New Roman" w:cs="Times New Roman"/>
                <w:sz w:val="24"/>
                <w:szCs w:val="24"/>
              </w:rPr>
              <w:fldChar w:fldCharType="end"/>
            </w:r>
            <w:bookmarkEnd w:id="2"/>
            <w:r>
              <w:rPr>
                <w:rFonts w:ascii="Arial" w:hAnsi="Arial" w:cs="Arial"/>
              </w:rPr>
              <w:t xml:space="preserve">     3</w:t>
            </w:r>
            <w:r>
              <w:rPr>
                <w:rFonts w:ascii="Arial" w:hAnsi="Arial" w:cs="Arial"/>
                <w:vertAlign w:val="superscript"/>
              </w:rPr>
              <w:t>rd</w:t>
            </w:r>
            <w:r>
              <w:rPr>
                <w:rFonts w:ascii="Arial" w:hAnsi="Arial" w:cs="Arial"/>
              </w:rPr>
              <w:t xml:space="preserve">  </w:t>
            </w:r>
            <w:r>
              <w:rPr>
                <w:rFonts w:ascii="Arial" w:hAnsi="Arial" w:cs="Arial"/>
              </w:rPr>
              <w:fldChar w:fldCharType="begin">
                <w:ffData>
                  <w:name w:val="Check15"/>
                  <w:enabled/>
                  <w:calcOnExit w:val="0"/>
                  <w:checkBox>
                    <w:sizeAuto/>
                    <w:default w:val="1"/>
                  </w:checkBox>
                </w:ffData>
              </w:fldChar>
            </w:r>
            <w:bookmarkStart w:id="3" w:name="Check15"/>
            <w:r>
              <w:rPr>
                <w:rFonts w:ascii="Arial" w:hAnsi="Arial" w:cs="Arial"/>
              </w:rPr>
              <w:instrText xml:space="preserve"> FORMCHECKBOX </w:instrText>
            </w:r>
            <w:r>
              <w:rPr>
                <w:rFonts w:ascii="Arial" w:hAnsi="Arial" w:cs="Arial"/>
              </w:rPr>
            </w:r>
            <w:r>
              <w:rPr>
                <w:rFonts w:ascii="Arial" w:hAnsi="Arial" w:cs="Arial"/>
              </w:rPr>
              <w:fldChar w:fldCharType="end"/>
            </w:r>
            <w:bookmarkEnd w:id="3"/>
            <w:r>
              <w:rPr>
                <w:rFonts w:ascii="Arial" w:hAnsi="Arial" w:cs="Arial"/>
              </w:rPr>
              <w:t xml:space="preserve">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4" w:name="Check16"/>
            <w:r>
              <w:rPr>
                <w:rFonts w:ascii="Arial" w:hAnsi="Arial" w:cs="Arial"/>
              </w:rPr>
              <w:instrText xml:space="preserve"> FORMCHECKBOX </w:instrText>
            </w:r>
            <w:r>
              <w:rPr>
                <w:rFonts w:ascii="Times New Roman" w:hAnsi="Times New Roman" w:cs="Times New Roman"/>
                <w:sz w:val="24"/>
                <w:szCs w:val="24"/>
              </w:rPr>
              <w:fldChar w:fldCharType="end"/>
            </w:r>
            <w:bookmarkEnd w:id="4"/>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5" w:name="Check17"/>
            <w:r>
              <w:rPr>
                <w:rFonts w:ascii="Arial" w:hAnsi="Arial" w:cs="Arial"/>
              </w:rPr>
              <w:instrText xml:space="preserve"> FORMCHECKBOX </w:instrText>
            </w:r>
            <w:r>
              <w:rPr>
                <w:rFonts w:ascii="Times New Roman" w:hAnsi="Times New Roman" w:cs="Times New Roman"/>
                <w:sz w:val="24"/>
                <w:szCs w:val="24"/>
              </w:rPr>
              <w:fldChar w:fldCharType="end"/>
            </w:r>
            <w:bookmarkEnd w:id="5"/>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6" w:name="Check18"/>
            <w:r>
              <w:rPr>
                <w:rFonts w:ascii="Arial" w:hAnsi="Arial" w:cs="Arial"/>
              </w:rPr>
              <w:instrText xml:space="preserve"> FORMCHECKBOX </w:instrText>
            </w:r>
            <w:r>
              <w:rPr>
                <w:rFonts w:ascii="Times New Roman" w:hAnsi="Times New Roman" w:cs="Times New Roman"/>
                <w:sz w:val="24"/>
                <w:szCs w:val="24"/>
              </w:rPr>
              <w:fldChar w:fldCharType="end"/>
            </w:r>
            <w:bookmarkEnd w:id="6"/>
            <w:r>
              <w:rPr>
                <w:rFonts w:ascii="Arial" w:hAnsi="Arial" w:cs="Arial"/>
                <w:b/>
              </w:rPr>
              <w:t xml:space="preserve">   </w:t>
            </w:r>
            <w:r>
              <w:rPr>
                <w:rFonts w:ascii="Arial" w:hAnsi="Arial" w:cs="Arial"/>
              </w:rPr>
              <w:t>module of the degree</w:t>
            </w:r>
          </w:p>
        </w:tc>
      </w:tr>
      <w:tr w:rsidR="00D65DC4" w:rsidTr="00D65DC4">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D65DC4" w:rsidRDefault="00D65DC4">
            <w:pPr>
              <w:pStyle w:val="NormalWeb"/>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rsidR="00D65DC4" w:rsidRDefault="00D65DC4">
            <w:pPr>
              <w:pStyle w:val="NormalWeb"/>
              <w:spacing w:before="0" w:beforeAutospacing="0" w:after="0" w:afterAutospacing="0"/>
              <w:ind w:right="34"/>
              <w:rPr>
                <w:rFonts w:ascii="Arial" w:hAnsi="Arial" w:cs="Arial"/>
                <w:sz w:val="22"/>
                <w:szCs w:val="22"/>
              </w:rPr>
            </w:pPr>
            <w:r>
              <w:rPr>
                <w:rFonts w:ascii="Arial" w:hAnsi="Arial" w:cs="Arial"/>
                <w:sz w:val="22"/>
                <w:szCs w:val="22"/>
              </w:rPr>
              <w:t>Signed …………</w:t>
            </w:r>
            <w:r w:rsidR="003A439C">
              <w:rPr>
                <w:rFonts w:ascii="Arial" w:hAnsi="Arial" w:cs="Arial"/>
                <w:sz w:val="22"/>
                <w:szCs w:val="22"/>
              </w:rPr>
              <w:t>Amy Mercy</w:t>
            </w:r>
            <w:r>
              <w:rPr>
                <w:rFonts w:ascii="Arial" w:hAnsi="Arial" w:cs="Arial"/>
                <w:sz w:val="22"/>
                <w:szCs w:val="22"/>
              </w:rPr>
              <w:t>…………………………………………………</w:t>
            </w:r>
          </w:p>
          <w:p w:rsidR="00D65DC4" w:rsidRDefault="00D65DC4">
            <w:pPr>
              <w:pStyle w:val="NormalWeb"/>
              <w:spacing w:before="0" w:beforeAutospacing="0" w:after="0" w:afterAutospacing="0"/>
              <w:ind w:right="34"/>
              <w:rPr>
                <w:rFonts w:ascii="Calibri" w:hAnsi="Calibri" w:cs="Calibri"/>
                <w:b/>
                <w:sz w:val="44"/>
                <w:szCs w:val="44"/>
              </w:rPr>
            </w:pPr>
            <w:r>
              <w:rPr>
                <w:rFonts w:ascii="Calibri" w:hAnsi="Calibri" w:cs="Tahoma"/>
                <w:b/>
                <w:sz w:val="24"/>
                <w:szCs w:val="24"/>
              </w:rPr>
              <w:t xml:space="preserve">Email submission:if you are submitting this form via email, please tick this box </w:t>
            </w:r>
            <w:r>
              <w:rPr>
                <w:rFonts w:ascii="Calibri" w:hAnsi="Calibri" w:cs="Calibri"/>
                <w:b/>
                <w:sz w:val="44"/>
                <w:szCs w:val="44"/>
              </w:rPr>
              <w:t>□</w:t>
            </w:r>
            <w:r w:rsidR="003A439C">
              <w:rPr>
                <w:rFonts w:ascii="Calibri" w:hAnsi="Calibri" w:cs="Calibri"/>
                <w:b/>
                <w:sz w:val="44"/>
                <w:szCs w:val="44"/>
              </w:rPr>
              <w:t>X</w:t>
            </w:r>
          </w:p>
          <w:p w:rsidR="00D65DC4" w:rsidRDefault="00D65DC4">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D65DC4" w:rsidTr="00D65DC4">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rsidR="00D65DC4" w:rsidRDefault="00D65DC4">
            <w:pPr>
              <w:rPr>
                <w:rFonts w:ascii="Arial" w:hAnsi="Arial"/>
                <w:b/>
                <w:sz w:val="24"/>
                <w:szCs w:val="24"/>
                <w:lang w:eastAsia="zh-CN"/>
              </w:rPr>
            </w:pPr>
          </w:p>
          <w:p w:rsidR="00D65DC4" w:rsidRDefault="00D65DC4">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65DC4">
              <w:tc>
                <w:tcPr>
                  <w:tcW w:w="6970" w:type="dxa"/>
                  <w:tcBorders>
                    <w:top w:val="single" w:sz="4" w:space="0" w:color="auto"/>
                    <w:left w:val="single" w:sz="4" w:space="0" w:color="auto"/>
                    <w:bottom w:val="single" w:sz="4" w:space="0" w:color="auto"/>
                    <w:right w:val="single" w:sz="4" w:space="0" w:color="auto"/>
                  </w:tcBorders>
                </w:tcPr>
                <w:p w:rsidR="00D65DC4" w:rsidRDefault="00D65DC4">
                  <w:pPr>
                    <w:rPr>
                      <w:rFonts w:ascii="Arial" w:hAnsi="Arial"/>
                      <w:sz w:val="20"/>
                      <w:szCs w:val="20"/>
                      <w:lang w:eastAsia="zh-CN"/>
                    </w:rPr>
                  </w:pPr>
                </w:p>
                <w:p w:rsidR="00D65DC4" w:rsidRDefault="00D65DC4">
                  <w:pPr>
                    <w:rPr>
                      <w:rFonts w:ascii="Arial" w:hAnsi="Arial"/>
                      <w:sz w:val="20"/>
                      <w:szCs w:val="20"/>
                      <w:lang w:eastAsia="zh-CN"/>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rsidR="00D65DC4" w:rsidRDefault="00D65DC4">
                  <w:pPr>
                    <w:rPr>
                      <w:rFonts w:ascii="Arial" w:hAnsi="Arial"/>
                      <w:sz w:val="20"/>
                      <w:szCs w:val="20"/>
                      <w:lang w:eastAsia="zh-CN"/>
                    </w:rPr>
                  </w:pPr>
                </w:p>
              </w:tc>
            </w:tr>
            <w:tr w:rsidR="00D65DC4">
              <w:tc>
                <w:tcPr>
                  <w:tcW w:w="6970" w:type="dxa"/>
                  <w:tcBorders>
                    <w:top w:val="single" w:sz="4" w:space="0" w:color="auto"/>
                    <w:left w:val="single" w:sz="4" w:space="0" w:color="auto"/>
                    <w:bottom w:val="single" w:sz="4" w:space="0" w:color="auto"/>
                    <w:right w:val="single" w:sz="4" w:space="0" w:color="auto"/>
                  </w:tcBorders>
                </w:tcPr>
                <w:p w:rsidR="00D65DC4" w:rsidRDefault="00D65DC4">
                  <w:pPr>
                    <w:rPr>
                      <w:rFonts w:ascii="Arial" w:hAnsi="Arial"/>
                      <w:sz w:val="20"/>
                      <w:szCs w:val="20"/>
                      <w:lang w:eastAsia="zh-CN"/>
                    </w:rPr>
                  </w:pPr>
                </w:p>
                <w:p w:rsidR="00D65DC4" w:rsidRDefault="00D65DC4">
                  <w:pPr>
                    <w:rPr>
                      <w:rFonts w:ascii="Arial" w:hAnsi="Arial"/>
                      <w:sz w:val="20"/>
                      <w:szCs w:val="20"/>
                      <w:lang w:eastAsia="zh-CN"/>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rsidR="00D65DC4" w:rsidRDefault="00D65DC4">
                  <w:pPr>
                    <w:rPr>
                      <w:rFonts w:ascii="Arial" w:hAnsi="Arial"/>
                      <w:sz w:val="20"/>
                      <w:szCs w:val="20"/>
                      <w:lang w:eastAsia="zh-CN"/>
                    </w:rPr>
                  </w:pPr>
                </w:p>
              </w:tc>
            </w:tr>
            <w:tr w:rsidR="00D65DC4">
              <w:tc>
                <w:tcPr>
                  <w:tcW w:w="6970" w:type="dxa"/>
                  <w:tcBorders>
                    <w:top w:val="single" w:sz="4" w:space="0" w:color="auto"/>
                    <w:left w:val="single" w:sz="4" w:space="0" w:color="auto"/>
                    <w:bottom w:val="single" w:sz="4" w:space="0" w:color="auto"/>
                    <w:right w:val="single" w:sz="4" w:space="0" w:color="auto"/>
                  </w:tcBorders>
                </w:tcPr>
                <w:p w:rsidR="00D65DC4" w:rsidRDefault="00D65DC4">
                  <w:pPr>
                    <w:rPr>
                      <w:rFonts w:ascii="Arial" w:hAnsi="Arial"/>
                      <w:sz w:val="20"/>
                      <w:szCs w:val="20"/>
                      <w:lang w:eastAsia="zh-CN"/>
                    </w:rPr>
                  </w:pPr>
                </w:p>
                <w:p w:rsidR="00D65DC4" w:rsidRDefault="00D65DC4">
                  <w:pPr>
                    <w:rPr>
                      <w:rFonts w:ascii="Arial" w:hAnsi="Arial"/>
                      <w:sz w:val="20"/>
                      <w:szCs w:val="20"/>
                      <w:lang w:eastAsia="zh-CN"/>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rsidR="00D65DC4" w:rsidRDefault="00D65DC4">
                  <w:pPr>
                    <w:rPr>
                      <w:rFonts w:ascii="Arial" w:hAnsi="Arial"/>
                      <w:sz w:val="20"/>
                      <w:szCs w:val="20"/>
                      <w:lang w:eastAsia="zh-CN"/>
                    </w:rPr>
                  </w:pPr>
                </w:p>
              </w:tc>
            </w:tr>
            <w:tr w:rsidR="00D65DC4">
              <w:tc>
                <w:tcPr>
                  <w:tcW w:w="6970" w:type="dxa"/>
                  <w:tcBorders>
                    <w:top w:val="single" w:sz="4" w:space="0" w:color="auto"/>
                    <w:left w:val="single" w:sz="4" w:space="0" w:color="auto"/>
                    <w:bottom w:val="single" w:sz="4" w:space="0" w:color="auto"/>
                    <w:right w:val="single" w:sz="4" w:space="0" w:color="auto"/>
                  </w:tcBorders>
                </w:tcPr>
                <w:p w:rsidR="00D65DC4" w:rsidRDefault="00D65DC4">
                  <w:pPr>
                    <w:rPr>
                      <w:rFonts w:ascii="Arial" w:hAnsi="Arial"/>
                      <w:sz w:val="20"/>
                      <w:szCs w:val="20"/>
                      <w:lang w:eastAsia="zh-CN"/>
                    </w:rPr>
                  </w:pPr>
                </w:p>
                <w:p w:rsidR="00D65DC4" w:rsidRDefault="00D65DC4">
                  <w:pPr>
                    <w:rPr>
                      <w:rFonts w:ascii="Arial" w:hAnsi="Arial"/>
                      <w:b/>
                      <w:sz w:val="20"/>
                      <w:szCs w:val="20"/>
                    </w:rPr>
                  </w:pPr>
                  <w:r>
                    <w:rPr>
                      <w:rFonts w:ascii="Arial" w:hAnsi="Arial"/>
                      <w:b/>
                      <w:sz w:val="20"/>
                      <w:szCs w:val="20"/>
                    </w:rPr>
                    <w:t>Final Mark</w:t>
                  </w:r>
                </w:p>
                <w:p w:rsidR="00D65DC4" w:rsidRDefault="00D65DC4">
                  <w:pPr>
                    <w:rPr>
                      <w:rFonts w:ascii="Arial" w:hAnsi="Arial"/>
                      <w:sz w:val="20"/>
                      <w:szCs w:val="20"/>
                      <w:lang w:eastAsia="zh-CN"/>
                    </w:rPr>
                  </w:pPr>
                </w:p>
              </w:tc>
              <w:tc>
                <w:tcPr>
                  <w:tcW w:w="1660" w:type="dxa"/>
                  <w:tcBorders>
                    <w:top w:val="single" w:sz="4" w:space="0" w:color="auto"/>
                    <w:left w:val="single" w:sz="4" w:space="0" w:color="auto"/>
                    <w:bottom w:val="single" w:sz="4" w:space="0" w:color="auto"/>
                    <w:right w:val="single" w:sz="4" w:space="0" w:color="auto"/>
                  </w:tcBorders>
                </w:tcPr>
                <w:p w:rsidR="00D65DC4" w:rsidRDefault="00D65DC4">
                  <w:pPr>
                    <w:rPr>
                      <w:rFonts w:ascii="Arial" w:hAnsi="Arial"/>
                      <w:sz w:val="20"/>
                      <w:szCs w:val="20"/>
                      <w:lang w:eastAsia="zh-CN"/>
                    </w:rPr>
                  </w:pPr>
                </w:p>
              </w:tc>
            </w:tr>
          </w:tbl>
          <w:p w:rsidR="00D65DC4" w:rsidRDefault="00D65DC4">
            <w:pPr>
              <w:pStyle w:val="NormalWeb"/>
              <w:spacing w:before="0" w:beforeAutospacing="0" w:after="0" w:afterAutospacing="0"/>
              <w:ind w:left="142" w:right="34"/>
              <w:rPr>
                <w:rFonts w:ascii="Arial" w:hAnsi="Arial" w:cs="Arial"/>
                <w:b/>
                <w:sz w:val="22"/>
                <w:szCs w:val="22"/>
              </w:rPr>
            </w:pPr>
          </w:p>
          <w:p w:rsidR="00D65DC4" w:rsidRDefault="00D65DC4">
            <w:pPr>
              <w:pStyle w:val="NormalWeb"/>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rsidR="00D65DC4" w:rsidRDefault="00D65DC4">
            <w:pPr>
              <w:pStyle w:val="NormalWeb"/>
              <w:spacing w:before="0" w:beforeAutospacing="0" w:after="0" w:afterAutospacing="0"/>
              <w:rPr>
                <w:rFonts w:ascii="Arial" w:hAnsi="Arial" w:cs="Arial"/>
                <w:b/>
                <w:sz w:val="22"/>
                <w:szCs w:val="22"/>
              </w:rPr>
            </w:pPr>
          </w:p>
          <w:p w:rsidR="00D65DC4" w:rsidRDefault="00D65DC4">
            <w:pPr>
              <w:pStyle w:val="NormalWeb"/>
              <w:spacing w:before="0" w:beforeAutospacing="0" w:after="0" w:afterAutospacing="0"/>
              <w:rPr>
                <w:rFonts w:ascii="Arial" w:hAnsi="Arial" w:cs="Arial"/>
                <w:b/>
                <w:sz w:val="22"/>
                <w:szCs w:val="22"/>
              </w:rPr>
            </w:pPr>
          </w:p>
          <w:p w:rsidR="00D65DC4" w:rsidRDefault="00D65DC4">
            <w:pPr>
              <w:pStyle w:val="NormalWeb"/>
              <w:spacing w:before="0" w:beforeAutospacing="0" w:after="0" w:afterAutospacing="0"/>
              <w:rPr>
                <w:rFonts w:ascii="Arial" w:hAnsi="Arial" w:cs="Arial"/>
                <w:b/>
                <w:sz w:val="22"/>
                <w:szCs w:val="22"/>
              </w:rPr>
            </w:pPr>
          </w:p>
          <w:p w:rsidR="00D65DC4" w:rsidRDefault="00D65DC4">
            <w:pPr>
              <w:pStyle w:val="NormalWeb"/>
              <w:spacing w:before="0" w:beforeAutospacing="0" w:after="0" w:afterAutospacing="0"/>
              <w:rPr>
                <w:rFonts w:ascii="Arial" w:hAnsi="Arial" w:cs="Arial"/>
                <w:b/>
                <w:sz w:val="22"/>
                <w:szCs w:val="22"/>
              </w:rPr>
            </w:pPr>
          </w:p>
          <w:p w:rsidR="00D65DC4" w:rsidRDefault="00D65DC4">
            <w:pPr>
              <w:pStyle w:val="NormalWeb"/>
              <w:spacing w:before="0" w:beforeAutospacing="0" w:after="0" w:afterAutospacing="0"/>
              <w:rPr>
                <w:rFonts w:ascii="Arial" w:hAnsi="Arial" w:cs="Arial"/>
                <w:b/>
                <w:sz w:val="22"/>
                <w:szCs w:val="22"/>
              </w:rPr>
            </w:pPr>
          </w:p>
          <w:p w:rsidR="00D65DC4" w:rsidRDefault="00D65DC4">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Marker 1 :</w:t>
            </w:r>
          </w:p>
          <w:p w:rsidR="00D65DC4" w:rsidRDefault="00D65DC4">
            <w:pPr>
              <w:pStyle w:val="NormalWeb"/>
              <w:rPr>
                <w:rFonts w:ascii="Arial" w:hAnsi="Arial" w:cs="Arial"/>
                <w:sz w:val="22"/>
                <w:szCs w:val="22"/>
              </w:rPr>
            </w:pPr>
            <w:r>
              <w:rPr>
                <w:rFonts w:ascii="Arial" w:hAnsi="Arial" w:cs="Arial"/>
                <w:sz w:val="22"/>
                <w:szCs w:val="22"/>
              </w:rPr>
              <w:t>Comments:</w:t>
            </w:r>
          </w:p>
          <w:p w:rsidR="00D65DC4" w:rsidRDefault="00D65DC4">
            <w:pPr>
              <w:pStyle w:val="NormalWeb"/>
              <w:rPr>
                <w:rFonts w:ascii="Arial" w:hAnsi="Arial" w:cs="Arial"/>
                <w:sz w:val="22"/>
                <w:szCs w:val="22"/>
              </w:rPr>
            </w:pPr>
          </w:p>
        </w:tc>
      </w:tr>
      <w:tr w:rsidR="00D65DC4" w:rsidTr="00D65DC4">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rsidR="00D65DC4" w:rsidRDefault="00D65DC4">
            <w:pPr>
              <w:pStyle w:val="NormalWeb"/>
              <w:spacing w:beforeAutospacing="0" w:afterAutospacing="0"/>
              <w:ind w:left="142" w:right="34"/>
              <w:rPr>
                <w:rFonts w:ascii="Arial" w:hAnsi="Arial" w:cs="Arial"/>
                <w:sz w:val="22"/>
                <w:szCs w:val="22"/>
              </w:rPr>
            </w:pPr>
            <w:r>
              <w:rPr>
                <w:rFonts w:ascii="Arial" w:hAnsi="Arial" w:cs="Arial"/>
                <w:sz w:val="22"/>
                <w:szCs w:val="22"/>
              </w:rPr>
              <w:lastRenderedPageBreak/>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rsidR="00D65DC4" w:rsidRDefault="00D65DC4">
            <w:pPr>
              <w:pStyle w:val="NormalWeb"/>
              <w:spacing w:beforeAutospacing="0" w:after="0" w:afterAutospacing="0"/>
              <w:ind w:left="142" w:right="34"/>
              <w:rPr>
                <w:rFonts w:ascii="Arial" w:hAnsi="Arial" w:cs="Arial"/>
                <w:sz w:val="22"/>
                <w:szCs w:val="22"/>
              </w:rPr>
            </w:pPr>
            <w:r>
              <w:rPr>
                <w:rFonts w:ascii="Arial" w:hAnsi="Arial" w:cs="Arial"/>
                <w:sz w:val="22"/>
                <w:szCs w:val="22"/>
              </w:rPr>
              <w:t>Date:</w:t>
            </w:r>
          </w:p>
        </w:tc>
      </w:tr>
      <w:tr w:rsidR="00D65DC4" w:rsidTr="00D65DC4">
        <w:tc>
          <w:tcPr>
            <w:tcW w:w="8856" w:type="dxa"/>
            <w:gridSpan w:val="5"/>
            <w:tcBorders>
              <w:top w:val="single" w:sz="4" w:space="0" w:color="000000"/>
              <w:left w:val="single" w:sz="4" w:space="0" w:color="000000"/>
              <w:bottom w:val="single" w:sz="4" w:space="0" w:color="000000"/>
              <w:right w:val="single" w:sz="4" w:space="0" w:color="000000"/>
            </w:tcBorders>
          </w:tcPr>
          <w:p w:rsidR="00D65DC4" w:rsidRDefault="00D65DC4">
            <w:pPr>
              <w:pStyle w:val="NormalWeb"/>
              <w:spacing w:before="0" w:beforeAutospacing="0" w:after="0" w:afterAutospacing="0"/>
              <w:ind w:right="-334"/>
              <w:rPr>
                <w:rFonts w:ascii="Arial" w:hAnsi="Arial" w:cs="Arial"/>
                <w:bCs/>
                <w:i/>
                <w:sz w:val="22"/>
                <w:szCs w:val="22"/>
              </w:rPr>
            </w:pPr>
          </w:p>
          <w:p w:rsidR="00D65DC4" w:rsidRDefault="00D65DC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rsidR="00D65DC4" w:rsidRDefault="00D65DC4">
            <w:pPr>
              <w:pStyle w:val="NormalWeb"/>
              <w:spacing w:before="0" w:beforeAutospacing="0" w:after="0" w:afterAutospacing="0"/>
              <w:ind w:right="-334"/>
              <w:rPr>
                <w:rFonts w:ascii="Arial" w:hAnsi="Arial" w:cs="Arial"/>
                <w:b/>
                <w:bCs/>
                <w:sz w:val="22"/>
                <w:szCs w:val="22"/>
              </w:rPr>
            </w:pPr>
          </w:p>
          <w:p w:rsidR="00D65DC4" w:rsidRDefault="00D65DC4">
            <w:pPr>
              <w:pStyle w:val="NormalWeb"/>
              <w:spacing w:before="0" w:beforeAutospacing="0" w:after="0" w:afterAutospacing="0"/>
              <w:ind w:right="-334"/>
              <w:rPr>
                <w:rFonts w:ascii="Arial" w:hAnsi="Arial" w:cs="Arial"/>
                <w:bCs/>
                <w:sz w:val="22"/>
                <w:szCs w:val="22"/>
              </w:rPr>
            </w:pPr>
            <w:r>
              <w:rPr>
                <w:rFonts w:ascii="Arial" w:hAnsi="Arial" w:cs="Arial"/>
                <w:bCs/>
                <w:sz w:val="22"/>
                <w:szCs w:val="22"/>
              </w:rPr>
              <w:t>Comments:</w:t>
            </w: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tc>
      </w:tr>
      <w:tr w:rsidR="00D65DC4" w:rsidTr="00D65DC4">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rsidR="00D65DC4" w:rsidRDefault="00D65DC4">
            <w:pPr>
              <w:pStyle w:val="NormalWeb"/>
              <w:spacing w:before="0" w:beforeAutospacing="0" w:after="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rsidR="00D65DC4" w:rsidRDefault="00D65DC4">
            <w:pPr>
              <w:pStyle w:val="NormalWeb"/>
              <w:spacing w:before="0" w:beforeAutospacing="0" w:after="0" w:afterAutospacing="0"/>
              <w:ind w:right="-334"/>
              <w:rPr>
                <w:rFonts w:ascii="Arial" w:hAnsi="Arial" w:cs="Arial"/>
                <w:bCs/>
                <w:sz w:val="22"/>
                <w:szCs w:val="22"/>
              </w:rPr>
            </w:pPr>
            <w:r>
              <w:rPr>
                <w:rFonts w:ascii="Arial" w:hAnsi="Arial" w:cs="Arial"/>
                <w:bCs/>
                <w:sz w:val="22"/>
                <w:szCs w:val="22"/>
              </w:rPr>
              <w:t>Date:</w:t>
            </w:r>
          </w:p>
        </w:tc>
      </w:tr>
      <w:tr w:rsidR="00D65DC4" w:rsidTr="00D65DC4">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rsidR="00D65DC4" w:rsidRDefault="00D65DC4">
            <w:pPr>
              <w:rPr>
                <w:rFonts w:ascii="Arial" w:hAnsi="Arial" w:cs="Arial"/>
                <w:b/>
                <w:lang w:eastAsia="zh-CN"/>
              </w:rPr>
            </w:pPr>
            <w:r>
              <w:rPr>
                <w:rFonts w:ascii="Arial" w:hAnsi="Arial" w:cs="Arial"/>
                <w:b/>
              </w:rPr>
              <w:t>External Examiner’s comments (if relevant)</w:t>
            </w: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p w:rsidR="00D65DC4" w:rsidRDefault="00D65DC4">
            <w:pPr>
              <w:pStyle w:val="NormalWeb"/>
              <w:spacing w:before="0" w:beforeAutospacing="0" w:after="0" w:afterAutospacing="0"/>
              <w:ind w:right="-334"/>
              <w:rPr>
                <w:rFonts w:ascii="Arial" w:hAnsi="Arial" w:cs="Arial"/>
                <w:bCs/>
                <w:sz w:val="22"/>
                <w:szCs w:val="22"/>
              </w:rPr>
            </w:pPr>
          </w:p>
        </w:tc>
      </w:tr>
      <w:tr w:rsidR="00D65DC4" w:rsidTr="00D65DC4">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rsidR="00D65DC4" w:rsidRDefault="00D65DC4">
            <w:pPr>
              <w:rPr>
                <w:rFonts w:ascii="Arial" w:hAnsi="Arial" w:cs="Arial"/>
                <w:lang w:eastAsia="zh-CN"/>
              </w:rPr>
            </w:pPr>
            <w:r>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rsidR="00D65DC4" w:rsidRDefault="00D65DC4">
            <w:pPr>
              <w:rPr>
                <w:rFonts w:ascii="Arial" w:hAnsi="Arial" w:cs="Arial"/>
                <w:lang w:eastAsia="zh-CN"/>
              </w:rPr>
            </w:pPr>
            <w:r>
              <w:rPr>
                <w:rFonts w:ascii="Arial" w:hAnsi="Arial" w:cs="Arial"/>
              </w:rPr>
              <w:t>Date:</w:t>
            </w:r>
          </w:p>
        </w:tc>
      </w:tr>
    </w:tbl>
    <w:p w:rsidR="00D65DC4" w:rsidRDefault="00D65DC4" w:rsidP="00D65DC4">
      <w:pPr>
        <w:pStyle w:val="NormalWeb"/>
        <w:spacing w:before="0" w:beforeAutospacing="0" w:after="0" w:afterAutospacing="0"/>
        <w:ind w:right="-334"/>
        <w:rPr>
          <w:rFonts w:ascii="Trebuchet MS" w:hAnsi="Trebuchet MS" w:cs="Tahoma"/>
          <w:bCs/>
          <w:sz w:val="24"/>
          <w:szCs w:val="24"/>
        </w:rPr>
      </w:pPr>
    </w:p>
    <w:p w:rsidR="00D65DC4" w:rsidRDefault="00D65DC4">
      <w:pPr>
        <w:rPr>
          <w:b/>
        </w:rPr>
      </w:pPr>
      <w:r>
        <w:rPr>
          <w:b/>
        </w:rPr>
        <w:br w:type="page"/>
      </w:r>
    </w:p>
    <w:p w:rsidR="002B4FB6" w:rsidRPr="004F450E" w:rsidRDefault="004F450E" w:rsidP="00065E9A">
      <w:pPr>
        <w:rPr>
          <w:b/>
        </w:rPr>
      </w:pPr>
      <w:r w:rsidRPr="004F450E">
        <w:rPr>
          <w:b/>
        </w:rPr>
        <w:lastRenderedPageBreak/>
        <w:t>Compare and critically contrast Mircea Eliade’s and Emile Durkheim’s views of sacred space.</w:t>
      </w:r>
    </w:p>
    <w:p w:rsidR="004F450E" w:rsidRPr="00065E9A" w:rsidRDefault="004F450E" w:rsidP="00065E9A"/>
    <w:p w:rsidR="00C26B36" w:rsidRPr="00065E9A" w:rsidRDefault="002B4FB6" w:rsidP="00065E9A">
      <w:r w:rsidRPr="00065E9A">
        <w:t xml:space="preserve">This essay will </w:t>
      </w:r>
      <w:r w:rsidR="00C17F8B" w:rsidRPr="00065E9A">
        <w:t>consider</w:t>
      </w:r>
      <w:r w:rsidRPr="00065E9A">
        <w:t xml:space="preserve"> the commonalities and differences in the way that sacred space</w:t>
      </w:r>
      <w:r w:rsidR="00C17F8B" w:rsidRPr="00065E9A">
        <w:t xml:space="preserve"> is characterise</w:t>
      </w:r>
      <w:r w:rsidRPr="00065E9A">
        <w:t xml:space="preserve">d in </w:t>
      </w:r>
      <w:r w:rsidR="001F75A1" w:rsidRPr="00065E9A">
        <w:t>Émile</w:t>
      </w:r>
      <w:r w:rsidRPr="00065E9A">
        <w:t xml:space="preserve"> Durkheim’s </w:t>
      </w:r>
      <w:r w:rsidRPr="00065E9A">
        <w:rPr>
          <w:i/>
        </w:rPr>
        <w:t>The Elementary Forms of Religious Life</w:t>
      </w:r>
      <w:r w:rsidR="003A543A" w:rsidRPr="00065E9A">
        <w:rPr>
          <w:rStyle w:val="FootnoteReference"/>
        </w:rPr>
        <w:footnoteReference w:id="1"/>
      </w:r>
      <w:r w:rsidRPr="00065E9A">
        <w:t xml:space="preserve"> and Mircea Eliade’</w:t>
      </w:r>
      <w:r w:rsidR="00C17F8B" w:rsidRPr="00065E9A">
        <w:t>s</w:t>
      </w:r>
      <w:r w:rsidRPr="00065E9A">
        <w:t xml:space="preserve"> </w:t>
      </w:r>
      <w:r w:rsidRPr="00065E9A">
        <w:rPr>
          <w:i/>
        </w:rPr>
        <w:t>The Sacred and the Profane</w:t>
      </w:r>
      <w:r w:rsidR="003A543A" w:rsidRPr="00065E9A">
        <w:rPr>
          <w:rStyle w:val="FootnoteReference"/>
        </w:rPr>
        <w:footnoteReference w:id="2"/>
      </w:r>
      <w:r w:rsidRPr="00065E9A">
        <w:t>.</w:t>
      </w:r>
      <w:r w:rsidR="00444B6F" w:rsidRPr="00065E9A">
        <w:t xml:space="preserve"> This</w:t>
      </w:r>
      <w:r w:rsidRPr="00065E9A">
        <w:t xml:space="preserve"> investigation </w:t>
      </w:r>
      <w:r w:rsidR="003B26C3" w:rsidRPr="00065E9A">
        <w:t xml:space="preserve">contextualises the two authors’ works, and </w:t>
      </w:r>
      <w:r w:rsidR="006E2431" w:rsidRPr="00065E9A">
        <w:t>then explores</w:t>
      </w:r>
      <w:r w:rsidR="00AA7348" w:rsidRPr="00065E9A">
        <w:t xml:space="preserve"> how Eliade’s and Durkheim’s contrasting </w:t>
      </w:r>
      <w:r w:rsidR="00F93A63" w:rsidRPr="00065E9A">
        <w:t>methodologies result</w:t>
      </w:r>
      <w:r w:rsidR="00AA7348" w:rsidRPr="00065E9A">
        <w:t xml:space="preserve"> in very different expressions of the </w:t>
      </w:r>
      <w:r w:rsidR="003F4407" w:rsidRPr="00065E9A">
        <w:t>origin, struct</w:t>
      </w:r>
      <w:r w:rsidR="00AA7348" w:rsidRPr="00065E9A">
        <w:t>ure</w:t>
      </w:r>
      <w:r w:rsidR="003F4407" w:rsidRPr="00065E9A">
        <w:t>,</w:t>
      </w:r>
      <w:r w:rsidR="00AA7348" w:rsidRPr="00065E9A">
        <w:t xml:space="preserve"> </w:t>
      </w:r>
      <w:r w:rsidR="003F4407" w:rsidRPr="00065E9A">
        <w:t>and nature</w:t>
      </w:r>
      <w:r w:rsidR="00AA7348" w:rsidRPr="00065E9A">
        <w:t xml:space="preserve"> of sacred space, despite both being rooted in </w:t>
      </w:r>
      <w:r w:rsidR="001311A9" w:rsidRPr="00065E9A">
        <w:t>the same</w:t>
      </w:r>
      <w:r w:rsidR="00AA7348" w:rsidRPr="00065E9A">
        <w:t xml:space="preserve"> </w:t>
      </w:r>
      <w:r w:rsidR="00895126" w:rsidRPr="00065E9A">
        <w:t>conceptu</w:t>
      </w:r>
      <w:r w:rsidR="003F4407" w:rsidRPr="00065E9A">
        <w:t xml:space="preserve">al dichotomy of opposing realms of </w:t>
      </w:r>
      <w:r w:rsidR="00444B6F" w:rsidRPr="00065E9A">
        <w:t xml:space="preserve">the </w:t>
      </w:r>
      <w:r w:rsidR="003F4407" w:rsidRPr="00065E9A">
        <w:t xml:space="preserve">sacred and </w:t>
      </w:r>
      <w:r w:rsidR="00444B6F" w:rsidRPr="00065E9A">
        <w:t xml:space="preserve">the </w:t>
      </w:r>
      <w:r w:rsidR="003F4407" w:rsidRPr="00065E9A">
        <w:t>profane.</w:t>
      </w:r>
    </w:p>
    <w:p w:rsidR="00901006" w:rsidRPr="00065E9A" w:rsidRDefault="001F47A3" w:rsidP="00065E9A">
      <w:pPr>
        <w:ind w:firstLine="720"/>
      </w:pPr>
      <w:r w:rsidRPr="00065E9A">
        <w:t>Émile Durkheim (1858-1917)</w:t>
      </w:r>
      <w:r w:rsidR="00901006" w:rsidRPr="00065E9A">
        <w:t xml:space="preserve"> was a </w:t>
      </w:r>
      <w:r w:rsidR="004E409F" w:rsidRPr="00065E9A">
        <w:t xml:space="preserve">French scholar and teacher, and </w:t>
      </w:r>
      <w:r w:rsidR="00A04C40" w:rsidRPr="00065E9A">
        <w:t xml:space="preserve">as the founder of the journal </w:t>
      </w:r>
      <w:r w:rsidR="00A04C40" w:rsidRPr="00065E9A">
        <w:rPr>
          <w:i/>
        </w:rPr>
        <w:t>Ann</w:t>
      </w:r>
      <w:r w:rsidR="00A04C40" w:rsidRPr="00065E9A">
        <w:rPr>
          <w:rFonts w:cstheme="minorHAnsi"/>
          <w:i/>
        </w:rPr>
        <w:t>é</w:t>
      </w:r>
      <w:r w:rsidR="0079488A" w:rsidRPr="00065E9A">
        <w:rPr>
          <w:i/>
        </w:rPr>
        <w:t xml:space="preserve">e sociologique, </w:t>
      </w:r>
      <w:r w:rsidR="00A04C40" w:rsidRPr="00065E9A">
        <w:t xml:space="preserve">he became </w:t>
      </w:r>
      <w:r w:rsidR="00901006" w:rsidRPr="00065E9A">
        <w:t xml:space="preserve">an early </w:t>
      </w:r>
      <w:r w:rsidR="00A04C40" w:rsidRPr="00065E9A">
        <w:t xml:space="preserve">and influential </w:t>
      </w:r>
      <w:r w:rsidR="00901006" w:rsidRPr="00065E9A">
        <w:t xml:space="preserve">proponent of </w:t>
      </w:r>
      <w:r w:rsidR="004E409F" w:rsidRPr="00065E9A">
        <w:t xml:space="preserve">the study of </w:t>
      </w:r>
      <w:r w:rsidR="00901006" w:rsidRPr="00065E9A">
        <w:t>sociology</w:t>
      </w:r>
      <w:r w:rsidR="004E409F" w:rsidRPr="00065E9A">
        <w:rPr>
          <w:rStyle w:val="FootnoteReference"/>
        </w:rPr>
        <w:footnoteReference w:id="3"/>
      </w:r>
      <w:r w:rsidR="004E409F" w:rsidRPr="00065E9A">
        <w:t>. An atheist descended from a long line of rabbis</w:t>
      </w:r>
      <w:r w:rsidR="004E409F" w:rsidRPr="00065E9A">
        <w:rPr>
          <w:rStyle w:val="FootnoteReference"/>
        </w:rPr>
        <w:footnoteReference w:id="4"/>
      </w:r>
      <w:r w:rsidR="004E409F" w:rsidRPr="00065E9A">
        <w:t xml:space="preserve">, Durkheim’s Judaism </w:t>
      </w:r>
      <w:r w:rsidR="006B07F9" w:rsidRPr="00065E9A">
        <w:t>nevertheless informed</w:t>
      </w:r>
      <w:r w:rsidR="004E409F" w:rsidRPr="00065E9A">
        <w:t xml:space="preserve"> his</w:t>
      </w:r>
      <w:r w:rsidR="00A8343D" w:rsidRPr="00065E9A">
        <w:t xml:space="preserve"> sociological</w:t>
      </w:r>
      <w:r w:rsidR="00065E9A" w:rsidRPr="00065E9A">
        <w:t xml:space="preserve"> scholarship in </w:t>
      </w:r>
      <w:r w:rsidR="00A04C40" w:rsidRPr="00065E9A">
        <w:t>both his rejection of</w:t>
      </w:r>
      <w:r w:rsidR="0079488A" w:rsidRPr="00065E9A">
        <w:t xml:space="preserve"> religious individualism</w:t>
      </w:r>
      <w:r w:rsidR="00A04C40" w:rsidRPr="00065E9A">
        <w:rPr>
          <w:rStyle w:val="FootnoteReference"/>
        </w:rPr>
        <w:footnoteReference w:id="5"/>
      </w:r>
      <w:r w:rsidR="0079488A" w:rsidRPr="00065E9A">
        <w:t xml:space="preserve"> and his belief in religion as ‘the source of moral community in traditional society’</w:t>
      </w:r>
      <w:r w:rsidR="0079488A" w:rsidRPr="00065E9A">
        <w:rPr>
          <w:rStyle w:val="FootnoteReference"/>
        </w:rPr>
        <w:footnoteReference w:id="6"/>
      </w:r>
      <w:r w:rsidR="00A04C40" w:rsidRPr="00065E9A">
        <w:t xml:space="preserve">. </w:t>
      </w:r>
      <w:r w:rsidR="00A8343D" w:rsidRPr="00065E9A">
        <w:t>The premise of his</w:t>
      </w:r>
      <w:r w:rsidR="0079488A" w:rsidRPr="00065E9A">
        <w:t xml:space="preserve"> 1912 </w:t>
      </w:r>
      <w:r w:rsidR="00EA6D1E" w:rsidRPr="00065E9A">
        <w:t xml:space="preserve">book </w:t>
      </w:r>
      <w:r w:rsidR="00EA6D1E" w:rsidRPr="00065E9A">
        <w:rPr>
          <w:i/>
        </w:rPr>
        <w:t>The Elementary Forms of Religious Life</w:t>
      </w:r>
      <w:r w:rsidR="00EA6D1E" w:rsidRPr="00065E9A">
        <w:t xml:space="preserve"> (hereafter </w:t>
      </w:r>
      <w:r w:rsidR="00EA6D1E" w:rsidRPr="00065E9A">
        <w:rPr>
          <w:i/>
        </w:rPr>
        <w:t>Forms</w:t>
      </w:r>
      <w:r w:rsidR="00EA6D1E" w:rsidRPr="00065E9A">
        <w:t xml:space="preserve">) </w:t>
      </w:r>
      <w:r w:rsidR="00A8343D" w:rsidRPr="00065E9A">
        <w:t xml:space="preserve">is anchored in Durkheim’s conviction that, as he </w:t>
      </w:r>
      <w:r w:rsidR="002D25C3" w:rsidRPr="00065E9A">
        <w:t>states</w:t>
      </w:r>
      <w:r w:rsidR="00A8343D" w:rsidRPr="00065E9A">
        <w:t>, ‘if religion generated everything that is essential in society, this is because the idea of society is the soul of religion’</w:t>
      </w:r>
      <w:r w:rsidR="00A8343D" w:rsidRPr="00065E9A">
        <w:rPr>
          <w:rStyle w:val="FootnoteReference"/>
        </w:rPr>
        <w:footnoteReference w:id="7"/>
      </w:r>
      <w:r w:rsidR="00A8343D" w:rsidRPr="00065E9A">
        <w:t>.</w:t>
      </w:r>
      <w:r w:rsidR="0026026C" w:rsidRPr="00065E9A">
        <w:t xml:space="preserve"> Durkheim</w:t>
      </w:r>
      <w:r w:rsidR="001311A9" w:rsidRPr="00065E9A">
        <w:t xml:space="preserve">’s </w:t>
      </w:r>
      <w:r w:rsidR="0026026C" w:rsidRPr="00065E9A">
        <w:t xml:space="preserve">study </w:t>
      </w:r>
      <w:r w:rsidR="001311A9" w:rsidRPr="00065E9A">
        <w:t xml:space="preserve">centres </w:t>
      </w:r>
      <w:r w:rsidR="0026026C" w:rsidRPr="00065E9A">
        <w:t xml:space="preserve">on an analysis of Aboriginal Australian totemism, </w:t>
      </w:r>
      <w:r w:rsidR="001311A9" w:rsidRPr="00065E9A">
        <w:t>which he considered</w:t>
      </w:r>
      <w:r w:rsidR="0026026C" w:rsidRPr="00065E9A">
        <w:t xml:space="preserve"> </w:t>
      </w:r>
      <w:r w:rsidR="001311A9" w:rsidRPr="00065E9A">
        <w:t xml:space="preserve">to be </w:t>
      </w:r>
      <w:r w:rsidR="0026026C" w:rsidRPr="00065E9A">
        <w:t>‘the most primitive and simplest religion currently known</w:t>
      </w:r>
      <w:r w:rsidR="005F6C97" w:rsidRPr="00065E9A">
        <w:t>’</w:t>
      </w:r>
      <w:r w:rsidR="0026026C" w:rsidRPr="00065E9A">
        <w:rPr>
          <w:rStyle w:val="FootnoteReference"/>
        </w:rPr>
        <w:footnoteReference w:id="8"/>
      </w:r>
      <w:r w:rsidR="00471059" w:rsidRPr="00065E9A">
        <w:t>. His</w:t>
      </w:r>
      <w:r w:rsidR="00AA1BB0" w:rsidRPr="00065E9A">
        <w:t xml:space="preserve"> </w:t>
      </w:r>
      <w:r w:rsidR="006B07F9" w:rsidRPr="00065E9A">
        <w:t>methodological reductionism</w:t>
      </w:r>
      <w:r w:rsidR="00471059" w:rsidRPr="00065E9A">
        <w:t xml:space="preserve"> pivots on a problematic assumption</w:t>
      </w:r>
      <w:r w:rsidR="00471059" w:rsidRPr="00065E9A">
        <w:t xml:space="preserve"> of the ‘lesser development’</w:t>
      </w:r>
      <w:r w:rsidR="00471059" w:rsidRPr="00065E9A">
        <w:t xml:space="preserve"> of</w:t>
      </w:r>
      <w:r w:rsidR="00471059" w:rsidRPr="00065E9A">
        <w:t xml:space="preserve"> Aboriginal ‘lower societies’</w:t>
      </w:r>
      <w:r w:rsidR="00471059" w:rsidRPr="00065E9A">
        <w:rPr>
          <w:rStyle w:val="FootnoteReference"/>
        </w:rPr>
        <w:footnoteReference w:id="9"/>
      </w:r>
      <w:r w:rsidR="00471059" w:rsidRPr="00065E9A">
        <w:t>, although this was uncontroversial for the time</w:t>
      </w:r>
      <w:r w:rsidR="00471059" w:rsidRPr="00065E9A">
        <w:rPr>
          <w:rStyle w:val="FootnoteReference"/>
        </w:rPr>
        <w:footnoteReference w:id="10"/>
      </w:r>
      <w:r w:rsidR="00AA1BB0" w:rsidRPr="00065E9A">
        <w:t xml:space="preserve">. </w:t>
      </w:r>
      <w:r w:rsidR="00BC2B4B" w:rsidRPr="00065E9A">
        <w:t>Applying a social scientist’s methodology</w:t>
      </w:r>
      <w:r w:rsidR="00AA1BB0" w:rsidRPr="00065E9A">
        <w:t xml:space="preserve"> to the Aboriginal ethnographies available to him</w:t>
      </w:r>
      <w:r w:rsidR="00BC2B4B" w:rsidRPr="00065E9A">
        <w:t>,</w:t>
      </w:r>
      <w:r w:rsidR="00D77B42" w:rsidRPr="00065E9A">
        <w:t xml:space="preserve"> as Karen Fields suggests, Durkheim’s focus on the ‘utmost simplicity’ of totemism</w:t>
      </w:r>
      <w:r w:rsidR="00D77B42" w:rsidRPr="00065E9A">
        <w:rPr>
          <w:rStyle w:val="FootnoteReference"/>
        </w:rPr>
        <w:footnoteReference w:id="11"/>
      </w:r>
      <w:r w:rsidR="00BC2B4B" w:rsidRPr="00065E9A">
        <w:t xml:space="preserve"> represents </w:t>
      </w:r>
      <w:r w:rsidR="00D77B42" w:rsidRPr="00065E9A">
        <w:t>an</w:t>
      </w:r>
      <w:r w:rsidR="00BC2B4B" w:rsidRPr="00065E9A">
        <w:t xml:space="preserve"> attempt to </w:t>
      </w:r>
      <w:r w:rsidR="00D77B42" w:rsidRPr="00065E9A">
        <w:t xml:space="preserve">avoid the complications of Judeo-Christian bias that seem to have dogged the </w:t>
      </w:r>
      <w:r w:rsidR="001311A9" w:rsidRPr="00065E9A">
        <w:t>scholarship</w:t>
      </w:r>
      <w:r w:rsidR="00D77B42" w:rsidRPr="00065E9A">
        <w:t xml:space="preserve"> of his contemporaries</w:t>
      </w:r>
      <w:r w:rsidR="00D77B42" w:rsidRPr="00065E9A">
        <w:rPr>
          <w:rStyle w:val="FootnoteReference"/>
        </w:rPr>
        <w:footnoteReference w:id="12"/>
      </w:r>
      <w:r w:rsidR="00D77B42" w:rsidRPr="00065E9A">
        <w:t>.</w:t>
      </w:r>
      <w:r w:rsidR="00FD6DCC" w:rsidRPr="00065E9A">
        <w:t xml:space="preserve"> </w:t>
      </w:r>
    </w:p>
    <w:p w:rsidR="00065E9A" w:rsidRDefault="005F6C97" w:rsidP="00065E9A">
      <w:pPr>
        <w:ind w:firstLine="720"/>
      </w:pPr>
      <w:r w:rsidRPr="00065E9A">
        <w:t xml:space="preserve">A very different methodology is evident in </w:t>
      </w:r>
      <w:r w:rsidR="001F47A3" w:rsidRPr="00065E9A">
        <w:rPr>
          <w:i/>
        </w:rPr>
        <w:t>The Sacred and the Profane</w:t>
      </w:r>
      <w:r w:rsidRPr="00065E9A">
        <w:rPr>
          <w:i/>
        </w:rPr>
        <w:t>,</w:t>
      </w:r>
      <w:r w:rsidR="001F47A3" w:rsidRPr="00065E9A">
        <w:t xml:space="preserve"> published in </w:t>
      </w:r>
      <w:r w:rsidR="00A6068B" w:rsidRPr="00065E9A">
        <w:t xml:space="preserve">1957, </w:t>
      </w:r>
      <w:r w:rsidR="001F47A3" w:rsidRPr="00065E9A">
        <w:t>the same year that</w:t>
      </w:r>
      <w:r w:rsidR="00A6068B" w:rsidRPr="00065E9A">
        <w:t xml:space="preserve"> its Romanian author</w:t>
      </w:r>
      <w:r w:rsidR="001F47A3" w:rsidRPr="00065E9A">
        <w:t xml:space="preserve"> </w:t>
      </w:r>
      <w:r w:rsidR="00A6068B" w:rsidRPr="00065E9A">
        <w:t>Mircea Eliade (1907-1986) received a professorship at</w:t>
      </w:r>
      <w:r w:rsidR="00F61A3F" w:rsidRPr="00065E9A">
        <w:t xml:space="preserve"> the University of Chicago</w:t>
      </w:r>
      <w:r w:rsidR="00A6068B" w:rsidRPr="00065E9A">
        <w:t>’s Divinity School</w:t>
      </w:r>
      <w:r w:rsidR="00F61A3F" w:rsidRPr="00065E9A">
        <w:rPr>
          <w:rStyle w:val="FootnoteReference"/>
        </w:rPr>
        <w:footnoteReference w:id="13"/>
      </w:r>
      <w:r w:rsidR="00F61A3F" w:rsidRPr="00065E9A">
        <w:t xml:space="preserve">. </w:t>
      </w:r>
      <w:r w:rsidR="00A6068B" w:rsidRPr="00065E9A">
        <w:t>Eliade had previously authored books on yoga, shamanism, and alchemy</w:t>
      </w:r>
      <w:r w:rsidR="00A6068B" w:rsidRPr="00065E9A">
        <w:rPr>
          <w:rStyle w:val="FootnoteReference"/>
        </w:rPr>
        <w:footnoteReference w:id="14"/>
      </w:r>
      <w:r w:rsidR="00A6068B" w:rsidRPr="00065E9A">
        <w:t xml:space="preserve">, and </w:t>
      </w:r>
      <w:r w:rsidR="00812D4C" w:rsidRPr="00065E9A">
        <w:t>identifie</w:t>
      </w:r>
      <w:r w:rsidR="00A6068B" w:rsidRPr="00065E9A">
        <w:t>d himself as an ‘historian of religions’</w:t>
      </w:r>
      <w:r w:rsidR="00A6068B" w:rsidRPr="00065E9A">
        <w:rPr>
          <w:rStyle w:val="FootnoteReference"/>
        </w:rPr>
        <w:footnoteReference w:id="15"/>
      </w:r>
      <w:r w:rsidR="00A6068B" w:rsidRPr="00065E9A">
        <w:t>. Ra</w:t>
      </w:r>
      <w:r w:rsidR="00812D4C" w:rsidRPr="00065E9A">
        <w:t>ndall Studstill describes this self-characterisation as ‘misleading’, suggesting that Eliade’s approach was more ‘phenomenological or philosophical’ than historical</w:t>
      </w:r>
      <w:r w:rsidR="00812D4C" w:rsidRPr="00065E9A">
        <w:rPr>
          <w:rStyle w:val="FootnoteReference"/>
        </w:rPr>
        <w:footnoteReference w:id="16"/>
      </w:r>
      <w:r w:rsidR="000A36C6" w:rsidRPr="00065E9A">
        <w:t xml:space="preserve"> - a characterisation that Eliade himself, no lover of phenomenology, would have soundly rejected</w:t>
      </w:r>
      <w:r w:rsidR="000A36C6" w:rsidRPr="00065E9A">
        <w:rPr>
          <w:rStyle w:val="FootnoteReference"/>
        </w:rPr>
        <w:footnoteReference w:id="17"/>
      </w:r>
      <w:r w:rsidR="00812D4C" w:rsidRPr="00065E9A">
        <w:t xml:space="preserve">. </w:t>
      </w:r>
      <w:r w:rsidR="0068237B" w:rsidRPr="00065E9A">
        <w:t>H</w:t>
      </w:r>
      <w:r w:rsidR="00640049" w:rsidRPr="00065E9A">
        <w:t>owever, Eliade’s</w:t>
      </w:r>
      <w:r w:rsidR="0068237B" w:rsidRPr="00065E9A">
        <w:t xml:space="preserve"> writing in </w:t>
      </w:r>
      <w:r w:rsidR="0068237B" w:rsidRPr="00065E9A">
        <w:rPr>
          <w:i/>
        </w:rPr>
        <w:t xml:space="preserve">The Sacred and the </w:t>
      </w:r>
      <w:r w:rsidR="0068237B" w:rsidRPr="00065E9A">
        <w:rPr>
          <w:i/>
        </w:rPr>
        <w:lastRenderedPageBreak/>
        <w:t>Profane</w:t>
      </w:r>
      <w:r w:rsidR="00812D4C" w:rsidRPr="00065E9A">
        <w:t xml:space="preserve"> might be </w:t>
      </w:r>
      <w:r w:rsidR="001F603D" w:rsidRPr="00065E9A">
        <w:t>consider</w:t>
      </w:r>
      <w:r w:rsidR="00812D4C" w:rsidRPr="00065E9A">
        <w:t>ed even</w:t>
      </w:r>
      <w:r w:rsidR="001F603D" w:rsidRPr="00065E9A">
        <w:t xml:space="preserve"> more theoretical</w:t>
      </w:r>
      <w:r w:rsidR="00640049" w:rsidRPr="00065E9A">
        <w:t>, his</w:t>
      </w:r>
      <w:r w:rsidR="00812D4C" w:rsidRPr="00065E9A">
        <w:t xml:space="preserve"> methodology</w:t>
      </w:r>
      <w:r w:rsidR="00640049" w:rsidRPr="00065E9A">
        <w:t xml:space="preserve"> aligning more ful</w:t>
      </w:r>
      <w:r w:rsidR="00812D4C" w:rsidRPr="00065E9A">
        <w:t xml:space="preserve">ly with a </w:t>
      </w:r>
      <w:r w:rsidR="00640049" w:rsidRPr="00065E9A">
        <w:t>theological or</w:t>
      </w:r>
      <w:r w:rsidR="00812D4C" w:rsidRPr="00065E9A">
        <w:t xml:space="preserve"> ontological approach</w:t>
      </w:r>
      <w:r w:rsidR="008F1CCE" w:rsidRPr="00065E9A">
        <w:t xml:space="preserve"> in keeping with his earlier esoteric interests</w:t>
      </w:r>
      <w:r w:rsidR="00812D4C" w:rsidRPr="00065E9A">
        <w:t>. Certainly Eliade</w:t>
      </w:r>
      <w:r w:rsidR="003114DC" w:rsidRPr="00065E9A">
        <w:t>’s book</w:t>
      </w:r>
      <w:r w:rsidR="00812D4C" w:rsidRPr="00065E9A">
        <w:t xml:space="preserve"> rejects a scientific, sociological </w:t>
      </w:r>
      <w:r w:rsidR="002275B2" w:rsidRPr="00065E9A">
        <w:t>interpretation</w:t>
      </w:r>
      <w:r w:rsidR="00812D4C" w:rsidRPr="00065E9A">
        <w:t xml:space="preserve"> of religion, stating dis</w:t>
      </w:r>
      <w:r w:rsidR="003114DC" w:rsidRPr="00065E9A">
        <w:t>approving</w:t>
      </w:r>
      <w:r w:rsidR="00812D4C" w:rsidRPr="00065E9A">
        <w:t>ly that mo</w:t>
      </w:r>
      <w:r w:rsidR="00E57387" w:rsidRPr="00065E9A">
        <w:t>dern man exists in a ‘desacralis</w:t>
      </w:r>
      <w:r w:rsidR="00812D4C" w:rsidRPr="00065E9A">
        <w:t xml:space="preserve">ed cosmos’ </w:t>
      </w:r>
      <w:r w:rsidR="002275B2" w:rsidRPr="00065E9A">
        <w:t xml:space="preserve">brought about by scientific </w:t>
      </w:r>
      <w:r w:rsidR="00FB03E2" w:rsidRPr="00065E9A">
        <w:t>advancement</w:t>
      </w:r>
      <w:r w:rsidR="003114DC" w:rsidRPr="00065E9A">
        <w:t xml:space="preserve">, </w:t>
      </w:r>
      <w:r w:rsidR="00FB03E2" w:rsidRPr="00065E9A">
        <w:t>with</w:t>
      </w:r>
      <w:r w:rsidR="002275B2" w:rsidRPr="00065E9A">
        <w:t xml:space="preserve"> blame</w:t>
      </w:r>
      <w:r w:rsidR="00FB03E2" w:rsidRPr="00065E9A">
        <w:t xml:space="preserve"> for this apparent moral decay</w:t>
      </w:r>
      <w:r w:rsidR="002275B2" w:rsidRPr="00065E9A">
        <w:t xml:space="preserve"> </w:t>
      </w:r>
      <w:r w:rsidR="00FB03E2" w:rsidRPr="00065E9A">
        <w:t xml:space="preserve">assigned </w:t>
      </w:r>
      <w:r w:rsidR="00640049" w:rsidRPr="00065E9A">
        <w:t>primarily</w:t>
      </w:r>
      <w:r w:rsidR="00FB03E2" w:rsidRPr="00065E9A">
        <w:t xml:space="preserve"> </w:t>
      </w:r>
      <w:r w:rsidR="003114DC" w:rsidRPr="00065E9A">
        <w:t>to</w:t>
      </w:r>
      <w:r w:rsidR="002275B2" w:rsidRPr="00065E9A">
        <w:t xml:space="preserve"> ‘the sensational discoveries of physics and chemistry’</w:t>
      </w:r>
      <w:r w:rsidR="002275B2" w:rsidRPr="00065E9A">
        <w:rPr>
          <w:rStyle w:val="FootnoteReference"/>
        </w:rPr>
        <w:footnoteReference w:id="18"/>
      </w:r>
      <w:r w:rsidR="003114DC" w:rsidRPr="00065E9A">
        <w:t>.</w:t>
      </w:r>
    </w:p>
    <w:p w:rsidR="008F1CCE" w:rsidRPr="00065E9A" w:rsidRDefault="00125B5E" w:rsidP="00065E9A">
      <w:pPr>
        <w:ind w:firstLine="720"/>
      </w:pPr>
      <w:r w:rsidRPr="00065E9A">
        <w:t xml:space="preserve">Eliade intended </w:t>
      </w:r>
      <w:r w:rsidRPr="00065E9A">
        <w:rPr>
          <w:i/>
        </w:rPr>
        <w:t>The Sacred and the Profane</w:t>
      </w:r>
      <w:r w:rsidRPr="00065E9A">
        <w:t xml:space="preserve"> to be ‘</w:t>
      </w:r>
      <w:r w:rsidR="00003E10" w:rsidRPr="00065E9A">
        <w:t>a general introduction to the history of religions</w:t>
      </w:r>
      <w:r w:rsidRPr="00065E9A">
        <w:t>’</w:t>
      </w:r>
      <w:r w:rsidRPr="00065E9A">
        <w:rPr>
          <w:rStyle w:val="FootnoteReference"/>
        </w:rPr>
        <w:footnoteReference w:id="19"/>
      </w:r>
      <w:r w:rsidRPr="00065E9A">
        <w:t xml:space="preserve">, </w:t>
      </w:r>
      <w:r w:rsidR="000C2C09" w:rsidRPr="00065E9A">
        <w:t>aiming to</w:t>
      </w:r>
      <w:r w:rsidRPr="00065E9A">
        <w:t xml:space="preserve"> explor</w:t>
      </w:r>
      <w:r w:rsidR="000C2C09" w:rsidRPr="00065E9A">
        <w:t>e</w:t>
      </w:r>
      <w:r w:rsidRPr="00065E9A">
        <w:t xml:space="preserve"> the </w:t>
      </w:r>
      <w:r w:rsidR="000C2C09" w:rsidRPr="00065E9A">
        <w:t xml:space="preserve">very </w:t>
      </w:r>
      <w:r w:rsidR="00F5177D" w:rsidRPr="00065E9A">
        <w:t xml:space="preserve">essence and </w:t>
      </w:r>
      <w:r w:rsidRPr="00065E9A">
        <w:t xml:space="preserve">origin of sacrality, </w:t>
      </w:r>
      <w:r w:rsidR="00FF55A2" w:rsidRPr="00065E9A">
        <w:t>and expanding on the work of Rudolf Otto’</w:t>
      </w:r>
      <w:r w:rsidR="008B57AE" w:rsidRPr="00065E9A">
        <w:t xml:space="preserve">s </w:t>
      </w:r>
      <w:r w:rsidR="00FF55A2" w:rsidRPr="00065E9A">
        <w:t xml:space="preserve">prominent 1917 book on religion, </w:t>
      </w:r>
      <w:r w:rsidR="00FF55A2" w:rsidRPr="00065E9A">
        <w:rPr>
          <w:i/>
        </w:rPr>
        <w:t xml:space="preserve">Das Heilige </w:t>
      </w:r>
      <w:r w:rsidR="00FF55A2" w:rsidRPr="00065E9A">
        <w:t>(The Sacred)</w:t>
      </w:r>
      <w:r w:rsidR="00FF55A2" w:rsidRPr="00065E9A">
        <w:rPr>
          <w:rStyle w:val="FootnoteReference"/>
        </w:rPr>
        <w:footnoteReference w:id="20"/>
      </w:r>
      <w:r w:rsidR="00FF55A2" w:rsidRPr="00065E9A">
        <w:t xml:space="preserve">. </w:t>
      </w:r>
      <w:r w:rsidR="00995BA1" w:rsidRPr="00065E9A">
        <w:t>Otto had been</w:t>
      </w:r>
      <w:r w:rsidR="00FD6DCC" w:rsidRPr="00065E9A">
        <w:t xml:space="preserve"> influenced in turn by Durkheim’s</w:t>
      </w:r>
      <w:r w:rsidR="00995BA1" w:rsidRPr="00065E9A">
        <w:t xml:space="preserve"> 1912</w:t>
      </w:r>
      <w:r w:rsidR="00FD6DCC" w:rsidRPr="00065E9A">
        <w:t xml:space="preserve"> </w:t>
      </w:r>
      <w:r w:rsidR="00FD6DCC" w:rsidRPr="00065E9A">
        <w:rPr>
          <w:i/>
        </w:rPr>
        <w:t>Forms</w:t>
      </w:r>
      <w:r w:rsidR="00995BA1" w:rsidRPr="00065E9A">
        <w:t xml:space="preserve">, </w:t>
      </w:r>
      <w:r w:rsidR="00264E50" w:rsidRPr="00065E9A">
        <w:t>echoing</w:t>
      </w:r>
      <w:r w:rsidR="00995BA1" w:rsidRPr="00065E9A">
        <w:t xml:space="preserve"> the Frenchman’s</w:t>
      </w:r>
      <w:r w:rsidR="00FD6DCC" w:rsidRPr="00065E9A">
        <w:t xml:space="preserve"> concept of </w:t>
      </w:r>
      <w:r w:rsidR="00995BA1" w:rsidRPr="00065E9A">
        <w:t xml:space="preserve">‘the </w:t>
      </w:r>
      <w:r w:rsidR="00FD6DCC" w:rsidRPr="00065E9A">
        <w:t>sacred’ as what Michael Stausberg terms the ‘key to conceptualizing religion’</w:t>
      </w:r>
      <w:r w:rsidR="00FD6DCC" w:rsidRPr="00065E9A">
        <w:rPr>
          <w:rStyle w:val="FootnoteReference"/>
        </w:rPr>
        <w:footnoteReference w:id="21"/>
      </w:r>
      <w:r w:rsidR="00995BA1" w:rsidRPr="00065E9A">
        <w:t>.</w:t>
      </w:r>
      <w:r w:rsidR="00FD6DCC" w:rsidRPr="00065E9A">
        <w:t xml:space="preserve"> </w:t>
      </w:r>
      <w:r w:rsidR="00FF55A2" w:rsidRPr="00065E9A">
        <w:t>Although Eliade fails to reference Durkheim as an influence</w:t>
      </w:r>
      <w:r w:rsidR="008F1CCE" w:rsidRPr="00065E9A">
        <w:t>, the origin of qualitatively separate sacred space is an essential concept in both of their books</w:t>
      </w:r>
      <w:r w:rsidR="00632D61" w:rsidRPr="00065E9A">
        <w:t>. Eliade</w:t>
      </w:r>
      <w:r w:rsidR="006241AF" w:rsidRPr="00065E9A">
        <w:t xml:space="preserve"> </w:t>
      </w:r>
      <w:r w:rsidR="00640049" w:rsidRPr="00065E9A">
        <w:t xml:space="preserve">proposes the term ‘hierophany’ to mean a </w:t>
      </w:r>
      <w:r w:rsidR="006241AF" w:rsidRPr="00065E9A">
        <w:t>‘manifestation</w:t>
      </w:r>
      <w:r w:rsidR="00640049" w:rsidRPr="00065E9A">
        <w:t xml:space="preserve"> of the sacred</w:t>
      </w:r>
      <w:r w:rsidR="006241AF" w:rsidRPr="00065E9A">
        <w:t>’</w:t>
      </w:r>
      <w:r w:rsidR="00640049" w:rsidRPr="00065E9A">
        <w:t xml:space="preserve"> as utterly </w:t>
      </w:r>
      <w:r w:rsidR="006241AF" w:rsidRPr="00065E9A">
        <w:t>distinct</w:t>
      </w:r>
      <w:r w:rsidR="00640049" w:rsidRPr="00065E9A">
        <w:t xml:space="preserve"> from the profane</w:t>
      </w:r>
      <w:r w:rsidR="00640049" w:rsidRPr="00065E9A">
        <w:rPr>
          <w:rStyle w:val="FootnoteReference"/>
        </w:rPr>
        <w:footnoteReference w:id="22"/>
      </w:r>
      <w:r w:rsidR="00640049" w:rsidRPr="00065E9A">
        <w:t>, the two states existing in profound opposition to each other. His hierophany is an ‘irruption of the sacred</w:t>
      </w:r>
      <w:r w:rsidR="006241AF" w:rsidRPr="00065E9A">
        <w:t>’</w:t>
      </w:r>
      <w:r w:rsidR="00640049" w:rsidRPr="00065E9A">
        <w:t xml:space="preserve"> into the </w:t>
      </w:r>
      <w:r w:rsidR="006241AF" w:rsidRPr="00065E9A">
        <w:t xml:space="preserve">profane </w:t>
      </w:r>
      <w:r w:rsidR="00640049" w:rsidRPr="00065E9A">
        <w:t>world</w:t>
      </w:r>
      <w:r w:rsidR="00640049" w:rsidRPr="00065E9A">
        <w:rPr>
          <w:rStyle w:val="FootnoteReference"/>
        </w:rPr>
        <w:footnoteReference w:id="23"/>
      </w:r>
      <w:r w:rsidR="006241AF" w:rsidRPr="00065E9A">
        <w:t>:</w:t>
      </w:r>
      <w:r w:rsidR="00640049" w:rsidRPr="00065E9A">
        <w:t xml:space="preserve"> a</w:t>
      </w:r>
      <w:r w:rsidR="001311A9" w:rsidRPr="00065E9A">
        <w:t>n actual</w:t>
      </w:r>
      <w:r w:rsidR="006204B6" w:rsidRPr="00065E9A">
        <w:t xml:space="preserve"> rent i</w:t>
      </w:r>
      <w:r w:rsidR="00270914" w:rsidRPr="00065E9A">
        <w:t xml:space="preserve">n the fabric of featureless profane </w:t>
      </w:r>
      <w:r w:rsidR="006204B6" w:rsidRPr="00065E9A">
        <w:t>space constituting a ‘breakthrough from plane to plane’</w:t>
      </w:r>
      <w:r w:rsidR="006204B6" w:rsidRPr="00065E9A">
        <w:rPr>
          <w:rStyle w:val="FootnoteReference"/>
        </w:rPr>
        <w:footnoteReference w:id="24"/>
      </w:r>
      <w:r w:rsidR="006241AF" w:rsidRPr="00065E9A">
        <w:t>.</w:t>
      </w:r>
      <w:r w:rsidR="00891373" w:rsidRPr="00065E9A">
        <w:t xml:space="preserve"> Thus, for Eliade, sacred space exists as a</w:t>
      </w:r>
      <w:r w:rsidR="00270914" w:rsidRPr="00065E9A">
        <w:t xml:space="preserve"> real</w:t>
      </w:r>
      <w:r w:rsidR="00891373" w:rsidRPr="00065E9A">
        <w:t xml:space="preserve"> detached territory that can onl</w:t>
      </w:r>
      <w:r w:rsidR="001311A9" w:rsidRPr="00065E9A">
        <w:t>y be perceived by religious man -</w:t>
      </w:r>
      <w:r w:rsidR="00891373" w:rsidRPr="00065E9A">
        <w:t xml:space="preserve"> </w:t>
      </w:r>
      <w:r w:rsidR="00891373" w:rsidRPr="00065E9A">
        <w:rPr>
          <w:i/>
        </w:rPr>
        <w:t>homo religiosus</w:t>
      </w:r>
      <w:r w:rsidR="00891373" w:rsidRPr="00065E9A">
        <w:t xml:space="preserve"> </w:t>
      </w:r>
      <w:r w:rsidR="001311A9" w:rsidRPr="00065E9A">
        <w:t>-</w:t>
      </w:r>
      <w:r w:rsidR="00DA3B55" w:rsidRPr="00065E9A">
        <w:t xml:space="preserve"> </w:t>
      </w:r>
      <w:r w:rsidR="00891373" w:rsidRPr="00065E9A">
        <w:t xml:space="preserve">a form of idealised human from what Eliade </w:t>
      </w:r>
      <w:r w:rsidR="008F1CCE" w:rsidRPr="00065E9A">
        <w:t xml:space="preserve">regards as </w:t>
      </w:r>
      <w:r w:rsidR="00891373" w:rsidRPr="00065E9A">
        <w:t>‘traditional societies’</w:t>
      </w:r>
      <w:r w:rsidR="00891373" w:rsidRPr="00065E9A">
        <w:rPr>
          <w:rStyle w:val="FootnoteReference"/>
        </w:rPr>
        <w:footnoteReference w:id="25"/>
      </w:r>
      <w:r w:rsidR="00891373" w:rsidRPr="00065E9A">
        <w:t>.</w:t>
      </w:r>
      <w:r w:rsidR="00DA3B55" w:rsidRPr="00065E9A">
        <w:t xml:space="preserve"> It is clear that a </w:t>
      </w:r>
      <w:r w:rsidR="00D422BD" w:rsidRPr="00065E9A">
        <w:t>devout</w:t>
      </w:r>
      <w:r w:rsidR="00DA3B55" w:rsidRPr="00065E9A">
        <w:t xml:space="preserve"> predisposition under</w:t>
      </w:r>
      <w:r w:rsidR="00C36094" w:rsidRPr="00065E9A">
        <w:t>lie</w:t>
      </w:r>
      <w:r w:rsidR="00DA3B55" w:rsidRPr="00065E9A">
        <w:t xml:space="preserve">s Eliade’s theory: his hierophany is inherently </w:t>
      </w:r>
      <w:r w:rsidR="00EA0056" w:rsidRPr="00065E9A">
        <w:t>supernatural,</w:t>
      </w:r>
      <w:r w:rsidR="00DA3B55" w:rsidRPr="00065E9A">
        <w:t xml:space="preserve"> the </w:t>
      </w:r>
      <w:r w:rsidR="008F1CCE" w:rsidRPr="00065E9A">
        <w:t>revelation</w:t>
      </w:r>
      <w:r w:rsidR="00DA3B55" w:rsidRPr="00065E9A">
        <w:t xml:space="preserve"> of ‘something that does not belong to this world’</w:t>
      </w:r>
      <w:r w:rsidR="00DA3B55" w:rsidRPr="00065E9A">
        <w:rPr>
          <w:rStyle w:val="FootnoteReference"/>
        </w:rPr>
        <w:footnoteReference w:id="26"/>
      </w:r>
      <w:r w:rsidR="00DA3B55" w:rsidRPr="00065E9A">
        <w:t xml:space="preserve">. </w:t>
      </w:r>
      <w:r w:rsidR="001311A9" w:rsidRPr="00065E9A">
        <w:t>Even</w:t>
      </w:r>
      <w:r w:rsidR="00DA3B55" w:rsidRPr="00065E9A">
        <w:t xml:space="preserve"> the </w:t>
      </w:r>
      <w:r w:rsidR="008F1CCE" w:rsidRPr="00065E9A">
        <w:t>human activity of</w:t>
      </w:r>
      <w:r w:rsidR="00DA3B55" w:rsidRPr="00065E9A">
        <w:t xml:space="preserve"> </w:t>
      </w:r>
      <w:r w:rsidR="001311A9" w:rsidRPr="00065E9A">
        <w:t>constructin</w:t>
      </w:r>
      <w:r w:rsidR="00DA3B55" w:rsidRPr="00065E9A">
        <w:t>g sanctified places is deemed to have a divine origin as ‘it reproduces the work of the gods’</w:t>
      </w:r>
      <w:r w:rsidR="00DA3B55" w:rsidRPr="00065E9A">
        <w:rPr>
          <w:rStyle w:val="FootnoteReference"/>
        </w:rPr>
        <w:footnoteReference w:id="27"/>
      </w:r>
      <w:r w:rsidR="00DA3B55" w:rsidRPr="00065E9A">
        <w:t>. Eliade presents numerous ethnographic ex</w:t>
      </w:r>
      <w:r w:rsidR="00816991" w:rsidRPr="00065E9A">
        <w:t xml:space="preserve">amples to illustrate and endorse his viewpoint, </w:t>
      </w:r>
      <w:r w:rsidR="008F1CCE" w:rsidRPr="00065E9A">
        <w:t xml:space="preserve">although the theological nature of his study makes it difficult to </w:t>
      </w:r>
      <w:r w:rsidR="000A36C6" w:rsidRPr="00065E9A">
        <w:t>define</w:t>
      </w:r>
      <w:r w:rsidR="008F1CCE" w:rsidRPr="00065E9A">
        <w:t xml:space="preserve"> these examples as</w:t>
      </w:r>
      <w:r w:rsidR="000A36C6" w:rsidRPr="00065E9A">
        <w:t xml:space="preserve"> concrete</w:t>
      </w:r>
      <w:r w:rsidR="008F1CCE" w:rsidRPr="00065E9A">
        <w:t xml:space="preserve"> evidence for his claims</w:t>
      </w:r>
      <w:r w:rsidR="000A36C6" w:rsidRPr="00065E9A">
        <w:t>. As Jonathan Z. Smith puts it when appraising Eliade’</w:t>
      </w:r>
      <w:r w:rsidR="001F603D" w:rsidRPr="00065E9A">
        <w:t>s 1949</w:t>
      </w:r>
      <w:r w:rsidR="000A36C6" w:rsidRPr="00065E9A">
        <w:t xml:space="preserve"> book </w:t>
      </w:r>
      <w:r w:rsidR="001F603D" w:rsidRPr="00065E9A">
        <w:rPr>
          <w:i/>
        </w:rPr>
        <w:t>Patterns in Comparative Religion</w:t>
      </w:r>
      <w:r w:rsidR="000A36C6" w:rsidRPr="00065E9A">
        <w:t xml:space="preserve">, </w:t>
      </w:r>
      <w:r w:rsidR="001F603D" w:rsidRPr="00065E9A">
        <w:t>there are ‘endless comparisons, juxtapositions, enumerations, classifications; the descriptions, but never… explanations of “thousands of phenomena”’</w:t>
      </w:r>
      <w:r w:rsidR="001F603D" w:rsidRPr="00065E9A">
        <w:rPr>
          <w:rStyle w:val="FootnoteReference"/>
        </w:rPr>
        <w:footnoteReference w:id="28"/>
      </w:r>
      <w:r w:rsidR="001F603D" w:rsidRPr="00065E9A">
        <w:t xml:space="preserve"> - and the same can be said for </w:t>
      </w:r>
      <w:r w:rsidR="001F603D" w:rsidRPr="00065E9A">
        <w:rPr>
          <w:i/>
        </w:rPr>
        <w:t>The Sacred and the Profane</w:t>
      </w:r>
      <w:r w:rsidR="001F603D" w:rsidRPr="00065E9A">
        <w:t xml:space="preserve">. </w:t>
      </w:r>
    </w:p>
    <w:p w:rsidR="001311A9" w:rsidRPr="00065E9A" w:rsidRDefault="00270914" w:rsidP="00065E9A">
      <w:pPr>
        <w:ind w:firstLine="720"/>
      </w:pPr>
      <w:r w:rsidRPr="00065E9A">
        <w:t>Where Eliade’s sacred space physically irrupts from another reality to co-exist with profane space, Durkheim view</w:t>
      </w:r>
      <w:r w:rsidR="007037D0" w:rsidRPr="00065E9A">
        <w:t xml:space="preserve">s sacredness as being seen to emerge from </w:t>
      </w:r>
      <w:r w:rsidRPr="00065E9A">
        <w:t>profane space itself</w:t>
      </w:r>
      <w:r w:rsidR="007037D0" w:rsidRPr="00065E9A">
        <w:t>, defined and differentiated entirely by human belief and social action</w:t>
      </w:r>
      <w:r w:rsidRPr="00065E9A">
        <w:t xml:space="preserve">. </w:t>
      </w:r>
      <w:r w:rsidR="00AB74C2" w:rsidRPr="00065E9A">
        <w:t>Durkheim states that t</w:t>
      </w:r>
      <w:r w:rsidRPr="00065E9A">
        <w:t xml:space="preserve">he </w:t>
      </w:r>
      <w:r w:rsidR="00AB74C2" w:rsidRPr="00065E9A">
        <w:t>main aim of</w:t>
      </w:r>
      <w:r w:rsidR="00EA6D1E" w:rsidRPr="00065E9A">
        <w:t xml:space="preserve"> </w:t>
      </w:r>
      <w:r w:rsidRPr="00065E9A">
        <w:rPr>
          <w:i/>
        </w:rPr>
        <w:t>Forms</w:t>
      </w:r>
      <w:r w:rsidRPr="00065E9A">
        <w:t xml:space="preserve"> is to show that th</w:t>
      </w:r>
      <w:r w:rsidR="004F2E1E" w:rsidRPr="00065E9A">
        <w:t xml:space="preserve">e nature </w:t>
      </w:r>
      <w:r w:rsidRPr="00065E9A">
        <w:t>and origin of religion is ‘something eminently social’</w:t>
      </w:r>
      <w:r w:rsidRPr="00065E9A">
        <w:rPr>
          <w:rStyle w:val="FootnoteReference"/>
        </w:rPr>
        <w:footnoteReference w:id="29"/>
      </w:r>
      <w:r w:rsidR="004F2E1E" w:rsidRPr="00065E9A">
        <w:t xml:space="preserve">. </w:t>
      </w:r>
      <w:r w:rsidR="006B07F9" w:rsidRPr="00065E9A">
        <w:t>To ‘men who live the religious life’</w:t>
      </w:r>
      <w:r w:rsidR="006B07F9" w:rsidRPr="00065E9A">
        <w:rPr>
          <w:rStyle w:val="FootnoteReference"/>
        </w:rPr>
        <w:footnoteReference w:id="30"/>
      </w:r>
      <w:r w:rsidR="006B07F9" w:rsidRPr="00065E9A">
        <w:t>, c</w:t>
      </w:r>
      <w:r w:rsidR="004F2E1E" w:rsidRPr="00065E9A">
        <w:t xml:space="preserve">ertain collective human actions are considered to confer sacrality </w:t>
      </w:r>
      <w:r w:rsidR="0062192A" w:rsidRPr="00065E9A">
        <w:t>on</w:t>
      </w:r>
      <w:r w:rsidR="004F2E1E" w:rsidRPr="00065E9A">
        <w:t xml:space="preserve"> things or places </w:t>
      </w:r>
      <w:r w:rsidR="0062192A" w:rsidRPr="00065E9A">
        <w:t xml:space="preserve">which </w:t>
      </w:r>
      <w:r w:rsidR="004F2E1E" w:rsidRPr="00065E9A">
        <w:t>are ‘set apart and subject to prohibitions</w:t>
      </w:r>
      <w:r w:rsidR="0062192A" w:rsidRPr="00065E9A">
        <w:t>’</w:t>
      </w:r>
      <w:r w:rsidR="0062192A" w:rsidRPr="00065E9A">
        <w:rPr>
          <w:rStyle w:val="FootnoteReference"/>
        </w:rPr>
        <w:footnoteReference w:id="31"/>
      </w:r>
      <w:r w:rsidR="0062192A" w:rsidRPr="00065E9A">
        <w:t>. This shared belief and praxis by a group of like-minded individuals unites them into what Durkheim calls a ‘moral community’</w:t>
      </w:r>
      <w:r w:rsidR="0062192A" w:rsidRPr="00065E9A">
        <w:rPr>
          <w:rStyle w:val="FootnoteReference"/>
        </w:rPr>
        <w:footnoteReference w:id="32"/>
      </w:r>
      <w:r w:rsidR="0062192A" w:rsidRPr="00065E9A">
        <w:t xml:space="preserve"> with a</w:t>
      </w:r>
      <w:r w:rsidR="007037D0" w:rsidRPr="00065E9A">
        <w:t xml:space="preserve"> collective consciousness, whose continued reiteration of this active </w:t>
      </w:r>
      <w:r w:rsidR="00E57387" w:rsidRPr="00065E9A">
        <w:t>sacralisation</w:t>
      </w:r>
      <w:r w:rsidR="007037D0" w:rsidRPr="00065E9A">
        <w:t xml:space="preserve"> </w:t>
      </w:r>
      <w:r w:rsidR="009428B3" w:rsidRPr="00065E9A">
        <w:t xml:space="preserve">creates and </w:t>
      </w:r>
      <w:r w:rsidR="007037D0" w:rsidRPr="00065E9A">
        <w:t>maintains the sacredness of the space.</w:t>
      </w:r>
      <w:r w:rsidR="009428B3" w:rsidRPr="00065E9A">
        <w:t xml:space="preserve"> In contrast to Eliade, Durkheim’s </w:t>
      </w:r>
      <w:r w:rsidR="00A8343D" w:rsidRPr="00065E9A">
        <w:t xml:space="preserve">sociological </w:t>
      </w:r>
      <w:r w:rsidR="009428B3" w:rsidRPr="00065E9A">
        <w:t>approac</w:t>
      </w:r>
      <w:r w:rsidR="00674740" w:rsidRPr="00065E9A">
        <w:t xml:space="preserve">h </w:t>
      </w:r>
      <w:r w:rsidR="00A8343D" w:rsidRPr="00065E9A">
        <w:t>views</w:t>
      </w:r>
      <w:r w:rsidR="00674740" w:rsidRPr="00065E9A">
        <w:t xml:space="preserve"> </w:t>
      </w:r>
      <w:r w:rsidR="00674740" w:rsidRPr="00065E9A">
        <w:lastRenderedPageBreak/>
        <w:t>the sacred from an epistemological perspective -how humans encounter and know sacredness - rather than a purely ontological perspective.</w:t>
      </w:r>
      <w:r w:rsidR="00114ED7" w:rsidRPr="00065E9A">
        <w:t xml:space="preserve"> Whilst the two authors share a fundamental belief in the existence of differentiated space, the underlying axioms of both approaches are very different: Eliade’s sacred space exists apart from humanity, ready to be revea</w:t>
      </w:r>
      <w:r w:rsidR="00E4416B" w:rsidRPr="00065E9A">
        <w:t xml:space="preserve">led from another plane. </w:t>
      </w:r>
      <w:r w:rsidR="00114ED7" w:rsidRPr="00065E9A">
        <w:t>Durkheim’s sacred space is essentially created by humanity in this plane</w:t>
      </w:r>
      <w:r w:rsidR="003D0968" w:rsidRPr="00065E9A">
        <w:t xml:space="preserve"> and set apart by them</w:t>
      </w:r>
      <w:r w:rsidR="00114ED7" w:rsidRPr="00065E9A">
        <w:t xml:space="preserve">. </w:t>
      </w:r>
    </w:p>
    <w:p w:rsidR="002C7694" w:rsidRPr="00065E9A" w:rsidRDefault="003D0968" w:rsidP="00065E9A">
      <w:pPr>
        <w:ind w:firstLine="720"/>
      </w:pPr>
      <w:r w:rsidRPr="00065E9A">
        <w:t>This divergence is also evident</w:t>
      </w:r>
      <w:r w:rsidR="001311A9" w:rsidRPr="00065E9A">
        <w:t xml:space="preserve"> in</w:t>
      </w:r>
      <w:r w:rsidRPr="00065E9A">
        <w:t xml:space="preserve"> </w:t>
      </w:r>
      <w:r w:rsidR="00BE102B" w:rsidRPr="00065E9A">
        <w:t>a comparison of</w:t>
      </w:r>
      <w:r w:rsidRPr="00065E9A">
        <w:t xml:space="preserve"> Eliade</w:t>
      </w:r>
      <w:r w:rsidR="00BE102B" w:rsidRPr="00065E9A">
        <w:t>’s</w:t>
      </w:r>
      <w:r w:rsidRPr="00065E9A">
        <w:t xml:space="preserve"> and Durkheim</w:t>
      </w:r>
      <w:r w:rsidR="00BE102B" w:rsidRPr="00065E9A">
        <w:t>’s</w:t>
      </w:r>
      <w:r w:rsidRPr="00065E9A">
        <w:t xml:space="preserve"> </w:t>
      </w:r>
      <w:r w:rsidR="00BE102B" w:rsidRPr="00065E9A">
        <w:t>views on</w:t>
      </w:r>
      <w:r w:rsidRPr="00065E9A">
        <w:t xml:space="preserve"> the structure of those spaces.</w:t>
      </w:r>
      <w:r w:rsidR="001311A9" w:rsidRPr="00065E9A">
        <w:t xml:space="preserve"> </w:t>
      </w:r>
      <w:r w:rsidR="00963E81" w:rsidRPr="00065E9A">
        <w:t>Both authors</w:t>
      </w:r>
      <w:r w:rsidR="00BE102B" w:rsidRPr="00065E9A">
        <w:t xml:space="preserve"> </w:t>
      </w:r>
      <w:r w:rsidR="007C0F21" w:rsidRPr="00065E9A">
        <w:t>concur on</w:t>
      </w:r>
      <w:r w:rsidR="00BE102B" w:rsidRPr="00065E9A">
        <w:t xml:space="preserve"> the non-homogeneity of space</w:t>
      </w:r>
      <w:r w:rsidR="00BE102B" w:rsidRPr="00065E9A">
        <w:rPr>
          <w:rStyle w:val="FootnoteReference"/>
        </w:rPr>
        <w:footnoteReference w:id="33"/>
      </w:r>
      <w:r w:rsidR="00BE102B" w:rsidRPr="00065E9A">
        <w:t xml:space="preserve">, but the </w:t>
      </w:r>
      <w:r w:rsidR="008F7E1C" w:rsidRPr="00065E9A">
        <w:t>organisation and</w:t>
      </w:r>
      <w:r w:rsidR="00BE102B" w:rsidRPr="00065E9A">
        <w:t xml:space="preserve"> </w:t>
      </w:r>
      <w:r w:rsidR="0028361B" w:rsidRPr="00065E9A">
        <w:t>materiality</w:t>
      </w:r>
      <w:r w:rsidR="00BE102B" w:rsidRPr="00065E9A">
        <w:t xml:space="preserve"> of the </w:t>
      </w:r>
      <w:r w:rsidR="008F7E1C" w:rsidRPr="00065E9A">
        <w:t xml:space="preserve">two </w:t>
      </w:r>
      <w:r w:rsidR="00BE102B" w:rsidRPr="00065E9A">
        <w:t xml:space="preserve">types of space are treated very differently. Eliade asserts that profane space is </w:t>
      </w:r>
      <w:r w:rsidR="005B3446" w:rsidRPr="00065E9A">
        <w:t xml:space="preserve">a </w:t>
      </w:r>
      <w:r w:rsidR="00BE102B" w:rsidRPr="00065E9A">
        <w:t>qualitatively amorphous ‘formless expanse’</w:t>
      </w:r>
      <w:r w:rsidR="005B3446" w:rsidRPr="00065E9A">
        <w:t xml:space="preserve"> into which the ‘strong, significant’ sacred space intrudes through the revelation of the hierophany</w:t>
      </w:r>
      <w:r w:rsidR="00BE102B" w:rsidRPr="00065E9A">
        <w:rPr>
          <w:rStyle w:val="FootnoteReference"/>
        </w:rPr>
        <w:footnoteReference w:id="34"/>
      </w:r>
      <w:r w:rsidR="005B3446" w:rsidRPr="00065E9A">
        <w:t xml:space="preserve">. Communication between </w:t>
      </w:r>
      <w:r w:rsidR="00963E81" w:rsidRPr="00065E9A">
        <w:t>‘</w:t>
      </w:r>
      <w:r w:rsidR="005B3446" w:rsidRPr="00065E9A">
        <w:t xml:space="preserve">the three cosmic levels’ - upward to heaven </w:t>
      </w:r>
      <w:r w:rsidR="00963E81" w:rsidRPr="00065E9A">
        <w:t xml:space="preserve">and downward to the underworld - </w:t>
      </w:r>
      <w:r w:rsidR="005B3446" w:rsidRPr="00065E9A">
        <w:t xml:space="preserve">is facilitated </w:t>
      </w:r>
      <w:r w:rsidR="00963E81" w:rsidRPr="00065E9A">
        <w:t>vertically through the opening created by the hierophany, and travels</w:t>
      </w:r>
      <w:r w:rsidR="005B3446" w:rsidRPr="00065E9A">
        <w:t xml:space="preserve"> along what Eliade refers to as the </w:t>
      </w:r>
      <w:r w:rsidR="005B3446" w:rsidRPr="00065E9A">
        <w:rPr>
          <w:i/>
        </w:rPr>
        <w:t>axis mundi</w:t>
      </w:r>
      <w:r w:rsidR="005B3446" w:rsidRPr="00065E9A">
        <w:rPr>
          <w:rStyle w:val="FootnoteReference"/>
        </w:rPr>
        <w:footnoteReference w:id="35"/>
      </w:r>
      <w:r w:rsidR="008F7E1C" w:rsidRPr="00065E9A">
        <w:t>. This orderliness</w:t>
      </w:r>
      <w:r w:rsidR="00963E81" w:rsidRPr="00065E9A">
        <w:t xml:space="preserve"> is continued horizontally </w:t>
      </w:r>
      <w:r w:rsidR="00844996" w:rsidRPr="00065E9A">
        <w:t xml:space="preserve">as Eliade’s </w:t>
      </w:r>
      <w:r w:rsidR="00844996" w:rsidRPr="00065E9A">
        <w:rPr>
          <w:i/>
        </w:rPr>
        <w:t xml:space="preserve">homo religiosus </w:t>
      </w:r>
      <w:r w:rsidR="00844996" w:rsidRPr="00065E9A">
        <w:t xml:space="preserve">creates his built environment from the sacred centre outwards, </w:t>
      </w:r>
      <w:r w:rsidR="00814688" w:rsidRPr="00065E9A">
        <w:t>orient</w:t>
      </w:r>
      <w:r w:rsidR="00CB1B66" w:rsidRPr="00065E9A">
        <w:t>ed on the hierophany</w:t>
      </w:r>
      <w:r w:rsidR="00CB1B66" w:rsidRPr="00065E9A">
        <w:rPr>
          <w:rStyle w:val="FootnoteReference"/>
        </w:rPr>
        <w:footnoteReference w:id="36"/>
      </w:r>
      <w:r w:rsidR="00CB1B66" w:rsidRPr="00065E9A">
        <w:t xml:space="preserve">, </w:t>
      </w:r>
      <w:r w:rsidR="002C7694" w:rsidRPr="00065E9A">
        <w:t xml:space="preserve">intent on </w:t>
      </w:r>
      <w:r w:rsidR="00844996" w:rsidRPr="00065E9A">
        <w:t xml:space="preserve">replicating the </w:t>
      </w:r>
      <w:r w:rsidR="00D00799" w:rsidRPr="00065E9A">
        <w:t xml:space="preserve">divine </w:t>
      </w:r>
      <w:r w:rsidR="00844996" w:rsidRPr="00065E9A">
        <w:t>founding of the perfect cosmos</w:t>
      </w:r>
      <w:r w:rsidR="00D00799" w:rsidRPr="00065E9A">
        <w:t xml:space="preserve"> - the ‘cosmogony’ -</w:t>
      </w:r>
      <w:r w:rsidR="00844996" w:rsidRPr="00065E9A">
        <w:t xml:space="preserve"> as an </w:t>
      </w:r>
      <w:r w:rsidR="00844996" w:rsidRPr="00065E9A">
        <w:rPr>
          <w:i/>
        </w:rPr>
        <w:t>imago mundi</w:t>
      </w:r>
      <w:r w:rsidR="00844996" w:rsidRPr="00065E9A">
        <w:rPr>
          <w:rStyle w:val="FootnoteReference"/>
        </w:rPr>
        <w:footnoteReference w:id="37"/>
      </w:r>
      <w:r w:rsidR="008F7E1C" w:rsidRPr="00065E9A">
        <w:rPr>
          <w:i/>
        </w:rPr>
        <w:t xml:space="preserve">. </w:t>
      </w:r>
      <w:r w:rsidR="002C7694" w:rsidRPr="00065E9A">
        <w:t>Despite Eliade giving a number of ethnographic instances of his model, this kind of purely theological argument is both</w:t>
      </w:r>
      <w:r w:rsidR="00CB1B66" w:rsidRPr="00065E9A">
        <w:t xml:space="preserve"> undemonstrable and</w:t>
      </w:r>
      <w:r w:rsidR="002C7694" w:rsidRPr="00065E9A">
        <w:t xml:space="preserve"> hard to </w:t>
      </w:r>
      <w:r w:rsidR="00CB1B66" w:rsidRPr="00065E9A">
        <w:t>classify as evidence</w:t>
      </w:r>
      <w:r w:rsidR="002C7694" w:rsidRPr="00065E9A">
        <w:t xml:space="preserve">. </w:t>
      </w:r>
      <w:r w:rsidR="001311A9" w:rsidRPr="00065E9A">
        <w:t xml:space="preserve">By contrast, </w:t>
      </w:r>
      <w:r w:rsidR="0028361B" w:rsidRPr="00065E9A">
        <w:t>Durkheim’s demarcation of the sacred from the profane stems ultimately from the common ‘affective values’ that allow social distinctions of space in all societies</w:t>
      </w:r>
      <w:r w:rsidR="0028361B" w:rsidRPr="00065E9A">
        <w:rPr>
          <w:rStyle w:val="FootnoteReference"/>
        </w:rPr>
        <w:footnoteReference w:id="38"/>
      </w:r>
      <w:r w:rsidR="0028361B" w:rsidRPr="00065E9A">
        <w:t>. He illustrates his view with ethnographic examples from tribal societies in Australia and America, similarly to Eliade</w:t>
      </w:r>
      <w:r w:rsidR="00FD40D9" w:rsidRPr="00065E9A">
        <w:t xml:space="preserve">, but </w:t>
      </w:r>
      <w:r w:rsidR="00706DB9" w:rsidRPr="00065E9A">
        <w:t xml:space="preserve">these seem more </w:t>
      </w:r>
      <w:r w:rsidR="001311A9" w:rsidRPr="00065E9A">
        <w:t>substantial when</w:t>
      </w:r>
      <w:r w:rsidR="00706DB9" w:rsidRPr="00065E9A">
        <w:t xml:space="preserve"> Durkheim </w:t>
      </w:r>
      <w:r w:rsidR="00FD40D9" w:rsidRPr="00065E9A">
        <w:t xml:space="preserve">seeks to ascribe a social </w:t>
      </w:r>
      <w:r w:rsidR="001311A9" w:rsidRPr="00065E9A">
        <w:t xml:space="preserve">rather than divine </w:t>
      </w:r>
      <w:r w:rsidR="00FD40D9" w:rsidRPr="00065E9A">
        <w:t>origin</w:t>
      </w:r>
      <w:r w:rsidR="0028361B" w:rsidRPr="00065E9A">
        <w:t xml:space="preserve"> for the structuring</w:t>
      </w:r>
      <w:r w:rsidR="001311A9" w:rsidRPr="00065E9A">
        <w:t xml:space="preserve"> of sacred space</w:t>
      </w:r>
      <w:r w:rsidR="0028361B" w:rsidRPr="00065E9A">
        <w:t>.</w:t>
      </w:r>
    </w:p>
    <w:p w:rsidR="00706DB9" w:rsidRPr="00065E9A" w:rsidRDefault="00706DB9" w:rsidP="00065E9A">
      <w:pPr>
        <w:ind w:firstLine="720"/>
      </w:pPr>
      <w:r w:rsidRPr="00065E9A">
        <w:t xml:space="preserve">Durkheim’s case, however, is not without its inconsistencies. At the start of Book 3 of </w:t>
      </w:r>
      <w:r w:rsidRPr="00065E9A">
        <w:rPr>
          <w:i/>
        </w:rPr>
        <w:t>Forms</w:t>
      </w:r>
      <w:r w:rsidRPr="00065E9A">
        <w:t xml:space="preserve">, </w:t>
      </w:r>
      <w:r w:rsidR="00BA256E" w:rsidRPr="00065E9A">
        <w:t>he</w:t>
      </w:r>
      <w:r w:rsidRPr="00065E9A">
        <w:t xml:space="preserve"> emphasises that ‘religious life and profane life cannot co-exist in the same space’ or ‘time frames’</w:t>
      </w:r>
      <w:r w:rsidRPr="00065E9A">
        <w:rPr>
          <w:rStyle w:val="FootnoteReference"/>
        </w:rPr>
        <w:footnoteReference w:id="39"/>
      </w:r>
      <w:r w:rsidRPr="00065E9A">
        <w:t xml:space="preserve">. </w:t>
      </w:r>
      <w:r w:rsidR="00170B79" w:rsidRPr="00065E9A">
        <w:t xml:space="preserve">This absolute spatial and temporal separation is much more fervent than his earlier claim in Book 2 that sacredness is not ‘a particular aspect of empirical nature: it is </w:t>
      </w:r>
      <w:r w:rsidR="00170B79" w:rsidRPr="00065E9A">
        <w:rPr>
          <w:i/>
        </w:rPr>
        <w:t>superimposed</w:t>
      </w:r>
      <w:r w:rsidR="00170B79" w:rsidRPr="00065E9A">
        <w:t>’</w:t>
      </w:r>
      <w:r w:rsidR="00170B79" w:rsidRPr="00065E9A">
        <w:rPr>
          <w:rStyle w:val="FootnoteReference"/>
        </w:rPr>
        <w:footnoteReference w:id="40"/>
      </w:r>
      <w:r w:rsidR="00170B79" w:rsidRPr="00065E9A">
        <w:t>, where the sacred reflects the characteristics of the profane object or space on</w:t>
      </w:r>
      <w:r w:rsidR="00BA256E" w:rsidRPr="00065E9A">
        <w:t>to</w:t>
      </w:r>
      <w:r w:rsidR="00170B79" w:rsidRPr="00065E9A">
        <w:t xml:space="preserve"> which it is conferred.</w:t>
      </w:r>
      <w:r w:rsidR="00BA256E" w:rsidRPr="00065E9A">
        <w:t xml:space="preserve"> Durkheim goes on to contradict himself, stating ‘of course it is nearly impossible for religious life ever to be concentrated hermetically in the spatial and temporal settings thus attributed to it’</w:t>
      </w:r>
      <w:r w:rsidR="00BA256E" w:rsidRPr="00065E9A">
        <w:rPr>
          <w:rStyle w:val="FootnoteReference"/>
        </w:rPr>
        <w:footnoteReference w:id="41"/>
      </w:r>
      <w:r w:rsidR="00BA256E" w:rsidRPr="00065E9A">
        <w:t xml:space="preserve"> - and yet, when there are only </w:t>
      </w:r>
      <w:r w:rsidR="001311A9" w:rsidRPr="00065E9A">
        <w:t xml:space="preserve">these </w:t>
      </w:r>
      <w:r w:rsidR="00BA256E" w:rsidRPr="00065E9A">
        <w:t>two proposed categories of being, it must therefore follow that profane space and sacred space can and do merge and co-exist. Durkheim cites the existence of sacred objects outside sanctuaries, and ceremonies occurring on normal working days</w:t>
      </w:r>
      <w:r w:rsidR="00BA256E" w:rsidRPr="00065E9A">
        <w:rPr>
          <w:rStyle w:val="FootnoteReference"/>
        </w:rPr>
        <w:footnoteReference w:id="42"/>
      </w:r>
      <w:r w:rsidR="00BA256E" w:rsidRPr="00065E9A">
        <w:t xml:space="preserve"> as examples of the messy and permeable boundaries of the sacred. His </w:t>
      </w:r>
      <w:r w:rsidR="001311A9" w:rsidRPr="00065E9A">
        <w:t>reasoning</w:t>
      </w:r>
      <w:r w:rsidR="00BA256E" w:rsidRPr="00065E9A">
        <w:t xml:space="preserve"> that these are ‘sacred things of the second rank and of lesser importance’</w:t>
      </w:r>
      <w:r w:rsidR="00BA256E" w:rsidRPr="00065E9A">
        <w:rPr>
          <w:rStyle w:val="FootnoteReference"/>
        </w:rPr>
        <w:footnoteReference w:id="43"/>
      </w:r>
      <w:r w:rsidR="00BA256E" w:rsidRPr="00065E9A">
        <w:t xml:space="preserve"> hints at a convenient yet undeveloped hierarchy of sacrality that nevertheless fails to explain away the inconsistency. Durkheim is certain that sacred things exist ‘set apart and subject to prohibitions’</w:t>
      </w:r>
      <w:r w:rsidR="00BA256E" w:rsidRPr="00065E9A">
        <w:rPr>
          <w:rStyle w:val="FootnoteReference"/>
        </w:rPr>
        <w:footnoteReference w:id="44"/>
      </w:r>
      <w:r w:rsidR="00BA256E" w:rsidRPr="00065E9A">
        <w:t xml:space="preserve"> but exactly how that apartness is physically manifested in space remains unclear.</w:t>
      </w:r>
    </w:p>
    <w:p w:rsidR="006571FB" w:rsidRPr="00065E9A" w:rsidRDefault="005D6582" w:rsidP="00065E9A">
      <w:pPr>
        <w:ind w:firstLine="720"/>
        <w:rPr>
          <w:b/>
        </w:rPr>
      </w:pPr>
      <w:r w:rsidRPr="00065E9A">
        <w:t xml:space="preserve">Another concept that differs between Eliade’s and Durkheim’s structuring of sacred </w:t>
      </w:r>
      <w:r w:rsidR="00E57387" w:rsidRPr="00065E9A">
        <w:t xml:space="preserve">and profane </w:t>
      </w:r>
      <w:r w:rsidRPr="00065E9A">
        <w:t xml:space="preserve">space is their </w:t>
      </w:r>
      <w:r w:rsidR="003A00F9" w:rsidRPr="00065E9A">
        <w:t>opinion on</w:t>
      </w:r>
      <w:r w:rsidR="00E57387" w:rsidRPr="00065E9A">
        <w:t xml:space="preserve"> which constitutes the default state. Eliade suggests that even though modern man may have almost fully desacralised his existence, ‘traces of a religious valori</w:t>
      </w:r>
      <w:r w:rsidR="006F20CB" w:rsidRPr="00065E9A">
        <w:t>s</w:t>
      </w:r>
      <w:r w:rsidR="00E57387" w:rsidRPr="00065E9A">
        <w:t>ation of the world’ still remain</w:t>
      </w:r>
      <w:r w:rsidR="00E57387" w:rsidRPr="00065E9A">
        <w:rPr>
          <w:rStyle w:val="FootnoteReference"/>
        </w:rPr>
        <w:footnoteReference w:id="45"/>
      </w:r>
      <w:r w:rsidR="00E57387" w:rsidRPr="00065E9A">
        <w:t xml:space="preserve">. </w:t>
      </w:r>
      <w:r w:rsidR="00416CEC" w:rsidRPr="00065E9A">
        <w:t xml:space="preserve">Eliade’s </w:t>
      </w:r>
      <w:r w:rsidR="00E57387" w:rsidRPr="00065E9A">
        <w:t xml:space="preserve">belief in </w:t>
      </w:r>
      <w:r w:rsidR="00416CEC" w:rsidRPr="00065E9A">
        <w:t>a progressive</w:t>
      </w:r>
      <w:r w:rsidR="00AF59BE" w:rsidRPr="00065E9A">
        <w:t xml:space="preserve"> process of</w:t>
      </w:r>
      <w:r w:rsidR="00E57387" w:rsidRPr="00065E9A">
        <w:t xml:space="preserve"> desacralisation </w:t>
      </w:r>
      <w:r w:rsidR="00AF59BE" w:rsidRPr="00065E9A">
        <w:lastRenderedPageBreak/>
        <w:t>suggests</w:t>
      </w:r>
      <w:r w:rsidR="00E57387" w:rsidRPr="00065E9A">
        <w:t xml:space="preserve"> a pure, original, default state of sacredness</w:t>
      </w:r>
      <w:r w:rsidR="00416CEC" w:rsidRPr="00065E9A">
        <w:t>, mankind’s ‘immemorial heritage’</w:t>
      </w:r>
      <w:r w:rsidR="00416CEC" w:rsidRPr="00065E9A">
        <w:rPr>
          <w:rStyle w:val="FootnoteReference"/>
        </w:rPr>
        <w:footnoteReference w:id="46"/>
      </w:r>
      <w:r w:rsidR="00E57387" w:rsidRPr="00065E9A">
        <w:t>.</w:t>
      </w:r>
      <w:r w:rsidR="00AF59BE" w:rsidRPr="00065E9A">
        <w:t xml:space="preserve"> </w:t>
      </w:r>
      <w:r w:rsidR="00FA2CB2" w:rsidRPr="00065E9A">
        <w:t xml:space="preserve">Contrastingly, </w:t>
      </w:r>
      <w:r w:rsidR="002F7DA5" w:rsidRPr="00065E9A">
        <w:t>Durkheim is clear that ‘neither man nor nature is inherently sacred’</w:t>
      </w:r>
      <w:r w:rsidR="002F7DA5" w:rsidRPr="00065E9A">
        <w:rPr>
          <w:rStyle w:val="FootnoteReference"/>
        </w:rPr>
        <w:footnoteReference w:id="47"/>
      </w:r>
      <w:r w:rsidR="002F7DA5" w:rsidRPr="00065E9A">
        <w:t xml:space="preserve">. </w:t>
      </w:r>
      <w:r w:rsidR="00AF59BE" w:rsidRPr="00065E9A">
        <w:t>Philip Smith</w:t>
      </w:r>
      <w:r w:rsidR="00FA2CB2" w:rsidRPr="00065E9A">
        <w:t>’s Durkheimian typology of the elementary forms of place</w:t>
      </w:r>
      <w:r w:rsidR="00AF59BE" w:rsidRPr="00065E9A">
        <w:t xml:space="preserve"> proposes that</w:t>
      </w:r>
      <w:r w:rsidR="00FA2CB2" w:rsidRPr="00065E9A">
        <w:t xml:space="preserve"> without continued re</w:t>
      </w:r>
      <w:r w:rsidR="006571FB" w:rsidRPr="00065E9A">
        <w:t>-</w:t>
      </w:r>
      <w:r w:rsidR="00FA2CB2" w:rsidRPr="00065E9A">
        <w:t>performance, it is the fate of sacred places to become profane as ‘special places spiral down from their enchanted orbits unless their extraordinary nature is… continually reproduced’</w:t>
      </w:r>
      <w:r w:rsidR="00FA2CB2" w:rsidRPr="00065E9A">
        <w:rPr>
          <w:rStyle w:val="FootnoteReference"/>
        </w:rPr>
        <w:footnoteReference w:id="48"/>
      </w:r>
      <w:r w:rsidR="00FA2CB2" w:rsidRPr="00065E9A">
        <w:t xml:space="preserve">. Although Smith criticises </w:t>
      </w:r>
      <w:r w:rsidR="00AF59BE" w:rsidRPr="00065E9A">
        <w:t>Durkheim</w:t>
      </w:r>
      <w:r w:rsidR="002F7DA5" w:rsidRPr="00065E9A">
        <w:t>’s</w:t>
      </w:r>
      <w:r w:rsidR="00AF59BE" w:rsidRPr="00065E9A">
        <w:t xml:space="preserve"> theory </w:t>
      </w:r>
      <w:r w:rsidR="00FA2CB2" w:rsidRPr="00065E9A">
        <w:t>for failing</w:t>
      </w:r>
      <w:r w:rsidR="00AF59BE" w:rsidRPr="00065E9A">
        <w:t xml:space="preserve"> to distinguish between ‘the profane (evil) and the mundane (ordinary)’, </w:t>
      </w:r>
      <w:r w:rsidR="002F7DA5" w:rsidRPr="00065E9A">
        <w:t>Smith’s</w:t>
      </w:r>
      <w:r w:rsidR="00FA2CB2" w:rsidRPr="00065E9A">
        <w:t xml:space="preserve"> typology </w:t>
      </w:r>
      <w:r w:rsidR="002F7DA5" w:rsidRPr="00065E9A">
        <w:t>nevertheless</w:t>
      </w:r>
      <w:r w:rsidR="00FA2CB2" w:rsidRPr="00065E9A">
        <w:t xml:space="preserve"> </w:t>
      </w:r>
      <w:r w:rsidR="002F7DA5" w:rsidRPr="00065E9A">
        <w:t>locate</w:t>
      </w:r>
      <w:r w:rsidR="00FA2CB2" w:rsidRPr="00065E9A">
        <w:t>s</w:t>
      </w:r>
      <w:r w:rsidR="00AF59BE" w:rsidRPr="00065E9A">
        <w:t xml:space="preserve"> the profane - or more rightly, the mundane - as the</w:t>
      </w:r>
      <w:r w:rsidR="006571FB" w:rsidRPr="00065E9A">
        <w:t xml:space="preserve"> entropic</w:t>
      </w:r>
      <w:r w:rsidR="00AF59BE" w:rsidRPr="00065E9A">
        <w:t xml:space="preserve"> ‘default setting’</w:t>
      </w:r>
      <w:r w:rsidR="00AF59BE" w:rsidRPr="00065E9A">
        <w:rPr>
          <w:rStyle w:val="FootnoteReference"/>
        </w:rPr>
        <w:footnoteReference w:id="49"/>
      </w:r>
      <w:r w:rsidR="00AF59BE" w:rsidRPr="00065E9A">
        <w:t xml:space="preserve">. </w:t>
      </w:r>
    </w:p>
    <w:p w:rsidR="006571FB" w:rsidRPr="00065E9A" w:rsidRDefault="006571FB" w:rsidP="00065E9A">
      <w:pPr>
        <w:ind w:firstLine="720"/>
      </w:pPr>
      <w:r w:rsidRPr="00065E9A">
        <w:t xml:space="preserve">Having considered Durkheim’s and Eliade’s views on origin and structure, further similarities and differences are revealed in their interpretations of the nature of sacred space. Both authors contend that </w:t>
      </w:r>
      <w:r w:rsidR="007170B4" w:rsidRPr="00065E9A">
        <w:t xml:space="preserve">sacredness is </w:t>
      </w:r>
      <w:r w:rsidR="00416CEC" w:rsidRPr="00065E9A">
        <w:t>‘</w:t>
      </w:r>
      <w:r w:rsidR="007170B4" w:rsidRPr="00065E9A">
        <w:t>real</w:t>
      </w:r>
      <w:r w:rsidR="00416CEC" w:rsidRPr="00065E9A">
        <w:t>’</w:t>
      </w:r>
      <w:r w:rsidR="007170B4" w:rsidRPr="00065E9A">
        <w:t xml:space="preserve">, but </w:t>
      </w:r>
      <w:r w:rsidRPr="00065E9A">
        <w:t>Eliade’s subjective notion of sacredness</w:t>
      </w:r>
      <w:r w:rsidR="007170B4" w:rsidRPr="00065E9A">
        <w:t xml:space="preserve"> </w:t>
      </w:r>
      <w:r w:rsidR="00416CEC" w:rsidRPr="00065E9A">
        <w:t xml:space="preserve">and </w:t>
      </w:r>
      <w:r w:rsidRPr="00065E9A">
        <w:t>Durkheim’</w:t>
      </w:r>
      <w:r w:rsidR="007170B4" w:rsidRPr="00065E9A">
        <w:t>s more objective approach</w:t>
      </w:r>
      <w:r w:rsidR="00416CEC" w:rsidRPr="00065E9A">
        <w:t xml:space="preserve"> provide contrasting conclusions</w:t>
      </w:r>
      <w:r w:rsidR="007170B4" w:rsidRPr="00065E9A">
        <w:t>.</w:t>
      </w:r>
      <w:r w:rsidRPr="00065E9A">
        <w:t xml:space="preserve"> </w:t>
      </w:r>
      <w:r w:rsidR="00814688" w:rsidRPr="00065E9A">
        <w:t xml:space="preserve">Eliade </w:t>
      </w:r>
      <w:r w:rsidR="001311A9" w:rsidRPr="00065E9A">
        <w:t>reveals</w:t>
      </w:r>
      <w:r w:rsidR="00814688" w:rsidRPr="00065E9A">
        <w:t xml:space="preserve"> his relative </w:t>
      </w:r>
      <w:r w:rsidR="00FF5348" w:rsidRPr="00065E9A">
        <w:t>valuing</w:t>
      </w:r>
      <w:r w:rsidR="00814688" w:rsidRPr="00065E9A">
        <w:t xml:space="preserve"> of sacred space over the profane in his suggestion that ‘the sacred is pre-eminently the </w:t>
      </w:r>
      <w:r w:rsidR="00814688" w:rsidRPr="00065E9A">
        <w:rPr>
          <w:i/>
        </w:rPr>
        <w:t>real</w:t>
      </w:r>
      <w:r w:rsidR="00814688" w:rsidRPr="00065E9A">
        <w:t>’, centred on and orientated by the hierophany</w:t>
      </w:r>
      <w:r w:rsidR="00814688" w:rsidRPr="00065E9A">
        <w:rPr>
          <w:rStyle w:val="FootnoteReference"/>
        </w:rPr>
        <w:footnoteReference w:id="50"/>
      </w:r>
      <w:r w:rsidR="00814688" w:rsidRPr="00065E9A">
        <w:t xml:space="preserve"> - </w:t>
      </w:r>
      <w:r w:rsidR="00482C67" w:rsidRPr="00065E9A">
        <w:t>consequentially</w:t>
      </w:r>
      <w:r w:rsidR="00814688" w:rsidRPr="00065E9A">
        <w:t xml:space="preserve"> profane space is therefore deemed unreal. Durkheim’s </w:t>
      </w:r>
      <w:r w:rsidR="00814688" w:rsidRPr="00065E9A">
        <w:rPr>
          <w:i/>
        </w:rPr>
        <w:t xml:space="preserve">Forms </w:t>
      </w:r>
      <w:r w:rsidR="00814688" w:rsidRPr="00065E9A">
        <w:t>is similarly preoccupied with the certainty that all religions are ‘rooted in reality’, even suggesting that ‘there are no false religions’</w:t>
      </w:r>
      <w:r w:rsidR="00482C67" w:rsidRPr="00065E9A">
        <w:t xml:space="preserve"> as his social origin theory establishes religious experience as responding to real human needs and conditions</w:t>
      </w:r>
      <w:r w:rsidR="00482C67" w:rsidRPr="00065E9A">
        <w:rPr>
          <w:rStyle w:val="FootnoteReference"/>
        </w:rPr>
        <w:footnoteReference w:id="51"/>
      </w:r>
      <w:r w:rsidR="00482C67" w:rsidRPr="00065E9A">
        <w:t>.</w:t>
      </w:r>
      <w:r w:rsidR="00FF5348" w:rsidRPr="00065E9A">
        <w:t xml:space="preserve"> </w:t>
      </w:r>
      <w:r w:rsidR="00D20594" w:rsidRPr="00065E9A">
        <w:t>He defines a certain asymmetry in the ‘more extensive powers’ of sacred objects compared to less powerful profane objects</w:t>
      </w:r>
      <w:r w:rsidR="00D20594" w:rsidRPr="00065E9A">
        <w:rPr>
          <w:rStyle w:val="FootnoteReference"/>
        </w:rPr>
        <w:footnoteReference w:id="52"/>
      </w:r>
      <w:r w:rsidR="00D20594" w:rsidRPr="00065E9A">
        <w:t xml:space="preserve">. </w:t>
      </w:r>
      <w:r w:rsidR="00FF5348" w:rsidRPr="00065E9A">
        <w:t xml:space="preserve">However, he appears to reserve judgement on the </w:t>
      </w:r>
      <w:r w:rsidR="00416CEC" w:rsidRPr="00065E9A">
        <w:t>comparative</w:t>
      </w:r>
      <w:r w:rsidR="00FF5348" w:rsidRPr="00065E9A">
        <w:t xml:space="preserve"> value </w:t>
      </w:r>
      <w:r w:rsidR="00D20594" w:rsidRPr="00065E9A">
        <w:t xml:space="preserve">and authenticity </w:t>
      </w:r>
      <w:r w:rsidR="00FF5348" w:rsidRPr="00065E9A">
        <w:t>of space</w:t>
      </w:r>
      <w:r w:rsidR="00D20594" w:rsidRPr="00065E9A">
        <w:t>s</w:t>
      </w:r>
      <w:r w:rsidR="00FF5348" w:rsidRPr="00065E9A">
        <w:t>. Perhaps t</w:t>
      </w:r>
      <w:r w:rsidR="007C0F21" w:rsidRPr="00065E9A">
        <w:t>his</w:t>
      </w:r>
      <w:r w:rsidR="00482C67" w:rsidRPr="00065E9A">
        <w:t xml:space="preserve"> fundamental difference between the two authors’ approaches can be</w:t>
      </w:r>
      <w:r w:rsidR="00FF5348" w:rsidRPr="00065E9A">
        <w:t>st be</w:t>
      </w:r>
      <w:r w:rsidR="00482C67" w:rsidRPr="00065E9A">
        <w:t xml:space="preserve"> stated in this way: Durkheim believes that sacred space is real; Eliade believes that </w:t>
      </w:r>
      <w:r w:rsidR="00482C67" w:rsidRPr="00065E9A">
        <w:rPr>
          <w:i/>
        </w:rPr>
        <w:t xml:space="preserve">only </w:t>
      </w:r>
      <w:r w:rsidR="00482C67" w:rsidRPr="00065E9A">
        <w:t>sacred space is real.</w:t>
      </w:r>
    </w:p>
    <w:p w:rsidR="00F43DEF" w:rsidRPr="00065E9A" w:rsidRDefault="00CB1B66" w:rsidP="00065E9A">
      <w:pPr>
        <w:ind w:firstLine="720"/>
      </w:pPr>
      <w:r w:rsidRPr="00065E9A">
        <w:t xml:space="preserve">Eliade’s </w:t>
      </w:r>
      <w:r w:rsidR="006F20CB" w:rsidRPr="00065E9A">
        <w:t xml:space="preserve">ideological </w:t>
      </w:r>
      <w:r w:rsidRPr="00065E9A">
        <w:t>view of sacr</w:t>
      </w:r>
      <w:r w:rsidR="006F20CB" w:rsidRPr="00065E9A">
        <w:t xml:space="preserve">edness has </w:t>
      </w:r>
      <w:r w:rsidR="002D25C3" w:rsidRPr="00065E9A">
        <w:t>its critics</w:t>
      </w:r>
      <w:r w:rsidR="006F20CB" w:rsidRPr="00065E9A">
        <w:t xml:space="preserve">, including </w:t>
      </w:r>
      <w:r w:rsidR="003356C1" w:rsidRPr="00065E9A">
        <w:t xml:space="preserve">Philip Sheldrake </w:t>
      </w:r>
      <w:r w:rsidR="006F20CB" w:rsidRPr="00065E9A">
        <w:t>who describes it</w:t>
      </w:r>
      <w:r w:rsidR="00AF2E4E" w:rsidRPr="00065E9A">
        <w:t xml:space="preserve"> as</w:t>
      </w:r>
      <w:r w:rsidRPr="00065E9A">
        <w:t xml:space="preserve"> ‘over-generalised and a-historical</w:t>
      </w:r>
      <w:r w:rsidR="006F20CB" w:rsidRPr="00065E9A">
        <w:t>’,</w:t>
      </w:r>
      <w:r w:rsidRPr="00065E9A">
        <w:t xml:space="preserve"> noting that it fails to take into account the </w:t>
      </w:r>
      <w:r w:rsidR="00AE73BF" w:rsidRPr="00065E9A">
        <w:t>many</w:t>
      </w:r>
      <w:r w:rsidRPr="00065E9A">
        <w:t xml:space="preserve"> differences in the conceptualis</w:t>
      </w:r>
      <w:r w:rsidR="00AE73BF" w:rsidRPr="00065E9A">
        <w:t>ation of the sacred</w:t>
      </w:r>
      <w:r w:rsidRPr="00065E9A">
        <w:t xml:space="preserve"> </w:t>
      </w:r>
      <w:r w:rsidR="00AE73BF" w:rsidRPr="00065E9A">
        <w:t>‘</w:t>
      </w:r>
      <w:r w:rsidRPr="00065E9A">
        <w:t>in different religions and even within the same religion’</w:t>
      </w:r>
      <w:r w:rsidRPr="00065E9A">
        <w:rPr>
          <w:rStyle w:val="FootnoteReference"/>
        </w:rPr>
        <w:footnoteReference w:id="53"/>
      </w:r>
      <w:r w:rsidRPr="00065E9A">
        <w:t xml:space="preserve">. Crucially, Sheldrake also </w:t>
      </w:r>
      <w:r w:rsidR="007C0F21" w:rsidRPr="00065E9A">
        <w:t>objects to the way</w:t>
      </w:r>
      <w:r w:rsidRPr="00065E9A">
        <w:t xml:space="preserve"> Eliade overlooks ‘who defines what is sacred and who controls access to it’</w:t>
      </w:r>
      <w:r w:rsidRPr="00065E9A">
        <w:rPr>
          <w:rStyle w:val="FootnoteReference"/>
        </w:rPr>
        <w:footnoteReference w:id="54"/>
      </w:r>
      <w:r w:rsidRPr="00065E9A">
        <w:t xml:space="preserve">. </w:t>
      </w:r>
      <w:r w:rsidR="00F43DEF" w:rsidRPr="00065E9A">
        <w:t>It is hard to escape the conclusion that</w:t>
      </w:r>
      <w:r w:rsidR="002D25C3" w:rsidRPr="00065E9A">
        <w:t xml:space="preserve"> by</w:t>
      </w:r>
      <w:r w:rsidR="00F43DEF" w:rsidRPr="00065E9A">
        <w:t xml:space="preserve"> prescribing what is and is not a hierophany,</w:t>
      </w:r>
      <w:r w:rsidR="00482C67" w:rsidRPr="00065E9A">
        <w:t xml:space="preserve"> qualitatively defined by his creation the </w:t>
      </w:r>
      <w:r w:rsidR="00F43DEF" w:rsidRPr="00065E9A">
        <w:rPr>
          <w:i/>
        </w:rPr>
        <w:t>homo religiosus</w:t>
      </w:r>
      <w:r w:rsidR="00F43DEF" w:rsidRPr="00065E9A">
        <w:t xml:space="preserve">, Eliade </w:t>
      </w:r>
      <w:r w:rsidR="002D25C3" w:rsidRPr="00065E9A">
        <w:t xml:space="preserve">is </w:t>
      </w:r>
      <w:r w:rsidR="00F43DEF" w:rsidRPr="00065E9A">
        <w:t>position</w:t>
      </w:r>
      <w:r w:rsidR="002D25C3" w:rsidRPr="00065E9A">
        <w:t>ing</w:t>
      </w:r>
      <w:r w:rsidR="00F43DEF" w:rsidRPr="00065E9A">
        <w:t xml:space="preserve"> himself as the arbiter of what is sacred or profane. </w:t>
      </w:r>
      <w:r w:rsidR="002D25C3" w:rsidRPr="00065E9A">
        <w:t>Additionally</w:t>
      </w:r>
      <w:r w:rsidR="00F43DEF" w:rsidRPr="00065E9A">
        <w:t xml:space="preserve">, </w:t>
      </w:r>
      <w:r w:rsidR="00FF5348" w:rsidRPr="00065E9A">
        <w:t>the central significance of the divine cosmogony to Eliade’s theory is academically problematic, particularly when applied to a huge diversity of ethnographic subjects. A</w:t>
      </w:r>
      <w:r w:rsidR="00F43DEF" w:rsidRPr="00065E9A">
        <w:t>s a self-professed historian of religion</w:t>
      </w:r>
      <w:r w:rsidR="00357916" w:rsidRPr="00065E9A">
        <w:t xml:space="preserve">, the </w:t>
      </w:r>
      <w:r w:rsidR="002D25C3" w:rsidRPr="00065E9A">
        <w:t>moral</w:t>
      </w:r>
      <w:r w:rsidR="00F43DEF" w:rsidRPr="00065E9A">
        <w:t xml:space="preserve"> judgement arising from Eliade’s theocentrism is one of the main weaknesses of his thesis: his absolutist concept of positive sacred space </w:t>
      </w:r>
      <w:r w:rsidR="002D25C3" w:rsidRPr="00065E9A">
        <w:t xml:space="preserve">linked directly </w:t>
      </w:r>
      <w:r w:rsidR="00F43DEF" w:rsidRPr="00065E9A">
        <w:t xml:space="preserve">to heaven, and ‘degraded’ profane space filled with the ignorant secular, is burdened with a </w:t>
      </w:r>
      <w:r w:rsidR="003356C1" w:rsidRPr="00065E9A">
        <w:t>doctrinal</w:t>
      </w:r>
      <w:r w:rsidR="002D25C3" w:rsidRPr="00065E9A">
        <w:t xml:space="preserve"> bias that undermines his</w:t>
      </w:r>
      <w:r w:rsidR="00F43DEF" w:rsidRPr="00065E9A">
        <w:t xml:space="preserve"> academic objectivity.</w:t>
      </w:r>
    </w:p>
    <w:p w:rsidR="00C2569E" w:rsidRPr="00065E9A" w:rsidRDefault="00C2569E" w:rsidP="00065E9A">
      <w:pPr>
        <w:ind w:firstLine="720"/>
      </w:pPr>
      <w:r w:rsidRPr="00065E9A">
        <w:t>This stands in stark contrast to Durkheim’s</w:t>
      </w:r>
      <w:r w:rsidR="007C0F21" w:rsidRPr="00065E9A">
        <w:t xml:space="preserve"> explicit</w:t>
      </w:r>
      <w:r w:rsidRPr="00065E9A">
        <w:t xml:space="preserve"> statement in </w:t>
      </w:r>
      <w:r w:rsidRPr="00065E9A">
        <w:rPr>
          <w:i/>
        </w:rPr>
        <w:t xml:space="preserve">Forms </w:t>
      </w:r>
      <w:r w:rsidRPr="00065E9A">
        <w:t xml:space="preserve">that religion ‘transcends the idea of gods or spirits’, </w:t>
      </w:r>
      <w:r w:rsidR="007C0F21" w:rsidRPr="00065E9A">
        <w:t>observin</w:t>
      </w:r>
      <w:r w:rsidRPr="00065E9A">
        <w:t xml:space="preserve">g that ‘there are rites without gods’ and even rites that result in the </w:t>
      </w:r>
      <w:r w:rsidR="00AF2E4E" w:rsidRPr="00065E9A">
        <w:t>emergence</w:t>
      </w:r>
      <w:r w:rsidRPr="00065E9A">
        <w:t xml:space="preserve"> of gods</w:t>
      </w:r>
      <w:r w:rsidR="009F143F" w:rsidRPr="00065E9A">
        <w:rPr>
          <w:rStyle w:val="FootnoteReference"/>
        </w:rPr>
        <w:footnoteReference w:id="55"/>
      </w:r>
      <w:r w:rsidRPr="00065E9A">
        <w:t xml:space="preserve">. Durkheim’s focus on totemism appears to have dispelled any </w:t>
      </w:r>
      <w:r w:rsidR="009F143F" w:rsidRPr="00065E9A">
        <w:t xml:space="preserve">conceptual dependence on the existence of the supernatural, either perceived or intrinsic, in his definition of religion as </w:t>
      </w:r>
      <w:r w:rsidR="00AF2E4E" w:rsidRPr="00065E9A">
        <w:t xml:space="preserve">being </w:t>
      </w:r>
      <w:r w:rsidR="009F143F" w:rsidRPr="00065E9A">
        <w:t xml:space="preserve">born of collective thought. </w:t>
      </w:r>
      <w:r w:rsidR="003C7384" w:rsidRPr="00065E9A">
        <w:t>This</w:t>
      </w:r>
      <w:r w:rsidR="009F143F" w:rsidRPr="00065E9A">
        <w:t xml:space="preserve"> allows for the non-religious sacred in </w:t>
      </w:r>
      <w:r w:rsidR="007C0F21" w:rsidRPr="00065E9A">
        <w:t xml:space="preserve">a </w:t>
      </w:r>
      <w:r w:rsidR="009F143F" w:rsidRPr="00065E9A">
        <w:t xml:space="preserve">way that Eliade’s theological sacrality cannot. There can be no contested sacred spaces in </w:t>
      </w:r>
      <w:r w:rsidR="006F20CB" w:rsidRPr="00065E9A">
        <w:t xml:space="preserve">Eliade’s </w:t>
      </w:r>
      <w:r w:rsidR="009F143F" w:rsidRPr="00065E9A">
        <w:rPr>
          <w:i/>
        </w:rPr>
        <w:t>The Sacred and the Profane</w:t>
      </w:r>
      <w:r w:rsidR="00FE00C5" w:rsidRPr="00065E9A">
        <w:t xml:space="preserve">: special </w:t>
      </w:r>
      <w:r w:rsidR="003C7384" w:rsidRPr="00065E9A">
        <w:t>site</w:t>
      </w:r>
      <w:r w:rsidR="00FE00C5" w:rsidRPr="00065E9A">
        <w:t>s</w:t>
      </w:r>
      <w:r w:rsidR="009F143F" w:rsidRPr="00065E9A">
        <w:t xml:space="preserve">, those that are privileged and ‘qualitatively different from all others - a man’s birthplace, or the scenes of his first love’, </w:t>
      </w:r>
      <w:r w:rsidR="00FE00C5" w:rsidRPr="00065E9A">
        <w:t xml:space="preserve">are still profane when designated </w:t>
      </w:r>
      <w:r w:rsidR="009F143F" w:rsidRPr="00065E9A">
        <w:t xml:space="preserve">by </w:t>
      </w:r>
      <w:r w:rsidR="009F143F" w:rsidRPr="00065E9A">
        <w:lastRenderedPageBreak/>
        <w:t xml:space="preserve">someone who </w:t>
      </w:r>
      <w:r w:rsidR="003C7384" w:rsidRPr="00065E9A">
        <w:t>does not conform to the ideals of the</w:t>
      </w:r>
      <w:r w:rsidR="009F143F" w:rsidRPr="00065E9A">
        <w:t xml:space="preserve"> </w:t>
      </w:r>
      <w:r w:rsidR="009F143F" w:rsidRPr="00065E9A">
        <w:rPr>
          <w:i/>
        </w:rPr>
        <w:t>homo religiosus</w:t>
      </w:r>
      <w:r w:rsidR="009F143F" w:rsidRPr="00065E9A">
        <w:rPr>
          <w:rStyle w:val="FootnoteReference"/>
        </w:rPr>
        <w:footnoteReference w:id="56"/>
      </w:r>
      <w:r w:rsidR="009F143F" w:rsidRPr="00065E9A">
        <w:rPr>
          <w:i/>
        </w:rPr>
        <w:t xml:space="preserve">. </w:t>
      </w:r>
      <w:r w:rsidR="00D31255" w:rsidRPr="00065E9A">
        <w:t xml:space="preserve">Worse, they are ‘crypto-religious’, </w:t>
      </w:r>
      <w:r w:rsidR="007C0F21" w:rsidRPr="00065E9A">
        <w:t>exemplifying</w:t>
      </w:r>
      <w:r w:rsidR="00D31255" w:rsidRPr="00065E9A">
        <w:t xml:space="preserve"> a ‘so</w:t>
      </w:r>
      <w:r w:rsidR="006F20CB" w:rsidRPr="00065E9A">
        <w:t>rt of degradation and desacralis</w:t>
      </w:r>
      <w:r w:rsidR="00D31255" w:rsidRPr="00065E9A">
        <w:t>ation of religious values’</w:t>
      </w:r>
      <w:r w:rsidR="00D31255" w:rsidRPr="00065E9A">
        <w:rPr>
          <w:rStyle w:val="FootnoteReference"/>
        </w:rPr>
        <w:footnoteReference w:id="57"/>
      </w:r>
      <w:r w:rsidR="00D31255" w:rsidRPr="00065E9A">
        <w:t xml:space="preserve">. </w:t>
      </w:r>
      <w:r w:rsidR="007C0F21" w:rsidRPr="00065E9A">
        <w:t xml:space="preserve">By comparison, </w:t>
      </w:r>
      <w:r w:rsidR="003C7384" w:rsidRPr="00065E9A">
        <w:t xml:space="preserve">Durkheim’s sociological view preserves the absolute heterogeneity of sacred </w:t>
      </w:r>
      <w:r w:rsidR="007C0F21" w:rsidRPr="00065E9A">
        <w:t xml:space="preserve">and profane </w:t>
      </w:r>
      <w:r w:rsidR="003C7384" w:rsidRPr="00065E9A">
        <w:t>space</w:t>
      </w:r>
      <w:r w:rsidR="007C0F21" w:rsidRPr="00065E9A">
        <w:t>s</w:t>
      </w:r>
      <w:r w:rsidR="003C7384" w:rsidRPr="00065E9A">
        <w:t xml:space="preserve">, but </w:t>
      </w:r>
      <w:r w:rsidR="006F20CB" w:rsidRPr="00065E9A">
        <w:t>admits the possibility of a humanist sacrality, created and sustained by the mutual efforts of the moral community.</w:t>
      </w:r>
    </w:p>
    <w:p w:rsidR="001F75A1" w:rsidRPr="00065E9A" w:rsidRDefault="00E4416B" w:rsidP="00065E9A">
      <w:pPr>
        <w:ind w:firstLine="720"/>
      </w:pPr>
      <w:r w:rsidRPr="00065E9A">
        <w:t xml:space="preserve">In conclusion, </w:t>
      </w:r>
      <w:r w:rsidR="006E5B0C" w:rsidRPr="00065E9A">
        <w:t>what lies at the heart of</w:t>
      </w:r>
      <w:r w:rsidR="00C36094" w:rsidRPr="00065E9A">
        <w:t xml:space="preserve"> both Durkheim’s and Eliade’s views is</w:t>
      </w:r>
      <w:r w:rsidR="006E5B0C" w:rsidRPr="00065E9A">
        <w:t xml:space="preserve"> the belief in the fundamental alterity of sacred space, </w:t>
      </w:r>
      <w:r w:rsidR="00C36094" w:rsidRPr="00065E9A">
        <w:t>a</w:t>
      </w:r>
      <w:r w:rsidR="006E5B0C" w:rsidRPr="00065E9A">
        <w:t>n axiomatic binary</w:t>
      </w:r>
      <w:r w:rsidR="00895126" w:rsidRPr="00065E9A">
        <w:t xml:space="preserve"> distinguishing the sacred from the non-sacred, or profane</w:t>
      </w:r>
      <w:r w:rsidR="006E5B0C" w:rsidRPr="00065E9A">
        <w:t xml:space="preserve">. </w:t>
      </w:r>
      <w:r w:rsidR="00C36094" w:rsidRPr="00065E9A">
        <w:t>Their divergent approaches</w:t>
      </w:r>
      <w:r w:rsidR="00443A03" w:rsidRPr="00065E9A">
        <w:t>,</w:t>
      </w:r>
      <w:r w:rsidR="00C36094" w:rsidRPr="00065E9A">
        <w:t xml:space="preserve"> rooted in contrasting methodologies</w:t>
      </w:r>
      <w:r w:rsidR="00443A03" w:rsidRPr="00065E9A">
        <w:t>,</w:t>
      </w:r>
      <w:r w:rsidR="00C36094" w:rsidRPr="00065E9A">
        <w:t xml:space="preserve"> resu</w:t>
      </w:r>
      <w:r w:rsidR="006E5B0C" w:rsidRPr="00065E9A">
        <w:t>lt</w:t>
      </w:r>
      <w:r w:rsidR="00C36094" w:rsidRPr="00065E9A">
        <w:t xml:space="preserve"> in </w:t>
      </w:r>
      <w:r w:rsidR="00443A03" w:rsidRPr="00065E9A">
        <w:t>contrasting</w:t>
      </w:r>
      <w:r w:rsidR="00C36094" w:rsidRPr="00065E9A">
        <w:t xml:space="preserve"> expressions of what essentially constitutes the sacred. </w:t>
      </w:r>
      <w:r w:rsidR="00443A03" w:rsidRPr="00065E9A">
        <w:t xml:space="preserve">Although influenced by Durkheim’s thinking (via Otto), </w:t>
      </w:r>
      <w:r w:rsidR="00C36094" w:rsidRPr="00065E9A">
        <w:t xml:space="preserve">Eliade rejects the </w:t>
      </w:r>
      <w:r w:rsidR="00895351" w:rsidRPr="00065E9A">
        <w:t>social-science</w:t>
      </w:r>
      <w:r w:rsidR="00C36094" w:rsidRPr="00065E9A">
        <w:t xml:space="preserve"> foundation underpinning Durkheim’s </w:t>
      </w:r>
      <w:r w:rsidR="00895351" w:rsidRPr="00065E9A">
        <w:t>theory</w:t>
      </w:r>
      <w:r w:rsidR="00C36094" w:rsidRPr="00065E9A">
        <w:t xml:space="preserve"> in favour of a phenomenological, subjective definition of sacredness. His theist ontology requires belief in a creator-being and a supernatural dimension from which sacredness is revealed, not created. Conversely, Durkheim’s centring of human thought as the social engine behind sacrality cannot allow for sacred space to exist outside of </w:t>
      </w:r>
      <w:r w:rsidR="00895351" w:rsidRPr="00065E9A">
        <w:t xml:space="preserve">the </w:t>
      </w:r>
      <w:r w:rsidR="00C36094" w:rsidRPr="00065E9A">
        <w:t>human perception</w:t>
      </w:r>
      <w:r w:rsidR="00895351" w:rsidRPr="00065E9A">
        <w:t xml:space="preserve"> through which it is formed and maintained</w:t>
      </w:r>
      <w:r w:rsidR="00C36094" w:rsidRPr="00065E9A">
        <w:t>.</w:t>
      </w:r>
      <w:r w:rsidR="00CE1C25" w:rsidRPr="00065E9A">
        <w:t xml:space="preserve"> Despite the contradictions in the way</w:t>
      </w:r>
      <w:r w:rsidR="00895351" w:rsidRPr="00065E9A">
        <w:t>s</w:t>
      </w:r>
      <w:r w:rsidR="00CE1C25" w:rsidRPr="00065E9A">
        <w:t xml:space="preserve"> the two </w:t>
      </w:r>
      <w:r w:rsidR="00895351" w:rsidRPr="00065E9A">
        <w:t>scholars</w:t>
      </w:r>
      <w:r w:rsidR="00CE1C25" w:rsidRPr="00065E9A">
        <w:t xml:space="preserve"> explore the origin, structure, and nature of sacred space, </w:t>
      </w:r>
      <w:r w:rsidR="00895351" w:rsidRPr="00065E9A">
        <w:t xml:space="preserve">their theories both illustrate a firm belief in the absolute reality of ‘the sacred’, and its </w:t>
      </w:r>
      <w:r w:rsidR="00950D2E" w:rsidRPr="00065E9A">
        <w:t>tangible impact on physical space for</w:t>
      </w:r>
      <w:r w:rsidR="006B07F9" w:rsidRPr="00065E9A">
        <w:t xml:space="preserve"> those who live ‘the religious life’</w:t>
      </w:r>
      <w:r w:rsidR="00895351" w:rsidRPr="00065E9A">
        <w:t>.</w:t>
      </w:r>
    </w:p>
    <w:p w:rsidR="002C5CB1" w:rsidRDefault="002C5CB1" w:rsidP="00065E9A"/>
    <w:p w:rsidR="004F450E" w:rsidRPr="00065E9A" w:rsidRDefault="004F450E" w:rsidP="00065E9A"/>
    <w:p w:rsidR="002C5CB1" w:rsidRDefault="002C5CB1" w:rsidP="00065E9A">
      <w:r w:rsidRPr="00065E9A">
        <w:t>[</w:t>
      </w:r>
      <w:r w:rsidR="00C40E27">
        <w:t>Word count</w:t>
      </w:r>
      <w:r w:rsidRPr="00065E9A">
        <w:t>: 2,33</w:t>
      </w:r>
      <w:r w:rsidR="00C40E27">
        <w:t>8</w:t>
      </w:r>
      <w:r w:rsidRPr="00065E9A">
        <w:t>]</w:t>
      </w:r>
    </w:p>
    <w:p w:rsidR="003A439C" w:rsidRDefault="003A439C">
      <w:r>
        <w:br w:type="page"/>
      </w:r>
    </w:p>
    <w:p w:rsidR="003A439C" w:rsidRDefault="003A439C" w:rsidP="003A439C">
      <w:pPr>
        <w:rPr>
          <w:b/>
        </w:rPr>
      </w:pPr>
    </w:p>
    <w:p w:rsidR="003A439C" w:rsidRDefault="003A439C" w:rsidP="003A439C">
      <w:pPr>
        <w:rPr>
          <w:b/>
        </w:rPr>
      </w:pPr>
      <w:r w:rsidRPr="00495BCB">
        <w:rPr>
          <w:b/>
        </w:rPr>
        <w:t>BIBLIOGRAPHY</w:t>
      </w:r>
    </w:p>
    <w:p w:rsidR="003A439C" w:rsidRPr="00495BCB" w:rsidRDefault="003A439C" w:rsidP="003A439C">
      <w:pPr>
        <w:rPr>
          <w:b/>
        </w:rPr>
      </w:pPr>
    </w:p>
    <w:p w:rsidR="003A439C" w:rsidRPr="00495BCB" w:rsidRDefault="003A439C" w:rsidP="003A439C">
      <w:pPr>
        <w:spacing w:after="180"/>
      </w:pPr>
      <w:r w:rsidRPr="00495BCB">
        <w:t xml:space="preserve">Durkheim, Émile, </w:t>
      </w:r>
      <w:r w:rsidRPr="00495BCB">
        <w:rPr>
          <w:i/>
        </w:rPr>
        <w:t>The Elementary Forms of Religious Life</w:t>
      </w:r>
      <w:r w:rsidRPr="00495BCB">
        <w:t>, trans. by Carol Cosman (Oxford: Oxford University Press, 2001)</w:t>
      </w:r>
    </w:p>
    <w:p w:rsidR="003A439C" w:rsidRPr="00495BCB" w:rsidRDefault="003A439C" w:rsidP="003A439C">
      <w:pPr>
        <w:spacing w:after="180"/>
      </w:pPr>
      <w:r w:rsidRPr="00495BCB">
        <w:t xml:space="preserve">Durkheim, Émile, </w:t>
      </w:r>
      <w:r w:rsidRPr="00495BCB">
        <w:rPr>
          <w:i/>
        </w:rPr>
        <w:t>The Elementary Forms of Religious Life</w:t>
      </w:r>
      <w:r w:rsidRPr="00495BCB">
        <w:t xml:space="preserve">, trans. by Karen </w:t>
      </w:r>
      <w:r>
        <w:t xml:space="preserve">E. </w:t>
      </w:r>
      <w:r w:rsidRPr="00495BCB">
        <w:t>Fields (New York: Free Press, 1995)</w:t>
      </w:r>
    </w:p>
    <w:p w:rsidR="003A439C" w:rsidRPr="00495BCB" w:rsidRDefault="003A439C" w:rsidP="003A439C">
      <w:pPr>
        <w:spacing w:after="180"/>
      </w:pPr>
      <w:r w:rsidRPr="00495BCB">
        <w:t xml:space="preserve">Eliade, Mircea, </w:t>
      </w:r>
      <w:r w:rsidRPr="00495BCB">
        <w:rPr>
          <w:i/>
        </w:rPr>
        <w:t>The Sacred and the Profane</w:t>
      </w:r>
      <w:r w:rsidRPr="00495BCB">
        <w:t>, trans. by Willard Trask (New York: Harcourt Inc., 1959)</w:t>
      </w:r>
    </w:p>
    <w:p w:rsidR="003A439C" w:rsidRPr="00495BCB" w:rsidRDefault="003A439C" w:rsidP="003A439C">
      <w:pPr>
        <w:spacing w:after="180"/>
      </w:pPr>
      <w:r w:rsidRPr="00495BCB">
        <w:t xml:space="preserve">Hanna Holborn Gray Special Collections Research Center, University of Chicago Library, </w:t>
      </w:r>
      <w:r w:rsidRPr="00495BCB">
        <w:rPr>
          <w:i/>
        </w:rPr>
        <w:t>Biographical Note: Guide to the Mircea Eliade Papers 1826-1998</w:t>
      </w:r>
      <w:r w:rsidRPr="00495BCB">
        <w:t xml:space="preserve"> (2008), &lt;https://www.lib.uchicago.edu/e/scrc/findingaids/view.php?eadid=ICU.SPCL.ELIADEM&gt; [accessed 19 October 2022]</w:t>
      </w:r>
    </w:p>
    <w:p w:rsidR="003A439C" w:rsidRPr="00495BCB" w:rsidRDefault="003A439C" w:rsidP="003A439C">
      <w:pPr>
        <w:spacing w:after="180"/>
      </w:pPr>
      <w:r w:rsidRPr="00495BCB">
        <w:t xml:space="preserve">Sheldrake, Philip, ‘Placing the Sacred: Transcendence and the City’, </w:t>
      </w:r>
      <w:r w:rsidRPr="00495BCB">
        <w:rPr>
          <w:i/>
        </w:rPr>
        <w:t>Literature &amp; Theology</w:t>
      </w:r>
      <w:r w:rsidRPr="00495BCB">
        <w:t>, 21:3 (2007), 243-258 (p.243) &lt;DOI: 10.1093/litthe/frm023&gt;</w:t>
      </w:r>
    </w:p>
    <w:p w:rsidR="003A439C" w:rsidRPr="00495BCB" w:rsidRDefault="003A439C" w:rsidP="003A439C">
      <w:pPr>
        <w:spacing w:after="180"/>
      </w:pPr>
      <w:r w:rsidRPr="00495BCB">
        <w:t>Smith, Jonathan Z., 'Morphology and History in Mircea Eliade's "Patterns in Comparative Religion" (1949-1999), Part 2: The Texture of the Work', History of Religions, 39:4 (2000), 332-351 (p.333) &lt;http://www.jstor.org/stable/3176543&gt; [accessed 18 October 2022]</w:t>
      </w:r>
    </w:p>
    <w:p w:rsidR="003A439C" w:rsidRPr="00495BCB" w:rsidRDefault="003A439C" w:rsidP="003A439C">
      <w:pPr>
        <w:spacing w:after="180"/>
      </w:pPr>
      <w:r w:rsidRPr="00495BCB">
        <w:t xml:space="preserve">Smith, Philip, ‘The Elementary Forms of Place and Their Transformations: A Durkheimian Model’, </w:t>
      </w:r>
      <w:r w:rsidRPr="00495BCB">
        <w:rPr>
          <w:i/>
        </w:rPr>
        <w:t>Qualitative Sociology</w:t>
      </w:r>
      <w:r w:rsidRPr="00495BCB">
        <w:t>, 22:1 (1999), 13-36 (p.22) &lt;DOI: 10.1023/A:1022179131684&gt;</w:t>
      </w:r>
    </w:p>
    <w:p w:rsidR="003A439C" w:rsidRPr="00495BCB" w:rsidRDefault="003A439C" w:rsidP="003A439C">
      <w:pPr>
        <w:spacing w:after="180"/>
      </w:pPr>
      <w:r w:rsidRPr="00495BCB">
        <w:t xml:space="preserve">Stausberg, Michael, ‘The Sacred, the Holy, the Numinous - and Religion: on the Emergence and Early History of a Terminological Constellation’, </w:t>
      </w:r>
      <w:r w:rsidRPr="00495BCB">
        <w:rPr>
          <w:i/>
        </w:rPr>
        <w:t>Religion</w:t>
      </w:r>
      <w:r w:rsidRPr="00495BCB">
        <w:t>, 47:4 (2017), 557-590 (p.558) &lt;DOI: 10.1080/0048721X.2017.1377889&gt;</w:t>
      </w:r>
    </w:p>
    <w:p w:rsidR="003A439C" w:rsidRPr="00065E9A" w:rsidRDefault="003A439C" w:rsidP="003A439C">
      <w:pPr>
        <w:spacing w:after="180"/>
      </w:pPr>
      <w:r w:rsidRPr="00495BCB">
        <w:t xml:space="preserve">Studstill, Randall, ‘Eliade, Phenomenology, and the Sacred’, </w:t>
      </w:r>
      <w:r w:rsidRPr="00495BCB">
        <w:rPr>
          <w:i/>
        </w:rPr>
        <w:t>Religious Studies</w:t>
      </w:r>
      <w:r w:rsidRPr="00495BCB">
        <w:t>, 36 (2000), 177-194 (p.178) &lt;DOI:10.1017/50034412500005175&gt;</w:t>
      </w:r>
    </w:p>
    <w:p w:rsidR="004F450E" w:rsidRDefault="004F450E" w:rsidP="00065E9A"/>
    <w:sectPr w:rsidR="004F450E" w:rsidSect="004F450E">
      <w:headerReference w:type="default" r:id="rId9"/>
      <w:footerReference w:type="default" r:id="rId10"/>
      <w:headerReference w:type="first" r:id="rId11"/>
      <w:pgSz w:w="11906" w:h="16838"/>
      <w:pgMar w:top="963" w:right="1440" w:bottom="993" w:left="1440" w:header="708"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2A3" w:rsidRDefault="002402A3" w:rsidP="002B4FB6">
      <w:r>
        <w:separator/>
      </w:r>
    </w:p>
  </w:endnote>
  <w:endnote w:type="continuationSeparator" w:id="0">
    <w:p w:rsidR="002402A3" w:rsidRDefault="002402A3" w:rsidP="002B4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50E" w:rsidRDefault="004F450E">
    <w:pPr>
      <w:pStyle w:val="Footer"/>
      <w:jc w:val="center"/>
    </w:pPr>
    <w:sdt>
      <w:sdtPr>
        <w:id w:val="9406821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C64B9">
          <w:rPr>
            <w:noProof/>
          </w:rPr>
          <w:t>2</w:t>
        </w:r>
        <w:r>
          <w:rPr>
            <w:noProof/>
          </w:rPr>
          <w:fldChar w:fldCharType="end"/>
        </w:r>
      </w:sdtContent>
    </w:sdt>
  </w:p>
  <w:p w:rsidR="0068122A" w:rsidRDefault="006812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2A3" w:rsidRDefault="002402A3" w:rsidP="002B4FB6">
      <w:r>
        <w:separator/>
      </w:r>
    </w:p>
  </w:footnote>
  <w:footnote w:type="continuationSeparator" w:id="0">
    <w:p w:rsidR="002402A3" w:rsidRDefault="002402A3" w:rsidP="002B4FB6">
      <w:r>
        <w:continuationSeparator/>
      </w:r>
    </w:p>
  </w:footnote>
  <w:footnote w:id="1">
    <w:p w:rsidR="003A543A" w:rsidRDefault="003A543A">
      <w:pPr>
        <w:pStyle w:val="FootnoteText"/>
      </w:pPr>
      <w:r>
        <w:rPr>
          <w:rStyle w:val="FootnoteReference"/>
        </w:rPr>
        <w:footnoteRef/>
      </w:r>
      <w:r w:rsidR="001F75A1">
        <w:t xml:space="preserve"> Émile </w:t>
      </w:r>
      <w:r>
        <w:t xml:space="preserve">Durkheim, </w:t>
      </w:r>
      <w:r w:rsidRPr="003A543A">
        <w:rPr>
          <w:i/>
        </w:rPr>
        <w:t>The Elementary Forms of Religious Life</w:t>
      </w:r>
      <w:r>
        <w:t>, trans. by Carol Cosman (Oxford: Oxford University Press, 2001)</w:t>
      </w:r>
      <w:r w:rsidR="00650589">
        <w:t>.</w:t>
      </w:r>
      <w:r w:rsidR="00C76A5E">
        <w:t xml:space="preserve"> </w:t>
      </w:r>
    </w:p>
  </w:footnote>
  <w:footnote w:id="2">
    <w:p w:rsidR="003A543A" w:rsidRDefault="003A543A">
      <w:pPr>
        <w:pStyle w:val="FootnoteText"/>
      </w:pPr>
      <w:r>
        <w:rPr>
          <w:rStyle w:val="FootnoteReference"/>
        </w:rPr>
        <w:footnoteRef/>
      </w:r>
      <w:r>
        <w:t xml:space="preserve"> Mircea Eliade, </w:t>
      </w:r>
      <w:r w:rsidRPr="003A543A">
        <w:rPr>
          <w:i/>
        </w:rPr>
        <w:t>The Sacred and the Profane</w:t>
      </w:r>
      <w:r>
        <w:t>, trans. by Willard Trask (New York: Harcourt Inc., 1959)</w:t>
      </w:r>
      <w:r w:rsidR="00650589">
        <w:t>.</w:t>
      </w:r>
    </w:p>
  </w:footnote>
  <w:footnote w:id="3">
    <w:p w:rsidR="004E409F" w:rsidRDefault="004E409F">
      <w:pPr>
        <w:pStyle w:val="FootnoteText"/>
      </w:pPr>
      <w:r>
        <w:rPr>
          <w:rStyle w:val="FootnoteReference"/>
        </w:rPr>
        <w:footnoteRef/>
      </w:r>
      <w:r w:rsidR="00F50EFB">
        <w:t xml:space="preserve"> Mark S</w:t>
      </w:r>
      <w:r>
        <w:t>. C</w:t>
      </w:r>
      <w:r w:rsidR="00A04C40">
        <w:t xml:space="preserve">ladis, </w:t>
      </w:r>
      <w:r w:rsidR="00F50EFB">
        <w:t xml:space="preserve">‘Introduction’, </w:t>
      </w:r>
      <w:r w:rsidR="00650589">
        <w:t xml:space="preserve">in </w:t>
      </w:r>
      <w:r w:rsidR="00F50EFB" w:rsidRPr="003A543A">
        <w:rPr>
          <w:i/>
        </w:rPr>
        <w:t>Forms</w:t>
      </w:r>
      <w:r w:rsidR="00650589">
        <w:rPr>
          <w:i/>
        </w:rPr>
        <w:t>,</w:t>
      </w:r>
      <w:r w:rsidR="00F50EFB">
        <w:t xml:space="preserve"> </w:t>
      </w:r>
      <w:r w:rsidR="00F50EFB">
        <w:t>trans. by Cosman</w:t>
      </w:r>
      <w:r w:rsidR="00650589">
        <w:t xml:space="preserve">, </w:t>
      </w:r>
      <w:r w:rsidR="00A04C40">
        <w:t>p.xi</w:t>
      </w:r>
      <w:r w:rsidR="00650589">
        <w:t>.</w:t>
      </w:r>
    </w:p>
  </w:footnote>
  <w:footnote w:id="4">
    <w:p w:rsidR="004E409F" w:rsidRPr="00650589" w:rsidRDefault="004E409F">
      <w:pPr>
        <w:pStyle w:val="FootnoteText"/>
      </w:pPr>
      <w:r>
        <w:rPr>
          <w:rStyle w:val="FootnoteReference"/>
        </w:rPr>
        <w:footnoteRef/>
      </w:r>
      <w:r>
        <w:t xml:space="preserve"> </w:t>
      </w:r>
      <w:r w:rsidR="00650589">
        <w:t xml:space="preserve">Karen </w:t>
      </w:r>
      <w:r w:rsidR="0068122A">
        <w:t xml:space="preserve">E. </w:t>
      </w:r>
      <w:r w:rsidR="00650589">
        <w:t xml:space="preserve">Fields, ‘Translator’s Introduction: Religion as an Eminently Social Thing’, in </w:t>
      </w:r>
      <w:r w:rsidR="00650589">
        <w:rPr>
          <w:i/>
        </w:rPr>
        <w:t>The Elementary Forms of Religious Life</w:t>
      </w:r>
      <w:r w:rsidR="00650589">
        <w:t xml:space="preserve">, by Émile Durkheim, trans. by Karen Fields (New York: Free Press, </w:t>
      </w:r>
      <w:r w:rsidR="00D6467F">
        <w:t>1995), p.xx.</w:t>
      </w:r>
    </w:p>
  </w:footnote>
  <w:footnote w:id="5">
    <w:p w:rsidR="00A04C40" w:rsidRPr="00684397" w:rsidRDefault="00A04C40">
      <w:pPr>
        <w:pStyle w:val="FootnoteText"/>
        <w:rPr>
          <w:lang w:val="fr-FR"/>
        </w:rPr>
      </w:pPr>
      <w:r>
        <w:rPr>
          <w:rStyle w:val="FootnoteReference"/>
        </w:rPr>
        <w:footnoteRef/>
      </w:r>
      <w:r w:rsidRPr="00684397">
        <w:rPr>
          <w:lang w:val="fr-FR"/>
        </w:rPr>
        <w:t xml:space="preserve"> C</w:t>
      </w:r>
      <w:r w:rsidR="00684397" w:rsidRPr="00684397">
        <w:rPr>
          <w:lang w:val="fr-FR"/>
        </w:rPr>
        <w:t>l</w:t>
      </w:r>
      <w:r w:rsidRPr="00684397">
        <w:rPr>
          <w:lang w:val="fr-FR"/>
        </w:rPr>
        <w:t>adis</w:t>
      </w:r>
      <w:r w:rsidR="00684397" w:rsidRPr="00684397">
        <w:rPr>
          <w:lang w:val="fr-FR"/>
        </w:rPr>
        <w:t>,</w:t>
      </w:r>
      <w:r w:rsidRPr="00684397">
        <w:rPr>
          <w:lang w:val="fr-FR"/>
        </w:rPr>
        <w:t xml:space="preserve"> p.x</w:t>
      </w:r>
      <w:r w:rsidR="00684397" w:rsidRPr="00684397">
        <w:rPr>
          <w:lang w:val="fr-FR"/>
        </w:rPr>
        <w:t>.</w:t>
      </w:r>
    </w:p>
  </w:footnote>
  <w:footnote w:id="6">
    <w:p w:rsidR="0079488A" w:rsidRPr="00684397" w:rsidRDefault="0079488A">
      <w:pPr>
        <w:pStyle w:val="FootnoteText"/>
      </w:pPr>
      <w:r>
        <w:rPr>
          <w:rStyle w:val="FootnoteReference"/>
        </w:rPr>
        <w:footnoteRef/>
      </w:r>
      <w:r w:rsidR="00684397" w:rsidRPr="00684397">
        <w:t xml:space="preserve"> Cl</w:t>
      </w:r>
      <w:r w:rsidRPr="00684397">
        <w:t>adis</w:t>
      </w:r>
      <w:r w:rsidR="00684397" w:rsidRPr="00684397">
        <w:t>,</w:t>
      </w:r>
      <w:r w:rsidRPr="00684397">
        <w:t xml:space="preserve"> p.xii</w:t>
      </w:r>
      <w:r w:rsidR="00684397" w:rsidRPr="00684397">
        <w:t>.</w:t>
      </w:r>
    </w:p>
  </w:footnote>
  <w:footnote w:id="7">
    <w:p w:rsidR="00A8343D" w:rsidRDefault="00A8343D">
      <w:pPr>
        <w:pStyle w:val="FootnoteText"/>
      </w:pPr>
      <w:r>
        <w:rPr>
          <w:rStyle w:val="FootnoteReference"/>
        </w:rPr>
        <w:footnoteRef/>
      </w:r>
      <w:r>
        <w:t xml:space="preserve"> </w:t>
      </w:r>
      <w:r w:rsidR="00684397">
        <w:t>Durkheim,</w:t>
      </w:r>
      <w:r>
        <w:t xml:space="preserve"> </w:t>
      </w:r>
      <w:r w:rsidR="00C76A5E" w:rsidRPr="00C76A5E">
        <w:rPr>
          <w:i/>
        </w:rPr>
        <w:t>Forms</w:t>
      </w:r>
      <w:r w:rsidR="00C76A5E">
        <w:t xml:space="preserve">, </w:t>
      </w:r>
      <w:r>
        <w:t>p.314</w:t>
      </w:r>
      <w:r w:rsidR="00684397">
        <w:t>.</w:t>
      </w:r>
    </w:p>
  </w:footnote>
  <w:footnote w:id="8">
    <w:p w:rsidR="0026026C" w:rsidRDefault="0026026C">
      <w:pPr>
        <w:pStyle w:val="FootnoteText"/>
      </w:pPr>
      <w:r>
        <w:rPr>
          <w:rStyle w:val="FootnoteReference"/>
        </w:rPr>
        <w:footnoteRef/>
      </w:r>
      <w:r>
        <w:t xml:space="preserve"> </w:t>
      </w:r>
      <w:r w:rsidR="00684397">
        <w:t>Durkheim,</w:t>
      </w:r>
      <w:r w:rsidR="00C76A5E" w:rsidRPr="00C76A5E">
        <w:rPr>
          <w:i/>
        </w:rPr>
        <w:t xml:space="preserve"> </w:t>
      </w:r>
      <w:r w:rsidR="00C76A5E" w:rsidRPr="00C76A5E">
        <w:rPr>
          <w:i/>
        </w:rPr>
        <w:t>Forms</w:t>
      </w:r>
      <w:r w:rsidR="00C76A5E">
        <w:t>,</w:t>
      </w:r>
      <w:r w:rsidR="00684397">
        <w:t xml:space="preserve"> </w:t>
      </w:r>
      <w:r>
        <w:t>p.3</w:t>
      </w:r>
      <w:r w:rsidR="00684397">
        <w:t>.</w:t>
      </w:r>
    </w:p>
  </w:footnote>
  <w:footnote w:id="9">
    <w:p w:rsidR="00471059" w:rsidRDefault="00471059" w:rsidP="00471059">
      <w:pPr>
        <w:pStyle w:val="FootnoteText"/>
      </w:pPr>
      <w:r>
        <w:rPr>
          <w:rStyle w:val="FootnoteReference"/>
        </w:rPr>
        <w:footnoteRef/>
      </w:r>
      <w:r>
        <w:t xml:space="preserve"> </w:t>
      </w:r>
      <w:r w:rsidR="00684397">
        <w:t>Durkheim,</w:t>
      </w:r>
      <w:r w:rsidR="00C76A5E" w:rsidRPr="00C76A5E">
        <w:rPr>
          <w:i/>
        </w:rPr>
        <w:t xml:space="preserve"> </w:t>
      </w:r>
      <w:r w:rsidR="00C76A5E" w:rsidRPr="00C76A5E">
        <w:rPr>
          <w:i/>
        </w:rPr>
        <w:t>Forms</w:t>
      </w:r>
      <w:r w:rsidR="00C76A5E">
        <w:t xml:space="preserve">, </w:t>
      </w:r>
      <w:r>
        <w:t>p.7</w:t>
      </w:r>
      <w:r w:rsidR="00684397">
        <w:t>.</w:t>
      </w:r>
    </w:p>
  </w:footnote>
  <w:footnote w:id="10">
    <w:p w:rsidR="00471059" w:rsidRDefault="00471059">
      <w:pPr>
        <w:pStyle w:val="FootnoteText"/>
      </w:pPr>
      <w:r>
        <w:rPr>
          <w:rStyle w:val="FootnoteReference"/>
        </w:rPr>
        <w:footnoteRef/>
      </w:r>
      <w:r>
        <w:t xml:space="preserve"> Fields</w:t>
      </w:r>
      <w:r w:rsidR="00684397">
        <w:t xml:space="preserve">, </w:t>
      </w:r>
      <w:r>
        <w:t>p.xxxii</w:t>
      </w:r>
      <w:r w:rsidR="00684397">
        <w:t>.</w:t>
      </w:r>
    </w:p>
  </w:footnote>
  <w:footnote w:id="11">
    <w:p w:rsidR="00D77B42" w:rsidRDefault="00D77B42">
      <w:pPr>
        <w:pStyle w:val="FootnoteText"/>
      </w:pPr>
      <w:r>
        <w:rPr>
          <w:rStyle w:val="FootnoteReference"/>
        </w:rPr>
        <w:footnoteRef/>
      </w:r>
      <w:r>
        <w:t xml:space="preserve"> </w:t>
      </w:r>
      <w:r w:rsidR="00684397">
        <w:t>Durkheim,</w:t>
      </w:r>
      <w:r w:rsidR="00C76A5E" w:rsidRPr="00C76A5E">
        <w:rPr>
          <w:i/>
        </w:rPr>
        <w:t xml:space="preserve"> </w:t>
      </w:r>
      <w:r w:rsidR="00C76A5E" w:rsidRPr="00C76A5E">
        <w:rPr>
          <w:i/>
        </w:rPr>
        <w:t>Forms</w:t>
      </w:r>
      <w:r w:rsidR="00C76A5E">
        <w:t>,</w:t>
      </w:r>
      <w:r w:rsidR="00684397">
        <w:t xml:space="preserve"> </w:t>
      </w:r>
      <w:r>
        <w:t>p.3</w:t>
      </w:r>
      <w:r w:rsidR="00684397">
        <w:t>.</w:t>
      </w:r>
    </w:p>
  </w:footnote>
  <w:footnote w:id="12">
    <w:p w:rsidR="00D77B42" w:rsidRDefault="00D77B42" w:rsidP="00D77B42">
      <w:pPr>
        <w:pStyle w:val="FootnoteText"/>
      </w:pPr>
      <w:r>
        <w:rPr>
          <w:rStyle w:val="FootnoteReference"/>
        </w:rPr>
        <w:footnoteRef/>
      </w:r>
      <w:r>
        <w:t xml:space="preserve"> Fields</w:t>
      </w:r>
      <w:r w:rsidR="00684397">
        <w:t>, p.</w:t>
      </w:r>
      <w:r>
        <w:t>xx</w:t>
      </w:r>
      <w:r w:rsidR="00684397">
        <w:t>.</w:t>
      </w:r>
    </w:p>
  </w:footnote>
  <w:footnote w:id="13">
    <w:p w:rsidR="00F61A3F" w:rsidRPr="00C76A5E" w:rsidRDefault="00F61A3F">
      <w:pPr>
        <w:pStyle w:val="FootnoteText"/>
        <w:rPr>
          <w:color w:val="E36C0A" w:themeColor="accent6" w:themeShade="BF"/>
        </w:rPr>
      </w:pPr>
      <w:r>
        <w:rPr>
          <w:rStyle w:val="FootnoteReference"/>
        </w:rPr>
        <w:footnoteRef/>
      </w:r>
      <w:r>
        <w:t xml:space="preserve"> </w:t>
      </w:r>
      <w:r w:rsidR="00C76A5E" w:rsidRPr="00C76A5E">
        <w:t>Hanna Holborn Gray Special Collections R</w:t>
      </w:r>
      <w:r w:rsidR="00C76A5E" w:rsidRPr="00B80AA7">
        <w:t xml:space="preserve">esearch Center, University of Chicago Library, </w:t>
      </w:r>
      <w:r w:rsidRPr="00B80AA7">
        <w:rPr>
          <w:i/>
        </w:rPr>
        <w:t>Biographical Note: Guide to the Mircea Eliade Papers 1826-1998</w:t>
      </w:r>
      <w:r w:rsidR="00C76A5E" w:rsidRPr="00B80AA7">
        <w:t xml:space="preserve"> (2008), &lt;https://www.lib.uchicago.edu/e/scrc/findingaids/view.php?eadid=ICU.SPCL.ELIADEM&gt; [accessed 19 October 2022].</w:t>
      </w:r>
    </w:p>
  </w:footnote>
  <w:footnote w:id="14">
    <w:p w:rsidR="00A6068B" w:rsidRDefault="00A6068B">
      <w:pPr>
        <w:pStyle w:val="FootnoteText"/>
      </w:pPr>
      <w:r>
        <w:rPr>
          <w:rStyle w:val="FootnoteReference"/>
        </w:rPr>
        <w:footnoteRef/>
      </w:r>
      <w:r>
        <w:t xml:space="preserve"> </w:t>
      </w:r>
      <w:r w:rsidR="00C76A5E" w:rsidRPr="00C76A5E">
        <w:t>Hanna Holborn Gray Special Collections Research Center</w:t>
      </w:r>
      <w:r w:rsidR="00C76A5E">
        <w:t>, 2008.</w:t>
      </w:r>
    </w:p>
  </w:footnote>
  <w:footnote w:id="15">
    <w:p w:rsidR="00A6068B" w:rsidRPr="00425215" w:rsidRDefault="00A6068B">
      <w:pPr>
        <w:pStyle w:val="FootnoteText"/>
      </w:pPr>
      <w:r>
        <w:rPr>
          <w:rStyle w:val="FootnoteReference"/>
        </w:rPr>
        <w:footnoteRef/>
      </w:r>
      <w:r>
        <w:t xml:space="preserve"> </w:t>
      </w:r>
      <w:r w:rsidR="00425215">
        <w:t xml:space="preserve">Randall Studstill, ‘Eliade, Phenomenology, and the Sacred’, </w:t>
      </w:r>
      <w:r w:rsidR="00425215">
        <w:rPr>
          <w:i/>
        </w:rPr>
        <w:t>Religious Studies</w:t>
      </w:r>
      <w:r w:rsidR="00425215">
        <w:t>, 36 (2000), 177-194 (p.178) &lt;DOI:10.1017/50034412500005175&gt;.</w:t>
      </w:r>
    </w:p>
  </w:footnote>
  <w:footnote w:id="16">
    <w:p w:rsidR="00812D4C" w:rsidRDefault="00812D4C">
      <w:pPr>
        <w:pStyle w:val="FootnoteText"/>
      </w:pPr>
      <w:r>
        <w:rPr>
          <w:rStyle w:val="FootnoteReference"/>
        </w:rPr>
        <w:footnoteRef/>
      </w:r>
      <w:r>
        <w:t xml:space="preserve"> </w:t>
      </w:r>
      <w:r w:rsidR="00FA7C0E">
        <w:t xml:space="preserve">Studstill, </w:t>
      </w:r>
      <w:r w:rsidR="00A4474C">
        <w:t xml:space="preserve">‘Eliade, Phenomenology’, </w:t>
      </w:r>
      <w:r w:rsidR="00FA7C0E">
        <w:t>p.178</w:t>
      </w:r>
      <w:r w:rsidR="00042872">
        <w:t>.</w:t>
      </w:r>
    </w:p>
  </w:footnote>
  <w:footnote w:id="17">
    <w:p w:rsidR="000A36C6" w:rsidRDefault="000A36C6">
      <w:pPr>
        <w:pStyle w:val="FootnoteText"/>
      </w:pPr>
      <w:r>
        <w:rPr>
          <w:rStyle w:val="FootnoteReference"/>
        </w:rPr>
        <w:footnoteRef/>
      </w:r>
      <w:r>
        <w:t xml:space="preserve"> </w:t>
      </w:r>
      <w:r w:rsidR="00042872" w:rsidRPr="00042872">
        <w:t xml:space="preserve">Mircea Eliade, </w:t>
      </w:r>
      <w:r w:rsidR="00042872" w:rsidRPr="00042872">
        <w:rPr>
          <w:i/>
        </w:rPr>
        <w:t>Shamanism: Archaic Techniques of Ecstasy</w:t>
      </w:r>
      <w:r w:rsidR="00042872" w:rsidRPr="00042872">
        <w:t>, trans. by Willard Trask, (New York: Princeton University Press, 1964), p.xv, cited in Jonathan Z. Smith, 'Morphology and History in Mircea Eliade's "Patterns in Comparative Religion" (1949-1999), Part 2: The Texture of the Work', History of Religions</w:t>
      </w:r>
      <w:r w:rsidR="00AE18B3">
        <w:t>, 39:4 (2000), 332-351 (p.333) &lt;</w:t>
      </w:r>
      <w:r w:rsidR="00AE18B3" w:rsidRPr="00AE18B3">
        <w:t>http://www.jstor.org/stable/3176543</w:t>
      </w:r>
      <w:r w:rsidR="00AE18B3">
        <w:t>&gt; [accessed 18 October 2022].</w:t>
      </w:r>
    </w:p>
  </w:footnote>
  <w:footnote w:id="18">
    <w:p w:rsidR="002275B2" w:rsidRDefault="002275B2">
      <w:pPr>
        <w:pStyle w:val="FootnoteText"/>
      </w:pPr>
      <w:r>
        <w:rPr>
          <w:rStyle w:val="FootnoteReference"/>
        </w:rPr>
        <w:footnoteRef/>
      </w:r>
      <w:r>
        <w:t xml:space="preserve"> </w:t>
      </w:r>
      <w:r w:rsidR="00546D58">
        <w:t xml:space="preserve">Eliade, </w:t>
      </w:r>
      <w:r w:rsidR="00546D58" w:rsidRPr="00546D58">
        <w:rPr>
          <w:i/>
        </w:rPr>
        <w:t>Sacred and Profane</w:t>
      </w:r>
      <w:r w:rsidR="00546D58">
        <w:t>, p.51.</w:t>
      </w:r>
    </w:p>
  </w:footnote>
  <w:footnote w:id="19">
    <w:p w:rsidR="00125B5E" w:rsidRDefault="00125B5E">
      <w:pPr>
        <w:pStyle w:val="FootnoteText"/>
      </w:pPr>
      <w:r>
        <w:rPr>
          <w:rStyle w:val="FootnoteReference"/>
        </w:rPr>
        <w:footnoteRef/>
      </w:r>
      <w:r>
        <w:t xml:space="preserve"> </w:t>
      </w:r>
      <w:r w:rsidR="00546D58">
        <w:t xml:space="preserve">Eliade, </w:t>
      </w:r>
      <w:r w:rsidR="00546D58" w:rsidRPr="00546D58">
        <w:rPr>
          <w:i/>
        </w:rPr>
        <w:t>Sacred and Profane</w:t>
      </w:r>
      <w:r w:rsidR="00546D58">
        <w:t>, p.6.</w:t>
      </w:r>
    </w:p>
  </w:footnote>
  <w:footnote w:id="20">
    <w:p w:rsidR="00FF55A2" w:rsidRDefault="00FF55A2">
      <w:pPr>
        <w:pStyle w:val="FootnoteText"/>
      </w:pPr>
      <w:r>
        <w:rPr>
          <w:rStyle w:val="FootnoteReference"/>
        </w:rPr>
        <w:footnoteRef/>
      </w:r>
      <w:r>
        <w:t xml:space="preserve"> </w:t>
      </w:r>
      <w:r w:rsidR="00546D58">
        <w:t xml:space="preserve">Eliade, </w:t>
      </w:r>
      <w:r w:rsidR="00546D58" w:rsidRPr="00546D58">
        <w:rPr>
          <w:i/>
        </w:rPr>
        <w:t>Sacred and Profane</w:t>
      </w:r>
      <w:r w:rsidR="00546D58">
        <w:t>, pp.8-10.</w:t>
      </w:r>
    </w:p>
  </w:footnote>
  <w:footnote w:id="21">
    <w:p w:rsidR="00FD6DCC" w:rsidRPr="0066318B" w:rsidRDefault="00FD6DCC">
      <w:pPr>
        <w:pStyle w:val="FootnoteText"/>
      </w:pPr>
      <w:r>
        <w:rPr>
          <w:rStyle w:val="FootnoteReference"/>
        </w:rPr>
        <w:footnoteRef/>
      </w:r>
      <w:r>
        <w:t xml:space="preserve"> </w:t>
      </w:r>
      <w:r w:rsidR="0066318B" w:rsidRPr="0066318B">
        <w:t xml:space="preserve">Michael Stausberg, ‘The Sacred, the Holy, the Numinous - and Religion: on the Emergence and Early History of a Terminological Constellation’, </w:t>
      </w:r>
      <w:r w:rsidR="0066318B" w:rsidRPr="0066318B">
        <w:rPr>
          <w:i/>
        </w:rPr>
        <w:t>Religion</w:t>
      </w:r>
      <w:r w:rsidR="0066318B" w:rsidRPr="0066318B">
        <w:t>, 47:4 (2017), 557-</w:t>
      </w:r>
      <w:r w:rsidR="0066318B">
        <w:t xml:space="preserve">590 (p.558) </w:t>
      </w:r>
      <w:r w:rsidR="0066318B" w:rsidRPr="0066318B">
        <w:t>&lt;DOI: 10.1080/0048721X.2017.1377889&gt;.</w:t>
      </w:r>
    </w:p>
  </w:footnote>
  <w:footnote w:id="22">
    <w:p w:rsidR="00640049" w:rsidRDefault="00640049">
      <w:pPr>
        <w:pStyle w:val="FootnoteText"/>
      </w:pPr>
      <w:r>
        <w:rPr>
          <w:rStyle w:val="FootnoteReference"/>
        </w:rPr>
        <w:footnoteRef/>
      </w:r>
      <w:r>
        <w:t xml:space="preserve"> </w:t>
      </w:r>
      <w:r w:rsidR="00546D58">
        <w:t xml:space="preserve">Eliade, </w:t>
      </w:r>
      <w:r w:rsidR="00546D58" w:rsidRPr="00546D58">
        <w:rPr>
          <w:i/>
        </w:rPr>
        <w:t>Sacred and Profane</w:t>
      </w:r>
      <w:r w:rsidR="00546D58">
        <w:t>, p.11.</w:t>
      </w:r>
    </w:p>
  </w:footnote>
  <w:footnote w:id="23">
    <w:p w:rsidR="00640049" w:rsidRDefault="00640049">
      <w:pPr>
        <w:pStyle w:val="FootnoteText"/>
      </w:pPr>
      <w:r>
        <w:rPr>
          <w:rStyle w:val="FootnoteReference"/>
        </w:rPr>
        <w:footnoteRef/>
      </w:r>
      <w:r>
        <w:t xml:space="preserve"> </w:t>
      </w:r>
      <w:r w:rsidR="00546D58">
        <w:t xml:space="preserve">Eliade, </w:t>
      </w:r>
      <w:r w:rsidR="00546D58" w:rsidRPr="00546D58">
        <w:rPr>
          <w:i/>
        </w:rPr>
        <w:t>Sacred and Profane</w:t>
      </w:r>
      <w:r w:rsidR="00546D58">
        <w:t>, p.45.</w:t>
      </w:r>
    </w:p>
  </w:footnote>
  <w:footnote w:id="24">
    <w:p w:rsidR="006204B6" w:rsidRDefault="006204B6">
      <w:pPr>
        <w:pStyle w:val="FootnoteText"/>
      </w:pPr>
      <w:r>
        <w:rPr>
          <w:rStyle w:val="FootnoteReference"/>
        </w:rPr>
        <w:footnoteRef/>
      </w:r>
      <w:r>
        <w:t xml:space="preserve"> </w:t>
      </w:r>
      <w:r w:rsidR="00A4474C">
        <w:t xml:space="preserve">Eliade, </w:t>
      </w:r>
      <w:r w:rsidR="00A4474C" w:rsidRPr="00546D58">
        <w:rPr>
          <w:i/>
        </w:rPr>
        <w:t>Sacred and Profane</w:t>
      </w:r>
      <w:r w:rsidR="00A4474C">
        <w:t>, p.36.</w:t>
      </w:r>
    </w:p>
  </w:footnote>
  <w:footnote w:id="25">
    <w:p w:rsidR="00891373" w:rsidRDefault="00891373">
      <w:pPr>
        <w:pStyle w:val="FootnoteText"/>
      </w:pPr>
      <w:r>
        <w:rPr>
          <w:rStyle w:val="FootnoteReference"/>
        </w:rPr>
        <w:footnoteRef/>
      </w:r>
      <w:r>
        <w:t xml:space="preserve"> </w:t>
      </w:r>
      <w:r w:rsidR="00A4474C">
        <w:t xml:space="preserve">Eliade, </w:t>
      </w:r>
      <w:r w:rsidR="00A4474C" w:rsidRPr="00546D58">
        <w:rPr>
          <w:i/>
        </w:rPr>
        <w:t>Sacred and Profane</w:t>
      </w:r>
      <w:r w:rsidR="00A4474C">
        <w:t>, p.15.</w:t>
      </w:r>
    </w:p>
  </w:footnote>
  <w:footnote w:id="26">
    <w:p w:rsidR="00DA3B55" w:rsidRDefault="00DA3B55">
      <w:pPr>
        <w:pStyle w:val="FootnoteText"/>
      </w:pPr>
      <w:r>
        <w:rPr>
          <w:rStyle w:val="FootnoteReference"/>
        </w:rPr>
        <w:footnoteRef/>
      </w:r>
      <w:r>
        <w:t xml:space="preserve"> </w:t>
      </w:r>
      <w:r w:rsidR="00A4474C">
        <w:t xml:space="preserve">Eliade, </w:t>
      </w:r>
      <w:r w:rsidR="00A4474C" w:rsidRPr="00546D58">
        <w:rPr>
          <w:i/>
        </w:rPr>
        <w:t>Sacred and Profane</w:t>
      </w:r>
      <w:r w:rsidR="00A4474C">
        <w:t>, p.27.</w:t>
      </w:r>
    </w:p>
  </w:footnote>
  <w:footnote w:id="27">
    <w:p w:rsidR="00DA3B55" w:rsidRDefault="00DA3B55">
      <w:pPr>
        <w:pStyle w:val="FootnoteText"/>
      </w:pPr>
      <w:r>
        <w:rPr>
          <w:rStyle w:val="FootnoteReference"/>
        </w:rPr>
        <w:footnoteRef/>
      </w:r>
      <w:r>
        <w:t xml:space="preserve"> </w:t>
      </w:r>
      <w:r w:rsidR="00A4474C">
        <w:t xml:space="preserve">Eliade, </w:t>
      </w:r>
      <w:r w:rsidR="00A4474C" w:rsidRPr="00546D58">
        <w:rPr>
          <w:i/>
        </w:rPr>
        <w:t>Sacred and Profane</w:t>
      </w:r>
      <w:r w:rsidR="00A4474C">
        <w:t>, p.29.</w:t>
      </w:r>
    </w:p>
  </w:footnote>
  <w:footnote w:id="28">
    <w:p w:rsidR="001F603D" w:rsidRDefault="001F603D">
      <w:pPr>
        <w:pStyle w:val="FootnoteText"/>
      </w:pPr>
      <w:r>
        <w:rPr>
          <w:rStyle w:val="FootnoteReference"/>
        </w:rPr>
        <w:footnoteRef/>
      </w:r>
      <w:r>
        <w:t xml:space="preserve"> </w:t>
      </w:r>
      <w:r w:rsidR="0036589E">
        <w:t xml:space="preserve">Jonathan Z. </w:t>
      </w:r>
      <w:r>
        <w:t xml:space="preserve">Smith, </w:t>
      </w:r>
      <w:r w:rsidR="00A4474C">
        <w:t>‘Morphology and History’</w:t>
      </w:r>
      <w:r>
        <w:t>, p333</w:t>
      </w:r>
      <w:r w:rsidR="00A4474C">
        <w:t>.</w:t>
      </w:r>
    </w:p>
  </w:footnote>
  <w:footnote w:id="29">
    <w:p w:rsidR="00270914" w:rsidRDefault="00270914">
      <w:pPr>
        <w:pStyle w:val="FootnoteText"/>
      </w:pPr>
      <w:r>
        <w:rPr>
          <w:rStyle w:val="FootnoteReference"/>
        </w:rPr>
        <w:footnoteRef/>
      </w:r>
      <w:r>
        <w:t xml:space="preserve"> Durkheim, </w:t>
      </w:r>
      <w:r w:rsidRPr="00A4474C">
        <w:rPr>
          <w:i/>
        </w:rPr>
        <w:t>Forms</w:t>
      </w:r>
      <w:r>
        <w:t>, p.11</w:t>
      </w:r>
      <w:r w:rsidR="00A4474C">
        <w:t>.</w:t>
      </w:r>
    </w:p>
  </w:footnote>
  <w:footnote w:id="30">
    <w:p w:rsidR="006B07F9" w:rsidRDefault="006B07F9">
      <w:pPr>
        <w:pStyle w:val="FootnoteText"/>
      </w:pPr>
      <w:r>
        <w:rPr>
          <w:rStyle w:val="FootnoteReference"/>
        </w:rPr>
        <w:footnoteRef/>
      </w:r>
      <w:r>
        <w:t xml:space="preserve"> </w:t>
      </w:r>
      <w:r w:rsidR="00A4474C">
        <w:t xml:space="preserve">Durkheim, </w:t>
      </w:r>
      <w:r w:rsidR="00A4474C" w:rsidRPr="00A4474C">
        <w:rPr>
          <w:i/>
        </w:rPr>
        <w:t>Forms</w:t>
      </w:r>
      <w:r w:rsidR="00A4474C">
        <w:t xml:space="preserve">, </w:t>
      </w:r>
      <w:r>
        <w:t>p.311</w:t>
      </w:r>
      <w:r w:rsidR="00A4474C">
        <w:t>.</w:t>
      </w:r>
    </w:p>
  </w:footnote>
  <w:footnote w:id="31">
    <w:p w:rsidR="0062192A" w:rsidRDefault="0062192A">
      <w:pPr>
        <w:pStyle w:val="FootnoteText"/>
      </w:pPr>
      <w:r>
        <w:rPr>
          <w:rStyle w:val="FootnoteReference"/>
        </w:rPr>
        <w:footnoteRef/>
      </w:r>
      <w:r>
        <w:t xml:space="preserve"> </w:t>
      </w:r>
      <w:r w:rsidR="00A4474C">
        <w:t xml:space="preserve">Durkheim, </w:t>
      </w:r>
      <w:r w:rsidR="00A4474C" w:rsidRPr="00A4474C">
        <w:rPr>
          <w:i/>
        </w:rPr>
        <w:t>Forms</w:t>
      </w:r>
      <w:r w:rsidR="00A4474C">
        <w:t xml:space="preserve">, </w:t>
      </w:r>
      <w:r>
        <w:t>p.46</w:t>
      </w:r>
      <w:r w:rsidR="00A4474C">
        <w:t>.</w:t>
      </w:r>
    </w:p>
  </w:footnote>
  <w:footnote w:id="32">
    <w:p w:rsidR="0062192A" w:rsidRDefault="0062192A">
      <w:pPr>
        <w:pStyle w:val="FootnoteText"/>
      </w:pPr>
      <w:r>
        <w:rPr>
          <w:rStyle w:val="FootnoteReference"/>
        </w:rPr>
        <w:footnoteRef/>
      </w:r>
      <w:r>
        <w:t xml:space="preserve"> </w:t>
      </w:r>
      <w:r w:rsidR="00A4474C">
        <w:t xml:space="preserve">Durkheim, </w:t>
      </w:r>
      <w:r w:rsidR="00A4474C" w:rsidRPr="00A4474C">
        <w:rPr>
          <w:i/>
        </w:rPr>
        <w:t>Forms</w:t>
      </w:r>
      <w:r w:rsidR="00A4474C">
        <w:t xml:space="preserve">, </w:t>
      </w:r>
      <w:r>
        <w:t>p.46</w:t>
      </w:r>
      <w:r w:rsidR="00A4474C">
        <w:t>.</w:t>
      </w:r>
    </w:p>
  </w:footnote>
  <w:footnote w:id="33">
    <w:p w:rsidR="00BE102B" w:rsidRDefault="00BE102B">
      <w:pPr>
        <w:pStyle w:val="FootnoteText"/>
      </w:pPr>
      <w:r>
        <w:rPr>
          <w:rStyle w:val="FootnoteReference"/>
        </w:rPr>
        <w:footnoteRef/>
      </w:r>
      <w:r w:rsidR="00373AB3">
        <w:t xml:space="preserve"> </w:t>
      </w:r>
      <w:r w:rsidR="00373AB3">
        <w:t xml:space="preserve">Durkheim, </w:t>
      </w:r>
      <w:r w:rsidR="00373AB3" w:rsidRPr="00A4474C">
        <w:rPr>
          <w:i/>
        </w:rPr>
        <w:t>Forms</w:t>
      </w:r>
      <w:r w:rsidR="00373AB3">
        <w:t>, p.</w:t>
      </w:r>
      <w:r w:rsidR="0068122A">
        <w:t xml:space="preserve">12; </w:t>
      </w:r>
      <w:r w:rsidR="00373AB3">
        <w:t xml:space="preserve">Eliade, </w:t>
      </w:r>
      <w:r w:rsidR="00373AB3" w:rsidRPr="00546D58">
        <w:rPr>
          <w:i/>
        </w:rPr>
        <w:t>Sacred and Profane</w:t>
      </w:r>
      <w:r w:rsidR="00373AB3">
        <w:t>, p</w:t>
      </w:r>
      <w:r w:rsidR="00373AB3">
        <w:t>.37.</w:t>
      </w:r>
    </w:p>
  </w:footnote>
  <w:footnote w:id="34">
    <w:p w:rsidR="00BE102B" w:rsidRDefault="00BE102B">
      <w:pPr>
        <w:pStyle w:val="FootnoteText"/>
      </w:pPr>
      <w:r>
        <w:rPr>
          <w:rStyle w:val="FootnoteReference"/>
        </w:rPr>
        <w:footnoteRef/>
      </w:r>
      <w:r>
        <w:t xml:space="preserve"> </w:t>
      </w:r>
      <w:r w:rsidR="00373AB3">
        <w:t xml:space="preserve">Eliade, </w:t>
      </w:r>
      <w:r w:rsidR="00373AB3" w:rsidRPr="00546D58">
        <w:rPr>
          <w:i/>
        </w:rPr>
        <w:t>Sacred and Profane</w:t>
      </w:r>
      <w:r w:rsidR="00373AB3">
        <w:t>, p</w:t>
      </w:r>
      <w:r w:rsidR="00373AB3">
        <w:t>.20.</w:t>
      </w:r>
    </w:p>
  </w:footnote>
  <w:footnote w:id="35">
    <w:p w:rsidR="005B3446" w:rsidRDefault="005B3446">
      <w:pPr>
        <w:pStyle w:val="FootnoteText"/>
      </w:pPr>
      <w:r>
        <w:rPr>
          <w:rStyle w:val="FootnoteReference"/>
        </w:rPr>
        <w:footnoteRef/>
      </w:r>
      <w:r>
        <w:t xml:space="preserve"> </w:t>
      </w:r>
      <w:r w:rsidR="00373AB3">
        <w:t xml:space="preserve">Eliade, </w:t>
      </w:r>
      <w:r w:rsidR="00373AB3" w:rsidRPr="00546D58">
        <w:rPr>
          <w:i/>
        </w:rPr>
        <w:t>Sacred and Profane</w:t>
      </w:r>
      <w:r w:rsidR="00373AB3">
        <w:t>, p</w:t>
      </w:r>
      <w:r w:rsidR="00373AB3">
        <w:t>.36.</w:t>
      </w:r>
    </w:p>
  </w:footnote>
  <w:footnote w:id="36">
    <w:p w:rsidR="00CB1B66" w:rsidRDefault="00CB1B66">
      <w:pPr>
        <w:pStyle w:val="FootnoteText"/>
      </w:pPr>
      <w:r>
        <w:rPr>
          <w:rStyle w:val="FootnoteReference"/>
        </w:rPr>
        <w:footnoteRef/>
      </w:r>
      <w:r>
        <w:t xml:space="preserve"> </w:t>
      </w:r>
      <w:r w:rsidR="00373AB3">
        <w:t xml:space="preserve">Eliade, </w:t>
      </w:r>
      <w:r w:rsidR="00373AB3" w:rsidRPr="00546D58">
        <w:rPr>
          <w:i/>
        </w:rPr>
        <w:t>Sacred and Profane</w:t>
      </w:r>
      <w:r w:rsidR="00373AB3">
        <w:t>, p</w:t>
      </w:r>
      <w:r w:rsidR="00373AB3">
        <w:t>.30.</w:t>
      </w:r>
    </w:p>
  </w:footnote>
  <w:footnote w:id="37">
    <w:p w:rsidR="00844996" w:rsidRDefault="00844996">
      <w:pPr>
        <w:pStyle w:val="FootnoteText"/>
      </w:pPr>
      <w:r>
        <w:rPr>
          <w:rStyle w:val="FootnoteReference"/>
        </w:rPr>
        <w:footnoteRef/>
      </w:r>
      <w:r>
        <w:t xml:space="preserve"> </w:t>
      </w:r>
      <w:r w:rsidR="00373AB3">
        <w:t xml:space="preserve">Eliade, </w:t>
      </w:r>
      <w:r w:rsidR="00373AB3" w:rsidRPr="00546D58">
        <w:rPr>
          <w:i/>
        </w:rPr>
        <w:t>Sacred and Profane</w:t>
      </w:r>
      <w:r w:rsidR="00373AB3">
        <w:t>, p</w:t>
      </w:r>
      <w:r w:rsidR="00373AB3">
        <w:t>.43.</w:t>
      </w:r>
    </w:p>
  </w:footnote>
  <w:footnote w:id="38">
    <w:p w:rsidR="0028361B" w:rsidRDefault="0028361B">
      <w:pPr>
        <w:pStyle w:val="FootnoteText"/>
      </w:pPr>
      <w:r>
        <w:rPr>
          <w:rStyle w:val="FootnoteReference"/>
        </w:rPr>
        <w:footnoteRef/>
      </w:r>
      <w:r>
        <w:t xml:space="preserve"> </w:t>
      </w:r>
      <w:r w:rsidR="00373AB3">
        <w:t xml:space="preserve">Durkheim, </w:t>
      </w:r>
      <w:r w:rsidR="00373AB3" w:rsidRPr="00A4474C">
        <w:rPr>
          <w:i/>
        </w:rPr>
        <w:t>Forms</w:t>
      </w:r>
      <w:r w:rsidR="00373AB3">
        <w:t>, p.</w:t>
      </w:r>
      <w:r w:rsidR="00373AB3">
        <w:t>13.</w:t>
      </w:r>
    </w:p>
  </w:footnote>
  <w:footnote w:id="39">
    <w:p w:rsidR="00706DB9" w:rsidRDefault="00706DB9">
      <w:pPr>
        <w:pStyle w:val="FootnoteText"/>
      </w:pPr>
      <w:r>
        <w:rPr>
          <w:rStyle w:val="FootnoteReference"/>
        </w:rPr>
        <w:footnoteRef/>
      </w:r>
      <w:r>
        <w:t xml:space="preserve"> </w:t>
      </w:r>
      <w:r w:rsidR="00373AB3">
        <w:t xml:space="preserve">Durkheim, </w:t>
      </w:r>
      <w:r w:rsidR="00373AB3" w:rsidRPr="00A4474C">
        <w:rPr>
          <w:i/>
        </w:rPr>
        <w:t>Forms</w:t>
      </w:r>
      <w:r w:rsidR="00373AB3">
        <w:t>, pp.228-229.</w:t>
      </w:r>
    </w:p>
  </w:footnote>
  <w:footnote w:id="40">
    <w:p w:rsidR="00170B79" w:rsidRDefault="00170B79">
      <w:pPr>
        <w:pStyle w:val="FootnoteText"/>
      </w:pPr>
      <w:r>
        <w:rPr>
          <w:rStyle w:val="FootnoteReference"/>
        </w:rPr>
        <w:footnoteRef/>
      </w:r>
      <w:r>
        <w:t xml:space="preserve"> </w:t>
      </w:r>
      <w:r w:rsidR="00373AB3">
        <w:t xml:space="preserve">Durkheim, </w:t>
      </w:r>
      <w:r w:rsidR="00373AB3" w:rsidRPr="00A4474C">
        <w:rPr>
          <w:i/>
        </w:rPr>
        <w:t>Forms</w:t>
      </w:r>
      <w:r w:rsidR="00373AB3">
        <w:t>, p.</w:t>
      </w:r>
      <w:r>
        <w:t>174</w:t>
      </w:r>
      <w:r w:rsidR="00373AB3">
        <w:t>.</w:t>
      </w:r>
    </w:p>
  </w:footnote>
  <w:footnote w:id="41">
    <w:p w:rsidR="00BA256E" w:rsidRDefault="00BA256E">
      <w:pPr>
        <w:pStyle w:val="FootnoteText"/>
      </w:pPr>
      <w:r>
        <w:rPr>
          <w:rStyle w:val="FootnoteReference"/>
        </w:rPr>
        <w:footnoteRef/>
      </w:r>
      <w:r>
        <w:t xml:space="preserve"> </w:t>
      </w:r>
      <w:r w:rsidR="00373AB3">
        <w:t xml:space="preserve">Durkheim, </w:t>
      </w:r>
      <w:r w:rsidR="00373AB3" w:rsidRPr="00A4474C">
        <w:rPr>
          <w:i/>
        </w:rPr>
        <w:t>Forms</w:t>
      </w:r>
      <w:r w:rsidR="00373AB3">
        <w:t>, p.</w:t>
      </w:r>
      <w:r w:rsidR="00373AB3">
        <w:t>229.</w:t>
      </w:r>
    </w:p>
  </w:footnote>
  <w:footnote w:id="42">
    <w:p w:rsidR="00BA256E" w:rsidRDefault="00BA256E">
      <w:pPr>
        <w:pStyle w:val="FootnoteText"/>
      </w:pPr>
      <w:r>
        <w:rPr>
          <w:rStyle w:val="FootnoteReference"/>
        </w:rPr>
        <w:footnoteRef/>
      </w:r>
      <w:r>
        <w:t xml:space="preserve"> </w:t>
      </w:r>
      <w:r w:rsidR="00373AB3">
        <w:t xml:space="preserve">Durkheim, </w:t>
      </w:r>
      <w:r w:rsidR="00373AB3" w:rsidRPr="00A4474C">
        <w:rPr>
          <w:i/>
        </w:rPr>
        <w:t>Forms</w:t>
      </w:r>
      <w:r w:rsidR="00373AB3">
        <w:t>, p.</w:t>
      </w:r>
      <w:r w:rsidR="00373AB3">
        <w:t>229.</w:t>
      </w:r>
    </w:p>
  </w:footnote>
  <w:footnote w:id="43">
    <w:p w:rsidR="00BA256E" w:rsidRDefault="00BA256E">
      <w:pPr>
        <w:pStyle w:val="FootnoteText"/>
      </w:pPr>
      <w:r>
        <w:rPr>
          <w:rStyle w:val="FootnoteReference"/>
        </w:rPr>
        <w:footnoteRef/>
      </w:r>
      <w:r>
        <w:t xml:space="preserve"> </w:t>
      </w:r>
      <w:r w:rsidR="00373AB3">
        <w:t xml:space="preserve">Durkheim, </w:t>
      </w:r>
      <w:r w:rsidR="00373AB3" w:rsidRPr="00A4474C">
        <w:rPr>
          <w:i/>
        </w:rPr>
        <w:t>Forms</w:t>
      </w:r>
      <w:r w:rsidR="00373AB3">
        <w:t>, p.</w:t>
      </w:r>
      <w:r w:rsidR="00373AB3">
        <w:t>229.</w:t>
      </w:r>
    </w:p>
  </w:footnote>
  <w:footnote w:id="44">
    <w:p w:rsidR="00BA256E" w:rsidRDefault="00BA256E">
      <w:pPr>
        <w:pStyle w:val="FootnoteText"/>
      </w:pPr>
      <w:r>
        <w:rPr>
          <w:rStyle w:val="FootnoteReference"/>
        </w:rPr>
        <w:footnoteRef/>
      </w:r>
      <w:r>
        <w:t xml:space="preserve"> </w:t>
      </w:r>
      <w:r w:rsidR="00373AB3">
        <w:t xml:space="preserve">Durkheim, </w:t>
      </w:r>
      <w:r w:rsidR="00373AB3" w:rsidRPr="00A4474C">
        <w:rPr>
          <w:i/>
        </w:rPr>
        <w:t>Forms</w:t>
      </w:r>
      <w:r w:rsidR="00373AB3">
        <w:t>, p.</w:t>
      </w:r>
      <w:r w:rsidR="00373AB3">
        <w:t>46.</w:t>
      </w:r>
    </w:p>
  </w:footnote>
  <w:footnote w:id="45">
    <w:p w:rsidR="00E57387" w:rsidRDefault="00E57387">
      <w:pPr>
        <w:pStyle w:val="FootnoteText"/>
      </w:pPr>
      <w:r>
        <w:rPr>
          <w:rStyle w:val="FootnoteReference"/>
        </w:rPr>
        <w:footnoteRef/>
      </w:r>
      <w:r>
        <w:t xml:space="preserve"> </w:t>
      </w:r>
      <w:r w:rsidR="00373AB3">
        <w:t xml:space="preserve">Eliade, </w:t>
      </w:r>
      <w:r w:rsidR="00373AB3" w:rsidRPr="00546D58">
        <w:rPr>
          <w:i/>
        </w:rPr>
        <w:t>Sacred and Profane</w:t>
      </w:r>
      <w:r w:rsidR="00373AB3">
        <w:t>, p</w:t>
      </w:r>
      <w:r w:rsidR="00373AB3">
        <w:t>.23.</w:t>
      </w:r>
    </w:p>
  </w:footnote>
  <w:footnote w:id="46">
    <w:p w:rsidR="00416CEC" w:rsidRDefault="00416CEC">
      <w:pPr>
        <w:pStyle w:val="FootnoteText"/>
      </w:pPr>
      <w:r>
        <w:rPr>
          <w:rStyle w:val="FootnoteReference"/>
        </w:rPr>
        <w:footnoteRef/>
      </w:r>
      <w:r>
        <w:t xml:space="preserve"> </w:t>
      </w:r>
      <w:r w:rsidR="00373AB3">
        <w:t xml:space="preserve">Eliade, </w:t>
      </w:r>
      <w:r w:rsidR="00373AB3" w:rsidRPr="00546D58">
        <w:rPr>
          <w:i/>
        </w:rPr>
        <w:t>Sacred and Profane</w:t>
      </w:r>
      <w:r w:rsidR="00373AB3">
        <w:t>, p</w:t>
      </w:r>
      <w:r w:rsidR="00373AB3">
        <w:t>.50.</w:t>
      </w:r>
    </w:p>
  </w:footnote>
  <w:footnote w:id="47">
    <w:p w:rsidR="002F7DA5" w:rsidRDefault="002F7DA5">
      <w:pPr>
        <w:pStyle w:val="FootnoteText"/>
      </w:pPr>
      <w:r>
        <w:rPr>
          <w:rStyle w:val="FootnoteReference"/>
        </w:rPr>
        <w:footnoteRef/>
      </w:r>
      <w:r>
        <w:t xml:space="preserve"> </w:t>
      </w:r>
      <w:r w:rsidR="00373AB3">
        <w:t xml:space="preserve">Durkheim, </w:t>
      </w:r>
      <w:r w:rsidR="00373AB3" w:rsidRPr="00A4474C">
        <w:rPr>
          <w:i/>
        </w:rPr>
        <w:t>Forms</w:t>
      </w:r>
      <w:r w:rsidR="00373AB3">
        <w:t>, p.</w:t>
      </w:r>
      <w:r w:rsidR="00373AB3">
        <w:t>76.</w:t>
      </w:r>
    </w:p>
  </w:footnote>
  <w:footnote w:id="48">
    <w:p w:rsidR="00FA2CB2" w:rsidRPr="0036589E" w:rsidRDefault="00FA2CB2">
      <w:pPr>
        <w:pStyle w:val="FootnoteText"/>
      </w:pPr>
      <w:r>
        <w:rPr>
          <w:rStyle w:val="FootnoteReference"/>
        </w:rPr>
        <w:footnoteRef/>
      </w:r>
      <w:r>
        <w:t xml:space="preserve"> </w:t>
      </w:r>
      <w:r w:rsidR="0036589E">
        <w:t xml:space="preserve">Philip Smith, ‘The Elementary Forms of Place and Their Transformations: A Durkheimian Model’, </w:t>
      </w:r>
      <w:r w:rsidR="0036589E">
        <w:rPr>
          <w:i/>
        </w:rPr>
        <w:t>Qualitative Sociology</w:t>
      </w:r>
      <w:r w:rsidR="0036589E">
        <w:t xml:space="preserve">, 22:1 (1999), 13-36 (p.22) &lt;DOI: </w:t>
      </w:r>
      <w:r w:rsidR="0036589E" w:rsidRPr="0036589E">
        <w:t>10.1023/A:1022179131684</w:t>
      </w:r>
      <w:r w:rsidR="0036589E">
        <w:t>&gt;.</w:t>
      </w:r>
    </w:p>
  </w:footnote>
  <w:footnote w:id="49">
    <w:p w:rsidR="00AF59BE" w:rsidRDefault="00AF59BE">
      <w:pPr>
        <w:pStyle w:val="FootnoteText"/>
      </w:pPr>
      <w:r>
        <w:rPr>
          <w:rStyle w:val="FootnoteReference"/>
        </w:rPr>
        <w:footnoteRef/>
      </w:r>
      <w:r>
        <w:t xml:space="preserve"> </w:t>
      </w:r>
      <w:r w:rsidR="00E322CA">
        <w:t xml:space="preserve">Philip </w:t>
      </w:r>
      <w:r>
        <w:t>Smith</w:t>
      </w:r>
      <w:r w:rsidR="00E322CA">
        <w:t>, ‘The Elementary Forms of Place’,</w:t>
      </w:r>
      <w:r>
        <w:t xml:space="preserve"> p.21</w:t>
      </w:r>
      <w:r w:rsidR="00E322CA">
        <w:t>.</w:t>
      </w:r>
    </w:p>
  </w:footnote>
  <w:footnote w:id="50">
    <w:p w:rsidR="00814688" w:rsidRDefault="00814688">
      <w:pPr>
        <w:pStyle w:val="FootnoteText"/>
      </w:pPr>
      <w:r>
        <w:rPr>
          <w:rStyle w:val="FootnoteReference"/>
        </w:rPr>
        <w:footnoteRef/>
      </w:r>
      <w:r>
        <w:t xml:space="preserve"> </w:t>
      </w:r>
      <w:r w:rsidR="002C2DA8">
        <w:t xml:space="preserve">Eliade, </w:t>
      </w:r>
      <w:r w:rsidR="002C2DA8" w:rsidRPr="00546D58">
        <w:rPr>
          <w:i/>
        </w:rPr>
        <w:t>Sacred and Profane</w:t>
      </w:r>
      <w:r w:rsidR="002C2DA8">
        <w:t xml:space="preserve">, </w:t>
      </w:r>
      <w:r>
        <w:t>p.28</w:t>
      </w:r>
      <w:r w:rsidR="002C2DA8">
        <w:t>.</w:t>
      </w:r>
    </w:p>
  </w:footnote>
  <w:footnote w:id="51">
    <w:p w:rsidR="00482C67" w:rsidRDefault="00482C67">
      <w:pPr>
        <w:pStyle w:val="FootnoteText"/>
      </w:pPr>
      <w:r>
        <w:rPr>
          <w:rStyle w:val="FootnoteReference"/>
        </w:rPr>
        <w:footnoteRef/>
      </w:r>
      <w:r>
        <w:t xml:space="preserve"> </w:t>
      </w:r>
      <w:r w:rsidR="002C2DA8">
        <w:t xml:space="preserve">Durkheim, </w:t>
      </w:r>
      <w:r w:rsidR="002C2DA8" w:rsidRPr="00A4474C">
        <w:rPr>
          <w:i/>
        </w:rPr>
        <w:t>Forms</w:t>
      </w:r>
      <w:r w:rsidR="002C2DA8">
        <w:t>, p.</w:t>
      </w:r>
      <w:r w:rsidR="002C2DA8">
        <w:t>4.</w:t>
      </w:r>
    </w:p>
  </w:footnote>
  <w:footnote w:id="52">
    <w:p w:rsidR="00D20594" w:rsidRDefault="00D20594">
      <w:pPr>
        <w:pStyle w:val="FootnoteText"/>
      </w:pPr>
      <w:r>
        <w:rPr>
          <w:rStyle w:val="FootnoteReference"/>
        </w:rPr>
        <w:footnoteRef/>
      </w:r>
      <w:r>
        <w:t xml:space="preserve"> </w:t>
      </w:r>
      <w:r w:rsidR="002C2DA8">
        <w:t xml:space="preserve">Durkheim, </w:t>
      </w:r>
      <w:r w:rsidR="002C2DA8" w:rsidRPr="00A4474C">
        <w:rPr>
          <w:i/>
        </w:rPr>
        <w:t>Forms</w:t>
      </w:r>
      <w:r w:rsidR="002C2DA8">
        <w:t>, p.</w:t>
      </w:r>
      <w:r w:rsidR="002C2DA8">
        <w:t>56.</w:t>
      </w:r>
    </w:p>
  </w:footnote>
  <w:footnote w:id="53">
    <w:p w:rsidR="00CB1B66" w:rsidRPr="002C2DA8" w:rsidRDefault="00CB1B66" w:rsidP="00CB1B66">
      <w:pPr>
        <w:pStyle w:val="FootnoteText"/>
      </w:pPr>
      <w:r w:rsidRPr="002C2DA8">
        <w:rPr>
          <w:rStyle w:val="FootnoteReference"/>
        </w:rPr>
        <w:footnoteRef/>
      </w:r>
      <w:r w:rsidRPr="002C2DA8">
        <w:t xml:space="preserve"> </w:t>
      </w:r>
      <w:r w:rsidR="002C2DA8" w:rsidRPr="002C2DA8">
        <w:t xml:space="preserve">Philip Sheldrake, ‘Placing the Sacred: Transcendence and the City’, </w:t>
      </w:r>
      <w:r w:rsidR="002C2DA8" w:rsidRPr="002C2DA8">
        <w:rPr>
          <w:i/>
        </w:rPr>
        <w:t>Literature &amp; Theology</w:t>
      </w:r>
      <w:r w:rsidR="002C2DA8" w:rsidRPr="002C2DA8">
        <w:t>, 21:3 (2007), 243-258 (p.243) &lt;DOI: 10.1093/litthe/frm023&gt;.</w:t>
      </w:r>
    </w:p>
  </w:footnote>
  <w:footnote w:id="54">
    <w:p w:rsidR="00CB1B66" w:rsidRPr="002C2DA8" w:rsidRDefault="00CB1B66" w:rsidP="00CB1B66">
      <w:pPr>
        <w:pStyle w:val="FootnoteText"/>
      </w:pPr>
      <w:r w:rsidRPr="002C2DA8">
        <w:rPr>
          <w:rStyle w:val="FootnoteReference"/>
        </w:rPr>
        <w:footnoteRef/>
      </w:r>
      <w:r w:rsidRPr="002C2DA8">
        <w:t xml:space="preserve"> </w:t>
      </w:r>
      <w:r w:rsidR="002C2DA8" w:rsidRPr="002C2DA8">
        <w:t>Sheldrake, ‘Placing the Sacred’, p.243.</w:t>
      </w:r>
    </w:p>
  </w:footnote>
  <w:footnote w:id="55">
    <w:p w:rsidR="009F143F" w:rsidRDefault="009F143F">
      <w:pPr>
        <w:pStyle w:val="FootnoteText"/>
      </w:pPr>
      <w:r w:rsidRPr="002C2DA8">
        <w:rPr>
          <w:rStyle w:val="FootnoteReference"/>
        </w:rPr>
        <w:footnoteRef/>
      </w:r>
      <w:r w:rsidRPr="002C2DA8">
        <w:t xml:space="preserve"> </w:t>
      </w:r>
      <w:r w:rsidR="002C2DA8" w:rsidRPr="002C2DA8">
        <w:t xml:space="preserve">Durkheim, </w:t>
      </w:r>
      <w:r w:rsidR="002C2DA8" w:rsidRPr="002C2DA8">
        <w:rPr>
          <w:i/>
        </w:rPr>
        <w:t>Forms</w:t>
      </w:r>
      <w:r w:rsidR="002C2DA8" w:rsidRPr="002C2DA8">
        <w:t>, p.</w:t>
      </w:r>
      <w:r w:rsidR="002C2DA8" w:rsidRPr="002C2DA8">
        <w:t>35.</w:t>
      </w:r>
    </w:p>
  </w:footnote>
  <w:footnote w:id="56">
    <w:p w:rsidR="009F143F" w:rsidRDefault="009F143F">
      <w:pPr>
        <w:pStyle w:val="FootnoteText"/>
      </w:pPr>
      <w:r>
        <w:rPr>
          <w:rStyle w:val="FootnoteReference"/>
        </w:rPr>
        <w:footnoteRef/>
      </w:r>
      <w:r>
        <w:t xml:space="preserve"> </w:t>
      </w:r>
      <w:r w:rsidR="002C2DA8">
        <w:t xml:space="preserve">Eliade, </w:t>
      </w:r>
      <w:r w:rsidR="002C2DA8" w:rsidRPr="00546D58">
        <w:rPr>
          <w:i/>
        </w:rPr>
        <w:t>Sacred and Profane</w:t>
      </w:r>
      <w:r w:rsidR="002C2DA8">
        <w:t>, p</w:t>
      </w:r>
      <w:r w:rsidR="002C2DA8">
        <w:t>.14.</w:t>
      </w:r>
    </w:p>
  </w:footnote>
  <w:footnote w:id="57">
    <w:p w:rsidR="00D31255" w:rsidRDefault="00D31255">
      <w:pPr>
        <w:pStyle w:val="FootnoteText"/>
      </w:pPr>
      <w:r>
        <w:rPr>
          <w:rStyle w:val="FootnoteReference"/>
        </w:rPr>
        <w:footnoteRef/>
      </w:r>
      <w:r>
        <w:t xml:space="preserve"> </w:t>
      </w:r>
      <w:r w:rsidR="002C2DA8">
        <w:t xml:space="preserve">Eliade, </w:t>
      </w:r>
      <w:r w:rsidR="002C2DA8" w:rsidRPr="00546D58">
        <w:rPr>
          <w:i/>
        </w:rPr>
        <w:t>Sacred and Profane</w:t>
      </w:r>
      <w:r w:rsidR="002C2DA8">
        <w:t>, p</w:t>
      </w:r>
      <w:r w:rsidR="002C2DA8">
        <w:t>.24.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22A" w:rsidRPr="004F450E" w:rsidRDefault="0068122A" w:rsidP="0068122A">
    <w:pPr>
      <w:pStyle w:val="Header"/>
      <w:pBdr>
        <w:bottom w:val="single" w:sz="4" w:space="1" w:color="auto"/>
      </w:pBdr>
    </w:pPr>
    <w:r w:rsidRPr="004F450E">
      <w:t>HPCA7014 - Assignment 1</w:t>
    </w:r>
    <w:r w:rsidRPr="004F450E">
      <w:tab/>
    </w:r>
    <w:r w:rsidRPr="004F450E">
      <w:tab/>
      <w:t>Amy Mercy (2114637)</w:t>
    </w:r>
  </w:p>
  <w:p w:rsidR="003A439C" w:rsidRDefault="003A43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22A" w:rsidRDefault="0068122A" w:rsidP="0068122A">
    <w:pPr>
      <w:pStyle w:val="Header"/>
      <w:pBdr>
        <w:bottom w:val="single" w:sz="4" w:space="1" w:color="auto"/>
      </w:pBdr>
    </w:pPr>
    <w:r w:rsidRPr="00D033C9">
      <w:rPr>
        <w:sz w:val="24"/>
        <w:szCs w:val="24"/>
      </w:rPr>
      <w:t>HP</w:t>
    </w:r>
    <w:r>
      <w:rPr>
        <w:sz w:val="24"/>
        <w:szCs w:val="24"/>
      </w:rPr>
      <w:t xml:space="preserve">CA7014 - Assignment </w:t>
    </w:r>
    <w:r>
      <w:rPr>
        <w:sz w:val="24"/>
        <w:szCs w:val="24"/>
      </w:rPr>
      <w:t>1</w:t>
    </w:r>
    <w:r>
      <w:rPr>
        <w:sz w:val="24"/>
        <w:szCs w:val="24"/>
      </w:rPr>
      <w:tab/>
    </w:r>
    <w:r w:rsidRPr="00D033C9">
      <w:rPr>
        <w:sz w:val="24"/>
        <w:szCs w:val="24"/>
      </w:rPr>
      <w:tab/>
      <w:t>Amy Mercy (2114637)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FB6"/>
    <w:rsid w:val="00003E10"/>
    <w:rsid w:val="00015902"/>
    <w:rsid w:val="00042872"/>
    <w:rsid w:val="00065E9A"/>
    <w:rsid w:val="00070B23"/>
    <w:rsid w:val="000A2806"/>
    <w:rsid w:val="000A36C6"/>
    <w:rsid w:val="000C2C09"/>
    <w:rsid w:val="000C3BC0"/>
    <w:rsid w:val="000C764B"/>
    <w:rsid w:val="00101585"/>
    <w:rsid w:val="00114ED7"/>
    <w:rsid w:val="00125B5E"/>
    <w:rsid w:val="001311A9"/>
    <w:rsid w:val="00165901"/>
    <w:rsid w:val="00170B79"/>
    <w:rsid w:val="00182E65"/>
    <w:rsid w:val="001A448E"/>
    <w:rsid w:val="001B190C"/>
    <w:rsid w:val="001F47A3"/>
    <w:rsid w:val="001F603D"/>
    <w:rsid w:val="001F75A1"/>
    <w:rsid w:val="002275B2"/>
    <w:rsid w:val="002402A3"/>
    <w:rsid w:val="00241066"/>
    <w:rsid w:val="0026026C"/>
    <w:rsid w:val="002619C0"/>
    <w:rsid w:val="00264E50"/>
    <w:rsid w:val="00265309"/>
    <w:rsid w:val="00270914"/>
    <w:rsid w:val="00273F90"/>
    <w:rsid w:val="0028361B"/>
    <w:rsid w:val="002940A5"/>
    <w:rsid w:val="002B4FB6"/>
    <w:rsid w:val="002C2DA8"/>
    <w:rsid w:val="002C5CB1"/>
    <w:rsid w:val="002C7694"/>
    <w:rsid w:val="002D25C3"/>
    <w:rsid w:val="002F7DA5"/>
    <w:rsid w:val="00304D90"/>
    <w:rsid w:val="003114DC"/>
    <w:rsid w:val="003356C1"/>
    <w:rsid w:val="00357916"/>
    <w:rsid w:val="0036589E"/>
    <w:rsid w:val="00373AB3"/>
    <w:rsid w:val="003A00F9"/>
    <w:rsid w:val="003A439C"/>
    <w:rsid w:val="003A543A"/>
    <w:rsid w:val="003B26C3"/>
    <w:rsid w:val="003C7384"/>
    <w:rsid w:val="003D0968"/>
    <w:rsid w:val="003D38DB"/>
    <w:rsid w:val="003F0FBF"/>
    <w:rsid w:val="003F1E43"/>
    <w:rsid w:val="003F4407"/>
    <w:rsid w:val="003F5BD9"/>
    <w:rsid w:val="00416CEC"/>
    <w:rsid w:val="00420A33"/>
    <w:rsid w:val="00423CB1"/>
    <w:rsid w:val="00425215"/>
    <w:rsid w:val="004322FA"/>
    <w:rsid w:val="00436AB8"/>
    <w:rsid w:val="00443A03"/>
    <w:rsid w:val="00444B6F"/>
    <w:rsid w:val="00471059"/>
    <w:rsid w:val="00482C67"/>
    <w:rsid w:val="004A118C"/>
    <w:rsid w:val="004E409F"/>
    <w:rsid w:val="004F2E1E"/>
    <w:rsid w:val="004F450E"/>
    <w:rsid w:val="00522295"/>
    <w:rsid w:val="005227AB"/>
    <w:rsid w:val="00531859"/>
    <w:rsid w:val="00546D58"/>
    <w:rsid w:val="00560838"/>
    <w:rsid w:val="005A010F"/>
    <w:rsid w:val="005A2CC6"/>
    <w:rsid w:val="005B3446"/>
    <w:rsid w:val="005D0F54"/>
    <w:rsid w:val="005D6582"/>
    <w:rsid w:val="005D6E3D"/>
    <w:rsid w:val="005F4F32"/>
    <w:rsid w:val="005F6C97"/>
    <w:rsid w:val="00613E23"/>
    <w:rsid w:val="006204B6"/>
    <w:rsid w:val="006204E3"/>
    <w:rsid w:val="0062192A"/>
    <w:rsid w:val="006241AF"/>
    <w:rsid w:val="00632D61"/>
    <w:rsid w:val="00640049"/>
    <w:rsid w:val="00647264"/>
    <w:rsid w:val="00650589"/>
    <w:rsid w:val="006571FB"/>
    <w:rsid w:val="0066318B"/>
    <w:rsid w:val="00674740"/>
    <w:rsid w:val="0068122A"/>
    <w:rsid w:val="0068237B"/>
    <w:rsid w:val="00684397"/>
    <w:rsid w:val="006B07F9"/>
    <w:rsid w:val="006C6242"/>
    <w:rsid w:val="006E12C2"/>
    <w:rsid w:val="006E2431"/>
    <w:rsid w:val="006E5B0C"/>
    <w:rsid w:val="006F20CB"/>
    <w:rsid w:val="006F3C5A"/>
    <w:rsid w:val="006F5E5B"/>
    <w:rsid w:val="007037D0"/>
    <w:rsid w:val="00706DB9"/>
    <w:rsid w:val="0071559E"/>
    <w:rsid w:val="007170B4"/>
    <w:rsid w:val="00774F6E"/>
    <w:rsid w:val="0079488A"/>
    <w:rsid w:val="007C0F21"/>
    <w:rsid w:val="007E3E16"/>
    <w:rsid w:val="007F5BC7"/>
    <w:rsid w:val="0080370C"/>
    <w:rsid w:val="00812D4C"/>
    <w:rsid w:val="00814688"/>
    <w:rsid w:val="00816991"/>
    <w:rsid w:val="00844996"/>
    <w:rsid w:val="0086309B"/>
    <w:rsid w:val="008862F5"/>
    <w:rsid w:val="00891373"/>
    <w:rsid w:val="00895126"/>
    <w:rsid w:val="00895351"/>
    <w:rsid w:val="008B57AE"/>
    <w:rsid w:val="008E55C2"/>
    <w:rsid w:val="008F1CCE"/>
    <w:rsid w:val="008F53B7"/>
    <w:rsid w:val="008F7378"/>
    <w:rsid w:val="008F7E1C"/>
    <w:rsid w:val="00901006"/>
    <w:rsid w:val="009279AC"/>
    <w:rsid w:val="009348CE"/>
    <w:rsid w:val="009428B3"/>
    <w:rsid w:val="00950D2E"/>
    <w:rsid w:val="009565B8"/>
    <w:rsid w:val="00963E81"/>
    <w:rsid w:val="00995BA1"/>
    <w:rsid w:val="009C2D80"/>
    <w:rsid w:val="009D2EDF"/>
    <w:rsid w:val="009F143F"/>
    <w:rsid w:val="00A04C40"/>
    <w:rsid w:val="00A2203A"/>
    <w:rsid w:val="00A4474C"/>
    <w:rsid w:val="00A50A9A"/>
    <w:rsid w:val="00A5542E"/>
    <w:rsid w:val="00A6068B"/>
    <w:rsid w:val="00A8343D"/>
    <w:rsid w:val="00A94B93"/>
    <w:rsid w:val="00AA1BB0"/>
    <w:rsid w:val="00AA7348"/>
    <w:rsid w:val="00AB74C2"/>
    <w:rsid w:val="00AE18B3"/>
    <w:rsid w:val="00AE73BF"/>
    <w:rsid w:val="00AF0458"/>
    <w:rsid w:val="00AF2E4E"/>
    <w:rsid w:val="00AF2F79"/>
    <w:rsid w:val="00AF59BE"/>
    <w:rsid w:val="00B062E2"/>
    <w:rsid w:val="00B13B9B"/>
    <w:rsid w:val="00B248AD"/>
    <w:rsid w:val="00B27E37"/>
    <w:rsid w:val="00B45F86"/>
    <w:rsid w:val="00B80AA7"/>
    <w:rsid w:val="00B829A5"/>
    <w:rsid w:val="00BA1AE0"/>
    <w:rsid w:val="00BA256E"/>
    <w:rsid w:val="00BB6BE6"/>
    <w:rsid w:val="00BC2B4B"/>
    <w:rsid w:val="00BC64B9"/>
    <w:rsid w:val="00BE102B"/>
    <w:rsid w:val="00BF06A0"/>
    <w:rsid w:val="00BF2997"/>
    <w:rsid w:val="00C17F8B"/>
    <w:rsid w:val="00C2569E"/>
    <w:rsid w:val="00C3113C"/>
    <w:rsid w:val="00C35179"/>
    <w:rsid w:val="00C36094"/>
    <w:rsid w:val="00C403FB"/>
    <w:rsid w:val="00C40E27"/>
    <w:rsid w:val="00C5185A"/>
    <w:rsid w:val="00C76A5E"/>
    <w:rsid w:val="00C80A92"/>
    <w:rsid w:val="00CB1B66"/>
    <w:rsid w:val="00CB1EE1"/>
    <w:rsid w:val="00CE1C25"/>
    <w:rsid w:val="00CE5791"/>
    <w:rsid w:val="00D0035D"/>
    <w:rsid w:val="00D00799"/>
    <w:rsid w:val="00D071E4"/>
    <w:rsid w:val="00D20594"/>
    <w:rsid w:val="00D24670"/>
    <w:rsid w:val="00D27FF7"/>
    <w:rsid w:val="00D31255"/>
    <w:rsid w:val="00D422BD"/>
    <w:rsid w:val="00D52153"/>
    <w:rsid w:val="00D6467F"/>
    <w:rsid w:val="00D65DC4"/>
    <w:rsid w:val="00D77B42"/>
    <w:rsid w:val="00D83AFF"/>
    <w:rsid w:val="00DA20A9"/>
    <w:rsid w:val="00DA3B55"/>
    <w:rsid w:val="00DB02DB"/>
    <w:rsid w:val="00DB5938"/>
    <w:rsid w:val="00DF2A32"/>
    <w:rsid w:val="00E11EF1"/>
    <w:rsid w:val="00E32224"/>
    <w:rsid w:val="00E322CA"/>
    <w:rsid w:val="00E338E4"/>
    <w:rsid w:val="00E4416B"/>
    <w:rsid w:val="00E57387"/>
    <w:rsid w:val="00E601F8"/>
    <w:rsid w:val="00E81B24"/>
    <w:rsid w:val="00EA0056"/>
    <w:rsid w:val="00EA6D1E"/>
    <w:rsid w:val="00EB10A2"/>
    <w:rsid w:val="00EC1EC0"/>
    <w:rsid w:val="00F41F66"/>
    <w:rsid w:val="00F43DEF"/>
    <w:rsid w:val="00F50EFB"/>
    <w:rsid w:val="00F5177D"/>
    <w:rsid w:val="00F61A3F"/>
    <w:rsid w:val="00F93A63"/>
    <w:rsid w:val="00FA2CB2"/>
    <w:rsid w:val="00FA7C0E"/>
    <w:rsid w:val="00FB03E2"/>
    <w:rsid w:val="00FD0618"/>
    <w:rsid w:val="00FD40D9"/>
    <w:rsid w:val="00FD4B54"/>
    <w:rsid w:val="00FD6DCC"/>
    <w:rsid w:val="00FE00C5"/>
    <w:rsid w:val="00FF463D"/>
    <w:rsid w:val="00FF5348"/>
    <w:rsid w:val="00FF5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semiHidden/>
    <w:unhideWhenUsed/>
    <w:qFormat/>
    <w:rsid w:val="00D65DC4"/>
    <w:pPr>
      <w:keepNext/>
      <w:ind w:left="720"/>
      <w:jc w:val="both"/>
      <w:outlineLvl w:val="2"/>
    </w:pPr>
    <w:rPr>
      <w:rFonts w:ascii="Tahoma" w:eastAsia="Times New Roma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4FB6"/>
    <w:pPr>
      <w:tabs>
        <w:tab w:val="center" w:pos="4513"/>
        <w:tab w:val="right" w:pos="9026"/>
      </w:tabs>
    </w:pPr>
  </w:style>
  <w:style w:type="character" w:customStyle="1" w:styleId="HeaderChar">
    <w:name w:val="Header Char"/>
    <w:basedOn w:val="DefaultParagraphFont"/>
    <w:link w:val="Header"/>
    <w:uiPriority w:val="99"/>
    <w:rsid w:val="002B4FB6"/>
  </w:style>
  <w:style w:type="paragraph" w:styleId="Footer">
    <w:name w:val="footer"/>
    <w:basedOn w:val="Normal"/>
    <w:link w:val="FooterChar"/>
    <w:uiPriority w:val="99"/>
    <w:unhideWhenUsed/>
    <w:rsid w:val="002B4FB6"/>
    <w:pPr>
      <w:tabs>
        <w:tab w:val="center" w:pos="4513"/>
        <w:tab w:val="right" w:pos="9026"/>
      </w:tabs>
    </w:pPr>
  </w:style>
  <w:style w:type="character" w:customStyle="1" w:styleId="FooterChar">
    <w:name w:val="Footer Char"/>
    <w:basedOn w:val="DefaultParagraphFont"/>
    <w:link w:val="Footer"/>
    <w:uiPriority w:val="99"/>
    <w:rsid w:val="002B4FB6"/>
  </w:style>
  <w:style w:type="paragraph" w:styleId="FootnoteText">
    <w:name w:val="footnote text"/>
    <w:basedOn w:val="Normal"/>
    <w:link w:val="FootnoteTextChar"/>
    <w:uiPriority w:val="99"/>
    <w:semiHidden/>
    <w:unhideWhenUsed/>
    <w:rsid w:val="003A543A"/>
    <w:rPr>
      <w:sz w:val="20"/>
      <w:szCs w:val="20"/>
    </w:rPr>
  </w:style>
  <w:style w:type="character" w:customStyle="1" w:styleId="FootnoteTextChar">
    <w:name w:val="Footnote Text Char"/>
    <w:basedOn w:val="DefaultParagraphFont"/>
    <w:link w:val="FootnoteText"/>
    <w:uiPriority w:val="99"/>
    <w:semiHidden/>
    <w:rsid w:val="003A543A"/>
    <w:rPr>
      <w:sz w:val="20"/>
      <w:szCs w:val="20"/>
    </w:rPr>
  </w:style>
  <w:style w:type="character" w:styleId="FootnoteReference">
    <w:name w:val="footnote reference"/>
    <w:basedOn w:val="DefaultParagraphFont"/>
    <w:uiPriority w:val="99"/>
    <w:semiHidden/>
    <w:unhideWhenUsed/>
    <w:rsid w:val="003A543A"/>
    <w:rPr>
      <w:vertAlign w:val="superscript"/>
    </w:rPr>
  </w:style>
  <w:style w:type="character" w:styleId="Hyperlink">
    <w:name w:val="Hyperlink"/>
    <w:basedOn w:val="DefaultParagraphFont"/>
    <w:uiPriority w:val="99"/>
    <w:unhideWhenUsed/>
    <w:rsid w:val="00C76A5E"/>
    <w:rPr>
      <w:color w:val="0000FF" w:themeColor="hyperlink"/>
      <w:u w:val="single"/>
    </w:rPr>
  </w:style>
  <w:style w:type="character" w:customStyle="1" w:styleId="Heading3Char">
    <w:name w:val="Heading 3 Char"/>
    <w:basedOn w:val="DefaultParagraphFont"/>
    <w:link w:val="Heading3"/>
    <w:semiHidden/>
    <w:rsid w:val="00D65DC4"/>
    <w:rPr>
      <w:rFonts w:ascii="Tahoma" w:eastAsia="Times New Roman" w:hAnsi="Tahoma" w:cs="Tahoma"/>
      <w:b/>
      <w:bCs/>
      <w:sz w:val="20"/>
      <w:szCs w:val="20"/>
      <w:lang w:eastAsia="zh-CN"/>
    </w:rPr>
  </w:style>
  <w:style w:type="paragraph" w:styleId="NormalWeb">
    <w:name w:val="Normal (Web)"/>
    <w:basedOn w:val="Normal"/>
    <w:unhideWhenUsed/>
    <w:rsid w:val="00D65DC4"/>
    <w:pPr>
      <w:spacing w:before="100" w:beforeAutospacing="1" w:after="100" w:afterAutospacing="1"/>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D65DC4"/>
    <w:rPr>
      <w:rFonts w:ascii="Tahoma" w:hAnsi="Tahoma" w:cs="Tahoma"/>
      <w:sz w:val="16"/>
      <w:szCs w:val="16"/>
    </w:rPr>
  </w:style>
  <w:style w:type="character" w:customStyle="1" w:styleId="BalloonTextChar">
    <w:name w:val="Balloon Text Char"/>
    <w:basedOn w:val="DefaultParagraphFont"/>
    <w:link w:val="BalloonText"/>
    <w:uiPriority w:val="99"/>
    <w:semiHidden/>
    <w:rsid w:val="00D65D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semiHidden/>
    <w:unhideWhenUsed/>
    <w:qFormat/>
    <w:rsid w:val="00D65DC4"/>
    <w:pPr>
      <w:keepNext/>
      <w:ind w:left="720"/>
      <w:jc w:val="both"/>
      <w:outlineLvl w:val="2"/>
    </w:pPr>
    <w:rPr>
      <w:rFonts w:ascii="Tahoma" w:eastAsia="Times New Roma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4FB6"/>
    <w:pPr>
      <w:tabs>
        <w:tab w:val="center" w:pos="4513"/>
        <w:tab w:val="right" w:pos="9026"/>
      </w:tabs>
    </w:pPr>
  </w:style>
  <w:style w:type="character" w:customStyle="1" w:styleId="HeaderChar">
    <w:name w:val="Header Char"/>
    <w:basedOn w:val="DefaultParagraphFont"/>
    <w:link w:val="Header"/>
    <w:uiPriority w:val="99"/>
    <w:rsid w:val="002B4FB6"/>
  </w:style>
  <w:style w:type="paragraph" w:styleId="Footer">
    <w:name w:val="footer"/>
    <w:basedOn w:val="Normal"/>
    <w:link w:val="FooterChar"/>
    <w:uiPriority w:val="99"/>
    <w:unhideWhenUsed/>
    <w:rsid w:val="002B4FB6"/>
    <w:pPr>
      <w:tabs>
        <w:tab w:val="center" w:pos="4513"/>
        <w:tab w:val="right" w:pos="9026"/>
      </w:tabs>
    </w:pPr>
  </w:style>
  <w:style w:type="character" w:customStyle="1" w:styleId="FooterChar">
    <w:name w:val="Footer Char"/>
    <w:basedOn w:val="DefaultParagraphFont"/>
    <w:link w:val="Footer"/>
    <w:uiPriority w:val="99"/>
    <w:rsid w:val="002B4FB6"/>
  </w:style>
  <w:style w:type="paragraph" w:styleId="FootnoteText">
    <w:name w:val="footnote text"/>
    <w:basedOn w:val="Normal"/>
    <w:link w:val="FootnoteTextChar"/>
    <w:uiPriority w:val="99"/>
    <w:semiHidden/>
    <w:unhideWhenUsed/>
    <w:rsid w:val="003A543A"/>
    <w:rPr>
      <w:sz w:val="20"/>
      <w:szCs w:val="20"/>
    </w:rPr>
  </w:style>
  <w:style w:type="character" w:customStyle="1" w:styleId="FootnoteTextChar">
    <w:name w:val="Footnote Text Char"/>
    <w:basedOn w:val="DefaultParagraphFont"/>
    <w:link w:val="FootnoteText"/>
    <w:uiPriority w:val="99"/>
    <w:semiHidden/>
    <w:rsid w:val="003A543A"/>
    <w:rPr>
      <w:sz w:val="20"/>
      <w:szCs w:val="20"/>
    </w:rPr>
  </w:style>
  <w:style w:type="character" w:styleId="FootnoteReference">
    <w:name w:val="footnote reference"/>
    <w:basedOn w:val="DefaultParagraphFont"/>
    <w:uiPriority w:val="99"/>
    <w:semiHidden/>
    <w:unhideWhenUsed/>
    <w:rsid w:val="003A543A"/>
    <w:rPr>
      <w:vertAlign w:val="superscript"/>
    </w:rPr>
  </w:style>
  <w:style w:type="character" w:styleId="Hyperlink">
    <w:name w:val="Hyperlink"/>
    <w:basedOn w:val="DefaultParagraphFont"/>
    <w:uiPriority w:val="99"/>
    <w:unhideWhenUsed/>
    <w:rsid w:val="00C76A5E"/>
    <w:rPr>
      <w:color w:val="0000FF" w:themeColor="hyperlink"/>
      <w:u w:val="single"/>
    </w:rPr>
  </w:style>
  <w:style w:type="character" w:customStyle="1" w:styleId="Heading3Char">
    <w:name w:val="Heading 3 Char"/>
    <w:basedOn w:val="DefaultParagraphFont"/>
    <w:link w:val="Heading3"/>
    <w:semiHidden/>
    <w:rsid w:val="00D65DC4"/>
    <w:rPr>
      <w:rFonts w:ascii="Tahoma" w:eastAsia="Times New Roman" w:hAnsi="Tahoma" w:cs="Tahoma"/>
      <w:b/>
      <w:bCs/>
      <w:sz w:val="20"/>
      <w:szCs w:val="20"/>
      <w:lang w:eastAsia="zh-CN"/>
    </w:rPr>
  </w:style>
  <w:style w:type="paragraph" w:styleId="NormalWeb">
    <w:name w:val="Normal (Web)"/>
    <w:basedOn w:val="Normal"/>
    <w:unhideWhenUsed/>
    <w:rsid w:val="00D65DC4"/>
    <w:pPr>
      <w:spacing w:before="100" w:beforeAutospacing="1" w:after="100" w:afterAutospacing="1"/>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D65DC4"/>
    <w:rPr>
      <w:rFonts w:ascii="Tahoma" w:hAnsi="Tahoma" w:cs="Tahoma"/>
      <w:sz w:val="16"/>
      <w:szCs w:val="16"/>
    </w:rPr>
  </w:style>
  <w:style w:type="character" w:customStyle="1" w:styleId="BalloonTextChar">
    <w:name w:val="Balloon Text Char"/>
    <w:basedOn w:val="DefaultParagraphFont"/>
    <w:link w:val="BalloonText"/>
    <w:uiPriority w:val="99"/>
    <w:semiHidden/>
    <w:rsid w:val="00D65D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0272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AF150902-4A7A-4575-93E2-770FC1287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2777</Words>
  <Characters>15834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Mercy</dc:creator>
  <cp:lastModifiedBy>Amy Mercy</cp:lastModifiedBy>
  <cp:revision>2</cp:revision>
  <cp:lastPrinted>2022-11-14T11:43:00Z</cp:lastPrinted>
  <dcterms:created xsi:type="dcterms:W3CDTF">2022-11-14T15:55:00Z</dcterms:created>
  <dcterms:modified xsi:type="dcterms:W3CDTF">2022-11-14T15:55:00Z</dcterms:modified>
</cp:coreProperties>
</file>