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B8EB9" w14:textId="7F60737B" w:rsidR="00155208" w:rsidRDefault="00B64CD3" w:rsidP="00BB3BAB">
      <w:pPr>
        <w:spacing w:line="360" w:lineRule="auto"/>
        <w:rPr>
          <w:rFonts w:ascii="Arial" w:hAnsi="Arial" w:cs="Arial"/>
          <w:b/>
          <w:bCs/>
          <w:u w:val="single"/>
        </w:rPr>
      </w:pPr>
      <w:r>
        <w:rPr>
          <w:rFonts w:ascii="Arial" w:hAnsi="Arial" w:cs="Arial"/>
          <w:b/>
          <w:bCs/>
          <w:u w:val="single"/>
        </w:rPr>
        <w:t>Case Study Report</w:t>
      </w:r>
      <w:r w:rsidR="00EC45AC" w:rsidRPr="00BB3BAB">
        <w:rPr>
          <w:rFonts w:ascii="Arial" w:hAnsi="Arial" w:cs="Arial"/>
          <w:b/>
          <w:bCs/>
          <w:u w:val="single"/>
        </w:rPr>
        <w:t xml:space="preserve"> Type 2 Diabetes – Understanding Blood Glucose Management and Lifestyle Interventions</w:t>
      </w:r>
    </w:p>
    <w:p w14:paraId="784418C3" w14:textId="77777777" w:rsidR="00FF7481" w:rsidRDefault="00FF7481" w:rsidP="00BB3BAB">
      <w:pPr>
        <w:spacing w:line="360" w:lineRule="auto"/>
        <w:rPr>
          <w:rFonts w:ascii="Arial" w:hAnsi="Arial" w:cs="Arial"/>
          <w:b/>
          <w:bCs/>
          <w:u w:val="single"/>
        </w:rPr>
      </w:pPr>
    </w:p>
    <w:p w14:paraId="5B44AEE7" w14:textId="77777777" w:rsidR="00A6522A" w:rsidRPr="00D61854" w:rsidRDefault="00A6522A" w:rsidP="00A6522A">
      <w:pPr>
        <w:spacing w:line="360" w:lineRule="auto"/>
        <w:rPr>
          <w:rFonts w:ascii="Arial" w:hAnsi="Arial" w:cs="Arial"/>
          <w:b/>
          <w:bCs/>
          <w:lang w:val="nl-NL"/>
        </w:rPr>
      </w:pPr>
      <w:r w:rsidRPr="00D61854">
        <w:rPr>
          <w:rFonts w:ascii="Arial" w:hAnsi="Arial" w:cs="Arial"/>
          <w:b/>
          <w:bCs/>
          <w:lang w:val="nl-NL"/>
        </w:rPr>
        <w:t>Student Name: Khair Un Nisa Sajid</w:t>
      </w:r>
    </w:p>
    <w:p w14:paraId="74F6A836" w14:textId="77777777" w:rsidR="00A6522A" w:rsidRPr="00D61854" w:rsidRDefault="00A6522A" w:rsidP="00A6522A">
      <w:pPr>
        <w:spacing w:line="360" w:lineRule="auto"/>
        <w:rPr>
          <w:rFonts w:ascii="Arial" w:hAnsi="Arial" w:cs="Arial"/>
          <w:b/>
          <w:bCs/>
          <w:lang w:val="nl-NL"/>
        </w:rPr>
      </w:pPr>
      <w:r w:rsidRPr="00D61854">
        <w:rPr>
          <w:rFonts w:ascii="Arial" w:hAnsi="Arial" w:cs="Arial"/>
          <w:b/>
          <w:bCs/>
          <w:lang w:val="nl-NL"/>
        </w:rPr>
        <w:t>Student ID :2432522</w:t>
      </w:r>
    </w:p>
    <w:p w14:paraId="35A006B8" w14:textId="32041DD9" w:rsidR="00A6522A" w:rsidRPr="00CB2B1D" w:rsidRDefault="00A6522A" w:rsidP="00A6522A">
      <w:pPr>
        <w:spacing w:line="360" w:lineRule="auto"/>
        <w:rPr>
          <w:rFonts w:ascii="Arial" w:hAnsi="Arial" w:cs="Arial"/>
          <w:b/>
          <w:bCs/>
        </w:rPr>
      </w:pPr>
      <w:r w:rsidRPr="00CB2B1D">
        <w:rPr>
          <w:rFonts w:ascii="Arial" w:hAnsi="Arial" w:cs="Arial"/>
          <w:b/>
          <w:bCs/>
        </w:rPr>
        <w:t>Course Title :</w:t>
      </w:r>
      <w:r w:rsidR="00B64CD3">
        <w:rPr>
          <w:rFonts w:ascii="Arial" w:hAnsi="Arial" w:cs="Arial"/>
          <w:b/>
          <w:bCs/>
        </w:rPr>
        <w:t>Introduction to Physiology</w:t>
      </w:r>
      <w:r>
        <w:rPr>
          <w:rFonts w:ascii="Arial" w:hAnsi="Arial" w:cs="Arial"/>
          <w:b/>
          <w:bCs/>
        </w:rPr>
        <w:t xml:space="preserve"> (</w:t>
      </w:r>
      <w:r w:rsidR="00B64CD3">
        <w:rPr>
          <w:rFonts w:ascii="Arial" w:hAnsi="Arial" w:cs="Arial"/>
          <w:b/>
          <w:bCs/>
        </w:rPr>
        <w:t>BMHP5023</w:t>
      </w:r>
      <w:r>
        <w:rPr>
          <w:rFonts w:ascii="Arial" w:hAnsi="Arial" w:cs="Arial"/>
          <w:b/>
          <w:bCs/>
        </w:rPr>
        <w:t>_BIRM)</w:t>
      </w:r>
    </w:p>
    <w:p w14:paraId="572E9849" w14:textId="21F0CFAB" w:rsidR="00A6522A" w:rsidRDefault="00A6522A" w:rsidP="00A6522A">
      <w:pPr>
        <w:spacing w:line="360" w:lineRule="auto"/>
        <w:rPr>
          <w:rFonts w:ascii="Arial" w:hAnsi="Arial" w:cs="Arial"/>
          <w:b/>
          <w:bCs/>
        </w:rPr>
      </w:pPr>
      <w:r w:rsidRPr="00CB2B1D">
        <w:rPr>
          <w:rFonts w:ascii="Arial" w:hAnsi="Arial" w:cs="Arial"/>
          <w:b/>
          <w:bCs/>
        </w:rPr>
        <w:t>Tutor Name :</w:t>
      </w:r>
      <w:r>
        <w:rPr>
          <w:rFonts w:ascii="Arial" w:hAnsi="Arial" w:cs="Arial"/>
          <w:b/>
          <w:bCs/>
        </w:rPr>
        <w:t xml:space="preserve"> </w:t>
      </w:r>
      <w:r w:rsidR="00B64CD3">
        <w:rPr>
          <w:rFonts w:ascii="Arial" w:hAnsi="Arial" w:cs="Arial"/>
          <w:b/>
          <w:bCs/>
        </w:rPr>
        <w:t>Gillian Weaver and Robert Nartowski</w:t>
      </w:r>
    </w:p>
    <w:p w14:paraId="4D854084" w14:textId="77777777" w:rsidR="00FF7481" w:rsidRDefault="00FF7481" w:rsidP="00BB3BAB">
      <w:pPr>
        <w:spacing w:line="360" w:lineRule="auto"/>
        <w:rPr>
          <w:rFonts w:ascii="Arial" w:hAnsi="Arial" w:cs="Arial"/>
          <w:b/>
          <w:bCs/>
          <w:u w:val="single"/>
        </w:rPr>
      </w:pPr>
    </w:p>
    <w:p w14:paraId="4D4F08F5" w14:textId="77777777" w:rsidR="00FF7481" w:rsidRDefault="00FF7481" w:rsidP="00BB3BAB">
      <w:pPr>
        <w:spacing w:line="360" w:lineRule="auto"/>
        <w:rPr>
          <w:rFonts w:ascii="Arial" w:hAnsi="Arial" w:cs="Arial"/>
          <w:b/>
          <w:bCs/>
          <w:u w:val="single"/>
        </w:rPr>
      </w:pPr>
    </w:p>
    <w:p w14:paraId="5E4F87F0" w14:textId="77777777" w:rsidR="00FF7481" w:rsidRDefault="00FF7481" w:rsidP="00BB3BAB">
      <w:pPr>
        <w:spacing w:line="360" w:lineRule="auto"/>
        <w:rPr>
          <w:rFonts w:ascii="Arial" w:hAnsi="Arial" w:cs="Arial"/>
          <w:b/>
          <w:bCs/>
          <w:u w:val="single"/>
        </w:rPr>
      </w:pPr>
    </w:p>
    <w:p w14:paraId="38503A2E" w14:textId="77777777" w:rsidR="00FF7481" w:rsidRDefault="00FF7481" w:rsidP="00BB3BAB">
      <w:pPr>
        <w:spacing w:line="360" w:lineRule="auto"/>
        <w:rPr>
          <w:rFonts w:ascii="Arial" w:hAnsi="Arial" w:cs="Arial"/>
          <w:b/>
          <w:bCs/>
          <w:u w:val="single"/>
        </w:rPr>
      </w:pPr>
    </w:p>
    <w:p w14:paraId="1568D8E2" w14:textId="77777777" w:rsidR="00FF7481" w:rsidRDefault="00FF7481" w:rsidP="00BB3BAB">
      <w:pPr>
        <w:spacing w:line="360" w:lineRule="auto"/>
        <w:rPr>
          <w:rFonts w:ascii="Arial" w:hAnsi="Arial" w:cs="Arial"/>
          <w:b/>
          <w:bCs/>
          <w:u w:val="single"/>
        </w:rPr>
      </w:pPr>
    </w:p>
    <w:p w14:paraId="44CD33E2" w14:textId="77777777" w:rsidR="00FF7481" w:rsidRDefault="00FF7481" w:rsidP="00BB3BAB">
      <w:pPr>
        <w:spacing w:line="360" w:lineRule="auto"/>
        <w:rPr>
          <w:rFonts w:ascii="Arial" w:hAnsi="Arial" w:cs="Arial"/>
          <w:b/>
          <w:bCs/>
          <w:u w:val="single"/>
        </w:rPr>
      </w:pPr>
    </w:p>
    <w:p w14:paraId="7C7BE52F" w14:textId="77777777" w:rsidR="00FF7481" w:rsidRDefault="00FF7481" w:rsidP="00BB3BAB">
      <w:pPr>
        <w:spacing w:line="360" w:lineRule="auto"/>
        <w:rPr>
          <w:rFonts w:ascii="Arial" w:hAnsi="Arial" w:cs="Arial"/>
          <w:b/>
          <w:bCs/>
          <w:u w:val="single"/>
        </w:rPr>
      </w:pPr>
    </w:p>
    <w:p w14:paraId="79709786" w14:textId="77777777" w:rsidR="00FF7481" w:rsidRDefault="00FF7481" w:rsidP="00BB3BAB">
      <w:pPr>
        <w:spacing w:line="360" w:lineRule="auto"/>
        <w:rPr>
          <w:rFonts w:ascii="Arial" w:hAnsi="Arial" w:cs="Arial"/>
          <w:b/>
          <w:bCs/>
          <w:u w:val="single"/>
        </w:rPr>
      </w:pPr>
    </w:p>
    <w:p w14:paraId="7DC80867" w14:textId="77777777" w:rsidR="00FF7481" w:rsidRDefault="00FF7481" w:rsidP="00BB3BAB">
      <w:pPr>
        <w:spacing w:line="360" w:lineRule="auto"/>
        <w:rPr>
          <w:rFonts w:ascii="Arial" w:hAnsi="Arial" w:cs="Arial"/>
          <w:b/>
          <w:bCs/>
          <w:u w:val="single"/>
        </w:rPr>
      </w:pPr>
    </w:p>
    <w:p w14:paraId="16592FF5" w14:textId="77777777" w:rsidR="00FF7481" w:rsidRDefault="00FF7481" w:rsidP="00BB3BAB">
      <w:pPr>
        <w:spacing w:line="360" w:lineRule="auto"/>
        <w:rPr>
          <w:rFonts w:ascii="Arial" w:hAnsi="Arial" w:cs="Arial"/>
          <w:b/>
          <w:bCs/>
          <w:u w:val="single"/>
        </w:rPr>
      </w:pPr>
    </w:p>
    <w:p w14:paraId="48F48D6C" w14:textId="77777777" w:rsidR="00FF7481" w:rsidRDefault="00FF7481" w:rsidP="00BB3BAB">
      <w:pPr>
        <w:spacing w:line="360" w:lineRule="auto"/>
        <w:rPr>
          <w:rFonts w:ascii="Arial" w:hAnsi="Arial" w:cs="Arial"/>
          <w:b/>
          <w:bCs/>
          <w:u w:val="single"/>
        </w:rPr>
      </w:pPr>
    </w:p>
    <w:p w14:paraId="49D7328B" w14:textId="77777777" w:rsidR="00FF7481" w:rsidRDefault="00FF7481" w:rsidP="00BB3BAB">
      <w:pPr>
        <w:spacing w:line="360" w:lineRule="auto"/>
        <w:rPr>
          <w:rFonts w:ascii="Arial" w:hAnsi="Arial" w:cs="Arial"/>
          <w:b/>
          <w:bCs/>
          <w:u w:val="single"/>
        </w:rPr>
      </w:pPr>
    </w:p>
    <w:p w14:paraId="1BAE8813" w14:textId="77777777" w:rsidR="00FF7481" w:rsidRDefault="00FF7481" w:rsidP="00BB3BAB">
      <w:pPr>
        <w:spacing w:line="360" w:lineRule="auto"/>
        <w:rPr>
          <w:rFonts w:ascii="Arial" w:hAnsi="Arial" w:cs="Arial"/>
          <w:b/>
          <w:bCs/>
          <w:u w:val="single"/>
        </w:rPr>
      </w:pPr>
    </w:p>
    <w:p w14:paraId="501EDAB3" w14:textId="77777777" w:rsidR="00FF7481" w:rsidRDefault="00FF7481" w:rsidP="00BB3BAB">
      <w:pPr>
        <w:spacing w:line="360" w:lineRule="auto"/>
        <w:rPr>
          <w:rFonts w:ascii="Arial" w:hAnsi="Arial" w:cs="Arial"/>
          <w:b/>
          <w:bCs/>
          <w:u w:val="single"/>
        </w:rPr>
      </w:pPr>
    </w:p>
    <w:p w14:paraId="30C68245" w14:textId="77777777" w:rsidR="00FF7481" w:rsidRDefault="00FF7481" w:rsidP="00BB3BAB">
      <w:pPr>
        <w:spacing w:line="360" w:lineRule="auto"/>
        <w:rPr>
          <w:rFonts w:ascii="Arial" w:hAnsi="Arial" w:cs="Arial"/>
          <w:b/>
          <w:bCs/>
          <w:u w:val="single"/>
        </w:rPr>
      </w:pPr>
    </w:p>
    <w:p w14:paraId="3B2A9C9C" w14:textId="77777777" w:rsidR="00FF7481" w:rsidRDefault="00FF7481" w:rsidP="00BB3BAB">
      <w:pPr>
        <w:spacing w:line="360" w:lineRule="auto"/>
        <w:rPr>
          <w:rFonts w:ascii="Arial" w:hAnsi="Arial" w:cs="Arial"/>
          <w:b/>
          <w:bCs/>
          <w:u w:val="single"/>
        </w:rPr>
      </w:pPr>
    </w:p>
    <w:p w14:paraId="24B14AD5" w14:textId="77777777" w:rsidR="00FF7481" w:rsidRDefault="00FF7481" w:rsidP="00BB3BAB">
      <w:pPr>
        <w:spacing w:line="360" w:lineRule="auto"/>
        <w:rPr>
          <w:rFonts w:ascii="Arial" w:hAnsi="Arial" w:cs="Arial"/>
          <w:b/>
          <w:bCs/>
          <w:u w:val="single"/>
        </w:rPr>
      </w:pPr>
    </w:p>
    <w:p w14:paraId="080FE528" w14:textId="77777777" w:rsidR="00FF7481" w:rsidRDefault="00FF7481" w:rsidP="00BB3BAB">
      <w:pPr>
        <w:spacing w:line="360" w:lineRule="auto"/>
        <w:rPr>
          <w:rFonts w:ascii="Arial" w:hAnsi="Arial" w:cs="Arial"/>
          <w:b/>
          <w:bCs/>
          <w:u w:val="single"/>
        </w:rPr>
      </w:pPr>
    </w:p>
    <w:p w14:paraId="25423935" w14:textId="77777777" w:rsidR="00FF7481" w:rsidRDefault="00FF7481" w:rsidP="00BB3BAB">
      <w:pPr>
        <w:spacing w:line="360" w:lineRule="auto"/>
        <w:rPr>
          <w:rFonts w:ascii="Arial" w:hAnsi="Arial" w:cs="Arial"/>
          <w:b/>
          <w:bCs/>
          <w:u w:val="single"/>
        </w:rPr>
      </w:pPr>
    </w:p>
    <w:p w14:paraId="315B86D8" w14:textId="77777777" w:rsidR="00FF7481" w:rsidRDefault="00FF7481" w:rsidP="00BB3BAB">
      <w:pPr>
        <w:spacing w:line="360" w:lineRule="auto"/>
        <w:rPr>
          <w:rFonts w:ascii="Arial" w:hAnsi="Arial" w:cs="Arial"/>
          <w:b/>
          <w:bCs/>
          <w:u w:val="single"/>
        </w:rPr>
      </w:pPr>
    </w:p>
    <w:p w14:paraId="7B784F33" w14:textId="77777777" w:rsidR="00FF7481" w:rsidRDefault="00FF7481" w:rsidP="00BB3BAB">
      <w:pPr>
        <w:spacing w:line="360" w:lineRule="auto"/>
        <w:rPr>
          <w:rFonts w:ascii="Arial" w:hAnsi="Arial" w:cs="Arial"/>
          <w:b/>
          <w:bCs/>
          <w:u w:val="single"/>
        </w:rPr>
      </w:pPr>
    </w:p>
    <w:p w14:paraId="34904C4A" w14:textId="77777777" w:rsidR="00FF7481" w:rsidRDefault="00FF7481" w:rsidP="00BB3BAB">
      <w:pPr>
        <w:spacing w:line="360" w:lineRule="auto"/>
        <w:rPr>
          <w:rFonts w:ascii="Arial" w:hAnsi="Arial" w:cs="Arial"/>
          <w:b/>
          <w:bCs/>
          <w:u w:val="single"/>
        </w:rPr>
      </w:pPr>
    </w:p>
    <w:sdt>
      <w:sdtPr>
        <w:id w:val="1980653113"/>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4CEFA41F" w14:textId="21400D1F" w:rsidR="00FF7481" w:rsidRDefault="00FF7481">
          <w:pPr>
            <w:pStyle w:val="TOCHeading"/>
          </w:pPr>
          <w:r>
            <w:t>Contents</w:t>
          </w:r>
        </w:p>
        <w:p w14:paraId="3F99FC96" w14:textId="3A99F9D9" w:rsidR="00B64CD3" w:rsidRDefault="00FF7481">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3492228" w:history="1">
            <w:r w:rsidR="00B64CD3" w:rsidRPr="00F457D3">
              <w:rPr>
                <w:rStyle w:val="Hyperlink"/>
                <w:rFonts w:ascii="Arial" w:hAnsi="Arial" w:cs="Arial"/>
                <w:noProof/>
              </w:rPr>
              <w:t>Introduction</w:t>
            </w:r>
            <w:r w:rsidR="00B64CD3">
              <w:rPr>
                <w:noProof/>
                <w:webHidden/>
              </w:rPr>
              <w:tab/>
            </w:r>
            <w:r w:rsidR="00B64CD3">
              <w:rPr>
                <w:noProof/>
                <w:webHidden/>
              </w:rPr>
              <w:fldChar w:fldCharType="begin"/>
            </w:r>
            <w:r w:rsidR="00B64CD3">
              <w:rPr>
                <w:noProof/>
                <w:webHidden/>
              </w:rPr>
              <w:instrText xml:space="preserve"> PAGEREF _Toc233492228 \h </w:instrText>
            </w:r>
            <w:r w:rsidR="00B64CD3">
              <w:rPr>
                <w:noProof/>
                <w:webHidden/>
              </w:rPr>
            </w:r>
            <w:r w:rsidR="00B64CD3">
              <w:rPr>
                <w:noProof/>
                <w:webHidden/>
              </w:rPr>
              <w:fldChar w:fldCharType="separate"/>
            </w:r>
            <w:r w:rsidR="00B64CD3">
              <w:rPr>
                <w:noProof/>
                <w:webHidden/>
              </w:rPr>
              <w:t>3</w:t>
            </w:r>
            <w:r w:rsidR="00B64CD3">
              <w:rPr>
                <w:noProof/>
                <w:webHidden/>
              </w:rPr>
              <w:fldChar w:fldCharType="end"/>
            </w:r>
          </w:hyperlink>
        </w:p>
        <w:p w14:paraId="117BE654" w14:textId="2D2CC0B6" w:rsidR="00B64CD3" w:rsidRDefault="00B64CD3">
          <w:pPr>
            <w:pStyle w:val="TOC1"/>
            <w:tabs>
              <w:tab w:val="right" w:leader="dot" w:pos="9016"/>
            </w:tabs>
            <w:rPr>
              <w:rFonts w:eastAsiaTheme="minorEastAsia"/>
              <w:noProof/>
              <w:sz w:val="24"/>
              <w:szCs w:val="24"/>
              <w:lang w:eastAsia="en-GB"/>
            </w:rPr>
          </w:pPr>
          <w:hyperlink w:anchor="_Toc233492229" w:history="1">
            <w:r w:rsidRPr="00F457D3">
              <w:rPr>
                <w:rStyle w:val="Hyperlink"/>
                <w:rFonts w:ascii="Arial" w:hAnsi="Arial" w:cs="Arial"/>
                <w:noProof/>
              </w:rPr>
              <w:t>How Blood Sugar Levels Are Maintained at Safe Levels</w:t>
            </w:r>
            <w:r>
              <w:rPr>
                <w:noProof/>
                <w:webHidden/>
              </w:rPr>
              <w:tab/>
            </w:r>
            <w:r>
              <w:rPr>
                <w:noProof/>
                <w:webHidden/>
              </w:rPr>
              <w:fldChar w:fldCharType="begin"/>
            </w:r>
            <w:r>
              <w:rPr>
                <w:noProof/>
                <w:webHidden/>
              </w:rPr>
              <w:instrText xml:space="preserve"> PAGEREF _Toc233492229 \h </w:instrText>
            </w:r>
            <w:r>
              <w:rPr>
                <w:noProof/>
                <w:webHidden/>
              </w:rPr>
            </w:r>
            <w:r>
              <w:rPr>
                <w:noProof/>
                <w:webHidden/>
              </w:rPr>
              <w:fldChar w:fldCharType="separate"/>
            </w:r>
            <w:r>
              <w:rPr>
                <w:noProof/>
                <w:webHidden/>
              </w:rPr>
              <w:t>4</w:t>
            </w:r>
            <w:r>
              <w:rPr>
                <w:noProof/>
                <w:webHidden/>
              </w:rPr>
              <w:fldChar w:fldCharType="end"/>
            </w:r>
          </w:hyperlink>
        </w:p>
        <w:p w14:paraId="593FE434" w14:textId="2B19FB87" w:rsidR="00B64CD3" w:rsidRDefault="00B64CD3">
          <w:pPr>
            <w:pStyle w:val="TOC1"/>
            <w:tabs>
              <w:tab w:val="right" w:leader="dot" w:pos="9016"/>
            </w:tabs>
            <w:rPr>
              <w:rFonts w:eastAsiaTheme="minorEastAsia"/>
              <w:noProof/>
              <w:sz w:val="24"/>
              <w:szCs w:val="24"/>
              <w:lang w:eastAsia="en-GB"/>
            </w:rPr>
          </w:pPr>
          <w:hyperlink w:anchor="_Toc233492230" w:history="1">
            <w:r w:rsidRPr="00F457D3">
              <w:rPr>
                <w:rStyle w:val="Hyperlink"/>
                <w:rFonts w:ascii="Arial" w:hAnsi="Arial" w:cs="Arial"/>
                <w:noProof/>
              </w:rPr>
              <w:t>Benefits of Recording and Tracking Blood Sugar Levels in Type 2 Diabetes</w:t>
            </w:r>
            <w:r>
              <w:rPr>
                <w:noProof/>
                <w:webHidden/>
              </w:rPr>
              <w:tab/>
            </w:r>
            <w:r>
              <w:rPr>
                <w:noProof/>
                <w:webHidden/>
              </w:rPr>
              <w:fldChar w:fldCharType="begin"/>
            </w:r>
            <w:r>
              <w:rPr>
                <w:noProof/>
                <w:webHidden/>
              </w:rPr>
              <w:instrText xml:space="preserve"> PAGEREF _Toc233492230 \h </w:instrText>
            </w:r>
            <w:r>
              <w:rPr>
                <w:noProof/>
                <w:webHidden/>
              </w:rPr>
            </w:r>
            <w:r>
              <w:rPr>
                <w:noProof/>
                <w:webHidden/>
              </w:rPr>
              <w:fldChar w:fldCharType="separate"/>
            </w:r>
            <w:r>
              <w:rPr>
                <w:noProof/>
                <w:webHidden/>
              </w:rPr>
              <w:t>5</w:t>
            </w:r>
            <w:r>
              <w:rPr>
                <w:noProof/>
                <w:webHidden/>
              </w:rPr>
              <w:fldChar w:fldCharType="end"/>
            </w:r>
          </w:hyperlink>
        </w:p>
        <w:p w14:paraId="032287DF" w14:textId="2859185D" w:rsidR="00B64CD3" w:rsidRDefault="00B64CD3">
          <w:pPr>
            <w:pStyle w:val="TOC1"/>
            <w:tabs>
              <w:tab w:val="right" w:leader="dot" w:pos="9016"/>
            </w:tabs>
            <w:rPr>
              <w:rFonts w:eastAsiaTheme="minorEastAsia"/>
              <w:noProof/>
              <w:sz w:val="24"/>
              <w:szCs w:val="24"/>
              <w:lang w:eastAsia="en-GB"/>
            </w:rPr>
          </w:pPr>
          <w:hyperlink w:anchor="_Toc233492231" w:history="1">
            <w:r w:rsidRPr="00F457D3">
              <w:rPr>
                <w:rStyle w:val="Hyperlink"/>
                <w:rFonts w:ascii="Arial" w:hAnsi="Arial" w:cs="Arial"/>
                <w:noProof/>
              </w:rPr>
              <w:t>Monitoring and Data Use</w:t>
            </w:r>
            <w:r>
              <w:rPr>
                <w:noProof/>
                <w:webHidden/>
              </w:rPr>
              <w:tab/>
            </w:r>
            <w:r>
              <w:rPr>
                <w:noProof/>
                <w:webHidden/>
              </w:rPr>
              <w:fldChar w:fldCharType="begin"/>
            </w:r>
            <w:r>
              <w:rPr>
                <w:noProof/>
                <w:webHidden/>
              </w:rPr>
              <w:instrText xml:space="preserve"> PAGEREF _Toc233492231 \h </w:instrText>
            </w:r>
            <w:r>
              <w:rPr>
                <w:noProof/>
                <w:webHidden/>
              </w:rPr>
            </w:r>
            <w:r>
              <w:rPr>
                <w:noProof/>
                <w:webHidden/>
              </w:rPr>
              <w:fldChar w:fldCharType="separate"/>
            </w:r>
            <w:r>
              <w:rPr>
                <w:noProof/>
                <w:webHidden/>
              </w:rPr>
              <w:t>6</w:t>
            </w:r>
            <w:r>
              <w:rPr>
                <w:noProof/>
                <w:webHidden/>
              </w:rPr>
              <w:fldChar w:fldCharType="end"/>
            </w:r>
          </w:hyperlink>
        </w:p>
        <w:p w14:paraId="5EC3157B" w14:textId="48118370" w:rsidR="00B64CD3" w:rsidRDefault="00B64CD3">
          <w:pPr>
            <w:pStyle w:val="TOC1"/>
            <w:tabs>
              <w:tab w:val="right" w:leader="dot" w:pos="9016"/>
            </w:tabs>
            <w:rPr>
              <w:rFonts w:eastAsiaTheme="minorEastAsia"/>
              <w:noProof/>
              <w:sz w:val="24"/>
              <w:szCs w:val="24"/>
              <w:lang w:eastAsia="en-GB"/>
            </w:rPr>
          </w:pPr>
          <w:hyperlink w:anchor="_Toc233492232" w:history="1">
            <w:r w:rsidRPr="00F457D3">
              <w:rPr>
                <w:rStyle w:val="Hyperlink"/>
                <w:rFonts w:ascii="Arial" w:hAnsi="Arial" w:cs="Arial"/>
                <w:noProof/>
              </w:rPr>
              <w:t>Evidence-Based Lifestyle Recommendations</w:t>
            </w:r>
            <w:r>
              <w:rPr>
                <w:noProof/>
                <w:webHidden/>
              </w:rPr>
              <w:tab/>
            </w:r>
            <w:r>
              <w:rPr>
                <w:noProof/>
                <w:webHidden/>
              </w:rPr>
              <w:fldChar w:fldCharType="begin"/>
            </w:r>
            <w:r>
              <w:rPr>
                <w:noProof/>
                <w:webHidden/>
              </w:rPr>
              <w:instrText xml:space="preserve"> PAGEREF _Toc233492232 \h </w:instrText>
            </w:r>
            <w:r>
              <w:rPr>
                <w:noProof/>
                <w:webHidden/>
              </w:rPr>
            </w:r>
            <w:r>
              <w:rPr>
                <w:noProof/>
                <w:webHidden/>
              </w:rPr>
              <w:fldChar w:fldCharType="separate"/>
            </w:r>
            <w:r>
              <w:rPr>
                <w:noProof/>
                <w:webHidden/>
              </w:rPr>
              <w:t>7</w:t>
            </w:r>
            <w:r>
              <w:rPr>
                <w:noProof/>
                <w:webHidden/>
              </w:rPr>
              <w:fldChar w:fldCharType="end"/>
            </w:r>
          </w:hyperlink>
        </w:p>
        <w:p w14:paraId="7D1BF49C" w14:textId="1C1439F5" w:rsidR="00B64CD3" w:rsidRDefault="00B64CD3">
          <w:pPr>
            <w:pStyle w:val="TOC1"/>
            <w:tabs>
              <w:tab w:val="right" w:leader="dot" w:pos="9016"/>
            </w:tabs>
            <w:rPr>
              <w:rFonts w:eastAsiaTheme="minorEastAsia"/>
              <w:noProof/>
              <w:sz w:val="24"/>
              <w:szCs w:val="24"/>
              <w:lang w:eastAsia="en-GB"/>
            </w:rPr>
          </w:pPr>
          <w:hyperlink w:anchor="_Toc233492233" w:history="1">
            <w:r w:rsidRPr="00F457D3">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_Toc233492233 \h </w:instrText>
            </w:r>
            <w:r>
              <w:rPr>
                <w:noProof/>
                <w:webHidden/>
              </w:rPr>
            </w:r>
            <w:r>
              <w:rPr>
                <w:noProof/>
                <w:webHidden/>
              </w:rPr>
              <w:fldChar w:fldCharType="separate"/>
            </w:r>
            <w:r>
              <w:rPr>
                <w:noProof/>
                <w:webHidden/>
              </w:rPr>
              <w:t>8</w:t>
            </w:r>
            <w:r>
              <w:rPr>
                <w:noProof/>
                <w:webHidden/>
              </w:rPr>
              <w:fldChar w:fldCharType="end"/>
            </w:r>
          </w:hyperlink>
        </w:p>
        <w:p w14:paraId="34840F37" w14:textId="55E39F67" w:rsidR="00B64CD3" w:rsidRDefault="00B64CD3">
          <w:pPr>
            <w:pStyle w:val="TOC1"/>
            <w:tabs>
              <w:tab w:val="right" w:leader="dot" w:pos="9016"/>
            </w:tabs>
            <w:rPr>
              <w:rFonts w:eastAsiaTheme="minorEastAsia"/>
              <w:noProof/>
              <w:sz w:val="24"/>
              <w:szCs w:val="24"/>
              <w:lang w:eastAsia="en-GB"/>
            </w:rPr>
          </w:pPr>
          <w:hyperlink w:anchor="_Toc233492234" w:history="1">
            <w:r w:rsidRPr="00F457D3">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_Toc233492234 \h </w:instrText>
            </w:r>
            <w:r>
              <w:rPr>
                <w:noProof/>
                <w:webHidden/>
              </w:rPr>
            </w:r>
            <w:r>
              <w:rPr>
                <w:noProof/>
                <w:webHidden/>
              </w:rPr>
              <w:fldChar w:fldCharType="separate"/>
            </w:r>
            <w:r>
              <w:rPr>
                <w:noProof/>
                <w:webHidden/>
              </w:rPr>
              <w:t>10</w:t>
            </w:r>
            <w:r>
              <w:rPr>
                <w:noProof/>
                <w:webHidden/>
              </w:rPr>
              <w:fldChar w:fldCharType="end"/>
            </w:r>
          </w:hyperlink>
        </w:p>
        <w:p w14:paraId="207820BD" w14:textId="49488546" w:rsidR="00FF7481" w:rsidRDefault="00FF7481">
          <w:r>
            <w:rPr>
              <w:b/>
              <w:bCs/>
            </w:rPr>
            <w:fldChar w:fldCharType="end"/>
          </w:r>
        </w:p>
      </w:sdtContent>
    </w:sdt>
    <w:p w14:paraId="507073A2" w14:textId="77777777" w:rsidR="00FF7481" w:rsidRDefault="00FF7481" w:rsidP="00BB3BAB">
      <w:pPr>
        <w:spacing w:line="360" w:lineRule="auto"/>
        <w:rPr>
          <w:rFonts w:ascii="Arial" w:hAnsi="Arial" w:cs="Arial"/>
          <w:b/>
          <w:bCs/>
          <w:u w:val="single"/>
        </w:rPr>
      </w:pPr>
    </w:p>
    <w:p w14:paraId="761F1141" w14:textId="77777777" w:rsidR="00FF7481" w:rsidRDefault="00FF7481" w:rsidP="00BB3BAB">
      <w:pPr>
        <w:spacing w:line="360" w:lineRule="auto"/>
        <w:rPr>
          <w:rFonts w:ascii="Arial" w:hAnsi="Arial" w:cs="Arial"/>
          <w:b/>
          <w:bCs/>
          <w:u w:val="single"/>
        </w:rPr>
      </w:pPr>
    </w:p>
    <w:p w14:paraId="2B3DF5FD" w14:textId="77777777" w:rsidR="00FF7481" w:rsidRDefault="00FF7481" w:rsidP="00BB3BAB">
      <w:pPr>
        <w:spacing w:line="360" w:lineRule="auto"/>
        <w:rPr>
          <w:rFonts w:ascii="Arial" w:hAnsi="Arial" w:cs="Arial"/>
          <w:b/>
          <w:bCs/>
          <w:u w:val="single"/>
        </w:rPr>
      </w:pPr>
    </w:p>
    <w:p w14:paraId="7EBD11D4" w14:textId="77777777" w:rsidR="00FF7481" w:rsidRDefault="00FF7481" w:rsidP="00BB3BAB">
      <w:pPr>
        <w:spacing w:line="360" w:lineRule="auto"/>
        <w:rPr>
          <w:rFonts w:ascii="Arial" w:hAnsi="Arial" w:cs="Arial"/>
          <w:b/>
          <w:bCs/>
          <w:u w:val="single"/>
        </w:rPr>
      </w:pPr>
    </w:p>
    <w:p w14:paraId="65F81E34" w14:textId="77777777" w:rsidR="00FF7481" w:rsidRDefault="00FF7481" w:rsidP="00BB3BAB">
      <w:pPr>
        <w:spacing w:line="360" w:lineRule="auto"/>
        <w:rPr>
          <w:rFonts w:ascii="Arial" w:hAnsi="Arial" w:cs="Arial"/>
          <w:b/>
          <w:bCs/>
          <w:u w:val="single"/>
        </w:rPr>
      </w:pPr>
    </w:p>
    <w:p w14:paraId="26CCE1DE" w14:textId="77777777" w:rsidR="00FF7481" w:rsidRDefault="00FF7481" w:rsidP="00BB3BAB">
      <w:pPr>
        <w:spacing w:line="360" w:lineRule="auto"/>
        <w:rPr>
          <w:rFonts w:ascii="Arial" w:hAnsi="Arial" w:cs="Arial"/>
          <w:b/>
          <w:bCs/>
          <w:u w:val="single"/>
        </w:rPr>
      </w:pPr>
    </w:p>
    <w:p w14:paraId="6987F083" w14:textId="77777777" w:rsidR="00FF7481" w:rsidRDefault="00FF7481" w:rsidP="00BB3BAB">
      <w:pPr>
        <w:spacing w:line="360" w:lineRule="auto"/>
        <w:rPr>
          <w:rFonts w:ascii="Arial" w:hAnsi="Arial" w:cs="Arial"/>
          <w:b/>
          <w:bCs/>
          <w:u w:val="single"/>
        </w:rPr>
      </w:pPr>
    </w:p>
    <w:p w14:paraId="159DAD02" w14:textId="77777777" w:rsidR="00FF7481" w:rsidRDefault="00FF7481" w:rsidP="00BB3BAB">
      <w:pPr>
        <w:spacing w:line="360" w:lineRule="auto"/>
        <w:rPr>
          <w:rFonts w:ascii="Arial" w:hAnsi="Arial" w:cs="Arial"/>
          <w:b/>
          <w:bCs/>
          <w:u w:val="single"/>
        </w:rPr>
      </w:pPr>
    </w:p>
    <w:p w14:paraId="521CA882" w14:textId="77777777" w:rsidR="00FF7481" w:rsidRDefault="00FF7481" w:rsidP="00BB3BAB">
      <w:pPr>
        <w:spacing w:line="360" w:lineRule="auto"/>
        <w:rPr>
          <w:rFonts w:ascii="Arial" w:hAnsi="Arial" w:cs="Arial"/>
          <w:b/>
          <w:bCs/>
          <w:u w:val="single"/>
        </w:rPr>
      </w:pPr>
    </w:p>
    <w:p w14:paraId="3DA607CF" w14:textId="77777777" w:rsidR="00FF7481" w:rsidRDefault="00FF7481" w:rsidP="00BB3BAB">
      <w:pPr>
        <w:spacing w:line="360" w:lineRule="auto"/>
        <w:rPr>
          <w:rFonts w:ascii="Arial" w:hAnsi="Arial" w:cs="Arial"/>
          <w:b/>
          <w:bCs/>
          <w:u w:val="single"/>
        </w:rPr>
      </w:pPr>
    </w:p>
    <w:p w14:paraId="31CF8599" w14:textId="77777777" w:rsidR="00FF7481" w:rsidRDefault="00FF7481" w:rsidP="00BB3BAB">
      <w:pPr>
        <w:spacing w:line="360" w:lineRule="auto"/>
        <w:rPr>
          <w:rFonts w:ascii="Arial" w:hAnsi="Arial" w:cs="Arial"/>
          <w:b/>
          <w:bCs/>
          <w:u w:val="single"/>
        </w:rPr>
      </w:pPr>
    </w:p>
    <w:p w14:paraId="507C534A" w14:textId="77777777" w:rsidR="00FF7481" w:rsidRDefault="00FF7481" w:rsidP="00BB3BAB">
      <w:pPr>
        <w:spacing w:line="360" w:lineRule="auto"/>
        <w:rPr>
          <w:rFonts w:ascii="Arial" w:hAnsi="Arial" w:cs="Arial"/>
          <w:b/>
          <w:bCs/>
          <w:u w:val="single"/>
        </w:rPr>
      </w:pPr>
    </w:p>
    <w:p w14:paraId="67CF37CF" w14:textId="77777777" w:rsidR="00FF7481" w:rsidRDefault="00FF7481" w:rsidP="00BB3BAB">
      <w:pPr>
        <w:spacing w:line="360" w:lineRule="auto"/>
        <w:rPr>
          <w:rFonts w:ascii="Arial" w:hAnsi="Arial" w:cs="Arial"/>
          <w:b/>
          <w:bCs/>
          <w:u w:val="single"/>
        </w:rPr>
      </w:pPr>
    </w:p>
    <w:p w14:paraId="0442D95A" w14:textId="77777777" w:rsidR="00FF7481" w:rsidRDefault="00FF7481" w:rsidP="00BB3BAB">
      <w:pPr>
        <w:spacing w:line="360" w:lineRule="auto"/>
        <w:rPr>
          <w:rFonts w:ascii="Arial" w:hAnsi="Arial" w:cs="Arial"/>
          <w:b/>
          <w:bCs/>
          <w:u w:val="single"/>
        </w:rPr>
      </w:pPr>
    </w:p>
    <w:p w14:paraId="7EA96BFE" w14:textId="77777777" w:rsidR="00FF7481" w:rsidRDefault="00FF7481" w:rsidP="00BB3BAB">
      <w:pPr>
        <w:spacing w:line="360" w:lineRule="auto"/>
        <w:rPr>
          <w:rFonts w:ascii="Arial" w:hAnsi="Arial" w:cs="Arial"/>
          <w:b/>
          <w:bCs/>
          <w:u w:val="single"/>
        </w:rPr>
      </w:pPr>
    </w:p>
    <w:p w14:paraId="6EC76D68" w14:textId="77777777" w:rsidR="00FF7481" w:rsidRDefault="00FF7481" w:rsidP="00BB3BAB">
      <w:pPr>
        <w:spacing w:line="360" w:lineRule="auto"/>
        <w:rPr>
          <w:rFonts w:ascii="Arial" w:hAnsi="Arial" w:cs="Arial"/>
          <w:b/>
          <w:bCs/>
          <w:u w:val="single"/>
        </w:rPr>
      </w:pPr>
    </w:p>
    <w:p w14:paraId="393F480F" w14:textId="77777777" w:rsidR="00FF7481" w:rsidRDefault="00FF7481" w:rsidP="00BB3BAB">
      <w:pPr>
        <w:spacing w:line="360" w:lineRule="auto"/>
        <w:rPr>
          <w:rFonts w:ascii="Arial" w:hAnsi="Arial" w:cs="Arial"/>
          <w:b/>
          <w:bCs/>
          <w:u w:val="single"/>
        </w:rPr>
      </w:pPr>
    </w:p>
    <w:p w14:paraId="0FD1092E" w14:textId="77777777" w:rsidR="00FF7481" w:rsidRDefault="00FF7481" w:rsidP="00BB3BAB">
      <w:pPr>
        <w:spacing w:line="360" w:lineRule="auto"/>
        <w:rPr>
          <w:rFonts w:ascii="Arial" w:hAnsi="Arial" w:cs="Arial"/>
          <w:b/>
          <w:bCs/>
          <w:u w:val="single"/>
        </w:rPr>
      </w:pPr>
    </w:p>
    <w:p w14:paraId="4F2CE6EA" w14:textId="047F67A3" w:rsidR="00155208" w:rsidRPr="00BB3BAB" w:rsidRDefault="00EC45AC" w:rsidP="00BB3BAB">
      <w:pPr>
        <w:pStyle w:val="Heading1"/>
        <w:rPr>
          <w:rFonts w:ascii="Arial" w:hAnsi="Arial" w:cs="Arial"/>
          <w:sz w:val="22"/>
          <w:szCs w:val="22"/>
        </w:rPr>
      </w:pPr>
      <w:bookmarkStart w:id="0" w:name="_Toc233492228"/>
      <w:r w:rsidRPr="00BB3BAB">
        <w:rPr>
          <w:rFonts w:ascii="Arial" w:hAnsi="Arial" w:cs="Arial"/>
          <w:sz w:val="22"/>
          <w:szCs w:val="22"/>
        </w:rPr>
        <w:t>Introduction</w:t>
      </w:r>
      <w:bookmarkEnd w:id="0"/>
      <w:r w:rsidR="002D60B0" w:rsidRPr="00BB3BAB">
        <w:rPr>
          <w:rFonts w:ascii="Arial" w:hAnsi="Arial" w:cs="Arial"/>
          <w:sz w:val="22"/>
          <w:szCs w:val="22"/>
        </w:rPr>
        <w:t xml:space="preserve"> </w:t>
      </w:r>
    </w:p>
    <w:p w14:paraId="45B791BC" w14:textId="56AAF20C" w:rsidR="001B5813" w:rsidRPr="00BB3BAB" w:rsidRDefault="00EC45AC" w:rsidP="00BB3BAB">
      <w:pPr>
        <w:spacing w:line="360" w:lineRule="auto"/>
        <w:rPr>
          <w:rFonts w:ascii="Arial" w:hAnsi="Arial" w:cs="Arial"/>
        </w:rPr>
      </w:pPr>
      <w:r w:rsidRPr="00EC45AC">
        <w:br/>
      </w:r>
      <w:r w:rsidRPr="00BB3BAB">
        <w:rPr>
          <w:rFonts w:ascii="Arial" w:hAnsi="Arial" w:cs="Arial"/>
        </w:rPr>
        <w:t xml:space="preserve">Diabetes mellitus is a chronic metabolic disorder characterised by </w:t>
      </w:r>
      <w:r w:rsidR="001B5813" w:rsidRPr="00BB3BAB">
        <w:rPr>
          <w:rFonts w:ascii="Arial" w:hAnsi="Arial" w:cs="Arial"/>
        </w:rPr>
        <w:t xml:space="preserve">increased blood glucose levels </w:t>
      </w:r>
      <w:r w:rsidRPr="00BB3BAB">
        <w:rPr>
          <w:rFonts w:ascii="Arial" w:hAnsi="Arial" w:cs="Arial"/>
        </w:rPr>
        <w:t xml:space="preserve">resulting from defects in insulin secretion, insulin action, or both (NICE, 2015, updated 2026). </w:t>
      </w:r>
    </w:p>
    <w:p w14:paraId="310F634A" w14:textId="77777777" w:rsidR="001D25A2" w:rsidRDefault="001B5813" w:rsidP="00BB3BAB">
      <w:pPr>
        <w:spacing w:line="360" w:lineRule="auto"/>
      </w:pPr>
      <w:r w:rsidRPr="00BB3BAB">
        <w:rPr>
          <w:rFonts w:ascii="Arial" w:hAnsi="Arial" w:cs="Arial"/>
        </w:rPr>
        <w:t xml:space="preserve">The two main types are Type 1 diabetes, an autoimmune condition leading to destruction of pancreatic cells and insulin deficiency and Type 2 Diabetes which accounts for 90-95% of cases and </w:t>
      </w:r>
      <w:r w:rsidR="00EC45AC" w:rsidRPr="00BB3BAB">
        <w:rPr>
          <w:rFonts w:ascii="Arial" w:hAnsi="Arial" w:cs="Arial"/>
        </w:rPr>
        <w:t>involves insulin resistance and progressive beta-cell dysfunction, leading to inadequate insulin production to overcome resistance (American Diabetes Association, 2026; WHO, 2024). </w:t>
      </w:r>
      <w:hyperlink r:id="rId7" w:tgtFrame="_blank" w:tooltip="Original URL: http://diabetesjournals.org/. Click or tap if you trust this link." w:history="1">
        <w:r w:rsidR="00EC45AC" w:rsidRPr="00BB3BAB">
          <w:rPr>
            <w:rStyle w:val="Hyperlink"/>
            <w:rFonts w:ascii="Arial" w:hAnsi="Arial" w:cs="Arial"/>
          </w:rPr>
          <w:t>diabetesjournals.org</w:t>
        </w:r>
      </w:hyperlink>
      <w:r w:rsidR="00EC45AC" w:rsidRPr="00BB3BAB">
        <w:rPr>
          <w:rFonts w:ascii="Arial" w:hAnsi="Arial" w:cs="Arial"/>
        </w:rPr>
        <w:t> </w:t>
      </w:r>
      <w:hyperlink r:id="rId8" w:tgtFrame="_blank" w:tooltip="Original URL: http://who.int/. Click or tap if you trust this link." w:history="1">
        <w:r w:rsidR="00EC45AC" w:rsidRPr="00BB3BAB">
          <w:rPr>
            <w:rStyle w:val="Hyperlink"/>
            <w:rFonts w:ascii="Arial" w:hAnsi="Arial" w:cs="Arial"/>
          </w:rPr>
          <w:t>who.int</w:t>
        </w:r>
      </w:hyperlink>
    </w:p>
    <w:p w14:paraId="145AF4DB" w14:textId="4454EC90" w:rsidR="001B5813" w:rsidRPr="001D25A2" w:rsidRDefault="00EC45AC" w:rsidP="00BB3BAB">
      <w:pPr>
        <w:spacing w:line="360" w:lineRule="auto"/>
      </w:pPr>
      <w:r w:rsidRPr="00BB3BAB">
        <w:rPr>
          <w:rFonts w:ascii="Arial" w:hAnsi="Arial" w:cs="Arial"/>
        </w:rPr>
        <w:t>In T2D, cells become less responsive to insulin, impa</w:t>
      </w:r>
      <w:r w:rsidR="005930B1" w:rsidRPr="00BB3BAB">
        <w:rPr>
          <w:rFonts w:ascii="Arial" w:hAnsi="Arial" w:cs="Arial"/>
        </w:rPr>
        <w:t>cting</w:t>
      </w:r>
      <w:r w:rsidRPr="00BB3BAB">
        <w:rPr>
          <w:rFonts w:ascii="Arial" w:hAnsi="Arial" w:cs="Arial"/>
        </w:rPr>
        <w:t xml:space="preserve"> glucose uptake into tissues. Over time, the pancreas cannot compensate sufficiently, </w:t>
      </w:r>
      <w:r w:rsidR="005930B1" w:rsidRPr="00BB3BAB">
        <w:rPr>
          <w:rFonts w:ascii="Arial" w:hAnsi="Arial" w:cs="Arial"/>
        </w:rPr>
        <w:t>which results</w:t>
      </w:r>
      <w:r w:rsidRPr="00BB3BAB">
        <w:rPr>
          <w:rFonts w:ascii="Arial" w:hAnsi="Arial" w:cs="Arial"/>
        </w:rPr>
        <w:t xml:space="preserve"> in elevated blood glucose levels. </w:t>
      </w:r>
      <w:r w:rsidR="001B5813" w:rsidRPr="00BB3BAB">
        <w:rPr>
          <w:rFonts w:ascii="Arial" w:hAnsi="Arial" w:cs="Arial"/>
        </w:rPr>
        <w:t xml:space="preserve">If uncontrolled this can </w:t>
      </w:r>
      <w:r w:rsidRPr="00BB3BAB">
        <w:rPr>
          <w:rFonts w:ascii="Arial" w:hAnsi="Arial" w:cs="Arial"/>
        </w:rPr>
        <w:t>lead to microvascular complications (retinopathy, nephropathy, neuropathy) and macrovascular disease (cardiovascular disease, stroke) (NICE, 2015, updated 2026). </w:t>
      </w:r>
      <w:r w:rsidR="001D25A2" w:rsidRPr="001D25A2">
        <w:t xml:space="preserve"> </w:t>
      </w:r>
    </w:p>
    <w:p w14:paraId="3A246C72" w14:textId="7E53710E" w:rsidR="001B5813" w:rsidRPr="00BB3BAB" w:rsidRDefault="005930B1" w:rsidP="00BB3BAB">
      <w:pPr>
        <w:spacing w:line="360" w:lineRule="auto"/>
        <w:rPr>
          <w:rFonts w:ascii="Arial" w:hAnsi="Arial" w:cs="Arial"/>
        </w:rPr>
      </w:pPr>
      <w:r w:rsidRPr="00BB3BAB">
        <w:rPr>
          <w:rFonts w:ascii="Arial" w:hAnsi="Arial" w:cs="Arial"/>
        </w:rPr>
        <w:t>The m</w:t>
      </w:r>
      <w:r w:rsidR="001B5813" w:rsidRPr="00BB3BAB">
        <w:rPr>
          <w:rFonts w:ascii="Arial" w:hAnsi="Arial" w:cs="Arial"/>
        </w:rPr>
        <w:t>a</w:t>
      </w:r>
      <w:r w:rsidRPr="00BB3BAB">
        <w:rPr>
          <w:rFonts w:ascii="Arial" w:hAnsi="Arial" w:cs="Arial"/>
        </w:rPr>
        <w:t xml:space="preserve">in </w:t>
      </w:r>
      <w:r w:rsidR="00EC45AC" w:rsidRPr="00BB3BAB">
        <w:rPr>
          <w:rFonts w:ascii="Arial" w:hAnsi="Arial" w:cs="Arial"/>
        </w:rPr>
        <w:t xml:space="preserve">Risk factors for T2D include modifiable </w:t>
      </w:r>
      <w:r w:rsidRPr="00BB3BAB">
        <w:rPr>
          <w:rFonts w:ascii="Arial" w:hAnsi="Arial" w:cs="Arial"/>
        </w:rPr>
        <w:t xml:space="preserve">and non-modifiable </w:t>
      </w:r>
      <w:r w:rsidR="00EC45AC" w:rsidRPr="00BB3BAB">
        <w:rPr>
          <w:rFonts w:ascii="Arial" w:hAnsi="Arial" w:cs="Arial"/>
        </w:rPr>
        <w:t>factors</w:t>
      </w:r>
      <w:r w:rsidRPr="00BB3BAB">
        <w:rPr>
          <w:rFonts w:ascii="Arial" w:hAnsi="Arial" w:cs="Arial"/>
        </w:rPr>
        <w:t xml:space="preserve">. Modifiable factors </w:t>
      </w:r>
      <w:r w:rsidR="002D60B0" w:rsidRPr="00BB3BAB">
        <w:rPr>
          <w:rFonts w:ascii="Arial" w:hAnsi="Arial" w:cs="Arial"/>
        </w:rPr>
        <w:t>are being</w:t>
      </w:r>
      <w:r w:rsidR="00EC45AC" w:rsidRPr="00BB3BAB">
        <w:rPr>
          <w:rFonts w:ascii="Arial" w:hAnsi="Arial" w:cs="Arial"/>
        </w:rPr>
        <w:t xml:space="preserve"> overweight/obes</w:t>
      </w:r>
      <w:r w:rsidR="002D60B0" w:rsidRPr="00BB3BAB">
        <w:rPr>
          <w:rFonts w:ascii="Arial" w:hAnsi="Arial" w:cs="Arial"/>
        </w:rPr>
        <w:t>e</w:t>
      </w:r>
      <w:r w:rsidR="00EC45AC" w:rsidRPr="00BB3BAB">
        <w:rPr>
          <w:rFonts w:ascii="Arial" w:hAnsi="Arial" w:cs="Arial"/>
        </w:rPr>
        <w:t>, physical inactivity, unhealthy diet high in processed foods and sugars, and smoking. Non-modifiable factors include increasing age (over 45), family history, ethnicity (higher risk in South Asian, African, and African-Caribbean populations), and history of gestational diabetes or prediabetes (NICE CKS, 2024; WHO, 2024; CDC, 2024).</w:t>
      </w:r>
      <w:r w:rsidR="001D25A2" w:rsidRPr="00BB3BAB">
        <w:rPr>
          <w:rFonts w:ascii="Arial" w:hAnsi="Arial" w:cs="Arial"/>
        </w:rPr>
        <w:t xml:space="preserve"> </w:t>
      </w:r>
    </w:p>
    <w:p w14:paraId="312121F1" w14:textId="3307CD8A" w:rsidR="00FF7481" w:rsidRDefault="00EC45AC" w:rsidP="001D25A2">
      <w:pPr>
        <w:spacing w:line="360" w:lineRule="auto"/>
        <w:rPr>
          <w:rFonts w:ascii="Arial" w:hAnsi="Arial" w:cs="Arial"/>
        </w:rPr>
      </w:pPr>
      <w:r w:rsidRPr="00BB3BAB">
        <w:rPr>
          <w:rFonts w:ascii="Arial" w:hAnsi="Arial" w:cs="Arial"/>
        </w:rPr>
        <w:t>As a practice nurse, patient education is vital to improve understanding of the condition and promote engagement with self-management strategies.</w:t>
      </w:r>
      <w:r w:rsidR="00434C44" w:rsidRPr="00BB3BAB">
        <w:rPr>
          <w:rFonts w:ascii="Arial" w:hAnsi="Arial" w:cs="Arial"/>
        </w:rPr>
        <w:t xml:space="preserve"> Many patients in GP practices lack sufficient understanding of their condition and how daily choices affect sugar level control.</w:t>
      </w:r>
    </w:p>
    <w:p w14:paraId="5ED94D31" w14:textId="77777777" w:rsidR="001D25A2" w:rsidRDefault="001D25A2" w:rsidP="001D25A2">
      <w:pPr>
        <w:spacing w:line="360" w:lineRule="auto"/>
        <w:rPr>
          <w:rFonts w:ascii="Arial" w:hAnsi="Arial" w:cs="Arial"/>
        </w:rPr>
      </w:pPr>
    </w:p>
    <w:p w14:paraId="712AFBA1" w14:textId="77777777" w:rsidR="00B64CD3" w:rsidRDefault="00B64CD3" w:rsidP="001D25A2">
      <w:pPr>
        <w:spacing w:line="360" w:lineRule="auto"/>
        <w:rPr>
          <w:rFonts w:ascii="Arial" w:hAnsi="Arial" w:cs="Arial"/>
        </w:rPr>
      </w:pPr>
    </w:p>
    <w:p w14:paraId="548C1565" w14:textId="77777777" w:rsidR="00B64CD3" w:rsidRDefault="00B64CD3" w:rsidP="001D25A2">
      <w:pPr>
        <w:spacing w:line="360" w:lineRule="auto"/>
        <w:rPr>
          <w:rFonts w:ascii="Arial" w:hAnsi="Arial" w:cs="Arial"/>
        </w:rPr>
      </w:pPr>
    </w:p>
    <w:p w14:paraId="52FE9707" w14:textId="2F998F74" w:rsidR="00434C44" w:rsidRPr="00BB3BAB" w:rsidRDefault="00EC45AC" w:rsidP="00BB3BAB">
      <w:pPr>
        <w:pStyle w:val="Heading1"/>
        <w:spacing w:line="360" w:lineRule="auto"/>
        <w:rPr>
          <w:rFonts w:ascii="Arial" w:hAnsi="Arial" w:cs="Arial"/>
          <w:sz w:val="22"/>
          <w:szCs w:val="22"/>
        </w:rPr>
      </w:pPr>
      <w:bookmarkStart w:id="1" w:name="_Toc233492229"/>
      <w:r w:rsidRPr="00BB3BAB">
        <w:rPr>
          <w:rFonts w:ascii="Arial" w:hAnsi="Arial" w:cs="Arial"/>
          <w:sz w:val="22"/>
          <w:szCs w:val="22"/>
        </w:rPr>
        <w:lastRenderedPageBreak/>
        <w:t>How Blood Sugar Levels Are Maintained at Safe Levels</w:t>
      </w:r>
      <w:bookmarkEnd w:id="1"/>
    </w:p>
    <w:p w14:paraId="31DF0FC4" w14:textId="5EE7D37E" w:rsidR="001D25A2" w:rsidRDefault="00EC45AC" w:rsidP="00BB3BAB">
      <w:pPr>
        <w:spacing w:line="360" w:lineRule="auto"/>
        <w:rPr>
          <w:rFonts w:ascii="Arial" w:hAnsi="Arial" w:cs="Arial"/>
        </w:rPr>
      </w:pPr>
      <w:r w:rsidRPr="00BB3BAB">
        <w:rPr>
          <w:rFonts w:ascii="Arial" w:hAnsi="Arial" w:cs="Arial"/>
        </w:rPr>
        <w:t>Blood glucose is normally maintained between approximately 4–7 mmol/L fasting</w:t>
      </w:r>
      <w:r w:rsidR="007316B4" w:rsidRPr="00BB3BAB">
        <w:rPr>
          <w:rFonts w:ascii="Arial" w:hAnsi="Arial" w:cs="Arial"/>
        </w:rPr>
        <w:t xml:space="preserve"> and under 8.5-10 mmol/L postprandially in non-diabetic individuals</w:t>
      </w:r>
      <w:r w:rsidRPr="00BB3BAB">
        <w:rPr>
          <w:rFonts w:ascii="Arial" w:hAnsi="Arial" w:cs="Arial"/>
        </w:rPr>
        <w:t xml:space="preserve"> through hormonal regulation, primarily involving the pancreas (Röder et al., 2016). </w:t>
      </w:r>
      <w:r w:rsidR="001D25A2">
        <w:rPr>
          <w:rFonts w:ascii="Arial" w:hAnsi="Arial" w:cs="Arial"/>
        </w:rPr>
        <w:t xml:space="preserve"> </w:t>
      </w:r>
    </w:p>
    <w:p w14:paraId="6E1C6796" w14:textId="37BACA28" w:rsidR="007316B4" w:rsidRPr="00BB3BAB" w:rsidRDefault="007316B4" w:rsidP="00BB3BAB">
      <w:pPr>
        <w:spacing w:line="360" w:lineRule="auto"/>
        <w:rPr>
          <w:rFonts w:ascii="Arial" w:hAnsi="Arial" w:cs="Arial"/>
        </w:rPr>
      </w:pPr>
      <w:r w:rsidRPr="00BB3BAB">
        <w:rPr>
          <w:rFonts w:ascii="Arial" w:hAnsi="Arial" w:cs="Arial"/>
        </w:rPr>
        <w:t>After a meal,</w:t>
      </w:r>
      <w:r w:rsidR="00EC45AC" w:rsidRPr="00BB3BAB">
        <w:rPr>
          <w:rFonts w:ascii="Arial" w:hAnsi="Arial" w:cs="Arial"/>
        </w:rPr>
        <w:t xml:space="preserve"> </w:t>
      </w:r>
      <w:r w:rsidR="00FF1736" w:rsidRPr="00BB3BAB">
        <w:rPr>
          <w:rFonts w:ascii="Arial" w:hAnsi="Arial" w:cs="Arial"/>
        </w:rPr>
        <w:t>rising</w:t>
      </w:r>
      <w:r w:rsidR="00EC45AC" w:rsidRPr="00BB3BAB">
        <w:rPr>
          <w:rFonts w:ascii="Arial" w:hAnsi="Arial" w:cs="Arial"/>
        </w:rPr>
        <w:t xml:space="preserve"> blood glucose stimulates pancreatic beta cells in the islets of Langerhans to secrete insulin. Insulin facilitates glucose uptake via GLUT4 transporters in muscle and adipose tissue, promotes glycogenesis in the liver and muscle, and inhibits gluconeogenesis and glycogenolysis, thereby lowering blood glucose (Medical News Today, 2022).</w:t>
      </w:r>
      <w:r w:rsidR="001D25A2" w:rsidRPr="00BB3BAB">
        <w:rPr>
          <w:rFonts w:ascii="Arial" w:hAnsi="Arial" w:cs="Arial"/>
        </w:rPr>
        <w:t xml:space="preserve"> </w:t>
      </w:r>
    </w:p>
    <w:p w14:paraId="6EE36734" w14:textId="459D7FC8" w:rsidR="007316B4" w:rsidRPr="00BB3BAB" w:rsidRDefault="00EC45AC" w:rsidP="00BB3BAB">
      <w:pPr>
        <w:spacing w:line="360" w:lineRule="auto"/>
        <w:rPr>
          <w:rFonts w:ascii="Arial" w:hAnsi="Arial" w:cs="Arial"/>
        </w:rPr>
      </w:pPr>
      <w:r w:rsidRPr="00BB3BAB">
        <w:rPr>
          <w:rFonts w:ascii="Arial" w:hAnsi="Arial" w:cs="Arial"/>
        </w:rPr>
        <w:br/>
        <w:t>Conversely, when blood glucose falls (e.g., during fasting or exercise), alpha cells release glucagon, which stimulates hepatic glycogenolysis and gluconeogenesis to</w:t>
      </w:r>
      <w:r w:rsidR="007316B4" w:rsidRPr="00BB3BAB">
        <w:rPr>
          <w:rFonts w:ascii="Arial" w:hAnsi="Arial" w:cs="Arial"/>
        </w:rPr>
        <w:t xml:space="preserve"> the liver</w:t>
      </w:r>
      <w:r w:rsidRPr="00BB3BAB">
        <w:rPr>
          <w:rFonts w:ascii="Arial" w:hAnsi="Arial" w:cs="Arial"/>
        </w:rPr>
        <w:t xml:space="preserve"> rais</w:t>
      </w:r>
      <w:r w:rsidR="007316B4" w:rsidRPr="00BB3BAB">
        <w:rPr>
          <w:rFonts w:ascii="Arial" w:hAnsi="Arial" w:cs="Arial"/>
        </w:rPr>
        <w:t>ing</w:t>
      </w:r>
      <w:r w:rsidRPr="00BB3BAB">
        <w:rPr>
          <w:rFonts w:ascii="Arial" w:hAnsi="Arial" w:cs="Arial"/>
        </w:rPr>
        <w:t xml:space="preserve"> blood glucose. This negative feedback loop, involving insulin and glucagon, maintains homeostasis. In T2D, insulin resistance and impaired beta-cell function disrupt this balance, causing hyperglycaemia (Röder et al., 2016).</w:t>
      </w:r>
      <w:r w:rsidR="001D25A2" w:rsidRPr="00BB3BAB">
        <w:rPr>
          <w:rFonts w:ascii="Arial" w:hAnsi="Arial" w:cs="Arial"/>
        </w:rPr>
        <w:t xml:space="preserve"> </w:t>
      </w:r>
    </w:p>
    <w:p w14:paraId="20B48D1A" w14:textId="77777777" w:rsidR="007316B4" w:rsidRPr="00BB3BAB" w:rsidRDefault="007316B4" w:rsidP="00BB3BAB">
      <w:pPr>
        <w:spacing w:line="360" w:lineRule="auto"/>
        <w:rPr>
          <w:rFonts w:ascii="Arial" w:hAnsi="Arial" w:cs="Arial"/>
        </w:rPr>
      </w:pPr>
      <w:r w:rsidRPr="00BB3BAB">
        <w:rPr>
          <w:rFonts w:ascii="Arial" w:hAnsi="Arial" w:cs="Arial"/>
        </w:rPr>
        <w:t>Effective management requires patients to understand this balance so they can align lifestyle with psychological needs.</w:t>
      </w:r>
    </w:p>
    <w:p w14:paraId="44CD1DD1" w14:textId="463BEEFA" w:rsidR="00FF1736" w:rsidRPr="00BB3BAB" w:rsidRDefault="00EC45AC" w:rsidP="00BB3BAB">
      <w:pPr>
        <w:spacing w:line="360" w:lineRule="auto"/>
        <w:rPr>
          <w:rFonts w:ascii="Arial" w:hAnsi="Arial" w:cs="Arial"/>
        </w:rPr>
      </w:pPr>
      <w:r w:rsidRPr="00BB3BAB">
        <w:rPr>
          <w:rFonts w:ascii="Arial" w:hAnsi="Arial" w:cs="Arial"/>
        </w:rPr>
        <w:t xml:space="preserve">Glucose and oxygen are used in aerobic cellular respiration to produce adenosine triphosphate (ATP), the cell’s energy currency. </w:t>
      </w:r>
    </w:p>
    <w:p w14:paraId="1FBBECFD" w14:textId="77777777" w:rsidR="00FF1736" w:rsidRPr="00BB3BAB" w:rsidRDefault="00EC45AC" w:rsidP="00BB3BAB">
      <w:pPr>
        <w:spacing w:line="360" w:lineRule="auto"/>
        <w:rPr>
          <w:rFonts w:ascii="Arial" w:hAnsi="Arial" w:cs="Arial"/>
        </w:rPr>
      </w:pPr>
      <w:r w:rsidRPr="00BB3BAB">
        <w:rPr>
          <w:rFonts w:ascii="Arial" w:hAnsi="Arial" w:cs="Arial"/>
        </w:rPr>
        <w:t>The overall reaction is:</w:t>
      </w:r>
      <w:r w:rsidRPr="00BB3BAB">
        <w:rPr>
          <w:rFonts w:ascii="Arial" w:hAnsi="Arial" w:cs="Arial"/>
        </w:rPr>
        <w:br/>
        <w:t>C</w:t>
      </w:r>
      <w:r w:rsidRPr="00BB3BAB">
        <w:rPr>
          <w:rFonts w:ascii="Cambria Math" w:hAnsi="Cambria Math" w:cs="Cambria Math"/>
        </w:rPr>
        <w:t>₆</w:t>
      </w:r>
      <w:r w:rsidRPr="00BB3BAB">
        <w:rPr>
          <w:rFonts w:ascii="Arial" w:hAnsi="Arial" w:cs="Arial"/>
        </w:rPr>
        <w:t>H</w:t>
      </w:r>
      <w:r w:rsidRPr="00BB3BAB">
        <w:rPr>
          <w:rFonts w:ascii="Cambria Math" w:hAnsi="Cambria Math" w:cs="Cambria Math"/>
        </w:rPr>
        <w:t>₁₂</w:t>
      </w:r>
      <w:r w:rsidRPr="00BB3BAB">
        <w:rPr>
          <w:rFonts w:ascii="Arial" w:hAnsi="Arial" w:cs="Arial"/>
        </w:rPr>
        <w:t>O</w:t>
      </w:r>
      <w:r w:rsidRPr="00BB3BAB">
        <w:rPr>
          <w:rFonts w:ascii="Cambria Math" w:hAnsi="Cambria Math" w:cs="Cambria Math"/>
        </w:rPr>
        <w:t>₆</w:t>
      </w:r>
      <w:r w:rsidRPr="00BB3BAB">
        <w:rPr>
          <w:rFonts w:ascii="Arial" w:hAnsi="Arial" w:cs="Arial"/>
        </w:rPr>
        <w:t xml:space="preserve"> + 6O</w:t>
      </w:r>
      <w:r w:rsidRPr="00BB3BAB">
        <w:rPr>
          <w:rFonts w:ascii="Cambria Math" w:hAnsi="Cambria Math" w:cs="Cambria Math"/>
        </w:rPr>
        <w:t>₂</w:t>
      </w:r>
      <w:r w:rsidRPr="00BB3BAB">
        <w:rPr>
          <w:rFonts w:ascii="Arial" w:hAnsi="Arial" w:cs="Arial"/>
        </w:rPr>
        <w:t xml:space="preserve"> → 6CO</w:t>
      </w:r>
      <w:r w:rsidRPr="00BB3BAB">
        <w:rPr>
          <w:rFonts w:ascii="Cambria Math" w:hAnsi="Cambria Math" w:cs="Cambria Math"/>
        </w:rPr>
        <w:t>₂</w:t>
      </w:r>
      <w:r w:rsidRPr="00BB3BAB">
        <w:rPr>
          <w:rFonts w:ascii="Arial" w:hAnsi="Arial" w:cs="Arial"/>
        </w:rPr>
        <w:t xml:space="preserve"> + 6H</w:t>
      </w:r>
      <w:r w:rsidRPr="00BB3BAB">
        <w:rPr>
          <w:rFonts w:ascii="Cambria Math" w:hAnsi="Cambria Math" w:cs="Cambria Math"/>
        </w:rPr>
        <w:t>₂</w:t>
      </w:r>
      <w:r w:rsidRPr="00BB3BAB">
        <w:rPr>
          <w:rFonts w:ascii="Arial" w:hAnsi="Arial" w:cs="Arial"/>
        </w:rPr>
        <w:t>O + energy (approx. 30-32 ATP) (Khan Academy, n.d.; Osmosis, 2025). </w:t>
      </w:r>
      <w:hyperlink r:id="rId9" w:tgtFrame="_blank" w:tooltip="Original URL: http://khanacademy.org/. Click or tap if you trust this link." w:history="1">
        <w:r w:rsidRPr="00BB3BAB">
          <w:rPr>
            <w:rStyle w:val="Hyperlink"/>
            <w:rFonts w:ascii="Arial" w:hAnsi="Arial" w:cs="Arial"/>
          </w:rPr>
          <w:t>khanacademy.org</w:t>
        </w:r>
      </w:hyperlink>
    </w:p>
    <w:p w14:paraId="29922FC1" w14:textId="044BC610" w:rsidR="00FF1736" w:rsidRPr="00BB3BAB" w:rsidRDefault="00EC45AC" w:rsidP="00BB3BAB">
      <w:pPr>
        <w:spacing w:line="360" w:lineRule="auto"/>
        <w:rPr>
          <w:rFonts w:ascii="Arial" w:hAnsi="Arial" w:cs="Arial"/>
        </w:rPr>
      </w:pPr>
      <w:r w:rsidRPr="00BB3BAB">
        <w:rPr>
          <w:rFonts w:ascii="Arial" w:hAnsi="Arial" w:cs="Arial"/>
        </w:rPr>
        <w:t>The process involves three main stages:</w:t>
      </w:r>
    </w:p>
    <w:p w14:paraId="3E15FFCC" w14:textId="6D031038" w:rsidR="00FF1736" w:rsidRPr="00BB3BAB" w:rsidRDefault="00EC45AC" w:rsidP="00BB3BAB">
      <w:pPr>
        <w:spacing w:line="360" w:lineRule="auto"/>
        <w:rPr>
          <w:rFonts w:ascii="Arial" w:hAnsi="Arial" w:cs="Arial"/>
        </w:rPr>
      </w:pPr>
      <w:r w:rsidRPr="00BB3BAB">
        <w:rPr>
          <w:rFonts w:ascii="Arial" w:hAnsi="Arial" w:cs="Arial"/>
        </w:rPr>
        <w:br/>
        <w:t xml:space="preserve">1. </w:t>
      </w:r>
      <w:r w:rsidRPr="001D25A2">
        <w:rPr>
          <w:rFonts w:ascii="Arial" w:hAnsi="Arial" w:cs="Arial"/>
          <w:b/>
          <w:bCs/>
        </w:rPr>
        <w:t>Glycolysis (cytoplasm):</w:t>
      </w:r>
      <w:r w:rsidRPr="00BB3BAB">
        <w:rPr>
          <w:rFonts w:ascii="Arial" w:hAnsi="Arial" w:cs="Arial"/>
        </w:rPr>
        <w:t xml:space="preserve"> Glucose is broken down into two pyruvate molecules, yielding a net 2 ATP and 2 NADH (anaerobic phase).</w:t>
      </w:r>
    </w:p>
    <w:p w14:paraId="494791AA" w14:textId="5F98DE72" w:rsidR="00FF1736" w:rsidRPr="00BB3BAB" w:rsidRDefault="00EC45AC" w:rsidP="00BB3BAB">
      <w:pPr>
        <w:spacing w:line="360" w:lineRule="auto"/>
        <w:rPr>
          <w:rFonts w:ascii="Arial" w:hAnsi="Arial" w:cs="Arial"/>
        </w:rPr>
      </w:pPr>
      <w:r w:rsidRPr="00BB3BAB">
        <w:rPr>
          <w:rFonts w:ascii="Arial" w:hAnsi="Arial" w:cs="Arial"/>
        </w:rPr>
        <w:br/>
        <w:t xml:space="preserve">2. </w:t>
      </w:r>
      <w:r w:rsidRPr="001D25A2">
        <w:rPr>
          <w:rFonts w:ascii="Arial" w:hAnsi="Arial" w:cs="Arial"/>
          <w:b/>
          <w:bCs/>
        </w:rPr>
        <w:t>Krebs (Citric Acid) Cycle (mitochondrial matrix):</w:t>
      </w:r>
      <w:r w:rsidRPr="00BB3BAB">
        <w:rPr>
          <w:rFonts w:ascii="Arial" w:hAnsi="Arial" w:cs="Arial"/>
        </w:rPr>
        <w:t xml:space="preserve"> Pyruvate </w:t>
      </w:r>
      <w:r w:rsidR="00FF1736" w:rsidRPr="00BB3BAB">
        <w:rPr>
          <w:rFonts w:ascii="Arial" w:hAnsi="Arial" w:cs="Arial"/>
        </w:rPr>
        <w:t xml:space="preserve">converts to acetyl-CoA, entering the cycle to produce </w:t>
      </w:r>
      <w:r w:rsidRPr="00BB3BAB">
        <w:rPr>
          <w:rFonts w:ascii="Arial" w:hAnsi="Arial" w:cs="Arial"/>
        </w:rPr>
        <w:t>CO</w:t>
      </w:r>
      <w:r w:rsidRPr="00BB3BAB">
        <w:rPr>
          <w:rFonts w:ascii="Cambria Math" w:hAnsi="Cambria Math" w:cs="Cambria Math"/>
        </w:rPr>
        <w:t>₂</w:t>
      </w:r>
      <w:r w:rsidRPr="00BB3BAB">
        <w:rPr>
          <w:rFonts w:ascii="Arial" w:hAnsi="Arial" w:cs="Arial"/>
        </w:rPr>
        <w:t>, NADH, FADH</w:t>
      </w:r>
      <w:r w:rsidRPr="00BB3BAB">
        <w:rPr>
          <w:rFonts w:ascii="Cambria Math" w:hAnsi="Cambria Math" w:cs="Cambria Math"/>
        </w:rPr>
        <w:t>₂</w:t>
      </w:r>
      <w:r w:rsidRPr="00BB3BAB">
        <w:rPr>
          <w:rFonts w:ascii="Arial" w:hAnsi="Arial" w:cs="Arial"/>
        </w:rPr>
        <w:t>, and 2 ATP per glucose molecule.</w:t>
      </w:r>
    </w:p>
    <w:p w14:paraId="05FC25B5" w14:textId="77777777" w:rsidR="00123D21" w:rsidRPr="00BB3BAB" w:rsidRDefault="00EC45AC" w:rsidP="00BB3BAB">
      <w:pPr>
        <w:spacing w:line="360" w:lineRule="auto"/>
        <w:rPr>
          <w:rFonts w:ascii="Arial" w:hAnsi="Arial" w:cs="Arial"/>
        </w:rPr>
      </w:pPr>
      <w:r w:rsidRPr="00BB3BAB">
        <w:rPr>
          <w:rFonts w:ascii="Arial" w:hAnsi="Arial" w:cs="Arial"/>
        </w:rPr>
        <w:br/>
        <w:t xml:space="preserve">3. </w:t>
      </w:r>
      <w:r w:rsidRPr="001D25A2">
        <w:rPr>
          <w:rFonts w:ascii="Arial" w:hAnsi="Arial" w:cs="Arial"/>
          <w:b/>
          <w:bCs/>
        </w:rPr>
        <w:t>Electron Transport Chain (ETC) and Oxidative Phosphorylation (inner mitochondrial membrane):</w:t>
      </w:r>
      <w:r w:rsidRPr="00BB3BAB">
        <w:rPr>
          <w:rFonts w:ascii="Arial" w:hAnsi="Arial" w:cs="Arial"/>
        </w:rPr>
        <w:t xml:space="preserve"> Electrons from NADH and FADH</w:t>
      </w:r>
      <w:r w:rsidRPr="00BB3BAB">
        <w:rPr>
          <w:rFonts w:ascii="Cambria Math" w:hAnsi="Cambria Math" w:cs="Cambria Math"/>
        </w:rPr>
        <w:t>₂</w:t>
      </w:r>
      <w:r w:rsidRPr="00BB3BAB">
        <w:rPr>
          <w:rFonts w:ascii="Arial" w:hAnsi="Arial" w:cs="Arial"/>
        </w:rPr>
        <w:t xml:space="preserve"> are transferred through protein complexes; oxygen serves as the final electron acceptor, forming water. </w:t>
      </w:r>
    </w:p>
    <w:p w14:paraId="2A12E436" w14:textId="77777777" w:rsidR="001D25A2" w:rsidRDefault="00EC45AC" w:rsidP="00BB3BAB">
      <w:pPr>
        <w:spacing w:line="360" w:lineRule="auto"/>
        <w:rPr>
          <w:rFonts w:ascii="Arial" w:hAnsi="Arial" w:cs="Arial"/>
        </w:rPr>
      </w:pPr>
      <w:r w:rsidRPr="00BB3BAB">
        <w:rPr>
          <w:rFonts w:ascii="Arial" w:hAnsi="Arial" w:cs="Arial"/>
        </w:rPr>
        <w:lastRenderedPageBreak/>
        <w:t>The resulting proton gradient drives ATP synthase to produce the majority of ATP (Khan Academy, n.d.).</w:t>
      </w:r>
    </w:p>
    <w:p w14:paraId="451D412E" w14:textId="13D91868" w:rsidR="00123D21" w:rsidRPr="00BB3BAB" w:rsidRDefault="00EC45AC" w:rsidP="00BB3BAB">
      <w:pPr>
        <w:spacing w:line="360" w:lineRule="auto"/>
        <w:rPr>
          <w:rFonts w:ascii="Arial" w:hAnsi="Arial" w:cs="Arial"/>
        </w:rPr>
      </w:pPr>
      <w:r w:rsidRPr="00BB3BAB">
        <w:rPr>
          <w:rFonts w:ascii="Arial" w:hAnsi="Arial" w:cs="Arial"/>
        </w:rPr>
        <w:t>In T2D, impaired glucose uptake limits substrate availability for respiration, contributing to fatigue and</w:t>
      </w:r>
      <w:r w:rsidR="00123D21" w:rsidRPr="00BB3BAB">
        <w:rPr>
          <w:rFonts w:ascii="Arial" w:hAnsi="Arial" w:cs="Arial"/>
        </w:rPr>
        <w:t xml:space="preserve"> in severe hyperglycaemia</w:t>
      </w:r>
      <w:r w:rsidRPr="00BB3BAB">
        <w:rPr>
          <w:rFonts w:ascii="Arial" w:hAnsi="Arial" w:cs="Arial"/>
        </w:rPr>
        <w:t xml:space="preserve"> long-term complications through pathways such as oxidative stress (Haythorne et al., 2019). </w:t>
      </w:r>
      <w:r w:rsidR="001D25A2" w:rsidRPr="00BB3BAB">
        <w:rPr>
          <w:rFonts w:ascii="Arial" w:hAnsi="Arial" w:cs="Arial"/>
        </w:rPr>
        <w:t xml:space="preserve"> </w:t>
      </w:r>
    </w:p>
    <w:p w14:paraId="26495C18" w14:textId="10959CBE" w:rsidR="00FF7481" w:rsidRPr="001D25A2" w:rsidRDefault="00123D21" w:rsidP="001D25A2">
      <w:pPr>
        <w:spacing w:line="360" w:lineRule="auto"/>
        <w:rPr>
          <w:rFonts w:ascii="Arial" w:hAnsi="Arial" w:cs="Arial"/>
        </w:rPr>
      </w:pPr>
      <w:r w:rsidRPr="00BB3BAB">
        <w:rPr>
          <w:rFonts w:ascii="Arial" w:hAnsi="Arial" w:cs="Arial"/>
        </w:rPr>
        <w:t xml:space="preserve">Oxygen delivery is also critical; poor circulation in diabetes exacerbates tissue damage. </w:t>
      </w:r>
    </w:p>
    <w:p w14:paraId="044BA7BB" w14:textId="797B8445" w:rsidR="00E47C3E" w:rsidRPr="00BB3BAB" w:rsidRDefault="00EC45AC" w:rsidP="00BB3BAB">
      <w:pPr>
        <w:pStyle w:val="Heading1"/>
        <w:spacing w:line="360" w:lineRule="auto"/>
        <w:rPr>
          <w:rFonts w:ascii="Arial" w:hAnsi="Arial" w:cs="Arial"/>
          <w:sz w:val="22"/>
          <w:szCs w:val="22"/>
        </w:rPr>
      </w:pPr>
      <w:bookmarkStart w:id="2" w:name="_Toc233492230"/>
      <w:r w:rsidRPr="00BB3BAB">
        <w:rPr>
          <w:rFonts w:ascii="Arial" w:hAnsi="Arial" w:cs="Arial"/>
          <w:sz w:val="22"/>
          <w:szCs w:val="22"/>
        </w:rPr>
        <w:t>Benefits of Recording and Tracking Blood Sugar Levels in Type 2 Diabetes</w:t>
      </w:r>
      <w:bookmarkEnd w:id="2"/>
    </w:p>
    <w:p w14:paraId="61445683" w14:textId="77777777" w:rsidR="00E47C3E" w:rsidRPr="00BB3BAB" w:rsidRDefault="00E47C3E" w:rsidP="00BB3BAB">
      <w:pPr>
        <w:spacing w:line="360" w:lineRule="auto"/>
        <w:rPr>
          <w:rFonts w:ascii="Arial" w:hAnsi="Arial" w:cs="Arial"/>
        </w:rPr>
      </w:pPr>
      <w:r w:rsidRPr="00BB3BAB">
        <w:rPr>
          <w:rFonts w:ascii="Arial" w:hAnsi="Arial" w:cs="Arial"/>
        </w:rPr>
        <w:t xml:space="preserve">Self-monitoring of blood glucose (SMBG) is a fundamental self-management tool that provides patients with immediate, real-time feedback on how various daily factors influence their blood glucose levels. </w:t>
      </w:r>
    </w:p>
    <w:p w14:paraId="4850D498" w14:textId="77777777" w:rsidR="00E47C3E" w:rsidRPr="00BB3BAB" w:rsidRDefault="00E47C3E" w:rsidP="00BB3BAB">
      <w:pPr>
        <w:spacing w:line="360" w:lineRule="auto"/>
        <w:rPr>
          <w:rFonts w:ascii="Arial" w:hAnsi="Arial" w:cs="Arial"/>
        </w:rPr>
      </w:pPr>
      <w:r w:rsidRPr="00BB3BAB">
        <w:rPr>
          <w:rFonts w:ascii="Arial" w:hAnsi="Arial" w:cs="Arial"/>
        </w:rPr>
        <w:t xml:space="preserve">By regularly checking their capillary blood glucose using a glucometer, individuals can clearly observe the direct impact of food choices, portion sizes, physical activity, medication adherence, stress, and even illness on their glycaemic control (NICE, 2015, updated 2026). </w:t>
      </w:r>
    </w:p>
    <w:p w14:paraId="5F6B52EF" w14:textId="77777777" w:rsidR="00E47C3E" w:rsidRPr="00BB3BAB" w:rsidRDefault="00E47C3E" w:rsidP="00BB3BAB">
      <w:pPr>
        <w:spacing w:line="360" w:lineRule="auto"/>
        <w:rPr>
          <w:rFonts w:ascii="Arial" w:hAnsi="Arial" w:cs="Arial"/>
        </w:rPr>
      </w:pPr>
      <w:r w:rsidRPr="00BB3BAB">
        <w:rPr>
          <w:rFonts w:ascii="Arial" w:hAnsi="Arial" w:cs="Arial"/>
        </w:rPr>
        <w:t xml:space="preserve">This data-driven approach enables patients to make timely and informed adjustments to their lifestyle and treatment plan, promoting safer and more effective day-to-day diabetes management. </w:t>
      </w:r>
    </w:p>
    <w:p w14:paraId="0998728A" w14:textId="77777777" w:rsidR="00E47C3E" w:rsidRPr="00BB3BAB" w:rsidRDefault="00E47C3E" w:rsidP="00BB3BAB">
      <w:pPr>
        <w:spacing w:line="360" w:lineRule="auto"/>
        <w:rPr>
          <w:rFonts w:ascii="Arial" w:hAnsi="Arial" w:cs="Arial"/>
        </w:rPr>
      </w:pPr>
      <w:r w:rsidRPr="00BB3BAB">
        <w:rPr>
          <w:rFonts w:ascii="Arial" w:hAnsi="Arial" w:cs="Arial"/>
        </w:rPr>
        <w:t>Furthermore, consistent tracking helps patients identify individual patterns and trends over time — such as postprandial spikes or nocturnal hypoglycaemia — which might otherwise go unnoticed. This knowledge supports better adherence to personalised care plans and reduces the risk of both hyperglycaemia and hypoglycaemic episodes (Holmes-Truscott et al., 2023).</w:t>
      </w:r>
    </w:p>
    <w:p w14:paraId="5CC57687" w14:textId="0A89FC2A" w:rsidR="00341772" w:rsidRPr="00BB3BAB" w:rsidRDefault="00E47C3E" w:rsidP="00BB3BAB">
      <w:pPr>
        <w:spacing w:line="360" w:lineRule="auto"/>
        <w:rPr>
          <w:rFonts w:ascii="Arial" w:hAnsi="Arial" w:cs="Arial"/>
        </w:rPr>
      </w:pPr>
      <w:r w:rsidRPr="00BB3BAB">
        <w:rPr>
          <w:rFonts w:ascii="Arial" w:hAnsi="Arial" w:cs="Arial"/>
        </w:rPr>
        <w:t xml:space="preserve">Evidence regarding the routine use of SMBG in non-insulin-treated Type 2 diabetes remains mixed and context-dependent. The National Institute for Health and Care Excellence (NICE) guidelines do not recommend routine self-monitoring for all patients with Type 2 diabetes who are not on insulin. Instead, they advise its use in specific circumstances, such as when patients are using insulin or sulfonylureas, during periods of illness, when starting new medications, for driving purposes (particularly Group 1 or Group 2 drivers), or as part of a short-term, structured education programme (NICE, 2015, updated 2026). </w:t>
      </w:r>
    </w:p>
    <w:p w14:paraId="08C8747A" w14:textId="77777777" w:rsidR="00341772" w:rsidRPr="00BB3BAB" w:rsidRDefault="00E47C3E" w:rsidP="00BB3BAB">
      <w:pPr>
        <w:spacing w:line="360" w:lineRule="auto"/>
        <w:rPr>
          <w:rFonts w:ascii="Arial" w:hAnsi="Arial" w:cs="Arial"/>
        </w:rPr>
      </w:pPr>
      <w:r w:rsidRPr="00BB3BAB">
        <w:rPr>
          <w:rFonts w:ascii="Arial" w:hAnsi="Arial" w:cs="Arial"/>
        </w:rPr>
        <w:t>When implemented in a structured manner — with proper patient education, regular review of results with healthcare professionals, and clear action plans — SMBG has been shown to produce modest but clinically meaningful improvements. These include an average HbA1c reduction of approximately 0.3%, enhanced self-efficacy, greater patient empowerment, and improved understanding of the condition (Holmes-Truscott et al., 2023; Farmer et al., 2022).</w:t>
      </w:r>
    </w:p>
    <w:p w14:paraId="7B516253" w14:textId="6A9B9B71" w:rsidR="00341772" w:rsidRPr="00BB3BAB" w:rsidRDefault="00E47C3E" w:rsidP="00BB3BAB">
      <w:pPr>
        <w:spacing w:line="360" w:lineRule="auto"/>
        <w:rPr>
          <w:rFonts w:ascii="Arial" w:hAnsi="Arial" w:cs="Arial"/>
        </w:rPr>
      </w:pPr>
      <w:r w:rsidRPr="00BB3BAB">
        <w:rPr>
          <w:rFonts w:ascii="Arial" w:hAnsi="Arial" w:cs="Arial"/>
        </w:rPr>
        <w:lastRenderedPageBreak/>
        <w:t xml:space="preserve">For many individuals with Type 2 diabetes, the true value of tracking lies in its ability to foster a sense of control and active participation in their own care. Regular monitoring transforms abstract concepts (such as insulin resistance and glucose homeostasis) into tangible, personal insights. For example, a patient may discover that a seemingly healthy meal causes a significant post-meal spike, prompting them to adjust carbohydrate intake or incorporate a short walk afterwards. </w:t>
      </w:r>
    </w:p>
    <w:p w14:paraId="3F777F65" w14:textId="77777777" w:rsidR="00341772" w:rsidRPr="00BB3BAB" w:rsidRDefault="00E47C3E" w:rsidP="00BB3BAB">
      <w:pPr>
        <w:spacing w:line="360" w:lineRule="auto"/>
        <w:rPr>
          <w:rFonts w:ascii="Arial" w:hAnsi="Arial" w:cs="Arial"/>
        </w:rPr>
      </w:pPr>
      <w:r w:rsidRPr="00BB3BAB">
        <w:rPr>
          <w:rFonts w:ascii="Arial" w:hAnsi="Arial" w:cs="Arial"/>
        </w:rPr>
        <w:t>This immediate feedback loop strengthens the therapeutic relationship during GP or practice nurse consultations, allowing for more productive, data-informed discussions rather than relying solely on retrospective HbA1c results. Over the longer term, when integrated into comprehensive self-management education programmes, structured monitoring correlates with better glycaemic control, reduced diabetes-related distress, and improved quality of life (American Diabetes Association, 2026; Wang et al., 2024).</w:t>
      </w:r>
    </w:p>
    <w:p w14:paraId="6B5D69A9" w14:textId="6EA72320" w:rsidR="00341772" w:rsidRPr="00BB3BAB" w:rsidRDefault="00E47C3E" w:rsidP="00BB3BAB">
      <w:pPr>
        <w:spacing w:line="360" w:lineRule="auto"/>
        <w:rPr>
          <w:rFonts w:ascii="Arial" w:hAnsi="Arial" w:cs="Arial"/>
        </w:rPr>
      </w:pPr>
      <w:r w:rsidRPr="00BB3BAB">
        <w:rPr>
          <w:rFonts w:ascii="Arial" w:hAnsi="Arial" w:cs="Arial"/>
        </w:rPr>
        <w:t>However, SMBG is not without limitations. Potential drawbacks include the financial cost of testing strips and lancets, the risk of causing anxiety or obsessive monitoring in some patients, and the possibility of inaccurate readings if proper technique is not followed. To maximise benefits and minimise these issues, monitoring should always be purposeful, time-limited where appropriate, and supported by healthcare professionals who can interpret results and provide ongoing education and motivation (NICE, 2015, updated 2026).</w:t>
      </w:r>
    </w:p>
    <w:p w14:paraId="459F295B" w14:textId="40A80A6B" w:rsidR="001D25A2" w:rsidRDefault="00E47C3E" w:rsidP="00BB3BAB">
      <w:pPr>
        <w:spacing w:line="360" w:lineRule="auto"/>
        <w:rPr>
          <w:rFonts w:ascii="Arial" w:hAnsi="Arial" w:cs="Arial"/>
        </w:rPr>
      </w:pPr>
      <w:r w:rsidRPr="00BB3BAB">
        <w:rPr>
          <w:rFonts w:ascii="Arial" w:hAnsi="Arial" w:cs="Arial"/>
        </w:rPr>
        <w:t>In summary, while not universally recommended for routine daily use in all Type 2 diabetes patients, targeted and structured blood glucose tracking remains a powerful educational and self-management tool. As a practice nurse, facilitating patients’ understanding of how and when to monitor effectively can significantly enhance their confidence, safety, and long-term clinical outcomes.</w:t>
      </w:r>
    </w:p>
    <w:p w14:paraId="73A8A9A4" w14:textId="0C06C2D6" w:rsidR="001D25A2" w:rsidRDefault="001D25A2" w:rsidP="001D25A2">
      <w:pPr>
        <w:pStyle w:val="Heading1"/>
        <w:rPr>
          <w:rFonts w:ascii="Arial" w:hAnsi="Arial" w:cs="Arial"/>
          <w:sz w:val="22"/>
          <w:szCs w:val="22"/>
        </w:rPr>
      </w:pPr>
      <w:bookmarkStart w:id="3" w:name="_Toc233492231"/>
      <w:r w:rsidRPr="001D25A2">
        <w:rPr>
          <w:rFonts w:ascii="Arial" w:hAnsi="Arial" w:cs="Arial"/>
          <w:sz w:val="22"/>
          <w:szCs w:val="22"/>
        </w:rPr>
        <w:t>Monitoring and Data Use</w:t>
      </w:r>
      <w:bookmarkEnd w:id="3"/>
    </w:p>
    <w:p w14:paraId="64B1FDF7" w14:textId="77777777" w:rsidR="00712097" w:rsidRPr="00712097" w:rsidRDefault="00712097" w:rsidP="00712097"/>
    <w:p w14:paraId="5F9A27BC" w14:textId="038C7EFA" w:rsidR="001D25A2" w:rsidRDefault="001D25A2" w:rsidP="00BB3BAB">
      <w:pPr>
        <w:spacing w:line="360" w:lineRule="auto"/>
        <w:rPr>
          <w:rFonts w:ascii="Arial" w:hAnsi="Arial" w:cs="Arial"/>
        </w:rPr>
      </w:pPr>
      <w:r w:rsidRPr="001D25A2">
        <w:rPr>
          <w:rFonts w:ascii="Arial" w:hAnsi="Arial" w:cs="Arial"/>
        </w:rPr>
        <w:t>Effective monitoring and the strategic use of health data are cornerstones of successful self-management for individuals living with long-term conditions such as Type 2 diabetes. Regular tracking of key physiological parameters provides patients with actionable insights that go beyond periodic clinical reviews, enabling proactive rather than reactive care (NICE, 2015, updated 2026).</w:t>
      </w:r>
      <w:r w:rsidRPr="001D25A2">
        <w:rPr>
          <w:rFonts w:ascii="Arial" w:hAnsi="Arial" w:cs="Arial"/>
        </w:rPr>
        <w:br/>
        <w:t xml:space="preserve">The importance of tracking health data lies in its ability to reveal real-time patterns and trends that influence disease control. In diabetes, self-monitoring of blood glucose (SMBG) allows patients to observe immediate responses to food intake, physical activity, medication, stress, and illness. </w:t>
      </w:r>
    </w:p>
    <w:p w14:paraId="09BC05DA" w14:textId="77777777" w:rsidR="001D25A2" w:rsidRDefault="001D25A2" w:rsidP="00BB3BAB">
      <w:pPr>
        <w:spacing w:line="360" w:lineRule="auto"/>
        <w:rPr>
          <w:rFonts w:ascii="Arial" w:hAnsi="Arial" w:cs="Arial"/>
        </w:rPr>
      </w:pPr>
      <w:r w:rsidRPr="001D25A2">
        <w:rPr>
          <w:rFonts w:ascii="Arial" w:hAnsi="Arial" w:cs="Arial"/>
        </w:rPr>
        <w:lastRenderedPageBreak/>
        <w:t xml:space="preserve">This data empowers individuals to identify triggers for hyperglycaemia or hypoglycaemia and make timely adjustments to diet, exercise, or treatment regimens. Similarly, for patients with respiratory comorbidities (common in diabetes due to shared risk factors such as obesity and smoking), monitoring peak expiratory flow rate (PEFR) helps detect early deteriorations in airway function, facilitating prompt intervention to prevent exacerbations of asthma or COPD (British Thoracic Society, 2023). </w:t>
      </w:r>
    </w:p>
    <w:p w14:paraId="686A8E2F" w14:textId="77777777" w:rsidR="001D25A2" w:rsidRDefault="001D25A2" w:rsidP="00BB3BAB">
      <w:pPr>
        <w:spacing w:line="360" w:lineRule="auto"/>
        <w:rPr>
          <w:rFonts w:ascii="Arial" w:hAnsi="Arial" w:cs="Arial"/>
        </w:rPr>
      </w:pPr>
      <w:r w:rsidRPr="001D25A2">
        <w:rPr>
          <w:rFonts w:ascii="Arial" w:hAnsi="Arial" w:cs="Arial"/>
        </w:rPr>
        <w:t>Routine data collection transforms abstract clinical targets into tangible, personal feedback, increasing patient engagement and self-efficacy.</w:t>
      </w:r>
      <w:r w:rsidRPr="001D25A2">
        <w:rPr>
          <w:rFonts w:ascii="Arial" w:hAnsi="Arial" w:cs="Arial"/>
        </w:rPr>
        <w:br/>
        <w:t xml:space="preserve">Routine data use significantly enhances condition management by supporting informed decision-making and personalised care planning. When patients record and review trends — whether through paper diaries, smartphone apps, or continuous glucose monitors — they can correlate behaviours with outcomes, leading to sustained lifestyle improvements. For example, recognising that certain carbohydrate-heavy meals consistently elevate blood glucose may encourage smaller portions or increased post-meal activity. </w:t>
      </w:r>
    </w:p>
    <w:p w14:paraId="0313B762" w14:textId="77777777" w:rsidR="001D25A2" w:rsidRDefault="001D25A2" w:rsidP="00BB3BAB">
      <w:pPr>
        <w:spacing w:line="360" w:lineRule="auto"/>
        <w:rPr>
          <w:rFonts w:ascii="Arial" w:hAnsi="Arial" w:cs="Arial"/>
        </w:rPr>
      </w:pPr>
      <w:r w:rsidRPr="001D25A2">
        <w:rPr>
          <w:rFonts w:ascii="Arial" w:hAnsi="Arial" w:cs="Arial"/>
        </w:rPr>
        <w:t>In clinical settings, this patient-generated data enriches consultations, allowing practice nurses and GPs to adjust medications more precisely, identify educational needs, and set realistic, achievable goals. Structured review of data has been associated with modest reductions in HbA1c, fewer complications, and better adherence to treatment plans (Holmes-Truscott et al., 2023; American Diabetes Association, 2026).</w:t>
      </w:r>
    </w:p>
    <w:p w14:paraId="39DFAD6C" w14:textId="266EE0C7" w:rsidR="001D25A2" w:rsidRDefault="001D25A2" w:rsidP="00BB3BAB">
      <w:pPr>
        <w:spacing w:line="360" w:lineRule="auto"/>
        <w:rPr>
          <w:rFonts w:ascii="Arial" w:hAnsi="Arial" w:cs="Arial"/>
        </w:rPr>
      </w:pPr>
      <w:r w:rsidRPr="001D25A2">
        <w:rPr>
          <w:rFonts w:ascii="Arial" w:hAnsi="Arial" w:cs="Arial"/>
        </w:rPr>
        <w:t>However, successful monitoring requires support. Patients need education on correct technique, interpretation of results, and when to seek professional advice. Limitations such as cost, potential anxiety from over-monitoring, or data overload must be addressed through individualised plans. When used purposefully, routine health data becomes a powerful tool for empowerment, safety, and long-term disease control, aligning perfectly with the goals of person-centred primary care.</w:t>
      </w:r>
    </w:p>
    <w:p w14:paraId="5DCBE6D6" w14:textId="77777777" w:rsidR="00FF7481" w:rsidRPr="00FF7481" w:rsidRDefault="00FF7481" w:rsidP="00FF7481"/>
    <w:p w14:paraId="17C03CD2" w14:textId="39D5BD2C" w:rsidR="00264C10" w:rsidRPr="00FF7481" w:rsidRDefault="00EC45AC" w:rsidP="00FF7481">
      <w:pPr>
        <w:pStyle w:val="Heading1"/>
        <w:rPr>
          <w:rFonts w:ascii="Arial" w:hAnsi="Arial" w:cs="Arial"/>
          <w:sz w:val="22"/>
          <w:szCs w:val="22"/>
        </w:rPr>
      </w:pPr>
      <w:bookmarkStart w:id="4" w:name="_Toc233492232"/>
      <w:r w:rsidRPr="00FF7481">
        <w:rPr>
          <w:rStyle w:val="Heading1Char"/>
          <w:rFonts w:ascii="Arial" w:hAnsi="Arial" w:cs="Arial"/>
          <w:sz w:val="22"/>
          <w:szCs w:val="22"/>
        </w:rPr>
        <w:t>Evidence-Based Lifestyle Recommendations</w:t>
      </w:r>
      <w:bookmarkEnd w:id="4"/>
    </w:p>
    <w:p w14:paraId="018EAE16" w14:textId="77777777" w:rsidR="001D25A2" w:rsidRDefault="00EC45AC" w:rsidP="00BB3BAB">
      <w:pPr>
        <w:spacing w:line="360" w:lineRule="auto"/>
        <w:rPr>
          <w:rFonts w:ascii="Arial" w:hAnsi="Arial" w:cs="Arial"/>
        </w:rPr>
      </w:pPr>
      <w:r w:rsidRPr="00BB3BAB">
        <w:rPr>
          <w:rFonts w:ascii="Arial" w:hAnsi="Arial" w:cs="Arial"/>
        </w:rPr>
        <w:br/>
        <w:t>Lifestyle modification is a cornerstone of T2D management and can lead to remission, particularly when implemented early (NICE, 2015, updated 2026; American College of Lifestyle Medicine, 2025).</w:t>
      </w:r>
    </w:p>
    <w:p w14:paraId="0DF0C16C" w14:textId="09A46FA9" w:rsidR="00264C10" w:rsidRPr="00BB3BAB" w:rsidRDefault="00EC45AC" w:rsidP="00BB3BAB">
      <w:pPr>
        <w:spacing w:line="360" w:lineRule="auto"/>
        <w:rPr>
          <w:rFonts w:ascii="Arial" w:hAnsi="Arial" w:cs="Arial"/>
        </w:rPr>
      </w:pPr>
      <w:r w:rsidRPr="00BB3BAB">
        <w:rPr>
          <w:rFonts w:ascii="Arial" w:hAnsi="Arial" w:cs="Arial"/>
        </w:rPr>
        <w:t xml:space="preserve">• Diet: Recommend a personalised, calorie-controlled, Mediterranean-style or plant-predominant diet rich in vegetables, whole grains, lean proteins, and healthy fats. Reduce refined carbohydrates, sugars, and saturated fats. Aiming for 5–10% weight loss </w:t>
      </w:r>
      <w:r w:rsidRPr="00BB3BAB">
        <w:rPr>
          <w:rFonts w:ascii="Arial" w:hAnsi="Arial" w:cs="Arial"/>
        </w:rPr>
        <w:lastRenderedPageBreak/>
        <w:t>significantly</w:t>
      </w:r>
      <w:r w:rsidR="00264C10" w:rsidRPr="00BB3BAB">
        <w:rPr>
          <w:rFonts w:ascii="Arial" w:hAnsi="Arial" w:cs="Arial"/>
        </w:rPr>
        <w:t xml:space="preserve">; this </w:t>
      </w:r>
      <w:r w:rsidRPr="00BB3BAB">
        <w:rPr>
          <w:rFonts w:ascii="Arial" w:hAnsi="Arial" w:cs="Arial"/>
        </w:rPr>
        <w:t>improves insulin sensitivity and glycaemic control (Galaviz et al., 2015; Wang, 2025). </w:t>
      </w:r>
      <w:r w:rsidR="00264C10" w:rsidRPr="00BB3BAB">
        <w:rPr>
          <w:rFonts w:ascii="Arial" w:hAnsi="Arial" w:cs="Arial"/>
        </w:rPr>
        <w:t>Medical nutrition therapy by a dietician is recommended</w:t>
      </w:r>
    </w:p>
    <w:p w14:paraId="1F88F8D5" w14:textId="647AE27E" w:rsidR="00264C10" w:rsidRPr="00BB3BAB" w:rsidRDefault="00264C10" w:rsidP="00BB3BAB">
      <w:pPr>
        <w:spacing w:line="360" w:lineRule="auto"/>
        <w:rPr>
          <w:rFonts w:ascii="Arial" w:hAnsi="Arial" w:cs="Arial"/>
        </w:rPr>
      </w:pPr>
      <w:r w:rsidRPr="00BB3BAB">
        <w:rPr>
          <w:rFonts w:ascii="Arial" w:hAnsi="Arial" w:cs="Arial"/>
        </w:rPr>
        <w:t xml:space="preserve"> </w:t>
      </w:r>
      <w:r w:rsidR="00EC45AC" w:rsidRPr="00BB3BAB">
        <w:rPr>
          <w:rFonts w:ascii="Arial" w:hAnsi="Arial" w:cs="Arial"/>
        </w:rPr>
        <w:br/>
        <w:t>• Exercise: At least 150 minutes of moderate-intensity aerobic activity per week plus 2–3 sessions of resistance training. Physical activity enhances insulin-independent glucose uptake, aids weight management, and reduces cardiovascular risk (Kim et al., 2022). </w:t>
      </w:r>
      <w:r w:rsidR="001D25A2" w:rsidRPr="00BB3BAB">
        <w:rPr>
          <w:rFonts w:ascii="Arial" w:hAnsi="Arial" w:cs="Arial"/>
        </w:rPr>
        <w:t xml:space="preserve"> </w:t>
      </w:r>
    </w:p>
    <w:p w14:paraId="5F83425C" w14:textId="77777777" w:rsidR="001D25A2" w:rsidRDefault="00EC45AC" w:rsidP="001D25A2">
      <w:pPr>
        <w:tabs>
          <w:tab w:val="left" w:pos="1656"/>
        </w:tabs>
        <w:spacing w:line="360" w:lineRule="auto"/>
        <w:rPr>
          <w:rFonts w:ascii="Arial" w:hAnsi="Arial" w:cs="Arial"/>
        </w:rPr>
      </w:pPr>
      <w:r w:rsidRPr="00BB3BAB">
        <w:rPr>
          <w:rFonts w:ascii="Arial" w:hAnsi="Arial" w:cs="Arial"/>
        </w:rPr>
        <w:t>• Smoking Cessation: Smoking exacerbates insulin resistance and vascular damage. Quitting reduces cardiovascular events and mortality risk, with combined exercise and cessation yielding additive benefits (Kim et al., 2022). </w:t>
      </w:r>
      <w:r w:rsidR="001D25A2">
        <w:rPr>
          <w:rFonts w:ascii="Arial" w:hAnsi="Arial" w:cs="Arial"/>
        </w:rPr>
        <w:t xml:space="preserve"> </w:t>
      </w:r>
    </w:p>
    <w:p w14:paraId="5EB56747" w14:textId="4995B10B" w:rsidR="00672644" w:rsidRPr="00BB3BAB" w:rsidRDefault="00672644" w:rsidP="001D25A2">
      <w:pPr>
        <w:tabs>
          <w:tab w:val="left" w:pos="1656"/>
        </w:tabs>
        <w:spacing w:line="360" w:lineRule="auto"/>
        <w:rPr>
          <w:rFonts w:ascii="Arial" w:hAnsi="Arial" w:cs="Arial"/>
        </w:rPr>
      </w:pPr>
      <w:r w:rsidRPr="00BB3BAB">
        <w:rPr>
          <w:rFonts w:ascii="Arial" w:hAnsi="Arial" w:cs="Arial"/>
        </w:rPr>
        <w:t xml:space="preserve">Combined </w:t>
      </w:r>
      <w:r w:rsidR="00EC45AC" w:rsidRPr="00BB3BAB">
        <w:rPr>
          <w:rFonts w:ascii="Arial" w:hAnsi="Arial" w:cs="Arial"/>
        </w:rPr>
        <w:t>interventions</w:t>
      </w:r>
      <w:r w:rsidRPr="00BB3BAB">
        <w:rPr>
          <w:rFonts w:ascii="Arial" w:hAnsi="Arial" w:cs="Arial"/>
        </w:rPr>
        <w:t xml:space="preserve"> yield the best results (e.g., greater HbA1c reductions).</w:t>
      </w:r>
      <w:r w:rsidR="00EC45AC" w:rsidRPr="00BB3BAB">
        <w:rPr>
          <w:rFonts w:ascii="Arial" w:hAnsi="Arial" w:cs="Arial"/>
        </w:rPr>
        <w:t xml:space="preserve"> </w:t>
      </w:r>
      <w:r w:rsidRPr="00BB3BAB">
        <w:rPr>
          <w:rFonts w:ascii="Arial" w:hAnsi="Arial" w:cs="Arial"/>
        </w:rPr>
        <w:t>I</w:t>
      </w:r>
      <w:r w:rsidR="00EC45AC" w:rsidRPr="00BB3BAB">
        <w:rPr>
          <w:rFonts w:ascii="Arial" w:hAnsi="Arial" w:cs="Arial"/>
        </w:rPr>
        <w:t>ncorporating behavioural support (goal-setting, self-monitoring) produce the greatest and most sustained improvements (American Diabetes Association, 2026). </w:t>
      </w:r>
      <w:r w:rsidR="001D25A2" w:rsidRPr="00BB3BAB">
        <w:rPr>
          <w:rFonts w:ascii="Arial" w:hAnsi="Arial" w:cs="Arial"/>
        </w:rPr>
        <w:t xml:space="preserve"> </w:t>
      </w:r>
    </w:p>
    <w:p w14:paraId="44305D07" w14:textId="72639560" w:rsidR="00BB3BAB" w:rsidRPr="00FF7481" w:rsidRDefault="00EC45AC" w:rsidP="00FF7481">
      <w:pPr>
        <w:pStyle w:val="Heading1"/>
        <w:rPr>
          <w:rFonts w:ascii="Arial" w:hAnsi="Arial" w:cs="Arial"/>
          <w:sz w:val="22"/>
          <w:szCs w:val="22"/>
        </w:rPr>
      </w:pPr>
      <w:r w:rsidRPr="00BB3BAB">
        <w:br/>
      </w:r>
      <w:bookmarkStart w:id="5" w:name="_Toc233492233"/>
      <w:r w:rsidRPr="00FF7481">
        <w:rPr>
          <w:rFonts w:ascii="Arial" w:hAnsi="Arial" w:cs="Arial"/>
          <w:sz w:val="22"/>
          <w:szCs w:val="22"/>
        </w:rPr>
        <w:t>Conclusion</w:t>
      </w:r>
      <w:bookmarkEnd w:id="5"/>
    </w:p>
    <w:p w14:paraId="220D8758" w14:textId="77777777" w:rsidR="00BB3BAB" w:rsidRPr="00BB3BAB" w:rsidRDefault="00EC45AC" w:rsidP="00BB3BAB">
      <w:pPr>
        <w:spacing w:line="360" w:lineRule="auto"/>
        <w:rPr>
          <w:rFonts w:ascii="Arial" w:hAnsi="Arial" w:cs="Arial"/>
        </w:rPr>
      </w:pPr>
      <w:r w:rsidRPr="00BB3BAB">
        <w:rPr>
          <w:rFonts w:ascii="Arial" w:hAnsi="Arial" w:cs="Arial"/>
        </w:rPr>
        <w:br/>
      </w:r>
      <w:r w:rsidR="00BB3BAB" w:rsidRPr="00BB3BAB">
        <w:rPr>
          <w:rFonts w:ascii="Arial" w:hAnsi="Arial" w:cs="Arial"/>
        </w:rPr>
        <w:t>I</w:t>
      </w:r>
      <w:r w:rsidR="00BB3BAB" w:rsidRPr="00BB3BAB">
        <w:rPr>
          <w:rFonts w:ascii="Arial" w:hAnsi="Arial" w:cs="Arial"/>
        </w:rPr>
        <w:t>n conclusion, effective long-term management of Type 2 diabetes relies heavily on patients developing a clear understanding of the underlying physiology of glucose homeostasis, cellular energy production through aerobic respiration, and the critical role of regular blood glucose monitoring. When patients comprehend how insulin and glucagon regulate blood sugar levels and how glucose and oxygen are utilised at a cellular level to produce energy, they are far better equipped to make informed decisions that support their health (Röder et al., 2016; Haythorne et al., 2019).</w:t>
      </w:r>
    </w:p>
    <w:p w14:paraId="3EEB8CCB" w14:textId="7F596781" w:rsidR="00BB3BAB" w:rsidRPr="00BB3BAB" w:rsidRDefault="00BB3BAB" w:rsidP="00BB3BAB">
      <w:pPr>
        <w:spacing w:line="360" w:lineRule="auto"/>
        <w:rPr>
          <w:rFonts w:ascii="Arial" w:hAnsi="Arial" w:cs="Arial"/>
        </w:rPr>
      </w:pPr>
      <w:r w:rsidRPr="00BB3BAB">
        <w:rPr>
          <w:rFonts w:ascii="Arial" w:hAnsi="Arial" w:cs="Arial"/>
        </w:rPr>
        <w:t xml:space="preserve">Structured self-monitoring of blood glucose, combined with sustainable lifestyle modifications — particularly in the areas of diet, physical activity, and smoking cessation — offers a powerful, evidence-based approach to improving glycaemic control, reducing the risk of serious complications, and potentially achieving remission in the early stages of the condition. </w:t>
      </w:r>
    </w:p>
    <w:p w14:paraId="24416D61" w14:textId="77777777" w:rsidR="00BB3BAB" w:rsidRPr="00BB3BAB" w:rsidRDefault="00BB3BAB" w:rsidP="00BB3BAB">
      <w:pPr>
        <w:spacing w:line="360" w:lineRule="auto"/>
        <w:rPr>
          <w:rFonts w:ascii="Arial" w:hAnsi="Arial" w:cs="Arial"/>
        </w:rPr>
      </w:pPr>
      <w:r w:rsidRPr="00BB3BAB">
        <w:rPr>
          <w:rFonts w:ascii="Arial" w:hAnsi="Arial" w:cs="Arial"/>
        </w:rPr>
        <w:t>As a practice nurse working in primary care, there is a significant opportunity to deliver high-quality, personalised patient education that bridges the gap between theoretical knowledge and practical daily self-management. By empowering individuals with this knowledge, nurses can foster greater patient autonomy, self-efficacy, and engagement with their care plans.</w:t>
      </w:r>
      <w:r w:rsidRPr="00BB3BAB">
        <w:rPr>
          <w:rFonts w:ascii="Arial" w:hAnsi="Arial" w:cs="Arial"/>
        </w:rPr>
        <w:br/>
        <w:t xml:space="preserve">Ultimately, successful diabetes management demands a holistic, multidisciplinary approach involving ongoing support from healthcare professionals, regular review of progress, and </w:t>
      </w:r>
      <w:r w:rsidRPr="00BB3BAB">
        <w:rPr>
          <w:rFonts w:ascii="Arial" w:hAnsi="Arial" w:cs="Arial"/>
        </w:rPr>
        <w:lastRenderedPageBreak/>
        <w:t xml:space="preserve">individualised care tailored to each patient’s lifestyle, preferences, and cultural needs. Investing time in comprehensive patient education not only improves clinical outcomes such as HbA1c levels and reduced cardiovascular risk but also significantly enhances overall quality of life and psychological wellbeing. </w:t>
      </w:r>
    </w:p>
    <w:p w14:paraId="718CD25B" w14:textId="6D850C9A" w:rsidR="00EC45AC" w:rsidRPr="00BB3BAB" w:rsidRDefault="00BB3BAB" w:rsidP="00BB3BAB">
      <w:pPr>
        <w:spacing w:line="360" w:lineRule="auto"/>
        <w:rPr>
          <w:rFonts w:ascii="Arial" w:hAnsi="Arial" w:cs="Arial"/>
        </w:rPr>
      </w:pPr>
      <w:r w:rsidRPr="00BB3BAB">
        <w:rPr>
          <w:rFonts w:ascii="Arial" w:hAnsi="Arial" w:cs="Arial"/>
        </w:rPr>
        <w:t>Moving forward, practice nurses should continue to champion patient-centred education as a cornerstone of diabetes care in the community.</w:t>
      </w:r>
    </w:p>
    <w:p w14:paraId="426ED655" w14:textId="77777777" w:rsidR="00EC45AC" w:rsidRPr="00BB3BAB" w:rsidRDefault="00EC45AC" w:rsidP="00BB3BAB">
      <w:pPr>
        <w:spacing w:line="360" w:lineRule="auto"/>
        <w:rPr>
          <w:rFonts w:ascii="Arial" w:hAnsi="Arial" w:cs="Arial"/>
        </w:rPr>
      </w:pPr>
    </w:p>
    <w:p w14:paraId="1E62B77A" w14:textId="77777777" w:rsidR="00BB3BAB" w:rsidRPr="00BB3BAB" w:rsidRDefault="00BB3BAB" w:rsidP="00BB3BAB">
      <w:pPr>
        <w:spacing w:line="360" w:lineRule="auto"/>
        <w:rPr>
          <w:rFonts w:ascii="Arial" w:hAnsi="Arial" w:cs="Arial"/>
        </w:rPr>
      </w:pPr>
    </w:p>
    <w:p w14:paraId="58955061" w14:textId="77777777" w:rsidR="00BB3BAB" w:rsidRPr="00BB3BAB" w:rsidRDefault="00BB3BAB" w:rsidP="00BB3BAB">
      <w:pPr>
        <w:spacing w:line="360" w:lineRule="auto"/>
        <w:rPr>
          <w:rFonts w:ascii="Arial" w:hAnsi="Arial" w:cs="Arial"/>
        </w:rPr>
      </w:pPr>
    </w:p>
    <w:p w14:paraId="7DBB9B0A" w14:textId="77777777" w:rsidR="00BB3BAB" w:rsidRPr="00BB3BAB" w:rsidRDefault="00BB3BAB" w:rsidP="00BB3BAB">
      <w:pPr>
        <w:spacing w:line="360" w:lineRule="auto"/>
        <w:rPr>
          <w:rFonts w:ascii="Arial" w:hAnsi="Arial" w:cs="Arial"/>
        </w:rPr>
      </w:pPr>
    </w:p>
    <w:p w14:paraId="2B9FF448" w14:textId="77777777" w:rsidR="00BB3BAB" w:rsidRPr="00BB3BAB" w:rsidRDefault="00BB3BAB" w:rsidP="00BB3BAB">
      <w:pPr>
        <w:spacing w:line="360" w:lineRule="auto"/>
        <w:rPr>
          <w:rFonts w:ascii="Arial" w:hAnsi="Arial" w:cs="Arial"/>
        </w:rPr>
      </w:pPr>
    </w:p>
    <w:p w14:paraId="5911CF2B" w14:textId="77777777" w:rsidR="00BB3BAB" w:rsidRDefault="00BB3BAB" w:rsidP="00BB3BAB">
      <w:pPr>
        <w:spacing w:line="360" w:lineRule="auto"/>
        <w:rPr>
          <w:rFonts w:ascii="Arial" w:hAnsi="Arial" w:cs="Arial"/>
        </w:rPr>
      </w:pPr>
    </w:p>
    <w:p w14:paraId="17253AE5" w14:textId="77777777" w:rsidR="00712097" w:rsidRDefault="00712097" w:rsidP="00BB3BAB">
      <w:pPr>
        <w:spacing w:line="360" w:lineRule="auto"/>
        <w:rPr>
          <w:rFonts w:ascii="Arial" w:hAnsi="Arial" w:cs="Arial"/>
        </w:rPr>
      </w:pPr>
    </w:p>
    <w:p w14:paraId="65358067" w14:textId="77777777" w:rsidR="00712097" w:rsidRDefault="00712097" w:rsidP="00BB3BAB">
      <w:pPr>
        <w:spacing w:line="360" w:lineRule="auto"/>
        <w:rPr>
          <w:rFonts w:ascii="Arial" w:hAnsi="Arial" w:cs="Arial"/>
        </w:rPr>
      </w:pPr>
    </w:p>
    <w:p w14:paraId="4F62C218" w14:textId="77777777" w:rsidR="00712097" w:rsidRDefault="00712097" w:rsidP="00BB3BAB">
      <w:pPr>
        <w:spacing w:line="360" w:lineRule="auto"/>
        <w:rPr>
          <w:rFonts w:ascii="Arial" w:hAnsi="Arial" w:cs="Arial"/>
        </w:rPr>
      </w:pPr>
    </w:p>
    <w:p w14:paraId="230DEA56" w14:textId="77777777" w:rsidR="00712097" w:rsidRDefault="00712097" w:rsidP="00BB3BAB">
      <w:pPr>
        <w:spacing w:line="360" w:lineRule="auto"/>
        <w:rPr>
          <w:rFonts w:ascii="Arial" w:hAnsi="Arial" w:cs="Arial"/>
        </w:rPr>
      </w:pPr>
    </w:p>
    <w:p w14:paraId="2AFEAED5" w14:textId="77777777" w:rsidR="00712097" w:rsidRDefault="00712097" w:rsidP="00BB3BAB">
      <w:pPr>
        <w:spacing w:line="360" w:lineRule="auto"/>
        <w:rPr>
          <w:rFonts w:ascii="Arial" w:hAnsi="Arial" w:cs="Arial"/>
        </w:rPr>
      </w:pPr>
    </w:p>
    <w:p w14:paraId="7CAAB48C" w14:textId="77777777" w:rsidR="00712097" w:rsidRDefault="00712097" w:rsidP="00BB3BAB">
      <w:pPr>
        <w:spacing w:line="360" w:lineRule="auto"/>
        <w:rPr>
          <w:rFonts w:ascii="Arial" w:hAnsi="Arial" w:cs="Arial"/>
        </w:rPr>
      </w:pPr>
    </w:p>
    <w:p w14:paraId="1028BB53" w14:textId="77777777" w:rsidR="00712097" w:rsidRDefault="00712097" w:rsidP="00BB3BAB">
      <w:pPr>
        <w:spacing w:line="360" w:lineRule="auto"/>
        <w:rPr>
          <w:rFonts w:ascii="Arial" w:hAnsi="Arial" w:cs="Arial"/>
        </w:rPr>
      </w:pPr>
    </w:p>
    <w:p w14:paraId="7A046C76" w14:textId="77777777" w:rsidR="00712097" w:rsidRDefault="00712097" w:rsidP="00BB3BAB">
      <w:pPr>
        <w:spacing w:line="360" w:lineRule="auto"/>
        <w:rPr>
          <w:rFonts w:ascii="Arial" w:hAnsi="Arial" w:cs="Arial"/>
        </w:rPr>
      </w:pPr>
    </w:p>
    <w:p w14:paraId="3A851A87" w14:textId="77777777" w:rsidR="00712097" w:rsidRDefault="00712097" w:rsidP="00BB3BAB">
      <w:pPr>
        <w:spacing w:line="360" w:lineRule="auto"/>
        <w:rPr>
          <w:rFonts w:ascii="Arial" w:hAnsi="Arial" w:cs="Arial"/>
        </w:rPr>
      </w:pPr>
    </w:p>
    <w:p w14:paraId="212727FC" w14:textId="77777777" w:rsidR="00712097" w:rsidRDefault="00712097" w:rsidP="00BB3BAB">
      <w:pPr>
        <w:spacing w:line="360" w:lineRule="auto"/>
        <w:rPr>
          <w:rFonts w:ascii="Arial" w:hAnsi="Arial" w:cs="Arial"/>
        </w:rPr>
      </w:pPr>
    </w:p>
    <w:p w14:paraId="2ADC7E18" w14:textId="77777777" w:rsidR="00712097" w:rsidRDefault="00712097" w:rsidP="00BB3BAB">
      <w:pPr>
        <w:spacing w:line="360" w:lineRule="auto"/>
        <w:rPr>
          <w:rFonts w:ascii="Arial" w:hAnsi="Arial" w:cs="Arial"/>
        </w:rPr>
      </w:pPr>
    </w:p>
    <w:p w14:paraId="08A9F31F" w14:textId="77777777" w:rsidR="00712097" w:rsidRDefault="00712097" w:rsidP="00BB3BAB">
      <w:pPr>
        <w:spacing w:line="360" w:lineRule="auto"/>
        <w:rPr>
          <w:rFonts w:ascii="Arial" w:hAnsi="Arial" w:cs="Arial"/>
        </w:rPr>
      </w:pPr>
    </w:p>
    <w:p w14:paraId="1E898D9E" w14:textId="77777777" w:rsidR="00712097" w:rsidRDefault="00712097" w:rsidP="00BB3BAB">
      <w:pPr>
        <w:spacing w:line="360" w:lineRule="auto"/>
        <w:rPr>
          <w:rFonts w:ascii="Arial" w:hAnsi="Arial" w:cs="Arial"/>
        </w:rPr>
      </w:pPr>
    </w:p>
    <w:p w14:paraId="436CBDA4" w14:textId="77777777" w:rsidR="00712097" w:rsidRDefault="00712097" w:rsidP="00BB3BAB">
      <w:pPr>
        <w:spacing w:line="360" w:lineRule="auto"/>
        <w:rPr>
          <w:rFonts w:ascii="Arial" w:hAnsi="Arial" w:cs="Arial"/>
        </w:rPr>
      </w:pPr>
    </w:p>
    <w:p w14:paraId="1EDB57A5" w14:textId="77777777" w:rsidR="00712097" w:rsidRPr="00BB3BAB" w:rsidRDefault="00712097" w:rsidP="00BB3BAB">
      <w:pPr>
        <w:spacing w:line="360" w:lineRule="auto"/>
        <w:rPr>
          <w:rFonts w:ascii="Arial" w:hAnsi="Arial" w:cs="Arial"/>
        </w:rPr>
      </w:pPr>
    </w:p>
    <w:p w14:paraId="45D4EB56" w14:textId="1B459398" w:rsidR="00BB3BAB" w:rsidRPr="00FF7481" w:rsidRDefault="00EC45AC" w:rsidP="00FF7481">
      <w:pPr>
        <w:pStyle w:val="Heading1"/>
        <w:rPr>
          <w:rFonts w:ascii="Arial" w:hAnsi="Arial" w:cs="Arial"/>
          <w:sz w:val="22"/>
          <w:szCs w:val="22"/>
        </w:rPr>
      </w:pPr>
      <w:bookmarkStart w:id="6" w:name="_Toc233492234"/>
      <w:r w:rsidRPr="00FF7481">
        <w:rPr>
          <w:rFonts w:ascii="Arial" w:hAnsi="Arial" w:cs="Arial"/>
          <w:sz w:val="22"/>
          <w:szCs w:val="22"/>
        </w:rPr>
        <w:lastRenderedPageBreak/>
        <w:t>Re</w:t>
      </w:r>
      <w:r w:rsidR="00BB3BAB" w:rsidRPr="00FF7481">
        <w:rPr>
          <w:rFonts w:ascii="Arial" w:hAnsi="Arial" w:cs="Arial"/>
          <w:sz w:val="22"/>
          <w:szCs w:val="22"/>
        </w:rPr>
        <w:t>ferences</w:t>
      </w:r>
      <w:bookmarkEnd w:id="6"/>
    </w:p>
    <w:p w14:paraId="01C19574" w14:textId="5ECED539" w:rsidR="00875783" w:rsidRPr="00BB3BAB" w:rsidRDefault="00EC45AC" w:rsidP="00BB3BAB">
      <w:pPr>
        <w:spacing w:line="360" w:lineRule="auto"/>
        <w:rPr>
          <w:rFonts w:ascii="Arial" w:hAnsi="Arial" w:cs="Arial"/>
        </w:rPr>
      </w:pPr>
      <w:r w:rsidRPr="00BB3BAB">
        <w:rPr>
          <w:rFonts w:ascii="Arial" w:hAnsi="Arial" w:cs="Arial"/>
        </w:rPr>
        <w:br/>
        <w:t>American Diabetes Association (2026) ‘2. Diagnosis and Classification of Diabetes: Standards of Care in Diabetes—2026’, Diabetes Care, 49(Supplement 1), pp. S27–SXX. Available at: </w:t>
      </w:r>
      <w:hyperlink r:id="rId10" w:tgtFrame="_blank" w:tooltip="Original URL: https://diabetesjournals.org/care/article/49/Supplement_1/S27/163926. Click or tap if you trust this link." w:history="1">
        <w:r w:rsidRPr="00BB3BAB">
          <w:rPr>
            <w:rStyle w:val="Hyperlink"/>
            <w:rFonts w:ascii="Arial" w:hAnsi="Arial" w:cs="Arial"/>
          </w:rPr>
          <w:t>https://diabetesjournals.org/care/article/49/Supplement_1/S27/163926</w:t>
        </w:r>
      </w:hyperlink>
      <w:r w:rsidRPr="00BB3BAB">
        <w:rPr>
          <w:rFonts w:ascii="Arial" w:hAnsi="Arial" w:cs="Arial"/>
        </w:rPr>
        <w:t> (Accessed: 21 June 2026).</w:t>
      </w:r>
      <w:r w:rsidRPr="00BB3BAB">
        <w:rPr>
          <w:rFonts w:ascii="Arial" w:hAnsi="Arial" w:cs="Arial"/>
        </w:rPr>
        <w:br/>
        <w:t xml:space="preserve">CDC (2024) Diabetes risk factors. </w:t>
      </w:r>
      <w:proofErr w:type="spellStart"/>
      <w:r w:rsidRPr="00BB3BAB">
        <w:rPr>
          <w:rFonts w:ascii="Arial" w:hAnsi="Arial" w:cs="Arial"/>
          <w:lang w:val="fr-FR"/>
        </w:rPr>
        <w:t>Available</w:t>
      </w:r>
      <w:proofErr w:type="spellEnd"/>
      <w:r w:rsidRPr="00BB3BAB">
        <w:rPr>
          <w:rFonts w:ascii="Arial" w:hAnsi="Arial" w:cs="Arial"/>
          <w:lang w:val="fr-FR"/>
        </w:rPr>
        <w:t xml:space="preserve"> at: </w:t>
      </w:r>
      <w:hyperlink r:id="rId11" w:tgtFrame="_blank" w:tooltip="Original URL: https://www.cdc.gov/diabetes/risk-factors/index.html. Click or tap if you trust this link." w:history="1">
        <w:r w:rsidRPr="00BB3BAB">
          <w:rPr>
            <w:rStyle w:val="Hyperlink"/>
            <w:rFonts w:ascii="Arial" w:hAnsi="Arial" w:cs="Arial"/>
            <w:lang w:val="fr-FR"/>
          </w:rPr>
          <w:t>https://www.cdc.gov/diabetes/risk-factors/index.html</w:t>
        </w:r>
      </w:hyperlink>
      <w:r w:rsidRPr="00BB3BAB">
        <w:rPr>
          <w:rFonts w:ascii="Arial" w:hAnsi="Arial" w:cs="Arial"/>
          <w:lang w:val="fr-FR"/>
        </w:rPr>
        <w:t> (Accessed: 21 June 2026).</w:t>
      </w:r>
      <w:r w:rsidRPr="00BB3BAB">
        <w:rPr>
          <w:rFonts w:ascii="Arial" w:hAnsi="Arial" w:cs="Arial"/>
          <w:lang w:val="fr-FR"/>
        </w:rPr>
        <w:br/>
      </w:r>
      <w:r w:rsidRPr="00BB3BAB">
        <w:rPr>
          <w:rFonts w:ascii="Arial" w:hAnsi="Arial" w:cs="Arial"/>
        </w:rPr>
        <w:t>Galaviz, K.I. et al. (2015) ‘Lifestyle and the prevention of type 2 diabetes: a status report’, American Journal of Lifestyle Medicine, 12(1), pp. 4–20. doi:10.1177/1559827615619159. </w:t>
      </w:r>
      <w:hyperlink r:id="rId12" w:tgtFrame="_blank" w:tooltip="Original URL: http://pmc.ncbi.nlm.nih.gov/. Click or tap if you trust this link." w:history="1">
        <w:r w:rsidRPr="00BB3BAB">
          <w:rPr>
            <w:rStyle w:val="Hyperlink"/>
            <w:rFonts w:ascii="Arial" w:hAnsi="Arial" w:cs="Arial"/>
          </w:rPr>
          <w:t>pmc.ncbi.nlm.nih.gov</w:t>
        </w:r>
      </w:hyperlink>
      <w:r w:rsidRPr="00BB3BAB">
        <w:rPr>
          <w:rFonts w:ascii="Arial" w:hAnsi="Arial" w:cs="Arial"/>
        </w:rPr>
        <w:br/>
        <w:t>Haythorne, E. et al. (2019) ‘Diabetes causes marked inhibition of mitochondrial metabolism in pancreatic β-cells’, Nature Communications, 10, 2474. doi:10.1038/s41467-019-10189-x. </w:t>
      </w:r>
      <w:hyperlink r:id="rId13" w:tgtFrame="_blank" w:tooltip="Original URL: http://nature.com/. Click or tap if you trust this link." w:history="1">
        <w:r w:rsidRPr="00BB3BAB">
          <w:rPr>
            <w:rStyle w:val="Hyperlink"/>
            <w:rFonts w:ascii="Arial" w:hAnsi="Arial" w:cs="Arial"/>
          </w:rPr>
          <w:t>nature.com</w:t>
        </w:r>
      </w:hyperlink>
      <w:r w:rsidRPr="00BB3BAB">
        <w:rPr>
          <w:rFonts w:ascii="Arial" w:hAnsi="Arial" w:cs="Arial"/>
        </w:rPr>
        <w:br/>
        <w:t>Holmes-Truscott, E. et al. (2023) ‘The impact of structured self-monitoring of blood glucose…’, Frontiers in Clinical Diabetes and Healthcare. doi:10.3389/fcdhc.2023.1177030. </w:t>
      </w:r>
      <w:hyperlink r:id="rId14" w:tgtFrame="_blank" w:tooltip="Original URL: http://frontiersin.org/. Click or tap if you trust this link." w:history="1">
        <w:r w:rsidRPr="00BB3BAB">
          <w:rPr>
            <w:rStyle w:val="Hyperlink"/>
            <w:rFonts w:ascii="Arial" w:hAnsi="Arial" w:cs="Arial"/>
          </w:rPr>
          <w:t>frontiersin.org</w:t>
        </w:r>
      </w:hyperlink>
      <w:r w:rsidRPr="00BB3BAB">
        <w:rPr>
          <w:rFonts w:ascii="Arial" w:hAnsi="Arial" w:cs="Arial"/>
        </w:rPr>
        <w:br/>
        <w:t xml:space="preserve">Khan Academy (n.d.) Steps of cellular respiration. </w:t>
      </w:r>
      <w:proofErr w:type="spellStart"/>
      <w:r w:rsidRPr="00BB3BAB">
        <w:rPr>
          <w:rFonts w:ascii="Arial" w:hAnsi="Arial" w:cs="Arial"/>
          <w:lang w:val="fr-FR"/>
        </w:rPr>
        <w:t>Available</w:t>
      </w:r>
      <w:proofErr w:type="spellEnd"/>
      <w:r w:rsidRPr="00BB3BAB">
        <w:rPr>
          <w:rFonts w:ascii="Arial" w:hAnsi="Arial" w:cs="Arial"/>
          <w:lang w:val="fr-FR"/>
        </w:rPr>
        <w:t xml:space="preserve"> at: </w:t>
      </w:r>
      <w:hyperlink r:id="rId15" w:tgtFrame="_blank" w:tooltip="Original URL: https://www.khanacademy.org/science/ap-biology/cellular-energetics/cellular-respiration-ap/a/steps-of-cellular-respiration. Click or tap if you trust this link." w:history="1">
        <w:r w:rsidRPr="00BB3BAB">
          <w:rPr>
            <w:rStyle w:val="Hyperlink"/>
            <w:rFonts w:ascii="Arial" w:hAnsi="Arial" w:cs="Arial"/>
            <w:lang w:val="fr-FR"/>
          </w:rPr>
          <w:t>https://www.khanacademy.org/science/ap-biology/cellular-energetics/cellular-respiration-ap/a/steps-of-cellular-respiration</w:t>
        </w:r>
      </w:hyperlink>
      <w:r w:rsidRPr="00BB3BAB">
        <w:rPr>
          <w:rFonts w:ascii="Arial" w:hAnsi="Arial" w:cs="Arial"/>
          <w:lang w:val="fr-FR"/>
        </w:rPr>
        <w:t> (Accessed: 21 June 2026).</w:t>
      </w:r>
      <w:r w:rsidRPr="00BB3BAB">
        <w:rPr>
          <w:rFonts w:ascii="Arial" w:hAnsi="Arial" w:cs="Arial"/>
          <w:lang w:val="fr-FR"/>
        </w:rPr>
        <w:br/>
      </w:r>
      <w:r w:rsidRPr="00BB3BAB">
        <w:rPr>
          <w:rFonts w:ascii="Arial" w:hAnsi="Arial" w:cs="Arial"/>
        </w:rPr>
        <w:t>Kim, M.K. et al. (2022) ‘Effects of exercise initiation and smoking cessation after new-onset type 2 diabetes…’, Scientific Reports, 12, 11400. doi:10.1038/s41598-022-14603-1. </w:t>
      </w:r>
      <w:hyperlink r:id="rId16" w:tgtFrame="_blank" w:tooltip="Original URL: http://nature.com/. Click or tap if you trust this link." w:history="1">
        <w:r w:rsidRPr="00BB3BAB">
          <w:rPr>
            <w:rStyle w:val="Hyperlink"/>
            <w:rFonts w:ascii="Arial" w:hAnsi="Arial" w:cs="Arial"/>
          </w:rPr>
          <w:t>nature.com</w:t>
        </w:r>
      </w:hyperlink>
      <w:r w:rsidRPr="00BB3BAB">
        <w:rPr>
          <w:rFonts w:ascii="Arial" w:hAnsi="Arial" w:cs="Arial"/>
        </w:rPr>
        <w:br/>
        <w:t>Medical News Today (2022) Insulin and glucagon: How they regulate blood sugar levels. Available at: </w:t>
      </w:r>
      <w:hyperlink r:id="rId17" w:tgtFrame="_blank" w:tooltip="Original URL: https://www.medicalnewstoday.com/articles/316427. Click or tap if you trust this link." w:history="1">
        <w:r w:rsidRPr="00BB3BAB">
          <w:rPr>
            <w:rStyle w:val="Hyperlink"/>
            <w:rFonts w:ascii="Arial" w:hAnsi="Arial" w:cs="Arial"/>
          </w:rPr>
          <w:t>https://www.medicalnewstoday.com/articles/316427</w:t>
        </w:r>
      </w:hyperlink>
      <w:r w:rsidRPr="00BB3BAB">
        <w:rPr>
          <w:rFonts w:ascii="Arial" w:hAnsi="Arial" w:cs="Arial"/>
        </w:rPr>
        <w:t> (Accessed: 21 June 2026).</w:t>
      </w:r>
      <w:r w:rsidRPr="00BB3BAB">
        <w:rPr>
          <w:rFonts w:ascii="Arial" w:hAnsi="Arial" w:cs="Arial"/>
        </w:rPr>
        <w:br/>
        <w:t>NICE (2015, updated 2026) Type 2 diabetes in adults: management (NG28). Available at: </w:t>
      </w:r>
      <w:hyperlink r:id="rId18" w:tgtFrame="_blank" w:tooltip="Original URL: https://www.nice.org.uk/guidance/ng28. Click or tap if you trust this link." w:history="1">
        <w:r w:rsidRPr="00BB3BAB">
          <w:rPr>
            <w:rStyle w:val="Hyperlink"/>
            <w:rFonts w:ascii="Arial" w:hAnsi="Arial" w:cs="Arial"/>
          </w:rPr>
          <w:t>https://www.nice.org.uk/guidance/ng28</w:t>
        </w:r>
      </w:hyperlink>
      <w:r w:rsidRPr="00BB3BAB">
        <w:rPr>
          <w:rFonts w:ascii="Arial" w:hAnsi="Arial" w:cs="Arial"/>
        </w:rPr>
        <w:t> (Accessed: 21 June 2026).</w:t>
      </w:r>
      <w:r w:rsidRPr="00BB3BAB">
        <w:rPr>
          <w:rFonts w:ascii="Arial" w:hAnsi="Arial" w:cs="Arial"/>
        </w:rPr>
        <w:br/>
        <w:t>NICE CKS (2024) Diabetes - type 2: background information – risk factors. Available at: </w:t>
      </w:r>
      <w:hyperlink r:id="rId19" w:tgtFrame="_blank" w:tooltip="Original URL: https://cks.nice.org.uk/topics/diabetes-type-2/background-information/risk-factors/. Click or tap if you trust this link." w:history="1">
        <w:r w:rsidRPr="00BB3BAB">
          <w:rPr>
            <w:rStyle w:val="Hyperlink"/>
            <w:rFonts w:ascii="Arial" w:hAnsi="Arial" w:cs="Arial"/>
          </w:rPr>
          <w:t>https://cks.nice.org.uk/topics/diabetes-type-2/background-information/risk-factors/</w:t>
        </w:r>
      </w:hyperlink>
      <w:r w:rsidRPr="00BB3BAB">
        <w:rPr>
          <w:rFonts w:ascii="Arial" w:hAnsi="Arial" w:cs="Arial"/>
        </w:rPr>
        <w:t> (Accessed: 21 June 2026).</w:t>
      </w:r>
      <w:r w:rsidRPr="00BB3BAB">
        <w:rPr>
          <w:rFonts w:ascii="Arial" w:hAnsi="Arial" w:cs="Arial"/>
        </w:rPr>
        <w:br/>
        <w:t>Osmosis (2025) Cellular respiration: Steps, process, and stages. Available at: </w:t>
      </w:r>
      <w:hyperlink r:id="rId20" w:tgtFrame="_blank" w:tooltip="Original URL: https://www.osmosis.org/answers/cellular-respiration. Click or tap if you trust this link." w:history="1">
        <w:r w:rsidRPr="00BB3BAB">
          <w:rPr>
            <w:rStyle w:val="Hyperlink"/>
            <w:rFonts w:ascii="Arial" w:hAnsi="Arial" w:cs="Arial"/>
          </w:rPr>
          <w:t>https://www.osmosis.org/answers/cellular-respiration</w:t>
        </w:r>
      </w:hyperlink>
      <w:r w:rsidRPr="00BB3BAB">
        <w:rPr>
          <w:rFonts w:ascii="Arial" w:hAnsi="Arial" w:cs="Arial"/>
        </w:rPr>
        <w:t> (Accessed: 21 June 2026).</w:t>
      </w:r>
      <w:r w:rsidRPr="00BB3BAB">
        <w:rPr>
          <w:rFonts w:ascii="Arial" w:hAnsi="Arial" w:cs="Arial"/>
        </w:rPr>
        <w:br/>
        <w:t>Röder, P.V. et al. (2016) ‘Pancreatic regulation of glucose homeostasis’, Experimental &amp; Molecular Medicine, 48(3), e219. doi:10.1038/emm.2016.6. </w:t>
      </w:r>
      <w:hyperlink r:id="rId21" w:tgtFrame="_blank" w:tooltip="Original URL: http://pmc.ncbi.nlm.nih.gov/. Click or tap if you trust this link." w:history="1">
        <w:r w:rsidRPr="00BB3BAB">
          <w:rPr>
            <w:rStyle w:val="Hyperlink"/>
            <w:rFonts w:ascii="Arial" w:hAnsi="Arial" w:cs="Arial"/>
          </w:rPr>
          <w:t>pmc.ncbi.nlm.nih.gov</w:t>
        </w:r>
      </w:hyperlink>
      <w:r w:rsidRPr="00BB3BAB">
        <w:rPr>
          <w:rFonts w:ascii="Arial" w:hAnsi="Arial" w:cs="Arial"/>
        </w:rPr>
        <w:br/>
        <w:t xml:space="preserve">Wang, H. (2025) ‘Lifestyle interventions in type 2 diabetes with obesity: evidence-based synthesis’, Diabetes, Metabolic Syndrome and Obesity. </w:t>
      </w:r>
      <w:r w:rsidRPr="00BB3BAB">
        <w:rPr>
          <w:rFonts w:ascii="Arial" w:hAnsi="Arial" w:cs="Arial"/>
        </w:rPr>
        <w:lastRenderedPageBreak/>
        <w:t>doi:10.2147/</w:t>
      </w:r>
      <w:proofErr w:type="spellStart"/>
      <w:r w:rsidRPr="00BB3BAB">
        <w:rPr>
          <w:rFonts w:ascii="Arial" w:hAnsi="Arial" w:cs="Arial"/>
        </w:rPr>
        <w:t>DMSO.Sxxxxxx</w:t>
      </w:r>
      <w:proofErr w:type="spellEnd"/>
      <w:r w:rsidRPr="00BB3BAB">
        <w:rPr>
          <w:rFonts w:ascii="Arial" w:hAnsi="Arial" w:cs="Arial"/>
        </w:rPr>
        <w:t>. </w:t>
      </w:r>
      <w:hyperlink r:id="rId22" w:tgtFrame="_blank" w:tooltip="Original URL: http://dovepress.com/. Click or tap if you trust this link." w:history="1">
        <w:r w:rsidRPr="00BB3BAB">
          <w:rPr>
            <w:rStyle w:val="Hyperlink"/>
            <w:rFonts w:ascii="Arial" w:hAnsi="Arial" w:cs="Arial"/>
          </w:rPr>
          <w:t>dovepress.com</w:t>
        </w:r>
      </w:hyperlink>
      <w:r w:rsidRPr="00BB3BAB">
        <w:rPr>
          <w:rFonts w:ascii="Arial" w:hAnsi="Arial" w:cs="Arial"/>
        </w:rPr>
        <w:br/>
        <w:t>WHO (2024) Diabetes fact sheet. Available at: </w:t>
      </w:r>
      <w:hyperlink r:id="rId23" w:tgtFrame="_blank" w:tooltip="Original URL: https://www.who.int/news-room/fact-sheets/detail/diabetes. Click or tap if you trust this link." w:history="1">
        <w:r w:rsidRPr="00BB3BAB">
          <w:rPr>
            <w:rStyle w:val="Hyperlink"/>
            <w:rFonts w:ascii="Arial" w:hAnsi="Arial" w:cs="Arial"/>
          </w:rPr>
          <w:t>https://www.who.int/news-room/fact-sheets/detail/diabetes</w:t>
        </w:r>
      </w:hyperlink>
      <w:r w:rsidRPr="00BB3BAB">
        <w:rPr>
          <w:rFonts w:ascii="Arial" w:hAnsi="Arial" w:cs="Arial"/>
        </w:rPr>
        <w:t> (Accessed: 21 June 2026).</w:t>
      </w:r>
    </w:p>
    <w:sectPr w:rsidR="00875783" w:rsidRPr="00BB3BAB">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84ECB" w14:textId="77777777" w:rsidR="00220BF1" w:rsidRDefault="00220BF1" w:rsidP="001D25A2">
      <w:pPr>
        <w:spacing w:after="0" w:line="240" w:lineRule="auto"/>
      </w:pPr>
      <w:r>
        <w:separator/>
      </w:r>
    </w:p>
  </w:endnote>
  <w:endnote w:type="continuationSeparator" w:id="0">
    <w:p w14:paraId="78025E17" w14:textId="77777777" w:rsidR="00220BF1" w:rsidRDefault="00220BF1" w:rsidP="001D2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6264149"/>
      <w:docPartObj>
        <w:docPartGallery w:val="Page Numbers (Bottom of Page)"/>
        <w:docPartUnique/>
      </w:docPartObj>
    </w:sdtPr>
    <w:sdtContent>
      <w:p w14:paraId="0355D41C" w14:textId="1AB850C6" w:rsidR="00B64CD3" w:rsidRDefault="00B64CD3">
        <w:pPr>
          <w:pStyle w:val="Footer"/>
          <w:jc w:val="center"/>
        </w:pPr>
        <w:r>
          <w:fldChar w:fldCharType="begin"/>
        </w:r>
        <w:r>
          <w:instrText>PAGE   \* MERGEFORMAT</w:instrText>
        </w:r>
        <w:r>
          <w:fldChar w:fldCharType="separate"/>
        </w:r>
        <w:r>
          <w:t>2</w:t>
        </w:r>
        <w:r>
          <w:fldChar w:fldCharType="end"/>
        </w:r>
      </w:p>
    </w:sdtContent>
  </w:sdt>
  <w:p w14:paraId="2B52EF2E" w14:textId="77777777" w:rsidR="00B64CD3" w:rsidRDefault="00B64C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2BCE5" w14:textId="77777777" w:rsidR="00220BF1" w:rsidRDefault="00220BF1" w:rsidP="001D25A2">
      <w:pPr>
        <w:spacing w:after="0" w:line="240" w:lineRule="auto"/>
      </w:pPr>
      <w:r>
        <w:separator/>
      </w:r>
    </w:p>
  </w:footnote>
  <w:footnote w:type="continuationSeparator" w:id="0">
    <w:p w14:paraId="301A6B25" w14:textId="77777777" w:rsidR="00220BF1" w:rsidRDefault="00220BF1" w:rsidP="001D25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5AC"/>
    <w:rsid w:val="00123D21"/>
    <w:rsid w:val="00155208"/>
    <w:rsid w:val="001B5813"/>
    <w:rsid w:val="001D25A2"/>
    <w:rsid w:val="00220BF1"/>
    <w:rsid w:val="00264C10"/>
    <w:rsid w:val="002D60B0"/>
    <w:rsid w:val="00341772"/>
    <w:rsid w:val="00393D2D"/>
    <w:rsid w:val="003E192C"/>
    <w:rsid w:val="00434C44"/>
    <w:rsid w:val="005930B1"/>
    <w:rsid w:val="00653DF1"/>
    <w:rsid w:val="00672644"/>
    <w:rsid w:val="00712097"/>
    <w:rsid w:val="007316B4"/>
    <w:rsid w:val="007C3197"/>
    <w:rsid w:val="00875783"/>
    <w:rsid w:val="00A6522A"/>
    <w:rsid w:val="00A93415"/>
    <w:rsid w:val="00B64CD3"/>
    <w:rsid w:val="00BB3BAB"/>
    <w:rsid w:val="00C47002"/>
    <w:rsid w:val="00E109B6"/>
    <w:rsid w:val="00E47C3E"/>
    <w:rsid w:val="00EA750A"/>
    <w:rsid w:val="00EC45AC"/>
    <w:rsid w:val="00EF5A25"/>
    <w:rsid w:val="00FF1736"/>
    <w:rsid w:val="00FF74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3BBAC"/>
  <w15:chartTrackingRefBased/>
  <w15:docId w15:val="{E368198B-02B1-4BDB-8F3C-E4F3FC8E6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5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45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45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45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45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45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45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45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45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45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45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45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45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45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45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45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45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45AC"/>
    <w:rPr>
      <w:rFonts w:eastAsiaTheme="majorEastAsia" w:cstheme="majorBidi"/>
      <w:color w:val="272727" w:themeColor="text1" w:themeTint="D8"/>
    </w:rPr>
  </w:style>
  <w:style w:type="paragraph" w:styleId="Title">
    <w:name w:val="Title"/>
    <w:basedOn w:val="Normal"/>
    <w:next w:val="Normal"/>
    <w:link w:val="TitleChar"/>
    <w:uiPriority w:val="10"/>
    <w:qFormat/>
    <w:rsid w:val="00EC45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45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45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45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45AC"/>
    <w:pPr>
      <w:spacing w:before="160"/>
      <w:jc w:val="center"/>
    </w:pPr>
    <w:rPr>
      <w:i/>
      <w:iCs/>
      <w:color w:val="404040" w:themeColor="text1" w:themeTint="BF"/>
    </w:rPr>
  </w:style>
  <w:style w:type="character" w:customStyle="1" w:styleId="QuoteChar">
    <w:name w:val="Quote Char"/>
    <w:basedOn w:val="DefaultParagraphFont"/>
    <w:link w:val="Quote"/>
    <w:uiPriority w:val="29"/>
    <w:rsid w:val="00EC45AC"/>
    <w:rPr>
      <w:i/>
      <w:iCs/>
      <w:color w:val="404040" w:themeColor="text1" w:themeTint="BF"/>
    </w:rPr>
  </w:style>
  <w:style w:type="paragraph" w:styleId="ListParagraph">
    <w:name w:val="List Paragraph"/>
    <w:basedOn w:val="Normal"/>
    <w:uiPriority w:val="34"/>
    <w:qFormat/>
    <w:rsid w:val="00EC45AC"/>
    <w:pPr>
      <w:ind w:left="720"/>
      <w:contextualSpacing/>
    </w:pPr>
  </w:style>
  <w:style w:type="character" w:styleId="IntenseEmphasis">
    <w:name w:val="Intense Emphasis"/>
    <w:basedOn w:val="DefaultParagraphFont"/>
    <w:uiPriority w:val="21"/>
    <w:qFormat/>
    <w:rsid w:val="00EC45AC"/>
    <w:rPr>
      <w:i/>
      <w:iCs/>
      <w:color w:val="0F4761" w:themeColor="accent1" w:themeShade="BF"/>
    </w:rPr>
  </w:style>
  <w:style w:type="paragraph" w:styleId="IntenseQuote">
    <w:name w:val="Intense Quote"/>
    <w:basedOn w:val="Normal"/>
    <w:next w:val="Normal"/>
    <w:link w:val="IntenseQuoteChar"/>
    <w:uiPriority w:val="30"/>
    <w:qFormat/>
    <w:rsid w:val="00EC45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45AC"/>
    <w:rPr>
      <w:i/>
      <w:iCs/>
      <w:color w:val="0F4761" w:themeColor="accent1" w:themeShade="BF"/>
    </w:rPr>
  </w:style>
  <w:style w:type="character" w:styleId="IntenseReference">
    <w:name w:val="Intense Reference"/>
    <w:basedOn w:val="DefaultParagraphFont"/>
    <w:uiPriority w:val="32"/>
    <w:qFormat/>
    <w:rsid w:val="00EC45AC"/>
    <w:rPr>
      <w:b/>
      <w:bCs/>
      <w:smallCaps/>
      <w:color w:val="0F4761" w:themeColor="accent1" w:themeShade="BF"/>
      <w:spacing w:val="5"/>
    </w:rPr>
  </w:style>
  <w:style w:type="character" w:styleId="Hyperlink">
    <w:name w:val="Hyperlink"/>
    <w:basedOn w:val="DefaultParagraphFont"/>
    <w:uiPriority w:val="99"/>
    <w:unhideWhenUsed/>
    <w:rsid w:val="00EC45AC"/>
    <w:rPr>
      <w:color w:val="467886" w:themeColor="hyperlink"/>
      <w:u w:val="single"/>
    </w:rPr>
  </w:style>
  <w:style w:type="character" w:styleId="UnresolvedMention">
    <w:name w:val="Unresolved Mention"/>
    <w:basedOn w:val="DefaultParagraphFont"/>
    <w:uiPriority w:val="99"/>
    <w:semiHidden/>
    <w:unhideWhenUsed/>
    <w:rsid w:val="00EC45AC"/>
    <w:rPr>
      <w:color w:val="605E5C"/>
      <w:shd w:val="clear" w:color="auto" w:fill="E1DFDD"/>
    </w:rPr>
  </w:style>
  <w:style w:type="paragraph" w:styleId="TOCHeading">
    <w:name w:val="TOC Heading"/>
    <w:basedOn w:val="Heading1"/>
    <w:next w:val="Normal"/>
    <w:uiPriority w:val="39"/>
    <w:unhideWhenUsed/>
    <w:qFormat/>
    <w:rsid w:val="00FF7481"/>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FF7481"/>
    <w:pPr>
      <w:spacing w:after="100"/>
    </w:pPr>
  </w:style>
  <w:style w:type="paragraph" w:styleId="Header">
    <w:name w:val="header"/>
    <w:basedOn w:val="Normal"/>
    <w:link w:val="HeaderChar"/>
    <w:uiPriority w:val="99"/>
    <w:unhideWhenUsed/>
    <w:rsid w:val="001D25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25A2"/>
  </w:style>
  <w:style w:type="paragraph" w:styleId="Footer">
    <w:name w:val="footer"/>
    <w:basedOn w:val="Normal"/>
    <w:link w:val="FooterChar"/>
    <w:uiPriority w:val="99"/>
    <w:unhideWhenUsed/>
    <w:rsid w:val="001D25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25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3A%2F%2Fwho.int%2F&amp;data=05%7C02%7C2432522%40student.uwtsd.ac.uk%7Cc5cf148f01bf436638bb08decfe2486a%7C4e0f11f9046e45059cb8db2152311e21%7C0%7C0%7C639176769296267131%7CUnknown%7CTWFpbGZsb3d8eyJFbXB0eU1hcGkiOnRydWUsIlYiOiIwLjAuMDAwMCIsIlAiOiJXaW4zMiIsIkFOIjoiTWFpbCIsIldUIjoyfQ%3D%3D%7C80000%7C%7C%7C&amp;sdata=6tC1tP7hhV7vrVE6XinHsIURqNGGqefSThWZluM5VaM%3D&amp;reserved=0" TargetMode="External"/><Relationship Id="rId13" Type="http://schemas.openxmlformats.org/officeDocument/2006/relationships/hyperlink" Target="https://eur01.safelinks.protection.outlook.com/?url=http%3A%2F%2Fnature.com%2F&amp;data=05%7C02%7C2432522%40student.uwtsd.ac.uk%7Cc5cf148f01bf436638bb08decfe2486a%7C4e0f11f9046e45059cb8db2152311e21%7C0%7C0%7C639176769296612473%7CUnknown%7CTWFpbGZsb3d8eyJFbXB0eU1hcGkiOnRydWUsIlYiOiIwLjAuMDAwMCIsIlAiOiJXaW4zMiIsIkFOIjoiTWFpbCIsIldUIjoyfQ%3D%3D%7C80000%7C%7C%7C&amp;sdata=F%2FeTkhXtqgiD80qAswYTPhzYsf%2FQLgqa%2BvFRgbaD%2BFQ%3D&amp;reserved=0" TargetMode="External"/><Relationship Id="rId18" Type="http://schemas.openxmlformats.org/officeDocument/2006/relationships/hyperlink" Target="https://eur01.safelinks.protection.outlook.com/?url=https%3A%2F%2Fwww.nice.org.uk%2Fguidance%2Fng28&amp;data=05%7C02%7C2432522%40student.uwtsd.ac.uk%7Cc5cf148f01bf436638bb08decfe2486a%7C4e0f11f9046e45059cb8db2152311e21%7C0%7C0%7C639176769296699075%7CUnknown%7CTWFpbGZsb3d8eyJFbXB0eU1hcGkiOnRydWUsIlYiOiIwLjAuMDAwMCIsIlAiOiJXaW4zMiIsIkFOIjoiTWFpbCIsIldUIjoyfQ%3D%3D%7C80000%7C%7C%7C&amp;sdata=wdjF8FOvbTJ44wLEG51gebjAoMKokoOt7zq1lVhaKlo%3D&amp;reserved=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eur01.safelinks.protection.outlook.com/?url=http%3A%2F%2Fpmc.ncbi.nlm.nih.gov%2F&amp;data=05%7C02%7C2432522%40student.uwtsd.ac.uk%7Cc5cf148f01bf436638bb08decfe2486a%7C4e0f11f9046e45059cb8db2152311e21%7C0%7C0%7C639176769296750641%7CUnknown%7CTWFpbGZsb3d8eyJFbXB0eU1hcGkiOnRydWUsIlYiOiIwLjAuMDAwMCIsIlAiOiJXaW4zMiIsIkFOIjoiTWFpbCIsIldUIjoyfQ%3D%3D%7C80000%7C%7C%7C&amp;sdata=qQAo7FkhXkxepdIgN9bDAtyDlSWhYqGjw8NUgjA2O24%3D&amp;reserved=0" TargetMode="External"/><Relationship Id="rId7" Type="http://schemas.openxmlformats.org/officeDocument/2006/relationships/hyperlink" Target="https://eur01.safelinks.protection.outlook.com/?url=http%3A%2F%2Fdiabetesjournals.org%2F&amp;data=05%7C02%7C2432522%40student.uwtsd.ac.uk%7Cc5cf148f01bf436638bb08decfe2486a%7C4e0f11f9046e45059cb8db2152311e21%7C0%7C0%7C639176769296243860%7CUnknown%7CTWFpbGZsb3d8eyJFbXB0eU1hcGkiOnRydWUsIlYiOiIwLjAuMDAwMCIsIlAiOiJXaW4zMiIsIkFOIjoiTWFpbCIsIldUIjoyfQ%3D%3D%7C80000%7C%7C%7C&amp;sdata=n3eykhYWmENROLcfbLqFN3tU2dTaOjltdeSG22Q4nlA%3D&amp;reserved=0" TargetMode="External"/><Relationship Id="rId12" Type="http://schemas.openxmlformats.org/officeDocument/2006/relationships/hyperlink" Target="https://eur01.safelinks.protection.outlook.com/?url=http%3A%2F%2Fpmc.ncbi.nlm.nih.gov%2F&amp;data=05%7C02%7C2432522%40student.uwtsd.ac.uk%7Cc5cf148f01bf436638bb08decfe2486a%7C4e0f11f9046e45059cb8db2152311e21%7C0%7C0%7C639176769296596184%7CUnknown%7CTWFpbGZsb3d8eyJFbXB0eU1hcGkiOnRydWUsIlYiOiIwLjAuMDAwMCIsIlAiOiJXaW4zMiIsIkFOIjoiTWFpbCIsIldUIjoyfQ%3D%3D%7C80000%7C%7C%7C&amp;sdata=69K7FyuPQw8vZzKdwC3niJyInHqg5gwGis4bbtl%2F36o%3D&amp;reserved=0" TargetMode="External"/><Relationship Id="rId17" Type="http://schemas.openxmlformats.org/officeDocument/2006/relationships/hyperlink" Target="https://eur01.safelinks.protection.outlook.com/?url=https%3A%2F%2Fwww.medicalnewstoday.com%2Farticles%2F316427&amp;data=05%7C02%7C2432522%40student.uwtsd.ac.uk%7Cc5cf148f01bf436638bb08decfe2486a%7C4e0f11f9046e45059cb8db2152311e21%7C0%7C0%7C639176769296680826%7CUnknown%7CTWFpbGZsb3d8eyJFbXB0eU1hcGkiOnRydWUsIlYiOiIwLjAuMDAwMCIsIlAiOiJXaW4zMiIsIkFOIjoiTWFpbCIsIldUIjoyfQ%3D%3D%7C80000%7C%7C%7C&amp;sdata=mcza7wLat5xp06As5zBo2K6DEeOB%2BWPvbgQwEKDDtYI%3D&amp;reserved=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ur01.safelinks.protection.outlook.com/?url=http%3A%2F%2Fnature.com%2F&amp;data=05%7C02%7C2432522%40student.uwtsd.ac.uk%7Cc5cf148f01bf436638bb08decfe2486a%7C4e0f11f9046e45059cb8db2152311e21%7C0%7C0%7C639176769296663114%7CUnknown%7CTWFpbGZsb3d8eyJFbXB0eU1hcGkiOnRydWUsIlYiOiIwLjAuMDAwMCIsIlAiOiJXaW4zMiIsIkFOIjoiTWFpbCIsIldUIjoyfQ%3D%3D%7C80000%7C%7C%7C&amp;sdata=M6i90Xi0YHIff7MmvstSkzrqAvdtII581J%2Fa39boYP8%3D&amp;reserved=0" TargetMode="External"/><Relationship Id="rId20" Type="http://schemas.openxmlformats.org/officeDocument/2006/relationships/hyperlink" Target="https://eur01.safelinks.protection.outlook.com/?url=https%3A%2F%2Fwww.osmosis.org%2Fanswers%2Fcellular-respiration&amp;data=05%7C02%7C2432522%40student.uwtsd.ac.uk%7Cc5cf148f01bf436638bb08decfe2486a%7C4e0f11f9046e45059cb8db2152311e21%7C0%7C0%7C639176769296733720%7CUnknown%7CTWFpbGZsb3d8eyJFbXB0eU1hcGkiOnRydWUsIlYiOiIwLjAuMDAwMCIsIlAiOiJXaW4zMiIsIkFOIjoiTWFpbCIsIldUIjoyfQ%3D%3D%7C80000%7C%7C%7C&amp;sdata=S6yrhutSBLmk8WL13WZoS%2BD%2FrMFyf9x9Gr%2BInKi1PTU%3D&amp;reserved=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ur01.safelinks.protection.outlook.com/?url=https%3A%2F%2Fwww.cdc.gov%2Fdiabetes%2Frisk-factors%2Findex.html&amp;data=05%7C02%7C2432522%40student.uwtsd.ac.uk%7Cc5cf148f01bf436638bb08decfe2486a%7C4e0f11f9046e45059cb8db2152311e21%7C0%7C0%7C639176769296580040%7CUnknown%7CTWFpbGZsb3d8eyJFbXB0eU1hcGkiOnRydWUsIlYiOiIwLjAuMDAwMCIsIlAiOiJXaW4zMiIsIkFOIjoiTWFpbCIsIldUIjoyfQ%3D%3D%7C80000%7C%7C%7C&amp;sdata=Omm6fbbkeiWmrazfnzAk1U%2Bfjk9dNp1kpGK%2BWxslp0o%3D&amp;reserved=0"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eur01.safelinks.protection.outlook.com/?url=https%3A%2F%2Fwww.khanacademy.org%2Fscience%2Fap-biology%2Fcellular-energetics%2Fcellular-respiration-ap%2Fa%2Fsteps-of-cellular-respiration&amp;data=05%7C02%7C2432522%40student.uwtsd.ac.uk%7Cc5cf148f01bf436638bb08decfe2486a%7C4e0f11f9046e45059cb8db2152311e21%7C0%7C0%7C639176769296645651%7CUnknown%7CTWFpbGZsb3d8eyJFbXB0eU1hcGkiOnRydWUsIlYiOiIwLjAuMDAwMCIsIlAiOiJXaW4zMiIsIkFOIjoiTWFpbCIsIldUIjoyfQ%3D%3D%7C80000%7C%7C%7C&amp;sdata=FXfqUhGRoAG8ZwqMiFK%2BhUCiM60RgTWIiw7Bj2K2Vic%3D&amp;reserved=0" TargetMode="External"/><Relationship Id="rId23" Type="http://schemas.openxmlformats.org/officeDocument/2006/relationships/hyperlink" Target="https://eur01.safelinks.protection.outlook.com/?url=https%3A%2F%2Fwww.who.int%2Fnews-room%2Ffact-sheets%2Fdetail%2Fdiabetes&amp;data=05%7C02%7C2432522%40student.uwtsd.ac.uk%7Cc5cf148f01bf436638bb08decfe2486a%7C4e0f11f9046e45059cb8db2152311e21%7C0%7C0%7C639176769296784396%7CUnknown%7CTWFpbGZsb3d8eyJFbXB0eU1hcGkiOnRydWUsIlYiOiIwLjAuMDAwMCIsIlAiOiJXaW4zMiIsIkFOIjoiTWFpbCIsIldUIjoyfQ%3D%3D%7C80000%7C%7C%7C&amp;sdata=PwIaIY4y4aJ6Dwes7TfUu2N94RjeLxwli69%2BWUb7nkE%3D&amp;reserved=0" TargetMode="External"/><Relationship Id="rId10" Type="http://schemas.openxmlformats.org/officeDocument/2006/relationships/hyperlink" Target="https://eur01.safelinks.protection.outlook.com/?url=https%3A%2F%2Fdiabetesjournals.org%2Fcare%2Farticle%2F49%2FSupplement_1%2FS27%2F163926&amp;data=05%7C02%7C2432522%40student.uwtsd.ac.uk%7Cc5cf148f01bf436638bb08decfe2486a%7C4e0f11f9046e45059cb8db2152311e21%7C0%7C0%7C639176769296564212%7CUnknown%7CTWFpbGZsb3d8eyJFbXB0eU1hcGkiOnRydWUsIlYiOiIwLjAuMDAwMCIsIlAiOiJXaW4zMiIsIkFOIjoiTWFpbCIsIldUIjoyfQ%3D%3D%7C80000%7C%7C%7C&amp;sdata=bdEjhHrAWAjOSy02EvGqz%2FNzxWIp5vKU2M7dNzNsLiU%3D&amp;reserved=0" TargetMode="External"/><Relationship Id="rId19" Type="http://schemas.openxmlformats.org/officeDocument/2006/relationships/hyperlink" Target="https://eur01.safelinks.protection.outlook.com/?url=https%3A%2F%2Fcks.nice.org.uk%2Ftopics%2Fdiabetes-type-2%2Fbackground-information%2Frisk-factors%2F&amp;data=05%7C02%7C2432522%40student.uwtsd.ac.uk%7Cc5cf148f01bf436638bb08decfe2486a%7C4e0f11f9046e45059cb8db2152311e21%7C0%7C0%7C639176769296716740%7CUnknown%7CTWFpbGZsb3d8eyJFbXB0eU1hcGkiOnRydWUsIlYiOiIwLjAuMDAwMCIsIlAiOiJXaW4zMiIsIkFOIjoiTWFpbCIsIldUIjoyfQ%3D%3D%7C80000%7C%7C%7C&amp;sdata=yIyDrMTPoG0HxdmKhveDRLRiLJThkW5mdSYuGP8v9zU%3D&amp;reserved=0" TargetMode="External"/><Relationship Id="rId4" Type="http://schemas.openxmlformats.org/officeDocument/2006/relationships/webSettings" Target="webSettings.xml"/><Relationship Id="rId9" Type="http://schemas.openxmlformats.org/officeDocument/2006/relationships/hyperlink" Target="https://eur01.safelinks.protection.outlook.com/?url=http%3A%2F%2Fkhanacademy.org%2F&amp;data=05%7C02%7C2432522%40student.uwtsd.ac.uk%7Cc5cf148f01bf436638bb08decfe2486a%7C4e0f11f9046e45059cb8db2152311e21%7C0%7C0%7C639176769296399728%7CUnknown%7CTWFpbGZsb3d8eyJFbXB0eU1hcGkiOnRydWUsIlYiOiIwLjAuMDAwMCIsIlAiOiJXaW4zMiIsIkFOIjoiTWFpbCIsIldUIjoyfQ%3D%3D%7C80000%7C%7C%7C&amp;sdata=L6lLQVgvuucc064B%2B7Bda7SHWhZ3D3vdPYEdjES4UIg%3D&amp;reserved=0" TargetMode="External"/><Relationship Id="rId14" Type="http://schemas.openxmlformats.org/officeDocument/2006/relationships/hyperlink" Target="https://eur01.safelinks.protection.outlook.com/?url=http%3A%2F%2Ffrontiersin.org%2F&amp;data=05%7C02%7C2432522%40student.uwtsd.ac.uk%7Cc5cf148f01bf436638bb08decfe2486a%7C4e0f11f9046e45059cb8db2152311e21%7C0%7C0%7C639176769296627602%7CUnknown%7CTWFpbGZsb3d8eyJFbXB0eU1hcGkiOnRydWUsIlYiOiIwLjAuMDAwMCIsIlAiOiJXaW4zMiIsIkFOIjoiTWFpbCIsIldUIjoyfQ%3D%3D%7C80000%7C%7C%7C&amp;sdata=y%2FxxPG9IKTELniYRE1W010nbLH3u59mLTAYCc6V0Vss%3D&amp;reserved=0" TargetMode="External"/><Relationship Id="rId22" Type="http://schemas.openxmlformats.org/officeDocument/2006/relationships/hyperlink" Target="https://eur01.safelinks.protection.outlook.com/?url=http%3A%2F%2Fdovepress.com%2F&amp;data=05%7C02%7C2432522%40student.uwtsd.ac.uk%7Cc5cf148f01bf436638bb08decfe2486a%7C4e0f11f9046e45059cb8db2152311e21%7C0%7C0%7C639176769296767945%7CUnknown%7CTWFpbGZsb3d8eyJFbXB0eU1hcGkiOnRydWUsIlYiOiIwLjAuMDAwMCIsIlAiOiJXaW4zMiIsIkFOIjoiTWFpbCIsIldUIjoyfQ%3D%3D%7C80000%7C%7C%7C&amp;sdata=F6rUi5jALbpmBl%2Fo72E07u%2BxoGPb4UGLfUA8gzQnPj8%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6F005-7D35-48EE-BAF0-2B9A987C1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4147</Words>
  <Characters>23640</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Khair-Un-Nisa Sajid (2432522)</dc:creator>
  <cp:keywords/>
  <dc:description/>
  <cp:lastModifiedBy>Khair Un Nisa Sajid</cp:lastModifiedBy>
  <cp:revision>1</cp:revision>
  <dcterms:created xsi:type="dcterms:W3CDTF">2026-06-22T22:07:00Z</dcterms:created>
  <dcterms:modified xsi:type="dcterms:W3CDTF">2026-06-27T21:43:00Z</dcterms:modified>
</cp:coreProperties>
</file>