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305D" w:rsidRDefault="00C3305D" w:rsidP="00C3305D">
      <w:pPr>
        <w:rPr>
          <w:b/>
        </w:rPr>
      </w:pPr>
      <w:r>
        <w:rPr>
          <w:u w:val="single"/>
        </w:rPr>
        <w:t xml:space="preserve">ECPP7001 - </w:t>
      </w:r>
      <w:r w:rsidRPr="00CA6DA3">
        <w:rPr>
          <w:u w:val="single"/>
        </w:rPr>
        <w:t>The Enquiring teacher</w:t>
      </w:r>
      <w:r>
        <w:rPr>
          <w:u w:val="single"/>
        </w:rPr>
        <w:t>:</w:t>
      </w:r>
      <w:r>
        <w:t xml:space="preserve"> </w:t>
      </w:r>
      <w:r w:rsidRPr="00CA6DA3">
        <w:rPr>
          <w:i/>
        </w:rPr>
        <w:t xml:space="preserve">How can we improve pupil engagement through </w:t>
      </w:r>
      <w:r>
        <w:rPr>
          <w:i/>
        </w:rPr>
        <w:t xml:space="preserve">the use of games-based </w:t>
      </w:r>
      <w:r w:rsidRPr="00CA6DA3">
        <w:rPr>
          <w:i/>
        </w:rPr>
        <w:t>mental</w:t>
      </w:r>
      <w:r>
        <w:rPr>
          <w:i/>
        </w:rPr>
        <w:t xml:space="preserve"> maths starter in Key Stage 2</w:t>
      </w:r>
      <w:r w:rsidRPr="00CA6DA3">
        <w:rPr>
          <w:i/>
        </w:rPr>
        <w:t>?</w:t>
      </w:r>
      <w:r>
        <w:rPr>
          <w:i/>
        </w:rPr>
        <w:t xml:space="preserve"> </w:t>
      </w:r>
    </w:p>
    <w:p w:rsidR="00C3305D" w:rsidRDefault="00C3305D" w:rsidP="00C3305D">
      <w:pPr>
        <w:rPr>
          <w:rFonts w:cstheme="minorHAnsi"/>
          <w:b/>
        </w:rPr>
      </w:pPr>
      <w:r>
        <w:rPr>
          <w:rFonts w:cstheme="minorHAnsi"/>
          <w:b/>
        </w:rPr>
        <w:t>Introduction</w:t>
      </w:r>
      <w:r w:rsidRPr="008A45C1">
        <w:rPr>
          <w:rFonts w:cstheme="minorHAnsi"/>
          <w:b/>
        </w:rPr>
        <w:t xml:space="preserve"> </w:t>
      </w:r>
    </w:p>
    <w:p w:rsidR="00C3305D" w:rsidRDefault="00C3305D" w:rsidP="00C3305D">
      <w:r>
        <w:t xml:space="preserve">For this assignment, my research partner and I have decided to research the topic of pupil engagement. We chose this topic because we have both found that it can be difficult to keep children engaged in a lesson and </w:t>
      </w:r>
      <w:r w:rsidRPr="005B1098">
        <w:t xml:space="preserve">with research suggesting that pupil engagement decreases as children move through </w:t>
      </w:r>
      <w:r w:rsidRPr="00AC197D">
        <w:t xml:space="preserve">school (Brenneman, 2016), it is important to understand what can be done to improve this. </w:t>
      </w:r>
      <w:r>
        <w:t xml:space="preserve">Hence, we thought that it would be a perfect topic to conduct further research on to improve our understanding and improve our lesson delivery. Having a maths degree, I thought that it would be interesting to see if pupil </w:t>
      </w:r>
      <w:r w:rsidRPr="00627964">
        <w:t>engagement can be improved in maths lessons with the use of a mental maths starter</w:t>
      </w:r>
      <w:r>
        <w:t xml:space="preserve"> especially as the ability to work out mathematics mentally is a key element of numeracy (Haylock and Manning, 2014)</w:t>
      </w:r>
      <w:r w:rsidRPr="00627964">
        <w:t xml:space="preserve">. Furthermore, upon brief initial research, we found that </w:t>
      </w:r>
      <w:r>
        <w:t>student engagement could be improved by the use of game-based learning in lessons (</w:t>
      </w:r>
      <w:proofErr w:type="spellStart"/>
      <w:r>
        <w:t>Hamari</w:t>
      </w:r>
      <w:proofErr w:type="spellEnd"/>
      <w:r>
        <w:t xml:space="preserve"> et al., 2015) and so we settled on our research title.</w:t>
      </w:r>
    </w:p>
    <w:p w:rsidR="00C3305D" w:rsidRPr="005D24C1" w:rsidRDefault="00C3305D" w:rsidP="00C3305D">
      <w:pPr>
        <w:rPr>
          <w:rFonts w:cstheme="minorHAnsi"/>
        </w:rPr>
      </w:pPr>
      <w:r w:rsidRPr="005D24C1">
        <w:rPr>
          <w:rFonts w:cstheme="minorHAnsi"/>
          <w:b/>
          <w:bCs/>
        </w:rPr>
        <w:t>Research context</w:t>
      </w:r>
    </w:p>
    <w:p w:rsidR="003F52CC" w:rsidRDefault="00C3305D" w:rsidP="00C3305D">
      <w:pPr>
        <w:rPr>
          <w:rFonts w:cstheme="minorHAnsi"/>
        </w:rPr>
      </w:pPr>
      <w:r w:rsidRPr="003F657A">
        <w:rPr>
          <w:rFonts w:cstheme="minorHAnsi"/>
        </w:rPr>
        <w:t xml:space="preserve">We will be conducting research in </w:t>
      </w:r>
      <w:r>
        <w:rPr>
          <w:rFonts w:cstheme="minorHAnsi"/>
        </w:rPr>
        <w:t>two primary schools in South W</w:t>
      </w:r>
      <w:r w:rsidRPr="003F657A">
        <w:rPr>
          <w:rFonts w:cstheme="minorHAnsi"/>
        </w:rPr>
        <w:t xml:space="preserve">ales. </w:t>
      </w:r>
      <w:r>
        <w:rPr>
          <w:rFonts w:cstheme="minorHAnsi"/>
        </w:rPr>
        <w:t>The first school, which I shall call School A,</w:t>
      </w:r>
      <w:r w:rsidRPr="003F657A">
        <w:rPr>
          <w:rFonts w:cstheme="minorHAnsi"/>
        </w:rPr>
        <w:t xml:space="preserve"> is </w:t>
      </w:r>
      <w:r>
        <w:rPr>
          <w:rFonts w:cstheme="minorHAnsi"/>
        </w:rPr>
        <w:t>a</w:t>
      </w:r>
      <w:r w:rsidRPr="003F657A">
        <w:rPr>
          <w:rFonts w:cstheme="minorHAnsi"/>
        </w:rPr>
        <w:t xml:space="preserve"> Pioneer primary school which has 471 children on roll, including 31% children with additional learning needs, and </w:t>
      </w:r>
      <w:r>
        <w:rPr>
          <w:rFonts w:cstheme="minorHAnsi"/>
        </w:rPr>
        <w:t xml:space="preserve">with </w:t>
      </w:r>
      <w:r w:rsidRPr="003F657A">
        <w:rPr>
          <w:rFonts w:cstheme="minorHAnsi"/>
        </w:rPr>
        <w:t xml:space="preserve">36% of the children receiving free school meals. The class the research will </w:t>
      </w:r>
      <w:r>
        <w:rPr>
          <w:rFonts w:cstheme="minorHAnsi"/>
        </w:rPr>
        <w:t>focus on</w:t>
      </w:r>
      <w:r w:rsidRPr="003F657A">
        <w:rPr>
          <w:rFonts w:cstheme="minorHAnsi"/>
        </w:rPr>
        <w:t xml:space="preserve"> is a year 4 class </w:t>
      </w:r>
      <w:r>
        <w:rPr>
          <w:rFonts w:cstheme="minorHAnsi"/>
        </w:rPr>
        <w:t>consisting of</w:t>
      </w:r>
      <w:r w:rsidRPr="003F657A">
        <w:rPr>
          <w:rFonts w:cstheme="minorHAnsi"/>
        </w:rPr>
        <w:t xml:space="preserve"> 31 pupils.  The other school</w:t>
      </w:r>
      <w:r>
        <w:rPr>
          <w:rFonts w:cstheme="minorHAnsi"/>
        </w:rPr>
        <w:t>, School B,</w:t>
      </w:r>
      <w:r w:rsidRPr="003F657A">
        <w:rPr>
          <w:rFonts w:cstheme="minorHAnsi"/>
        </w:rPr>
        <w:t xml:space="preserve"> </w:t>
      </w:r>
      <w:r>
        <w:rPr>
          <w:rFonts w:cstheme="minorHAnsi"/>
        </w:rPr>
        <w:t>is in a small village with 180 pupils on roll,</w:t>
      </w:r>
      <w:r w:rsidRPr="003F657A">
        <w:rPr>
          <w:rFonts w:cstheme="minorHAnsi"/>
        </w:rPr>
        <w:t xml:space="preserve"> 43% children with additional learning needs and 33% receiving free school meals. The class </w:t>
      </w:r>
      <w:r>
        <w:rPr>
          <w:rFonts w:cstheme="minorHAnsi"/>
        </w:rPr>
        <w:t>chosen</w:t>
      </w:r>
      <w:r w:rsidRPr="003F657A">
        <w:rPr>
          <w:rFonts w:cstheme="minorHAnsi"/>
        </w:rPr>
        <w:t xml:space="preserve"> for research in this school was a</w:t>
      </w:r>
      <w:r>
        <w:rPr>
          <w:rFonts w:cstheme="minorHAnsi"/>
        </w:rPr>
        <w:t xml:space="preserve"> mixed</w:t>
      </w:r>
      <w:r w:rsidRPr="003F657A">
        <w:rPr>
          <w:rFonts w:cstheme="minorHAnsi"/>
        </w:rPr>
        <w:t xml:space="preserve"> year 3 </w:t>
      </w:r>
      <w:r>
        <w:rPr>
          <w:rFonts w:cstheme="minorHAnsi"/>
        </w:rPr>
        <w:t xml:space="preserve">and 4 </w:t>
      </w:r>
      <w:r w:rsidRPr="003F657A">
        <w:rPr>
          <w:rFonts w:cstheme="minorHAnsi"/>
        </w:rPr>
        <w:t xml:space="preserve">class with 29 pupils. The names of the schools and full references have been omitted in accordance with </w:t>
      </w:r>
      <w:r w:rsidRPr="00100A3D">
        <w:rPr>
          <w:rFonts w:cstheme="minorHAnsi"/>
        </w:rPr>
        <w:t>BERA (2018).</w:t>
      </w:r>
      <w:r w:rsidRPr="003F657A">
        <w:rPr>
          <w:rFonts w:cstheme="minorHAnsi"/>
        </w:rPr>
        <w:t xml:space="preserve"> </w:t>
      </w:r>
      <w:r>
        <w:rPr>
          <w:rFonts w:cstheme="minorHAnsi"/>
        </w:rPr>
        <w:t xml:space="preserve">In School A, all lessons are delivered in a ‘carousel’ style, therefore one group of roughly 8 students will be involved in the research lesson. I will be observing all 8 children </w:t>
      </w:r>
      <w:r w:rsidRPr="00627964">
        <w:rPr>
          <w:rFonts w:cstheme="minorHAnsi"/>
        </w:rPr>
        <w:t xml:space="preserve">but focussing particularly on 3 pupils and these three pupils will then be interviewed afterwards. </w:t>
      </w:r>
      <w:r>
        <w:rPr>
          <w:rFonts w:cstheme="minorHAnsi"/>
        </w:rPr>
        <w:t>To keep child selection impartial, t</w:t>
      </w:r>
      <w:r w:rsidRPr="00627964">
        <w:rPr>
          <w:rFonts w:cstheme="minorHAnsi"/>
        </w:rPr>
        <w:t xml:space="preserve">hese focus children will be chosen </w:t>
      </w:r>
      <w:r>
        <w:rPr>
          <w:rFonts w:cstheme="minorHAnsi"/>
        </w:rPr>
        <w:t>by</w:t>
      </w:r>
      <w:r w:rsidRPr="00627964">
        <w:rPr>
          <w:rFonts w:cstheme="minorHAnsi"/>
        </w:rPr>
        <w:t xml:space="preserve"> the class teacher, ideally a child that is normally engaged, a child that is sometimes engaged, and a child that is not normally engaged. </w:t>
      </w:r>
      <w:r>
        <w:rPr>
          <w:rFonts w:cstheme="minorHAnsi"/>
        </w:rPr>
        <w:t>The</w:t>
      </w:r>
      <w:r w:rsidRPr="00627964">
        <w:rPr>
          <w:rFonts w:cstheme="minorHAnsi"/>
        </w:rPr>
        <w:t xml:space="preserve"> sample </w:t>
      </w:r>
      <w:r>
        <w:rPr>
          <w:rFonts w:cstheme="minorHAnsi"/>
        </w:rPr>
        <w:t>group</w:t>
      </w:r>
      <w:r w:rsidRPr="00627964">
        <w:rPr>
          <w:rFonts w:cstheme="minorHAnsi"/>
        </w:rPr>
        <w:t xml:space="preserve"> should</w:t>
      </w:r>
      <w:r>
        <w:rPr>
          <w:rFonts w:cstheme="minorHAnsi"/>
        </w:rPr>
        <w:t xml:space="preserve"> be a good</w:t>
      </w:r>
      <w:r w:rsidRPr="00627964">
        <w:rPr>
          <w:rFonts w:cstheme="minorHAnsi"/>
        </w:rPr>
        <w:t xml:space="preserve"> represent</w:t>
      </w:r>
      <w:r>
        <w:rPr>
          <w:rFonts w:cstheme="minorHAnsi"/>
        </w:rPr>
        <w:t>ation of t</w:t>
      </w:r>
      <w:r w:rsidRPr="00627964">
        <w:rPr>
          <w:rFonts w:cstheme="minorHAnsi"/>
        </w:rPr>
        <w:t xml:space="preserve">he class as a whole, for example, </w:t>
      </w:r>
      <w:r>
        <w:rPr>
          <w:rFonts w:cstheme="minorHAnsi"/>
        </w:rPr>
        <w:t xml:space="preserve">in my class, there is an </w:t>
      </w:r>
      <w:r w:rsidRPr="00627964">
        <w:rPr>
          <w:rFonts w:cstheme="minorHAnsi"/>
        </w:rPr>
        <w:t xml:space="preserve">even split of girls and boys </w:t>
      </w:r>
      <w:r>
        <w:rPr>
          <w:rFonts w:cstheme="minorHAnsi"/>
        </w:rPr>
        <w:t>therefore</w:t>
      </w:r>
      <w:r w:rsidRPr="00627964">
        <w:rPr>
          <w:rFonts w:cstheme="minorHAnsi"/>
        </w:rPr>
        <w:t xml:space="preserve"> I </w:t>
      </w:r>
      <w:r>
        <w:rPr>
          <w:rFonts w:cstheme="minorHAnsi"/>
        </w:rPr>
        <w:t>will choose an equal amount of girls and boys at random to do the activity with.</w:t>
      </w:r>
    </w:p>
    <w:p w:rsidR="00C3305D" w:rsidRDefault="00C3305D" w:rsidP="00C3305D">
      <w:pPr>
        <w:rPr>
          <w:rFonts w:cstheme="minorHAnsi"/>
          <w:b/>
        </w:rPr>
      </w:pPr>
      <w:r w:rsidRPr="005D24C1">
        <w:rPr>
          <w:rFonts w:cstheme="minorHAnsi"/>
          <w:b/>
        </w:rPr>
        <w:t>Short overview of relevant literature</w:t>
      </w:r>
      <w:r>
        <w:rPr>
          <w:rFonts w:cstheme="minorHAnsi"/>
          <w:b/>
        </w:rPr>
        <w:t xml:space="preserve"> </w:t>
      </w:r>
    </w:p>
    <w:p w:rsidR="00C3305D" w:rsidRDefault="00C3305D" w:rsidP="00C3305D">
      <w:r w:rsidRPr="00FC70B9">
        <w:rPr>
          <w:rFonts w:cstheme="minorHAnsi"/>
        </w:rPr>
        <w:t>Before starting this research, an idea of what pupil engagement looks like had to be determined.</w:t>
      </w:r>
      <w:r>
        <w:rPr>
          <w:rFonts w:cstheme="minorHAnsi"/>
        </w:rPr>
        <w:t xml:space="preserve"> Some maintain that finding a definition of engagement is complex</w:t>
      </w:r>
      <w:r w:rsidRPr="00FC70B9">
        <w:rPr>
          <w:rFonts w:cstheme="minorHAnsi"/>
        </w:rPr>
        <w:t xml:space="preserve"> </w:t>
      </w:r>
      <w:r>
        <w:rPr>
          <w:rFonts w:ascii="Arial" w:hAnsi="Arial" w:cs="Arial"/>
          <w:color w:val="000000"/>
          <w:sz w:val="20"/>
          <w:szCs w:val="20"/>
          <w:shd w:val="clear" w:color="auto" w:fill="FFFFFF"/>
        </w:rPr>
        <w:t>(</w:t>
      </w:r>
      <w:proofErr w:type="spellStart"/>
      <w:r w:rsidRPr="003565CB">
        <w:t>D’Mello</w:t>
      </w:r>
      <w:proofErr w:type="spellEnd"/>
      <w:r w:rsidRPr="003565CB">
        <w:t xml:space="preserve">, </w:t>
      </w:r>
      <w:proofErr w:type="spellStart"/>
      <w:r w:rsidRPr="003565CB">
        <w:t>Chipman</w:t>
      </w:r>
      <w:proofErr w:type="spellEnd"/>
      <w:r w:rsidRPr="003565CB">
        <w:t xml:space="preserve"> and </w:t>
      </w:r>
      <w:proofErr w:type="spellStart"/>
      <w:proofErr w:type="gramStart"/>
      <w:r w:rsidRPr="003565CB">
        <w:t>Graesser</w:t>
      </w:r>
      <w:proofErr w:type="spellEnd"/>
      <w:r w:rsidRPr="003565CB">
        <w:t xml:space="preserve">  (</w:t>
      </w:r>
      <w:proofErr w:type="gramEnd"/>
      <w:r w:rsidRPr="003565CB">
        <w:t>2007).</w:t>
      </w:r>
      <w:r>
        <w:t xml:space="preserve"> </w:t>
      </w:r>
      <w:r>
        <w:rPr>
          <w:rFonts w:ascii="Arial" w:hAnsi="Arial" w:cs="Arial"/>
          <w:color w:val="000000"/>
          <w:sz w:val="20"/>
          <w:szCs w:val="20"/>
          <w:shd w:val="clear" w:color="auto" w:fill="FFFFFF"/>
        </w:rPr>
        <w:t xml:space="preserve">Davis, </w:t>
      </w:r>
      <w:proofErr w:type="gramStart"/>
      <w:r>
        <w:rPr>
          <w:rFonts w:ascii="Arial" w:hAnsi="Arial" w:cs="Arial"/>
          <w:color w:val="000000"/>
          <w:sz w:val="20"/>
          <w:szCs w:val="20"/>
          <w:shd w:val="clear" w:color="auto" w:fill="FFFFFF"/>
        </w:rPr>
        <w:t>Summers</w:t>
      </w:r>
      <w:proofErr w:type="gramEnd"/>
      <w:r>
        <w:rPr>
          <w:rFonts w:ascii="Arial" w:hAnsi="Arial" w:cs="Arial"/>
          <w:color w:val="000000"/>
          <w:sz w:val="20"/>
          <w:szCs w:val="20"/>
          <w:shd w:val="clear" w:color="auto" w:fill="FFFFFF"/>
        </w:rPr>
        <w:t xml:space="preserve"> and Miller, 2012.</w:t>
      </w:r>
      <w:r w:rsidRPr="00C64504">
        <w:rPr>
          <w:b/>
        </w:rPr>
        <w:t xml:space="preserve"> </w:t>
      </w:r>
      <w:proofErr w:type="spellStart"/>
      <w:r w:rsidRPr="003565CB">
        <w:t>Kahu</w:t>
      </w:r>
      <w:proofErr w:type="spellEnd"/>
      <w:r w:rsidRPr="003565CB">
        <w:t>, 2013</w:t>
      </w:r>
      <w:r>
        <w:rPr>
          <w:rFonts w:ascii="Arial" w:hAnsi="Arial" w:cs="Arial"/>
          <w:color w:val="000000"/>
          <w:sz w:val="20"/>
          <w:szCs w:val="20"/>
          <w:shd w:val="clear" w:color="auto" w:fill="FFFFFF"/>
        </w:rPr>
        <w:t>)</w:t>
      </w:r>
      <w:r>
        <w:rPr>
          <w:b/>
        </w:rPr>
        <w:t xml:space="preserve">. </w:t>
      </w:r>
      <w:r>
        <w:t>However, a</w:t>
      </w:r>
      <w:r>
        <w:rPr>
          <w:rFonts w:cstheme="minorHAnsi"/>
        </w:rPr>
        <w:t xml:space="preserve">ccording to the </w:t>
      </w:r>
      <w:proofErr w:type="spellStart"/>
      <w:r>
        <w:rPr>
          <w:rFonts w:cstheme="minorHAnsi"/>
        </w:rPr>
        <w:t>Edutopia</w:t>
      </w:r>
      <w:proofErr w:type="spellEnd"/>
      <w:r>
        <w:rPr>
          <w:rFonts w:cstheme="minorHAnsi"/>
        </w:rPr>
        <w:t xml:space="preserve"> website (</w:t>
      </w:r>
      <w:hyperlink r:id="rId4" w:history="1">
        <w:r w:rsidRPr="003565CB">
          <w:rPr>
            <w:rStyle w:val="Hyperlink"/>
            <w:rFonts w:cstheme="minorHAnsi"/>
            <w:color w:val="auto"/>
            <w:u w:val="none"/>
          </w:rPr>
          <w:t>Johnson</w:t>
        </w:r>
      </w:hyperlink>
      <w:r w:rsidRPr="00472C9B">
        <w:rPr>
          <w:rStyle w:val="Hyperlink"/>
          <w:rFonts w:cstheme="minorHAnsi"/>
          <w:color w:val="auto"/>
          <w:u w:val="none"/>
        </w:rPr>
        <w:t>, 2012</w:t>
      </w:r>
      <w:r>
        <w:rPr>
          <w:rFonts w:cstheme="minorHAnsi"/>
        </w:rPr>
        <w:t xml:space="preserve">), whether a student is engaged </w:t>
      </w:r>
      <w:r w:rsidRPr="009A6599">
        <w:rPr>
          <w:rFonts w:cstheme="minorHAnsi"/>
        </w:rPr>
        <w:t xml:space="preserve">will </w:t>
      </w:r>
      <w:r>
        <w:rPr>
          <w:rFonts w:cstheme="minorHAnsi"/>
        </w:rPr>
        <w:t>be obvious through their body language. They will be alert and maintain eye contact with, and listen closely to those speaking. They will show enthusiasm, a</w:t>
      </w:r>
      <w:r w:rsidRPr="009A6599">
        <w:rPr>
          <w:rFonts w:cstheme="minorHAnsi"/>
        </w:rPr>
        <w:t xml:space="preserve"> good</w:t>
      </w:r>
      <w:r>
        <w:rPr>
          <w:rFonts w:cstheme="minorHAnsi"/>
        </w:rPr>
        <w:t xml:space="preserve"> level of</w:t>
      </w:r>
      <w:r w:rsidRPr="009A6599">
        <w:rPr>
          <w:rFonts w:cstheme="minorHAnsi"/>
        </w:rPr>
        <w:t xml:space="preserve"> concentration and </w:t>
      </w:r>
      <w:r>
        <w:rPr>
          <w:rFonts w:cstheme="minorHAnsi"/>
        </w:rPr>
        <w:t>participate fully in the lesson,</w:t>
      </w:r>
      <w:r w:rsidRPr="009A6599">
        <w:rPr>
          <w:rFonts w:cstheme="minorHAnsi"/>
        </w:rPr>
        <w:t xml:space="preserve"> asking </w:t>
      </w:r>
      <w:r>
        <w:rPr>
          <w:rFonts w:cstheme="minorHAnsi"/>
        </w:rPr>
        <w:t>and answering questions. Their level of engagement is also shown through positive behaviour.</w:t>
      </w:r>
      <w:r w:rsidRPr="009A6599">
        <w:rPr>
          <w:rFonts w:cstheme="minorHAnsi"/>
        </w:rPr>
        <w:t xml:space="preserve"> </w:t>
      </w:r>
      <w:r>
        <w:rPr>
          <w:rFonts w:cstheme="minorHAnsi"/>
        </w:rPr>
        <w:t xml:space="preserve">Similarly, </w:t>
      </w:r>
      <w:r>
        <w:t>Skinner and Belmont (1993) state that a child is highly motivated if they are enthusiastic, hard-working, and persistent. Children who are engaged are consistently well behaved and present positive emotions. They select tasks that challenge them, are pro-active in their learning and show high levels of concentration, effort and interest in any learning activity. The fact that these two sources are so far apart in date yet have similar conclusions shows that there is a consistent idea of what engagement looks like.</w:t>
      </w:r>
    </w:p>
    <w:p w:rsidR="00C3305D" w:rsidRDefault="00C3305D" w:rsidP="00C3305D">
      <w:r>
        <w:lastRenderedPageBreak/>
        <w:t xml:space="preserve">More in-depth research into how body language can show whether a child is engaged was conducted by </w:t>
      </w:r>
      <w:proofErr w:type="spellStart"/>
      <w:r>
        <w:t>D’Mello</w:t>
      </w:r>
      <w:proofErr w:type="spellEnd"/>
      <w:r>
        <w:t xml:space="preserve">, </w:t>
      </w:r>
      <w:proofErr w:type="spellStart"/>
      <w:r>
        <w:t>Chipman</w:t>
      </w:r>
      <w:proofErr w:type="spellEnd"/>
      <w:r>
        <w:t xml:space="preserve"> and </w:t>
      </w:r>
      <w:proofErr w:type="spellStart"/>
      <w:r>
        <w:t>Graesser</w:t>
      </w:r>
      <w:proofErr w:type="spellEnd"/>
      <w:r>
        <w:t xml:space="preserve"> (2007) whose research results led them to the conclusion that a child who is disengaged can show this through their body language in two different ways. The first being leaning back and effectively zoning out and the other is seemingly the complete opposite: constant movement or ‘fidgeting’. </w:t>
      </w:r>
      <w:r>
        <w:br/>
        <w:t xml:space="preserve">On the other hand, when a child was engaged, or as they termed it, in a ‘state of flow’, they tended to sit forward on the chair and remain quite still. The paper suggests that this could be because the brain is focusing more on the information that is being presented than on body movements. On a similar note, </w:t>
      </w:r>
      <w:proofErr w:type="spellStart"/>
      <w:r>
        <w:t>Grafsgaard</w:t>
      </w:r>
      <w:proofErr w:type="spellEnd"/>
      <w:r>
        <w:t xml:space="preserve"> et al.</w:t>
      </w:r>
      <w:r>
        <w:t xml:space="preserve"> </w:t>
      </w:r>
      <w:r>
        <w:t>(2013</w:t>
      </w:r>
      <w:r>
        <w:t xml:space="preserve">) </w:t>
      </w:r>
      <w:r>
        <w:t>state that analysing facial expressions can also help in the recognition of engagement, particularly that upper facial moments are linked to high engagement. However Barrett (</w:t>
      </w:r>
      <w:r w:rsidR="00F31431">
        <w:t>2012)</w:t>
      </w:r>
      <w:r>
        <w:t xml:space="preserve"> disagrees and maintains that we cannot hold that the same causation is behind every emotion shown by different children.</w:t>
      </w:r>
    </w:p>
    <w:p w:rsidR="00F31431" w:rsidRDefault="00F31431" w:rsidP="00F31431">
      <w:r>
        <w:t xml:space="preserve">In his article ‘Gallup Student Poll Finds Engagement in School Dropping by Grade Level’, Brenneman (2016) states that pupil engagement decreases as they go through school, additionally, </w:t>
      </w:r>
      <w:r>
        <w:rPr>
          <w:rFonts w:ascii="Arial" w:hAnsi="Arial" w:cs="Arial"/>
          <w:color w:val="000000"/>
          <w:sz w:val="20"/>
          <w:szCs w:val="20"/>
          <w:shd w:val="clear" w:color="auto" w:fill="FFFFFF"/>
        </w:rPr>
        <w:t>Reina et al. (2014)</w:t>
      </w:r>
      <w:r w:rsidRPr="006F7042">
        <w:rPr>
          <w:rFonts w:ascii="Arial" w:hAnsi="Arial" w:cs="Arial"/>
          <w:color w:val="000000"/>
          <w:sz w:val="20"/>
          <w:szCs w:val="20"/>
          <w:shd w:val="clear" w:color="auto" w:fill="FFFFFF"/>
        </w:rPr>
        <w:t xml:space="preserve"> </w:t>
      </w:r>
      <w:r>
        <w:t xml:space="preserve">highlight that boys tend to be less motivated and become more disengaged in school than girls. These are important statements as </w:t>
      </w:r>
      <w:r>
        <w:rPr>
          <w:rFonts w:ascii="Arial" w:hAnsi="Arial" w:cs="Arial"/>
          <w:color w:val="000000"/>
          <w:sz w:val="20"/>
          <w:szCs w:val="20"/>
          <w:shd w:val="clear" w:color="auto" w:fill="FFFFFF"/>
        </w:rPr>
        <w:t>Reina et al. (2014)</w:t>
      </w:r>
      <w:r w:rsidRPr="006F7042">
        <w:rPr>
          <w:rFonts w:ascii="Arial" w:hAnsi="Arial" w:cs="Arial"/>
          <w:color w:val="000000"/>
          <w:sz w:val="20"/>
          <w:szCs w:val="20"/>
          <w:shd w:val="clear" w:color="auto" w:fill="FFFFFF"/>
        </w:rPr>
        <w:t xml:space="preserve"> </w:t>
      </w:r>
      <w:r>
        <w:t>maintains that lack of engagement can have a negative impact on student’s educational achievement. This is corroborated by Dotterer and Lowe (2011) who say that engagement can be a predictor of academic achievement. So it is clear that in order for our current students to achieve more, their engagement in school needs to improve.</w:t>
      </w:r>
    </w:p>
    <w:p w:rsidR="00F31431" w:rsidRDefault="00F31431" w:rsidP="00F31431">
      <w:r>
        <w:t>When researching ways to improve pupil engagement specific to numeracy lessons, one article (</w:t>
      </w:r>
      <w:proofErr w:type="spellStart"/>
      <w:r>
        <w:t>Everingham</w:t>
      </w:r>
      <w:proofErr w:type="spellEnd"/>
      <w:r>
        <w:t xml:space="preserve"> et al.) suggested a link between pupil engagement and confidence in mathematics. It is common for many students and adults to doubt</w:t>
      </w:r>
      <w:r w:rsidRPr="00E92EFD">
        <w:rPr>
          <w:rFonts w:cstheme="minorHAnsi"/>
        </w:rPr>
        <w:t xml:space="preserve"> numeracy abilities and so their engagement with mathematics decreases. </w:t>
      </w:r>
      <w:r w:rsidRPr="00B93B42">
        <w:rPr>
          <w:rFonts w:cstheme="minorHAnsi"/>
          <w:shd w:val="clear" w:color="auto" w:fill="FFFFFF"/>
        </w:rPr>
        <w:t xml:space="preserve">Comparably, </w:t>
      </w:r>
      <w:proofErr w:type="spellStart"/>
      <w:r w:rsidRPr="00E92EFD">
        <w:rPr>
          <w:rFonts w:cstheme="minorHAnsi"/>
        </w:rPr>
        <w:t>Hamari</w:t>
      </w:r>
      <w:proofErr w:type="spellEnd"/>
      <w:r w:rsidRPr="00E92EFD">
        <w:rPr>
          <w:rFonts w:cstheme="minorHAnsi"/>
        </w:rPr>
        <w:t xml:space="preserve"> et al (2015) writes that when people have confidence in their ability, they tend to have higher</w:t>
      </w:r>
      <w:r>
        <w:t xml:space="preserve"> motivation to learn and hence higher engagement.</w:t>
      </w:r>
    </w:p>
    <w:p w:rsidR="00F31431" w:rsidRDefault="00F31431" w:rsidP="00F31431">
      <w:r>
        <w:t xml:space="preserve">Through research, a </w:t>
      </w:r>
      <w:r w:rsidRPr="00E671F9">
        <w:rPr>
          <w:rFonts w:cstheme="minorHAnsi"/>
        </w:rPr>
        <w:t>lot of suggestions to improve engagement included adding a ‘game’ element. Gee and Hayes (2011</w:t>
      </w:r>
      <w:r w:rsidRPr="00B93B42">
        <w:rPr>
          <w:rFonts w:cstheme="minorHAnsi"/>
        </w:rPr>
        <w:t xml:space="preserve">) </w:t>
      </w:r>
      <w:r w:rsidRPr="00B93B42">
        <w:rPr>
          <w:rStyle w:val="sdzsvb"/>
          <w:rFonts w:cstheme="minorHAnsi"/>
          <w:shd w:val="clear" w:color="auto" w:fill="FFFFFF"/>
        </w:rPr>
        <w:t>emphasize</w:t>
      </w:r>
      <w:r w:rsidRPr="00B93B42">
        <w:rPr>
          <w:rFonts w:cstheme="minorHAnsi"/>
          <w:shd w:val="clear" w:color="auto" w:fill="FFFFFF"/>
        </w:rPr>
        <w:t xml:space="preserve"> that </w:t>
      </w:r>
      <w:r w:rsidRPr="00E671F9">
        <w:rPr>
          <w:rFonts w:cstheme="minorHAnsi"/>
          <w:shd w:val="clear" w:color="auto" w:fill="FFFFFF"/>
        </w:rPr>
        <w:t>due to new advances in technology, children gravitate towards</w:t>
      </w:r>
      <w:r w:rsidRPr="00E671F9">
        <w:rPr>
          <w:rFonts w:cstheme="minorHAnsi"/>
        </w:rPr>
        <w:t xml:space="preserve"> a more technology-based learning method.</w:t>
      </w:r>
      <w:r>
        <w:rPr>
          <w:rFonts w:cstheme="minorHAnsi"/>
        </w:rPr>
        <w:t xml:space="preserve"> Furthermore, </w:t>
      </w:r>
      <w:r>
        <w:t xml:space="preserve">Pierce et al (2005) speculate that both student engagement and confidence in numeracy could be improved by incorporating technology into our lessons. Both </w:t>
      </w:r>
      <w:r>
        <w:t>Taylor and P</w:t>
      </w:r>
      <w:r>
        <w:t xml:space="preserve">arsons and </w:t>
      </w:r>
      <w:proofErr w:type="spellStart"/>
      <w:r>
        <w:t>Druckman</w:t>
      </w:r>
      <w:proofErr w:type="spellEnd"/>
      <w:r>
        <w:t xml:space="preserve"> (1995) make almost identical statements in their papers. In addition to this, </w:t>
      </w:r>
      <w:proofErr w:type="spellStart"/>
      <w:r>
        <w:t>Hamari</w:t>
      </w:r>
      <w:proofErr w:type="spellEnd"/>
      <w:r>
        <w:t xml:space="preserve"> et al (2015) proclaim that game-based learning could become a routine method for increasing engagement in students in schools. </w:t>
      </w:r>
    </w:p>
    <w:p w:rsidR="00F31431" w:rsidRDefault="00F31431" w:rsidP="00F31431">
      <w:r>
        <w:t xml:space="preserve">According to </w:t>
      </w:r>
      <w:proofErr w:type="spellStart"/>
      <w:r>
        <w:t>Garris</w:t>
      </w:r>
      <w:proofErr w:type="spellEnd"/>
      <w:r>
        <w:t xml:space="preserve"> and </w:t>
      </w:r>
      <w:proofErr w:type="spellStart"/>
      <w:r>
        <w:t>Ahlers</w:t>
      </w:r>
      <w:proofErr w:type="spellEnd"/>
      <w:r>
        <w:t xml:space="preserve">, </w:t>
      </w:r>
      <w:r>
        <w:t xml:space="preserve">there has been a huge movement in the teaching world from traditional teaching methods to more child-active methods. Moreover, they maintain that games alone are not effective learning tools but that we should take elements from them to improve teaching and engagement, for example using resources like the loop card game. </w:t>
      </w:r>
    </w:p>
    <w:p w:rsidR="00F31431" w:rsidRDefault="00F31431" w:rsidP="00F31431">
      <w:pPr>
        <w:rPr>
          <w:rFonts w:cstheme="minorHAnsi"/>
          <w:b/>
        </w:rPr>
      </w:pPr>
      <w:r w:rsidRPr="00986E7B">
        <w:rPr>
          <w:rFonts w:cstheme="minorHAnsi"/>
          <w:b/>
        </w:rPr>
        <w:t>Explanation of lesson study design</w:t>
      </w:r>
      <w:r>
        <w:rPr>
          <w:rFonts w:cstheme="minorHAnsi"/>
          <w:b/>
        </w:rPr>
        <w:t xml:space="preserve"> </w:t>
      </w:r>
    </w:p>
    <w:p w:rsidR="00F31431" w:rsidRDefault="00F31431" w:rsidP="00F31431">
      <w:pPr>
        <w:pStyle w:val="NormalWeb"/>
        <w:rPr>
          <w:rFonts w:asciiTheme="minorHAnsi" w:hAnsiTheme="minorHAnsi" w:cstheme="minorHAnsi"/>
          <w:sz w:val="22"/>
          <w:szCs w:val="22"/>
        </w:rPr>
      </w:pPr>
      <w:r w:rsidRPr="00CE382A">
        <w:rPr>
          <w:rFonts w:asciiTheme="minorHAnsi" w:hAnsiTheme="minorHAnsi" w:cstheme="minorHAnsi"/>
          <w:sz w:val="22"/>
          <w:szCs w:val="22"/>
        </w:rPr>
        <w:t xml:space="preserve">For this research, </w:t>
      </w:r>
      <w:r>
        <w:rPr>
          <w:rFonts w:asciiTheme="minorHAnsi" w:hAnsiTheme="minorHAnsi" w:cstheme="minorHAnsi"/>
          <w:sz w:val="22"/>
          <w:szCs w:val="22"/>
        </w:rPr>
        <w:t>my research partner and I are</w:t>
      </w:r>
      <w:r w:rsidRPr="00CE382A">
        <w:rPr>
          <w:rFonts w:asciiTheme="minorHAnsi" w:hAnsiTheme="minorHAnsi" w:cstheme="minorHAnsi"/>
          <w:sz w:val="22"/>
          <w:szCs w:val="22"/>
        </w:rPr>
        <w:t xml:space="preserve"> going to be following a lesson study process suggested by Peter Dudley (</w:t>
      </w:r>
      <w:r w:rsidRPr="00EA0CDF">
        <w:rPr>
          <w:rFonts w:asciiTheme="minorHAnsi" w:hAnsiTheme="minorHAnsi" w:cstheme="minorHAnsi"/>
          <w:sz w:val="22"/>
          <w:szCs w:val="22"/>
        </w:rPr>
        <w:t xml:space="preserve">Dudley, 2014). He maintains that </w:t>
      </w:r>
      <w:r>
        <w:rPr>
          <w:rFonts w:asciiTheme="minorHAnsi" w:hAnsiTheme="minorHAnsi" w:cstheme="minorHAnsi"/>
          <w:sz w:val="22"/>
          <w:szCs w:val="22"/>
        </w:rPr>
        <w:t>accurate</w:t>
      </w:r>
      <w:r w:rsidRPr="00EA0CDF">
        <w:rPr>
          <w:rFonts w:asciiTheme="minorHAnsi" w:hAnsiTheme="minorHAnsi" w:cstheme="minorHAnsi"/>
          <w:sz w:val="22"/>
          <w:szCs w:val="22"/>
        </w:rPr>
        <w:t xml:space="preserve"> lesson study can ‘develop and refine’ teaching (</w:t>
      </w:r>
      <w:r>
        <w:rPr>
          <w:rFonts w:asciiTheme="minorHAnsi" w:hAnsiTheme="minorHAnsi" w:cstheme="minorHAnsi"/>
          <w:sz w:val="22"/>
          <w:szCs w:val="22"/>
        </w:rPr>
        <w:t>Dudley, 2014</w:t>
      </w:r>
      <w:r w:rsidRPr="00F31431">
        <w:rPr>
          <w:rFonts w:asciiTheme="minorHAnsi" w:hAnsiTheme="minorHAnsi" w:cstheme="minorHAnsi"/>
          <w:sz w:val="22"/>
          <w:szCs w:val="22"/>
        </w:rPr>
        <w:t>: p1</w:t>
      </w:r>
      <w:r w:rsidRPr="00EA0CDF">
        <w:rPr>
          <w:rFonts w:asciiTheme="minorHAnsi" w:hAnsiTheme="minorHAnsi" w:cstheme="minorHAnsi"/>
          <w:sz w:val="22"/>
          <w:szCs w:val="22"/>
        </w:rPr>
        <w:t>)</w:t>
      </w:r>
      <w:r>
        <w:rPr>
          <w:rFonts w:asciiTheme="minorHAnsi" w:hAnsiTheme="minorHAnsi" w:cstheme="minorHAnsi"/>
          <w:sz w:val="22"/>
          <w:szCs w:val="22"/>
        </w:rPr>
        <w:t>. This process involves teacher</w:t>
      </w:r>
      <w:r w:rsidRPr="00EA0CDF">
        <w:rPr>
          <w:rFonts w:asciiTheme="minorHAnsi" w:hAnsiTheme="minorHAnsi" w:cstheme="minorHAnsi"/>
          <w:sz w:val="22"/>
          <w:szCs w:val="22"/>
        </w:rPr>
        <w:t xml:space="preserve">s cooperating and combining their skill sets and experience to better their lessons. </w:t>
      </w:r>
      <w:r>
        <w:rPr>
          <w:rFonts w:asciiTheme="minorHAnsi" w:hAnsiTheme="minorHAnsi" w:cstheme="minorHAnsi"/>
          <w:sz w:val="22"/>
          <w:szCs w:val="22"/>
        </w:rPr>
        <w:t>Following his process, m</w:t>
      </w:r>
      <w:r w:rsidRPr="005B0EE7">
        <w:rPr>
          <w:rFonts w:asciiTheme="minorHAnsi" w:hAnsiTheme="minorHAnsi" w:cstheme="minorHAnsi"/>
          <w:sz w:val="22"/>
          <w:szCs w:val="22"/>
        </w:rPr>
        <w:t xml:space="preserve">y research partner and I both </w:t>
      </w:r>
      <w:r>
        <w:rPr>
          <w:rFonts w:asciiTheme="minorHAnsi" w:hAnsiTheme="minorHAnsi" w:cstheme="minorHAnsi"/>
          <w:sz w:val="22"/>
          <w:szCs w:val="22"/>
        </w:rPr>
        <w:t>agreed that</w:t>
      </w:r>
      <w:r w:rsidRPr="005B0EE7">
        <w:rPr>
          <w:rFonts w:asciiTheme="minorHAnsi" w:hAnsiTheme="minorHAnsi" w:cstheme="minorHAnsi"/>
          <w:sz w:val="22"/>
          <w:szCs w:val="22"/>
        </w:rPr>
        <w:t xml:space="preserve"> our focus would be on increasing pupil engagement through the use of a mental maths starter game. We cooperatively planned lessons in our own schools </w:t>
      </w:r>
      <w:r>
        <w:rPr>
          <w:rFonts w:asciiTheme="minorHAnsi" w:hAnsiTheme="minorHAnsi" w:cstheme="minorHAnsi"/>
          <w:sz w:val="22"/>
          <w:szCs w:val="22"/>
        </w:rPr>
        <w:t>to include a mental maths game and asked our class teachers to choose three</w:t>
      </w:r>
      <w:r w:rsidRPr="005B0EE7">
        <w:rPr>
          <w:rFonts w:asciiTheme="minorHAnsi" w:hAnsiTheme="minorHAnsi" w:cstheme="minorHAnsi"/>
          <w:sz w:val="22"/>
          <w:szCs w:val="22"/>
        </w:rPr>
        <w:t xml:space="preserve"> ‘focus children’ from each of our classes to observe and conduct a focus interview with. </w:t>
      </w:r>
      <w:r>
        <w:rPr>
          <w:rFonts w:asciiTheme="minorHAnsi" w:hAnsiTheme="minorHAnsi" w:cstheme="minorHAnsi"/>
          <w:sz w:val="22"/>
          <w:szCs w:val="22"/>
        </w:rPr>
        <w:t xml:space="preserve">These focus children were selected with their level of </w:t>
      </w:r>
      <w:r>
        <w:rPr>
          <w:rFonts w:asciiTheme="minorHAnsi" w:hAnsiTheme="minorHAnsi" w:cstheme="minorHAnsi"/>
          <w:sz w:val="22"/>
          <w:szCs w:val="22"/>
        </w:rPr>
        <w:lastRenderedPageBreak/>
        <w:t xml:space="preserve">engagement in mind. For example, in both my research partner and my focus group included one pupil who was highly engaged, one who was sometimes engaged and one who was mostly disengaged. We observed these three children within the activity and also interviewed </w:t>
      </w:r>
      <w:proofErr w:type="gramStart"/>
      <w:r>
        <w:rPr>
          <w:rFonts w:asciiTheme="minorHAnsi" w:hAnsiTheme="minorHAnsi" w:cstheme="minorHAnsi"/>
          <w:sz w:val="22"/>
          <w:szCs w:val="22"/>
        </w:rPr>
        <w:t>them</w:t>
      </w:r>
      <w:proofErr w:type="gramEnd"/>
      <w:r>
        <w:rPr>
          <w:rFonts w:asciiTheme="minorHAnsi" w:hAnsiTheme="minorHAnsi" w:cstheme="minorHAnsi"/>
          <w:sz w:val="22"/>
          <w:szCs w:val="22"/>
        </w:rPr>
        <w:t xml:space="preserve"> afterwards to gain their opinions and insights on the activity carried out. </w:t>
      </w:r>
    </w:p>
    <w:p w:rsidR="00F31431" w:rsidRDefault="00F31431" w:rsidP="00F31431">
      <w:pPr>
        <w:rPr>
          <w:rFonts w:cstheme="minorHAnsi"/>
          <w:color w:val="FF0000"/>
        </w:rPr>
      </w:pPr>
      <w:r>
        <w:rPr>
          <w:rFonts w:cstheme="minorHAnsi"/>
        </w:rPr>
        <w:t>The first lesson study session I taught was observed by my research partner in my school,</w:t>
      </w:r>
      <w:r w:rsidRPr="003F657A">
        <w:rPr>
          <w:rFonts w:cstheme="minorHAnsi"/>
          <w:color w:val="FF0000"/>
        </w:rPr>
        <w:t xml:space="preserve"> </w:t>
      </w:r>
      <w:r w:rsidRPr="00B2648E">
        <w:rPr>
          <w:rFonts w:cstheme="minorHAnsi"/>
        </w:rPr>
        <w:t xml:space="preserve">using a non-participation observation method and </w:t>
      </w:r>
      <w:r>
        <w:rPr>
          <w:rFonts w:cstheme="minorHAnsi"/>
        </w:rPr>
        <w:t>focused</w:t>
      </w:r>
      <w:r w:rsidRPr="00B2648E">
        <w:rPr>
          <w:rFonts w:cstheme="minorHAnsi"/>
        </w:rPr>
        <w:t xml:space="preserve"> on </w:t>
      </w:r>
      <w:r>
        <w:rPr>
          <w:rFonts w:cstheme="minorHAnsi"/>
        </w:rPr>
        <w:t xml:space="preserve">specific </w:t>
      </w:r>
      <w:r w:rsidRPr="00B2648E">
        <w:rPr>
          <w:rFonts w:cstheme="minorHAnsi"/>
        </w:rPr>
        <w:t xml:space="preserve">elements of the lesson </w:t>
      </w:r>
      <w:r>
        <w:rPr>
          <w:rFonts w:cstheme="minorHAnsi"/>
        </w:rPr>
        <w:t>that related</w:t>
      </w:r>
      <w:r w:rsidRPr="00B2648E">
        <w:rPr>
          <w:rFonts w:cstheme="minorHAnsi"/>
        </w:rPr>
        <w:t xml:space="preserve"> to our research title. </w:t>
      </w:r>
      <w:r>
        <w:rPr>
          <w:rFonts w:cstheme="minorHAnsi"/>
        </w:rPr>
        <w:t>‘Non-participation’</w:t>
      </w:r>
      <w:r w:rsidRPr="00B2648E">
        <w:rPr>
          <w:rFonts w:cstheme="minorHAnsi"/>
        </w:rPr>
        <w:t xml:space="preserve"> means that the </w:t>
      </w:r>
      <w:r>
        <w:rPr>
          <w:rFonts w:cstheme="minorHAnsi"/>
        </w:rPr>
        <w:t xml:space="preserve">observer is not involved in delivering the activity or </w:t>
      </w:r>
      <w:r w:rsidRPr="00B2648E">
        <w:rPr>
          <w:rFonts w:cstheme="minorHAnsi"/>
        </w:rPr>
        <w:t xml:space="preserve">lesson, they are only there to observe. </w:t>
      </w:r>
      <w:r>
        <w:rPr>
          <w:rFonts w:cstheme="minorHAnsi"/>
        </w:rPr>
        <w:t>W</w:t>
      </w:r>
      <w:r w:rsidRPr="00B2648E">
        <w:rPr>
          <w:rFonts w:cstheme="minorHAnsi"/>
        </w:rPr>
        <w:t xml:space="preserve">e </w:t>
      </w:r>
      <w:r>
        <w:rPr>
          <w:rFonts w:cstheme="minorHAnsi"/>
        </w:rPr>
        <w:t>chose</w:t>
      </w:r>
      <w:r w:rsidRPr="00B2648E">
        <w:rPr>
          <w:rFonts w:cstheme="minorHAnsi"/>
        </w:rPr>
        <w:t xml:space="preserve"> this method </w:t>
      </w:r>
      <w:r>
        <w:rPr>
          <w:rFonts w:cstheme="minorHAnsi"/>
        </w:rPr>
        <w:t xml:space="preserve">when planning our lesson study </w:t>
      </w:r>
      <w:r w:rsidRPr="00B2648E">
        <w:rPr>
          <w:rFonts w:cstheme="minorHAnsi"/>
        </w:rPr>
        <w:t xml:space="preserve">as research showed that there were many advantages to </w:t>
      </w:r>
      <w:r w:rsidRPr="00610CCA">
        <w:rPr>
          <w:rFonts w:cstheme="minorHAnsi"/>
        </w:rPr>
        <w:t>such a method</w:t>
      </w:r>
      <w:r>
        <w:rPr>
          <w:rFonts w:cstheme="minorHAnsi"/>
        </w:rPr>
        <w:t xml:space="preserve">. </w:t>
      </w:r>
      <w:r w:rsidRPr="00610CCA">
        <w:rPr>
          <w:rFonts w:cstheme="minorHAnsi"/>
        </w:rPr>
        <w:t xml:space="preserve">It allows for more accurate observational notes as the observer is free to purely observe </w:t>
      </w:r>
      <w:r>
        <w:rPr>
          <w:rFonts w:cstheme="minorHAnsi"/>
        </w:rPr>
        <w:t>without</w:t>
      </w:r>
      <w:r w:rsidRPr="00610CCA">
        <w:rPr>
          <w:rFonts w:cstheme="minorHAnsi"/>
        </w:rPr>
        <w:t xml:space="preserve"> having the distraction of being involved in the activity. The observer should also produce less biased data as they are </w:t>
      </w:r>
      <w:r>
        <w:rPr>
          <w:rFonts w:cstheme="minorHAnsi"/>
        </w:rPr>
        <w:t xml:space="preserve">independent from the activity and so </w:t>
      </w:r>
      <w:r w:rsidRPr="00610CCA">
        <w:rPr>
          <w:rFonts w:cstheme="minorHAnsi"/>
        </w:rPr>
        <w:t xml:space="preserve">do not have any pre-conceived ideas or opinions and can look at the activity </w:t>
      </w:r>
      <w:r>
        <w:rPr>
          <w:rFonts w:cstheme="minorHAnsi"/>
        </w:rPr>
        <w:t>objectively</w:t>
      </w:r>
      <w:r w:rsidRPr="00C33810">
        <w:rPr>
          <w:rFonts w:cstheme="minorHAnsi"/>
        </w:rPr>
        <w:t xml:space="preserve">. </w:t>
      </w:r>
      <w:r>
        <w:rPr>
          <w:rFonts w:cstheme="minorHAnsi"/>
        </w:rPr>
        <w:t>There is also the advantage that h</w:t>
      </w:r>
      <w:r w:rsidRPr="00C33810">
        <w:rPr>
          <w:rFonts w:cstheme="minorHAnsi"/>
        </w:rPr>
        <w:t xml:space="preserve">aving an observer sitting in the lesson and not participating also makes it obvious to the </w:t>
      </w:r>
      <w:r>
        <w:rPr>
          <w:rFonts w:cstheme="minorHAnsi"/>
        </w:rPr>
        <w:t>children</w:t>
      </w:r>
      <w:r w:rsidRPr="00C33810">
        <w:rPr>
          <w:rFonts w:cstheme="minorHAnsi"/>
        </w:rPr>
        <w:t xml:space="preserve"> that they are being observed, thus </w:t>
      </w:r>
      <w:r>
        <w:rPr>
          <w:rFonts w:cstheme="minorHAnsi"/>
        </w:rPr>
        <w:t>making the research</w:t>
      </w:r>
      <w:r w:rsidRPr="00C33810">
        <w:rPr>
          <w:rFonts w:cstheme="minorHAnsi"/>
        </w:rPr>
        <w:t xml:space="preserve"> more ethical </w:t>
      </w:r>
      <w:r w:rsidRPr="002D3520">
        <w:rPr>
          <w:rFonts w:cstheme="minorHAnsi"/>
        </w:rPr>
        <w:t>(getrevising.co.uk</w:t>
      </w:r>
      <w:r>
        <w:rPr>
          <w:rFonts w:cstheme="minorHAnsi"/>
        </w:rPr>
        <w:t>, 2018</w:t>
      </w:r>
      <w:r w:rsidRPr="002D3520">
        <w:rPr>
          <w:rFonts w:cstheme="minorHAnsi"/>
        </w:rPr>
        <w:t xml:space="preserve">). </w:t>
      </w:r>
      <w:r>
        <w:rPr>
          <w:rFonts w:cstheme="minorHAnsi"/>
        </w:rPr>
        <w:t>A further point is that observing highlights any activity, behaviour or occurrences</w:t>
      </w:r>
      <w:r>
        <w:rPr>
          <w:rFonts w:cstheme="minorHAnsi"/>
          <w:b/>
          <w:u w:val="single"/>
        </w:rPr>
        <w:t xml:space="preserve"> </w:t>
      </w:r>
      <w:r>
        <w:rPr>
          <w:rFonts w:cstheme="minorHAnsi"/>
        </w:rPr>
        <w:t xml:space="preserve">that you wouldn’t see through just an interview afterwards or through a transcript. As mentioned above, </w:t>
      </w:r>
      <w:proofErr w:type="spellStart"/>
      <w:r>
        <w:t>D’Mello</w:t>
      </w:r>
      <w:proofErr w:type="spellEnd"/>
      <w:r>
        <w:t xml:space="preserve"> and grasser talk about how body language is a good indicator of engagement and they go further to say that as body movements are generally not consciously made, this makes them a reliable source of empirical data. </w:t>
      </w:r>
    </w:p>
    <w:p w:rsidR="00F31431" w:rsidRDefault="00F31431" w:rsidP="00F31431">
      <w:pPr>
        <w:pStyle w:val="NormalWeb"/>
        <w:rPr>
          <w:rFonts w:asciiTheme="minorHAnsi" w:hAnsiTheme="minorHAnsi" w:cstheme="minorHAnsi"/>
          <w:color w:val="FF0000"/>
          <w:sz w:val="22"/>
          <w:szCs w:val="22"/>
        </w:rPr>
      </w:pPr>
      <w:r w:rsidRPr="00AF0764">
        <w:rPr>
          <w:rFonts w:asciiTheme="minorHAnsi" w:hAnsiTheme="minorHAnsi" w:cstheme="minorHAnsi"/>
          <w:sz w:val="22"/>
          <w:szCs w:val="22"/>
        </w:rPr>
        <w:t>We will collect</w:t>
      </w:r>
      <w:r>
        <w:rPr>
          <w:rFonts w:asciiTheme="minorHAnsi" w:hAnsiTheme="minorHAnsi" w:cstheme="minorHAnsi"/>
          <w:sz w:val="22"/>
          <w:szCs w:val="22"/>
        </w:rPr>
        <w:t xml:space="preserve"> some</w:t>
      </w:r>
      <w:r w:rsidRPr="00AF0764">
        <w:rPr>
          <w:rFonts w:asciiTheme="minorHAnsi" w:hAnsiTheme="minorHAnsi" w:cstheme="minorHAnsi"/>
          <w:sz w:val="22"/>
          <w:szCs w:val="22"/>
        </w:rPr>
        <w:t xml:space="preserve"> </w:t>
      </w:r>
      <w:r>
        <w:rPr>
          <w:rFonts w:asciiTheme="minorHAnsi" w:hAnsiTheme="minorHAnsi" w:cstheme="minorHAnsi"/>
          <w:sz w:val="22"/>
          <w:szCs w:val="22"/>
        </w:rPr>
        <w:t xml:space="preserve">of the </w:t>
      </w:r>
      <w:r w:rsidRPr="00AF0764">
        <w:rPr>
          <w:rFonts w:asciiTheme="minorHAnsi" w:hAnsiTheme="minorHAnsi" w:cstheme="minorHAnsi"/>
          <w:sz w:val="22"/>
          <w:szCs w:val="22"/>
        </w:rPr>
        <w:t xml:space="preserve">qualitative data by the use of focus group interviews involving the three focus children. We will ask them about the lesson afterwards </w:t>
      </w:r>
      <w:r>
        <w:rPr>
          <w:rFonts w:asciiTheme="minorHAnsi" w:hAnsiTheme="minorHAnsi" w:cstheme="minorHAnsi"/>
          <w:sz w:val="22"/>
          <w:szCs w:val="22"/>
        </w:rPr>
        <w:t>to gain their insight</w:t>
      </w:r>
      <w:r w:rsidRPr="00AF0764">
        <w:rPr>
          <w:rFonts w:asciiTheme="minorHAnsi" w:hAnsiTheme="minorHAnsi" w:cstheme="minorHAnsi"/>
          <w:sz w:val="22"/>
          <w:szCs w:val="22"/>
        </w:rPr>
        <w:t xml:space="preserve"> </w:t>
      </w:r>
      <w:r>
        <w:rPr>
          <w:rFonts w:asciiTheme="minorHAnsi" w:hAnsiTheme="minorHAnsi" w:cstheme="minorHAnsi"/>
          <w:sz w:val="22"/>
          <w:szCs w:val="22"/>
        </w:rPr>
        <w:t>on</w:t>
      </w:r>
      <w:r w:rsidRPr="00AF0764">
        <w:rPr>
          <w:rFonts w:asciiTheme="minorHAnsi" w:hAnsiTheme="minorHAnsi" w:cstheme="minorHAnsi"/>
          <w:sz w:val="22"/>
          <w:szCs w:val="22"/>
        </w:rPr>
        <w:t xml:space="preserve"> how the lesson went (</w:t>
      </w:r>
      <w:proofErr w:type="spellStart"/>
      <w:r w:rsidRPr="00AF0764">
        <w:rPr>
          <w:rFonts w:asciiTheme="minorHAnsi" w:hAnsiTheme="minorHAnsi" w:cstheme="minorHAnsi"/>
          <w:sz w:val="22"/>
          <w:szCs w:val="22"/>
        </w:rPr>
        <w:t>Rabiee</w:t>
      </w:r>
      <w:proofErr w:type="spellEnd"/>
      <w:r w:rsidRPr="00AF0764">
        <w:rPr>
          <w:rFonts w:asciiTheme="minorHAnsi" w:hAnsiTheme="minorHAnsi" w:cstheme="minorHAnsi"/>
          <w:sz w:val="22"/>
          <w:szCs w:val="22"/>
        </w:rPr>
        <w:t xml:space="preserve">, 2007). </w:t>
      </w:r>
      <w:r>
        <w:rPr>
          <w:rFonts w:asciiTheme="minorHAnsi" w:hAnsiTheme="minorHAnsi" w:cstheme="minorHAnsi"/>
          <w:sz w:val="22"/>
          <w:szCs w:val="22"/>
        </w:rPr>
        <w:t xml:space="preserve"> There are many benefits to using a focus group interview method to collect our data, </w:t>
      </w:r>
      <w:proofErr w:type="spellStart"/>
      <w:r>
        <w:rPr>
          <w:rFonts w:asciiTheme="minorHAnsi" w:hAnsiTheme="minorHAnsi" w:cstheme="minorHAnsi"/>
          <w:sz w:val="22"/>
          <w:szCs w:val="22"/>
        </w:rPr>
        <w:t>Rabiee</w:t>
      </w:r>
      <w:proofErr w:type="spellEnd"/>
      <w:r>
        <w:rPr>
          <w:rFonts w:asciiTheme="minorHAnsi" w:hAnsiTheme="minorHAnsi" w:cstheme="minorHAnsi"/>
          <w:sz w:val="22"/>
          <w:szCs w:val="22"/>
        </w:rPr>
        <w:t xml:space="preserve"> (</w:t>
      </w:r>
      <w:r>
        <w:rPr>
          <w:rFonts w:asciiTheme="minorHAnsi" w:hAnsiTheme="minorHAnsi" w:cstheme="minorHAnsi"/>
          <w:sz w:val="22"/>
          <w:szCs w:val="22"/>
        </w:rPr>
        <w:t>2007</w:t>
      </w:r>
      <w:r>
        <w:rPr>
          <w:rFonts w:asciiTheme="minorHAnsi" w:hAnsiTheme="minorHAnsi" w:cstheme="minorHAnsi"/>
          <w:sz w:val="22"/>
          <w:szCs w:val="22"/>
        </w:rPr>
        <w:t xml:space="preserve">) presents a few. The main reason is that it helps us to gauge the feelings and emotions felt about a particular activity or lesson in a less formal way than with a one-to one interview. </w:t>
      </w:r>
      <w:proofErr w:type="spellStart"/>
      <w:r w:rsidRPr="00DF4CA2">
        <w:rPr>
          <w:rFonts w:asciiTheme="minorHAnsi" w:hAnsiTheme="minorHAnsi" w:cstheme="minorHAnsi"/>
          <w:sz w:val="22"/>
          <w:szCs w:val="22"/>
        </w:rPr>
        <w:t>Rabiee</w:t>
      </w:r>
      <w:proofErr w:type="spellEnd"/>
      <w:r w:rsidRPr="00DF4CA2">
        <w:rPr>
          <w:rFonts w:asciiTheme="minorHAnsi" w:hAnsiTheme="minorHAnsi" w:cstheme="minorHAnsi"/>
          <w:sz w:val="22"/>
          <w:szCs w:val="22"/>
        </w:rPr>
        <w:t xml:space="preserve"> also</w:t>
      </w:r>
      <w:r>
        <w:rPr>
          <w:rFonts w:asciiTheme="minorHAnsi" w:hAnsiTheme="minorHAnsi" w:cstheme="minorHAnsi"/>
          <w:sz w:val="22"/>
          <w:szCs w:val="22"/>
        </w:rPr>
        <w:t xml:space="preserve"> holds that the data collected is more substantial and more can be collected in a smaller timeframe. It also helps to highlight differing perspectives of different people within the focus group. Further benefits suggested by other sources go on to say that more complex behaviour can be analysed and there is the opportunity to clarify what a participant means by a statement they make if the understanding is not immediately </w:t>
      </w:r>
      <w:r w:rsidRPr="00E64FF2">
        <w:rPr>
          <w:rFonts w:asciiTheme="minorHAnsi" w:hAnsiTheme="minorHAnsi" w:cstheme="minorHAnsi"/>
          <w:sz w:val="22"/>
          <w:szCs w:val="22"/>
        </w:rPr>
        <w:t xml:space="preserve">clear.  </w:t>
      </w:r>
    </w:p>
    <w:p w:rsidR="00F31431" w:rsidRDefault="00F31431" w:rsidP="00F31431">
      <w:pPr>
        <w:pStyle w:val="NormalWeb"/>
        <w:rPr>
          <w:rFonts w:asciiTheme="minorHAnsi" w:hAnsiTheme="minorHAnsi" w:cstheme="minorHAnsi"/>
          <w:sz w:val="22"/>
          <w:szCs w:val="22"/>
        </w:rPr>
      </w:pPr>
      <w:r>
        <w:rPr>
          <w:rFonts w:asciiTheme="minorHAnsi" w:hAnsiTheme="minorHAnsi" w:cstheme="minorHAnsi"/>
          <w:sz w:val="22"/>
          <w:szCs w:val="22"/>
        </w:rPr>
        <w:t>To record our observational notes we used two methods: Note taking and audio recording. There are a number of advantages to the former ( Jansen</w:t>
      </w:r>
      <w:r>
        <w:rPr>
          <w:rFonts w:asciiTheme="minorHAnsi" w:hAnsiTheme="minorHAnsi" w:cstheme="minorHAnsi"/>
          <w:sz w:val="22"/>
          <w:szCs w:val="22"/>
        </w:rPr>
        <w:t>,</w:t>
      </w:r>
      <w:r>
        <w:rPr>
          <w:rFonts w:asciiTheme="minorHAnsi" w:hAnsiTheme="minorHAnsi" w:cstheme="minorHAnsi"/>
          <w:sz w:val="22"/>
          <w:szCs w:val="22"/>
        </w:rPr>
        <w:t xml:space="preserve"> 2017), one being that you have physical notes from the observation which can be reviewed at any opportunity, and another being that there is research that suggests that when you note take </w:t>
      </w:r>
      <w:r w:rsidRPr="00155DB9">
        <w:rPr>
          <w:rFonts w:asciiTheme="minorHAnsi" w:hAnsiTheme="minorHAnsi" w:cstheme="minorHAnsi"/>
          <w:sz w:val="22"/>
          <w:szCs w:val="22"/>
        </w:rPr>
        <w:t>you process the</w:t>
      </w:r>
      <w:r>
        <w:rPr>
          <w:rFonts w:asciiTheme="minorHAnsi" w:hAnsiTheme="minorHAnsi" w:cstheme="minorHAnsi"/>
          <w:sz w:val="22"/>
          <w:szCs w:val="22"/>
        </w:rPr>
        <w:t xml:space="preserve"> given</w:t>
      </w:r>
      <w:r w:rsidRPr="00155DB9">
        <w:rPr>
          <w:rFonts w:asciiTheme="minorHAnsi" w:hAnsiTheme="minorHAnsi" w:cstheme="minorHAnsi"/>
          <w:sz w:val="22"/>
          <w:szCs w:val="22"/>
        </w:rPr>
        <w:t xml:space="preserve"> information </w:t>
      </w:r>
      <w:r>
        <w:rPr>
          <w:rFonts w:asciiTheme="minorHAnsi" w:hAnsiTheme="minorHAnsi" w:cstheme="minorHAnsi"/>
          <w:sz w:val="22"/>
          <w:szCs w:val="22"/>
        </w:rPr>
        <w:t>more thoroughly than withou</w:t>
      </w:r>
      <w:r w:rsidRPr="00DF4CA2">
        <w:rPr>
          <w:rFonts w:asciiTheme="minorHAnsi" w:hAnsiTheme="minorHAnsi" w:cstheme="minorHAnsi"/>
          <w:sz w:val="22"/>
          <w:szCs w:val="22"/>
        </w:rPr>
        <w:t xml:space="preserve">t. </w:t>
      </w:r>
      <w:proofErr w:type="spellStart"/>
      <w:r>
        <w:rPr>
          <w:rFonts w:asciiTheme="minorHAnsi" w:hAnsiTheme="minorHAnsi" w:cstheme="minorHAnsi"/>
          <w:sz w:val="22"/>
          <w:szCs w:val="22"/>
        </w:rPr>
        <w:t>Pep</w:t>
      </w:r>
      <w:r w:rsidRPr="00155DB9">
        <w:rPr>
          <w:rFonts w:asciiTheme="minorHAnsi" w:hAnsiTheme="minorHAnsi" w:cstheme="minorHAnsi"/>
          <w:sz w:val="22"/>
          <w:szCs w:val="22"/>
        </w:rPr>
        <w:t>er</w:t>
      </w:r>
      <w:proofErr w:type="spellEnd"/>
      <w:r w:rsidRPr="00155DB9">
        <w:rPr>
          <w:rFonts w:asciiTheme="minorHAnsi" w:hAnsiTheme="minorHAnsi" w:cstheme="minorHAnsi"/>
          <w:sz w:val="22"/>
          <w:szCs w:val="22"/>
        </w:rPr>
        <w:t xml:space="preserve"> and Mayer (1978</w:t>
      </w:r>
      <w:r>
        <w:rPr>
          <w:rFonts w:asciiTheme="minorHAnsi" w:hAnsiTheme="minorHAnsi" w:cstheme="minorHAnsi"/>
          <w:sz w:val="22"/>
          <w:szCs w:val="22"/>
        </w:rPr>
        <w:t xml:space="preserve"> –</w:t>
      </w:r>
      <w:r w:rsidRPr="00155DB9">
        <w:rPr>
          <w:rFonts w:asciiTheme="minorHAnsi" w:hAnsiTheme="minorHAnsi" w:cstheme="minorHAnsi"/>
          <w:sz w:val="22"/>
          <w:szCs w:val="22"/>
        </w:rPr>
        <w:t>)</w:t>
      </w:r>
      <w:r>
        <w:rPr>
          <w:rFonts w:asciiTheme="minorHAnsi" w:hAnsiTheme="minorHAnsi" w:cstheme="minorHAnsi"/>
          <w:sz w:val="22"/>
          <w:szCs w:val="22"/>
        </w:rPr>
        <w:t xml:space="preserve"> go further to say that you pay more attention when you are taking notes and state that people who take notes generally tend to perform better than those who don’t. There are some possible drawbacks from this method highlighted by Peters</w:t>
      </w:r>
      <w:r>
        <w:rPr>
          <w:rFonts w:asciiTheme="minorHAnsi" w:hAnsiTheme="minorHAnsi" w:cstheme="minorHAnsi"/>
          <w:sz w:val="22"/>
          <w:szCs w:val="22"/>
        </w:rPr>
        <w:t xml:space="preserve"> (1972</w:t>
      </w:r>
      <w:r w:rsidRPr="00155DB9">
        <w:rPr>
          <w:rFonts w:asciiTheme="minorHAnsi" w:hAnsiTheme="minorHAnsi" w:cstheme="minorHAnsi"/>
          <w:sz w:val="22"/>
          <w:szCs w:val="22"/>
        </w:rPr>
        <w:t>)</w:t>
      </w:r>
      <w:r>
        <w:rPr>
          <w:rFonts w:asciiTheme="minorHAnsi" w:hAnsiTheme="minorHAnsi" w:cstheme="minorHAnsi"/>
          <w:sz w:val="22"/>
          <w:szCs w:val="22"/>
        </w:rPr>
        <w:t xml:space="preserve"> who says that it has a negative impact on the efficiency of observation because they are focusing on writing instead of on the activity taking place. We felt that the benefits largely outweighed the negatives in this case however. </w:t>
      </w:r>
    </w:p>
    <w:p w:rsidR="00F31431" w:rsidRPr="00A85D69" w:rsidRDefault="00F31431" w:rsidP="00F31431">
      <w:pPr>
        <w:pStyle w:val="NormalWeb"/>
        <w:rPr>
          <w:rFonts w:asciiTheme="minorHAnsi" w:hAnsiTheme="minorHAnsi" w:cstheme="minorHAnsi"/>
          <w:color w:val="FF0000"/>
          <w:sz w:val="22"/>
          <w:szCs w:val="22"/>
        </w:rPr>
      </w:pPr>
      <w:r>
        <w:rPr>
          <w:rFonts w:asciiTheme="minorHAnsi" w:hAnsiTheme="minorHAnsi" w:cstheme="minorHAnsi"/>
          <w:sz w:val="22"/>
          <w:szCs w:val="22"/>
        </w:rPr>
        <w:t>To maintain an effective way to obtain high quality, qualitative data for</w:t>
      </w:r>
      <w:r w:rsidRPr="00A85D69">
        <w:rPr>
          <w:rFonts w:asciiTheme="minorHAnsi" w:hAnsiTheme="minorHAnsi" w:cstheme="minorHAnsi"/>
          <w:sz w:val="22"/>
          <w:szCs w:val="22"/>
        </w:rPr>
        <w:t xml:space="preserve"> the focus interview</w:t>
      </w:r>
      <w:r>
        <w:rPr>
          <w:rFonts w:asciiTheme="minorHAnsi" w:hAnsiTheme="minorHAnsi" w:cstheme="minorHAnsi"/>
          <w:sz w:val="22"/>
          <w:szCs w:val="22"/>
        </w:rPr>
        <w:t>,</w:t>
      </w:r>
      <w:r w:rsidRPr="00A85D69">
        <w:rPr>
          <w:rFonts w:asciiTheme="minorHAnsi" w:hAnsiTheme="minorHAnsi" w:cstheme="minorHAnsi"/>
          <w:sz w:val="22"/>
          <w:szCs w:val="22"/>
        </w:rPr>
        <w:t xml:space="preserve"> we decided to use audio recording</w:t>
      </w:r>
      <w:r>
        <w:rPr>
          <w:rFonts w:asciiTheme="minorHAnsi" w:hAnsiTheme="minorHAnsi" w:cstheme="minorHAnsi"/>
          <w:sz w:val="22"/>
          <w:szCs w:val="22"/>
        </w:rPr>
        <w:t>.</w:t>
      </w:r>
      <w:r w:rsidRPr="00A347DE">
        <w:rPr>
          <w:rFonts w:asciiTheme="minorHAnsi" w:hAnsiTheme="minorHAnsi" w:cstheme="minorHAnsi"/>
          <w:color w:val="70AD47" w:themeColor="accent6"/>
          <w:sz w:val="22"/>
          <w:szCs w:val="22"/>
        </w:rPr>
        <w:t xml:space="preserve"> </w:t>
      </w:r>
      <w:r>
        <w:rPr>
          <w:rFonts w:asciiTheme="minorHAnsi" w:hAnsiTheme="minorHAnsi" w:cstheme="minorHAnsi"/>
          <w:sz w:val="22"/>
          <w:szCs w:val="22"/>
        </w:rPr>
        <w:t>(</w:t>
      </w:r>
      <w:proofErr w:type="spellStart"/>
      <w:r>
        <w:rPr>
          <w:rFonts w:asciiTheme="minorHAnsi" w:hAnsiTheme="minorHAnsi" w:cstheme="minorHAnsi"/>
          <w:sz w:val="22"/>
          <w:szCs w:val="22"/>
        </w:rPr>
        <w:t>Thissen</w:t>
      </w:r>
      <w:proofErr w:type="spellEnd"/>
      <w:r>
        <w:rPr>
          <w:rFonts w:asciiTheme="minorHAnsi" w:hAnsiTheme="minorHAnsi" w:cstheme="minorHAnsi"/>
          <w:sz w:val="22"/>
          <w:szCs w:val="22"/>
        </w:rPr>
        <w:t xml:space="preserve"> et al.,</w:t>
      </w:r>
      <w:r>
        <w:rPr>
          <w:rFonts w:asciiTheme="minorHAnsi" w:hAnsiTheme="minorHAnsi" w:cstheme="minorHAnsi"/>
          <w:sz w:val="22"/>
          <w:szCs w:val="22"/>
        </w:rPr>
        <w:t xml:space="preserve"> 2008) In our opinion, it was a better method than video recording as </w:t>
      </w:r>
      <w:r w:rsidRPr="00A85D69">
        <w:rPr>
          <w:rFonts w:asciiTheme="minorHAnsi" w:hAnsiTheme="minorHAnsi" w:cstheme="minorHAnsi"/>
          <w:sz w:val="22"/>
          <w:szCs w:val="22"/>
        </w:rPr>
        <w:t>Bergman (</w:t>
      </w:r>
      <w:r>
        <w:rPr>
          <w:rFonts w:asciiTheme="minorHAnsi" w:hAnsiTheme="minorHAnsi" w:cstheme="minorHAnsi"/>
          <w:sz w:val="22"/>
          <w:szCs w:val="22"/>
        </w:rPr>
        <w:t>2015</w:t>
      </w:r>
      <w:r w:rsidRPr="00FC044B">
        <w:rPr>
          <w:rFonts w:asciiTheme="minorHAnsi" w:hAnsiTheme="minorHAnsi" w:cstheme="minorHAnsi"/>
          <w:sz w:val="22"/>
          <w:szCs w:val="22"/>
        </w:rPr>
        <w:t xml:space="preserve">) </w:t>
      </w:r>
      <w:r>
        <w:rPr>
          <w:rFonts w:asciiTheme="minorHAnsi" w:hAnsiTheme="minorHAnsi" w:cstheme="minorHAnsi"/>
          <w:sz w:val="22"/>
          <w:szCs w:val="22"/>
        </w:rPr>
        <w:t xml:space="preserve">holds that </w:t>
      </w:r>
      <w:r w:rsidRPr="00E64FF2">
        <w:rPr>
          <w:rFonts w:asciiTheme="minorHAnsi" w:hAnsiTheme="minorHAnsi" w:cstheme="minorHAnsi"/>
          <w:sz w:val="22"/>
          <w:szCs w:val="22"/>
        </w:rPr>
        <w:t xml:space="preserve">audio recordings are a less invasive method </w:t>
      </w:r>
      <w:r>
        <w:rPr>
          <w:rFonts w:asciiTheme="minorHAnsi" w:hAnsiTheme="minorHAnsi" w:cstheme="minorHAnsi"/>
          <w:sz w:val="22"/>
          <w:szCs w:val="22"/>
        </w:rPr>
        <w:t>of</w:t>
      </w:r>
      <w:r w:rsidRPr="00E64FF2">
        <w:rPr>
          <w:rFonts w:asciiTheme="minorHAnsi" w:hAnsiTheme="minorHAnsi" w:cstheme="minorHAnsi"/>
          <w:sz w:val="22"/>
          <w:szCs w:val="22"/>
        </w:rPr>
        <w:t xml:space="preserve"> data collection than video </w:t>
      </w:r>
      <w:r>
        <w:rPr>
          <w:rFonts w:asciiTheme="minorHAnsi" w:hAnsiTheme="minorHAnsi" w:cstheme="minorHAnsi"/>
          <w:sz w:val="22"/>
          <w:szCs w:val="22"/>
        </w:rPr>
        <w:t xml:space="preserve">recordings. </w:t>
      </w:r>
      <w:r w:rsidRPr="00A85D69">
        <w:rPr>
          <w:rFonts w:asciiTheme="minorHAnsi" w:hAnsiTheme="minorHAnsi" w:cstheme="minorHAnsi"/>
          <w:sz w:val="22"/>
          <w:szCs w:val="22"/>
        </w:rPr>
        <w:t>He also goes on to talk about how it is an easier method for teachers to adopt when evaluating their lessons due to the decreased amount of effort tha</w:t>
      </w:r>
      <w:r>
        <w:rPr>
          <w:rFonts w:asciiTheme="minorHAnsi" w:hAnsiTheme="minorHAnsi" w:cstheme="minorHAnsi"/>
          <w:sz w:val="22"/>
          <w:szCs w:val="22"/>
        </w:rPr>
        <w:t>t goes in</w:t>
      </w:r>
      <w:r w:rsidRPr="00A85D69">
        <w:rPr>
          <w:rFonts w:asciiTheme="minorHAnsi" w:hAnsiTheme="minorHAnsi" w:cstheme="minorHAnsi"/>
          <w:sz w:val="22"/>
          <w:szCs w:val="22"/>
        </w:rPr>
        <w:t xml:space="preserve">to reviewing audio recordings compared to video recordings. He </w:t>
      </w:r>
      <w:r>
        <w:rPr>
          <w:rFonts w:asciiTheme="minorHAnsi" w:hAnsiTheme="minorHAnsi" w:cstheme="minorHAnsi"/>
          <w:sz w:val="22"/>
          <w:szCs w:val="22"/>
        </w:rPr>
        <w:t>adds</w:t>
      </w:r>
      <w:r w:rsidRPr="00A85D69">
        <w:rPr>
          <w:rFonts w:asciiTheme="minorHAnsi" w:hAnsiTheme="minorHAnsi" w:cstheme="minorHAnsi"/>
          <w:sz w:val="22"/>
          <w:szCs w:val="22"/>
        </w:rPr>
        <w:t xml:space="preserve"> the fact that teachers are</w:t>
      </w:r>
      <w:r>
        <w:rPr>
          <w:rFonts w:asciiTheme="minorHAnsi" w:hAnsiTheme="minorHAnsi" w:cstheme="minorHAnsi"/>
          <w:sz w:val="22"/>
          <w:szCs w:val="22"/>
        </w:rPr>
        <w:t xml:space="preserve"> </w:t>
      </w:r>
      <w:r>
        <w:rPr>
          <w:rFonts w:asciiTheme="minorHAnsi" w:hAnsiTheme="minorHAnsi" w:cstheme="minorHAnsi"/>
          <w:sz w:val="22"/>
          <w:szCs w:val="22"/>
        </w:rPr>
        <w:lastRenderedPageBreak/>
        <w:t>then</w:t>
      </w:r>
      <w:r w:rsidRPr="00A85D69">
        <w:rPr>
          <w:rFonts w:asciiTheme="minorHAnsi" w:hAnsiTheme="minorHAnsi" w:cstheme="minorHAnsi"/>
          <w:sz w:val="22"/>
          <w:szCs w:val="22"/>
        </w:rPr>
        <w:t xml:space="preserve"> free to do other things at the same time as reviewing. </w:t>
      </w:r>
      <w:r>
        <w:rPr>
          <w:rFonts w:asciiTheme="minorHAnsi" w:hAnsiTheme="minorHAnsi" w:cstheme="minorHAnsi"/>
          <w:sz w:val="22"/>
          <w:szCs w:val="22"/>
        </w:rPr>
        <w:t>There is also the fact that kids feel less self-conscious as they forget that they are being recorded.</w:t>
      </w:r>
      <w:r w:rsidRPr="00A85D69">
        <w:rPr>
          <w:rFonts w:asciiTheme="minorHAnsi" w:hAnsiTheme="minorHAnsi" w:cstheme="minorHAnsi"/>
          <w:sz w:val="22"/>
          <w:szCs w:val="22"/>
        </w:rPr>
        <w:t xml:space="preserve"> </w:t>
      </w:r>
    </w:p>
    <w:p w:rsidR="00F31431" w:rsidRDefault="00F31431" w:rsidP="00F31431">
      <w:pPr>
        <w:rPr>
          <w:rFonts w:cstheme="minorHAnsi"/>
        </w:rPr>
      </w:pPr>
      <w:r w:rsidRPr="00E64FF2">
        <w:rPr>
          <w:rFonts w:cstheme="minorHAnsi"/>
        </w:rPr>
        <w:t>Reflection is a key element of Dudley’s (</w:t>
      </w:r>
      <w:r>
        <w:rPr>
          <w:rFonts w:cstheme="minorHAnsi"/>
        </w:rPr>
        <w:t>2014</w:t>
      </w:r>
      <w:r w:rsidRPr="00E64FF2">
        <w:rPr>
          <w:rFonts w:cstheme="minorHAnsi"/>
        </w:rPr>
        <w:t xml:space="preserve">) lesson study process. The idea </w:t>
      </w:r>
      <w:r>
        <w:rPr>
          <w:rFonts w:cstheme="minorHAnsi"/>
        </w:rPr>
        <w:t>behind this is</w:t>
      </w:r>
      <w:r w:rsidRPr="00E64FF2">
        <w:rPr>
          <w:rFonts w:cstheme="minorHAnsi"/>
        </w:rPr>
        <w:t xml:space="preserve"> </w:t>
      </w:r>
      <w:r>
        <w:rPr>
          <w:rFonts w:cstheme="minorHAnsi"/>
        </w:rPr>
        <w:t>to create a positive feedback ‘loop’ allowing you to</w:t>
      </w:r>
      <w:r w:rsidRPr="00E64FF2">
        <w:rPr>
          <w:rFonts w:cstheme="minorHAnsi"/>
        </w:rPr>
        <w:t xml:space="preserve"> analyse the positives and negatives of your lesson and make improvements for the next lesson study</w:t>
      </w:r>
      <w:r>
        <w:rPr>
          <w:rFonts w:cstheme="minorHAnsi"/>
        </w:rPr>
        <w:t xml:space="preserve"> so that your lessons continuously improve and i</w:t>
      </w:r>
      <w:r w:rsidRPr="00CB2621">
        <w:rPr>
          <w:rFonts w:cstheme="minorHAnsi"/>
        </w:rPr>
        <w:t xml:space="preserve">t </w:t>
      </w:r>
      <w:r>
        <w:rPr>
          <w:rFonts w:cstheme="minorHAnsi"/>
        </w:rPr>
        <w:t>ensures that</w:t>
      </w:r>
      <w:r w:rsidRPr="00CB2621">
        <w:rPr>
          <w:rFonts w:cstheme="minorHAnsi"/>
        </w:rPr>
        <w:t xml:space="preserve"> teachers</w:t>
      </w:r>
      <w:r>
        <w:rPr>
          <w:rFonts w:cstheme="minorHAnsi"/>
        </w:rPr>
        <w:t xml:space="preserve"> </w:t>
      </w:r>
      <w:r w:rsidRPr="00CB2621">
        <w:rPr>
          <w:rFonts w:cstheme="minorHAnsi"/>
        </w:rPr>
        <w:t>con</w:t>
      </w:r>
      <w:r>
        <w:rPr>
          <w:rFonts w:cstheme="minorHAnsi"/>
        </w:rPr>
        <w:t>stantly develop</w:t>
      </w:r>
      <w:r w:rsidRPr="00CB2621">
        <w:rPr>
          <w:rFonts w:cstheme="minorHAnsi"/>
        </w:rPr>
        <w:t xml:space="preserve"> their skill</w:t>
      </w:r>
      <w:r>
        <w:rPr>
          <w:rFonts w:cstheme="minorHAnsi"/>
        </w:rPr>
        <w:t>s</w:t>
      </w:r>
      <w:r w:rsidRPr="00CB2621">
        <w:rPr>
          <w:rFonts w:cstheme="minorHAnsi"/>
        </w:rPr>
        <w:t xml:space="preserve"> through their </w:t>
      </w:r>
      <w:r w:rsidRPr="003B77C8">
        <w:rPr>
          <w:rFonts w:cstheme="minorHAnsi"/>
        </w:rPr>
        <w:t>teaching (Jarvis, 1992).  In order to reflect on how my lesson has gone, I will be using Brookfield’s four lenses model of reflection. I</w:t>
      </w:r>
      <w:r>
        <w:rPr>
          <w:rFonts w:cstheme="minorHAnsi"/>
        </w:rPr>
        <w:t xml:space="preserve"> considered this the best method to use </w:t>
      </w:r>
      <w:r w:rsidRPr="003B77C8">
        <w:rPr>
          <w:rFonts w:cstheme="minorHAnsi"/>
        </w:rPr>
        <w:t xml:space="preserve">as it endorses reflection </w:t>
      </w:r>
      <w:r w:rsidRPr="00601679">
        <w:rPr>
          <w:rFonts w:cstheme="minorHAnsi"/>
        </w:rPr>
        <w:t xml:space="preserve">from a number of different perspectives, these being self, students, colleagues, and literature (Brookfield, 2005). </w:t>
      </w:r>
      <w:r w:rsidRPr="00535C46">
        <w:rPr>
          <w:rFonts w:cstheme="minorHAnsi"/>
        </w:rPr>
        <w:t xml:space="preserve">In this instance, </w:t>
      </w:r>
      <w:r>
        <w:rPr>
          <w:rFonts w:cstheme="minorHAnsi"/>
        </w:rPr>
        <w:t>it</w:t>
      </w:r>
      <w:r w:rsidRPr="00535C46">
        <w:rPr>
          <w:rFonts w:cstheme="minorHAnsi"/>
        </w:rPr>
        <w:t xml:space="preserve"> involved collecting feedback from myself</w:t>
      </w:r>
      <w:r>
        <w:rPr>
          <w:rFonts w:cstheme="minorHAnsi"/>
        </w:rPr>
        <w:t xml:space="preserve"> about</w:t>
      </w:r>
      <w:r w:rsidRPr="00535C46">
        <w:rPr>
          <w:rFonts w:cstheme="minorHAnsi"/>
        </w:rPr>
        <w:t xml:space="preserve"> how I thought the lesson had gone, my research partner, </w:t>
      </w:r>
      <w:r>
        <w:rPr>
          <w:rFonts w:cstheme="minorHAnsi"/>
        </w:rPr>
        <w:t>the</w:t>
      </w:r>
      <w:r w:rsidRPr="00535C46">
        <w:rPr>
          <w:rFonts w:cstheme="minorHAnsi"/>
        </w:rPr>
        <w:t xml:space="preserve"> foc</w:t>
      </w:r>
      <w:r>
        <w:rPr>
          <w:rFonts w:cstheme="minorHAnsi"/>
        </w:rPr>
        <w:t xml:space="preserve">us children and from literature, in particular </w:t>
      </w:r>
      <w:r w:rsidRPr="00535C46">
        <w:rPr>
          <w:rFonts w:cstheme="minorHAnsi"/>
        </w:rPr>
        <w:t xml:space="preserve">whether there were any links to </w:t>
      </w:r>
      <w:r>
        <w:rPr>
          <w:rFonts w:cstheme="minorHAnsi"/>
        </w:rPr>
        <w:t>my findings</w:t>
      </w:r>
      <w:r w:rsidRPr="00535C46">
        <w:rPr>
          <w:rFonts w:cstheme="minorHAnsi"/>
        </w:rPr>
        <w:t xml:space="preserve">.  </w:t>
      </w:r>
    </w:p>
    <w:p w:rsidR="00F31431" w:rsidRDefault="00F31431" w:rsidP="00F31431">
      <w:pPr>
        <w:spacing w:line="240" w:lineRule="auto"/>
        <w:rPr>
          <w:rFonts w:cstheme="minorHAnsi"/>
          <w:b/>
        </w:rPr>
      </w:pPr>
      <w:r w:rsidRPr="00986E7B">
        <w:rPr>
          <w:rFonts w:cstheme="minorHAnsi"/>
          <w:b/>
        </w:rPr>
        <w:t>Ethical considerations</w:t>
      </w:r>
      <w:r>
        <w:rPr>
          <w:rFonts w:cstheme="minorHAnsi"/>
          <w:b/>
        </w:rPr>
        <w:t xml:space="preserve"> </w:t>
      </w:r>
    </w:p>
    <w:p w:rsidR="00F31431" w:rsidRDefault="00F31431" w:rsidP="00F31431">
      <w:pPr>
        <w:pStyle w:val="NormalWeb"/>
        <w:rPr>
          <w:rFonts w:asciiTheme="minorHAnsi" w:hAnsiTheme="minorHAnsi" w:cstheme="minorHAnsi"/>
          <w:sz w:val="22"/>
          <w:szCs w:val="22"/>
        </w:rPr>
      </w:pPr>
      <w:r>
        <w:rPr>
          <w:rFonts w:asciiTheme="minorHAnsi" w:hAnsiTheme="minorHAnsi" w:cstheme="minorHAnsi"/>
          <w:sz w:val="22"/>
          <w:szCs w:val="22"/>
        </w:rPr>
        <w:t>Many</w:t>
      </w:r>
      <w:r w:rsidRPr="00AD15EE">
        <w:rPr>
          <w:rFonts w:asciiTheme="minorHAnsi" w:hAnsiTheme="minorHAnsi" w:cstheme="minorHAnsi"/>
          <w:sz w:val="22"/>
          <w:szCs w:val="22"/>
        </w:rPr>
        <w:t xml:space="preserve"> possible ethical issues have been considered. There are a number of possible risks that we hope to have diffused.</w:t>
      </w:r>
      <w:r>
        <w:rPr>
          <w:rFonts w:asciiTheme="minorHAnsi" w:hAnsiTheme="minorHAnsi" w:cstheme="minorHAnsi"/>
          <w:sz w:val="22"/>
          <w:szCs w:val="22"/>
        </w:rPr>
        <w:t xml:space="preserve"> A few of these risks are that t</w:t>
      </w:r>
      <w:r w:rsidRPr="00AD15EE">
        <w:rPr>
          <w:rFonts w:asciiTheme="minorHAnsi" w:hAnsiTheme="minorHAnsi" w:cstheme="minorHAnsi"/>
          <w:sz w:val="22"/>
          <w:szCs w:val="22"/>
        </w:rPr>
        <w:t xml:space="preserve">he </w:t>
      </w:r>
      <w:r>
        <w:rPr>
          <w:rFonts w:asciiTheme="minorHAnsi" w:hAnsiTheme="minorHAnsi" w:cstheme="minorHAnsi"/>
          <w:sz w:val="22"/>
          <w:szCs w:val="22"/>
        </w:rPr>
        <w:t>children</w:t>
      </w:r>
      <w:r w:rsidRPr="00AD15EE">
        <w:rPr>
          <w:rFonts w:asciiTheme="minorHAnsi" w:hAnsiTheme="minorHAnsi" w:cstheme="minorHAnsi"/>
          <w:sz w:val="22"/>
          <w:szCs w:val="22"/>
        </w:rPr>
        <w:t xml:space="preserve"> </w:t>
      </w:r>
      <w:r>
        <w:rPr>
          <w:rFonts w:asciiTheme="minorHAnsi" w:hAnsiTheme="minorHAnsi" w:cstheme="minorHAnsi"/>
          <w:sz w:val="22"/>
          <w:szCs w:val="22"/>
        </w:rPr>
        <w:t xml:space="preserve">who are not chosen for the focus group interview may feel excluded or emotionally distressed by the activity, however </w:t>
      </w:r>
      <w:r w:rsidRPr="00AD15EE">
        <w:rPr>
          <w:rFonts w:asciiTheme="minorHAnsi" w:hAnsiTheme="minorHAnsi" w:cstheme="minorHAnsi"/>
          <w:sz w:val="22"/>
          <w:szCs w:val="22"/>
        </w:rPr>
        <w:t>we are hoping that the fact that they are all given the chance to be involved in the activity should lessen the chan</w:t>
      </w:r>
      <w:r>
        <w:rPr>
          <w:rFonts w:asciiTheme="minorHAnsi" w:hAnsiTheme="minorHAnsi" w:cstheme="minorHAnsi"/>
          <w:sz w:val="22"/>
          <w:szCs w:val="22"/>
        </w:rPr>
        <w:t>ce that they will feel left out. Before we start,</w:t>
      </w:r>
      <w:r w:rsidRPr="00AD15EE">
        <w:rPr>
          <w:rFonts w:asciiTheme="minorHAnsi" w:hAnsiTheme="minorHAnsi" w:cstheme="minorHAnsi"/>
          <w:sz w:val="22"/>
          <w:szCs w:val="22"/>
        </w:rPr>
        <w:t xml:space="preserve"> we will make it </w:t>
      </w:r>
      <w:r>
        <w:rPr>
          <w:rFonts w:asciiTheme="minorHAnsi" w:hAnsiTheme="minorHAnsi" w:cstheme="minorHAnsi"/>
          <w:sz w:val="22"/>
          <w:szCs w:val="22"/>
        </w:rPr>
        <w:t>clear to the participants that taking part is not obligatory and they are entirely</w:t>
      </w:r>
      <w:r w:rsidRPr="00AD15EE">
        <w:rPr>
          <w:rFonts w:asciiTheme="minorHAnsi" w:hAnsiTheme="minorHAnsi" w:cstheme="minorHAnsi"/>
          <w:sz w:val="22"/>
          <w:szCs w:val="22"/>
        </w:rPr>
        <w:t xml:space="preserve"> free to leave the research </w:t>
      </w:r>
      <w:r>
        <w:rPr>
          <w:rFonts w:asciiTheme="minorHAnsi" w:hAnsiTheme="minorHAnsi" w:cstheme="minorHAnsi"/>
          <w:sz w:val="22"/>
          <w:szCs w:val="22"/>
        </w:rPr>
        <w:t xml:space="preserve">group </w:t>
      </w:r>
      <w:r w:rsidRPr="00AD15EE">
        <w:rPr>
          <w:rFonts w:asciiTheme="minorHAnsi" w:hAnsiTheme="minorHAnsi" w:cstheme="minorHAnsi"/>
          <w:sz w:val="22"/>
          <w:szCs w:val="22"/>
        </w:rPr>
        <w:t>whenever they want to</w:t>
      </w:r>
      <w:r>
        <w:rPr>
          <w:rFonts w:asciiTheme="minorHAnsi" w:hAnsiTheme="minorHAnsi" w:cstheme="minorHAnsi"/>
          <w:sz w:val="22"/>
          <w:szCs w:val="22"/>
        </w:rPr>
        <w:t>, without having to give a reason why</w:t>
      </w:r>
      <w:r w:rsidRPr="00AD15EE">
        <w:rPr>
          <w:rFonts w:asciiTheme="minorHAnsi" w:hAnsiTheme="minorHAnsi" w:cstheme="minorHAnsi"/>
          <w:sz w:val="22"/>
          <w:szCs w:val="22"/>
        </w:rPr>
        <w:t xml:space="preserve">. As with any research, there is the possible risk of either </w:t>
      </w:r>
      <w:r>
        <w:rPr>
          <w:rFonts w:asciiTheme="minorHAnsi" w:hAnsiTheme="minorHAnsi" w:cstheme="minorHAnsi"/>
          <w:sz w:val="22"/>
          <w:szCs w:val="22"/>
        </w:rPr>
        <w:t xml:space="preserve">my </w:t>
      </w:r>
      <w:r w:rsidRPr="00AD15EE">
        <w:rPr>
          <w:rFonts w:asciiTheme="minorHAnsi" w:hAnsiTheme="minorHAnsi" w:cstheme="minorHAnsi"/>
          <w:sz w:val="22"/>
          <w:szCs w:val="22"/>
        </w:rPr>
        <w:t xml:space="preserve">research partner </w:t>
      </w:r>
      <w:r>
        <w:rPr>
          <w:rFonts w:asciiTheme="minorHAnsi" w:hAnsiTheme="minorHAnsi" w:cstheme="minorHAnsi"/>
          <w:sz w:val="22"/>
          <w:szCs w:val="22"/>
        </w:rPr>
        <w:t xml:space="preserve">or me </w:t>
      </w:r>
      <w:r w:rsidRPr="00AD15EE">
        <w:rPr>
          <w:rFonts w:asciiTheme="minorHAnsi" w:hAnsiTheme="minorHAnsi" w:cstheme="minorHAnsi"/>
          <w:sz w:val="22"/>
          <w:szCs w:val="22"/>
        </w:rPr>
        <w:t>being accused</w:t>
      </w:r>
      <w:r>
        <w:rPr>
          <w:rFonts w:asciiTheme="minorHAnsi" w:hAnsiTheme="minorHAnsi" w:cstheme="minorHAnsi"/>
          <w:sz w:val="22"/>
          <w:szCs w:val="22"/>
        </w:rPr>
        <w:t xml:space="preserve"> of favouritism or falsifying data. </w:t>
      </w:r>
      <w:r w:rsidRPr="00BC7B11">
        <w:rPr>
          <w:rFonts w:asciiTheme="minorHAnsi" w:hAnsiTheme="minorHAnsi" w:cstheme="minorHAnsi"/>
          <w:sz w:val="22"/>
          <w:szCs w:val="22"/>
        </w:rPr>
        <w:t xml:space="preserve">I am </w:t>
      </w:r>
      <w:r>
        <w:rPr>
          <w:rFonts w:asciiTheme="minorHAnsi" w:hAnsiTheme="minorHAnsi" w:cstheme="minorHAnsi"/>
          <w:sz w:val="22"/>
          <w:szCs w:val="22"/>
        </w:rPr>
        <w:t xml:space="preserve">very </w:t>
      </w:r>
      <w:r w:rsidRPr="00BC7B11">
        <w:rPr>
          <w:rFonts w:asciiTheme="minorHAnsi" w:hAnsiTheme="minorHAnsi" w:cstheme="minorHAnsi"/>
          <w:sz w:val="22"/>
          <w:szCs w:val="22"/>
        </w:rPr>
        <w:t xml:space="preserve">aware that we are representing the partnership and the university </w:t>
      </w:r>
      <w:r>
        <w:rPr>
          <w:rFonts w:asciiTheme="minorHAnsi" w:hAnsiTheme="minorHAnsi" w:cstheme="minorHAnsi"/>
          <w:sz w:val="22"/>
          <w:szCs w:val="22"/>
        </w:rPr>
        <w:t xml:space="preserve">while conducting the research </w:t>
      </w:r>
      <w:r w:rsidRPr="00BC7B11">
        <w:rPr>
          <w:rFonts w:asciiTheme="minorHAnsi" w:hAnsiTheme="minorHAnsi" w:cstheme="minorHAnsi"/>
          <w:sz w:val="22"/>
          <w:szCs w:val="22"/>
        </w:rPr>
        <w:t>and hence I will ensure that I act professionally, and I will not falsify or manipulate any data collected. I will ensure that my research partner is always with me during the collection of data and when interviewing the children</w:t>
      </w:r>
      <w:r>
        <w:rPr>
          <w:rFonts w:asciiTheme="minorHAnsi" w:hAnsiTheme="minorHAnsi" w:cstheme="minorHAnsi"/>
          <w:sz w:val="22"/>
          <w:szCs w:val="22"/>
        </w:rPr>
        <w:t>. This</w:t>
      </w:r>
      <w:r w:rsidRPr="00BC7B11">
        <w:rPr>
          <w:rFonts w:asciiTheme="minorHAnsi" w:hAnsiTheme="minorHAnsi" w:cstheme="minorHAnsi"/>
          <w:sz w:val="22"/>
          <w:szCs w:val="22"/>
        </w:rPr>
        <w:t xml:space="preserve"> will limit this risk of accusation</w:t>
      </w:r>
      <w:r>
        <w:rPr>
          <w:rFonts w:asciiTheme="minorHAnsi" w:hAnsiTheme="minorHAnsi" w:cstheme="minorHAnsi"/>
          <w:sz w:val="22"/>
          <w:szCs w:val="22"/>
        </w:rPr>
        <w:t xml:space="preserve"> of observer bias</w:t>
      </w:r>
      <w:r w:rsidRPr="00BC7B11">
        <w:rPr>
          <w:rFonts w:asciiTheme="minorHAnsi" w:hAnsiTheme="minorHAnsi" w:cstheme="minorHAnsi"/>
          <w:sz w:val="22"/>
          <w:szCs w:val="22"/>
        </w:rPr>
        <w:t>.</w:t>
      </w:r>
      <w:r>
        <w:rPr>
          <w:rFonts w:asciiTheme="minorHAnsi" w:hAnsiTheme="minorHAnsi" w:cstheme="minorHAnsi"/>
          <w:sz w:val="22"/>
          <w:szCs w:val="22"/>
        </w:rPr>
        <w:t xml:space="preserve"> Furthermore, to counter any accusations of favouritism, the pupils were selected for the focus task independently from my partner and myself by the school teachers. Also, we will be transparent in our collection of data, ensuring anonymised, raw data are made accessible to anyone for review.  In accordance with data protection (ref</w:t>
      </w:r>
      <w:r w:rsidRPr="00BC7B11">
        <w:rPr>
          <w:rFonts w:asciiTheme="minorHAnsi" w:hAnsiTheme="minorHAnsi" w:cstheme="minorHAnsi"/>
          <w:sz w:val="22"/>
          <w:szCs w:val="22"/>
        </w:rPr>
        <w:t xml:space="preserve">), I will ensure that the data that we collect remains confidential and that it is anonymised at source so that the individuals cannot be identified (BERA, 2018). </w:t>
      </w:r>
      <w:r>
        <w:rPr>
          <w:rFonts w:asciiTheme="minorHAnsi" w:hAnsiTheme="minorHAnsi" w:cstheme="minorHAnsi"/>
          <w:sz w:val="22"/>
          <w:szCs w:val="22"/>
        </w:rPr>
        <w:t>My research partner was not told t</w:t>
      </w:r>
      <w:r w:rsidRPr="00AD15EE">
        <w:rPr>
          <w:rFonts w:asciiTheme="minorHAnsi" w:hAnsiTheme="minorHAnsi" w:cstheme="minorHAnsi"/>
          <w:sz w:val="22"/>
          <w:szCs w:val="22"/>
        </w:rPr>
        <w:t>he names of the children, she only knew them as child 1, child 2 and child 3.</w:t>
      </w:r>
      <w:r>
        <w:rPr>
          <w:rFonts w:asciiTheme="minorHAnsi" w:hAnsiTheme="minorHAnsi" w:cstheme="minorHAnsi"/>
          <w:sz w:val="22"/>
          <w:szCs w:val="22"/>
        </w:rPr>
        <w:t xml:space="preserve"> It was the same for me in my research partner’s school.</w:t>
      </w:r>
      <w:r w:rsidRPr="00C975A8">
        <w:rPr>
          <w:rFonts w:asciiTheme="minorHAnsi" w:hAnsiTheme="minorHAnsi" w:cstheme="minorHAnsi"/>
          <w:sz w:val="22"/>
          <w:szCs w:val="22"/>
        </w:rPr>
        <w:t xml:space="preserve"> </w:t>
      </w:r>
      <w:r w:rsidRPr="00AD15EE">
        <w:rPr>
          <w:rFonts w:asciiTheme="minorHAnsi" w:hAnsiTheme="minorHAnsi" w:cstheme="minorHAnsi"/>
          <w:sz w:val="22"/>
          <w:szCs w:val="22"/>
        </w:rPr>
        <w:t xml:space="preserve">We have also made sure to gain both consent from parents/guardians and </w:t>
      </w:r>
      <w:r>
        <w:rPr>
          <w:rFonts w:asciiTheme="minorHAnsi" w:hAnsiTheme="minorHAnsi" w:cstheme="minorHAnsi"/>
          <w:sz w:val="22"/>
          <w:szCs w:val="22"/>
        </w:rPr>
        <w:t xml:space="preserve">written </w:t>
      </w:r>
      <w:r w:rsidRPr="00AD15EE">
        <w:rPr>
          <w:rFonts w:asciiTheme="minorHAnsi" w:hAnsiTheme="minorHAnsi" w:cstheme="minorHAnsi"/>
          <w:sz w:val="22"/>
          <w:szCs w:val="22"/>
        </w:rPr>
        <w:t>assent from the children themselves before condu</w:t>
      </w:r>
      <w:r>
        <w:rPr>
          <w:rFonts w:asciiTheme="minorHAnsi" w:hAnsiTheme="minorHAnsi" w:cstheme="minorHAnsi"/>
          <w:sz w:val="22"/>
          <w:szCs w:val="22"/>
        </w:rPr>
        <w:t>cting the research according to.</w:t>
      </w:r>
    </w:p>
    <w:p w:rsidR="00F31431" w:rsidRDefault="00F31431" w:rsidP="00F31431">
      <w:pPr>
        <w:rPr>
          <w:rFonts w:cstheme="minorHAnsi"/>
          <w:b/>
        </w:rPr>
      </w:pPr>
      <w:r w:rsidRPr="00986E7B">
        <w:rPr>
          <w:rFonts w:cstheme="minorHAnsi"/>
          <w:b/>
        </w:rPr>
        <w:t>Lesson study 1</w:t>
      </w:r>
      <w:r>
        <w:rPr>
          <w:rFonts w:cstheme="minorHAnsi"/>
          <w:b/>
        </w:rPr>
        <w:t xml:space="preserve"> &amp; 2</w:t>
      </w:r>
      <w:r w:rsidRPr="00986E7B">
        <w:rPr>
          <w:rFonts w:cstheme="minorHAnsi"/>
          <w:b/>
        </w:rPr>
        <w:t xml:space="preserve"> results and analysis</w:t>
      </w:r>
      <w:r>
        <w:rPr>
          <w:rFonts w:cstheme="minorHAnsi"/>
          <w:b/>
        </w:rPr>
        <w:t xml:space="preserve"> </w:t>
      </w:r>
    </w:p>
    <w:p w:rsidR="00F31431" w:rsidRDefault="00F31431" w:rsidP="00F31431">
      <w:pPr>
        <w:rPr>
          <w:rFonts w:cstheme="minorHAnsi"/>
        </w:rPr>
      </w:pPr>
      <w:r>
        <w:rPr>
          <w:rFonts w:cstheme="minorHAnsi"/>
        </w:rPr>
        <w:t>In School A, the children were</w:t>
      </w:r>
      <w:r w:rsidRPr="00885415">
        <w:rPr>
          <w:rFonts w:cstheme="minorHAnsi"/>
        </w:rPr>
        <w:t xml:space="preserve"> on the topic of division and </w:t>
      </w:r>
      <w:r>
        <w:rPr>
          <w:rFonts w:cstheme="minorHAnsi"/>
        </w:rPr>
        <w:t>in School B, the children</w:t>
      </w:r>
      <w:r w:rsidRPr="00885415">
        <w:rPr>
          <w:rFonts w:cstheme="minorHAnsi"/>
        </w:rPr>
        <w:t xml:space="preserve"> w</w:t>
      </w:r>
      <w:r>
        <w:rPr>
          <w:rFonts w:cstheme="minorHAnsi"/>
        </w:rPr>
        <w:t>ere learning about 2D shapes. The aim of the lesson study was to see if the presence of the mental maths starter game increased the children’s engagement in the lesson. My research partner and I</w:t>
      </w:r>
      <w:r w:rsidRPr="00885415">
        <w:rPr>
          <w:rFonts w:cstheme="minorHAnsi"/>
        </w:rPr>
        <w:t xml:space="preserve"> decided that the maths starter game didn’t necessaril</w:t>
      </w:r>
      <w:r>
        <w:rPr>
          <w:rFonts w:cstheme="minorHAnsi"/>
        </w:rPr>
        <w:t>y</w:t>
      </w:r>
      <w:r w:rsidRPr="00885415">
        <w:rPr>
          <w:rFonts w:cstheme="minorHAnsi"/>
        </w:rPr>
        <w:t xml:space="preserve"> need to </w:t>
      </w:r>
      <w:r>
        <w:rPr>
          <w:rFonts w:cstheme="minorHAnsi"/>
        </w:rPr>
        <w:t>link to the topic they were studying</w:t>
      </w:r>
      <w:r w:rsidRPr="00885415">
        <w:rPr>
          <w:rFonts w:cstheme="minorHAnsi"/>
        </w:rPr>
        <w:t xml:space="preserve"> as long as it was stimulating their mathematical skills and so we both used the same loop cards</w:t>
      </w:r>
      <w:r>
        <w:rPr>
          <w:rFonts w:cstheme="minorHAnsi"/>
        </w:rPr>
        <w:t xml:space="preserve"> (see appendix) </w:t>
      </w:r>
      <w:r w:rsidRPr="00885415">
        <w:rPr>
          <w:rFonts w:cstheme="minorHAnsi"/>
        </w:rPr>
        <w:t>involving a range of addition and subtraction questions.</w:t>
      </w:r>
      <w:r>
        <w:rPr>
          <w:rFonts w:cstheme="minorHAnsi"/>
        </w:rPr>
        <w:t xml:space="preserve"> </w:t>
      </w:r>
      <w:r w:rsidRPr="00885415">
        <w:rPr>
          <w:rFonts w:cstheme="minorHAnsi"/>
        </w:rPr>
        <w:br/>
        <w:t xml:space="preserve">In </w:t>
      </w:r>
      <w:r>
        <w:rPr>
          <w:rFonts w:cstheme="minorHAnsi"/>
        </w:rPr>
        <w:t>School A</w:t>
      </w:r>
      <w:r w:rsidRPr="00885415">
        <w:rPr>
          <w:rFonts w:cstheme="minorHAnsi"/>
        </w:rPr>
        <w:t xml:space="preserve">, every lesson is split into a carousel </w:t>
      </w:r>
      <w:r>
        <w:rPr>
          <w:rFonts w:cstheme="minorHAnsi"/>
        </w:rPr>
        <w:t>format where the children are split between</w:t>
      </w:r>
      <w:r w:rsidRPr="00885415">
        <w:rPr>
          <w:rFonts w:cstheme="minorHAnsi"/>
        </w:rPr>
        <w:t xml:space="preserve"> </w:t>
      </w:r>
      <w:r>
        <w:rPr>
          <w:rFonts w:cstheme="minorHAnsi"/>
        </w:rPr>
        <w:t>3 different activities that rotate throughout the day</w:t>
      </w:r>
      <w:r w:rsidRPr="00885415">
        <w:rPr>
          <w:rFonts w:cstheme="minorHAnsi"/>
        </w:rPr>
        <w:t xml:space="preserve"> and so I only took one group for the </w:t>
      </w:r>
      <w:r>
        <w:rPr>
          <w:rFonts w:cstheme="minorHAnsi"/>
        </w:rPr>
        <w:t xml:space="preserve">focus </w:t>
      </w:r>
      <w:r w:rsidRPr="00885415">
        <w:rPr>
          <w:rFonts w:cstheme="minorHAnsi"/>
        </w:rPr>
        <w:t>lesson and due to non-return of consent letters from two children, this group ended up just being just 6 pupils.</w:t>
      </w:r>
      <w:r>
        <w:rPr>
          <w:rFonts w:cstheme="minorHAnsi"/>
        </w:rPr>
        <w:t xml:space="preserve"> My class teacher </w:t>
      </w:r>
      <w:r w:rsidRPr="00885415">
        <w:rPr>
          <w:rFonts w:cstheme="minorHAnsi"/>
        </w:rPr>
        <w:t xml:space="preserve">chose a mixture of engaged and disengaged as a representative sample. </w:t>
      </w:r>
      <w:r>
        <w:rPr>
          <w:rFonts w:cstheme="minorHAnsi"/>
        </w:rPr>
        <w:lastRenderedPageBreak/>
        <w:t xml:space="preserve">Child 1 was usually highly engaged, child 2 was sometimes engaged and child 3 was mostly disengaged. </w:t>
      </w:r>
      <w:r w:rsidRPr="00885415">
        <w:rPr>
          <w:rFonts w:cstheme="minorHAnsi"/>
        </w:rPr>
        <w:t xml:space="preserve">The lesson was carried out in the ‘discovery den’ which is an open space available for any group to work. </w:t>
      </w:r>
      <w:r>
        <w:rPr>
          <w:rFonts w:cstheme="minorHAnsi"/>
        </w:rPr>
        <w:t>The lesson (see appendix) began</w:t>
      </w:r>
      <w:r w:rsidRPr="00885415">
        <w:rPr>
          <w:rFonts w:cstheme="minorHAnsi"/>
        </w:rPr>
        <w:t xml:space="preserve"> with the mental maths game, </w:t>
      </w:r>
      <w:r>
        <w:rPr>
          <w:rFonts w:cstheme="minorHAnsi"/>
        </w:rPr>
        <w:t xml:space="preserve">the loop cards were </w:t>
      </w:r>
      <w:r w:rsidRPr="00885415">
        <w:rPr>
          <w:rFonts w:cstheme="minorHAnsi"/>
        </w:rPr>
        <w:t xml:space="preserve">introduced and </w:t>
      </w:r>
      <w:r>
        <w:rPr>
          <w:rFonts w:cstheme="minorHAnsi"/>
        </w:rPr>
        <w:t xml:space="preserve">then the children </w:t>
      </w:r>
      <w:r w:rsidRPr="00885415">
        <w:rPr>
          <w:rFonts w:cstheme="minorHAnsi"/>
        </w:rPr>
        <w:t>set off</w:t>
      </w:r>
      <w:r>
        <w:rPr>
          <w:rFonts w:cstheme="minorHAnsi"/>
        </w:rPr>
        <w:t xml:space="preserve"> doing the games-based activity</w:t>
      </w:r>
      <w:r w:rsidRPr="00885415">
        <w:rPr>
          <w:rFonts w:cstheme="minorHAnsi"/>
        </w:rPr>
        <w:t xml:space="preserve">. After this, </w:t>
      </w:r>
      <w:r>
        <w:rPr>
          <w:rFonts w:cstheme="minorHAnsi"/>
        </w:rPr>
        <w:t>the children moved</w:t>
      </w:r>
      <w:r w:rsidRPr="00885415">
        <w:rPr>
          <w:rFonts w:cstheme="minorHAnsi"/>
        </w:rPr>
        <w:t xml:space="preserve"> straight onto a worksheet based on what th</w:t>
      </w:r>
      <w:r>
        <w:rPr>
          <w:rFonts w:cstheme="minorHAnsi"/>
        </w:rPr>
        <w:t xml:space="preserve">ey had been learning in class, </w:t>
      </w:r>
      <w:r w:rsidRPr="00885415">
        <w:rPr>
          <w:rFonts w:cstheme="minorHAnsi"/>
        </w:rPr>
        <w:t>division, with a further worksheet if they finished the first</w:t>
      </w:r>
      <w:r>
        <w:rPr>
          <w:rFonts w:cstheme="minorHAnsi"/>
        </w:rPr>
        <w:t>,</w:t>
      </w:r>
      <w:r w:rsidRPr="00885415">
        <w:rPr>
          <w:rFonts w:cstheme="minorHAnsi"/>
        </w:rPr>
        <w:t xml:space="preserve"> bringing in prior knowledge of multiplication</w:t>
      </w:r>
      <w:r>
        <w:rPr>
          <w:rFonts w:cstheme="minorHAnsi"/>
        </w:rPr>
        <w:t>.</w:t>
      </w:r>
      <w:r w:rsidRPr="00885415">
        <w:rPr>
          <w:rFonts w:cstheme="minorHAnsi"/>
        </w:rPr>
        <w:t xml:space="preserve"> </w:t>
      </w:r>
      <w:r>
        <w:rPr>
          <w:rFonts w:cstheme="minorHAnsi"/>
        </w:rPr>
        <w:t xml:space="preserve">Empirical evidence showed that the children were a lot more engaged than in previous mathematics lessons and </w:t>
      </w:r>
      <w:proofErr w:type="gramStart"/>
      <w:r>
        <w:rPr>
          <w:rFonts w:cstheme="minorHAnsi"/>
        </w:rPr>
        <w:t>they</w:t>
      </w:r>
      <w:proofErr w:type="gramEnd"/>
      <w:r>
        <w:rPr>
          <w:rFonts w:cstheme="minorHAnsi"/>
        </w:rPr>
        <w:t xml:space="preserve"> all completed the task successfully and to a high quality. In both lesson studies, the observer of the lesson filled out an observational schedule to help us determine each child’s level of engagement (SEE APPENDIX). This observation schedule was specifically linked to some common engagement characteristics, in particular: body language, enthusiasm, participation, behaviour, responses and any additional comments. </w:t>
      </w:r>
    </w:p>
    <w:p w:rsidR="00F31431" w:rsidRDefault="00F31431" w:rsidP="00F31431">
      <w:pPr>
        <w:rPr>
          <w:rFonts w:cstheme="minorHAnsi"/>
        </w:rPr>
      </w:pPr>
      <w:r>
        <w:rPr>
          <w:rFonts w:cstheme="minorHAnsi"/>
        </w:rPr>
        <w:t>As shown in appendix, Child one had positive body language, good eye contact and was enthusiastic and not distracted. According to</w:t>
      </w:r>
      <w:r w:rsidRPr="00B21981">
        <w:rPr>
          <w:rFonts w:cstheme="minorHAnsi"/>
          <w:b/>
        </w:rPr>
        <w:t xml:space="preserve"> </w:t>
      </w:r>
      <w:r w:rsidRPr="00F31431">
        <w:rPr>
          <w:rFonts w:cstheme="minorHAnsi"/>
        </w:rPr>
        <w:t>Johnson (2012)</w:t>
      </w:r>
      <w:r w:rsidRPr="00F31431">
        <w:rPr>
          <w:rFonts w:cstheme="minorHAnsi"/>
        </w:rPr>
        <w:t xml:space="preserve"> these</w:t>
      </w:r>
      <w:r>
        <w:rPr>
          <w:rFonts w:cstheme="minorHAnsi"/>
        </w:rPr>
        <w:t xml:space="preserve"> are some signs of a highly engaged person. Child 2 was less engaged than Child 1 but still managed to remain focused on the task until near to the end of the lesson. This was unusual, as Child 2 was often disengaged and very easily distracted. Child 3 was engaged in a different way to Child 1. Throughout the lesson Child 1 was very vocal about how much he enjoyed the task, and was working out his answers and encouraging himself aloud whereas Child 3 was quiet and </w:t>
      </w:r>
      <w:proofErr w:type="gramStart"/>
      <w:r>
        <w:rPr>
          <w:rFonts w:cstheme="minorHAnsi"/>
        </w:rPr>
        <w:t>very</w:t>
      </w:r>
      <w:proofErr w:type="gramEnd"/>
      <w:r>
        <w:rPr>
          <w:rFonts w:cstheme="minorHAnsi"/>
        </w:rPr>
        <w:t xml:space="preserve"> focused. Both Child 1 and Child 3 were very engaged in the task and both finished their worksheets around the same time with minimal to no mistakes. This shows how distinct ‘engagement’ c</w:t>
      </w:r>
      <w:r>
        <w:rPr>
          <w:rFonts w:cstheme="minorHAnsi"/>
        </w:rPr>
        <w:t xml:space="preserve">an look in different students. </w:t>
      </w:r>
    </w:p>
    <w:p w:rsidR="00F31431" w:rsidRDefault="00F31431" w:rsidP="00F31431">
      <w:r w:rsidRPr="00885415">
        <w:rPr>
          <w:rFonts w:cstheme="minorHAnsi"/>
        </w:rPr>
        <w:t>Once finished, we kept our three focus children for an interview.</w:t>
      </w:r>
      <w:r>
        <w:rPr>
          <w:rFonts w:cstheme="minorHAnsi"/>
        </w:rPr>
        <w:t xml:space="preserve"> The focus interview (see appendix) highlighted that all the children enjoyed the mental maths game and thought that it made them excited for the maths lesson ahead and all found that the fact that the cards looped round in a circle was very interesting. They all agreed that they found it both easy and difficult but particularly found it difficult to refrain from shouting out the answer when it didn’t refer to the answer on their own card. All the children admitted to losing concentration at one point because of another child who was taking part in the activity. Where their answers differed was when asked whether they liked working together or independently, with child 3 stating that they liked working on their own sometimes and child 1 and 2 stating that they preferred to work in groups. Most importantly however, when asked how we could change the activity for if we were to do it again, they said that doing the mental maths game in groups or partners might improve the lesson. This is unsurprising as T</w:t>
      </w:r>
      <w:r>
        <w:t>hornton and Cleveland (1990) said that an essential part of what makes a game enjoyable to children is the interactivity element.</w:t>
      </w:r>
    </w:p>
    <w:p w:rsidR="00F31431" w:rsidRDefault="00F31431" w:rsidP="00F31431">
      <w:pPr>
        <w:rPr>
          <w:rFonts w:cstheme="minorHAnsi"/>
        </w:rPr>
      </w:pPr>
      <w:r>
        <w:rPr>
          <w:rFonts w:cstheme="minorHAnsi"/>
        </w:rPr>
        <w:t>Because of this, and in line with continuous improvement through reflection, we made this alteration for our second lesson study. The children in the second research school had one card between two children and were free to discuss the answer between themselves before saying it aloud.</w:t>
      </w:r>
      <w:r w:rsidRPr="00B54B88">
        <w:rPr>
          <w:rFonts w:cstheme="minorHAnsi"/>
        </w:rPr>
        <w:t xml:space="preserve"> </w:t>
      </w:r>
    </w:p>
    <w:p w:rsidR="00F31431" w:rsidRDefault="00F31431" w:rsidP="00F31431">
      <w:pPr>
        <w:rPr>
          <w:rFonts w:cstheme="minorHAnsi"/>
        </w:rPr>
      </w:pPr>
      <w:r w:rsidRPr="002D5590">
        <w:rPr>
          <w:rFonts w:cstheme="minorHAnsi"/>
        </w:rPr>
        <w:t xml:space="preserve">Reflecting on my lesson through </w:t>
      </w:r>
      <w:r>
        <w:rPr>
          <w:rFonts w:cstheme="minorHAnsi"/>
        </w:rPr>
        <w:t>Brookfield’s four lenses,</w:t>
      </w:r>
      <w:r w:rsidRPr="002D5590">
        <w:rPr>
          <w:rFonts w:cstheme="minorHAnsi"/>
        </w:rPr>
        <w:t xml:space="preserve"> </w:t>
      </w:r>
      <w:r>
        <w:rPr>
          <w:rFonts w:cstheme="minorHAnsi"/>
        </w:rPr>
        <w:t>showed that both my research partner and I felt the same about how the lesson had gone, th</w:t>
      </w:r>
      <w:r w:rsidRPr="006C126C">
        <w:rPr>
          <w:rFonts w:cstheme="minorHAnsi"/>
        </w:rPr>
        <w:t xml:space="preserve">at the lesson </w:t>
      </w:r>
      <w:r>
        <w:rPr>
          <w:rFonts w:cstheme="minorHAnsi"/>
        </w:rPr>
        <w:t xml:space="preserve">had been successful, with all of the pupils on task and engaged for the starter activity and the majority of the main activity and only some losing concentration towards the end. They produced accurate work on the whole, with very minimal input from myself. Through feedback from my research partner, she agreed with me in this respect, although she did notice that there had been a bit of disruption that I had not noticed as I was working with a struggling student. This was documented in her observational notes and is something that I had not noticed myself. This suggests the importance of lesson study in capturing </w:t>
      </w:r>
      <w:r>
        <w:rPr>
          <w:rFonts w:cstheme="minorHAnsi"/>
        </w:rPr>
        <w:lastRenderedPageBreak/>
        <w:t>minute details about les</w:t>
      </w:r>
      <w:r>
        <w:rPr>
          <w:rFonts w:cstheme="minorHAnsi"/>
        </w:rPr>
        <w:t xml:space="preserve">sons that are often overlooked. </w:t>
      </w:r>
      <w:r>
        <w:rPr>
          <w:rFonts w:cstheme="minorHAnsi"/>
        </w:rPr>
        <w:t>We collected our student reflection through the use of the focus interview and I have since researched any links between my lesson study and relevant literature.</w:t>
      </w:r>
    </w:p>
    <w:p w:rsidR="00F31431" w:rsidRDefault="00F31431" w:rsidP="00F31431">
      <w:pPr>
        <w:rPr>
          <w:rFonts w:cstheme="minorHAnsi"/>
        </w:rPr>
      </w:pPr>
      <w:r>
        <w:rPr>
          <w:rFonts w:cstheme="minorHAnsi"/>
        </w:rPr>
        <w:t xml:space="preserve">In summary, all three children were well engaged in the starter and the lesson and completed their work to a high standard, suggesting that this could be evidence that mental maths starter games could increase pupil engagement in lessons. </w:t>
      </w:r>
    </w:p>
    <w:p w:rsidR="00F31431" w:rsidRDefault="00F31431" w:rsidP="00F31431">
      <w:pPr>
        <w:rPr>
          <w:rFonts w:cstheme="minorHAnsi"/>
        </w:rPr>
      </w:pPr>
      <w:r>
        <w:rPr>
          <w:rFonts w:cstheme="minorHAnsi"/>
        </w:rPr>
        <w:t xml:space="preserve">The other school that the research was conducted in, School B, was a small school in South Wales, in a mixed year 3 and 4 class. There were originally supposed to be 8 pupils taking part in the lesson but one was absent on the day. Throughout the introduction and mental maths game, all three focus children were observed sitting forward and listening closely to my research partner. This, according to </w:t>
      </w:r>
      <w:proofErr w:type="spellStart"/>
      <w:r>
        <w:t>D’Mello</w:t>
      </w:r>
      <w:proofErr w:type="spellEnd"/>
      <w:r>
        <w:t xml:space="preserve"> and </w:t>
      </w:r>
      <w:proofErr w:type="spellStart"/>
      <w:r>
        <w:t>Graesser</w:t>
      </w:r>
      <w:proofErr w:type="spellEnd"/>
      <w:r>
        <w:t xml:space="preserve"> (2007), is a significant characteristic of an engaged child.  </w:t>
      </w:r>
      <w:r>
        <w:rPr>
          <w:rFonts w:cstheme="minorHAnsi"/>
        </w:rPr>
        <w:t>Child 1’s concentration did not waver throughout the entirety of the lesson, he volunteered answers and got on with his work independently and immediately and once he had finished his work he even used his time to help his friends who were struggling instead of becoming distracted. Child 2 got slightly distracted a few times in the lesson but was brought back on task very easily. She showed independence when she used a whiteboard to help her work out answers that she was struggling with and finished her work first and to a good standard. Child 3 became distracted almost immediately after the mental maths game. He was swinging on his chair, made little eye contact with my research partner and kept asking questions that weren’t related to the lesson at all. In addition to this, he also kept saying that he wanted to do more maths games instead of doing the worksheet. This suggests that an extension of the games-based learning activity into the rest of the lesson would have been more effective in engaging Child 3</w:t>
      </w:r>
      <w:r>
        <w:rPr>
          <w:rFonts w:cstheme="minorHAnsi"/>
        </w:rPr>
        <w:t>.</w:t>
      </w:r>
      <w:r>
        <w:rPr>
          <w:rFonts w:cstheme="minorHAnsi"/>
        </w:rPr>
        <w:t xml:space="preserve"> </w:t>
      </w:r>
    </w:p>
    <w:p w:rsidR="00F31431" w:rsidRPr="00E4318B" w:rsidRDefault="00F31431" w:rsidP="00F31431">
      <w:r>
        <w:rPr>
          <w:rFonts w:cstheme="minorHAnsi"/>
        </w:rPr>
        <w:t xml:space="preserve">Moving to the focus interview, all three focus children thought that the loop card game was good with child 1, who was most engaged,  saying it was easy and child 2 and child 3 saying it was both easy and hard.  When asked if they liked working independently or with others, child 2 and child 3 both said that they preferred working with other people so that they had help if they were stuck. When asked what the positive things about the maths game were, child 1 and child 3 said that it helped with their maths, giving them an opportunity to practice their mental maths skills and child 2 said it helped their teamwork skills. Child 2 went on to say that the only negative thing about it was when the sums were hard. Child 1 and Child 3 said there were no negatives. Finally, when asked what we could do differently if we were to do it again, child 1 asked for harder sums, child 2 said they would like to see some differentiation with the questions – having a group doing ‘easier’ sums and another doing ‘harder’ sums and also suggested having a few cards so that the game looped around more than once. Child 3 suggested another maths game that we could do instead. </w:t>
      </w:r>
      <w:proofErr w:type="spellStart"/>
      <w:r>
        <w:t>Hamari</w:t>
      </w:r>
      <w:proofErr w:type="spellEnd"/>
      <w:r>
        <w:t xml:space="preserve"> et al (2015) states that highly engaged people tend to want to challenge themselves. This is evident from Child 1’s response to this question. </w:t>
      </w:r>
      <w:r>
        <w:rPr>
          <w:rFonts w:cstheme="minorHAnsi"/>
        </w:rPr>
        <w:t xml:space="preserve">At one point in the lesson, all of the children got out of their seats to look at something outside, except child 1 who remained engaged in the task. I think the fact that the children were able to answer questions afterwards specifically about the lesson shows that they were </w:t>
      </w:r>
      <w:r>
        <w:rPr>
          <w:rFonts w:cstheme="minorHAnsi"/>
        </w:rPr>
        <w:t>definitely engaged in the task.</w:t>
      </w:r>
    </w:p>
    <w:p w:rsidR="00F31431" w:rsidRDefault="00F31431" w:rsidP="00F31431">
      <w:pPr>
        <w:rPr>
          <w:rFonts w:cstheme="minorHAnsi"/>
        </w:rPr>
      </w:pPr>
      <w:r w:rsidRPr="002D5590">
        <w:rPr>
          <w:rFonts w:cstheme="minorHAnsi"/>
        </w:rPr>
        <w:t>Refl</w:t>
      </w:r>
      <w:r>
        <w:rPr>
          <w:rFonts w:cstheme="minorHAnsi"/>
        </w:rPr>
        <w:t xml:space="preserve">ecting on her </w:t>
      </w:r>
      <w:r w:rsidRPr="002D5590">
        <w:rPr>
          <w:rFonts w:cstheme="minorHAnsi"/>
        </w:rPr>
        <w:t xml:space="preserve">lesson through </w:t>
      </w:r>
      <w:r>
        <w:rPr>
          <w:rFonts w:cstheme="minorHAnsi"/>
        </w:rPr>
        <w:t>Brookfield’s four lenses, she</w:t>
      </w:r>
      <w:r w:rsidRPr="006C126C">
        <w:rPr>
          <w:rFonts w:cstheme="minorHAnsi"/>
        </w:rPr>
        <w:t xml:space="preserve"> thought that the lesson went well</w:t>
      </w:r>
      <w:r>
        <w:rPr>
          <w:rFonts w:cstheme="minorHAnsi"/>
        </w:rPr>
        <w:t xml:space="preserve"> but did notice that the pupils in her class were less engaged than the pupils in School A. But she went on to explain that Child 1’s engagement level was consistent with previous lessons, whereas Child 2 was more engaged than usual, and Child 3 was more engaged than usual in the starter activity but normal level of engagement for the rest of the lesson. Similar to my lesson, she missed the fact that Child 1 had remained focused on the task when everyone got distracted as she was busy trying to bring them back to focusing on the activity, again, showing the importance of Lesson study including </w:t>
      </w:r>
      <w:r>
        <w:rPr>
          <w:rFonts w:cstheme="minorHAnsi"/>
        </w:rPr>
        <w:lastRenderedPageBreak/>
        <w:t xml:space="preserve">another person as a non-participating observer. We collected data from the student’s perspective through the focus interview. </w:t>
      </w:r>
    </w:p>
    <w:p w:rsidR="00F31431" w:rsidRDefault="00F31431" w:rsidP="00F31431">
      <w:pPr>
        <w:spacing w:line="240" w:lineRule="auto"/>
        <w:rPr>
          <w:rFonts w:cstheme="minorHAnsi"/>
          <w:b/>
        </w:rPr>
      </w:pPr>
      <w:r w:rsidRPr="00986E7B">
        <w:rPr>
          <w:rFonts w:cstheme="minorHAnsi"/>
          <w:b/>
        </w:rPr>
        <w:t>Discussion of research findings in relation to related literature and research</w:t>
      </w:r>
    </w:p>
    <w:p w:rsidR="00F31431" w:rsidRDefault="00F31431" w:rsidP="00F31431">
      <w:pPr>
        <w:rPr>
          <w:b/>
        </w:rPr>
      </w:pPr>
      <w:r>
        <w:t xml:space="preserve">The fact that the two children who were most engaged in both School A and School B were boys runs counter to </w:t>
      </w:r>
      <w:r>
        <w:rPr>
          <w:rFonts w:ascii="Arial" w:hAnsi="Arial" w:cs="Arial"/>
          <w:color w:val="000000"/>
          <w:sz w:val="20"/>
          <w:szCs w:val="20"/>
          <w:shd w:val="clear" w:color="auto" w:fill="FFFFFF"/>
        </w:rPr>
        <w:t>Reina et al</w:t>
      </w:r>
      <w:r>
        <w:rPr>
          <w:rFonts w:ascii="Arial" w:hAnsi="Arial" w:cs="Arial"/>
          <w:color w:val="000000"/>
          <w:sz w:val="20"/>
          <w:szCs w:val="20"/>
          <w:shd w:val="clear" w:color="auto" w:fill="FFFFFF"/>
        </w:rPr>
        <w:t xml:space="preserve">.’s (2014) </w:t>
      </w:r>
      <w:r>
        <w:t xml:space="preserve">statement that boys demonstrate lower levels of motivation to study and that there is a growing disengagement of boys. </w:t>
      </w:r>
      <w:r w:rsidRPr="00C57481">
        <w:t xml:space="preserve">However, this could </w:t>
      </w:r>
      <w:r>
        <w:t xml:space="preserve">purely </w:t>
      </w:r>
      <w:r w:rsidRPr="00C57481">
        <w:t xml:space="preserve">show that with such a small </w:t>
      </w:r>
      <w:r>
        <w:t xml:space="preserve">sample size of </w:t>
      </w:r>
      <w:r w:rsidRPr="00C57481">
        <w:t xml:space="preserve">focus children, you </w:t>
      </w:r>
      <w:r>
        <w:t>miss</w:t>
      </w:r>
      <w:r w:rsidRPr="00C57481">
        <w:t xml:space="preserve"> the true reflections of wider research.</w:t>
      </w:r>
    </w:p>
    <w:p w:rsidR="00F31431" w:rsidRDefault="00F31431" w:rsidP="00F31431">
      <w:pPr>
        <w:spacing w:line="240" w:lineRule="auto"/>
        <w:rPr>
          <w:rFonts w:cstheme="minorHAnsi"/>
        </w:rPr>
      </w:pPr>
      <w:r>
        <w:rPr>
          <w:rFonts w:cstheme="minorHAnsi"/>
        </w:rPr>
        <w:t xml:space="preserve">There was strong empirical evidence that the children in School A were more engaged than the children in School B. This could have been because of the alterations made to the mathematics game and it is likely that had we repeated the maths starter in the exact same way in School B, they would have been more engaged. It is likely that working with their friends increased their excitement and hence their disengagement in the lesson afterwards. However it is also possible that the maths starter had no bearing on the engagement of the children in </w:t>
      </w:r>
      <w:proofErr w:type="gramStart"/>
      <w:r>
        <w:rPr>
          <w:rFonts w:cstheme="minorHAnsi"/>
        </w:rPr>
        <w:t>either school and</w:t>
      </w:r>
      <w:proofErr w:type="gramEnd"/>
      <w:r>
        <w:rPr>
          <w:rFonts w:cstheme="minorHAnsi"/>
        </w:rPr>
        <w:t xml:space="preserve"> that it was just coincidence that the children in School A were more engaged than usual. </w:t>
      </w:r>
      <w:proofErr w:type="spellStart"/>
      <w:r>
        <w:rPr>
          <w:rFonts w:cstheme="minorHAnsi"/>
        </w:rPr>
        <w:t>Diaconis</w:t>
      </w:r>
      <w:proofErr w:type="spellEnd"/>
      <w:r>
        <w:rPr>
          <w:rFonts w:cstheme="minorHAnsi"/>
        </w:rPr>
        <w:t xml:space="preserve"> and </w:t>
      </w:r>
      <w:proofErr w:type="spellStart"/>
      <w:r>
        <w:rPr>
          <w:rFonts w:cstheme="minorHAnsi"/>
        </w:rPr>
        <w:t>mosteller</w:t>
      </w:r>
      <w:proofErr w:type="spellEnd"/>
      <w:r>
        <w:rPr>
          <w:rFonts w:cstheme="minorHAnsi"/>
        </w:rPr>
        <w:t xml:space="preserve"> (1989</w:t>
      </w:r>
      <w:proofErr w:type="gramStart"/>
      <w:r>
        <w:rPr>
          <w:rFonts w:cstheme="minorHAnsi"/>
        </w:rPr>
        <w:t xml:space="preserve">) </w:t>
      </w:r>
      <w:r>
        <w:rPr>
          <w:rFonts w:cstheme="minorHAnsi"/>
        </w:rPr>
        <w:t xml:space="preserve"> say</w:t>
      </w:r>
      <w:proofErr w:type="gramEnd"/>
      <w:r>
        <w:rPr>
          <w:rFonts w:cstheme="minorHAnsi"/>
        </w:rPr>
        <w:t xml:space="preserve"> that sometimes we tend to look for causes where there are none. </w:t>
      </w:r>
    </w:p>
    <w:p w:rsidR="00F31431" w:rsidRDefault="00F31431" w:rsidP="00F31431">
      <w:pPr>
        <w:spacing w:line="240" w:lineRule="auto"/>
        <w:rPr>
          <w:rFonts w:cstheme="minorHAnsi"/>
        </w:rPr>
      </w:pPr>
      <w:r w:rsidRPr="00D700D2">
        <w:rPr>
          <w:rFonts w:cstheme="minorHAnsi"/>
        </w:rPr>
        <w:t xml:space="preserve">In both </w:t>
      </w:r>
      <w:r>
        <w:rPr>
          <w:rFonts w:cstheme="minorHAnsi"/>
        </w:rPr>
        <w:t xml:space="preserve">schools, what was interesting to me was that the child who we both had deemed ‘highly engaged’ in each of our groups, named child 1 in our respective schools, was also the child who was the most confident in their numeracy ability and enjoyed mathematics the most. Similarly, the child who was the least engaged tended to be the one who complained when we they found out we were doing a numeracy activity and preceded to talk about how bad they were at maths. Thus presenting a possible link between a child’s engagement in a lesson and their confidence in a </w:t>
      </w:r>
      <w:r w:rsidRPr="00C35C6B">
        <w:rPr>
          <w:rFonts w:cstheme="minorHAnsi"/>
        </w:rPr>
        <w:t>subject</w:t>
      </w:r>
      <w:r>
        <w:rPr>
          <w:rFonts w:cstheme="minorHAnsi"/>
        </w:rPr>
        <w:t xml:space="preserve"> and agreeing with</w:t>
      </w:r>
      <w:r w:rsidRPr="00C35C6B">
        <w:rPr>
          <w:rFonts w:cstheme="minorHAnsi"/>
        </w:rPr>
        <w:t xml:space="preserve"> </w:t>
      </w:r>
      <w:r>
        <w:rPr>
          <w:rFonts w:cstheme="minorHAnsi"/>
        </w:rPr>
        <w:t xml:space="preserve">both </w:t>
      </w:r>
      <w:proofErr w:type="spellStart"/>
      <w:r>
        <w:t>Everingham</w:t>
      </w:r>
      <w:proofErr w:type="spellEnd"/>
      <w:r>
        <w:t xml:space="preserve"> et al. and </w:t>
      </w:r>
      <w:proofErr w:type="spellStart"/>
      <w:r w:rsidRPr="00E92EFD">
        <w:rPr>
          <w:rFonts w:cstheme="minorHAnsi"/>
        </w:rPr>
        <w:t>Hamari</w:t>
      </w:r>
      <w:proofErr w:type="spellEnd"/>
      <w:r w:rsidRPr="00E92EFD">
        <w:rPr>
          <w:rFonts w:cstheme="minorHAnsi"/>
        </w:rPr>
        <w:t xml:space="preserve"> et al (2015)</w:t>
      </w:r>
      <w:r>
        <w:rPr>
          <w:rFonts w:cstheme="minorHAnsi"/>
        </w:rPr>
        <w:t>, mentioned above.</w:t>
      </w:r>
    </w:p>
    <w:p w:rsidR="00F31431" w:rsidRPr="00D700D2" w:rsidRDefault="00F31431" w:rsidP="00F31431">
      <w:pPr>
        <w:spacing w:line="240" w:lineRule="auto"/>
        <w:rPr>
          <w:rFonts w:cstheme="minorHAnsi"/>
        </w:rPr>
      </w:pPr>
      <w:r>
        <w:rPr>
          <w:rFonts w:cstheme="minorHAnsi"/>
        </w:rPr>
        <w:t xml:space="preserve">The fact that Child 3 in School B was so engaged in the game and so disengaged in the lesson concurs with </w:t>
      </w:r>
      <w:proofErr w:type="spellStart"/>
      <w:r>
        <w:t>Hamari</w:t>
      </w:r>
      <w:proofErr w:type="spellEnd"/>
      <w:r>
        <w:t xml:space="preserve"> et al (2015),</w:t>
      </w:r>
      <w:r>
        <w:rPr>
          <w:rFonts w:cstheme="minorHAnsi"/>
        </w:rPr>
        <w:t xml:space="preserve"> mentioned in the literature review previously, that extending the frequency that we use games-based learning in our lessons could improve engagement. In this instance, I believe that making the entire lesson more games-based would have helped Child 3’s engagement.</w:t>
      </w:r>
      <w:r>
        <w:t xml:space="preserve"> </w:t>
      </w:r>
    </w:p>
    <w:p w:rsidR="00F31431" w:rsidRDefault="00F31431" w:rsidP="00F31431">
      <w:pPr>
        <w:tabs>
          <w:tab w:val="left" w:pos="1683"/>
        </w:tabs>
        <w:rPr>
          <w:rFonts w:cstheme="minorHAnsi"/>
        </w:rPr>
      </w:pPr>
      <w:r w:rsidRPr="00986E7B">
        <w:rPr>
          <w:rFonts w:cstheme="minorHAnsi"/>
          <w:b/>
        </w:rPr>
        <w:t xml:space="preserve">Conclusion </w:t>
      </w:r>
      <w:r w:rsidR="00733E63">
        <w:rPr>
          <w:rFonts w:cstheme="minorHAnsi"/>
          <w:b/>
        </w:rPr>
        <w:t>and recommendations</w:t>
      </w:r>
    </w:p>
    <w:p w:rsidR="00F31431" w:rsidRDefault="00F31431" w:rsidP="00F31431">
      <w:pPr>
        <w:spacing w:line="240" w:lineRule="auto"/>
        <w:rPr>
          <w:rFonts w:cstheme="minorHAnsi"/>
        </w:rPr>
      </w:pPr>
      <w:r>
        <w:rPr>
          <w:rFonts w:cstheme="minorHAnsi"/>
        </w:rPr>
        <w:t xml:space="preserve">In summary, the children in School A </w:t>
      </w:r>
      <w:r w:rsidRPr="00197AEC">
        <w:rPr>
          <w:rFonts w:cstheme="minorHAnsi"/>
        </w:rPr>
        <w:t xml:space="preserve">were </w:t>
      </w:r>
      <w:r>
        <w:rPr>
          <w:rFonts w:cstheme="minorHAnsi"/>
        </w:rPr>
        <w:t>more engaged in our research lesson than they had been in previous numeracy lessons, h</w:t>
      </w:r>
      <w:r w:rsidRPr="00362E36">
        <w:t xml:space="preserve">owever, </w:t>
      </w:r>
      <w:r>
        <w:t>the children in</w:t>
      </w:r>
      <w:r w:rsidRPr="00362E36">
        <w:t xml:space="preserve"> </w:t>
      </w:r>
      <w:r>
        <w:t>School B</w:t>
      </w:r>
      <w:r w:rsidRPr="00362E36">
        <w:t xml:space="preserve"> were </w:t>
      </w:r>
      <w:r>
        <w:t xml:space="preserve">not only </w:t>
      </w:r>
      <w:r w:rsidRPr="00362E36">
        <w:t xml:space="preserve">less engaged than </w:t>
      </w:r>
      <w:r>
        <w:t>those in School A</w:t>
      </w:r>
      <w:r>
        <w:rPr>
          <w:rFonts w:cstheme="minorHAnsi"/>
        </w:rPr>
        <w:t xml:space="preserve">, but also more disengaged than usual, with the exception of Child 1.  At first glance, this would suggest that the introduction of the games-based mental mathematics starter </w:t>
      </w:r>
      <w:r>
        <w:rPr>
          <w:rFonts w:cstheme="minorHAnsi"/>
          <w:i/>
        </w:rPr>
        <w:t>did</w:t>
      </w:r>
      <w:r>
        <w:rPr>
          <w:rFonts w:cstheme="minorHAnsi"/>
        </w:rPr>
        <w:t xml:space="preserve"> increase pupil engagement, but only when completed individually, as opposed to in pairs. However this was not the case as in the second Lesson Study the children were less engaged than usual despite the maths game still being present. So there are two possible reasons for this: either our alterations to the maths starter made the children less engaged, or it was just coincidence that the children in school A were more engaged and actually the use of a mental maths starter has no bearing on pupil engagement. In order to decipher which one, we would need to do further lesson studies and collect more data to analyse.</w:t>
      </w:r>
      <w:r w:rsidRPr="00D67890">
        <w:rPr>
          <w:rFonts w:cstheme="minorHAnsi"/>
        </w:rPr>
        <w:t xml:space="preserve"> </w:t>
      </w:r>
    </w:p>
    <w:p w:rsidR="00F31431" w:rsidRDefault="00F31431" w:rsidP="00F31431">
      <w:pPr>
        <w:spacing w:line="240" w:lineRule="auto"/>
        <w:rPr>
          <w:rFonts w:cstheme="minorHAnsi"/>
        </w:rPr>
      </w:pPr>
      <w:r>
        <w:rPr>
          <w:rFonts w:cstheme="minorHAnsi"/>
        </w:rPr>
        <w:t xml:space="preserve">The main thing that shone through for me during this research was that the more confident a child was in a subject, the more engaged they were and vice versa. This was evident in both of our research schools as the child who was highly engaged in the lesson in both of our schools was the child who was the most confident in mathematics. In order for this data and research to have any weight, we would need to do more research into whether this is the case with more children, since we only have four children to work with and although this was the case for all four children in our research, it is too small a sample to make a reliable conclusion upon. This is something that I will </w:t>
      </w:r>
      <w:r>
        <w:rPr>
          <w:rFonts w:cstheme="minorHAnsi"/>
        </w:rPr>
        <w:lastRenderedPageBreak/>
        <w:t xml:space="preserve">take forward to my second placement and use to inform future practice, to make sure that children are confident in mathematics even if they are of a lower ability, be it through differentiated activities or constant mini mental maths starters. </w:t>
      </w:r>
    </w:p>
    <w:p w:rsidR="00F31431" w:rsidRDefault="00F31431" w:rsidP="00F31431">
      <w:pPr>
        <w:spacing w:line="240" w:lineRule="auto"/>
        <w:rPr>
          <w:rFonts w:cstheme="minorHAnsi"/>
        </w:rPr>
      </w:pPr>
      <w:r>
        <w:rPr>
          <w:rFonts w:cstheme="minorHAnsi"/>
        </w:rPr>
        <w:t xml:space="preserve">A big limitation of our research, and hence the data that we collected, is that it was only done on two lesson studies and without a control lesson to compare our findings to. We could compare changes in pupil engagement with independent work and group work but could not compare the engagement in a lesson with no mental starter to one with one present. There was no way of knowing whether the pupil’s engagement was altered by the mental maths game. Because of this, if I were to do more lesson studies in the future I would make sure to do a ‘control’ lesson to compare the levels of engagement and increase </w:t>
      </w:r>
      <w:proofErr w:type="gramStart"/>
      <w:r>
        <w:rPr>
          <w:rFonts w:cstheme="minorHAnsi"/>
        </w:rPr>
        <w:t>accuracy.</w:t>
      </w:r>
      <w:proofErr w:type="gramEnd"/>
      <w:r>
        <w:rPr>
          <w:rFonts w:cstheme="minorHAnsi"/>
        </w:rPr>
        <w:t xml:space="preserve"> The idea being that the control lesson would show the children’s natural, or ‘baseline’ level of engagement in the </w:t>
      </w:r>
      <w:r>
        <w:rPr>
          <w:rFonts w:cstheme="minorHAnsi"/>
          <w:i/>
        </w:rPr>
        <w:t>same task</w:t>
      </w:r>
      <w:r>
        <w:rPr>
          <w:rFonts w:cstheme="minorHAnsi"/>
        </w:rPr>
        <w:t xml:space="preserve"> without the presence of the independent variable, in this case, the mental mathematics game. This would then mean that any changes to their engagement in the lesson where the mathematics game was added could be considered more evidential that it was because of the game. Thus helping to find an answer to our research question.</w:t>
      </w:r>
    </w:p>
    <w:p w:rsidR="00F31431" w:rsidRDefault="00F31431" w:rsidP="00F31431">
      <w:pPr>
        <w:spacing w:line="240" w:lineRule="auto"/>
        <w:rPr>
          <w:rFonts w:cstheme="minorHAnsi"/>
        </w:rPr>
      </w:pPr>
      <w:r>
        <w:rPr>
          <w:rFonts w:cstheme="minorHAnsi"/>
        </w:rPr>
        <w:t>Furthermore, there is the issue that our starter was made up of two elements: a ‘game-based’ element, and a ‘mental maths’ element. If we were to accept that the mental maths game did indeed increase pupil engagement, there would be the added complication of working out whether this was due to the game element or because of the mental maths element, wi</w:t>
      </w:r>
      <w:r>
        <w:rPr>
          <w:rFonts w:cstheme="minorHAnsi"/>
        </w:rPr>
        <w:t>th some research</w:t>
      </w:r>
      <w:r>
        <w:rPr>
          <w:rFonts w:cstheme="minorHAnsi"/>
        </w:rPr>
        <w:t xml:space="preserve"> suggested that the integration of game-based learning into lessons would improv</w:t>
      </w:r>
      <w:r>
        <w:rPr>
          <w:rFonts w:cstheme="minorHAnsi"/>
        </w:rPr>
        <w:t>e engagement and some research</w:t>
      </w:r>
      <w:r>
        <w:rPr>
          <w:rFonts w:cstheme="minorHAnsi"/>
        </w:rPr>
        <w:t xml:space="preserve"> suggesting that increasing a child’s confidence would improve pupil engagement. Continually doing small mental maths segments in lessons could improve a child’s numeracy competency and therefore increase their confidence. Hence, this adds a further complication to our research but potential to improve with further study.</w:t>
      </w:r>
    </w:p>
    <w:p w:rsidR="00F31431" w:rsidRDefault="00F31431" w:rsidP="00F31431">
      <w:pPr>
        <w:spacing w:line="240" w:lineRule="auto"/>
        <w:rPr>
          <w:rFonts w:cstheme="minorHAnsi"/>
        </w:rPr>
      </w:pPr>
      <w:bookmarkStart w:id="0" w:name="_GoBack"/>
      <w:bookmarkEnd w:id="0"/>
      <w:r>
        <w:rPr>
          <w:rFonts w:cstheme="minorHAnsi"/>
        </w:rPr>
        <w:t>If I were to extend this research further with more lesson studies, in addition to making sure to include a control lesson, I would also think about extending the mental maths starter game to include computer or technology. This is because the use of technology frequently came up when researching technique</w:t>
      </w:r>
      <w:r>
        <w:rPr>
          <w:rFonts w:cstheme="minorHAnsi"/>
        </w:rPr>
        <w:t>s to increase pupil engagement Taylor and P</w:t>
      </w:r>
      <w:r>
        <w:rPr>
          <w:rFonts w:cstheme="minorHAnsi"/>
        </w:rPr>
        <w:t>arsons</w:t>
      </w:r>
      <w:r>
        <w:rPr>
          <w:rFonts w:cstheme="minorHAnsi"/>
        </w:rPr>
        <w:t xml:space="preserve">. </w:t>
      </w:r>
      <w:r>
        <w:rPr>
          <w:rFonts w:cstheme="minorHAnsi"/>
        </w:rPr>
        <w:t xml:space="preserve">Another thing I would do towards the latter part of my lesson studies, to extend the research, would be to begin to vary the age group the lesson studies were conducted on to see if it is more efficient or less efficient in a certain phase or whether mental maths games are a consistent stimulus for pupil engagement. </w:t>
      </w:r>
    </w:p>
    <w:p w:rsidR="00F31431" w:rsidRPr="009A6599" w:rsidRDefault="00F31431" w:rsidP="00F31431">
      <w:pPr>
        <w:spacing w:line="240" w:lineRule="auto"/>
        <w:rPr>
          <w:rFonts w:cstheme="minorHAnsi"/>
        </w:rPr>
      </w:pPr>
      <w:r>
        <w:rPr>
          <w:rFonts w:cstheme="minorHAnsi"/>
        </w:rPr>
        <w:t>I would also separate my research, and lesson studies into one that involves a game-based starter and one that involves a mental mathematics starter so that the efficiency of each of these two types could be compared.</w:t>
      </w:r>
    </w:p>
    <w:p w:rsidR="00F31431" w:rsidRDefault="00F31431" w:rsidP="00F31431">
      <w:pPr>
        <w:rPr>
          <w:rFonts w:cstheme="minorHAnsi"/>
        </w:rPr>
      </w:pPr>
    </w:p>
    <w:p w:rsidR="00F31431" w:rsidRPr="00460A65" w:rsidRDefault="00F31431" w:rsidP="00F31431">
      <w:pPr>
        <w:pStyle w:val="NormalWeb"/>
        <w:rPr>
          <w:rFonts w:asciiTheme="minorHAnsi" w:hAnsiTheme="minorHAnsi" w:cstheme="minorHAnsi"/>
          <w:sz w:val="22"/>
          <w:szCs w:val="22"/>
        </w:rPr>
      </w:pPr>
    </w:p>
    <w:p w:rsidR="00F31431" w:rsidRDefault="00F31431" w:rsidP="00F31431">
      <w:pPr>
        <w:rPr>
          <w:b/>
          <w:u w:val="single"/>
        </w:rPr>
      </w:pPr>
    </w:p>
    <w:p w:rsidR="00F31431" w:rsidRDefault="00F31431" w:rsidP="00F31431"/>
    <w:p w:rsidR="00F31431" w:rsidRDefault="00F31431" w:rsidP="00C3305D"/>
    <w:p w:rsidR="00C3305D" w:rsidRDefault="00C3305D" w:rsidP="00C3305D"/>
    <w:sectPr w:rsidR="00C330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05D"/>
    <w:rsid w:val="006069C9"/>
    <w:rsid w:val="006715F6"/>
    <w:rsid w:val="00733E63"/>
    <w:rsid w:val="009A006F"/>
    <w:rsid w:val="00C3305D"/>
    <w:rsid w:val="00F31431"/>
    <w:rsid w:val="00F737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B768B6-BB3C-4A16-9627-8B060E685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30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305D"/>
    <w:rPr>
      <w:color w:val="0563C1" w:themeColor="hyperlink"/>
      <w:u w:val="single"/>
    </w:rPr>
  </w:style>
  <w:style w:type="character" w:customStyle="1" w:styleId="sdzsvb">
    <w:name w:val="sdzsvb"/>
    <w:basedOn w:val="DefaultParagraphFont"/>
    <w:rsid w:val="00F31431"/>
  </w:style>
  <w:style w:type="paragraph" w:styleId="NormalWeb">
    <w:name w:val="Normal (Web)"/>
    <w:basedOn w:val="Normal"/>
    <w:uiPriority w:val="99"/>
    <w:unhideWhenUsed/>
    <w:rsid w:val="00F3143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dutopia.org/blog/student-engagement-definition-ben-johns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4770</Words>
  <Characters>27190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McGiveron</dc:creator>
  <cp:keywords/>
  <dc:description/>
  <cp:lastModifiedBy>Caitlin McGiveron</cp:lastModifiedBy>
  <cp:revision>4</cp:revision>
  <dcterms:created xsi:type="dcterms:W3CDTF">2019-03-03T23:22:00Z</dcterms:created>
  <dcterms:modified xsi:type="dcterms:W3CDTF">2019-03-03T23:43:00Z</dcterms:modified>
</cp:coreProperties>
</file>