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2B007" w14:textId="52BC2964" w:rsidR="00F70392" w:rsidRPr="00F70392" w:rsidRDefault="6C216D2D" w:rsidP="00F70392">
      <w:commentRangeStart w:id="0"/>
      <w:r w:rsidRPr="6C216D2D">
        <w:rPr>
          <w:b/>
          <w:bCs/>
        </w:rPr>
        <w:t>Physical Activity and B</w:t>
      </w:r>
      <w:r w:rsidR="00A31926" w:rsidRPr="00A31926">
        <w:rPr>
          <w:b/>
          <w:bCs/>
          <w:lang w:val="en-US"/>
        </w:rPr>
        <w:t xml:space="preserve"> US elect</w:t>
      </w:r>
      <w:proofErr w:type="spellStart"/>
      <w:r w:rsidRPr="6C216D2D">
        <w:rPr>
          <w:b/>
          <w:bCs/>
        </w:rPr>
        <w:t>ehavioural</w:t>
      </w:r>
      <w:proofErr w:type="spellEnd"/>
      <w:r w:rsidRPr="6C216D2D">
        <w:rPr>
          <w:b/>
          <w:bCs/>
        </w:rPr>
        <w:t xml:space="preserve"> Regulation for Taking Part in Exercise</w:t>
      </w:r>
      <w:r w:rsidR="00F70392">
        <w:br/>
      </w:r>
      <w:r w:rsidRPr="6C216D2D">
        <w:rPr>
          <w:b/>
          <w:bCs/>
        </w:rPr>
        <w:t>Introduction</w:t>
      </w:r>
      <w:r w:rsidR="00F70392">
        <w:br/>
      </w:r>
      <w:commentRangeEnd w:id="0"/>
      <w:r w:rsidR="00F70392">
        <w:commentReference w:id="0"/>
      </w:r>
      <w:r>
        <w:t xml:space="preserve">Physical </w:t>
      </w:r>
      <w:r w:rsidR="007E3563">
        <w:t>activity</w:t>
      </w:r>
      <w:r>
        <w:t xml:space="preserve"> (PA) is </w:t>
      </w:r>
      <w:r w:rsidR="004D49AA">
        <w:t>fundamental</w:t>
      </w:r>
      <w:r>
        <w:t xml:space="preserve"> to maintaining </w:t>
      </w:r>
      <w:r w:rsidR="007E3563">
        <w:t>physical</w:t>
      </w:r>
      <w:r>
        <w:t xml:space="preserve"> and psychological </w:t>
      </w:r>
      <w:r w:rsidR="004D49AA">
        <w:t>health</w:t>
      </w:r>
      <w:r>
        <w:t xml:space="preserve">. Regular </w:t>
      </w:r>
      <w:r w:rsidR="007E3563">
        <w:t>exercise</w:t>
      </w:r>
      <w:r>
        <w:t xml:space="preserve"> is associated with a reduced risk of chronic disease, enhanced mood, cognitive function, and improved overall </w:t>
      </w:r>
      <w:r w:rsidR="007E3563">
        <w:t>wellbeing</w:t>
      </w:r>
      <w:r>
        <w:t xml:space="preserve"> (Warburton &amp; Bredin, 2017). Despite widespread </w:t>
      </w:r>
      <w:r w:rsidR="007E3563">
        <w:t>recognition</w:t>
      </w:r>
      <w:r>
        <w:t xml:space="preserve"> of these </w:t>
      </w:r>
      <w:r w:rsidR="004D49AA">
        <w:t>benefits</w:t>
      </w:r>
      <w:r>
        <w:t xml:space="preserve">, a large proportion of individuals fail to meet global physical </w:t>
      </w:r>
      <w:r w:rsidR="007E3563">
        <w:t>activity</w:t>
      </w:r>
      <w:r>
        <w:t xml:space="preserve"> </w:t>
      </w:r>
      <w:r w:rsidR="004D49AA">
        <w:t>guidelines</w:t>
      </w:r>
      <w:r>
        <w:t xml:space="preserve"> (World Health Organisation, 2020). Understanding the psychological mechanisms that </w:t>
      </w:r>
      <w:r w:rsidR="007E3563">
        <w:t>influence</w:t>
      </w:r>
      <w:r>
        <w:t xml:space="preserve"> PA engagement is </w:t>
      </w:r>
      <w:r w:rsidR="007E3563">
        <w:t>there for</w:t>
      </w:r>
      <w:r>
        <w:t xml:space="preserve"> essential for developing </w:t>
      </w:r>
      <w:r w:rsidR="007E3563">
        <w:t>effective</w:t>
      </w:r>
      <w:r>
        <w:t>, sustainable interventions.</w:t>
      </w:r>
    </w:p>
    <w:p w14:paraId="3957D2F0" w14:textId="54FC1BD5" w:rsidR="00F70392" w:rsidRPr="00F70392" w:rsidRDefault="00F70392" w:rsidP="00F70392">
      <w:r w:rsidRPr="00F70392">
        <w:t xml:space="preserve">A prominant framework used to explore motivation in </w:t>
      </w:r>
      <w:r w:rsidR="00196CB0" w:rsidRPr="00F70392">
        <w:t>exercise</w:t>
      </w:r>
      <w:r w:rsidRPr="00F70392">
        <w:t xml:space="preserve"> contexts is Self-Determination Theory (SDT; Deci &amp; Ryan, 1985). SDT posits that motivation </w:t>
      </w:r>
      <w:r w:rsidR="00196CB0" w:rsidRPr="00F70392">
        <w:t>exists</w:t>
      </w:r>
      <w:r w:rsidRPr="00F70392">
        <w:t xml:space="preserve"> on a continuum ranging from amotivation (a lack of intention to act), through controlled motivation (external and introjected regulation), to autonomous motivation (identified, integrated, and </w:t>
      </w:r>
      <w:r w:rsidR="00196CB0" w:rsidRPr="00F70392">
        <w:t>intrinsic</w:t>
      </w:r>
      <w:r w:rsidRPr="00F70392">
        <w:t xml:space="preserve"> regulation). More self-determined forms of motivation are </w:t>
      </w:r>
      <w:r w:rsidR="00196CB0" w:rsidRPr="00F70392">
        <w:t>consistently</w:t>
      </w:r>
      <w:r w:rsidRPr="00F70392">
        <w:t xml:space="preserve"> linked to better adherence, enjoyment, and long-term participation in PA (Teixeira et al., 2012).</w:t>
      </w:r>
    </w:p>
    <w:p w14:paraId="79440538" w14:textId="74383F6C" w:rsidR="00F70392" w:rsidRPr="00F70392" w:rsidRDefault="00F70392" w:rsidP="00F70392">
      <w:r w:rsidRPr="00F70392">
        <w:t xml:space="preserve">The Behavioural Regulation in Exercise Questionnaire – 3 (BREQ-3; Markland &amp; Tobin, 2004) enables researchers to </w:t>
      </w:r>
      <w:r w:rsidR="00196CB0" w:rsidRPr="00F70392">
        <w:t>assess</w:t>
      </w:r>
      <w:r w:rsidRPr="00F70392">
        <w:t xml:space="preserve"> where individuals fall along this continuum. It has been widely used to examine motivational differences across populations and activity </w:t>
      </w:r>
      <w:r w:rsidR="004D49AA" w:rsidRPr="00F70392">
        <w:t>levels</w:t>
      </w:r>
      <w:r w:rsidRPr="00F70392">
        <w:t xml:space="preserve">. For instance, research has shown that those who are more physically active often </w:t>
      </w:r>
      <w:r w:rsidR="004D49AA" w:rsidRPr="00F70392">
        <w:t>exhibit</w:t>
      </w:r>
      <w:r w:rsidRPr="00F70392">
        <w:t xml:space="preserve"> higher levels of intrinsic or integrated regulation, whereas less active individuals tend to rely more on external pressures or internalised guilt (Ingledew &amp; Markland, 2008).</w:t>
      </w:r>
    </w:p>
    <w:p w14:paraId="418932D9" w14:textId="0E1C89F1" w:rsidR="00F70392" w:rsidRPr="00F70392" w:rsidRDefault="00F70392" w:rsidP="00F70392">
      <w:r w:rsidRPr="00F70392">
        <w:t xml:space="preserve">University students form an important demographic for studying PA behaviour. While this group is often perceived as active, factors such as academic workload, stress, and social distractions can disrupt </w:t>
      </w:r>
      <w:r w:rsidR="004D49AA" w:rsidRPr="00F70392">
        <w:t>exercise</w:t>
      </w:r>
      <w:r w:rsidRPr="00F70392">
        <w:t xml:space="preserve"> patterns and undermine motivation (Keating et al., 2005). Research has demonstrated that students’ motives for exercise can vary widely—from health and fitness goals to appearance-related and social motivations (Gaston &amp; Prapavessis, 2014).</w:t>
      </w:r>
    </w:p>
    <w:p w14:paraId="47709243" w14:textId="77777777" w:rsidR="00F70392" w:rsidRPr="00F70392" w:rsidRDefault="00F70392" w:rsidP="00F70392">
      <w:r w:rsidRPr="00F70392">
        <w:t>This report explores the relationship between behavioural regulation and physical activity levels in a sample of university students. Using data from the BREQ-3 and the International Physical Activity Questionnaire – Short Form (IPAQ-SF), the report compares motivational profiles between students with Moderate and High PA levels.</w:t>
      </w:r>
    </w:p>
    <w:p w14:paraId="44A7EF9A" w14:textId="77777777" w:rsidR="00F70392" w:rsidRPr="00F70392" w:rsidRDefault="00F70392" w:rsidP="00F70392">
      <w:r w:rsidRPr="00F70392">
        <w:rPr>
          <w:b/>
          <w:bCs/>
        </w:rPr>
        <w:t>Method</w:t>
      </w:r>
      <w:r w:rsidRPr="00F70392">
        <w:br/>
      </w:r>
      <w:r w:rsidRPr="00F70392">
        <w:rPr>
          <w:b/>
          <w:bCs/>
        </w:rPr>
        <w:t>Participants</w:t>
      </w:r>
      <w:r w:rsidRPr="00F70392">
        <w:br/>
        <w:t>Data were collected from 33 undergraduate students at the University of Wales, Trinity Saint David. Based on responses to the IPAQ-SF, participants were classified into two groups: Moderate activity level (n = 18) and High activity level (n = 15).</w:t>
      </w:r>
    </w:p>
    <w:p w14:paraId="799FC9EC" w14:textId="77777777" w:rsidR="00F70392" w:rsidRPr="00F70392" w:rsidRDefault="00F70392" w:rsidP="00F70392">
      <w:r w:rsidRPr="00F70392">
        <w:rPr>
          <w:b/>
          <w:bCs/>
        </w:rPr>
        <w:t>Measures</w:t>
      </w:r>
      <w:r w:rsidRPr="00F70392">
        <w:br/>
        <w:t>Participants completed two validated questionnaires:</w:t>
      </w:r>
    </w:p>
    <w:p w14:paraId="021260EB" w14:textId="77777777" w:rsidR="00F70392" w:rsidRPr="00F70392" w:rsidRDefault="00F70392" w:rsidP="0081552B">
      <w:r w:rsidRPr="00F70392">
        <w:t>BREQ-3 measured six types of behavioural regulation: amotivation, external, introjected, identified, integrated, and intrinsic.</w:t>
      </w:r>
    </w:p>
    <w:p w14:paraId="161CC65B" w14:textId="77777777" w:rsidR="00F70392" w:rsidRPr="00F70392" w:rsidRDefault="00F70392" w:rsidP="0081552B">
      <w:r w:rsidRPr="00F70392">
        <w:t>IPAQ-SF assessed physical activity levels and categorised individuals into activity groups.</w:t>
      </w:r>
    </w:p>
    <w:p w14:paraId="68F24043" w14:textId="60ACC367" w:rsidR="00F70392" w:rsidRPr="00F70392" w:rsidRDefault="00F70392" w:rsidP="00F70392">
      <w:r w:rsidRPr="00F70392">
        <w:rPr>
          <w:b/>
          <w:bCs/>
        </w:rPr>
        <w:t>Procedure</w:t>
      </w:r>
      <w:r w:rsidRPr="00F70392">
        <w:br/>
        <w:t xml:space="preserve">Questionnaires were distributed online. Responses were anonymised, and group </w:t>
      </w:r>
      <w:r w:rsidR="004D49AA" w:rsidRPr="00F70392">
        <w:t>means,</w:t>
      </w:r>
      <w:r w:rsidRPr="00F70392">
        <w:t xml:space="preserve"> and standard deviations were calculated for each form of motivational regulation.</w:t>
      </w:r>
    </w:p>
    <w:p w14:paraId="30984BD1" w14:textId="77777777" w:rsidR="00F70392" w:rsidRPr="00F70392" w:rsidRDefault="00F70392" w:rsidP="00F70392">
      <w:r w:rsidRPr="00F70392">
        <w:rPr>
          <w:b/>
          <w:bCs/>
        </w:rPr>
        <w:lastRenderedPageBreak/>
        <w:t>Design</w:t>
      </w:r>
      <w:r w:rsidRPr="00F70392">
        <w:br/>
        <w:t>A cross-sectional, between-groups design was employed to explore differences in motivational regulation across activity levels.</w:t>
      </w:r>
    </w:p>
    <w:p w14:paraId="4E6DF17D" w14:textId="77777777" w:rsidR="00852459" w:rsidRDefault="6C216D2D" w:rsidP="00F70392">
      <w:pPr>
        <w:rPr>
          <w:b/>
          <w:bCs/>
        </w:rPr>
      </w:pPr>
      <w:commentRangeStart w:id="1"/>
      <w:r w:rsidRPr="6C216D2D">
        <w:rPr>
          <w:b/>
          <w:bCs/>
        </w:rPr>
        <w:t>Results</w:t>
      </w:r>
      <w:commentRangeEnd w:id="1"/>
      <w:r w:rsidR="00F70392">
        <w:commentReference w:id="1"/>
      </w:r>
    </w:p>
    <w:p w14:paraId="013F45EC" w14:textId="0922A10A" w:rsidR="00F70392" w:rsidRPr="001B769A" w:rsidRDefault="001971BE" w:rsidP="00F70392">
      <w:pPr>
        <w:rPr>
          <w:b/>
          <w:bCs/>
        </w:rPr>
      </w:pPr>
      <w:r>
        <w:rPr>
          <w:noProof/>
        </w:rPr>
        <w:drawing>
          <wp:inline distT="0" distB="0" distL="0" distR="0" wp14:anchorId="54FD310A" wp14:editId="024FE459">
            <wp:extent cx="5747657" cy="3424651"/>
            <wp:effectExtent l="0" t="0" r="5715" b="4445"/>
            <wp:docPr id="251688801" name="Picture 1" descr="User 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 upload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81085" cy="3444568"/>
                    </a:xfrm>
                    <a:prstGeom prst="rect">
                      <a:avLst/>
                    </a:prstGeom>
                    <a:noFill/>
                    <a:ln>
                      <a:noFill/>
                    </a:ln>
                  </pic:spPr>
                </pic:pic>
              </a:graphicData>
            </a:graphic>
          </wp:inline>
        </w:drawing>
      </w:r>
    </w:p>
    <w:tbl>
      <w:tblPr>
        <w:tblStyle w:val="GridTable1Light"/>
        <w:tblW w:w="0" w:type="auto"/>
        <w:tblLook w:val="04A0" w:firstRow="1" w:lastRow="0" w:firstColumn="1" w:lastColumn="0" w:noHBand="0" w:noVBand="1"/>
      </w:tblPr>
      <w:tblGrid>
        <w:gridCol w:w="9016"/>
      </w:tblGrid>
      <w:tr w:rsidR="00F70392" w:rsidRPr="00F70392" w14:paraId="3F568800" w14:textId="77777777" w:rsidTr="6C216D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2"/>
              <w:gridCol w:w="2051"/>
              <w:gridCol w:w="2066"/>
            </w:tblGrid>
            <w:tr w:rsidR="001B769A" w:rsidRPr="001B769A" w14:paraId="65E8E17D" w14:textId="77777777" w:rsidTr="001B769A">
              <w:trPr>
                <w:tblHeader/>
                <w:tblCellSpacing w:w="15" w:type="dxa"/>
              </w:trPr>
              <w:tc>
                <w:tcPr>
                  <w:tcW w:w="0" w:type="auto"/>
                  <w:vAlign w:val="center"/>
                  <w:hideMark/>
                </w:tcPr>
                <w:p w14:paraId="25A671B0" w14:textId="77777777" w:rsidR="001B769A" w:rsidRPr="001B769A" w:rsidRDefault="001B769A" w:rsidP="001B769A">
                  <w:pPr>
                    <w:spacing w:after="0" w:line="240" w:lineRule="auto"/>
                    <w:rPr>
                      <w:rFonts w:ascii="Times New Roman" w:eastAsia="Times New Roman" w:hAnsi="Times New Roman" w:cs="Times New Roman"/>
                      <w:b/>
                      <w:bCs/>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Regulation Type</w:t>
                  </w:r>
                </w:p>
              </w:tc>
              <w:tc>
                <w:tcPr>
                  <w:tcW w:w="0" w:type="auto"/>
                  <w:vAlign w:val="center"/>
                  <w:hideMark/>
                </w:tcPr>
                <w:p w14:paraId="7D644067" w14:textId="77777777" w:rsidR="001B769A" w:rsidRPr="001B769A" w:rsidRDefault="001B769A" w:rsidP="001B769A">
                  <w:pPr>
                    <w:spacing w:after="0" w:line="240" w:lineRule="auto"/>
                    <w:jc w:val="center"/>
                    <w:rPr>
                      <w:rFonts w:ascii="Times New Roman" w:eastAsia="Times New Roman" w:hAnsi="Times New Roman" w:cs="Times New Roman"/>
                      <w:b/>
                      <w:bCs/>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Moderate (n = 18)</w:t>
                  </w:r>
                </w:p>
              </w:tc>
              <w:tc>
                <w:tcPr>
                  <w:tcW w:w="0" w:type="auto"/>
                  <w:vAlign w:val="center"/>
                  <w:hideMark/>
                </w:tcPr>
                <w:p w14:paraId="0A07BCF6" w14:textId="77777777" w:rsidR="001B769A" w:rsidRPr="001B769A" w:rsidRDefault="001B769A" w:rsidP="001B769A">
                  <w:pPr>
                    <w:spacing w:after="0" w:line="240" w:lineRule="auto"/>
                    <w:jc w:val="center"/>
                    <w:rPr>
                      <w:rFonts w:ascii="Times New Roman" w:eastAsia="Times New Roman" w:hAnsi="Times New Roman" w:cs="Times New Roman"/>
                      <w:b/>
                      <w:bCs/>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High (n = 15)</w:t>
                  </w:r>
                </w:p>
              </w:tc>
            </w:tr>
            <w:tr w:rsidR="001B769A" w:rsidRPr="001B769A" w14:paraId="663FAC11" w14:textId="77777777" w:rsidTr="001B769A">
              <w:trPr>
                <w:tblCellSpacing w:w="15" w:type="dxa"/>
              </w:trPr>
              <w:tc>
                <w:tcPr>
                  <w:tcW w:w="0" w:type="auto"/>
                  <w:vAlign w:val="center"/>
                  <w:hideMark/>
                </w:tcPr>
                <w:p w14:paraId="321F5420"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Amotivation</w:t>
                  </w:r>
                </w:p>
              </w:tc>
              <w:tc>
                <w:tcPr>
                  <w:tcW w:w="0" w:type="auto"/>
                  <w:vAlign w:val="center"/>
                  <w:hideMark/>
                </w:tcPr>
                <w:p w14:paraId="76EB0FB0"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0.01, SD = 0.06</w:t>
                  </w:r>
                </w:p>
              </w:tc>
              <w:tc>
                <w:tcPr>
                  <w:tcW w:w="0" w:type="auto"/>
                  <w:vAlign w:val="center"/>
                  <w:hideMark/>
                </w:tcPr>
                <w:p w14:paraId="32C5B864"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0.33, SD = 0.72</w:t>
                  </w:r>
                </w:p>
              </w:tc>
            </w:tr>
            <w:tr w:rsidR="001B769A" w:rsidRPr="001B769A" w14:paraId="62AD3E78" w14:textId="77777777" w:rsidTr="001B769A">
              <w:trPr>
                <w:tblCellSpacing w:w="15" w:type="dxa"/>
              </w:trPr>
              <w:tc>
                <w:tcPr>
                  <w:tcW w:w="0" w:type="auto"/>
                  <w:vAlign w:val="center"/>
                  <w:hideMark/>
                </w:tcPr>
                <w:p w14:paraId="33B8FCEA"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External Regulation</w:t>
                  </w:r>
                </w:p>
              </w:tc>
              <w:tc>
                <w:tcPr>
                  <w:tcW w:w="0" w:type="auto"/>
                  <w:vAlign w:val="center"/>
                  <w:hideMark/>
                </w:tcPr>
                <w:p w14:paraId="5ACB76B2"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0.29, SD = 0.41</w:t>
                  </w:r>
                </w:p>
              </w:tc>
              <w:tc>
                <w:tcPr>
                  <w:tcW w:w="0" w:type="auto"/>
                  <w:vAlign w:val="center"/>
                  <w:hideMark/>
                </w:tcPr>
                <w:p w14:paraId="4A9574C3"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0.93, SD = 1.04</w:t>
                  </w:r>
                </w:p>
              </w:tc>
            </w:tr>
            <w:tr w:rsidR="001B769A" w:rsidRPr="001B769A" w14:paraId="0ED57322" w14:textId="77777777" w:rsidTr="001B769A">
              <w:trPr>
                <w:tblCellSpacing w:w="15" w:type="dxa"/>
              </w:trPr>
              <w:tc>
                <w:tcPr>
                  <w:tcW w:w="0" w:type="auto"/>
                  <w:vAlign w:val="center"/>
                  <w:hideMark/>
                </w:tcPr>
                <w:p w14:paraId="2B42756F"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Introjected Regulation</w:t>
                  </w:r>
                </w:p>
              </w:tc>
              <w:tc>
                <w:tcPr>
                  <w:tcW w:w="0" w:type="auto"/>
                  <w:vAlign w:val="center"/>
                  <w:hideMark/>
                </w:tcPr>
                <w:p w14:paraId="2F9FF61F"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2.25, SD = 1.02</w:t>
                  </w:r>
                </w:p>
              </w:tc>
              <w:tc>
                <w:tcPr>
                  <w:tcW w:w="0" w:type="auto"/>
                  <w:vAlign w:val="center"/>
                  <w:hideMark/>
                </w:tcPr>
                <w:p w14:paraId="26B1D217"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2.63, SD = 0.94</w:t>
                  </w:r>
                </w:p>
              </w:tc>
            </w:tr>
            <w:tr w:rsidR="001B769A" w:rsidRPr="001B769A" w14:paraId="1D5852D5" w14:textId="77777777" w:rsidTr="001B769A">
              <w:trPr>
                <w:tblCellSpacing w:w="15" w:type="dxa"/>
              </w:trPr>
              <w:tc>
                <w:tcPr>
                  <w:tcW w:w="0" w:type="auto"/>
                  <w:vAlign w:val="center"/>
                  <w:hideMark/>
                </w:tcPr>
                <w:p w14:paraId="2DAE8A5D"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Identified Regulation</w:t>
                  </w:r>
                </w:p>
              </w:tc>
              <w:tc>
                <w:tcPr>
                  <w:tcW w:w="0" w:type="auto"/>
                  <w:vAlign w:val="center"/>
                  <w:hideMark/>
                </w:tcPr>
                <w:p w14:paraId="1BFECF4E"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3.36, SD = 0.50</w:t>
                  </w:r>
                </w:p>
              </w:tc>
              <w:tc>
                <w:tcPr>
                  <w:tcW w:w="0" w:type="auto"/>
                  <w:vAlign w:val="center"/>
                  <w:hideMark/>
                </w:tcPr>
                <w:p w14:paraId="19639BAF"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3.42, SD = 0.50</w:t>
                  </w:r>
                </w:p>
              </w:tc>
            </w:tr>
            <w:tr w:rsidR="001B769A" w:rsidRPr="001B769A" w14:paraId="34A6507D" w14:textId="77777777" w:rsidTr="001B769A">
              <w:trPr>
                <w:tblCellSpacing w:w="15" w:type="dxa"/>
              </w:trPr>
              <w:tc>
                <w:tcPr>
                  <w:tcW w:w="0" w:type="auto"/>
                  <w:vAlign w:val="center"/>
                  <w:hideMark/>
                </w:tcPr>
                <w:p w14:paraId="606E6914"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Integrated Regulation</w:t>
                  </w:r>
                </w:p>
              </w:tc>
              <w:tc>
                <w:tcPr>
                  <w:tcW w:w="0" w:type="auto"/>
                  <w:vAlign w:val="center"/>
                  <w:hideMark/>
                </w:tcPr>
                <w:p w14:paraId="06C20AD9"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2.65, SD = 1.29</w:t>
                  </w:r>
                </w:p>
              </w:tc>
              <w:tc>
                <w:tcPr>
                  <w:tcW w:w="0" w:type="auto"/>
                  <w:vAlign w:val="center"/>
                  <w:hideMark/>
                </w:tcPr>
                <w:p w14:paraId="5D26CD7E"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3.02, SD = 0.80</w:t>
                  </w:r>
                </w:p>
              </w:tc>
            </w:tr>
            <w:tr w:rsidR="001B769A" w:rsidRPr="001B769A" w14:paraId="370C4316" w14:textId="77777777" w:rsidTr="001B769A">
              <w:trPr>
                <w:tblCellSpacing w:w="15" w:type="dxa"/>
              </w:trPr>
              <w:tc>
                <w:tcPr>
                  <w:tcW w:w="0" w:type="auto"/>
                  <w:vAlign w:val="center"/>
                  <w:hideMark/>
                </w:tcPr>
                <w:p w14:paraId="6B6A8C98"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b/>
                      <w:bCs/>
                      <w:kern w:val="0"/>
                      <w:sz w:val="24"/>
                      <w:szCs w:val="24"/>
                      <w:lang w:eastAsia="en-GB"/>
                      <w14:ligatures w14:val="none"/>
                    </w:rPr>
                    <w:t>Intrinsic Regulation</w:t>
                  </w:r>
                </w:p>
              </w:tc>
              <w:tc>
                <w:tcPr>
                  <w:tcW w:w="0" w:type="auto"/>
                  <w:vAlign w:val="center"/>
                  <w:hideMark/>
                </w:tcPr>
                <w:p w14:paraId="71A0A478"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3.15, SD = 0.55</w:t>
                  </w:r>
                </w:p>
              </w:tc>
              <w:tc>
                <w:tcPr>
                  <w:tcW w:w="0" w:type="auto"/>
                  <w:vAlign w:val="center"/>
                  <w:hideMark/>
                </w:tcPr>
                <w:p w14:paraId="3AD2762C" w14:textId="77777777" w:rsidR="001B769A" w:rsidRPr="001B769A" w:rsidRDefault="001B769A" w:rsidP="001B769A">
                  <w:pPr>
                    <w:spacing w:after="0" w:line="240" w:lineRule="auto"/>
                    <w:rPr>
                      <w:rFonts w:ascii="Times New Roman" w:eastAsia="Times New Roman" w:hAnsi="Times New Roman" w:cs="Times New Roman"/>
                      <w:kern w:val="0"/>
                      <w:sz w:val="24"/>
                      <w:szCs w:val="24"/>
                      <w:lang w:eastAsia="en-GB"/>
                      <w14:ligatures w14:val="none"/>
                    </w:rPr>
                  </w:pPr>
                  <w:r w:rsidRPr="001B769A">
                    <w:rPr>
                      <w:rFonts w:ascii="Times New Roman" w:eastAsia="Times New Roman" w:hAnsi="Times New Roman" w:cs="Times New Roman"/>
                      <w:kern w:val="0"/>
                      <w:sz w:val="24"/>
                      <w:szCs w:val="24"/>
                      <w:lang w:eastAsia="en-GB"/>
                      <w14:ligatures w14:val="none"/>
                    </w:rPr>
                    <w:t>M = 3.28, SD = 0.71</w:t>
                  </w:r>
                </w:p>
              </w:tc>
            </w:tr>
          </w:tbl>
          <w:p w14:paraId="1DED9AC0" w14:textId="542C655F" w:rsidR="00F70392" w:rsidRPr="00F70392" w:rsidRDefault="00F70392" w:rsidP="001A7CF9"/>
        </w:tc>
      </w:tr>
    </w:tbl>
    <w:p w14:paraId="13D1BB28" w14:textId="5873242B" w:rsidR="00F70392" w:rsidRPr="00F70392" w:rsidRDefault="00F70392" w:rsidP="00F70392">
      <w:r w:rsidRPr="00F70392">
        <w:t xml:space="preserve">Figure </w:t>
      </w:r>
      <w:r w:rsidR="008A320D" w:rsidRPr="00F70392">
        <w:t>1 Bar</w:t>
      </w:r>
      <w:r w:rsidRPr="00F70392">
        <w:t xml:space="preserve"> chart comparing mean regulation scores between Moderate and High activity groups.</w:t>
      </w:r>
    </w:p>
    <w:p w14:paraId="70059BC2" w14:textId="482FE7FA" w:rsidR="00F70392" w:rsidRPr="00F70392" w:rsidRDefault="00F70392" w:rsidP="00F70392">
      <w:r w:rsidRPr="00F70392">
        <w:rPr>
          <w:b/>
          <w:bCs/>
        </w:rPr>
        <w:t>Summary of Findings</w:t>
      </w:r>
      <w:r w:rsidRPr="00F70392">
        <w:br/>
        <w:t xml:space="preserve">Both groups demonstrated high levels of identified, integrated, and intrinsic motivation, suggesting a strong internal drive for </w:t>
      </w:r>
      <w:r w:rsidR="008A320D" w:rsidRPr="00F70392">
        <w:t>exercise</w:t>
      </w:r>
      <w:r w:rsidRPr="00F70392">
        <w:t>. The High activity group reported higher scores across all regulation types, including external regulation and amotivation—although the latter remained low overall. Introjected regulation was also higher in this group, indicating some internal pressure may coexist with more autonomous motivations.</w:t>
      </w:r>
    </w:p>
    <w:p w14:paraId="22356474" w14:textId="33E2E726" w:rsidR="00F70392" w:rsidRPr="00F70392" w:rsidRDefault="6C216D2D" w:rsidP="00F70392">
      <w:r w:rsidRPr="6C216D2D">
        <w:rPr>
          <w:b/>
          <w:bCs/>
        </w:rPr>
        <w:t>Discussion</w:t>
      </w:r>
      <w:r w:rsidR="00F70392">
        <w:br/>
      </w:r>
      <w:r>
        <w:t xml:space="preserve">The findings align with the principles of Self-Determination Theory, which asserts that more </w:t>
      </w:r>
      <w:commentRangeStart w:id="2"/>
      <w:r>
        <w:t xml:space="preserve">autonomous forms of motivation are linked to greater engagement in physical activity (Deci &amp; Ryan, 1985). Both the Moderate and High activity groups demonstrated high levels of self-determined motivation, with identified, integrated, and intrinsic regulation scoring highest. This suggests that students in both categories value </w:t>
      </w:r>
      <w:r w:rsidR="008A320D">
        <w:t>exercise</w:t>
      </w:r>
      <w:r>
        <w:t xml:space="preserve"> and find it enjoyable and personally meaningful.</w:t>
      </w:r>
    </w:p>
    <w:p w14:paraId="755B7D18" w14:textId="271F6D41" w:rsidR="00F70392" w:rsidRPr="00F70392" w:rsidRDefault="6C216D2D" w:rsidP="00F70392">
      <w:r>
        <w:lastRenderedPageBreak/>
        <w:t>As expected, participants in the High activity group scored slightly higher in intrinsic and integrated regulation, indicating a stronger internalisation of exercise behaviour. This is consistent with findings by Wilson</w:t>
      </w:r>
      <w:commentRangeStart w:id="3"/>
      <w:r>
        <w:t xml:space="preserve"> et al. (2003)</w:t>
      </w:r>
      <w:commentRangeEnd w:id="3"/>
      <w:r w:rsidR="00F70392">
        <w:commentReference w:id="3"/>
      </w:r>
      <w:r>
        <w:t>, who reported that individuals with higher activity levels often view PA as part of their identity, resulting in more sustainable engagement</w:t>
      </w:r>
      <w:r w:rsidR="006713FC">
        <w:t xml:space="preserve"> </w:t>
      </w:r>
      <w:r w:rsidR="006713FC" w:rsidRPr="000E6736">
        <w:t xml:space="preserve">Qualitative insights from student samples could provide a </w:t>
      </w:r>
      <w:r w:rsidR="006713FC" w:rsidRPr="000E6736">
        <w:t>broader way of</w:t>
      </w:r>
      <w:r w:rsidR="006713FC" w:rsidRPr="000E6736">
        <w:t xml:space="preserve"> understanding of these trends</w:t>
      </w:r>
      <w:r w:rsidR="008A320D" w:rsidRPr="000E6736">
        <w:t xml:space="preserve"> for example</w:t>
      </w:r>
      <w:r w:rsidR="006713FC" w:rsidRPr="000E6736">
        <w:t>, a student in the High activity group might say, “Going to the gym isn’t just about fitness anymore</w:t>
      </w:r>
      <w:r w:rsidR="006713FC" w:rsidRPr="000E6736">
        <w:t xml:space="preserve"> </w:t>
      </w:r>
      <w:r w:rsidR="006713FC" w:rsidRPr="000E6736">
        <w:t xml:space="preserve">it’s part of who I am and how I cope with stress.” This reflects integrated regulation, where physical activity aligns with one’s self-concept. Another student might comment, “I genuinely enjoy playing football with my </w:t>
      </w:r>
      <w:r w:rsidR="004D49AA" w:rsidRPr="000E6736">
        <w:t>mate’s</w:t>
      </w:r>
      <w:r w:rsidR="006713FC" w:rsidRPr="000E6736">
        <w:t xml:space="preserve"> </w:t>
      </w:r>
      <w:r w:rsidR="006713FC" w:rsidRPr="000E6736">
        <w:t>t’s the highlight of my week,” illustrating intrinsic motivation rooted in enjoyment and social connection</w:t>
      </w:r>
      <w:r w:rsidRPr="000E6736">
        <w:t>.</w:t>
      </w:r>
      <w:commentRangeEnd w:id="2"/>
      <w:r w:rsidR="00F70392" w:rsidRPr="000E6736">
        <w:commentReference w:id="2"/>
      </w:r>
    </w:p>
    <w:p w14:paraId="51DB0272" w14:textId="77777777" w:rsidR="00F70392" w:rsidRPr="00F70392" w:rsidRDefault="00F70392" w:rsidP="00F70392">
      <w:r w:rsidRPr="00F70392">
        <w:t>Surprisingly, amotivation and external regulation were also higher in the High activity group, albeit still low overall. This suggests that even highly active individuals may experience mixed motives, including some external or controlled influences—perhaps related to social expectations, competition, or appearance concerns. These findings are supported by Sebire et al. (2009), who reported that individuals often engage in PA for multiple, sometimes conflicting, reasons.</w:t>
      </w:r>
    </w:p>
    <w:p w14:paraId="59F9ABA6" w14:textId="77777777" w:rsidR="00F70392" w:rsidRPr="00F70392" w:rsidRDefault="00F70392" w:rsidP="00F70392">
      <w:r w:rsidRPr="00F70392">
        <w:t>The narrow standard deviation for identified regulation in both groups (SD = 0.50) suggests a shared belief in the value of PA among this student sample. In contrast, the larger variability in integrated regulation within the Moderate group (SD = 1.29) may indicate a transitional phase, where some individuals are beginning to internalise exercise as part of their identity, while others remain less integrated.</w:t>
      </w:r>
    </w:p>
    <w:p w14:paraId="5A3AF025" w14:textId="47770E00" w:rsidR="00F70392" w:rsidRPr="00F70392" w:rsidRDefault="6C216D2D" w:rsidP="00F70392">
      <w:r w:rsidRPr="6C216D2D">
        <w:rPr>
          <w:b/>
          <w:bCs/>
        </w:rPr>
        <w:t>Practical Implications</w:t>
      </w:r>
      <w:r w:rsidR="00F70392">
        <w:br/>
      </w:r>
      <w:r>
        <w:t>Interventions aiming to increase PA among students should prioritise the development of autonomous motivation. Strategies such as autonomy-supportive coaching, peer-led goal setting, and reflective activities can promote internalisation. E</w:t>
      </w:r>
      <w:commentRangeStart w:id="4"/>
      <w:r>
        <w:t xml:space="preserve">ducators could incorporate value-based goal frameworks to help students connect </w:t>
      </w:r>
      <w:r w:rsidR="004D49AA">
        <w:t>exercise</w:t>
      </w:r>
      <w:r>
        <w:t xml:space="preserve"> to personal aspirations</w:t>
      </w:r>
      <w:r w:rsidR="00C91516">
        <w:t xml:space="preserve"> by having a mentor to set goals with students and help them work towards them </w:t>
      </w:r>
      <w:r w:rsidR="00654407">
        <w:t xml:space="preserve">to achieve their </w:t>
      </w:r>
      <w:commentRangeEnd w:id="4"/>
      <w:r w:rsidR="00F73746">
        <w:t>goals.</w:t>
      </w:r>
      <w:r w:rsidR="00F70392">
        <w:commentReference w:id="4"/>
      </w:r>
    </w:p>
    <w:p w14:paraId="221BAA6A" w14:textId="04785E77" w:rsidR="00F70392" w:rsidRPr="00F70392" w:rsidRDefault="6C216D2D" w:rsidP="00F70392">
      <w:r w:rsidRPr="6C216D2D">
        <w:rPr>
          <w:b/>
          <w:bCs/>
        </w:rPr>
        <w:t>Limitations and Future Directions</w:t>
      </w:r>
      <w:r w:rsidR="00F70392">
        <w:br/>
      </w:r>
      <w:r>
        <w:t>This study’s cross-sectional design</w:t>
      </w:r>
      <w:r w:rsidR="00A806CF">
        <w:t>.</w:t>
      </w:r>
      <w:r>
        <w:t xml:space="preserve"> The sample size was modest and drawn from a single university population, which may reduce generalisability. Future research could explore motivational regulation longitudinally or in more diverse cohorts, including non-student populations. </w:t>
      </w:r>
      <w:commentRangeStart w:id="5"/>
      <w:r>
        <w:t xml:space="preserve">Qualitative methods </w:t>
      </w:r>
      <w:commentRangeEnd w:id="5"/>
      <w:r w:rsidR="00F70392">
        <w:commentReference w:id="5"/>
      </w:r>
      <w:r>
        <w:t>could also provide deeper insights into the lived experiences behind motivational patterns</w:t>
      </w:r>
      <w:r w:rsidR="001E7821">
        <w:t xml:space="preserve"> such as focus groups </w:t>
      </w:r>
      <w:r w:rsidR="00A718C2">
        <w:t xml:space="preserve">because it helps capture </w:t>
      </w:r>
      <w:r w:rsidR="00121215">
        <w:t xml:space="preserve">shared experiences </w:t>
      </w:r>
      <w:r w:rsidR="00472422">
        <w:t xml:space="preserve">between a </w:t>
      </w:r>
      <w:r w:rsidR="00125D7E">
        <w:t>group</w:t>
      </w:r>
      <w:r w:rsidR="007B4089">
        <w:t xml:space="preserve"> which helps collect data for the studies </w:t>
      </w:r>
      <w:r w:rsidR="00125D7E">
        <w:t>, also</w:t>
      </w:r>
      <w:r w:rsidR="007736F4">
        <w:t xml:space="preserve"> doing semi structed interviews </w:t>
      </w:r>
      <w:r w:rsidR="0044351F">
        <w:t xml:space="preserve">provides deeper insights to understand personal </w:t>
      </w:r>
      <w:r w:rsidR="004D49AA">
        <w:t>motivations.</w:t>
      </w:r>
    </w:p>
    <w:p w14:paraId="1A65585C" w14:textId="77777777" w:rsidR="00F70392" w:rsidRPr="00F70392" w:rsidRDefault="00000000" w:rsidP="00F70392">
      <w:r>
        <w:pict w14:anchorId="265FB6C0">
          <v:rect id="_x0000_i1025" style="width:0;height:1.5pt" o:hralign="center" o:hrstd="t" o:hr="t" fillcolor="#a0a0a0" stroked="f"/>
        </w:pict>
      </w:r>
    </w:p>
    <w:p w14:paraId="3CFB8F93" w14:textId="77777777" w:rsidR="00F70392" w:rsidRPr="00F70392" w:rsidRDefault="6C216D2D" w:rsidP="00F70392">
      <w:pPr>
        <w:rPr>
          <w:b/>
          <w:bCs/>
        </w:rPr>
      </w:pPr>
      <w:commentRangeStart w:id="6"/>
      <w:r w:rsidRPr="6C216D2D">
        <w:rPr>
          <w:b/>
          <w:bCs/>
        </w:rPr>
        <w:t>References</w:t>
      </w:r>
      <w:commentRangeEnd w:id="6"/>
      <w:r w:rsidR="00F70392">
        <w:commentReference w:id="6"/>
      </w:r>
    </w:p>
    <w:p w14:paraId="19BFBF30" w14:textId="217B6EF8" w:rsidR="00F70392" w:rsidRPr="00F70392" w:rsidRDefault="00F70392" w:rsidP="00F70392">
      <w:r w:rsidRPr="00F70392">
        <w:t xml:space="preserve">Deci, E. L., &amp; Ryan, R. M. (1985). </w:t>
      </w:r>
      <w:r w:rsidRPr="00F70392">
        <w:rPr>
          <w:i/>
          <w:iCs/>
        </w:rPr>
        <w:t xml:space="preserve">Intrinsic motivation and self-determination in human </w:t>
      </w:r>
      <w:r w:rsidR="004D49AA" w:rsidRPr="00F70392">
        <w:rPr>
          <w:i/>
          <w:iCs/>
        </w:rPr>
        <w:t>behaviour</w:t>
      </w:r>
      <w:r w:rsidRPr="00F70392">
        <w:t>. New York: Plenum Press.</w:t>
      </w:r>
    </w:p>
    <w:p w14:paraId="6C166489" w14:textId="64603DD5" w:rsidR="00F70392" w:rsidRPr="00F70392" w:rsidRDefault="00F70392" w:rsidP="00F70392">
      <w:r w:rsidRPr="00F70392">
        <w:t xml:space="preserve">Gaston, A., &amp; Prapavessis, H. (2014). Motives for </w:t>
      </w:r>
      <w:r w:rsidR="004D49AA" w:rsidRPr="00F70392">
        <w:t>exercise</w:t>
      </w:r>
      <w:r w:rsidRPr="00F70392">
        <w:t xml:space="preserve"> and physical activity among university students. </w:t>
      </w:r>
      <w:r w:rsidRPr="00F70392">
        <w:rPr>
          <w:i/>
          <w:iCs/>
        </w:rPr>
        <w:t>Journal of Sport and Exercise Psycholgy</w:t>
      </w:r>
      <w:r w:rsidRPr="00F70392">
        <w:t>, 36(1), 30–41.</w:t>
      </w:r>
    </w:p>
    <w:p w14:paraId="321BBC47" w14:textId="77777777" w:rsidR="00F70392" w:rsidRPr="00F70392" w:rsidRDefault="00F70392" w:rsidP="00F70392">
      <w:r w:rsidRPr="00F70392">
        <w:t xml:space="preserve">Ingledew, D. K., &amp; Markland, D. (2008). The role of motives in exercise participation. </w:t>
      </w:r>
      <w:r w:rsidRPr="00F70392">
        <w:rPr>
          <w:i/>
          <w:iCs/>
        </w:rPr>
        <w:t>Psychology &amp; Health</w:t>
      </w:r>
      <w:r w:rsidRPr="00F70392">
        <w:t>, 23(7), 807–828.</w:t>
      </w:r>
    </w:p>
    <w:p w14:paraId="6D12C7D5" w14:textId="74624ABC" w:rsidR="00F70392" w:rsidRPr="00F70392" w:rsidRDefault="00F70392" w:rsidP="00F70392">
      <w:r w:rsidRPr="00F70392">
        <w:lastRenderedPageBreak/>
        <w:t xml:space="preserve">Keating, X. D., Guan, J., Piñero, J. C., &amp; Bridges, D. M. (2005). A meta-analysis of college students’ physical </w:t>
      </w:r>
      <w:r w:rsidR="004D49AA" w:rsidRPr="00F70392">
        <w:t>activity</w:t>
      </w:r>
      <w:r w:rsidRPr="00F70392">
        <w:t xml:space="preserve"> </w:t>
      </w:r>
      <w:proofErr w:type="spellStart"/>
      <w:r w:rsidRPr="00F70392">
        <w:t>behaviors</w:t>
      </w:r>
      <w:proofErr w:type="spellEnd"/>
      <w:r w:rsidRPr="00F70392">
        <w:t xml:space="preserve">. </w:t>
      </w:r>
      <w:r w:rsidRPr="00F70392">
        <w:rPr>
          <w:i/>
          <w:iCs/>
        </w:rPr>
        <w:t>Journal of American College Health</w:t>
      </w:r>
      <w:r w:rsidRPr="00F70392">
        <w:t>, 54(2), 116–126.</w:t>
      </w:r>
    </w:p>
    <w:p w14:paraId="048920A2" w14:textId="3D2BE4A2" w:rsidR="00F70392" w:rsidRPr="00F70392" w:rsidRDefault="00F70392" w:rsidP="00F70392">
      <w:r w:rsidRPr="00F70392">
        <w:t xml:space="preserve">Markland, D., &amp; Tobin, V. (2004). A modification of the behavioural regulation in </w:t>
      </w:r>
      <w:r w:rsidR="004D49AA" w:rsidRPr="00F70392">
        <w:t>exercise</w:t>
      </w:r>
      <w:r w:rsidRPr="00F70392">
        <w:t xml:space="preserve"> questionnaire to include an assessment of amotivation. </w:t>
      </w:r>
      <w:r w:rsidRPr="00F70392">
        <w:rPr>
          <w:i/>
          <w:iCs/>
        </w:rPr>
        <w:t>Journal of Sport and Exercise Psychology</w:t>
      </w:r>
      <w:r w:rsidRPr="00F70392">
        <w:t>, 26(2), 191–196.</w:t>
      </w:r>
    </w:p>
    <w:p w14:paraId="1BB589D8" w14:textId="02599C91" w:rsidR="00F70392" w:rsidRPr="00F70392" w:rsidRDefault="00F70392" w:rsidP="00F70392">
      <w:r w:rsidRPr="00F70392">
        <w:t xml:space="preserve">Sebire, S. J., Standage, M., &amp; Vansteenkiste, M. (2009). Testing a self-determination theory model of </w:t>
      </w:r>
      <w:r w:rsidR="004D49AA" w:rsidRPr="00F70392">
        <w:t>exercise</w:t>
      </w:r>
      <w:r w:rsidRPr="00F70392">
        <w:t xml:space="preserve"> motivation in adolescent girls. </w:t>
      </w:r>
      <w:r w:rsidRPr="00F70392">
        <w:rPr>
          <w:i/>
          <w:iCs/>
        </w:rPr>
        <w:t>European Journal of Social Psychology</w:t>
      </w:r>
      <w:r w:rsidRPr="00F70392">
        <w:t>, 39(2), 256–272.</w:t>
      </w:r>
    </w:p>
    <w:p w14:paraId="1E75F6A4" w14:textId="2AF752C9" w:rsidR="00F70392" w:rsidRPr="00F70392" w:rsidRDefault="00F70392" w:rsidP="00F70392">
      <w:r w:rsidRPr="00F70392">
        <w:t xml:space="preserve">Teixeira, P. J., Carraca, E. V., Markland, D., Silva, M. N., &amp; Ryan, R. M. (2012). </w:t>
      </w:r>
      <w:r w:rsidR="004D49AA" w:rsidRPr="00F70392">
        <w:t>Exercise</w:t>
      </w:r>
      <w:r w:rsidRPr="00F70392">
        <w:t xml:space="preserve">, physical activity, and self-determination theory: A systematic review. </w:t>
      </w:r>
      <w:r w:rsidRPr="00F70392">
        <w:rPr>
          <w:i/>
          <w:iCs/>
        </w:rPr>
        <w:t xml:space="preserve">International Journal of </w:t>
      </w:r>
      <w:r w:rsidR="004D49AA" w:rsidRPr="00F70392">
        <w:rPr>
          <w:i/>
          <w:iCs/>
        </w:rPr>
        <w:t>Behavioural</w:t>
      </w:r>
      <w:r w:rsidRPr="00F70392">
        <w:rPr>
          <w:i/>
          <w:iCs/>
        </w:rPr>
        <w:t xml:space="preserve"> Nutrition and Physical Activity</w:t>
      </w:r>
      <w:r w:rsidRPr="00F70392">
        <w:t>, 9(1), 78.</w:t>
      </w:r>
    </w:p>
    <w:p w14:paraId="2E83BCE2" w14:textId="5859B160" w:rsidR="00F70392" w:rsidRPr="00F70392" w:rsidRDefault="00F70392" w:rsidP="00F70392">
      <w:r w:rsidRPr="00F70392">
        <w:t xml:space="preserve">Warburton, D. E., &amp; Bredin, S. S. (2017). Health benefits of </w:t>
      </w:r>
      <w:r w:rsidR="004D49AA" w:rsidRPr="00F70392">
        <w:t>physical</w:t>
      </w:r>
      <w:r w:rsidRPr="00F70392">
        <w:t xml:space="preserve"> </w:t>
      </w:r>
      <w:proofErr w:type="spellStart"/>
      <w:r w:rsidRPr="00F70392">
        <w:t>activty</w:t>
      </w:r>
      <w:proofErr w:type="spellEnd"/>
      <w:r w:rsidRPr="00F70392">
        <w:t xml:space="preserve">: A systematic review of current evidence. </w:t>
      </w:r>
      <w:r w:rsidRPr="00F70392">
        <w:rPr>
          <w:i/>
          <w:iCs/>
        </w:rPr>
        <w:t>Current Opinion in Cardiology</w:t>
      </w:r>
      <w:r w:rsidRPr="00F70392">
        <w:t>, 32(5), 541–556.</w:t>
      </w:r>
    </w:p>
    <w:p w14:paraId="0EF1F2A3" w14:textId="2425021F" w:rsidR="00F70392" w:rsidRPr="00F70392" w:rsidRDefault="00F70392" w:rsidP="00F70392">
      <w:r w:rsidRPr="00F70392">
        <w:t xml:space="preserve">Wilson, P. M., Rodgers, W. M., Blanchard, C. M., &amp; Gessell, J. (2003). The role of identity in </w:t>
      </w:r>
      <w:r w:rsidR="004D49AA" w:rsidRPr="00F70392">
        <w:t>exercise</w:t>
      </w:r>
      <w:r w:rsidRPr="00F70392">
        <w:t xml:space="preserve"> motivation. </w:t>
      </w:r>
      <w:r w:rsidRPr="00F70392">
        <w:rPr>
          <w:i/>
          <w:iCs/>
        </w:rPr>
        <w:t>Journal of Applied Social Psychology</w:t>
      </w:r>
      <w:r w:rsidRPr="00F70392">
        <w:t>, 33(2), 398–414.</w:t>
      </w:r>
    </w:p>
    <w:p w14:paraId="72F60418" w14:textId="7D6A190C" w:rsidR="00F70392" w:rsidRPr="00F70392" w:rsidRDefault="00F70392" w:rsidP="00F70392">
      <w:r w:rsidRPr="00F70392">
        <w:t xml:space="preserve">World Health Organisation. (2020). </w:t>
      </w:r>
      <w:r w:rsidRPr="00F70392">
        <w:rPr>
          <w:i/>
          <w:iCs/>
        </w:rPr>
        <w:t xml:space="preserve">Global recommendations on physical </w:t>
      </w:r>
      <w:r w:rsidR="004D49AA" w:rsidRPr="00F70392">
        <w:rPr>
          <w:i/>
          <w:iCs/>
        </w:rPr>
        <w:t>activity</w:t>
      </w:r>
      <w:r w:rsidRPr="00F70392">
        <w:rPr>
          <w:i/>
          <w:iCs/>
        </w:rPr>
        <w:t xml:space="preserve"> for health</w:t>
      </w:r>
      <w:r w:rsidRPr="00F70392">
        <w:t>. Geneva: WHO Press.</w:t>
      </w:r>
    </w:p>
    <w:p w14:paraId="7651B831" w14:textId="77777777" w:rsidR="00EE2BA6" w:rsidRDefault="00EE2BA6"/>
    <w:sectPr w:rsidR="00EE2BA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uest User" w:date="2025-07-15T16:59:00Z" w:initials="GU">
    <w:p w14:paraId="57048CB0" w14:textId="67D81879" w:rsidR="00000000" w:rsidRDefault="00000000">
      <w:r>
        <w:annotationRef/>
      </w:r>
      <w:r w:rsidRPr="2A6953C0">
        <w:t>Run this through the spell checker as there are lots of typos that will be picked up. check anything underlined in red.</w:t>
      </w:r>
    </w:p>
  </w:comment>
  <w:comment w:id="1" w:author="Guest User" w:date="2025-07-15T17:03:00Z" w:initials="GU">
    <w:p w14:paraId="52E2BDC9" w14:textId="1DE47C9F" w:rsidR="00000000" w:rsidRDefault="00000000">
      <w:r>
        <w:annotationRef/>
      </w:r>
      <w:r w:rsidRPr="4FDBAD19">
        <w:t>Present this information as a graph</w:t>
      </w:r>
    </w:p>
  </w:comment>
  <w:comment w:id="3" w:author="Guest User" w:date="2025-07-15T17:05:00Z" w:initials="GU">
    <w:p w14:paraId="57B333EF" w14:textId="2CDD8069" w:rsidR="00000000" w:rsidRDefault="00000000">
      <w:r>
        <w:annotationRef/>
      </w:r>
      <w:r w:rsidRPr="01C7E72A">
        <w:t xml:space="preserve">Can you link to any of the studies that had a student sample </w:t>
      </w:r>
    </w:p>
  </w:comment>
  <w:comment w:id="2" w:author="Guest User" w:date="2025-07-15T17:03:00Z" w:initials="GU">
    <w:p w14:paraId="35AC9D16" w14:textId="27160E0F" w:rsidR="00000000" w:rsidRDefault="00000000">
      <w:r>
        <w:annotationRef/>
      </w:r>
      <w:r w:rsidRPr="2DCD4527">
        <w:t xml:space="preserve">Good understanding </w:t>
      </w:r>
    </w:p>
  </w:comment>
  <w:comment w:id="4" w:author="Guest User" w:date="2025-07-15T17:02:00Z" w:initials="GU">
    <w:p w14:paraId="2DEA833C" w14:textId="78D1F7DC" w:rsidR="00000000" w:rsidRDefault="00000000">
      <w:r>
        <w:annotationRef/>
      </w:r>
      <w:r w:rsidRPr="6120E292">
        <w:t>What do you mean by this? Explain</w:t>
      </w:r>
    </w:p>
  </w:comment>
  <w:comment w:id="5" w:author="Guest User" w:date="2025-07-15T17:02:00Z" w:initials="GU">
    <w:p w14:paraId="26D36325" w14:textId="4C2825BA" w:rsidR="00000000" w:rsidRDefault="00000000">
      <w:r>
        <w:annotationRef/>
      </w:r>
      <w:r w:rsidRPr="7CFFA32E">
        <w:t>such as?</w:t>
      </w:r>
    </w:p>
  </w:comment>
  <w:comment w:id="6" w:author="Guest User" w:date="2025-07-15T17:04:00Z" w:initials="GU">
    <w:p w14:paraId="410A4B5B" w14:textId="1E87A1D4" w:rsidR="00000000" w:rsidRDefault="00000000">
      <w:r>
        <w:annotationRef/>
      </w:r>
      <w:r w:rsidRPr="59B5C555">
        <w:t xml:space="preserve">Good range of </w:t>
      </w:r>
      <w:r w:rsidRPr="59B5C555">
        <w:t>appropriate resources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048CB0" w15:done="0"/>
  <w15:commentEx w15:paraId="52E2BDC9" w15:done="0"/>
  <w15:commentEx w15:paraId="57B333EF" w15:done="0"/>
  <w15:commentEx w15:paraId="35AC9D16" w15:done="0"/>
  <w15:commentEx w15:paraId="2DEA833C" w15:done="0"/>
  <w15:commentEx w15:paraId="26D36325" w15:done="0"/>
  <w15:commentEx w15:paraId="410A4B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4F157E" w16cex:dateUtc="2025-07-15T15:59:00Z"/>
  <w16cex:commentExtensible w16cex:durableId="11B3676B" w16cex:dateUtc="2025-07-15T16:03:00Z"/>
  <w16cex:commentExtensible w16cex:durableId="42B78B32" w16cex:dateUtc="2025-07-15T16:05:00Z"/>
  <w16cex:commentExtensible w16cex:durableId="0B2CCD22" w16cex:dateUtc="2025-07-15T16:03:00Z"/>
  <w16cex:commentExtensible w16cex:durableId="05ED2348" w16cex:dateUtc="2025-07-15T16:02:00Z"/>
  <w16cex:commentExtensible w16cex:durableId="4D03DD44" w16cex:dateUtc="2025-07-15T16:02:00Z"/>
  <w16cex:commentExtensible w16cex:durableId="3268D729" w16cex:dateUtc="2025-07-15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048CB0" w16cid:durableId="1D4F157E"/>
  <w16cid:commentId w16cid:paraId="52E2BDC9" w16cid:durableId="11B3676B"/>
  <w16cid:commentId w16cid:paraId="57B333EF" w16cid:durableId="42B78B32"/>
  <w16cid:commentId w16cid:paraId="35AC9D16" w16cid:durableId="0B2CCD22"/>
  <w16cid:commentId w16cid:paraId="2DEA833C" w16cid:durableId="05ED2348"/>
  <w16cid:commentId w16cid:paraId="26D36325" w16cid:durableId="4D03DD44"/>
  <w16cid:commentId w16cid:paraId="410A4B5B" w16cid:durableId="3268D72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4D4EAF"/>
    <w:multiLevelType w:val="multilevel"/>
    <w:tmpl w:val="A8F6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046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392"/>
    <w:rsid w:val="000E6736"/>
    <w:rsid w:val="00121215"/>
    <w:rsid w:val="00125D7E"/>
    <w:rsid w:val="00196CB0"/>
    <w:rsid w:val="001971BE"/>
    <w:rsid w:val="001B769A"/>
    <w:rsid w:val="001E7821"/>
    <w:rsid w:val="0022545A"/>
    <w:rsid w:val="002B57B5"/>
    <w:rsid w:val="0044351F"/>
    <w:rsid w:val="00472422"/>
    <w:rsid w:val="004D49AA"/>
    <w:rsid w:val="00577CB1"/>
    <w:rsid w:val="006119E2"/>
    <w:rsid w:val="006500F3"/>
    <w:rsid w:val="00654407"/>
    <w:rsid w:val="006713FC"/>
    <w:rsid w:val="007736F4"/>
    <w:rsid w:val="007B4089"/>
    <w:rsid w:val="007E3563"/>
    <w:rsid w:val="0081552B"/>
    <w:rsid w:val="00852459"/>
    <w:rsid w:val="008A320D"/>
    <w:rsid w:val="00A31926"/>
    <w:rsid w:val="00A718C2"/>
    <w:rsid w:val="00A806CF"/>
    <w:rsid w:val="00B52BD0"/>
    <w:rsid w:val="00C91516"/>
    <w:rsid w:val="00EE2BA6"/>
    <w:rsid w:val="00F70392"/>
    <w:rsid w:val="00F73746"/>
    <w:rsid w:val="6C21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89967"/>
  <w15:chartTrackingRefBased/>
  <w15:docId w15:val="{E844DE6E-4D95-4A67-8E26-231BFEAB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3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03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03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03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03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3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03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03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03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03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392"/>
    <w:rPr>
      <w:rFonts w:eastAsiaTheme="majorEastAsia" w:cstheme="majorBidi"/>
      <w:color w:val="272727" w:themeColor="text1" w:themeTint="D8"/>
    </w:rPr>
  </w:style>
  <w:style w:type="paragraph" w:styleId="Title">
    <w:name w:val="Title"/>
    <w:basedOn w:val="Normal"/>
    <w:next w:val="Normal"/>
    <w:link w:val="TitleChar"/>
    <w:uiPriority w:val="10"/>
    <w:qFormat/>
    <w:rsid w:val="00F7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392"/>
    <w:pPr>
      <w:spacing w:before="160"/>
      <w:jc w:val="center"/>
    </w:pPr>
    <w:rPr>
      <w:i/>
      <w:iCs/>
      <w:color w:val="404040" w:themeColor="text1" w:themeTint="BF"/>
    </w:rPr>
  </w:style>
  <w:style w:type="character" w:customStyle="1" w:styleId="QuoteChar">
    <w:name w:val="Quote Char"/>
    <w:basedOn w:val="DefaultParagraphFont"/>
    <w:link w:val="Quote"/>
    <w:uiPriority w:val="29"/>
    <w:rsid w:val="00F70392"/>
    <w:rPr>
      <w:i/>
      <w:iCs/>
      <w:color w:val="404040" w:themeColor="text1" w:themeTint="BF"/>
    </w:rPr>
  </w:style>
  <w:style w:type="paragraph" w:styleId="ListParagraph">
    <w:name w:val="List Paragraph"/>
    <w:basedOn w:val="Normal"/>
    <w:uiPriority w:val="34"/>
    <w:qFormat/>
    <w:rsid w:val="00F70392"/>
    <w:pPr>
      <w:ind w:left="720"/>
      <w:contextualSpacing/>
    </w:pPr>
  </w:style>
  <w:style w:type="character" w:styleId="IntenseEmphasis">
    <w:name w:val="Intense Emphasis"/>
    <w:basedOn w:val="DefaultParagraphFont"/>
    <w:uiPriority w:val="21"/>
    <w:qFormat/>
    <w:rsid w:val="00F70392"/>
    <w:rPr>
      <w:i/>
      <w:iCs/>
      <w:color w:val="2F5496" w:themeColor="accent1" w:themeShade="BF"/>
    </w:rPr>
  </w:style>
  <w:style w:type="paragraph" w:styleId="IntenseQuote">
    <w:name w:val="Intense Quote"/>
    <w:basedOn w:val="Normal"/>
    <w:next w:val="Normal"/>
    <w:link w:val="IntenseQuoteChar"/>
    <w:uiPriority w:val="30"/>
    <w:qFormat/>
    <w:rsid w:val="00F703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0392"/>
    <w:rPr>
      <w:i/>
      <w:iCs/>
      <w:color w:val="2F5496" w:themeColor="accent1" w:themeShade="BF"/>
    </w:rPr>
  </w:style>
  <w:style w:type="character" w:styleId="IntenseReference">
    <w:name w:val="Intense Reference"/>
    <w:basedOn w:val="DefaultParagraphFont"/>
    <w:uiPriority w:val="32"/>
    <w:qFormat/>
    <w:rsid w:val="00F70392"/>
    <w:rPr>
      <w:b/>
      <w:bCs/>
      <w:smallCaps/>
      <w:color w:val="2F5496" w:themeColor="accent1" w:themeShade="BF"/>
      <w:spacing w:val="5"/>
    </w:rPr>
  </w:style>
  <w:style w:type="table" w:styleId="TableGrid">
    <w:name w:val="Table Grid"/>
    <w:basedOn w:val="TableNormal"/>
    <w:uiPriority w:val="39"/>
    <w:rsid w:val="00F70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703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7039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sid w:val="001B76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846534">
      <w:bodyDiv w:val="1"/>
      <w:marLeft w:val="0"/>
      <w:marRight w:val="0"/>
      <w:marTop w:val="0"/>
      <w:marBottom w:val="0"/>
      <w:divBdr>
        <w:top w:val="none" w:sz="0" w:space="0" w:color="auto"/>
        <w:left w:val="none" w:sz="0" w:space="0" w:color="auto"/>
        <w:bottom w:val="none" w:sz="0" w:space="0" w:color="auto"/>
        <w:right w:val="none" w:sz="0" w:space="0" w:color="auto"/>
      </w:divBdr>
    </w:div>
    <w:div w:id="1000086619">
      <w:bodyDiv w:val="1"/>
      <w:marLeft w:val="0"/>
      <w:marRight w:val="0"/>
      <w:marTop w:val="0"/>
      <w:marBottom w:val="0"/>
      <w:divBdr>
        <w:top w:val="none" w:sz="0" w:space="0" w:color="auto"/>
        <w:left w:val="none" w:sz="0" w:space="0" w:color="auto"/>
        <w:bottom w:val="none" w:sz="0" w:space="0" w:color="auto"/>
        <w:right w:val="none" w:sz="0" w:space="0" w:color="auto"/>
      </w:divBdr>
    </w:div>
    <w:div w:id="202069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2631</TotalTime>
  <Pages>4</Pages>
  <Words>1415</Words>
  <Characters>8068</Characters>
  <Application>Microsoft Office Word</Application>
  <DocSecurity>0</DocSecurity>
  <Lines>67</Lines>
  <Paragraphs>18</Paragraphs>
  <ScaleCrop>false</ScaleCrop>
  <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32</cp:revision>
  <dcterms:created xsi:type="dcterms:W3CDTF">2025-07-08T10:37:00Z</dcterms:created>
  <dcterms:modified xsi:type="dcterms:W3CDTF">2025-07-18T09:23:00Z</dcterms:modified>
</cp:coreProperties>
</file>