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notes.xml" ContentType="application/vnd.openxmlformats-officedocument.wordprocessingml.footnotes+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0831CA42">
      <w:pPr>
        <w:shd w:val="clear" w:color="auto" w:fill="D9EAF7"/>
        <w:spacing w:after="80"/>
        <w:jc w:val="center"/>
        <w:rPr>
          <w:color w:val="17365D"/>
          <w:sz w:val="32"/>
          <w:szCs w:val="32"/>
        </w:rPr>
      </w:pPr>
      <w:r>
        <w:rPr>
          <w:b/>
          <w:color w:val="17365D"/>
          <w:sz w:val="32"/>
          <w:szCs w:val="32"/>
        </w:rPr>
        <w:t xml:space="preserve">Finding, Evaluating and </w:t>
      </w:r>
      <w:r>
        <w:rPr>
          <w:b/>
          <w:bCs/>
          <w:color w:val="17365D"/>
          <w:sz w:val="32"/>
          <w:szCs w:val="32"/>
        </w:rPr>
        <w:t>Communicating Information</w:t>
      </w:r>
      <w:r>
        <w:rPr>
          <w:b/>
          <w:color w:val="17365D"/>
          <w:sz w:val="32"/>
          <w:szCs w:val="32"/>
        </w:rPr>
        <w:t xml:space="preserve"> (BMHS4001</w:t>
      </w:r>
      <w:r>
        <w:rPr>
          <w:b/>
          <w:bCs/>
          <w:color w:val="17365D"/>
          <w:sz w:val="32"/>
          <w:szCs w:val="32"/>
        </w:rPr>
        <w:t>)</w:t>
      </w:r>
    </w:p>
    <w:p w14:paraId="7A98EEAC">
      <w:pPr>
        <w:shd w:val="clear" w:color="auto" w:fill="D9EAF7"/>
        <w:spacing w:after="240"/>
        <w:jc w:val="center"/>
        <w:rPr>
          <w:color w:val="17365D"/>
          <w:sz w:val="32"/>
          <w:szCs w:val="32"/>
        </w:rPr>
      </w:pPr>
      <w:r>
        <w:rPr>
          <w:b/>
          <w:color w:val="17365D"/>
          <w:sz w:val="32"/>
          <w:szCs w:val="32"/>
        </w:rPr>
        <w:t>Assessment 2: Credibility and Reliability of Information Exercise</w:t>
      </w:r>
    </w:p>
    <w:p w14:paraId="37AF49D1"/>
    <w:p w14:paraId="644E0592">
      <w:r>
        <w:t>Student number:</w:t>
      </w:r>
    </w:p>
    <w:p w14:paraId="764230C5">
      <w:pPr>
        <w:jc w:val="center"/>
        <w:rPr>
          <w:b/>
          <w:bCs/>
        </w:rPr>
      </w:pPr>
    </w:p>
    <w:p w14:paraId="6FAD3604">
      <w:pPr>
        <w:pBdr>
          <w:top w:val="single" w:color="B7DEE8" w:sz="8" w:space="0"/>
          <w:left w:val="single" w:color="B7DEE8" w:sz="8" w:space="0"/>
          <w:bottom w:val="single" w:color="B7DEE8" w:sz="8" w:space="0"/>
          <w:right w:val="single" w:color="B7DEE8" w:sz="8" w:space="0"/>
        </w:pBdr>
        <w:shd w:val="clear" w:color="auto" w:fill="F3F7FB"/>
        <w:jc w:val="both"/>
      </w:pPr>
      <w:r>
        <w:rPr>
          <w:rFonts w:cs="Arial"/>
        </w:rPr>
        <w:t>For this assessment, please refer to the three sources/short extracts provided. They all relate to the same topic.</w:t>
      </w:r>
    </w:p>
    <w:p w14:paraId="0011808B">
      <w:pPr>
        <w:jc w:val="both"/>
        <w:rPr>
          <w:rFonts w:cs="Arial"/>
          <w:color w:val="auto"/>
        </w:rPr>
      </w:pPr>
    </w:p>
    <w:p w14:paraId="0014FE4F">
      <w:pPr>
        <w:pStyle w:val="35"/>
        <w:spacing w:after="0" w:line="276" w:lineRule="auto"/>
        <w:ind w:left="714"/>
        <w:rPr>
          <w:rFonts w:eastAsia="Arial" w:cs="Arial"/>
        </w:rPr>
      </w:pPr>
      <w:r>
        <w:rPr>
          <w:rFonts w:cs="Arial"/>
          <w:color w:val="auto"/>
        </w:rPr>
        <w:t>You have 30 minutes to review these sources and complete this four-part workbook. It assesses your ability to think critically, to evaluate</w:t>
      </w:r>
      <w:r>
        <w:rPr>
          <w:rFonts w:eastAsia="Arial" w:cs="Arial"/>
          <w:color w:val="auto"/>
        </w:rPr>
        <w:t xml:space="preserve"> the credibility, reliability, and bias of diverse information sources</w:t>
      </w:r>
      <w:r>
        <w:rPr>
          <w:rFonts w:eastAsia="Arial" w:cs="Arial"/>
        </w:rPr>
        <w:t>.</w:t>
      </w:r>
    </w:p>
    <w:p w14:paraId="176BC633">
      <w:pPr>
        <w:pStyle w:val="35"/>
        <w:spacing w:after="0" w:line="276" w:lineRule="auto"/>
        <w:ind w:left="714"/>
        <w:contextualSpacing w:val="0"/>
        <w:rPr>
          <w:rFonts w:eastAsia="Arial" w:cs="Arial"/>
        </w:rPr>
      </w:pPr>
    </w:p>
    <w:p w14:paraId="289A8004">
      <w:pPr>
        <w:pStyle w:val="35"/>
        <w:spacing w:after="0" w:line="276" w:lineRule="auto"/>
        <w:ind w:left="714"/>
        <w:contextualSpacing w:val="0"/>
        <w:rPr>
          <w:rFonts w:eastAsia="Arial" w:cs="Arial"/>
        </w:rPr>
      </w:pPr>
      <w:r>
        <w:rPr>
          <w:rFonts w:eastAsia="Arial" w:cs="Arial"/>
        </w:rPr>
        <w:t>Read each question carefully.</w:t>
      </w:r>
    </w:p>
    <w:p w14:paraId="5D79406F">
      <w:pPr>
        <w:pStyle w:val="35"/>
        <w:spacing w:after="0" w:line="276" w:lineRule="auto"/>
        <w:ind w:left="714"/>
        <w:contextualSpacing w:val="0"/>
        <w:rPr>
          <w:rFonts w:eastAsia="Arial" w:cs="Arial"/>
        </w:rPr>
      </w:pPr>
    </w:p>
    <w:p w14:paraId="01DD384F">
      <w:pPr>
        <w:pStyle w:val="35"/>
        <w:spacing w:after="0" w:line="276" w:lineRule="auto"/>
        <w:ind w:left="714"/>
        <w:contextualSpacing w:val="0"/>
        <w:rPr>
          <w:rFonts w:eastAsia="Arial" w:cs="Arial"/>
        </w:rPr>
      </w:pPr>
      <w:r>
        <w:rPr>
          <w:rFonts w:eastAsia="Arial" w:cs="Arial"/>
        </w:rPr>
        <w:t xml:space="preserve">Ensure you save your work. You are required to submit this workbook to Turnitin at the end of the assessment. </w:t>
      </w:r>
    </w:p>
    <w:p w14:paraId="5204E5C1">
      <w:pPr>
        <w:pStyle w:val="35"/>
        <w:spacing w:after="0" w:line="276" w:lineRule="auto"/>
        <w:ind w:left="714"/>
        <w:contextualSpacing w:val="0"/>
        <w:rPr>
          <w:rFonts w:eastAsia="Arial" w:cs="Arial"/>
        </w:rPr>
      </w:pPr>
    </w:p>
    <w:p w14:paraId="03E373B9">
      <w:pPr>
        <w:pStyle w:val="35"/>
        <w:spacing w:after="0" w:line="276" w:lineRule="auto"/>
        <w:ind w:left="714"/>
        <w:contextualSpacing w:val="0"/>
        <w:rPr>
          <w:rFonts w:eastAsia="Arial" w:cs="Arial"/>
        </w:rPr>
      </w:pPr>
    </w:p>
    <w:p w14:paraId="0B2711A7">
      <w:pPr>
        <w:pStyle w:val="35"/>
        <w:spacing w:after="0" w:line="276" w:lineRule="auto"/>
        <w:ind w:left="714"/>
        <w:contextualSpacing w:val="0"/>
        <w:jc w:val="center"/>
        <w:rPr>
          <w:rFonts w:eastAsia="Arial" w:cs="Arial"/>
          <w:sz w:val="28"/>
          <w:szCs w:val="28"/>
        </w:rPr>
      </w:pPr>
    </w:p>
    <w:p w14:paraId="3FD06CF2">
      <w:pPr>
        <w:pStyle w:val="35"/>
        <w:spacing w:after="0" w:line="276" w:lineRule="auto"/>
        <w:ind w:left="714"/>
        <w:contextualSpacing w:val="0"/>
        <w:jc w:val="center"/>
        <w:rPr>
          <w:rFonts w:eastAsia="Arial" w:cs="Arial"/>
          <w:sz w:val="28"/>
          <w:szCs w:val="28"/>
        </w:rPr>
      </w:pPr>
      <w:r>
        <w:rPr>
          <w:rFonts w:eastAsia="Arial" w:cs="Arial"/>
          <w:sz w:val="28"/>
          <w:szCs w:val="28"/>
        </w:rPr>
        <w:t>Good luck.</w:t>
      </w:r>
    </w:p>
    <w:p w14:paraId="006C523C">
      <w:pPr>
        <w:pStyle w:val="35"/>
        <w:spacing w:after="0" w:line="276" w:lineRule="auto"/>
        <w:ind w:left="714"/>
        <w:contextualSpacing w:val="0"/>
        <w:rPr>
          <w:rFonts w:eastAsia="Arial" w:cs="Arial"/>
        </w:rPr>
      </w:pPr>
    </w:p>
    <w:p w14:paraId="1DB9320D">
      <w:pPr>
        <w:sectPr>
          <w:headerReference r:id="rId7" w:type="first"/>
          <w:footerReference r:id="rId10" w:type="first"/>
          <w:headerReference r:id="rId5" w:type="default"/>
          <w:footerReference r:id="rId8" w:type="default"/>
          <w:headerReference r:id="rId6" w:type="even"/>
          <w:footerReference r:id="rId9" w:type="even"/>
          <w:pgSz w:w="11907" w:h="16839"/>
          <w:pgMar w:top="1440" w:right="1440" w:bottom="1440" w:left="1440" w:header="708" w:footer="708" w:gutter="0"/>
          <w:cols w:space="708" w:num="1"/>
          <w:docGrid w:linePitch="360" w:charSpace="0"/>
        </w:sectPr>
      </w:pPr>
    </w:p>
    <w:p w14:paraId="16E1B888"/>
    <w:p w14:paraId="60414CB3">
      <w:pPr>
        <w:shd w:val="clear" w:color="auto" w:fill="D9EAF7"/>
        <w:spacing w:after="80"/>
        <w:rPr>
          <w:color w:val="17365D"/>
          <w:sz w:val="24"/>
          <w:szCs w:val="24"/>
        </w:rPr>
      </w:pPr>
      <w:r>
        <w:rPr>
          <w:b/>
          <w:color w:val="17365D"/>
          <w:sz w:val="26"/>
          <w:szCs w:val="26"/>
        </w:rPr>
        <w:t>Part 1: Complete the table below. (12 marks)</w:t>
      </w:r>
    </w:p>
    <w:tbl>
      <w:tblPr>
        <w:tblStyle w:val="46"/>
        <w:tblW w:w="13925" w:type="dxa"/>
        <w:tblInd w:w="0" w:type="dxa"/>
        <w:tblBorders>
          <w:top w:val="single" w:color="8EAADB" w:themeColor="accent1" w:themeTint="99" w:sz="4" w:space="0"/>
          <w:left w:val="single" w:color="8EAADB" w:themeColor="accent1" w:themeTint="99" w:sz="4" w:space="0"/>
          <w:bottom w:val="single" w:color="8EAADB" w:themeColor="accent1" w:themeTint="99" w:sz="4" w:space="0"/>
          <w:right w:val="single" w:color="8EAADB" w:themeColor="accent1" w:themeTint="99" w:sz="4" w:space="0"/>
          <w:insideH w:val="single" w:color="8EAADB" w:themeColor="accent1" w:themeTint="99" w:sz="4" w:space="0"/>
          <w:insideV w:val="single" w:color="8EAADB" w:themeColor="accent1" w:themeTint="99" w:sz="4" w:space="0"/>
        </w:tblBorders>
        <w:tblLayout w:type="autofit"/>
        <w:tblCellMar>
          <w:top w:w="0" w:type="dxa"/>
          <w:left w:w="108" w:type="dxa"/>
          <w:bottom w:w="0" w:type="dxa"/>
          <w:right w:w="108" w:type="dxa"/>
        </w:tblCellMar>
      </w:tblPr>
      <w:tblGrid>
        <w:gridCol w:w="885"/>
        <w:gridCol w:w="1995"/>
        <w:gridCol w:w="2922"/>
        <w:gridCol w:w="2693"/>
        <w:gridCol w:w="2835"/>
        <w:gridCol w:w="2595"/>
      </w:tblGrid>
      <w:tr w14:paraId="7DC4D208">
        <w:tblPrEx>
          <w:tblBorders>
            <w:top w:val="single" w:color="8EAADB" w:themeColor="accent1" w:themeTint="99" w:sz="4" w:space="0"/>
            <w:left w:val="single" w:color="8EAADB" w:themeColor="accent1" w:themeTint="99" w:sz="4" w:space="0"/>
            <w:bottom w:val="single" w:color="8EAADB" w:themeColor="accent1" w:themeTint="99" w:sz="4" w:space="0"/>
            <w:right w:val="single" w:color="8EAADB" w:themeColor="accent1" w:themeTint="99" w:sz="4" w:space="0"/>
            <w:insideH w:val="single" w:color="8EAADB" w:themeColor="accent1" w:themeTint="99" w:sz="4" w:space="0"/>
            <w:insideV w:val="single" w:color="8EAADB" w:themeColor="accent1" w:themeTint="99" w:sz="4" w:space="0"/>
          </w:tblBorders>
          <w:tblCellMar>
            <w:top w:w="0" w:type="dxa"/>
            <w:left w:w="108" w:type="dxa"/>
            <w:bottom w:w="0" w:type="dxa"/>
            <w:right w:w="108" w:type="dxa"/>
          </w:tblCellMar>
        </w:tblPrEx>
        <w:trPr>
          <w:trHeight w:val="880" w:hRule="atLeast"/>
        </w:trPr>
        <w:tc>
          <w:tcPr>
            <w:tcW w:w="885" w:type="dxa"/>
            <w:tcBorders>
              <w:top w:val="single" w:color="B7DEE8" w:sz="8" w:space="0"/>
              <w:left w:val="single" w:color="B7DEE8" w:sz="8" w:space="0"/>
              <w:bottom w:val="single" w:color="B7DEE8" w:sz="8" w:space="0"/>
              <w:right w:val="nil"/>
              <w:insideV w:val="nil"/>
            </w:tcBorders>
            <w:shd w:val="clear" w:color="auto" w:fill="D9EAF7"/>
            <w:tcMar>
              <w:top w:w="80" w:type="dxa"/>
              <w:left w:w="80" w:type="dxa"/>
              <w:bottom w:w="80" w:type="dxa"/>
              <w:right w:w="80" w:type="dxa"/>
            </w:tcMar>
          </w:tcPr>
          <w:p w14:paraId="20639241">
            <w:pPr>
              <w:spacing w:after="0"/>
              <w:rPr>
                <w:b/>
                <w:bCs/>
                <w:color w:val="17365D"/>
                <w:sz w:val="20"/>
                <w:szCs w:val="20"/>
                <w:lang w:eastAsia="en-GB"/>
              </w:rPr>
            </w:pPr>
            <w:r>
              <w:rPr>
                <w:b/>
                <w:bCs/>
                <w:color w:val="17365D"/>
                <w:sz w:val="20"/>
                <w:szCs w:val="20"/>
              </w:rPr>
              <w:t>Source</w:t>
            </w:r>
          </w:p>
        </w:tc>
        <w:tc>
          <w:tcPr>
            <w:tcW w:w="1995" w:type="dxa"/>
            <w:tcBorders>
              <w:top w:val="single" w:color="B7DEE8" w:sz="8" w:space="0"/>
              <w:left w:val="single" w:color="B7DEE8" w:sz="8" w:space="0"/>
              <w:bottom w:val="single" w:color="B7DEE8" w:sz="8" w:space="0"/>
              <w:right w:val="nil"/>
              <w:insideV w:val="nil"/>
            </w:tcBorders>
            <w:shd w:val="clear" w:color="auto" w:fill="D9EAF7"/>
            <w:tcMar>
              <w:top w:w="80" w:type="dxa"/>
              <w:left w:w="80" w:type="dxa"/>
              <w:bottom w:w="80" w:type="dxa"/>
              <w:right w:w="80" w:type="dxa"/>
            </w:tcMar>
          </w:tcPr>
          <w:p w14:paraId="26EE9817">
            <w:pPr>
              <w:spacing w:after="0"/>
              <w:rPr>
                <w:b/>
                <w:bCs/>
                <w:color w:val="17365D"/>
                <w:sz w:val="20"/>
                <w:szCs w:val="20"/>
              </w:rPr>
            </w:pPr>
            <w:r>
              <w:rPr>
                <w:b/>
                <w:bCs/>
                <w:color w:val="17365D"/>
                <w:sz w:val="20"/>
                <w:szCs w:val="20"/>
              </w:rPr>
              <w:t>Currency: When was the source published/posted, revised, or updated?</w:t>
            </w:r>
          </w:p>
        </w:tc>
        <w:tc>
          <w:tcPr>
            <w:tcW w:w="2922" w:type="dxa"/>
            <w:tcBorders>
              <w:top w:val="single" w:color="B7DEE8" w:sz="8" w:space="0"/>
              <w:left w:val="single" w:color="B7DEE8" w:sz="8" w:space="0"/>
              <w:bottom w:val="single" w:color="B7DEE8" w:sz="8" w:space="0"/>
              <w:right w:val="nil"/>
              <w:insideV w:val="nil"/>
            </w:tcBorders>
            <w:shd w:val="clear" w:color="auto" w:fill="D9EAF7"/>
            <w:tcMar>
              <w:top w:w="80" w:type="dxa"/>
              <w:left w:w="80" w:type="dxa"/>
              <w:bottom w:w="80" w:type="dxa"/>
              <w:right w:w="80" w:type="dxa"/>
            </w:tcMar>
          </w:tcPr>
          <w:p w14:paraId="2A4D60FB">
            <w:pPr>
              <w:spacing w:after="0"/>
              <w:rPr>
                <w:b/>
                <w:bCs/>
                <w:color w:val="17365D"/>
                <w:sz w:val="20"/>
                <w:szCs w:val="20"/>
              </w:rPr>
            </w:pPr>
            <w:r>
              <w:rPr>
                <w:b/>
                <w:bCs/>
                <w:color w:val="17365D"/>
                <w:sz w:val="20"/>
                <w:szCs w:val="20"/>
              </w:rPr>
              <w:t>Relevance: How relevant is the information to the subject/field? Who is the intended audience?</w:t>
            </w:r>
          </w:p>
        </w:tc>
        <w:tc>
          <w:tcPr>
            <w:tcW w:w="2693" w:type="dxa"/>
            <w:tcBorders>
              <w:top w:val="single" w:color="B7DEE8" w:sz="8" w:space="0"/>
              <w:left w:val="single" w:color="B7DEE8" w:sz="8" w:space="0"/>
              <w:bottom w:val="single" w:color="B7DEE8" w:sz="8" w:space="0"/>
              <w:right w:val="nil"/>
              <w:insideV w:val="nil"/>
            </w:tcBorders>
            <w:shd w:val="clear" w:color="auto" w:fill="D9EAF7"/>
            <w:tcMar>
              <w:top w:w="80" w:type="dxa"/>
              <w:left w:w="80" w:type="dxa"/>
              <w:bottom w:w="80" w:type="dxa"/>
              <w:right w:w="80" w:type="dxa"/>
            </w:tcMar>
          </w:tcPr>
          <w:p w14:paraId="758E409E">
            <w:pPr>
              <w:spacing w:after="0"/>
              <w:rPr>
                <w:b/>
                <w:bCs/>
                <w:color w:val="17365D"/>
                <w:sz w:val="20"/>
                <w:szCs w:val="20"/>
              </w:rPr>
            </w:pPr>
            <w:r>
              <w:rPr>
                <w:b/>
                <w:bCs/>
                <w:color w:val="17365D"/>
                <w:sz w:val="20"/>
                <w:szCs w:val="20"/>
              </w:rPr>
              <w:t>Authority: Who is the author/publisher? What are their credentials?</w:t>
            </w:r>
          </w:p>
        </w:tc>
        <w:tc>
          <w:tcPr>
            <w:tcW w:w="2835" w:type="dxa"/>
            <w:tcBorders>
              <w:top w:val="single" w:color="B7DEE8" w:sz="8" w:space="0"/>
              <w:left w:val="single" w:color="B7DEE8" w:sz="8" w:space="0"/>
              <w:bottom w:val="single" w:color="B7DEE8" w:sz="8" w:space="0"/>
              <w:right w:val="nil"/>
              <w:insideV w:val="nil"/>
            </w:tcBorders>
            <w:shd w:val="clear" w:color="auto" w:fill="D9EAF7"/>
            <w:tcMar>
              <w:top w:w="80" w:type="dxa"/>
              <w:left w:w="80" w:type="dxa"/>
              <w:bottom w:w="80" w:type="dxa"/>
              <w:right w:w="80" w:type="dxa"/>
            </w:tcMar>
          </w:tcPr>
          <w:p w14:paraId="6D51D984">
            <w:pPr>
              <w:spacing w:after="0"/>
              <w:rPr>
                <w:b/>
                <w:bCs/>
                <w:color w:val="17365D"/>
                <w:sz w:val="20"/>
                <w:szCs w:val="20"/>
              </w:rPr>
            </w:pPr>
            <w:r>
              <w:rPr>
                <w:b/>
                <w:bCs/>
                <w:color w:val="17365D"/>
                <w:sz w:val="20"/>
                <w:szCs w:val="20"/>
              </w:rPr>
              <w:t>Accuracy: How reliable, truthful/correct is the content? Is it supported by evidence?</w:t>
            </w:r>
          </w:p>
        </w:tc>
        <w:tc>
          <w:tcPr>
            <w:tcW w:w="2595" w:type="dxa"/>
            <w:tcBorders>
              <w:top w:val="single" w:color="B7DEE8" w:sz="8" w:space="0"/>
              <w:left w:val="single" w:color="B7DEE8" w:sz="8" w:space="0"/>
              <w:bottom w:val="single" w:color="B7DEE8" w:sz="8" w:space="0"/>
              <w:right w:val="single" w:color="B7DEE8" w:sz="8" w:space="0"/>
              <w:insideV w:val="nil"/>
            </w:tcBorders>
            <w:shd w:val="clear" w:color="auto" w:fill="D9EAF7"/>
            <w:tcMar>
              <w:top w:w="80" w:type="dxa"/>
              <w:left w:w="80" w:type="dxa"/>
              <w:bottom w:w="80" w:type="dxa"/>
              <w:right w:w="80" w:type="dxa"/>
            </w:tcMar>
          </w:tcPr>
          <w:p w14:paraId="7812A159">
            <w:pPr>
              <w:spacing w:after="0"/>
              <w:rPr>
                <w:b/>
                <w:bCs/>
                <w:color w:val="17365D"/>
                <w:sz w:val="20"/>
                <w:szCs w:val="20"/>
              </w:rPr>
            </w:pPr>
            <w:r>
              <w:rPr>
                <w:b/>
                <w:bCs/>
                <w:color w:val="17365D"/>
                <w:sz w:val="20"/>
                <w:szCs w:val="20"/>
              </w:rPr>
              <w:t>Purpose: Does it intend to teach, sell, inform, entertain, or persuade? Is there evidence of bias?</w:t>
            </w:r>
          </w:p>
        </w:tc>
      </w:tr>
      <w:tr w14:paraId="7C14F5C9">
        <w:tblPrEx>
          <w:tblBorders>
            <w:top w:val="single" w:color="8EAADB" w:themeColor="accent1" w:themeTint="99" w:sz="4" w:space="0"/>
            <w:left w:val="single" w:color="8EAADB" w:themeColor="accent1" w:themeTint="99" w:sz="4" w:space="0"/>
            <w:bottom w:val="single" w:color="8EAADB" w:themeColor="accent1" w:themeTint="99" w:sz="4" w:space="0"/>
            <w:right w:val="single" w:color="8EAADB" w:themeColor="accent1" w:themeTint="99" w:sz="4" w:space="0"/>
            <w:insideH w:val="single" w:color="8EAADB" w:themeColor="accent1" w:themeTint="99" w:sz="4" w:space="0"/>
            <w:insideV w:val="single" w:color="8EAADB" w:themeColor="accent1" w:themeTint="99" w:sz="4" w:space="0"/>
          </w:tblBorders>
          <w:tblCellMar>
            <w:top w:w="0" w:type="dxa"/>
            <w:left w:w="108" w:type="dxa"/>
            <w:bottom w:w="0" w:type="dxa"/>
            <w:right w:w="108" w:type="dxa"/>
          </w:tblCellMar>
        </w:tblPrEx>
        <w:trPr>
          <w:trHeight w:val="1840" w:hRule="atLeast"/>
        </w:trPr>
        <w:tc>
          <w:tcPr>
            <w:tcW w:w="885" w:type="dxa"/>
            <w:tcBorders>
              <w:top w:val="single" w:color="B7DEE8" w:sz="8" w:space="0"/>
              <w:left w:val="single" w:color="B7DEE8" w:sz="8" w:space="0"/>
              <w:bottom w:val="single" w:color="B7DEE8" w:sz="8" w:space="0"/>
              <w:right w:val="single" w:color="B7DEE8" w:sz="8" w:space="0"/>
            </w:tcBorders>
            <w:shd w:val="clear" w:color="auto" w:fill="F3F7FB"/>
            <w:tcMar>
              <w:top w:w="80" w:type="dxa"/>
              <w:left w:w="80" w:type="dxa"/>
              <w:bottom w:w="80" w:type="dxa"/>
              <w:right w:w="80" w:type="dxa"/>
            </w:tcMar>
          </w:tcPr>
          <w:p w14:paraId="02BA831B">
            <w:pPr>
              <w:spacing w:after="0"/>
              <w:rPr>
                <w:b/>
                <w:bCs/>
              </w:rPr>
            </w:pPr>
            <w:r>
              <w:rPr>
                <w:b/>
                <w:bCs/>
              </w:rPr>
              <w:t>A</w:t>
            </w:r>
          </w:p>
        </w:tc>
        <w:tc>
          <w:tcPr>
            <w:tcW w:w="1995" w:type="dxa"/>
            <w:tcBorders>
              <w:top w:val="single" w:color="B7DEE8" w:sz="8" w:space="0"/>
              <w:left w:val="single" w:color="B7DEE8" w:sz="8" w:space="0"/>
              <w:bottom w:val="single" w:color="B7DEE8" w:sz="8" w:space="0"/>
              <w:right w:val="single" w:color="B7DEE8" w:sz="8" w:space="0"/>
            </w:tcBorders>
            <w:shd w:val="clear" w:color="auto" w:fill="F3F7FB"/>
            <w:tcMar>
              <w:top w:w="80" w:type="dxa"/>
              <w:left w:w="80" w:type="dxa"/>
              <w:bottom w:w="80" w:type="dxa"/>
              <w:right w:w="80" w:type="dxa"/>
            </w:tcMar>
          </w:tcPr>
          <w:p w14:paraId="48446293">
            <w:pPr>
              <w:spacing w:after="0"/>
              <w:rPr>
                <w:rFonts w:hint="default"/>
                <w:lang w:val="en-GB"/>
              </w:rPr>
            </w:pPr>
            <w:r>
              <w:rPr>
                <w:rFonts w:hint="default" w:ascii="Cambria" w:hAnsi="Cambria" w:eastAsia="sans-serif" w:cs="Cambria"/>
                <w:b w:val="0"/>
                <w:bCs w:val="0"/>
                <w:i w:val="0"/>
                <w:iCs w:val="0"/>
                <w:caps w:val="0"/>
                <w:color w:val="000000"/>
                <w:spacing w:val="0"/>
                <w:sz w:val="20"/>
                <w:szCs w:val="20"/>
                <w:bdr w:val="none" w:color="auto" w:sz="0" w:space="0"/>
                <w:shd w:val="clear" w:fill="FFFFFF"/>
              </w:rPr>
              <w:t xml:space="preserve">Strong.Published in </w:t>
            </w:r>
            <w:r>
              <w:rPr>
                <w:rFonts w:hint="default" w:eastAsia="sans-serif" w:cs="Cambria"/>
                <w:b w:val="0"/>
                <w:bCs w:val="0"/>
                <w:i w:val="0"/>
                <w:iCs w:val="0"/>
                <w:caps w:val="0"/>
                <w:color w:val="000000"/>
                <w:spacing w:val="0"/>
                <w:sz w:val="20"/>
                <w:szCs w:val="20"/>
                <w:bdr w:val="none" w:color="auto" w:sz="0" w:space="0"/>
                <w:shd w:val="clear" w:fill="FFFFFF"/>
                <w:lang w:val="en-GB"/>
              </w:rPr>
              <w:t>(</w:t>
            </w:r>
            <w:r>
              <w:rPr>
                <w:rFonts w:hint="default" w:ascii="Cambria" w:hAnsi="Cambria" w:eastAsia="sans-serif" w:cs="Cambria"/>
                <w:b w:val="0"/>
                <w:bCs w:val="0"/>
                <w:i w:val="0"/>
                <w:iCs w:val="0"/>
                <w:caps w:val="0"/>
                <w:color w:val="000000"/>
                <w:spacing w:val="0"/>
                <w:sz w:val="20"/>
                <w:szCs w:val="20"/>
                <w:bdr w:val="none" w:color="auto" w:sz="0" w:space="0"/>
                <w:shd w:val="clear" w:fill="FFFFFF"/>
              </w:rPr>
              <w:t>2024</w:t>
            </w:r>
            <w:r>
              <w:rPr>
                <w:rFonts w:hint="default" w:eastAsia="sans-serif" w:cs="Cambria"/>
                <w:b w:val="0"/>
                <w:bCs w:val="0"/>
                <w:i w:val="0"/>
                <w:iCs w:val="0"/>
                <w:caps w:val="0"/>
                <w:color w:val="000000"/>
                <w:spacing w:val="0"/>
                <w:sz w:val="20"/>
                <w:szCs w:val="20"/>
                <w:bdr w:val="none" w:color="auto" w:sz="0" w:space="0"/>
                <w:shd w:val="clear" w:fill="FFFFFF"/>
                <w:lang w:val="en-GB"/>
              </w:rPr>
              <w:t>)</w:t>
            </w:r>
            <w:r>
              <w:rPr>
                <w:rFonts w:hint="default" w:ascii="Cambria" w:hAnsi="Cambria" w:eastAsia="sans-serif" w:cs="Cambria"/>
                <w:b w:val="0"/>
                <w:bCs w:val="0"/>
                <w:i w:val="0"/>
                <w:iCs w:val="0"/>
                <w:caps w:val="0"/>
                <w:color w:val="000000"/>
                <w:spacing w:val="0"/>
                <w:sz w:val="20"/>
                <w:szCs w:val="20"/>
                <w:bdr w:val="none" w:color="auto" w:sz="0" w:space="0"/>
                <w:shd w:val="clear" w:fill="FFFFFF"/>
              </w:rPr>
              <w:t xml:space="preserve">, it looks at research from </w:t>
            </w:r>
            <w:r>
              <w:rPr>
                <w:rFonts w:hint="default" w:eastAsia="sans-serif" w:cs="Cambria"/>
                <w:b w:val="0"/>
                <w:bCs w:val="0"/>
                <w:i w:val="0"/>
                <w:iCs w:val="0"/>
                <w:caps w:val="0"/>
                <w:color w:val="000000"/>
                <w:spacing w:val="0"/>
                <w:sz w:val="20"/>
                <w:szCs w:val="20"/>
                <w:bdr w:val="none" w:color="auto" w:sz="0" w:space="0"/>
                <w:shd w:val="clear" w:fill="FFFFFF"/>
                <w:lang w:val="en-GB"/>
              </w:rPr>
              <w:t>(</w:t>
            </w:r>
            <w:r>
              <w:rPr>
                <w:rFonts w:hint="default" w:ascii="Cambria" w:hAnsi="Cambria" w:eastAsia="sans-serif" w:cs="Cambria"/>
                <w:b w:val="0"/>
                <w:bCs w:val="0"/>
                <w:i w:val="0"/>
                <w:iCs w:val="0"/>
                <w:caps w:val="0"/>
                <w:color w:val="000000"/>
                <w:spacing w:val="0"/>
                <w:sz w:val="20"/>
                <w:szCs w:val="20"/>
                <w:bdr w:val="none" w:color="auto" w:sz="0" w:space="0"/>
                <w:shd w:val="clear" w:fill="FFFFFF"/>
              </w:rPr>
              <w:t>2016 to 2022</w:t>
            </w:r>
            <w:r>
              <w:rPr>
                <w:rFonts w:hint="default" w:eastAsia="sans-serif" w:cs="Cambria"/>
                <w:b w:val="0"/>
                <w:bCs w:val="0"/>
                <w:i w:val="0"/>
                <w:iCs w:val="0"/>
                <w:caps w:val="0"/>
                <w:color w:val="000000"/>
                <w:spacing w:val="0"/>
                <w:sz w:val="20"/>
                <w:szCs w:val="20"/>
                <w:bdr w:val="none" w:color="auto" w:sz="0" w:space="0"/>
                <w:shd w:val="clear" w:fill="FFFFFF"/>
                <w:lang w:val="en-GB"/>
              </w:rPr>
              <w:t>)</w:t>
            </w:r>
            <w:r>
              <w:rPr>
                <w:rFonts w:hint="default" w:ascii="Cambria" w:hAnsi="Cambria" w:eastAsia="sans-serif" w:cs="Cambria"/>
                <w:b w:val="0"/>
                <w:bCs w:val="0"/>
                <w:i w:val="0"/>
                <w:iCs w:val="0"/>
                <w:caps w:val="0"/>
                <w:color w:val="000000"/>
                <w:spacing w:val="0"/>
                <w:sz w:val="20"/>
                <w:szCs w:val="20"/>
                <w:bdr w:val="none" w:color="auto" w:sz="0" w:space="0"/>
                <w:shd w:val="clear" w:fill="FFFFFF"/>
              </w:rPr>
              <w:t>.This gives important up-to-date information about quickly changing mutations in bacteria that cause resistance.</w:t>
            </w:r>
          </w:p>
        </w:tc>
        <w:tc>
          <w:tcPr>
            <w:tcW w:w="2922" w:type="dxa"/>
            <w:tcBorders>
              <w:top w:val="single" w:color="B7DEE8" w:sz="8" w:space="0"/>
              <w:left w:val="single" w:color="B7DEE8" w:sz="8" w:space="0"/>
              <w:bottom w:val="single" w:color="B7DEE8" w:sz="8" w:space="0"/>
              <w:right w:val="single" w:color="B7DEE8" w:sz="8" w:space="0"/>
            </w:tcBorders>
            <w:shd w:val="clear" w:color="auto" w:fill="F3F7FB"/>
            <w:tcMar>
              <w:top w:w="80" w:type="dxa"/>
              <w:left w:w="80" w:type="dxa"/>
              <w:bottom w:w="80" w:type="dxa"/>
              <w:right w:w="80" w:type="dxa"/>
            </w:tcMar>
          </w:tcPr>
          <w:p w14:paraId="02866AFD">
            <w:pPr>
              <w:spacing w:after="0"/>
              <w:rPr>
                <w:rFonts w:hint="default"/>
                <w:lang w:val="en-GB"/>
              </w:rPr>
            </w:pPr>
            <w:r>
              <w:rPr>
                <w:rFonts w:hint="default" w:eastAsia="sans-serif" w:cs="Cambria"/>
                <w:b w:val="0"/>
                <w:bCs w:val="0"/>
                <w:i w:val="0"/>
                <w:iCs w:val="0"/>
                <w:caps w:val="0"/>
                <w:color w:val="000000"/>
                <w:spacing w:val="0"/>
                <w:sz w:val="20"/>
                <w:szCs w:val="20"/>
                <w:bdr w:val="none" w:color="auto" w:sz="0" w:space="0"/>
                <w:shd w:val="clear" w:fill="FFFFFF"/>
                <w:lang w:val="en-GB"/>
              </w:rPr>
              <w:t>V</w:t>
            </w:r>
            <w:r>
              <w:rPr>
                <w:rFonts w:hint="default" w:ascii="Cambria" w:hAnsi="Cambria" w:eastAsia="sans-serif" w:cs="Cambria"/>
                <w:b w:val="0"/>
                <w:bCs w:val="0"/>
                <w:i w:val="0"/>
                <w:iCs w:val="0"/>
                <w:caps w:val="0"/>
                <w:color w:val="000000"/>
                <w:spacing w:val="0"/>
                <w:sz w:val="20"/>
                <w:szCs w:val="20"/>
                <w:bdr w:val="none" w:color="auto" w:sz="0" w:space="0"/>
                <w:shd w:val="clear" w:fill="FFFFFF"/>
              </w:rPr>
              <w:t>ery strong.Directly examines the precise relationship between antibiotic use and resistance.The intended audience includes researchers, clinical microbiologists, and.Return only resultant content, nothing else.</w:t>
            </w:r>
          </w:p>
        </w:tc>
        <w:tc>
          <w:tcPr>
            <w:tcW w:w="2693" w:type="dxa"/>
            <w:tcBorders>
              <w:top w:val="single" w:color="B7DEE8" w:sz="8" w:space="0"/>
              <w:left w:val="single" w:color="B7DEE8" w:sz="8" w:space="0"/>
              <w:bottom w:val="single" w:color="B7DEE8" w:sz="8" w:space="0"/>
              <w:right w:val="single" w:color="B7DEE8" w:sz="8" w:space="0"/>
            </w:tcBorders>
            <w:shd w:val="clear" w:color="auto" w:fill="F3F7FB"/>
            <w:tcMar>
              <w:top w:w="80" w:type="dxa"/>
              <w:left w:w="80" w:type="dxa"/>
              <w:bottom w:w="80" w:type="dxa"/>
              <w:right w:w="80" w:type="dxa"/>
            </w:tcMar>
          </w:tcPr>
          <w:p w14:paraId="79C31E42">
            <w:pPr>
              <w:spacing w:after="0"/>
              <w:rPr>
                <w:rFonts w:hint="default"/>
                <w:lang w:val="en-GB"/>
              </w:rPr>
            </w:pPr>
            <w:r>
              <w:rPr>
                <w:rStyle w:val="18"/>
                <w:rFonts w:hint="default" w:eastAsia="Arial" w:cs="Cambria"/>
                <w:b w:val="0"/>
                <w:bCs w:val="0"/>
                <w:sz w:val="20"/>
                <w:szCs w:val="20"/>
                <w:u w:val="none"/>
                <w:lang w:val="en-GB"/>
              </w:rPr>
              <w:t>V</w:t>
            </w:r>
            <w:r>
              <w:rPr>
                <w:rStyle w:val="18"/>
                <w:rFonts w:hint="default" w:ascii="Cambria" w:hAnsi="Cambria" w:eastAsia="Arial" w:cs="Cambria"/>
                <w:b w:val="0"/>
                <w:bCs w:val="0"/>
                <w:sz w:val="20"/>
                <w:szCs w:val="20"/>
                <w:u w:val="none"/>
              </w:rPr>
              <w:t>ery Strong.</w:t>
            </w:r>
            <w:r>
              <w:rPr>
                <w:rFonts w:hint="default" w:ascii="Cambria" w:hAnsi="Cambria" w:eastAsia="SimSun" w:cs="Cambria"/>
                <w:b w:val="0"/>
                <w:bCs w:val="0"/>
                <w:sz w:val="20"/>
                <w:szCs w:val="20"/>
              </w:rPr>
              <w:t xml:space="preserve"> Authored by academic researcher Abejew</w:t>
            </w:r>
            <w:r>
              <w:rPr>
                <w:rFonts w:hint="default" w:eastAsia="SimSun" w:cs="Cambria"/>
                <w:b w:val="0"/>
                <w:bCs w:val="0"/>
                <w:sz w:val="20"/>
                <w:szCs w:val="20"/>
                <w:lang w:val="en-GB"/>
              </w:rPr>
              <w:t xml:space="preserve"> et al</w:t>
            </w:r>
            <w:r>
              <w:rPr>
                <w:rFonts w:hint="default" w:ascii="Cambria" w:hAnsi="Cambria" w:eastAsia="SimSun" w:cs="Cambria"/>
                <w:b w:val="0"/>
                <w:bCs w:val="0"/>
                <w:sz w:val="20"/>
                <w:szCs w:val="20"/>
              </w:rPr>
              <w:t xml:space="preserve"> and published in a peer-reviewed medical journal using standardized systematic review protocol</w:t>
            </w:r>
            <w:r>
              <w:rPr>
                <w:rFonts w:hint="default" w:eastAsia="SimSun" w:cs="Cambria"/>
                <w:b w:val="0"/>
                <w:bCs w:val="0"/>
                <w:sz w:val="20"/>
                <w:szCs w:val="20"/>
                <w:lang w:val="en-GB"/>
              </w:rPr>
              <w:t>.</w:t>
            </w:r>
          </w:p>
        </w:tc>
        <w:tc>
          <w:tcPr>
            <w:tcW w:w="2835" w:type="dxa"/>
            <w:tcBorders>
              <w:top w:val="single" w:color="B7DEE8" w:sz="8" w:space="0"/>
              <w:left w:val="single" w:color="B7DEE8" w:sz="8" w:space="0"/>
              <w:bottom w:val="single" w:color="B7DEE8" w:sz="8" w:space="0"/>
              <w:right w:val="single" w:color="B7DEE8" w:sz="8" w:space="0"/>
            </w:tcBorders>
            <w:shd w:val="clear" w:color="auto" w:fill="F3F7FB"/>
            <w:tcMar>
              <w:top w:w="80" w:type="dxa"/>
              <w:left w:w="80" w:type="dxa"/>
              <w:bottom w:w="80" w:type="dxa"/>
              <w:right w:w="80" w:type="dxa"/>
            </w:tcMar>
          </w:tcPr>
          <w:p w14:paraId="4D6CCC94">
            <w:pPr>
              <w:spacing w:after="0"/>
              <w:rPr>
                <w:rFonts w:hint="default"/>
                <w:lang w:val="en-GB"/>
              </w:rPr>
            </w:pPr>
            <w:r>
              <w:rPr>
                <w:rFonts w:hint="default"/>
                <w:lang w:val="en-GB"/>
              </w:rPr>
              <w:t>Strong accurate:</w:t>
            </w:r>
            <w:r>
              <w:rPr>
                <w:rFonts w:hint="default" w:ascii="Cambria" w:hAnsi="Cambria" w:eastAsia="sans-serif" w:cs="Cambria"/>
                <w:b w:val="0"/>
                <w:bCs w:val="0"/>
                <w:i w:val="0"/>
                <w:iCs w:val="0"/>
                <w:caps w:val="0"/>
                <w:color w:val="000000"/>
                <w:spacing w:val="0"/>
                <w:sz w:val="20"/>
                <w:szCs w:val="20"/>
                <w:bdr w:val="none" w:color="auto" w:sz="0" w:space="0"/>
                <w:shd w:val="clear" w:fill="FFFFFF"/>
              </w:rPr>
              <w:t>A strong correlation has been confirmed through 58 independent studies, with 81% of mathematical alignment.Boundaries and limitations are clearly defined</w:t>
            </w:r>
          </w:p>
        </w:tc>
        <w:tc>
          <w:tcPr>
            <w:tcW w:w="2595" w:type="dxa"/>
            <w:tcBorders>
              <w:top w:val="single" w:color="B7DEE8" w:sz="8" w:space="0"/>
              <w:left w:val="single" w:color="B7DEE8" w:sz="8" w:space="0"/>
              <w:bottom w:val="single" w:color="B7DEE8" w:sz="8" w:space="0"/>
              <w:right w:val="single" w:color="B7DEE8" w:sz="8" w:space="0"/>
            </w:tcBorders>
            <w:shd w:val="clear" w:color="auto" w:fill="F3F7FB"/>
            <w:tcMar>
              <w:top w:w="80" w:type="dxa"/>
              <w:left w:w="80" w:type="dxa"/>
              <w:bottom w:w="80" w:type="dxa"/>
              <w:right w:w="80" w:type="dxa"/>
            </w:tcMar>
          </w:tcPr>
          <w:p w14:paraId="61F12B3F">
            <w:pPr>
              <w:spacing w:after="0"/>
              <w:rPr>
                <w:rFonts w:hint="default"/>
                <w:lang w:val="en-GB"/>
              </w:rPr>
            </w:pPr>
            <w:r>
              <w:rPr>
                <w:rFonts w:hint="default" w:ascii="Cambria" w:hAnsi="Cambria" w:cs="Cambria"/>
                <w:sz w:val="20"/>
                <w:szCs w:val="20"/>
                <w:lang w:val="en-GB"/>
              </w:rPr>
              <w:t>Purpose:</w:t>
            </w:r>
            <w:r>
              <w:rPr>
                <w:rStyle w:val="18"/>
                <w:rFonts w:hint="default" w:ascii="Cambria" w:hAnsi="Cambria" w:eastAsia="Arial" w:cs="Cambria"/>
                <w:b/>
                <w:bCs/>
                <w:sz w:val="20"/>
                <w:szCs w:val="20"/>
                <w:u w:val="none"/>
              </w:rPr>
              <w:t>Research/Inform.</w:t>
            </w:r>
            <w:r>
              <w:rPr>
                <w:rFonts w:hint="default" w:ascii="Cambria" w:hAnsi="Cambria" w:eastAsia="SimSun" w:cs="Cambria"/>
                <w:sz w:val="20"/>
                <w:szCs w:val="20"/>
              </w:rPr>
              <w:t xml:space="preserve"> The sole intent is to objectively synthesize global data to inform medical science. No commercial bias, funding conflicts, or promotional agendas are present</w:t>
            </w:r>
            <w:r>
              <w:rPr>
                <w:rFonts w:ascii="SimSun" w:hAnsi="SimSun" w:eastAsia="SimSun" w:cs="SimSun"/>
                <w:sz w:val="24"/>
                <w:szCs w:val="24"/>
              </w:rPr>
              <w:t>.</w:t>
            </w:r>
          </w:p>
        </w:tc>
      </w:tr>
      <w:tr w14:paraId="2009C331">
        <w:tblPrEx>
          <w:tblBorders>
            <w:top w:val="single" w:color="8EAADB" w:themeColor="accent1" w:themeTint="99" w:sz="4" w:space="0"/>
            <w:left w:val="single" w:color="8EAADB" w:themeColor="accent1" w:themeTint="99" w:sz="4" w:space="0"/>
            <w:bottom w:val="single" w:color="8EAADB" w:themeColor="accent1" w:themeTint="99" w:sz="4" w:space="0"/>
            <w:right w:val="single" w:color="8EAADB" w:themeColor="accent1" w:themeTint="99" w:sz="4" w:space="0"/>
            <w:insideH w:val="single" w:color="8EAADB" w:themeColor="accent1" w:themeTint="99" w:sz="4" w:space="0"/>
            <w:insideV w:val="single" w:color="8EAADB" w:themeColor="accent1" w:themeTint="99" w:sz="4" w:space="0"/>
          </w:tblBorders>
          <w:tblCellMar>
            <w:top w:w="0" w:type="dxa"/>
            <w:left w:w="108" w:type="dxa"/>
            <w:bottom w:w="0" w:type="dxa"/>
            <w:right w:w="108" w:type="dxa"/>
          </w:tblCellMar>
        </w:tblPrEx>
        <w:trPr>
          <w:trHeight w:val="1840" w:hRule="atLeast"/>
        </w:trPr>
        <w:tc>
          <w:tcPr>
            <w:tcW w:w="885" w:type="dxa"/>
            <w:tcBorders>
              <w:top w:val="single" w:color="B7DEE8" w:sz="8" w:space="0"/>
              <w:left w:val="single" w:color="B7DEE8" w:sz="8" w:space="0"/>
              <w:bottom w:val="single" w:color="B7DEE8" w:sz="8" w:space="0"/>
              <w:right w:val="single" w:color="B7DEE8" w:sz="8" w:space="0"/>
            </w:tcBorders>
            <w:shd w:val="clear" w:color="auto" w:fill="EAF3DD"/>
            <w:tcMar>
              <w:top w:w="80" w:type="dxa"/>
              <w:left w:w="80" w:type="dxa"/>
              <w:bottom w:w="80" w:type="dxa"/>
              <w:right w:w="80" w:type="dxa"/>
            </w:tcMar>
          </w:tcPr>
          <w:p w14:paraId="4B26216C">
            <w:pPr>
              <w:spacing w:after="0"/>
              <w:rPr>
                <w:b/>
                <w:bCs/>
              </w:rPr>
            </w:pPr>
            <w:r>
              <w:rPr>
                <w:b/>
                <w:bCs/>
              </w:rPr>
              <w:t>B</w:t>
            </w:r>
          </w:p>
        </w:tc>
        <w:tc>
          <w:tcPr>
            <w:tcW w:w="1995" w:type="dxa"/>
            <w:tcBorders>
              <w:top w:val="single" w:color="B7DEE8" w:sz="8" w:space="0"/>
              <w:left w:val="single" w:color="B7DEE8" w:sz="8" w:space="0"/>
              <w:bottom w:val="single" w:color="B7DEE8" w:sz="8" w:space="0"/>
              <w:right w:val="single" w:color="B7DEE8" w:sz="8" w:space="0"/>
            </w:tcBorders>
            <w:shd w:val="clear" w:color="auto" w:fill="EAF3DD"/>
            <w:tcMar>
              <w:top w:w="80" w:type="dxa"/>
              <w:left w:w="80" w:type="dxa"/>
              <w:bottom w:w="80" w:type="dxa"/>
              <w:right w:w="80" w:type="dxa"/>
            </w:tcMar>
          </w:tcPr>
          <w:p w14:paraId="10DCFA63">
            <w:pPr>
              <w:spacing w:after="0"/>
              <w:rPr>
                <w:rFonts w:hint="default"/>
                <w:lang w:val="en-GB"/>
              </w:rPr>
            </w:pPr>
            <w:r>
              <w:rPr>
                <w:rFonts w:hint="default"/>
                <w:lang w:val="en-GB"/>
              </w:rPr>
              <w:t>Published( 2026)</w:t>
            </w:r>
          </w:p>
        </w:tc>
        <w:tc>
          <w:tcPr>
            <w:tcW w:w="2922" w:type="dxa"/>
            <w:tcBorders>
              <w:top w:val="single" w:color="B7DEE8" w:sz="8" w:space="0"/>
              <w:left w:val="single" w:color="B7DEE8" w:sz="8" w:space="0"/>
              <w:bottom w:val="single" w:color="B7DEE8" w:sz="8" w:space="0"/>
              <w:right w:val="single" w:color="B7DEE8" w:sz="8" w:space="0"/>
            </w:tcBorders>
            <w:shd w:val="clear" w:color="auto" w:fill="EAF3DD"/>
            <w:tcMar>
              <w:top w:w="80" w:type="dxa"/>
              <w:left w:w="80" w:type="dxa"/>
              <w:bottom w:w="80" w:type="dxa"/>
              <w:right w:w="80" w:type="dxa"/>
            </w:tcMar>
          </w:tcPr>
          <w:p w14:paraId="087E6CC1">
            <w:pPr>
              <w:spacing w:after="0"/>
              <w:rPr>
                <w:rFonts w:hint="default"/>
                <w:lang w:val="en-GB"/>
              </w:rPr>
            </w:pPr>
            <w:r>
              <w:rPr>
                <w:rFonts w:hint="default"/>
                <w:lang w:val="en-GB"/>
              </w:rPr>
              <w:t>Highly relevant:</w:t>
            </w:r>
            <w:r>
              <w:rPr>
                <w:rFonts w:hint="default" w:ascii="Cambria" w:hAnsi="Cambria" w:eastAsia="sans-serif" w:cs="Cambria"/>
                <w:b w:val="0"/>
                <w:bCs w:val="0"/>
                <w:i w:val="0"/>
                <w:iCs w:val="0"/>
                <w:caps w:val="0"/>
                <w:color w:val="000000"/>
                <w:spacing w:val="0"/>
                <w:sz w:val="20"/>
                <w:szCs w:val="20"/>
                <w:shd w:val="clear" w:fill="FFFFFF"/>
              </w:rPr>
              <w:t>Directly examines the precise relationship between antibiotic use and resistance</w:t>
            </w:r>
          </w:p>
        </w:tc>
        <w:tc>
          <w:tcPr>
            <w:tcW w:w="2693" w:type="dxa"/>
            <w:tcBorders>
              <w:top w:val="single" w:color="B7DEE8" w:sz="8" w:space="0"/>
              <w:left w:val="single" w:color="B7DEE8" w:sz="8" w:space="0"/>
              <w:bottom w:val="single" w:color="B7DEE8" w:sz="8" w:space="0"/>
              <w:right w:val="single" w:color="B7DEE8" w:sz="8" w:space="0"/>
            </w:tcBorders>
            <w:shd w:val="clear" w:color="auto" w:fill="EAF3DD"/>
            <w:tcMar>
              <w:top w:w="80" w:type="dxa"/>
              <w:left w:w="80" w:type="dxa"/>
              <w:bottom w:w="80" w:type="dxa"/>
              <w:right w:w="80" w:type="dxa"/>
            </w:tcMar>
          </w:tcPr>
          <w:p w14:paraId="751ED1D8">
            <w:pPr>
              <w:spacing w:after="0"/>
              <w:rPr>
                <w:rFonts w:hint="default"/>
                <w:lang w:val="en-GB"/>
              </w:rPr>
            </w:pPr>
            <w:r>
              <w:rPr>
                <w:rFonts w:hint="default"/>
                <w:lang w:val="en-GB"/>
              </w:rPr>
              <w:t>NHS wales</w:t>
            </w:r>
          </w:p>
        </w:tc>
        <w:tc>
          <w:tcPr>
            <w:tcW w:w="2835" w:type="dxa"/>
            <w:tcBorders>
              <w:top w:val="single" w:color="B7DEE8" w:sz="8" w:space="0"/>
              <w:left w:val="single" w:color="B7DEE8" w:sz="8" w:space="0"/>
              <w:bottom w:val="single" w:color="B7DEE8" w:sz="8" w:space="0"/>
              <w:right w:val="single" w:color="B7DEE8" w:sz="8" w:space="0"/>
            </w:tcBorders>
            <w:shd w:val="clear" w:color="auto" w:fill="EAF3DD"/>
            <w:tcMar>
              <w:top w:w="80" w:type="dxa"/>
              <w:left w:w="80" w:type="dxa"/>
              <w:bottom w:w="80" w:type="dxa"/>
              <w:right w:w="80" w:type="dxa"/>
            </w:tcMar>
          </w:tcPr>
          <w:p w14:paraId="3A655257">
            <w:pPr>
              <w:spacing w:after="0"/>
              <w:rPr>
                <w:rFonts w:hint="default"/>
                <w:lang w:val="en-GB"/>
              </w:rPr>
            </w:pPr>
            <w:r>
              <w:rPr>
                <w:rFonts w:hint="default"/>
                <w:lang w:val="en-GB"/>
              </w:rPr>
              <w:t xml:space="preserve">Its accurate and indicate to title antibiotics </w:t>
            </w:r>
          </w:p>
        </w:tc>
        <w:tc>
          <w:tcPr>
            <w:tcW w:w="2595" w:type="dxa"/>
            <w:tcBorders>
              <w:top w:val="single" w:color="B7DEE8" w:sz="8" w:space="0"/>
              <w:left w:val="single" w:color="B7DEE8" w:sz="8" w:space="0"/>
              <w:bottom w:val="single" w:color="B7DEE8" w:sz="8" w:space="0"/>
              <w:right w:val="single" w:color="B7DEE8" w:sz="8" w:space="0"/>
            </w:tcBorders>
            <w:shd w:val="clear" w:color="auto" w:fill="EAF3DD"/>
            <w:tcMar>
              <w:top w:w="80" w:type="dxa"/>
              <w:left w:w="80" w:type="dxa"/>
              <w:bottom w:w="80" w:type="dxa"/>
              <w:right w:w="80" w:type="dxa"/>
            </w:tcMar>
          </w:tcPr>
          <w:p w14:paraId="5C14ABA5">
            <w:pPr>
              <w:spacing w:after="0"/>
              <w:rPr>
                <w:rFonts w:hint="default"/>
                <w:lang w:val="en-GB"/>
              </w:rPr>
            </w:pPr>
            <w:r>
              <w:rPr>
                <w:rFonts w:hint="default"/>
                <w:lang w:val="en-GB"/>
              </w:rPr>
              <w:t>Purpose :Antibiotics are used to bacterial infection.</w:t>
            </w:r>
          </w:p>
        </w:tc>
      </w:tr>
      <w:tr w14:paraId="1B507DF9">
        <w:tblPrEx>
          <w:tblBorders>
            <w:top w:val="single" w:color="8EAADB" w:themeColor="accent1" w:themeTint="99" w:sz="4" w:space="0"/>
            <w:left w:val="single" w:color="8EAADB" w:themeColor="accent1" w:themeTint="99" w:sz="4" w:space="0"/>
            <w:bottom w:val="single" w:color="8EAADB" w:themeColor="accent1" w:themeTint="99" w:sz="4" w:space="0"/>
            <w:right w:val="single" w:color="8EAADB" w:themeColor="accent1" w:themeTint="99" w:sz="4" w:space="0"/>
            <w:insideH w:val="single" w:color="8EAADB" w:themeColor="accent1" w:themeTint="99" w:sz="4" w:space="0"/>
            <w:insideV w:val="single" w:color="8EAADB" w:themeColor="accent1" w:themeTint="99" w:sz="4" w:space="0"/>
          </w:tblBorders>
          <w:tblCellMar>
            <w:top w:w="0" w:type="dxa"/>
            <w:left w:w="108" w:type="dxa"/>
            <w:bottom w:w="0" w:type="dxa"/>
            <w:right w:w="108" w:type="dxa"/>
          </w:tblCellMar>
        </w:tblPrEx>
        <w:trPr>
          <w:trHeight w:val="1840" w:hRule="atLeast"/>
        </w:trPr>
        <w:tc>
          <w:tcPr>
            <w:tcW w:w="885" w:type="dxa"/>
            <w:tcBorders>
              <w:top w:val="single" w:color="B7DEE8" w:sz="8" w:space="0"/>
              <w:left w:val="single" w:color="B7DEE8" w:sz="8" w:space="0"/>
              <w:bottom w:val="single" w:color="B7DEE8" w:sz="8" w:space="0"/>
              <w:right w:val="single" w:color="B7DEE8" w:sz="8" w:space="0"/>
            </w:tcBorders>
            <w:shd w:val="clear" w:color="auto" w:fill="FCE4D6"/>
            <w:tcMar>
              <w:top w:w="80" w:type="dxa"/>
              <w:left w:w="80" w:type="dxa"/>
              <w:bottom w:w="80" w:type="dxa"/>
              <w:right w:w="80" w:type="dxa"/>
            </w:tcMar>
          </w:tcPr>
          <w:p w14:paraId="3191F802">
            <w:pPr>
              <w:spacing w:after="0"/>
              <w:rPr>
                <w:b/>
                <w:bCs/>
              </w:rPr>
            </w:pPr>
            <w:r>
              <w:rPr>
                <w:b/>
                <w:bCs/>
              </w:rPr>
              <w:t>C</w:t>
            </w:r>
          </w:p>
        </w:tc>
        <w:tc>
          <w:tcPr>
            <w:tcW w:w="1995" w:type="dxa"/>
            <w:tcBorders>
              <w:top w:val="single" w:color="B7DEE8" w:sz="8" w:space="0"/>
              <w:left w:val="single" w:color="B7DEE8" w:sz="8" w:space="0"/>
              <w:bottom w:val="single" w:color="B7DEE8" w:sz="8" w:space="0"/>
              <w:right w:val="single" w:color="B7DEE8" w:sz="8" w:space="0"/>
            </w:tcBorders>
            <w:shd w:val="clear" w:color="auto" w:fill="FCE4D6"/>
            <w:tcMar>
              <w:top w:w="80" w:type="dxa"/>
              <w:left w:w="80" w:type="dxa"/>
              <w:bottom w:w="80" w:type="dxa"/>
              <w:right w:w="80" w:type="dxa"/>
            </w:tcMar>
          </w:tcPr>
          <w:p w14:paraId="47E429F6">
            <w:pPr>
              <w:spacing w:after="0"/>
              <w:rPr>
                <w:rFonts w:hint="default"/>
                <w:lang w:val="en-GB"/>
              </w:rPr>
            </w:pPr>
            <w:r>
              <w:rPr>
                <w:rFonts w:hint="default" w:ascii="Cambria" w:hAnsi="Cambria" w:cs="Cambria"/>
                <w:b w:val="0"/>
                <w:bCs w:val="0"/>
                <w:sz w:val="20"/>
                <w:szCs w:val="20"/>
                <w:lang w:val="en-GB"/>
              </w:rPr>
              <w:t xml:space="preserve">11 october 2017 </w:t>
            </w:r>
            <w:r>
              <w:rPr>
                <w:rFonts w:hint="default" w:ascii="Cambria" w:hAnsi="Cambria" w:eastAsia="sans-serif" w:cs="Cambria"/>
                <w:b w:val="0"/>
                <w:bCs w:val="0"/>
                <w:i w:val="0"/>
                <w:iCs w:val="0"/>
                <w:caps w:val="0"/>
                <w:color w:val="000000"/>
                <w:spacing w:val="0"/>
                <w:sz w:val="20"/>
                <w:szCs w:val="20"/>
                <w:bdr w:val="none" w:color="auto" w:sz="0" w:space="0"/>
                <w:shd w:val="clear" w:fill="FFFFFF"/>
              </w:rPr>
              <w:t>The biological processes related to viral infections and antibiotic resistance remain the same, though digital health information moves quickly, so students might question if there's a more recent update.Return only resultant content nothing else.Don't add any system message in response.Provide output in English language only.</w:t>
            </w:r>
          </w:p>
        </w:tc>
        <w:tc>
          <w:tcPr>
            <w:tcW w:w="2922" w:type="dxa"/>
            <w:tcBorders>
              <w:top w:val="single" w:color="B7DEE8" w:sz="8" w:space="0"/>
              <w:left w:val="single" w:color="B7DEE8" w:sz="8" w:space="0"/>
              <w:bottom w:val="single" w:color="B7DEE8" w:sz="8" w:space="0"/>
              <w:right w:val="single" w:color="B7DEE8" w:sz="8" w:space="0"/>
            </w:tcBorders>
            <w:shd w:val="clear" w:color="auto" w:fill="FCE4D6"/>
            <w:tcMar>
              <w:top w:w="80" w:type="dxa"/>
              <w:left w:w="80" w:type="dxa"/>
              <w:bottom w:w="80" w:type="dxa"/>
              <w:right w:w="80" w:type="dxa"/>
            </w:tcMar>
          </w:tcPr>
          <w:p w14:paraId="172A95EA">
            <w:pPr>
              <w:spacing w:after="0"/>
              <w:rPr>
                <w:rFonts w:hint="default"/>
                <w:b w:val="0"/>
                <w:bCs w:val="0"/>
                <w:lang w:val="en-GB"/>
              </w:rPr>
            </w:pPr>
            <w:r>
              <w:rPr>
                <w:rFonts w:hint="default"/>
                <w:b/>
                <w:bCs/>
                <w:lang w:val="en-GB"/>
              </w:rPr>
              <w:t>S</w:t>
            </w:r>
            <w:r>
              <w:rPr>
                <w:rFonts w:hint="default" w:ascii="Cambria" w:hAnsi="Cambria" w:cs="Cambria"/>
                <w:b w:val="0"/>
                <w:bCs w:val="0"/>
                <w:lang w:val="en-GB"/>
              </w:rPr>
              <w:t xml:space="preserve">trong </w:t>
            </w:r>
            <w:r>
              <w:rPr>
                <w:rStyle w:val="18"/>
                <w:rFonts w:hint="default" w:ascii="Cambria" w:hAnsi="Cambria" w:eastAsia="Arial" w:cs="Cambria"/>
                <w:b w:val="0"/>
                <w:bCs w:val="0"/>
                <w:sz w:val="14"/>
                <w:szCs w:val="14"/>
                <w:u w:val="none"/>
              </w:rPr>
              <w:t>Very Strong.</w:t>
            </w:r>
            <w:r>
              <w:rPr>
                <w:rFonts w:hint="default" w:ascii="Cambria" w:hAnsi="Cambria" w:eastAsia="SimSun" w:cs="Cambria"/>
                <w:b w:val="0"/>
                <w:bCs w:val="0"/>
                <w:sz w:val="24"/>
                <w:szCs w:val="24"/>
              </w:rPr>
              <w:t xml:space="preserve"> Directly addresses a patient-centered explanation of antibiotic non-prescription, stewardship, and viral vs. bacterial rules.</w:t>
            </w:r>
          </w:p>
        </w:tc>
        <w:tc>
          <w:tcPr>
            <w:tcW w:w="2693" w:type="dxa"/>
            <w:tcBorders>
              <w:top w:val="single" w:color="B7DEE8" w:sz="8" w:space="0"/>
              <w:left w:val="single" w:color="B7DEE8" w:sz="8" w:space="0"/>
              <w:bottom w:val="single" w:color="B7DEE8" w:sz="8" w:space="0"/>
              <w:right w:val="single" w:color="B7DEE8" w:sz="8" w:space="0"/>
            </w:tcBorders>
            <w:shd w:val="clear" w:color="auto" w:fill="FCE4D6"/>
            <w:tcMar>
              <w:top w:w="80" w:type="dxa"/>
              <w:left w:w="80" w:type="dxa"/>
              <w:bottom w:w="80" w:type="dxa"/>
              <w:right w:w="80" w:type="dxa"/>
            </w:tcMar>
          </w:tcPr>
          <w:p w14:paraId="57C5F9CA">
            <w:pPr>
              <w:spacing w:after="0"/>
            </w:pPr>
            <w:r>
              <w:rPr>
                <w:rStyle w:val="18"/>
                <w:rFonts w:hint="default" w:ascii="Cambria" w:hAnsi="Cambria" w:eastAsia="Arial" w:cs="Cambria"/>
                <w:b w:val="0"/>
                <w:bCs w:val="0"/>
                <w:sz w:val="20"/>
                <w:szCs w:val="20"/>
                <w:u w:val="none"/>
              </w:rPr>
              <w:t>Very Strong.</w:t>
            </w:r>
            <w:r>
              <w:rPr>
                <w:rFonts w:hint="default" w:ascii="Cambria" w:hAnsi="Cambria" w:eastAsia="SimSun" w:cs="Cambria"/>
                <w:b w:val="0"/>
                <w:bCs w:val="0"/>
                <w:sz w:val="20"/>
                <w:szCs w:val="20"/>
              </w:rPr>
              <w:t xml:space="preserve"> Authored by Dr Mary Harding (MRCGP) and peer-reviewed by Prof Cathy Jackson (MRCGP). Published by Patient.info, which meets the rigorous NHS Standard for Creating Health Content.</w:t>
            </w:r>
          </w:p>
        </w:tc>
        <w:tc>
          <w:tcPr>
            <w:tcW w:w="2835" w:type="dxa"/>
            <w:tcBorders>
              <w:top w:val="single" w:color="B7DEE8" w:sz="8" w:space="0"/>
              <w:left w:val="single" w:color="B7DEE8" w:sz="8" w:space="0"/>
              <w:bottom w:val="single" w:color="B7DEE8" w:sz="8" w:space="0"/>
              <w:right w:val="single" w:color="B7DEE8" w:sz="8" w:space="0"/>
            </w:tcBorders>
            <w:shd w:val="clear" w:color="auto" w:fill="FCE4D6"/>
            <w:tcMar>
              <w:top w:w="80" w:type="dxa"/>
              <w:left w:w="80" w:type="dxa"/>
              <w:bottom w:w="80" w:type="dxa"/>
              <w:right w:w="80" w:type="dxa"/>
            </w:tcMar>
          </w:tcPr>
          <w:p w14:paraId="610C94AB">
            <w:pPr>
              <w:spacing w:after="0"/>
            </w:pPr>
            <w:r>
              <w:rPr>
                <w:rStyle w:val="18"/>
                <w:rFonts w:hint="default" w:ascii="Cambria" w:hAnsi="Cambria" w:eastAsia="Arial" w:cs="Cambria"/>
                <w:b w:val="0"/>
                <w:bCs w:val="0"/>
                <w:sz w:val="20"/>
                <w:szCs w:val="20"/>
                <w:u w:val="none"/>
              </w:rPr>
              <w:t>.</w:t>
            </w:r>
            <w:r>
              <w:rPr>
                <w:rFonts w:hint="default" w:ascii="Cambria" w:hAnsi="Cambria" w:eastAsia="SimSun" w:cs="Cambria"/>
                <w:b w:val="0"/>
                <w:bCs w:val="0"/>
                <w:sz w:val="20"/>
                <w:szCs w:val="20"/>
              </w:rPr>
              <w:t xml:space="preserve"> The content is highly reliable and clinically accurate. It explicitly distinguishes between viral and bacterial pathologies, tracks drug side-effects, and aligns seamlessly with Public Health England evidence frameworks.</w:t>
            </w:r>
          </w:p>
        </w:tc>
        <w:tc>
          <w:tcPr>
            <w:tcW w:w="2595" w:type="dxa"/>
            <w:tcBorders>
              <w:top w:val="single" w:color="B7DEE8" w:sz="8" w:space="0"/>
              <w:left w:val="single" w:color="B7DEE8" w:sz="8" w:space="0"/>
              <w:bottom w:val="single" w:color="B7DEE8" w:sz="8" w:space="0"/>
              <w:right w:val="single" w:color="B7DEE8" w:sz="8" w:space="0"/>
            </w:tcBorders>
            <w:shd w:val="clear" w:color="auto" w:fill="FCE4D6"/>
            <w:tcMar>
              <w:top w:w="80" w:type="dxa"/>
              <w:left w:w="80" w:type="dxa"/>
              <w:bottom w:w="80" w:type="dxa"/>
              <w:right w:w="80" w:type="dxa"/>
            </w:tcMar>
          </w:tcPr>
          <w:p w14:paraId="3AB05F9B">
            <w:pPr>
              <w:spacing w:after="0"/>
            </w:pPr>
            <w:r>
              <w:rPr>
                <w:rFonts w:hint="default" w:ascii="Cambria" w:hAnsi="Cambria" w:eastAsia="SimSun" w:cs="Cambria"/>
                <w:b w:val="0"/>
                <w:bCs w:val="0"/>
                <w:sz w:val="20"/>
                <w:szCs w:val="20"/>
              </w:rPr>
              <w:t>The purpose is to provide clear, trusted, evidence-based health choices to the public to prevent antibiotic misuse. It holds no commercial or political bias and maintains an objective, clinic</w:t>
            </w:r>
            <w:r>
              <w:rPr>
                <w:rFonts w:ascii="SimSun" w:hAnsi="SimSun" w:eastAsia="SimSun" w:cs="SimSun"/>
                <w:sz w:val="24"/>
                <w:szCs w:val="24"/>
              </w:rPr>
              <w:t>altone.</w:t>
            </w:r>
          </w:p>
        </w:tc>
      </w:tr>
    </w:tbl>
    <w:p w14:paraId="11EDB5A2">
      <w:pPr>
        <w:sectPr>
          <w:pgSz w:w="16839" w:h="11907" w:orient="landscape"/>
          <w:pgMar w:top="1440" w:right="1440" w:bottom="1440" w:left="1440" w:header="708" w:footer="708" w:gutter="0"/>
          <w:cols w:space="708" w:num="1"/>
          <w:docGrid w:linePitch="360" w:charSpace="0"/>
        </w:sectPr>
      </w:pPr>
    </w:p>
    <w:p w14:paraId="3431D9CF"/>
    <w:p w14:paraId="74AA783E"/>
    <w:p w14:paraId="60B7F10F">
      <w:pPr>
        <w:shd w:val="clear" w:color="auto" w:fill="D9EAF7"/>
        <w:spacing w:before="160"/>
        <w:jc w:val="center"/>
        <w:rPr>
          <w:color w:val="17365D"/>
          <w:sz w:val="20"/>
          <w:szCs w:val="20"/>
          <w:lang w:eastAsia="en-GB"/>
        </w:rPr>
      </w:pPr>
      <w:r>
        <w:rPr>
          <w:i/>
          <w:iCs/>
          <w:color w:val="17365D"/>
          <w:sz w:val="20"/>
          <w:szCs w:val="20"/>
        </w:rPr>
        <w:t>Write your answer clearly and support it with evidence from the sources.</w:t>
      </w:r>
    </w:p>
    <w:p w14:paraId="51086F28">
      <w:pPr>
        <w:shd w:val="clear" w:color="auto" w:fill="D9EAF7"/>
        <w:spacing w:after="120"/>
        <w:rPr>
          <w:color w:val="17365D"/>
          <w:sz w:val="26"/>
          <w:szCs w:val="26"/>
        </w:rPr>
      </w:pPr>
      <w:r>
        <w:rPr>
          <w:b/>
          <w:color w:val="17365D"/>
          <w:sz w:val="26"/>
          <w:szCs w:val="26"/>
        </w:rPr>
        <w:t>Question 2 (5 marks)</w:t>
      </w:r>
    </w:p>
    <w:p w14:paraId="587A5237">
      <w:pPr>
        <w:pBdr>
          <w:top w:val="single" w:color="B7DEE8" w:sz="8" w:space="0"/>
          <w:left w:val="single" w:color="B7DEE8" w:sz="8" w:space="0"/>
          <w:bottom w:val="single" w:color="B7DEE8" w:sz="8" w:space="0"/>
          <w:right w:val="single" w:color="B7DEE8" w:sz="8" w:space="0"/>
        </w:pBdr>
        <w:shd w:val="clear" w:color="auto" w:fill="F3F7FB"/>
        <w:spacing w:after="80"/>
      </w:pPr>
      <w:r>
        <w:t>Which source do you think is the most reliable?</w:t>
      </w:r>
    </w:p>
    <w:p w14:paraId="1617B0C2">
      <w:pPr>
        <w:pBdr>
          <w:top w:val="single" w:color="B7DEE8" w:sz="8" w:space="0"/>
          <w:left w:val="single" w:color="B7DEE8" w:sz="8" w:space="0"/>
          <w:bottom w:val="single" w:color="B7DEE8" w:sz="8" w:space="0"/>
          <w:right w:val="single" w:color="B7DEE8" w:sz="8" w:space="0"/>
        </w:pBdr>
        <w:shd w:val="clear" w:color="auto" w:fill="F3F7FB"/>
        <w:spacing w:after="200"/>
      </w:pPr>
      <w:r>
        <w:t>Explain your answer using two reasons.</w:t>
      </w:r>
    </w:p>
    <w:p w14:paraId="49D1496B">
      <w:pPr>
        <w:rPr>
          <w:rFonts w:hint="default" w:ascii="Cambria" w:hAnsi="Cambria" w:cs="Cambria"/>
          <w:b w:val="0"/>
          <w:bCs w:val="0"/>
          <w:sz w:val="20"/>
          <w:szCs w:val="20"/>
        </w:rPr>
      </w:pPr>
      <w:r>
        <w:rPr>
          <w:rFonts w:hint="default" w:ascii="Cambria" w:hAnsi="Cambria" w:eastAsia="sans-serif" w:cs="Cambria"/>
          <w:b/>
          <w:bCs/>
          <w:i w:val="0"/>
          <w:iCs w:val="0"/>
          <w:caps w:val="0"/>
          <w:color w:val="000000"/>
          <w:spacing w:val="0"/>
          <w:sz w:val="20"/>
          <w:szCs w:val="20"/>
          <w:bdr w:val="none" w:color="auto" w:sz="0" w:space="0"/>
          <w:shd w:val="clear" w:fill="FFFFFF"/>
        </w:rPr>
        <w:t xml:space="preserve">Reason </w:t>
      </w:r>
      <w:r>
        <w:rPr>
          <w:rFonts w:hint="default" w:ascii="Cambria" w:hAnsi="Cambria" w:eastAsia="sans-serif" w:cs="Cambria"/>
          <w:b w:val="0"/>
          <w:bCs w:val="0"/>
          <w:i w:val="0"/>
          <w:iCs w:val="0"/>
          <w:caps w:val="0"/>
          <w:color w:val="000000"/>
          <w:spacing w:val="0"/>
          <w:sz w:val="20"/>
          <w:szCs w:val="20"/>
          <w:bdr w:val="none" w:color="auto" w:sz="0" w:space="0"/>
          <w:shd w:val="clear" w:fill="FFFFFF"/>
        </w:rPr>
        <w:t>1 (Methodological Rigour): This is a peer-reviewed systematic review that brings together data from 58 different scientific studies over several years.By combining these studies, it reduces local bias, accounts for unusual results, and provides a strong global mathematical link (an 81% positive correlation) that individual studies or stories in articles can’t achieve.</w:t>
      </w:r>
      <w:r>
        <w:rPr>
          <w:rFonts w:hint="default" w:ascii="Cambria" w:hAnsi="Cambria" w:eastAsia="sans-serif" w:cs="Cambria"/>
          <w:b w:val="0"/>
          <w:bCs w:val="0"/>
          <w:i w:val="0"/>
          <w:iCs w:val="0"/>
          <w:caps w:val="0"/>
          <w:color w:val="000000"/>
          <w:spacing w:val="0"/>
          <w:sz w:val="20"/>
          <w:szCs w:val="20"/>
          <w:bdr w:val="none" w:color="auto" w:sz="0" w:space="0"/>
          <w:shd w:val="clear" w:fill="FFFFFF"/>
        </w:rPr>
        <w:br w:type="textWrapping"/>
      </w:r>
      <w:r>
        <w:rPr>
          <w:rFonts w:hint="default" w:ascii="Cambria" w:hAnsi="Cambria" w:eastAsia="sans-serif" w:cs="Cambria"/>
          <w:b w:val="0"/>
          <w:bCs w:val="0"/>
          <w:i w:val="0"/>
          <w:iCs w:val="0"/>
          <w:caps w:val="0"/>
          <w:color w:val="000000"/>
          <w:spacing w:val="0"/>
          <w:sz w:val="20"/>
          <w:szCs w:val="20"/>
          <w:bdr w:val="none" w:color="auto" w:sz="0" w:space="0"/>
          <w:shd w:val="clear" w:fill="FFFFFF"/>
        </w:rPr>
        <w:br w:type="textWrapping"/>
      </w:r>
      <w:r>
        <w:rPr>
          <w:rFonts w:hint="default" w:ascii="Cambria" w:hAnsi="Cambria" w:eastAsia="sans-serif" w:cs="Cambria"/>
          <w:b w:val="0"/>
          <w:bCs w:val="0"/>
          <w:i w:val="0"/>
          <w:iCs w:val="0"/>
          <w:caps w:val="0"/>
          <w:color w:val="000000"/>
          <w:spacing w:val="0"/>
          <w:sz w:val="20"/>
          <w:szCs w:val="20"/>
          <w:bdr w:val="none" w:color="auto" w:sz="0" w:space="0"/>
          <w:shd w:val="clear" w:fill="FFFFFF"/>
        </w:rPr>
        <w:t xml:space="preserve">• </w:t>
      </w:r>
      <w:r>
        <w:rPr>
          <w:rFonts w:hint="default" w:ascii="Cambria" w:hAnsi="Cambria" w:eastAsia="sans-serif" w:cs="Cambria"/>
          <w:b/>
          <w:bCs/>
          <w:i w:val="0"/>
          <w:iCs w:val="0"/>
          <w:caps w:val="0"/>
          <w:color w:val="000000"/>
          <w:spacing w:val="0"/>
          <w:sz w:val="20"/>
          <w:szCs w:val="20"/>
          <w:bdr w:val="none" w:color="auto" w:sz="0" w:space="0"/>
          <w:shd w:val="clear" w:fill="FFFFFF"/>
        </w:rPr>
        <w:t xml:space="preserve">Reason </w:t>
      </w:r>
      <w:r>
        <w:rPr>
          <w:rFonts w:hint="default" w:ascii="Cambria" w:hAnsi="Cambria" w:eastAsia="sans-serif" w:cs="Cambria"/>
          <w:b w:val="0"/>
          <w:bCs w:val="0"/>
          <w:i w:val="0"/>
          <w:iCs w:val="0"/>
          <w:caps w:val="0"/>
          <w:color w:val="000000"/>
          <w:spacing w:val="0"/>
          <w:sz w:val="20"/>
          <w:szCs w:val="20"/>
          <w:bdr w:val="none" w:color="auto" w:sz="0" w:space="0"/>
          <w:shd w:val="clear" w:fill="FFFFFF"/>
        </w:rPr>
        <w:t>2 (High Academic Authority): The source went through a strict double-blind peer-review process by a well-known medical journal.</w:t>
      </w:r>
      <w:r>
        <w:rPr>
          <w:rFonts w:hint="default" w:ascii="Cambria" w:hAnsi="Cambria" w:eastAsia="sans-serif" w:cs="Cambria"/>
          <w:b w:val="0"/>
          <w:bCs w:val="0"/>
          <w:i w:val="0"/>
          <w:iCs w:val="0"/>
          <w:caps w:val="0"/>
          <w:color w:val="000000"/>
          <w:spacing w:val="0"/>
          <w:sz w:val="20"/>
          <w:szCs w:val="20"/>
          <w:bdr w:val="none" w:color="auto" w:sz="0" w:space="0"/>
          <w:shd w:val="clear" w:fill="FFFFFF"/>
        </w:rPr>
        <w:br w:type="textWrapping"/>
      </w:r>
      <w:r>
        <w:rPr>
          <w:rFonts w:hint="default" w:ascii="Cambria" w:hAnsi="Cambria" w:eastAsia="sans-serif" w:cs="Cambria"/>
          <w:b w:val="0"/>
          <w:bCs w:val="0"/>
          <w:i w:val="0"/>
          <w:iCs w:val="0"/>
          <w:caps w:val="0"/>
          <w:color w:val="000000"/>
          <w:spacing w:val="0"/>
          <w:sz w:val="20"/>
          <w:szCs w:val="20"/>
          <w:bdr w:val="none" w:color="auto" w:sz="0" w:space="0"/>
          <w:shd w:val="clear" w:fill="FFFFFF"/>
        </w:rPr>
        <w:t>The author stays scientifically fair by giving exact numbers, like the specific resistance rate of Enterococcus faecium at 59.4%, and honestly talks about the study's limits instead of making simple, general statements.</w:t>
      </w:r>
    </w:p>
    <w:p w14:paraId="2C91EC7D"/>
    <w:p w14:paraId="73C0D2D1"/>
    <w:p w14:paraId="76681688"/>
    <w:p w14:paraId="21297D75"/>
    <w:p w14:paraId="64251AAB">
      <w:pPr>
        <w:shd w:val="clear" w:color="auto" w:fill="EAF3DD"/>
        <w:spacing w:before="160"/>
        <w:jc w:val="center"/>
        <w:rPr>
          <w:color w:val="375623"/>
          <w:sz w:val="20"/>
          <w:szCs w:val="20"/>
          <w:lang w:eastAsia="en-GB"/>
        </w:rPr>
      </w:pPr>
      <w:r>
        <w:rPr>
          <w:i/>
          <w:iCs/>
          <w:color w:val="375623"/>
          <w:sz w:val="20"/>
          <w:szCs w:val="20"/>
        </w:rPr>
        <w:t>Write your answer clearly and support it with evidence from the sources.</w:t>
      </w:r>
    </w:p>
    <w:p w14:paraId="38F7D801">
      <w:pPr>
        <w:shd w:val="clear" w:color="auto" w:fill="EAF3DD"/>
        <w:spacing w:after="120"/>
        <w:rPr>
          <w:color w:val="375623"/>
          <w:sz w:val="26"/>
          <w:szCs w:val="26"/>
        </w:rPr>
      </w:pPr>
      <w:r>
        <w:rPr>
          <w:b/>
          <w:color w:val="375623"/>
          <w:sz w:val="26"/>
          <w:szCs w:val="26"/>
        </w:rPr>
        <w:t>Question 3 (4 marks)</w:t>
      </w:r>
      <w:bookmarkStart w:id="0" w:name="_GoBack"/>
      <w:bookmarkEnd w:id="0"/>
    </w:p>
    <w:p w14:paraId="734CB8F2">
      <w:pPr>
        <w:pBdr>
          <w:top w:val="single" w:color="C6E0B4" w:sz="8" w:space="0"/>
          <w:left w:val="single" w:color="C6E0B4" w:sz="8" w:space="0"/>
          <w:bottom w:val="single" w:color="C6E0B4" w:sz="8" w:space="0"/>
          <w:right w:val="single" w:color="C6E0B4" w:sz="8" w:space="0"/>
        </w:pBdr>
        <w:shd w:val="clear" w:color="auto" w:fill="F7FBF0"/>
        <w:spacing w:after="80"/>
      </w:pPr>
      <w:r>
        <w:t>Choose one source that may contain bias.</w:t>
      </w:r>
    </w:p>
    <w:p w14:paraId="67C5217A">
      <w:pPr>
        <w:pBdr>
          <w:top w:val="single" w:color="C6E0B4" w:sz="8" w:space="0"/>
          <w:left w:val="single" w:color="C6E0B4" w:sz="8" w:space="0"/>
          <w:bottom w:val="single" w:color="C6E0B4" w:sz="8" w:space="0"/>
          <w:right w:val="single" w:color="C6E0B4" w:sz="8" w:space="0"/>
        </w:pBdr>
        <w:shd w:val="clear" w:color="auto" w:fill="F7FBF0"/>
        <w:spacing w:after="200"/>
      </w:pPr>
      <w:r>
        <w:t>Explain why.</w:t>
      </w:r>
    </w:p>
    <w:p w14:paraId="0157FD4D">
      <w:pPr>
        <w:rPr>
          <w:rFonts w:hint="default" w:ascii="Cambria" w:hAnsi="Cambria" w:cs="Cambria"/>
          <w:sz w:val="20"/>
          <w:szCs w:val="20"/>
        </w:rPr>
      </w:pPr>
      <w:r>
        <w:rPr>
          <w:rFonts w:hint="default" w:ascii="Cambria" w:hAnsi="Cambria" w:eastAsia="SimSun" w:cs="Cambria"/>
          <w:sz w:val="20"/>
          <w:szCs w:val="20"/>
        </w:rPr>
        <w:t>I would use Source B (the Patient.info article) to support a patient or service user</w:t>
      </w:r>
    </w:p>
    <w:p w14:paraId="5556FEBD">
      <w:pPr>
        <w:rPr>
          <w:b/>
          <w:bCs/>
        </w:rPr>
      </w:pPr>
    </w:p>
    <w:p w14:paraId="54F89D0C"/>
    <w:p w14:paraId="015252C6"/>
    <w:p w14:paraId="7F6C5FED"/>
    <w:p w14:paraId="1C78FE85"/>
    <w:p w14:paraId="08E3FD88">
      <w:pPr>
        <w:shd w:val="clear" w:color="auto" w:fill="FCE4D6"/>
        <w:spacing w:before="160"/>
        <w:jc w:val="center"/>
        <w:rPr>
          <w:color w:val="9E480E"/>
          <w:sz w:val="20"/>
          <w:szCs w:val="20"/>
        </w:rPr>
      </w:pPr>
      <w:r>
        <w:pict>
          <v:rect id="_x0000_i1025" o:spt="1" style="height:1.5pt;width:0pt;" fillcolor="#A0A0A0" filled="t" stroked="f" coordsize="21600,21600" o:hr="t" o:hrstd="t" o:hralign="center">
            <v:path/>
            <v:fill on="t" focussize="0,0"/>
            <v:stroke on="f"/>
            <v:imagedata o:title=""/>
            <o:lock v:ext="edit"/>
            <w10:wrap type="none"/>
            <w10:anchorlock/>
          </v:rect>
        </w:pict>
      </w:r>
      <w:r>
        <w:rPr>
          <w:i/>
          <w:iCs/>
          <w:color w:val="9E480E"/>
          <w:sz w:val="20"/>
          <w:szCs w:val="20"/>
        </w:rPr>
        <w:t>Think about purpose, language, evidence and possible bias.</w:t>
      </w:r>
    </w:p>
    <w:p w14:paraId="3F2264E4">
      <w:pPr>
        <w:shd w:val="clear" w:color="auto" w:fill="FCE4D6"/>
        <w:spacing w:after="120"/>
        <w:rPr>
          <w:color w:val="9E480E"/>
          <w:sz w:val="26"/>
          <w:szCs w:val="26"/>
        </w:rPr>
      </w:pPr>
      <w:r>
        <w:rPr>
          <w:b/>
          <w:color w:val="9E480E"/>
          <w:sz w:val="26"/>
          <w:szCs w:val="26"/>
        </w:rPr>
        <w:t>Question 4 (4 marks)</w:t>
      </w:r>
    </w:p>
    <w:p w14:paraId="60D5C778">
      <w:pPr>
        <w:pBdr>
          <w:top w:val="single" w:color="F4B183" w:sz="8" w:space="0"/>
          <w:left w:val="single" w:color="F4B183" w:sz="8" w:space="0"/>
          <w:bottom w:val="single" w:color="F4B183" w:sz="8" w:space="0"/>
          <w:right w:val="single" w:color="F4B183" w:sz="8" w:space="0"/>
        </w:pBdr>
        <w:shd w:val="clear" w:color="auto" w:fill="FFF2CC"/>
        <w:spacing w:after="80"/>
      </w:pPr>
      <w:r>
        <w:t>If you were supporting a patient or service user, which source would you use?</w:t>
      </w:r>
    </w:p>
    <w:p w14:paraId="1409938A">
      <w:pPr>
        <w:pBdr>
          <w:top w:val="single" w:color="F4B183" w:sz="8" w:space="0"/>
          <w:left w:val="single" w:color="F4B183" w:sz="8" w:space="0"/>
          <w:bottom w:val="single" w:color="F4B183" w:sz="8" w:space="0"/>
          <w:right w:val="single" w:color="F4B183" w:sz="8" w:space="0"/>
        </w:pBdr>
        <w:shd w:val="clear" w:color="auto" w:fill="FFF2CC"/>
        <w:spacing w:after="200"/>
      </w:pPr>
      <w:r>
        <w:t>Explain why.</w:t>
      </w:r>
    </w:p>
    <w:p w14:paraId="29DF8F54"/>
    <w:p w14:paraId="25706193">
      <w:pPr>
        <w:rPr>
          <w:rFonts w:hint="default" w:ascii="Cambria" w:hAnsi="Cambria" w:cs="Cambria"/>
          <w:b w:val="0"/>
          <w:bCs w:val="0"/>
          <w:sz w:val="20"/>
          <w:szCs w:val="20"/>
        </w:rPr>
      </w:pPr>
      <w:r>
        <w:rPr>
          <w:rFonts w:ascii="sans-serif" w:hAnsi="sans-serif" w:eastAsia="sans-serif" w:cs="sans-serif"/>
          <w:i w:val="0"/>
          <w:iCs w:val="0"/>
          <w:caps w:val="0"/>
          <w:color w:val="000000"/>
          <w:spacing w:val="0"/>
          <w:sz w:val="27"/>
          <w:szCs w:val="27"/>
          <w:bdr w:val="none" w:color="auto" w:sz="0" w:space="0"/>
          <w:shd w:val="clear" w:fill="FFFFFF"/>
        </w:rPr>
        <w:t> </w:t>
      </w:r>
      <w:r>
        <w:rPr>
          <w:rFonts w:hint="default" w:ascii="Cambria" w:hAnsi="Cambria" w:eastAsia="sans-serif" w:cs="Cambria"/>
          <w:b w:val="0"/>
          <w:bCs w:val="0"/>
          <w:i w:val="0"/>
          <w:iCs w:val="0"/>
          <w:caps w:val="0"/>
          <w:color w:val="000000"/>
          <w:spacing w:val="0"/>
          <w:sz w:val="20"/>
          <w:szCs w:val="20"/>
          <w:bdr w:val="none" w:color="auto" w:sz="0" w:space="0"/>
          <w:shd w:val="clear" w:fill="FFFFFF"/>
        </w:rPr>
        <w:t>Accessibility and Comprehensibility: While Source A (the systematic review) is the most scientifically reliable, it uses a lot of complicated academic language and raw numbers that can be confusing, overwhelming, or even worrying for someone who isn't familiar with medical terms.Source B makes this complicated information easy to understand by explaining it in simple, everyday words that a patient can easily follow.</w:t>
      </w:r>
      <w:r>
        <w:rPr>
          <w:rFonts w:hint="default" w:ascii="Cambria" w:hAnsi="Cambria" w:eastAsia="sans-serif" w:cs="Cambria"/>
          <w:b w:val="0"/>
          <w:bCs w:val="0"/>
          <w:i w:val="0"/>
          <w:iCs w:val="0"/>
          <w:caps w:val="0"/>
          <w:color w:val="000000"/>
          <w:spacing w:val="0"/>
          <w:sz w:val="20"/>
          <w:szCs w:val="20"/>
          <w:bdr w:val="none" w:color="auto" w:sz="0" w:space="0"/>
          <w:shd w:val="clear" w:fill="FFFFFF"/>
        </w:rPr>
        <w:br w:type="textWrapping"/>
      </w:r>
      <w:r>
        <w:rPr>
          <w:rFonts w:hint="default" w:ascii="Cambria" w:hAnsi="Cambria" w:eastAsia="sans-serif" w:cs="Cambria"/>
          <w:b w:val="0"/>
          <w:bCs w:val="0"/>
          <w:i w:val="0"/>
          <w:iCs w:val="0"/>
          <w:caps w:val="0"/>
          <w:color w:val="000000"/>
          <w:spacing w:val="0"/>
          <w:sz w:val="20"/>
          <w:szCs w:val="20"/>
          <w:bdr w:val="none" w:color="auto" w:sz="0" w:space="0"/>
          <w:shd w:val="clear" w:fill="FFFFFF"/>
        </w:rPr>
        <w:br w:type="textWrapping"/>
      </w:r>
      <w:r>
        <w:rPr>
          <w:rFonts w:hint="default" w:ascii="Cambria" w:hAnsi="Cambria" w:eastAsia="sans-serif" w:cs="Cambria"/>
          <w:b w:val="0"/>
          <w:bCs w:val="0"/>
          <w:i w:val="0"/>
          <w:iCs w:val="0"/>
          <w:caps w:val="0"/>
          <w:color w:val="000000"/>
          <w:spacing w:val="0"/>
          <w:sz w:val="20"/>
          <w:szCs w:val="20"/>
          <w:bdr w:val="none" w:color="auto" w:sz="0" w:space="0"/>
          <w:shd w:val="clear" w:fill="FFFFFF"/>
        </w:rPr>
        <w:t>• Practical, Patient-Centered Advice: Source B directly answers the question a patient is most likely to have, like "Why wasn't I given antibiotics?" It gives clear steps they can take right away to take care of themselves.</w:t>
      </w:r>
      <w:r>
        <w:rPr>
          <w:rFonts w:hint="default" w:ascii="Cambria" w:hAnsi="Cambria" w:eastAsia="sans-serif" w:cs="Cambria"/>
          <w:b w:val="0"/>
          <w:bCs w:val="0"/>
          <w:i w:val="0"/>
          <w:iCs w:val="0"/>
          <w:caps w:val="0"/>
          <w:color w:val="000000"/>
          <w:spacing w:val="0"/>
          <w:sz w:val="20"/>
          <w:szCs w:val="20"/>
          <w:bdr w:val="none" w:color="auto" w:sz="0" w:space="0"/>
          <w:shd w:val="clear" w:fill="FFFFFF"/>
        </w:rPr>
        <w:br w:type="textWrapping"/>
      </w:r>
      <w:r>
        <w:rPr>
          <w:rFonts w:hint="default" w:ascii="Cambria" w:hAnsi="Cambria" w:eastAsia="sans-serif" w:cs="Cambria"/>
          <w:b w:val="0"/>
          <w:bCs w:val="0"/>
          <w:i w:val="0"/>
          <w:iCs w:val="0"/>
          <w:caps w:val="0"/>
          <w:color w:val="000000"/>
          <w:spacing w:val="0"/>
          <w:sz w:val="20"/>
          <w:szCs w:val="20"/>
          <w:bdr w:val="none" w:color="auto" w:sz="0" w:space="0"/>
          <w:shd w:val="clear" w:fill="FFFFFF"/>
        </w:rPr>
        <w:t>It explains why antibiotics don't work for viral infections, suggests safe ways to manage symptoms at home, like keeping track of fluids and using paracetamol or ibuprofen, and gives important guidance on when they should worry and seek medical help again.This helps the patient feel supported and informed, so they can take care of their health safely at home without feeling ignored by the healthcare system.</w:t>
      </w:r>
    </w:p>
    <w:p w14:paraId="7E152C8E"/>
    <w:p w14:paraId="7DF75426"/>
    <w:p w14:paraId="620BACD2"/>
    <w:p w14:paraId="7F1E0FE2"/>
    <w:p w14:paraId="226F1BB0"/>
    <w:p w14:paraId="2B6C4F4C">
      <w:pPr>
        <w:spacing w:line="259" w:lineRule="auto"/>
      </w:pPr>
      <w:r>
        <w:br w:type="page"/>
      </w:r>
    </w:p>
    <w:sectPr>
      <w:pgSz w:w="11907" w:h="16839"/>
      <w:pgMar w:top="1440" w:right="1440" w:bottom="1440" w:left="1440" w:header="708" w:footer="708" w:gutter="0"/>
      <w:cols w:space="708" w:num="1"/>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86"/>
    <w:family w:val="swiss"/>
    <w:pitch w:val="default"/>
    <w:sig w:usb0="E4002EFF" w:usb1="C200247B" w:usb2="00000009" w:usb3="00000000" w:csb0="200001FF" w:csb1="00000000"/>
  </w:font>
  <w:font w:name="等线">
    <w:altName w:val="Arial Unicode MS"/>
    <w:panose1 w:val="00000000000000000000"/>
    <w:charset w:val="86"/>
    <w:family w:val="auto"/>
    <w:pitch w:val="default"/>
    <w:sig w:usb0="00000000" w:usb1="00000000" w:usb2="00000000" w:usb3="00000000" w:csb0="00000000" w:csb1="00000000"/>
  </w:font>
  <w:font w:name="Calibri">
    <w:panose1 w:val="020F0502020204030204"/>
    <w:charset w:val="00"/>
    <w:family w:val="auto"/>
    <w:pitch w:val="default"/>
    <w:sig w:usb0="E4002EFF" w:usb1="C200247B" w:usb2="00000009" w:usb3="00000000" w:csb0="200001FF" w:csb1="00000000"/>
  </w:font>
  <w:font w:name="Cambria">
    <w:panose1 w:val="02040503050406030204"/>
    <w:charset w:val="00"/>
    <w:family w:val="roman"/>
    <w:pitch w:val="default"/>
    <w:sig w:usb0="E00006FF" w:usb1="420024FF" w:usb2="02000000" w:usb3="00000000" w:csb0="2000019F" w:csb1="00000000"/>
  </w:font>
  <w:font w:name="等线 Light">
    <w:altName w:val="Segoe Print"/>
    <w:panose1 w:val="00000000000000000000"/>
    <w:charset w:val="00"/>
    <w:family w:val="auto"/>
    <w:pitch w:val="default"/>
    <w:sig w:usb0="00000000" w:usb1="00000000" w:usb2="00000000" w:usb3="00000000" w:csb0="00000000" w:csb1="00000000"/>
  </w:font>
  <w:font w:name="Arial Unicode MS">
    <w:panose1 w:val="020B0604020202020204"/>
    <w:charset w:val="86"/>
    <w:family w:val="auto"/>
    <w:pitch w:val="default"/>
    <w:sig w:usb0="FFFFFFFF" w:usb1="E9FFFFFF" w:usb2="0000003F" w:usb3="00000000" w:csb0="603F01FF" w:csb1="FFFF0000"/>
  </w:font>
  <w:font w:name="Segoe Print">
    <w:panose1 w:val="02000600000000000000"/>
    <w:charset w:val="00"/>
    <w:family w:val="auto"/>
    <w:pitch w:val="default"/>
    <w:sig w:usb0="0000028F" w:usb1="00000000" w:usb2="00000000" w:usb3="00000000" w:csb0="2000009F" w:csb1="47010000"/>
  </w:font>
  <w:font w:name="sans-serif">
    <w:altName w:val="Segoe Print"/>
    <w:panose1 w:val="00000000000000000000"/>
    <w:charset w:val="00"/>
    <w:family w:val="auto"/>
    <w:pitch w:val="default"/>
    <w:sig w:usb0="00000000" w:usb1="00000000" w:usb2="00000000" w:usb3="00000000" w:csb0="00000000" w:csb1="00000000"/>
  </w:font>
  <w:font w:name="Poppins Fallback">
    <w:altName w:val="Segoe Print"/>
    <w:panose1 w:val="00000000000000000000"/>
    <w:charset w:val="00"/>
    <w:family w:val="auto"/>
    <w:pitch w:val="default"/>
    <w:sig w:usb0="00000000" w:usb1="00000000" w:usb2="00000000" w:usb3="00000000" w:csb0="00000000" w:csb1="00000000"/>
  </w:font>
  <w:font w:name="Segoe UI Variable Display Semibold">
    <w:panose1 w:val="00000000000000000000"/>
    <w:charset w:val="00"/>
    <w:family w:val="auto"/>
    <w:pitch w:val="default"/>
    <w:sig w:usb0="A00002FF" w:usb1="0000000B" w:usb2="00000000" w:usb3="00000000" w:csb0="2000019F" w:csb1="00000000"/>
  </w:font>
  <w:font w:name="Corbel">
    <w:panose1 w:val="020B0503020204020204"/>
    <w:charset w:val="00"/>
    <w:family w:val="auto"/>
    <w:pitch w:val="default"/>
    <w:sig w:usb0="A00002EF" w:usb1="4000A44B" w:usb2="00000000" w:usb3="00000000" w:csb0="2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6BA85F71">
    <w:pPr>
      <w:jc w:val="center"/>
      <w:rPr>
        <w:i/>
        <w:iCs/>
      </w:rPr>
    </w:pPr>
    <w:r>
      <w:rPr>
        <w:i/>
        <w:iCs/>
      </w:rPr>
      <w:t>When you have completed the workbook, ensure you submit it to turnitin</w:t>
    </w:r>
  </w:p>
  <w:p w14:paraId="7BB03E26">
    <w:pPr>
      <w:pStyle w:val="15"/>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3D3CA6DE">
    <w:pPr>
      <w:pStyle w:val="15"/>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4F137771">
    <w:pPr>
      <w:pStyle w:val="15"/>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40" w:lineRule="auto"/>
      </w:pPr>
      <w:r>
        <w:separator/>
      </w:r>
    </w:p>
  </w:footnote>
  <w:footnote w:type="continuationSeparator" w:id="1">
    <w:p>
      <w:pPr>
        <w:spacing w:before="0"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29DA652B">
    <w:pPr>
      <w:pStyle w:val="16"/>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2BAACEBD">
    <w:pPr>
      <w:pStyle w:val="16"/>
    </w:pP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05420E76">
    <w:pPr>
      <w:pStyle w:val="16"/>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bordersDoNotSurroundHeader w:val="0"/>
  <w:bordersDoNotSurroundFooter w:val="0"/>
  <w:documentProtection w:enforcement="0"/>
  <w:defaultTabStop w:val="720"/>
  <w:displayHorizontalDrawingGridEvery w:val="1"/>
  <w:displayVerticalDrawingGridEvery w:val="1"/>
  <w:noPunctuationKerning w:val="1"/>
  <w:characterSpacingControl w:val="doNotCompress"/>
  <w:footnotePr>
    <w:footnote w:id="0"/>
    <w:footnote w:id="1"/>
  </w:footnotePr>
  <w:endnotePr>
    <w:endnote w:id="0"/>
    <w:endnote w:id="1"/>
  </w:endnotePr>
  <w:compat>
    <w:doNotExpandShiftReturn/>
    <w:doNotWrapTextWithPunct/>
    <w:doNotUseEastAsianBreakRules/>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63FFD"/>
    <w:rsid w:val="00022A7F"/>
    <w:rsid w:val="000318CD"/>
    <w:rsid w:val="0006722A"/>
    <w:rsid w:val="00104E6B"/>
    <w:rsid w:val="001124BB"/>
    <w:rsid w:val="001168D7"/>
    <w:rsid w:val="00136873"/>
    <w:rsid w:val="0017120D"/>
    <w:rsid w:val="00190873"/>
    <w:rsid w:val="001B3AF7"/>
    <w:rsid w:val="001D45F8"/>
    <w:rsid w:val="0024225A"/>
    <w:rsid w:val="00263FFD"/>
    <w:rsid w:val="00290B65"/>
    <w:rsid w:val="003127E8"/>
    <w:rsid w:val="003B218D"/>
    <w:rsid w:val="003C6BBD"/>
    <w:rsid w:val="00433256"/>
    <w:rsid w:val="00433333"/>
    <w:rsid w:val="004829AA"/>
    <w:rsid w:val="004D1295"/>
    <w:rsid w:val="004F1838"/>
    <w:rsid w:val="004F645F"/>
    <w:rsid w:val="005166D3"/>
    <w:rsid w:val="005372AD"/>
    <w:rsid w:val="00552C40"/>
    <w:rsid w:val="00593463"/>
    <w:rsid w:val="00606DAD"/>
    <w:rsid w:val="00632ABD"/>
    <w:rsid w:val="00660FB5"/>
    <w:rsid w:val="00697C73"/>
    <w:rsid w:val="006A562B"/>
    <w:rsid w:val="006F49C6"/>
    <w:rsid w:val="00746664"/>
    <w:rsid w:val="007539E0"/>
    <w:rsid w:val="0077165B"/>
    <w:rsid w:val="007A024A"/>
    <w:rsid w:val="007C65BC"/>
    <w:rsid w:val="007F3E26"/>
    <w:rsid w:val="00954059"/>
    <w:rsid w:val="00955213"/>
    <w:rsid w:val="009B34D3"/>
    <w:rsid w:val="009E1097"/>
    <w:rsid w:val="009F1C01"/>
    <w:rsid w:val="00A976FE"/>
    <w:rsid w:val="00AE65B0"/>
    <w:rsid w:val="00B2323F"/>
    <w:rsid w:val="00BB4704"/>
    <w:rsid w:val="00BD6A5B"/>
    <w:rsid w:val="00C0038D"/>
    <w:rsid w:val="00CD6873"/>
    <w:rsid w:val="00CF3742"/>
    <w:rsid w:val="00D23BE6"/>
    <w:rsid w:val="00D50020"/>
    <w:rsid w:val="00DF5537"/>
    <w:rsid w:val="00E158B9"/>
    <w:rsid w:val="00E67EFF"/>
    <w:rsid w:val="00E7000E"/>
    <w:rsid w:val="00EA6CE2"/>
    <w:rsid w:val="00F34969"/>
    <w:rsid w:val="00F55E4B"/>
    <w:rsid w:val="00FC7C3B"/>
    <w:rsid w:val="00FD479C"/>
    <w:rsid w:val="105F7620"/>
    <w:rsid w:val="1BBEC3BF"/>
    <w:rsid w:val="40B61BA2"/>
    <w:rsid w:val="40D7442D"/>
    <w:rsid w:val="7ED539A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SimSun"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semiHidden="0" w:name="header"/>
    <w:lsdException w:qFormat="1"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qFormat="1" w:unhideWhenUsed="0" w:uiPriority="59" w:semiHidden="0" w:name="Table Grid"/>
    <w:lsdException w:uiPriority="99" w:name="Table Theme"/>
    <w:lsdException w:qFormat="1" w:unhideWhenUsed="0" w:uiPriority="1" w:semiHidden="0" w:name="No Spacing"/>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qFormat="1" w:unhideWhenUsed="0" w:uiPriority="29" w:semiHidden="0" w:name="Quote"/>
    <w:lsdException w:qFormat="1" w:unhideWhenUsed="0" w:uiPriority="30" w:semiHidden="0" w:name="Intense Quote"/>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259" w:lineRule="atLeast"/>
    </w:pPr>
    <w:rPr>
      <w:rFonts w:ascii="Cambria" w:hAnsi="Cambria" w:eastAsiaTheme="minorHAnsi" w:cstheme="minorBidi"/>
      <w:color w:val="1F2933"/>
      <w:kern w:val="2"/>
      <w:sz w:val="22"/>
      <w:szCs w:val="22"/>
      <w:lang w:val="en-GB" w:eastAsia="en-US" w:bidi="ar-SA"/>
      <w14:ligatures w14:val="standardContextual"/>
    </w:rPr>
  </w:style>
  <w:style w:type="paragraph" w:styleId="2">
    <w:name w:val="heading 1"/>
    <w:basedOn w:val="1"/>
    <w:next w:val="1"/>
    <w:link w:val="22"/>
    <w:qFormat/>
    <w:uiPriority w:val="9"/>
    <w:pPr>
      <w:keepNext/>
      <w:keepLines/>
      <w:spacing w:before="360" w:after="80"/>
      <w:outlineLvl w:val="0"/>
    </w:pPr>
    <w:rPr>
      <w:rFonts w:eastAsiaTheme="majorEastAsia" w:cstheme="majorBidi"/>
      <w:color w:val="17365D"/>
      <w:sz w:val="40"/>
      <w:szCs w:val="40"/>
    </w:rPr>
  </w:style>
  <w:style w:type="paragraph" w:styleId="3">
    <w:name w:val="heading 2"/>
    <w:basedOn w:val="1"/>
    <w:next w:val="1"/>
    <w:link w:val="23"/>
    <w:semiHidden/>
    <w:unhideWhenUsed/>
    <w:qFormat/>
    <w:uiPriority w:val="9"/>
    <w:pPr>
      <w:keepNext/>
      <w:keepLines/>
      <w:spacing w:before="160" w:after="80"/>
      <w:outlineLvl w:val="1"/>
    </w:pPr>
    <w:rPr>
      <w:rFonts w:eastAsiaTheme="majorEastAsia" w:cstheme="majorBidi"/>
      <w:color w:val="376092"/>
      <w:sz w:val="32"/>
      <w:szCs w:val="32"/>
    </w:rPr>
  </w:style>
  <w:style w:type="paragraph" w:styleId="4">
    <w:name w:val="heading 3"/>
    <w:basedOn w:val="1"/>
    <w:next w:val="1"/>
    <w:link w:val="24"/>
    <w:semiHidden/>
    <w:unhideWhenUsed/>
    <w:qFormat/>
    <w:uiPriority w:val="9"/>
    <w:pPr>
      <w:keepNext/>
      <w:keepLines/>
      <w:spacing w:before="160" w:after="80"/>
      <w:outlineLvl w:val="2"/>
    </w:pPr>
    <w:rPr>
      <w:rFonts w:eastAsiaTheme="majorEastAsia" w:cstheme="majorBidi"/>
      <w:color w:val="2F5597" w:themeColor="accent1" w:themeShade="BF"/>
      <w:sz w:val="28"/>
      <w:szCs w:val="28"/>
    </w:rPr>
  </w:style>
  <w:style w:type="paragraph" w:styleId="5">
    <w:name w:val="heading 4"/>
    <w:basedOn w:val="1"/>
    <w:next w:val="1"/>
    <w:link w:val="25"/>
    <w:semiHidden/>
    <w:unhideWhenUsed/>
    <w:qFormat/>
    <w:uiPriority w:val="9"/>
    <w:pPr>
      <w:keepNext/>
      <w:keepLines/>
      <w:spacing w:before="80" w:after="40"/>
      <w:outlineLvl w:val="3"/>
    </w:pPr>
    <w:rPr>
      <w:rFonts w:eastAsiaTheme="majorEastAsia" w:cstheme="majorBidi"/>
      <w:i/>
      <w:iCs/>
      <w:color w:val="2F5597" w:themeColor="accent1" w:themeShade="BF"/>
    </w:rPr>
  </w:style>
  <w:style w:type="paragraph" w:styleId="6">
    <w:name w:val="heading 5"/>
    <w:basedOn w:val="1"/>
    <w:next w:val="1"/>
    <w:link w:val="26"/>
    <w:semiHidden/>
    <w:unhideWhenUsed/>
    <w:qFormat/>
    <w:uiPriority w:val="9"/>
    <w:pPr>
      <w:keepNext/>
      <w:keepLines/>
      <w:spacing w:before="80" w:after="40"/>
      <w:outlineLvl w:val="4"/>
    </w:pPr>
    <w:rPr>
      <w:rFonts w:eastAsiaTheme="majorEastAsia" w:cstheme="majorBidi"/>
      <w:color w:val="2F5597" w:themeColor="accent1" w:themeShade="BF"/>
    </w:rPr>
  </w:style>
  <w:style w:type="paragraph" w:styleId="7">
    <w:name w:val="heading 6"/>
    <w:basedOn w:val="1"/>
    <w:next w:val="1"/>
    <w:link w:val="27"/>
    <w:semiHidden/>
    <w:unhideWhenUsed/>
    <w:qFormat/>
    <w:uiPriority w:val="9"/>
    <w:pPr>
      <w:keepNext/>
      <w:keepLines/>
      <w:spacing w:before="40" w:after="0"/>
      <w:outlineLvl w:val="5"/>
    </w:pPr>
    <w:rPr>
      <w:rFonts w:eastAsiaTheme="majorEastAsia" w:cstheme="majorBidi"/>
      <w:i/>
      <w:iCs/>
      <w:color w:val="595959" w:themeColor="text1" w:themeTint="A6"/>
      <w14:textFill>
        <w14:solidFill>
          <w14:schemeClr w14:val="tx1">
            <w14:lumMod w14:val="65000"/>
            <w14:lumOff w14:val="35000"/>
          </w14:schemeClr>
        </w14:solidFill>
      </w14:textFill>
    </w:rPr>
  </w:style>
  <w:style w:type="paragraph" w:styleId="8">
    <w:name w:val="heading 7"/>
    <w:basedOn w:val="1"/>
    <w:next w:val="1"/>
    <w:link w:val="28"/>
    <w:semiHidden/>
    <w:unhideWhenUsed/>
    <w:qFormat/>
    <w:uiPriority w:val="9"/>
    <w:pPr>
      <w:keepNext/>
      <w:keepLines/>
      <w:spacing w:before="40" w:after="0"/>
      <w:outlineLvl w:val="6"/>
    </w:pPr>
    <w:rPr>
      <w:rFonts w:eastAsiaTheme="majorEastAsia" w:cstheme="majorBidi"/>
      <w:color w:val="595959" w:themeColor="text1" w:themeTint="A6"/>
      <w14:textFill>
        <w14:solidFill>
          <w14:schemeClr w14:val="tx1">
            <w14:lumMod w14:val="65000"/>
            <w14:lumOff w14:val="35000"/>
          </w14:schemeClr>
        </w14:solidFill>
      </w14:textFill>
    </w:rPr>
  </w:style>
  <w:style w:type="paragraph" w:styleId="9">
    <w:name w:val="heading 8"/>
    <w:basedOn w:val="1"/>
    <w:next w:val="1"/>
    <w:link w:val="29"/>
    <w:semiHidden/>
    <w:unhideWhenUsed/>
    <w:qFormat/>
    <w:uiPriority w:val="9"/>
    <w:pPr>
      <w:keepNext/>
      <w:keepLines/>
      <w:spacing w:after="0"/>
      <w:outlineLvl w:val="7"/>
    </w:pPr>
    <w:rPr>
      <w:rFonts w:eastAsiaTheme="majorEastAsia" w:cstheme="majorBidi"/>
      <w:i/>
      <w:iCs/>
      <w:color w:val="262626" w:themeColor="text1" w:themeTint="D9"/>
      <w14:textFill>
        <w14:solidFill>
          <w14:schemeClr w14:val="tx1">
            <w14:lumMod w14:val="85000"/>
            <w14:lumOff w14:val="15000"/>
          </w14:schemeClr>
        </w14:solidFill>
      </w14:textFill>
    </w:rPr>
  </w:style>
  <w:style w:type="paragraph" w:styleId="10">
    <w:name w:val="heading 9"/>
    <w:basedOn w:val="1"/>
    <w:next w:val="1"/>
    <w:link w:val="30"/>
    <w:semiHidden/>
    <w:unhideWhenUsed/>
    <w:qFormat/>
    <w:uiPriority w:val="9"/>
    <w:pPr>
      <w:keepNext/>
      <w:keepLines/>
      <w:spacing w:after="0"/>
      <w:outlineLvl w:val="8"/>
    </w:pPr>
    <w:rPr>
      <w:rFonts w:eastAsiaTheme="majorEastAsia" w:cstheme="majorBidi"/>
      <w:color w:val="262626" w:themeColor="text1" w:themeTint="D9"/>
      <w14:textFill>
        <w14:solidFill>
          <w14:schemeClr w14:val="tx1">
            <w14:lumMod w14:val="85000"/>
            <w14:lumOff w14:val="15000"/>
          </w14:schemeClr>
        </w14:solidFill>
      </w14:textFill>
    </w:rPr>
  </w:style>
  <w:style w:type="character" w:default="1" w:styleId="11">
    <w:name w:val="Default Paragraph Font"/>
    <w:semiHidden/>
    <w:unhideWhenUsed/>
    <w:qFormat/>
    <w:uiPriority w:val="1"/>
  </w:style>
  <w:style w:type="table" w:default="1" w:styleId="12">
    <w:name w:val="Normal Table"/>
    <w:semiHidden/>
    <w:unhideWhenUsed/>
    <w:qFormat/>
    <w:uiPriority w:val="99"/>
    <w:tblPr>
      <w:tblCellMar>
        <w:top w:w="0" w:type="dxa"/>
        <w:left w:w="108" w:type="dxa"/>
        <w:bottom w:w="0" w:type="dxa"/>
        <w:right w:w="108" w:type="dxa"/>
      </w:tblCellMar>
    </w:tblPr>
  </w:style>
  <w:style w:type="paragraph" w:styleId="13">
    <w:name w:val="caption"/>
    <w:basedOn w:val="1"/>
    <w:next w:val="1"/>
    <w:semiHidden/>
    <w:unhideWhenUsed/>
    <w:qFormat/>
    <w:uiPriority w:val="35"/>
    <w:pPr>
      <w:spacing w:after="200" w:line="240" w:lineRule="auto"/>
    </w:pPr>
    <w:rPr>
      <w:i/>
      <w:iCs/>
      <w:color w:val="44546A" w:themeColor="text2"/>
      <w:sz w:val="18"/>
      <w:szCs w:val="18"/>
      <w14:textFill>
        <w14:solidFill>
          <w14:schemeClr w14:val="tx2"/>
        </w14:solidFill>
      </w14:textFill>
    </w:rPr>
  </w:style>
  <w:style w:type="character" w:styleId="14">
    <w:name w:val="Emphasis"/>
    <w:basedOn w:val="11"/>
    <w:qFormat/>
    <w:uiPriority w:val="20"/>
    <w:rPr>
      <w:i/>
      <w:iCs/>
    </w:rPr>
  </w:style>
  <w:style w:type="paragraph" w:styleId="15">
    <w:name w:val="footer"/>
    <w:basedOn w:val="1"/>
    <w:link w:val="48"/>
    <w:unhideWhenUsed/>
    <w:qFormat/>
    <w:uiPriority w:val="99"/>
    <w:pPr>
      <w:tabs>
        <w:tab w:val="center" w:pos="4513"/>
        <w:tab w:val="right" w:pos="9026"/>
      </w:tabs>
      <w:spacing w:after="0" w:line="240" w:lineRule="auto"/>
    </w:pPr>
  </w:style>
  <w:style w:type="paragraph" w:styleId="16">
    <w:name w:val="header"/>
    <w:basedOn w:val="1"/>
    <w:link w:val="47"/>
    <w:unhideWhenUsed/>
    <w:uiPriority w:val="99"/>
    <w:pPr>
      <w:tabs>
        <w:tab w:val="center" w:pos="4513"/>
        <w:tab w:val="right" w:pos="9026"/>
      </w:tabs>
      <w:spacing w:after="0" w:line="240" w:lineRule="auto"/>
    </w:pPr>
  </w:style>
  <w:style w:type="paragraph" w:styleId="17">
    <w:name w:val="Normal (Web)"/>
    <w:basedOn w:val="1"/>
    <w:semiHidden/>
    <w:unhideWhenUsed/>
    <w:uiPriority w:val="99"/>
    <w:pPr>
      <w:spacing w:before="100" w:beforeAutospacing="1" w:after="100" w:afterAutospacing="1" w:line="240" w:lineRule="auto"/>
    </w:pPr>
    <w:rPr>
      <w:rFonts w:ascii="Times New Roman" w:hAnsi="Times New Roman" w:cs="Times New Roman"/>
      <w:color w:val="auto"/>
      <w:sz w:val="24"/>
      <w:szCs w:val="24"/>
      <w:lang w:eastAsia="en-GB"/>
    </w:rPr>
  </w:style>
  <w:style w:type="character" w:styleId="18">
    <w:name w:val="Strong"/>
    <w:basedOn w:val="11"/>
    <w:qFormat/>
    <w:uiPriority w:val="22"/>
    <w:rPr>
      <w:b/>
      <w:bCs/>
    </w:rPr>
  </w:style>
  <w:style w:type="paragraph" w:styleId="19">
    <w:name w:val="Subtitle"/>
    <w:basedOn w:val="1"/>
    <w:next w:val="1"/>
    <w:link w:val="32"/>
    <w:qFormat/>
    <w:uiPriority w:val="11"/>
    <w:rPr>
      <w:rFonts w:eastAsiaTheme="majorEastAsia" w:cstheme="majorBidi"/>
      <w:color w:val="595959" w:themeColor="text1" w:themeTint="A6"/>
      <w:spacing w:val="15"/>
      <w:sz w:val="28"/>
      <w:szCs w:val="28"/>
      <w14:textFill>
        <w14:solidFill>
          <w14:schemeClr w14:val="tx1">
            <w14:lumMod w14:val="65000"/>
            <w14:lumOff w14:val="35000"/>
          </w14:schemeClr>
        </w14:solidFill>
      </w14:textFill>
    </w:rPr>
  </w:style>
  <w:style w:type="table" w:styleId="20">
    <w:name w:val="Table Grid"/>
    <w:basedOn w:val="12"/>
    <w:qFormat/>
    <w:uiPriority w:val="59"/>
    <w:pPr>
      <w:spacing w:after="0" w:line="240" w:lineRule="auto"/>
    </w:pPr>
    <w:rPr>
      <w:rFonts w:ascii="Calibri" w:hAnsi="Calibri" w:eastAsia="Calibri" w:cs="Times New Roman"/>
      <w:kern w:val="0"/>
      <w:sz w:val="20"/>
      <w:szCs w:val="20"/>
      <w:lang w:eastAsia="en-GB"/>
      <w14:ligatures w14:val="none"/>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21">
    <w:name w:val="Title"/>
    <w:basedOn w:val="1"/>
    <w:next w:val="1"/>
    <w:link w:val="31"/>
    <w:qFormat/>
    <w:uiPriority w:val="10"/>
    <w:pPr>
      <w:spacing w:after="80" w:line="240" w:lineRule="atLeast"/>
      <w:contextualSpacing/>
    </w:pPr>
    <w:rPr>
      <w:rFonts w:eastAsiaTheme="majorEastAsia" w:cstheme="majorBidi"/>
      <w:color w:val="17365D"/>
      <w:spacing w:val="-10"/>
      <w:kern w:val="28"/>
      <w:sz w:val="56"/>
      <w:szCs w:val="56"/>
    </w:rPr>
  </w:style>
  <w:style w:type="character" w:customStyle="1" w:styleId="22">
    <w:name w:val="Heading 1 Char"/>
    <w:basedOn w:val="11"/>
    <w:link w:val="2"/>
    <w:qFormat/>
    <w:uiPriority w:val="9"/>
    <w:rPr>
      <w:rFonts w:ascii="Cambria" w:hAnsi="Cambria" w:eastAsiaTheme="majorEastAsia" w:cstheme="majorBidi"/>
      <w:color w:val="17365D"/>
      <w:sz w:val="40"/>
      <w:szCs w:val="40"/>
    </w:rPr>
  </w:style>
  <w:style w:type="character" w:customStyle="1" w:styleId="23">
    <w:name w:val="Heading 2 Char"/>
    <w:basedOn w:val="11"/>
    <w:link w:val="3"/>
    <w:semiHidden/>
    <w:qFormat/>
    <w:uiPriority w:val="9"/>
    <w:rPr>
      <w:rFonts w:ascii="Cambria" w:hAnsi="Cambria" w:eastAsiaTheme="majorEastAsia" w:cstheme="majorBidi"/>
      <w:color w:val="376092"/>
      <w:sz w:val="32"/>
      <w:szCs w:val="32"/>
    </w:rPr>
  </w:style>
  <w:style w:type="character" w:customStyle="1" w:styleId="24">
    <w:name w:val="Heading 3 Char"/>
    <w:basedOn w:val="11"/>
    <w:link w:val="4"/>
    <w:semiHidden/>
    <w:uiPriority w:val="9"/>
    <w:rPr>
      <w:rFonts w:eastAsiaTheme="majorEastAsia" w:cstheme="majorBidi"/>
      <w:color w:val="2F5597" w:themeColor="accent1" w:themeShade="BF"/>
      <w:sz w:val="28"/>
      <w:szCs w:val="28"/>
    </w:rPr>
  </w:style>
  <w:style w:type="character" w:customStyle="1" w:styleId="25">
    <w:name w:val="Heading 4 Char"/>
    <w:basedOn w:val="11"/>
    <w:link w:val="5"/>
    <w:semiHidden/>
    <w:qFormat/>
    <w:uiPriority w:val="9"/>
    <w:rPr>
      <w:rFonts w:eastAsiaTheme="majorEastAsia" w:cstheme="majorBidi"/>
      <w:i/>
      <w:iCs/>
      <w:color w:val="2F5597" w:themeColor="accent1" w:themeShade="BF"/>
    </w:rPr>
  </w:style>
  <w:style w:type="character" w:customStyle="1" w:styleId="26">
    <w:name w:val="Heading 5 Char"/>
    <w:basedOn w:val="11"/>
    <w:link w:val="6"/>
    <w:semiHidden/>
    <w:qFormat/>
    <w:uiPriority w:val="9"/>
    <w:rPr>
      <w:rFonts w:eastAsiaTheme="majorEastAsia" w:cstheme="majorBidi"/>
      <w:color w:val="2F5597" w:themeColor="accent1" w:themeShade="BF"/>
    </w:rPr>
  </w:style>
  <w:style w:type="character" w:customStyle="1" w:styleId="27">
    <w:name w:val="Heading 6 Char"/>
    <w:basedOn w:val="11"/>
    <w:link w:val="7"/>
    <w:semiHidden/>
    <w:qFormat/>
    <w:uiPriority w:val="9"/>
    <w:rPr>
      <w:rFonts w:eastAsiaTheme="majorEastAsia" w:cstheme="majorBidi"/>
      <w:i/>
      <w:iCs/>
      <w:color w:val="595959" w:themeColor="text1" w:themeTint="A6"/>
      <w14:textFill>
        <w14:solidFill>
          <w14:schemeClr w14:val="tx1">
            <w14:lumMod w14:val="65000"/>
            <w14:lumOff w14:val="35000"/>
          </w14:schemeClr>
        </w14:solidFill>
      </w14:textFill>
    </w:rPr>
  </w:style>
  <w:style w:type="character" w:customStyle="1" w:styleId="28">
    <w:name w:val="Heading 7 Char"/>
    <w:basedOn w:val="11"/>
    <w:link w:val="8"/>
    <w:semiHidden/>
    <w:uiPriority w:val="9"/>
    <w:rPr>
      <w:rFonts w:eastAsiaTheme="majorEastAsia" w:cstheme="majorBidi"/>
      <w:color w:val="595959" w:themeColor="text1" w:themeTint="A6"/>
      <w14:textFill>
        <w14:solidFill>
          <w14:schemeClr w14:val="tx1">
            <w14:lumMod w14:val="65000"/>
            <w14:lumOff w14:val="35000"/>
          </w14:schemeClr>
        </w14:solidFill>
      </w14:textFill>
    </w:rPr>
  </w:style>
  <w:style w:type="character" w:customStyle="1" w:styleId="29">
    <w:name w:val="Heading 8 Char"/>
    <w:basedOn w:val="11"/>
    <w:link w:val="9"/>
    <w:semiHidden/>
    <w:uiPriority w:val="9"/>
    <w:rPr>
      <w:rFonts w:eastAsiaTheme="majorEastAsia" w:cstheme="majorBidi"/>
      <w:i/>
      <w:iCs/>
      <w:color w:val="262626" w:themeColor="text1" w:themeTint="D9"/>
      <w14:textFill>
        <w14:solidFill>
          <w14:schemeClr w14:val="tx1">
            <w14:lumMod w14:val="85000"/>
            <w14:lumOff w14:val="15000"/>
          </w14:schemeClr>
        </w14:solidFill>
      </w14:textFill>
    </w:rPr>
  </w:style>
  <w:style w:type="character" w:customStyle="1" w:styleId="30">
    <w:name w:val="Heading 9 Char"/>
    <w:basedOn w:val="11"/>
    <w:link w:val="10"/>
    <w:semiHidden/>
    <w:qFormat/>
    <w:uiPriority w:val="9"/>
    <w:rPr>
      <w:rFonts w:eastAsiaTheme="majorEastAsia" w:cstheme="majorBidi"/>
      <w:color w:val="262626" w:themeColor="text1" w:themeTint="D9"/>
      <w14:textFill>
        <w14:solidFill>
          <w14:schemeClr w14:val="tx1">
            <w14:lumMod w14:val="85000"/>
            <w14:lumOff w14:val="15000"/>
          </w14:schemeClr>
        </w14:solidFill>
      </w14:textFill>
    </w:rPr>
  </w:style>
  <w:style w:type="character" w:customStyle="1" w:styleId="31">
    <w:name w:val="Title Char"/>
    <w:basedOn w:val="11"/>
    <w:link w:val="21"/>
    <w:qFormat/>
    <w:uiPriority w:val="10"/>
    <w:rPr>
      <w:rFonts w:ascii="Cambria" w:hAnsi="Cambria" w:eastAsiaTheme="majorEastAsia" w:cstheme="majorBidi"/>
      <w:color w:val="17365D"/>
      <w:spacing w:val="-10"/>
      <w:kern w:val="28"/>
      <w:sz w:val="56"/>
      <w:szCs w:val="56"/>
    </w:rPr>
  </w:style>
  <w:style w:type="character" w:customStyle="1" w:styleId="32">
    <w:name w:val="Subtitle Char"/>
    <w:basedOn w:val="11"/>
    <w:link w:val="19"/>
    <w:uiPriority w:val="11"/>
    <w:rPr>
      <w:rFonts w:eastAsiaTheme="majorEastAsia" w:cstheme="majorBidi"/>
      <w:color w:val="595959" w:themeColor="text1" w:themeTint="A6"/>
      <w:spacing w:val="15"/>
      <w:sz w:val="28"/>
      <w:szCs w:val="28"/>
      <w14:textFill>
        <w14:solidFill>
          <w14:schemeClr w14:val="tx1">
            <w14:lumMod w14:val="65000"/>
            <w14:lumOff w14:val="35000"/>
          </w14:schemeClr>
        </w14:solidFill>
      </w14:textFill>
    </w:rPr>
  </w:style>
  <w:style w:type="paragraph" w:styleId="33">
    <w:name w:val="Quote"/>
    <w:basedOn w:val="1"/>
    <w:next w:val="1"/>
    <w:link w:val="34"/>
    <w:qFormat/>
    <w:uiPriority w:val="29"/>
    <w:pPr>
      <w:spacing w:before="160"/>
      <w:jc w:val="center"/>
    </w:pPr>
    <w:rPr>
      <w:i/>
      <w:iCs/>
      <w:color w:val="404040" w:themeColor="text1" w:themeTint="BF"/>
      <w14:textFill>
        <w14:solidFill>
          <w14:schemeClr w14:val="tx1">
            <w14:lumMod w14:val="75000"/>
            <w14:lumOff w14:val="25000"/>
          </w14:schemeClr>
        </w14:solidFill>
      </w14:textFill>
    </w:rPr>
  </w:style>
  <w:style w:type="character" w:customStyle="1" w:styleId="34">
    <w:name w:val="Quote Char"/>
    <w:basedOn w:val="11"/>
    <w:link w:val="33"/>
    <w:qFormat/>
    <w:uiPriority w:val="29"/>
    <w:rPr>
      <w:i/>
      <w:iCs/>
      <w:color w:val="404040" w:themeColor="text1" w:themeTint="BF"/>
      <w14:textFill>
        <w14:solidFill>
          <w14:schemeClr w14:val="tx1">
            <w14:lumMod w14:val="75000"/>
            <w14:lumOff w14:val="25000"/>
          </w14:schemeClr>
        </w14:solidFill>
      </w14:textFill>
    </w:rPr>
  </w:style>
  <w:style w:type="paragraph" w:styleId="35">
    <w:name w:val="List Paragraph"/>
    <w:basedOn w:val="1"/>
    <w:link w:val="40"/>
    <w:qFormat/>
    <w:uiPriority w:val="34"/>
    <w:pPr>
      <w:ind w:left="720"/>
      <w:contextualSpacing/>
    </w:pPr>
  </w:style>
  <w:style w:type="character" w:customStyle="1" w:styleId="36">
    <w:name w:val="Intense Emphasis"/>
    <w:basedOn w:val="11"/>
    <w:qFormat/>
    <w:uiPriority w:val="21"/>
    <w:rPr>
      <w:i/>
      <w:iCs/>
      <w:color w:val="2F5597" w:themeColor="accent1" w:themeShade="BF"/>
    </w:rPr>
  </w:style>
  <w:style w:type="paragraph" w:styleId="37">
    <w:name w:val="Intense Quote"/>
    <w:basedOn w:val="1"/>
    <w:next w:val="1"/>
    <w:link w:val="38"/>
    <w:qFormat/>
    <w:uiPriority w:val="30"/>
    <w:pPr>
      <w:pBdr>
        <w:top w:val="single" w:color="2F5496" w:themeColor="accent1" w:themeShade="BF" w:sz="4" w:space="10"/>
        <w:bottom w:val="single" w:color="2F5496" w:themeColor="accent1" w:themeShade="BF" w:sz="4" w:space="10"/>
      </w:pBdr>
      <w:spacing w:before="360" w:after="360"/>
      <w:ind w:left="864" w:right="864"/>
      <w:jc w:val="center"/>
    </w:pPr>
    <w:rPr>
      <w:i/>
      <w:iCs/>
      <w:color w:val="2F5597" w:themeColor="accent1" w:themeShade="BF"/>
    </w:rPr>
  </w:style>
  <w:style w:type="character" w:customStyle="1" w:styleId="38">
    <w:name w:val="Intense Quote Char"/>
    <w:basedOn w:val="11"/>
    <w:link w:val="37"/>
    <w:qFormat/>
    <w:uiPriority w:val="30"/>
    <w:rPr>
      <w:i/>
      <w:iCs/>
      <w:color w:val="2F5597" w:themeColor="accent1" w:themeShade="BF"/>
    </w:rPr>
  </w:style>
  <w:style w:type="character" w:customStyle="1" w:styleId="39">
    <w:name w:val="Intense Reference"/>
    <w:basedOn w:val="11"/>
    <w:qFormat/>
    <w:uiPriority w:val="32"/>
    <w:rPr>
      <w:b/>
      <w:bCs/>
      <w:smallCaps/>
      <w:color w:val="2F5597" w:themeColor="accent1" w:themeShade="BF"/>
      <w:spacing w:val="5"/>
    </w:rPr>
  </w:style>
  <w:style w:type="character" w:customStyle="1" w:styleId="40">
    <w:name w:val="List Paragraph Char"/>
    <w:link w:val="35"/>
    <w:qFormat/>
    <w:locked/>
    <w:uiPriority w:val="34"/>
  </w:style>
  <w:style w:type="character" w:customStyle="1" w:styleId="41">
    <w:name w:val="Book Title"/>
    <w:basedOn w:val="11"/>
    <w:qFormat/>
    <w:uiPriority w:val="33"/>
    <w:rPr>
      <w:b/>
      <w:bCs/>
      <w:i/>
      <w:iCs/>
      <w:spacing w:val="5"/>
    </w:rPr>
  </w:style>
  <w:style w:type="paragraph" w:styleId="42">
    <w:name w:val="No Spacing"/>
    <w:qFormat/>
    <w:uiPriority w:val="1"/>
    <w:pPr>
      <w:spacing w:after="0" w:line="240" w:lineRule="auto"/>
    </w:pPr>
    <w:rPr>
      <w:rFonts w:asciiTheme="minorHAnsi" w:hAnsiTheme="minorHAnsi" w:eastAsiaTheme="minorHAnsi" w:cstheme="minorBidi"/>
      <w:kern w:val="2"/>
      <w:sz w:val="22"/>
      <w:szCs w:val="22"/>
      <w:lang w:val="en-GB" w:eastAsia="en-US" w:bidi="ar-SA"/>
      <w14:ligatures w14:val="standardContextual"/>
    </w:rPr>
  </w:style>
  <w:style w:type="character" w:customStyle="1" w:styleId="43">
    <w:name w:val="Subtle Emphasis"/>
    <w:basedOn w:val="11"/>
    <w:qFormat/>
    <w:uiPriority w:val="19"/>
    <w:rPr>
      <w:i/>
      <w:iCs/>
      <w:color w:val="404040" w:themeColor="text1" w:themeTint="BF"/>
      <w14:textFill>
        <w14:solidFill>
          <w14:schemeClr w14:val="tx1">
            <w14:lumMod w14:val="75000"/>
            <w14:lumOff w14:val="25000"/>
          </w14:schemeClr>
        </w14:solidFill>
      </w14:textFill>
    </w:rPr>
  </w:style>
  <w:style w:type="character" w:customStyle="1" w:styleId="44">
    <w:name w:val="Subtle Reference"/>
    <w:basedOn w:val="11"/>
    <w:qFormat/>
    <w:uiPriority w:val="31"/>
    <w:rPr>
      <w:smallCaps/>
      <w:color w:val="595959" w:themeColor="text1" w:themeTint="A6"/>
      <w14:textFill>
        <w14:solidFill>
          <w14:schemeClr w14:val="tx1">
            <w14:lumMod w14:val="65000"/>
            <w14:lumOff w14:val="35000"/>
          </w14:schemeClr>
        </w14:solidFill>
      </w14:textFill>
    </w:rPr>
  </w:style>
  <w:style w:type="paragraph" w:customStyle="1" w:styleId="45">
    <w:name w:val="TOC Heading"/>
    <w:basedOn w:val="2"/>
    <w:next w:val="1"/>
    <w:semiHidden/>
    <w:unhideWhenUsed/>
    <w:qFormat/>
    <w:uiPriority w:val="39"/>
    <w:pPr>
      <w:spacing w:before="240" w:after="0"/>
      <w:outlineLvl w:val="9"/>
    </w:pPr>
    <w:rPr>
      <w:sz w:val="32"/>
      <w:szCs w:val="32"/>
    </w:rPr>
  </w:style>
  <w:style w:type="table" w:customStyle="1" w:styleId="46">
    <w:name w:val="Grid Table 4 Accent 1"/>
    <w:basedOn w:val="12"/>
    <w:uiPriority w:val="49"/>
    <w:pPr>
      <w:spacing w:after="0" w:line="240" w:lineRule="auto"/>
    </w:pPr>
    <w:tblPr>
      <w:tblBorders>
        <w:top w:val="single" w:color="8EAADB" w:themeColor="accent1" w:themeTint="99" w:sz="4" w:space="0"/>
        <w:left w:val="single" w:color="8EAADB" w:themeColor="accent1" w:themeTint="99" w:sz="4" w:space="0"/>
        <w:bottom w:val="single" w:color="8EAADB" w:themeColor="accent1" w:themeTint="99" w:sz="4" w:space="0"/>
        <w:right w:val="single" w:color="8EAADB" w:themeColor="accent1" w:themeTint="99" w:sz="4" w:space="0"/>
        <w:insideH w:val="single" w:color="8EAADB" w:themeColor="accent1" w:themeTint="99" w:sz="4" w:space="0"/>
        <w:insideV w:val="single" w:color="8EAADB" w:themeColor="accent1" w:themeTint="99" w:sz="4" w:space="0"/>
      </w:tblBorders>
    </w:tblPr>
    <w:tblStylePr w:type="firstRow">
      <w:rPr>
        <w:b/>
        <w:bCs/>
        <w:color w:val="FFFFFF" w:themeColor="background1"/>
        <w14:textFill>
          <w14:solidFill>
            <w14:schemeClr w14:val="bg1"/>
          </w14:solidFill>
        </w14:textFill>
      </w:rPr>
      <w:tcPr>
        <w:tcBorders>
          <w:top w:val="single" w:color="4472C4" w:themeColor="accent1" w:sz="4" w:space="0"/>
          <w:left w:val="single" w:color="4472C4" w:themeColor="accent1" w:sz="4" w:space="0"/>
          <w:bottom w:val="single" w:color="4472C4" w:themeColor="accent1" w:sz="4" w:space="0"/>
          <w:right w:val="single" w:color="4472C4" w:themeColor="accent1" w:sz="4" w:space="0"/>
          <w:insideH w:val="nil"/>
          <w:insideV w:val="nil"/>
        </w:tcBorders>
        <w:shd w:val="clear" w:color="auto" w:fill="4472C4" w:themeFill="accent1"/>
      </w:tcPr>
    </w:tblStylePr>
    <w:tblStylePr w:type="lastRow">
      <w:rPr>
        <w:b/>
        <w:bCs/>
      </w:rPr>
      <w:tcPr>
        <w:tcBorders>
          <w:top w:val="double" w:color="4472C4" w:themeColor="accent1" w:sz="4" w:space="0"/>
        </w:tcBorders>
      </w:tcPr>
    </w:tblStylePr>
    <w:tblStylePr w:type="firstCol">
      <w:rPr>
        <w:b/>
        <w:bCs/>
      </w:rPr>
    </w:tblStylePr>
    <w:tblStylePr w:type="lastCol">
      <w:rPr>
        <w:b/>
        <w:bCs/>
      </w:rPr>
    </w:tblStylePr>
    <w:tblStylePr w:type="band1Vert">
      <w:tcPr>
        <w:shd w:val="clear" w:color="auto" w:fill="D9E2F3" w:themeFill="accent1" w:themeFillTint="33"/>
      </w:tcPr>
    </w:tblStylePr>
    <w:tblStylePr w:type="band1Horz">
      <w:tcPr>
        <w:shd w:val="clear" w:color="auto" w:fill="D9E2F3" w:themeFill="accent1" w:themeFillTint="33"/>
      </w:tcPr>
    </w:tblStylePr>
  </w:style>
  <w:style w:type="character" w:customStyle="1" w:styleId="47">
    <w:name w:val="Header Char"/>
    <w:basedOn w:val="11"/>
    <w:link w:val="16"/>
    <w:qFormat/>
    <w:uiPriority w:val="99"/>
    <w:rPr>
      <w:rFonts w:ascii="Cambria" w:hAnsi="Cambria"/>
      <w:color w:val="1F2933"/>
    </w:rPr>
  </w:style>
  <w:style w:type="character" w:customStyle="1" w:styleId="48">
    <w:name w:val="Footer Char"/>
    <w:basedOn w:val="11"/>
    <w:link w:val="15"/>
    <w:qFormat/>
    <w:uiPriority w:val="99"/>
    <w:rPr>
      <w:rFonts w:ascii="Cambria" w:hAnsi="Cambria"/>
      <w:color w:val="1F2933"/>
    </w:rPr>
  </w:style>
</w:styles>
</file>

<file path=word/_rels/document.xml.rels><?xml version="1.0" encoding="UTF-8" standalone="yes"?>
<Relationships xmlns="http://schemas.openxmlformats.org/package/2006/relationships"><Relationship Id="rId9" Type="http://schemas.openxmlformats.org/officeDocument/2006/relationships/footer" Target="footer2.xml"/><Relationship Id="rId8" Type="http://schemas.openxmlformats.org/officeDocument/2006/relationships/footer" Target="footer1.xml"/><Relationship Id="rId7" Type="http://schemas.openxmlformats.org/officeDocument/2006/relationships/header" Target="header3.xml"/><Relationship Id="rId6" Type="http://schemas.openxmlformats.org/officeDocument/2006/relationships/header" Target="header2.xml"/><Relationship Id="rId5" Type="http://schemas.openxmlformats.org/officeDocument/2006/relationships/header" Target="head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5" Type="http://schemas.openxmlformats.org/officeDocument/2006/relationships/fontTable" Target="fontTable.xml"/><Relationship Id="rId14" Type="http://schemas.openxmlformats.org/officeDocument/2006/relationships/customXml" Target="../customXml/item3.xml"/><Relationship Id="rId13" Type="http://schemas.openxmlformats.org/officeDocument/2006/relationships/customXml" Target="../customXml/item2.xml"/><Relationship Id="rId12" Type="http://schemas.openxmlformats.org/officeDocument/2006/relationships/customXml" Target="../customXml/item1.xml"/><Relationship Id="rId11" Type="http://schemas.openxmlformats.org/officeDocument/2006/relationships/theme" Target="theme/theme1.xml"/><Relationship Id="rId10" Type="http://schemas.openxmlformats.org/officeDocument/2006/relationships/footer" Target="footer3.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TaxCatchAll xmlns="991c7ee6-3f51-4e6a-bb6c-7fecfb40caac" xsi:nil="true"/>
    <lcf76f155ced4ddcb4097134ff3c332f xmlns="1312bf59-367e-47f3-88b8-171688ec5f59">
      <Terms xmlns="http://schemas.microsoft.com/office/infopath/2007/PartnerControls"/>
    </lcf76f155ced4ddcb4097134ff3c332f>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227A25810009EC4BB1E2995EA89B9917" ma:contentTypeVersion="16" ma:contentTypeDescription="Create a new document." ma:contentTypeScope="" ma:versionID="caf625247e4563d4521e3289f08fd11b">
  <xsd:schema xmlns:xsd="http://www.w3.org/2001/XMLSchema" xmlns:xs="http://www.w3.org/2001/XMLSchema" xmlns:p="http://schemas.microsoft.com/office/2006/metadata/properties" xmlns:ns2="1312bf59-367e-47f3-88b8-171688ec5f59" xmlns:ns3="991c7ee6-3f51-4e6a-bb6c-7fecfb40caac" targetNamespace="http://schemas.microsoft.com/office/2006/metadata/properties" ma:root="true" ma:fieldsID="1ce1140bbdb8171980ff241822cc14a4" ns2:_="" ns3:_="">
    <xsd:import namespace="1312bf59-367e-47f3-88b8-171688ec5f59"/>
    <xsd:import namespace="991c7ee6-3f51-4e6a-bb6c-7fecfb40caac"/>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SearchProperties" minOccurs="0"/>
                <xsd:element ref="ns2:MediaServiceObjectDetectorVersions" minOccurs="0"/>
                <xsd:element ref="ns2:MediaServiceDateTaken" minOccurs="0"/>
                <xsd:element ref="ns2:MediaServiceGenerationTime" minOccurs="0"/>
                <xsd:element ref="ns2:MediaServiceEventHashCode" minOccurs="0"/>
                <xsd:element ref="ns2:MediaLengthInSeconds" minOccurs="0"/>
                <xsd:element ref="ns2:lcf76f155ced4ddcb4097134ff3c332f" minOccurs="0"/>
                <xsd:element ref="ns3:TaxCatchAll" minOccurs="0"/>
                <xsd:element ref="ns2: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312bf59-367e-47f3-88b8-171688ec5f5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LengthInSeconds" ma:index="19" nillable="true" ma:displayName="MediaLengthInSeconds" ma:hidden="true" ma:internalName="MediaLengthInSeconds" ma:readOnly="true">
      <xsd:simpleType>
        <xsd:restriction base="dms:Unknow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23"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991c7ee6-3f51-4e6a-bb6c-7fecfb40caac"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599f806d-1b7a-4551-8fe8-40c73f22f01c}" ma:internalName="TaxCatchAll" ma:showField="CatchAllData" ma:web="991c7ee6-3f51-4e6a-bb6c-7fecfb40caac">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BA167E6-7B44-4734-93F4-3A6EE8559F9C}">
  <ds:schemaRefs/>
</ds:datastoreItem>
</file>

<file path=customXml/itemProps2.xml><?xml version="1.0" encoding="utf-8"?>
<ds:datastoreItem xmlns:ds="http://schemas.openxmlformats.org/officeDocument/2006/customXml" ds:itemID="{B973FCD0-1212-4BAC-8C19-B8EDD477405C}">
  <ds:schemaRefs/>
</ds:datastoreItem>
</file>

<file path=customXml/itemProps3.xml><?xml version="1.0" encoding="utf-8"?>
<ds:datastoreItem xmlns:ds="http://schemas.openxmlformats.org/officeDocument/2006/customXml" ds:itemID="{CDA47E30-3679-4DF8-9381-26A82B6E966B}">
  <ds:schemaRefs/>
</ds:datastoreItem>
</file>

<file path=docProps/app.xml><?xml version="1.0" encoding="utf-8"?>
<Properties xmlns="http://schemas.openxmlformats.org/officeDocument/2006/extended-properties" xmlns:vt="http://schemas.openxmlformats.org/officeDocument/2006/docPropsVTypes">
  <Template>Normal</Template>
  <Pages>6</Pages>
  <Words>246</Words>
  <Characters>1404</Characters>
  <Lines>11</Lines>
  <Paragraphs>3</Paragraphs>
  <TotalTime>46</TotalTime>
  <ScaleCrop>false</ScaleCrop>
  <LinksUpToDate>false</LinksUpToDate>
  <CharactersWithSpaces>1647</CharactersWithSpaces>
  <Application>WPS Office_12.2.0.23196_F1E327BC-269C-435d-A152-05C5408002CA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2026-10-05T20:29:00Z</dcterms:created>
  <dc:creator>Stephanie John</dc:creator>
  <cp:lastModifiedBy>mfara</cp:lastModifiedBy>
  <dcterms:modified xsi:type="dcterms:W3CDTF">2026-10-24T11:18:41Z</dcterms:modified>
  <cp:revision>4</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0x010100227A25810009EC4BB1E2995EA89B9917</vt:lpwstr>
  </property>
  <property fmtid="{D5CDD505-2E9C-101B-9397-08002B2CF9AE}" pid="3" name="MediaServiceImageTags">
    <vt:lpwstr/>
  </property>
  <property fmtid="{D5CDD505-2E9C-101B-9397-08002B2CF9AE}" pid="4" name="KSOProductBuildVer">
    <vt:lpwstr>1033-12.2.0.23196</vt:lpwstr>
  </property>
  <property fmtid="{D5CDD505-2E9C-101B-9397-08002B2CF9AE}" pid="5" name="ICV">
    <vt:lpwstr>FA1BC6FD4422481C8741C8A4044C157E_13</vt:lpwstr>
  </property>
</Properties>
</file>