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992BD" w14:textId="12349A50" w:rsidR="008B15AB" w:rsidRDefault="008B15AB" w:rsidP="00023789">
      <w:r>
        <w:rPr>
          <w:noProof/>
        </w:rPr>
        <w:drawing>
          <wp:anchor distT="0" distB="0" distL="114300" distR="114300" simplePos="0" relativeHeight="251658240" behindDoc="1" locked="0" layoutInCell="1" allowOverlap="1" wp14:anchorId="79DC71A2" wp14:editId="6673E4D3">
            <wp:simplePos x="0" y="0"/>
            <wp:positionH relativeFrom="margin">
              <wp:align>center</wp:align>
            </wp:positionH>
            <wp:positionV relativeFrom="paragraph">
              <wp:posOffset>8626</wp:posOffset>
            </wp:positionV>
            <wp:extent cx="2091690" cy="836295"/>
            <wp:effectExtent l="0" t="0" r="3810" b="0"/>
            <wp:wrapTight wrapText="bothSides">
              <wp:wrapPolygon edited="0">
                <wp:start x="0" y="492"/>
                <wp:lineTo x="0" y="13777"/>
                <wp:lineTo x="984" y="17221"/>
                <wp:lineTo x="984" y="19189"/>
                <wp:lineTo x="8656" y="20665"/>
                <wp:lineTo x="9639" y="20665"/>
                <wp:lineTo x="16918" y="19681"/>
                <wp:lineTo x="18295" y="19189"/>
                <wp:lineTo x="17902" y="17221"/>
                <wp:lineTo x="21443" y="15253"/>
                <wp:lineTo x="21443" y="11317"/>
                <wp:lineTo x="18885" y="9349"/>
                <wp:lineTo x="20066" y="2952"/>
                <wp:lineTo x="19475" y="1476"/>
                <wp:lineTo x="15344" y="492"/>
                <wp:lineTo x="0" y="492"/>
              </wp:wrapPolygon>
            </wp:wrapTight>
            <wp:docPr id="321" name="Picture 321"/>
            <wp:cNvGraphicFramePr/>
            <a:graphic xmlns:a="http://schemas.openxmlformats.org/drawingml/2006/main">
              <a:graphicData uri="http://schemas.openxmlformats.org/drawingml/2006/picture">
                <pic:pic xmlns:pic="http://schemas.openxmlformats.org/drawingml/2006/picture">
                  <pic:nvPicPr>
                    <pic:cNvPr id="321" name="Picture 321"/>
                    <pic:cNvPicPr/>
                  </pic:nvPicPr>
                  <pic:blipFill>
                    <a:blip r:embed="rId11">
                      <a:extLst>
                        <a:ext uri="{28A0092B-C50C-407E-A947-70E740481C1C}">
                          <a14:useLocalDpi xmlns:a14="http://schemas.microsoft.com/office/drawing/2010/main" val="0"/>
                        </a:ext>
                      </a:extLst>
                    </a:blip>
                    <a:stretch>
                      <a:fillRect/>
                    </a:stretch>
                  </pic:blipFill>
                  <pic:spPr>
                    <a:xfrm>
                      <a:off x="0" y="0"/>
                      <a:ext cx="2091690" cy="836295"/>
                    </a:xfrm>
                    <a:prstGeom prst="rect">
                      <a:avLst/>
                    </a:prstGeom>
                  </pic:spPr>
                </pic:pic>
              </a:graphicData>
            </a:graphic>
            <wp14:sizeRelH relativeFrom="margin">
              <wp14:pctWidth>0</wp14:pctWidth>
            </wp14:sizeRelH>
            <wp14:sizeRelV relativeFrom="margin">
              <wp14:pctHeight>0</wp14:pctHeight>
            </wp14:sizeRelV>
          </wp:anchor>
        </w:drawing>
      </w:r>
    </w:p>
    <w:p w14:paraId="3FA403DA" w14:textId="77777777" w:rsidR="008B15AB" w:rsidRDefault="008B15AB" w:rsidP="00023789"/>
    <w:p w14:paraId="40662E2B" w14:textId="77777777" w:rsidR="003D6E60" w:rsidRDefault="003D6E60" w:rsidP="00023789"/>
    <w:p w14:paraId="5F72150F" w14:textId="77777777" w:rsidR="003D6E60" w:rsidRDefault="003D6E60" w:rsidP="008B15AB">
      <w:pPr>
        <w:jc w:val="center"/>
        <w:rPr>
          <w:b/>
          <w:sz w:val="24"/>
          <w:szCs w:val="24"/>
          <w:u w:val="single"/>
        </w:rPr>
      </w:pPr>
    </w:p>
    <w:p w14:paraId="40BC6FDC" w14:textId="0AEEDC30" w:rsidR="008B15AB" w:rsidRPr="003D6E60" w:rsidRDefault="008B15AB" w:rsidP="008B15AB">
      <w:pPr>
        <w:jc w:val="center"/>
        <w:rPr>
          <w:sz w:val="24"/>
          <w:szCs w:val="24"/>
          <w:u w:val="single"/>
        </w:rPr>
      </w:pPr>
      <w:r w:rsidRPr="003D6E60">
        <w:rPr>
          <w:b/>
          <w:sz w:val="24"/>
          <w:szCs w:val="24"/>
          <w:u w:val="single"/>
        </w:rPr>
        <w:t>Assignment Title:</w:t>
      </w:r>
    </w:p>
    <w:p w14:paraId="66FD0404" w14:textId="6C1F5D12" w:rsidR="008B15AB" w:rsidRPr="005D59E6" w:rsidRDefault="008B15AB" w:rsidP="005D59E6">
      <w:pPr>
        <w:jc w:val="center"/>
        <w:rPr>
          <w:sz w:val="24"/>
          <w:szCs w:val="24"/>
        </w:rPr>
      </w:pPr>
      <w:r>
        <w:rPr>
          <w:sz w:val="24"/>
          <w:szCs w:val="24"/>
        </w:rPr>
        <w:t xml:space="preserve">‘Report on </w:t>
      </w:r>
      <w:r w:rsidRPr="008B15AB">
        <w:rPr>
          <w:sz w:val="24"/>
          <w:szCs w:val="24"/>
        </w:rPr>
        <w:t>Depr</w:t>
      </w:r>
      <w:r>
        <w:rPr>
          <w:sz w:val="24"/>
          <w:szCs w:val="24"/>
        </w:rPr>
        <w:t>ession as a Public Health Issue’</w:t>
      </w:r>
    </w:p>
    <w:p w14:paraId="138FE9FE" w14:textId="25E94C11" w:rsidR="008B15AB" w:rsidRPr="008B15AB" w:rsidRDefault="008B15AB" w:rsidP="005D59E6">
      <w:pPr>
        <w:jc w:val="center"/>
        <w:rPr>
          <w:sz w:val="24"/>
          <w:szCs w:val="24"/>
        </w:rPr>
      </w:pPr>
      <w:r w:rsidRPr="008B15AB">
        <w:rPr>
          <w:b/>
          <w:sz w:val="24"/>
          <w:szCs w:val="24"/>
        </w:rPr>
        <w:t>Module:</w:t>
      </w:r>
      <w:r>
        <w:rPr>
          <w:sz w:val="24"/>
          <w:szCs w:val="24"/>
        </w:rPr>
        <w:t xml:space="preserve"> </w:t>
      </w:r>
      <w:r w:rsidRPr="008B15AB">
        <w:rPr>
          <w:sz w:val="24"/>
          <w:szCs w:val="24"/>
        </w:rPr>
        <w:t>Introduction to Public Health</w:t>
      </w:r>
    </w:p>
    <w:p w14:paraId="13107544" w14:textId="0217F98D" w:rsidR="008B15AB" w:rsidRPr="008B15AB" w:rsidRDefault="008B15AB" w:rsidP="005D59E6">
      <w:pPr>
        <w:jc w:val="center"/>
        <w:rPr>
          <w:sz w:val="24"/>
          <w:szCs w:val="24"/>
        </w:rPr>
      </w:pPr>
      <w:r>
        <w:rPr>
          <w:b/>
          <w:sz w:val="24"/>
          <w:szCs w:val="24"/>
        </w:rPr>
        <w:t>Module C</w:t>
      </w:r>
      <w:r w:rsidRPr="008B15AB">
        <w:rPr>
          <w:b/>
          <w:sz w:val="24"/>
          <w:szCs w:val="24"/>
        </w:rPr>
        <w:t>ode:</w:t>
      </w:r>
      <w:r>
        <w:rPr>
          <w:sz w:val="24"/>
          <w:szCs w:val="24"/>
        </w:rPr>
        <w:t xml:space="preserve"> </w:t>
      </w:r>
      <w:r w:rsidRPr="008B15AB">
        <w:rPr>
          <w:sz w:val="24"/>
          <w:szCs w:val="24"/>
        </w:rPr>
        <w:t>LCHS4008</w:t>
      </w:r>
    </w:p>
    <w:p w14:paraId="796F69D2" w14:textId="35AA95B4" w:rsidR="008B15AB" w:rsidRDefault="008B15AB" w:rsidP="005D59E6">
      <w:pPr>
        <w:jc w:val="center"/>
        <w:rPr>
          <w:sz w:val="24"/>
          <w:szCs w:val="24"/>
        </w:rPr>
      </w:pPr>
      <w:r w:rsidRPr="008B15AB">
        <w:rPr>
          <w:b/>
          <w:sz w:val="24"/>
          <w:szCs w:val="24"/>
        </w:rPr>
        <w:t>Lecturer:</w:t>
      </w:r>
      <w:r>
        <w:rPr>
          <w:sz w:val="24"/>
          <w:szCs w:val="24"/>
        </w:rPr>
        <w:t xml:space="preserve"> </w:t>
      </w:r>
      <w:r w:rsidR="00BB1624">
        <w:rPr>
          <w:sz w:val="24"/>
          <w:szCs w:val="24"/>
        </w:rPr>
        <w:t>Tonia Babalola</w:t>
      </w:r>
    </w:p>
    <w:p w14:paraId="0A4278F9" w14:textId="77777777" w:rsidR="005D59E6" w:rsidRDefault="005D59E6" w:rsidP="005D59E6">
      <w:pPr>
        <w:jc w:val="center"/>
        <w:rPr>
          <w:sz w:val="24"/>
          <w:szCs w:val="24"/>
        </w:rPr>
      </w:pPr>
    </w:p>
    <w:p w14:paraId="00497423" w14:textId="338F4C87" w:rsidR="005D59E6" w:rsidRPr="005D59E6" w:rsidRDefault="005D59E6" w:rsidP="005D59E6">
      <w:pPr>
        <w:jc w:val="center"/>
        <w:rPr>
          <w:b/>
          <w:sz w:val="24"/>
          <w:szCs w:val="24"/>
        </w:rPr>
      </w:pPr>
      <w:r w:rsidRPr="005D59E6">
        <w:rPr>
          <w:b/>
          <w:sz w:val="24"/>
          <w:szCs w:val="24"/>
        </w:rPr>
        <w:t>Student Name:</w:t>
      </w:r>
      <w:r>
        <w:rPr>
          <w:b/>
          <w:sz w:val="24"/>
          <w:szCs w:val="24"/>
        </w:rPr>
        <w:t xml:space="preserve"> </w:t>
      </w:r>
      <w:r w:rsidRPr="005D59E6">
        <w:rPr>
          <w:sz w:val="24"/>
          <w:szCs w:val="24"/>
        </w:rPr>
        <w:t xml:space="preserve">Fernanda </w:t>
      </w:r>
      <w:r w:rsidR="00006184">
        <w:rPr>
          <w:sz w:val="24"/>
          <w:szCs w:val="24"/>
        </w:rPr>
        <w:t>Egypc Ponta Garca Carvalho</w:t>
      </w:r>
    </w:p>
    <w:p w14:paraId="426D5B55" w14:textId="3BD76E74" w:rsidR="005D59E6" w:rsidRPr="005D59E6" w:rsidRDefault="005D59E6" w:rsidP="005D59E6">
      <w:pPr>
        <w:jc w:val="center"/>
        <w:rPr>
          <w:b/>
          <w:sz w:val="24"/>
          <w:szCs w:val="24"/>
        </w:rPr>
      </w:pPr>
      <w:r w:rsidRPr="005D59E6">
        <w:rPr>
          <w:b/>
          <w:sz w:val="24"/>
          <w:szCs w:val="24"/>
        </w:rPr>
        <w:t>Student ID Number:</w:t>
      </w:r>
      <w:r w:rsidR="00BB1624">
        <w:rPr>
          <w:b/>
          <w:sz w:val="24"/>
          <w:szCs w:val="24"/>
        </w:rPr>
        <w:t xml:space="preserve"> </w:t>
      </w:r>
      <w:r w:rsidR="00006184">
        <w:rPr>
          <w:b/>
          <w:sz w:val="24"/>
          <w:szCs w:val="24"/>
        </w:rPr>
        <w:t>2525</w:t>
      </w:r>
      <w:r w:rsidR="00BB1624">
        <w:rPr>
          <w:b/>
          <w:sz w:val="24"/>
          <w:szCs w:val="24"/>
        </w:rPr>
        <w:t>127</w:t>
      </w:r>
    </w:p>
    <w:p w14:paraId="7838724C" w14:textId="77777777" w:rsidR="00D63C1E" w:rsidRDefault="00D63C1E">
      <w:pPr>
        <w:spacing w:line="259" w:lineRule="auto"/>
        <w:jc w:val="left"/>
        <w:rPr>
          <w:rFonts w:eastAsia="Times New Roman" w:cstheme="majorBidi"/>
          <w:b/>
          <w:color w:val="4472C4" w:themeColor="accent1"/>
          <w:sz w:val="26"/>
          <w:szCs w:val="32"/>
        </w:rPr>
      </w:pPr>
      <w:r>
        <w:rPr>
          <w:rFonts w:eastAsia="Times New Roman"/>
        </w:rPr>
        <w:br w:type="page"/>
      </w:r>
    </w:p>
    <w:sdt>
      <w:sdtPr>
        <w:rPr>
          <w:rFonts w:ascii="Arial" w:eastAsiaTheme="minorHAnsi" w:hAnsi="Arial" w:cstheme="minorBidi"/>
          <w:color w:val="auto"/>
          <w:sz w:val="22"/>
          <w:szCs w:val="22"/>
        </w:rPr>
        <w:id w:val="-289590765"/>
        <w:docPartObj>
          <w:docPartGallery w:val="Table of Contents"/>
          <w:docPartUnique/>
        </w:docPartObj>
      </w:sdtPr>
      <w:sdtEndPr>
        <w:rPr>
          <w:b/>
          <w:bCs/>
          <w:noProof/>
        </w:rPr>
      </w:sdtEndPr>
      <w:sdtContent>
        <w:p w14:paraId="20649DCB" w14:textId="2A652DD2" w:rsidR="00845267" w:rsidRPr="00845267" w:rsidRDefault="00845267">
          <w:pPr>
            <w:pStyle w:val="TOCHeading"/>
            <w:rPr>
              <w:rFonts w:ascii="Arial" w:hAnsi="Arial" w:cs="Arial"/>
            </w:rPr>
          </w:pPr>
          <w:r w:rsidRPr="00845267">
            <w:rPr>
              <w:rFonts w:ascii="Arial" w:hAnsi="Arial" w:cs="Arial"/>
            </w:rPr>
            <w:t>Contents</w:t>
          </w:r>
        </w:p>
        <w:p w14:paraId="2CC3DDBA" w14:textId="77777777" w:rsidR="00CA6A8B" w:rsidRDefault="00845267">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34697688" w:history="1">
            <w:r w:rsidR="00CA6A8B" w:rsidRPr="001A7211">
              <w:rPr>
                <w:rStyle w:val="Hyperlink"/>
                <w:rFonts w:eastAsia="Times New Roman"/>
                <w:noProof/>
              </w:rPr>
              <w:t>1. Introduction</w:t>
            </w:r>
            <w:r w:rsidR="00CA6A8B">
              <w:rPr>
                <w:noProof/>
                <w:webHidden/>
              </w:rPr>
              <w:tab/>
            </w:r>
            <w:r w:rsidR="00CA6A8B">
              <w:rPr>
                <w:noProof/>
                <w:webHidden/>
              </w:rPr>
              <w:fldChar w:fldCharType="begin"/>
            </w:r>
            <w:r w:rsidR="00CA6A8B">
              <w:rPr>
                <w:noProof/>
                <w:webHidden/>
              </w:rPr>
              <w:instrText xml:space="preserve"> PAGEREF _Toc234697688 \h </w:instrText>
            </w:r>
            <w:r w:rsidR="00CA6A8B">
              <w:rPr>
                <w:noProof/>
                <w:webHidden/>
              </w:rPr>
            </w:r>
            <w:r w:rsidR="00CA6A8B">
              <w:rPr>
                <w:noProof/>
                <w:webHidden/>
              </w:rPr>
              <w:fldChar w:fldCharType="separate"/>
            </w:r>
            <w:r w:rsidR="00CA6A8B">
              <w:rPr>
                <w:noProof/>
                <w:webHidden/>
              </w:rPr>
              <w:t>3</w:t>
            </w:r>
            <w:r w:rsidR="00CA6A8B">
              <w:rPr>
                <w:noProof/>
                <w:webHidden/>
              </w:rPr>
              <w:fldChar w:fldCharType="end"/>
            </w:r>
          </w:hyperlink>
        </w:p>
        <w:p w14:paraId="711E046E" w14:textId="77777777" w:rsidR="00CA6A8B" w:rsidRDefault="00CA6A8B">
          <w:pPr>
            <w:pStyle w:val="TOC1"/>
            <w:tabs>
              <w:tab w:val="right" w:leader="dot" w:pos="9016"/>
            </w:tabs>
            <w:rPr>
              <w:rFonts w:asciiTheme="minorHAnsi" w:eastAsiaTheme="minorEastAsia" w:hAnsiTheme="minorHAnsi"/>
              <w:noProof/>
              <w:lang w:val="en-GB" w:eastAsia="en-GB"/>
            </w:rPr>
          </w:pPr>
          <w:hyperlink w:anchor="_Toc234697689" w:history="1">
            <w:r w:rsidRPr="001A7211">
              <w:rPr>
                <w:rStyle w:val="Hyperlink"/>
                <w:rFonts w:eastAsia="Times New Roman"/>
                <w:noProof/>
              </w:rPr>
              <w:t>2. Main Body</w:t>
            </w:r>
            <w:r>
              <w:rPr>
                <w:noProof/>
                <w:webHidden/>
              </w:rPr>
              <w:tab/>
            </w:r>
            <w:r>
              <w:rPr>
                <w:noProof/>
                <w:webHidden/>
              </w:rPr>
              <w:fldChar w:fldCharType="begin"/>
            </w:r>
            <w:r>
              <w:rPr>
                <w:noProof/>
                <w:webHidden/>
              </w:rPr>
              <w:instrText xml:space="preserve"> PAGEREF _Toc234697689 \h </w:instrText>
            </w:r>
            <w:r>
              <w:rPr>
                <w:noProof/>
                <w:webHidden/>
              </w:rPr>
            </w:r>
            <w:r>
              <w:rPr>
                <w:noProof/>
                <w:webHidden/>
              </w:rPr>
              <w:fldChar w:fldCharType="separate"/>
            </w:r>
            <w:r>
              <w:rPr>
                <w:noProof/>
                <w:webHidden/>
              </w:rPr>
              <w:t>4</w:t>
            </w:r>
            <w:r>
              <w:rPr>
                <w:noProof/>
                <w:webHidden/>
              </w:rPr>
              <w:fldChar w:fldCharType="end"/>
            </w:r>
          </w:hyperlink>
        </w:p>
        <w:p w14:paraId="279CE454" w14:textId="77777777" w:rsidR="00CA6A8B" w:rsidRDefault="00CA6A8B">
          <w:pPr>
            <w:pStyle w:val="TOC2"/>
            <w:tabs>
              <w:tab w:val="right" w:leader="dot" w:pos="9016"/>
            </w:tabs>
            <w:rPr>
              <w:rFonts w:asciiTheme="minorHAnsi" w:eastAsiaTheme="minorEastAsia" w:hAnsiTheme="minorHAnsi"/>
              <w:noProof/>
              <w:lang w:val="en-GB" w:eastAsia="en-GB"/>
            </w:rPr>
          </w:pPr>
          <w:hyperlink w:anchor="_Toc234697690" w:history="1">
            <w:r w:rsidRPr="001A7211">
              <w:rPr>
                <w:rStyle w:val="Hyperlink"/>
                <w:rFonts w:eastAsia="Times New Roman"/>
                <w:noProof/>
              </w:rPr>
              <w:t>2.1 Methods for Assessing and Monitoring Depression</w:t>
            </w:r>
            <w:r>
              <w:rPr>
                <w:noProof/>
                <w:webHidden/>
              </w:rPr>
              <w:tab/>
            </w:r>
            <w:r>
              <w:rPr>
                <w:noProof/>
                <w:webHidden/>
              </w:rPr>
              <w:fldChar w:fldCharType="begin"/>
            </w:r>
            <w:r>
              <w:rPr>
                <w:noProof/>
                <w:webHidden/>
              </w:rPr>
              <w:instrText xml:space="preserve"> PAGEREF _Toc234697690 \h </w:instrText>
            </w:r>
            <w:r>
              <w:rPr>
                <w:noProof/>
                <w:webHidden/>
              </w:rPr>
            </w:r>
            <w:r>
              <w:rPr>
                <w:noProof/>
                <w:webHidden/>
              </w:rPr>
              <w:fldChar w:fldCharType="separate"/>
            </w:r>
            <w:r>
              <w:rPr>
                <w:noProof/>
                <w:webHidden/>
              </w:rPr>
              <w:t>4</w:t>
            </w:r>
            <w:r>
              <w:rPr>
                <w:noProof/>
                <w:webHidden/>
              </w:rPr>
              <w:fldChar w:fldCharType="end"/>
            </w:r>
          </w:hyperlink>
        </w:p>
        <w:p w14:paraId="48F02170" w14:textId="77777777" w:rsidR="00CA6A8B" w:rsidRDefault="00CA6A8B">
          <w:pPr>
            <w:pStyle w:val="TOC2"/>
            <w:tabs>
              <w:tab w:val="right" w:leader="dot" w:pos="9016"/>
            </w:tabs>
            <w:rPr>
              <w:rFonts w:asciiTheme="minorHAnsi" w:eastAsiaTheme="minorEastAsia" w:hAnsiTheme="minorHAnsi"/>
              <w:noProof/>
              <w:lang w:val="en-GB" w:eastAsia="en-GB"/>
            </w:rPr>
          </w:pPr>
          <w:hyperlink w:anchor="_Toc234697691" w:history="1">
            <w:r w:rsidRPr="001A7211">
              <w:rPr>
                <w:rStyle w:val="Hyperlink"/>
                <w:rFonts w:eastAsia="Times New Roman"/>
                <w:noProof/>
              </w:rPr>
              <w:t>2.2 Depression Management</w:t>
            </w:r>
            <w:r>
              <w:rPr>
                <w:noProof/>
                <w:webHidden/>
              </w:rPr>
              <w:tab/>
            </w:r>
            <w:r>
              <w:rPr>
                <w:noProof/>
                <w:webHidden/>
              </w:rPr>
              <w:fldChar w:fldCharType="begin"/>
            </w:r>
            <w:r>
              <w:rPr>
                <w:noProof/>
                <w:webHidden/>
              </w:rPr>
              <w:instrText xml:space="preserve"> PAGEREF _Toc234697691 \h </w:instrText>
            </w:r>
            <w:r>
              <w:rPr>
                <w:noProof/>
                <w:webHidden/>
              </w:rPr>
            </w:r>
            <w:r>
              <w:rPr>
                <w:noProof/>
                <w:webHidden/>
              </w:rPr>
              <w:fldChar w:fldCharType="separate"/>
            </w:r>
            <w:r>
              <w:rPr>
                <w:noProof/>
                <w:webHidden/>
              </w:rPr>
              <w:t>5</w:t>
            </w:r>
            <w:r>
              <w:rPr>
                <w:noProof/>
                <w:webHidden/>
              </w:rPr>
              <w:fldChar w:fldCharType="end"/>
            </w:r>
          </w:hyperlink>
        </w:p>
        <w:p w14:paraId="3F3FA4FF" w14:textId="77777777" w:rsidR="00CA6A8B" w:rsidRDefault="00CA6A8B">
          <w:pPr>
            <w:pStyle w:val="TOC2"/>
            <w:tabs>
              <w:tab w:val="right" w:leader="dot" w:pos="9016"/>
            </w:tabs>
            <w:rPr>
              <w:rFonts w:asciiTheme="minorHAnsi" w:eastAsiaTheme="minorEastAsia" w:hAnsiTheme="minorHAnsi"/>
              <w:noProof/>
              <w:lang w:val="en-GB" w:eastAsia="en-GB"/>
            </w:rPr>
          </w:pPr>
          <w:hyperlink w:anchor="_Toc234697692" w:history="1">
            <w:r w:rsidRPr="001A7211">
              <w:rPr>
                <w:rStyle w:val="Hyperlink"/>
                <w:rFonts w:eastAsia="Times New Roman"/>
                <w:noProof/>
              </w:rPr>
              <w:t>2.3 The Effects of Depression on People and Communities</w:t>
            </w:r>
            <w:r>
              <w:rPr>
                <w:noProof/>
                <w:webHidden/>
              </w:rPr>
              <w:tab/>
            </w:r>
            <w:r>
              <w:rPr>
                <w:noProof/>
                <w:webHidden/>
              </w:rPr>
              <w:fldChar w:fldCharType="begin"/>
            </w:r>
            <w:r>
              <w:rPr>
                <w:noProof/>
                <w:webHidden/>
              </w:rPr>
              <w:instrText xml:space="preserve"> PAGEREF _Toc234697692 \h </w:instrText>
            </w:r>
            <w:r>
              <w:rPr>
                <w:noProof/>
                <w:webHidden/>
              </w:rPr>
            </w:r>
            <w:r>
              <w:rPr>
                <w:noProof/>
                <w:webHidden/>
              </w:rPr>
              <w:fldChar w:fldCharType="separate"/>
            </w:r>
            <w:r>
              <w:rPr>
                <w:noProof/>
                <w:webHidden/>
              </w:rPr>
              <w:t>6</w:t>
            </w:r>
            <w:r>
              <w:rPr>
                <w:noProof/>
                <w:webHidden/>
              </w:rPr>
              <w:fldChar w:fldCharType="end"/>
            </w:r>
          </w:hyperlink>
        </w:p>
        <w:p w14:paraId="07A9A647" w14:textId="77777777" w:rsidR="00CA6A8B" w:rsidRDefault="00CA6A8B">
          <w:pPr>
            <w:pStyle w:val="TOC2"/>
            <w:tabs>
              <w:tab w:val="right" w:leader="dot" w:pos="9016"/>
            </w:tabs>
            <w:rPr>
              <w:rFonts w:asciiTheme="minorHAnsi" w:eastAsiaTheme="minorEastAsia" w:hAnsiTheme="minorHAnsi"/>
              <w:noProof/>
              <w:lang w:val="en-GB" w:eastAsia="en-GB"/>
            </w:rPr>
          </w:pPr>
          <w:hyperlink w:anchor="_Toc234697693" w:history="1">
            <w:r w:rsidRPr="001A7211">
              <w:rPr>
                <w:rStyle w:val="Hyperlink"/>
                <w:rFonts w:eastAsia="Times New Roman"/>
                <w:noProof/>
              </w:rPr>
              <w:t>2.4 Services for Supporting Health and Social Care</w:t>
            </w:r>
            <w:r>
              <w:rPr>
                <w:noProof/>
                <w:webHidden/>
              </w:rPr>
              <w:tab/>
            </w:r>
            <w:r>
              <w:rPr>
                <w:noProof/>
                <w:webHidden/>
              </w:rPr>
              <w:fldChar w:fldCharType="begin"/>
            </w:r>
            <w:r>
              <w:rPr>
                <w:noProof/>
                <w:webHidden/>
              </w:rPr>
              <w:instrText xml:space="preserve"> PAGEREF _Toc234697693 \h </w:instrText>
            </w:r>
            <w:r>
              <w:rPr>
                <w:noProof/>
                <w:webHidden/>
              </w:rPr>
            </w:r>
            <w:r>
              <w:rPr>
                <w:noProof/>
                <w:webHidden/>
              </w:rPr>
              <w:fldChar w:fldCharType="separate"/>
            </w:r>
            <w:r>
              <w:rPr>
                <w:noProof/>
                <w:webHidden/>
              </w:rPr>
              <w:t>7</w:t>
            </w:r>
            <w:r>
              <w:rPr>
                <w:noProof/>
                <w:webHidden/>
              </w:rPr>
              <w:fldChar w:fldCharType="end"/>
            </w:r>
          </w:hyperlink>
        </w:p>
        <w:p w14:paraId="125CAAE4" w14:textId="77777777" w:rsidR="00CA6A8B" w:rsidRDefault="00CA6A8B">
          <w:pPr>
            <w:pStyle w:val="TOC1"/>
            <w:tabs>
              <w:tab w:val="right" w:leader="dot" w:pos="9016"/>
            </w:tabs>
            <w:rPr>
              <w:rFonts w:asciiTheme="minorHAnsi" w:eastAsiaTheme="minorEastAsia" w:hAnsiTheme="minorHAnsi"/>
              <w:noProof/>
              <w:lang w:val="en-GB" w:eastAsia="en-GB"/>
            </w:rPr>
          </w:pPr>
          <w:hyperlink w:anchor="_Toc234697694" w:history="1">
            <w:r w:rsidRPr="001A7211">
              <w:rPr>
                <w:rStyle w:val="Hyperlink"/>
                <w:rFonts w:eastAsia="Times New Roman"/>
                <w:noProof/>
              </w:rPr>
              <w:t>3. Conclusion</w:t>
            </w:r>
            <w:r>
              <w:rPr>
                <w:noProof/>
                <w:webHidden/>
              </w:rPr>
              <w:tab/>
            </w:r>
            <w:r>
              <w:rPr>
                <w:noProof/>
                <w:webHidden/>
              </w:rPr>
              <w:fldChar w:fldCharType="begin"/>
            </w:r>
            <w:r>
              <w:rPr>
                <w:noProof/>
                <w:webHidden/>
              </w:rPr>
              <w:instrText xml:space="preserve"> PAGEREF _Toc234697694 \h </w:instrText>
            </w:r>
            <w:r>
              <w:rPr>
                <w:noProof/>
                <w:webHidden/>
              </w:rPr>
            </w:r>
            <w:r>
              <w:rPr>
                <w:noProof/>
                <w:webHidden/>
              </w:rPr>
              <w:fldChar w:fldCharType="separate"/>
            </w:r>
            <w:r>
              <w:rPr>
                <w:noProof/>
                <w:webHidden/>
              </w:rPr>
              <w:t>8</w:t>
            </w:r>
            <w:r>
              <w:rPr>
                <w:noProof/>
                <w:webHidden/>
              </w:rPr>
              <w:fldChar w:fldCharType="end"/>
            </w:r>
          </w:hyperlink>
        </w:p>
        <w:p w14:paraId="0814B00B" w14:textId="77777777" w:rsidR="00CA6A8B" w:rsidRDefault="00CA6A8B">
          <w:pPr>
            <w:pStyle w:val="TOC1"/>
            <w:tabs>
              <w:tab w:val="right" w:leader="dot" w:pos="9016"/>
            </w:tabs>
            <w:rPr>
              <w:rFonts w:asciiTheme="minorHAnsi" w:eastAsiaTheme="minorEastAsia" w:hAnsiTheme="minorHAnsi"/>
              <w:noProof/>
              <w:lang w:val="en-GB" w:eastAsia="en-GB"/>
            </w:rPr>
          </w:pPr>
          <w:hyperlink w:anchor="_Toc234697695" w:history="1">
            <w:r w:rsidRPr="001A7211">
              <w:rPr>
                <w:rStyle w:val="Hyperlink"/>
                <w:noProof/>
              </w:rPr>
              <w:t>Reference List</w:t>
            </w:r>
            <w:r>
              <w:rPr>
                <w:noProof/>
                <w:webHidden/>
              </w:rPr>
              <w:tab/>
            </w:r>
            <w:r>
              <w:rPr>
                <w:noProof/>
                <w:webHidden/>
              </w:rPr>
              <w:fldChar w:fldCharType="begin"/>
            </w:r>
            <w:r>
              <w:rPr>
                <w:noProof/>
                <w:webHidden/>
              </w:rPr>
              <w:instrText xml:space="preserve"> PAGEREF _Toc234697695 \h </w:instrText>
            </w:r>
            <w:r>
              <w:rPr>
                <w:noProof/>
                <w:webHidden/>
              </w:rPr>
            </w:r>
            <w:r>
              <w:rPr>
                <w:noProof/>
                <w:webHidden/>
              </w:rPr>
              <w:fldChar w:fldCharType="separate"/>
            </w:r>
            <w:r>
              <w:rPr>
                <w:noProof/>
                <w:webHidden/>
              </w:rPr>
              <w:t>9</w:t>
            </w:r>
            <w:r>
              <w:rPr>
                <w:noProof/>
                <w:webHidden/>
              </w:rPr>
              <w:fldChar w:fldCharType="end"/>
            </w:r>
          </w:hyperlink>
        </w:p>
        <w:p w14:paraId="4F062DE1" w14:textId="48240F21" w:rsidR="00845267" w:rsidRDefault="00845267">
          <w:r>
            <w:rPr>
              <w:b/>
              <w:bCs/>
              <w:noProof/>
            </w:rPr>
            <w:fldChar w:fldCharType="end"/>
          </w:r>
        </w:p>
      </w:sdtContent>
    </w:sdt>
    <w:p w14:paraId="06458F54" w14:textId="77777777" w:rsidR="00845267" w:rsidRDefault="00845267">
      <w:pPr>
        <w:spacing w:line="259" w:lineRule="auto"/>
        <w:jc w:val="left"/>
        <w:rPr>
          <w:rFonts w:eastAsia="Times New Roman" w:cstheme="majorBidi"/>
          <w:b/>
          <w:color w:val="4472C4" w:themeColor="accent1"/>
          <w:sz w:val="26"/>
          <w:szCs w:val="32"/>
        </w:rPr>
      </w:pPr>
      <w:r>
        <w:rPr>
          <w:rFonts w:eastAsia="Times New Roman"/>
        </w:rPr>
        <w:br w:type="page"/>
      </w:r>
    </w:p>
    <w:p w14:paraId="3043F0F1" w14:textId="71F605B3" w:rsidR="00023789" w:rsidRPr="00023789" w:rsidRDefault="00023789" w:rsidP="00D63C1E">
      <w:pPr>
        <w:pStyle w:val="Heading1"/>
        <w:rPr>
          <w:rFonts w:eastAsia="Times New Roman"/>
        </w:rPr>
      </w:pPr>
      <w:bookmarkStart w:id="0" w:name="_Toc234697688"/>
      <w:r w:rsidRPr="00023789">
        <w:rPr>
          <w:rFonts w:eastAsia="Times New Roman"/>
        </w:rPr>
        <w:lastRenderedPageBreak/>
        <w:t>1. Introduction</w:t>
      </w:r>
      <w:bookmarkEnd w:id="0"/>
    </w:p>
    <w:p w14:paraId="397F2D03" w14:textId="64262301" w:rsidR="00023789" w:rsidRDefault="00023789" w:rsidP="00023789">
      <w:r w:rsidRPr="00023789">
        <w:t>The term depression is a prevalent mental illness that greatly hinders a person's capacity to carry out everyday tasks, and it is typified by enduring feelings of melancholy, disinterest, and low energy</w:t>
      </w:r>
      <w:r w:rsidR="00794F2F" w:rsidRPr="00794F2F">
        <w:t xml:space="preserve"> (Amarasekera et al., 2026)</w:t>
      </w:r>
      <w:r w:rsidRPr="00023789">
        <w:t>. Most importantly, depressed mental health, exhaustion, difficulty falling asleep, trouble focusing, and an impression of inferiority are typical indications; in extreme situations, suicidal thoughts may occur</w:t>
      </w:r>
      <w:r w:rsidR="00794F2F" w:rsidRPr="00794F2F">
        <w:t xml:space="preserve"> (Gillett et al., 2026)</w:t>
      </w:r>
      <w:r w:rsidRPr="00023789">
        <w:t>. The research report of the World Health Organi</w:t>
      </w:r>
      <w:r>
        <w:t>sation</w:t>
      </w:r>
      <w:r w:rsidRPr="00023789">
        <w:t xml:space="preserve"> (WHO) found that around 5.8% of adults worldwide suffer from depression, which is one of the main causes of disability, and this is a particularly important issue in the United Kingdom</w:t>
      </w:r>
      <w:r w:rsidR="00794F2F" w:rsidRPr="00794F2F">
        <w:t xml:space="preserve"> (Priory Group, 2025)</w:t>
      </w:r>
      <w:r w:rsidRPr="00023789">
        <w:t>.</w:t>
      </w:r>
    </w:p>
    <w:p w14:paraId="2619C2E5" w14:textId="0266D9E2" w:rsidR="00794F2F" w:rsidRDefault="00794F2F" w:rsidP="00794F2F">
      <w:pPr>
        <w:jc w:val="center"/>
      </w:pPr>
      <w:r>
        <w:rPr>
          <w:noProof/>
          <w:lang w:val="en-GB" w:eastAsia="en-GB"/>
        </w:rPr>
        <w:drawing>
          <wp:inline distT="0" distB="0" distL="0" distR="0" wp14:anchorId="1528606B" wp14:editId="11A50688">
            <wp:extent cx="3782557" cy="2194543"/>
            <wp:effectExtent l="0" t="0" r="8890" b="0"/>
            <wp:docPr id="2" name="Picture 2" descr="UN health agency reports depression now 'leading cause of disability  worldwide' – UNAA Victo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 health agency reports depression now 'leading cause of disability  worldwide' – UNAA Victoria"/>
                    <pic:cNvPicPr>
                      <a:picLocks noChangeAspect="1" noChangeArrowheads="1"/>
                    </pic:cNvPicPr>
                  </pic:nvPicPr>
                  <pic:blipFill>
                    <a:blip r:embed="rId12" cstate="print">
                      <a:extLst>
                        <a:ext uri="{BEBA8EAE-BF5A-486C-A8C5-ECC9F3942E4B}">
                          <a14:imgProps xmlns:a14="http://schemas.microsoft.com/office/drawing/2010/main">
                            <a14:imgLayer r:embed="rId13">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805681" cy="2207959"/>
                    </a:xfrm>
                    <a:prstGeom prst="rect">
                      <a:avLst/>
                    </a:prstGeom>
                    <a:noFill/>
                    <a:ln>
                      <a:noFill/>
                    </a:ln>
                  </pic:spPr>
                </pic:pic>
              </a:graphicData>
            </a:graphic>
          </wp:inline>
        </w:drawing>
      </w:r>
    </w:p>
    <w:p w14:paraId="3EC15724" w14:textId="4D959B96" w:rsidR="00794F2F" w:rsidRPr="00023789" w:rsidRDefault="00794F2F" w:rsidP="00794F2F">
      <w:pPr>
        <w:jc w:val="center"/>
      </w:pPr>
      <w:r>
        <w:t xml:space="preserve">Source: </w:t>
      </w:r>
      <w:r w:rsidRPr="00794F2F">
        <w:t>(Priory Group, 2025)</w:t>
      </w:r>
    </w:p>
    <w:p w14:paraId="66F06CBD" w14:textId="77777777" w:rsidR="00680E8C" w:rsidRDefault="00023789" w:rsidP="00023789">
      <w:r w:rsidRPr="00023789">
        <w:t>On the other hand, the research of ONS or Office for National Statistics found that approximately 19% of individuals had moderate to severe depression symptoms in 2025, up from about 15% prior to the COVID-19 pandemic, and 28% of young individuals between the ages of 17 and 28 had the greatest prevalence</w:t>
      </w:r>
      <w:r w:rsidR="00794F2F">
        <w:t xml:space="preserve"> </w:t>
      </w:r>
      <w:r w:rsidR="00794F2F" w:rsidRPr="00794F2F">
        <w:t>(Public, 2025)</w:t>
      </w:r>
      <w:r w:rsidRPr="00023789">
        <w:t xml:space="preserve">. </w:t>
      </w:r>
    </w:p>
    <w:p w14:paraId="6A9EC66C" w14:textId="77777777" w:rsidR="003A1403" w:rsidRDefault="003A1403">
      <w:pPr>
        <w:spacing w:line="259" w:lineRule="auto"/>
        <w:jc w:val="left"/>
      </w:pPr>
      <w:r>
        <w:br w:type="page"/>
      </w:r>
    </w:p>
    <w:p w14:paraId="00FC5432" w14:textId="1C99B6FD" w:rsidR="00023789" w:rsidRPr="00023789" w:rsidRDefault="00023789" w:rsidP="00D63C1E">
      <w:pPr>
        <w:pStyle w:val="Heading1"/>
        <w:rPr>
          <w:rFonts w:eastAsia="Times New Roman"/>
        </w:rPr>
      </w:pPr>
      <w:bookmarkStart w:id="1" w:name="_Toc234697689"/>
      <w:r w:rsidRPr="00023789">
        <w:rPr>
          <w:rFonts w:eastAsia="Times New Roman"/>
        </w:rPr>
        <w:lastRenderedPageBreak/>
        <w:t>2. Main Body</w:t>
      </w:r>
      <w:bookmarkEnd w:id="1"/>
    </w:p>
    <w:p w14:paraId="6B369FC2" w14:textId="77777777" w:rsidR="00023789" w:rsidRPr="00023789" w:rsidRDefault="00023789" w:rsidP="00D63C1E">
      <w:pPr>
        <w:pStyle w:val="Heading2"/>
        <w:rPr>
          <w:rFonts w:eastAsia="Times New Roman"/>
        </w:rPr>
      </w:pPr>
      <w:bookmarkStart w:id="2" w:name="_Toc234697690"/>
      <w:r w:rsidRPr="00023789">
        <w:rPr>
          <w:rFonts w:eastAsia="Times New Roman"/>
        </w:rPr>
        <w:t>2.1 Methods for Assessing and Monitoring Depression</w:t>
      </w:r>
      <w:bookmarkEnd w:id="2"/>
    </w:p>
    <w:p w14:paraId="299BCC04" w14:textId="1D1634EF" w:rsidR="00023789" w:rsidRPr="00023789" w:rsidRDefault="00023789" w:rsidP="00023789">
      <w:r w:rsidRPr="00023789">
        <w:t>Healthcare data systems, national surveys, and clinical instruments are all used to quantify and analy</w:t>
      </w:r>
      <w:r>
        <w:t>se</w:t>
      </w:r>
      <w:r w:rsidRPr="00023789">
        <w:t xml:space="preserve"> depression</w:t>
      </w:r>
      <w:r w:rsidR="00822961" w:rsidRPr="00822961">
        <w:t xml:space="preserve"> (Jha et al., 2025)</w:t>
      </w:r>
      <w:r w:rsidRPr="00023789">
        <w:t>. The Questionnaire for Patient Health (PHQ-9), which is among the most commonly employed clinical instruments, evaluates the intensity of depressed symptoms using accepted medical standards</w:t>
      </w:r>
      <w:r w:rsidR="00822961" w:rsidRPr="00822961">
        <w:t xml:space="preserve"> (Jha et al., 2025)</w:t>
      </w:r>
      <w:r w:rsidRPr="00023789">
        <w:t>. In a comparable manner, the method named Beck Depression Inventory (BDI) has been utili</w:t>
      </w:r>
      <w:r>
        <w:t>se</w:t>
      </w:r>
      <w:r w:rsidRPr="00023789">
        <w:t>d by experts extensively to assess symptom severity in both research and clinical contexts</w:t>
      </w:r>
      <w:r w:rsidR="00C45FBF" w:rsidRPr="00C45FBF">
        <w:t xml:space="preserve"> (Khaliq, 2023)</w:t>
      </w:r>
      <w:r w:rsidRPr="00023789">
        <w:t>. These technologies offer a dependable and consistent way to identify people who are at risk and track the effectiveness of therapy.</w:t>
      </w:r>
    </w:p>
    <w:p w14:paraId="58EE821B" w14:textId="4C8A5B3E" w:rsidR="00023789" w:rsidRPr="00023789" w:rsidRDefault="00023789" w:rsidP="00023789">
      <w:r w:rsidRPr="00023789">
        <w:t>National monitoring systems are used to detect depression at the population level. On the other hand, the ONS or Office for National Statistics in the United Kingdom uses validated methods, including the PHQ-8, in extensive surveys to evaluate changes in the mental condition of patients</w:t>
      </w:r>
      <w:r w:rsidR="00835302" w:rsidRPr="00835302">
        <w:t xml:space="preserve"> (Arias et al., 2023)</w:t>
      </w:r>
      <w:r w:rsidRPr="00023789">
        <w:t>. About 2 in 10 people have moderate to severe depression symptoms, according to recent ONS statistics, giving a clear picture of the scope of the problem</w:t>
      </w:r>
      <w:r w:rsidR="00835302" w:rsidRPr="00835302">
        <w:t xml:space="preserve"> (Arias et al., 2023)</w:t>
      </w:r>
      <w:r w:rsidRPr="00023789">
        <w:t>. In addition to identifying patients’ risk, such as women, young adults, and those from poorer socioeconomic backgrounds, these surveys enable comparisons across time and indicate significant changes in depression rates during the COVID-19 epidemic</w:t>
      </w:r>
      <w:r w:rsidR="00835302" w:rsidRPr="00835302">
        <w:t xml:space="preserve"> (Arias et al., 2023)</w:t>
      </w:r>
      <w:r w:rsidRPr="00023789">
        <w:t>.</w:t>
      </w:r>
    </w:p>
    <w:p w14:paraId="3B6B7560" w14:textId="77777777" w:rsidR="00916A99" w:rsidRDefault="00023789" w:rsidP="00023789">
      <w:r w:rsidRPr="00023789">
        <w:t>Most importantly, the National Health Service's (NHS) collection of medical data is also essential for tracking depression because NHS records keep track of treatment results, referred patients, and diagnostic percentages, allowing for the assessment of demand for services and efficacy</w:t>
      </w:r>
      <w:r w:rsidR="00835302" w:rsidRPr="00835302">
        <w:t xml:space="preserve"> (Catalao et al., 2024)</w:t>
      </w:r>
      <w:r w:rsidRPr="00023789">
        <w:t xml:space="preserve">. In standard mental health care, this information is crucial for resource distribution and management. </w:t>
      </w:r>
    </w:p>
    <w:p w14:paraId="510218AE" w14:textId="43AF6967" w:rsidR="00023789" w:rsidRPr="00023789" w:rsidRDefault="00023789" w:rsidP="00023789">
      <w:r w:rsidRPr="00023789">
        <w:t>On the other hand, the Qualitative techniques like lived experience research and patient feedback help to get important insights about how depression impacts people's everyday lives. By enabling people to self-evaluate symptoms and seek early assistance, digital technologies—such as mental health applications and online screening tools—have significantly improved monitoring capacities</w:t>
      </w:r>
      <w:r w:rsidR="00835302" w:rsidRPr="00835302">
        <w:t xml:space="preserve"> (Catalao et al., 2024)</w:t>
      </w:r>
      <w:r w:rsidRPr="00023789">
        <w:t>. But issues with dependability and data privacy still exist. In general, a thorough knowledge of depression in the population is ensured by integrating statistical, clinical, and qualitative techniques.</w:t>
      </w:r>
    </w:p>
    <w:p w14:paraId="32EB36DD" w14:textId="77777777" w:rsidR="00C41001" w:rsidRDefault="00C41001">
      <w:pPr>
        <w:spacing w:line="259" w:lineRule="auto"/>
        <w:jc w:val="left"/>
      </w:pPr>
      <w:r>
        <w:br w:type="page"/>
      </w:r>
    </w:p>
    <w:p w14:paraId="5879A101" w14:textId="178A6256" w:rsidR="00023789" w:rsidRPr="00023789" w:rsidRDefault="00023789" w:rsidP="0021464E">
      <w:pPr>
        <w:pStyle w:val="Heading2"/>
        <w:rPr>
          <w:rFonts w:eastAsia="Times New Roman"/>
        </w:rPr>
      </w:pPr>
      <w:bookmarkStart w:id="3" w:name="_Toc234697691"/>
      <w:r w:rsidRPr="00023789">
        <w:rPr>
          <w:rFonts w:eastAsia="Times New Roman"/>
        </w:rPr>
        <w:lastRenderedPageBreak/>
        <w:t>2.2 Depression Management</w:t>
      </w:r>
      <w:bookmarkEnd w:id="3"/>
    </w:p>
    <w:p w14:paraId="6B55CCA2" w14:textId="77777777" w:rsidR="00916A99" w:rsidRDefault="00023789" w:rsidP="00023789">
      <w:r w:rsidRPr="00023789">
        <w:t>A comprehensive plan of action is needed to address depression, including continuing care, prompt therapy, and treatment. The goal of primary treatment is to lessen risk variables, including stigma, joblessness, and loneliness. Therefore, public health efforts strive to increase consciousness, support a healthy mind, and motivate people to get treatment</w:t>
      </w:r>
      <w:r w:rsidR="00C41001" w:rsidRPr="00C41001">
        <w:t xml:space="preserve"> (View Designs, 2026)</w:t>
      </w:r>
      <w:r w:rsidRPr="00023789">
        <w:t xml:space="preserve">. Developing literacy about mental health and lowering stigma are further benefits of educational initiatives in schools and workplaces. </w:t>
      </w:r>
    </w:p>
    <w:p w14:paraId="4FE3BB70" w14:textId="6D3D8C57" w:rsidR="00916A99" w:rsidRDefault="00023789" w:rsidP="00023789">
      <w:r w:rsidRPr="00023789">
        <w:t>Most importantly, early detection and prompt action are components of secondary prevention, and general practitioners (GPs) are crucial in recogni</w:t>
      </w:r>
      <w:r w:rsidR="009C4DC7">
        <w:t>s</w:t>
      </w:r>
      <w:r w:rsidRPr="00023789">
        <w:t>ing symptoms and offering preliminary assistance in the United Kingdom</w:t>
      </w:r>
      <w:r w:rsidR="00C41001" w:rsidRPr="00C41001">
        <w:t xml:space="preserve"> (View Designs, 2026)</w:t>
      </w:r>
      <w:r w:rsidRPr="00023789">
        <w:t>. In order to identify depression early, primary care facilities frequently employ screening instruments like the PHQ-9</w:t>
      </w:r>
      <w:r w:rsidR="00C41001" w:rsidRPr="00C41001">
        <w:t xml:space="preserve"> (View Designs, 2026)</w:t>
      </w:r>
      <w:r w:rsidRPr="00023789">
        <w:t>. The goal of early intervention programs, especially for youth, is to stop minor symptoms from developing into more serious diseases.</w:t>
      </w:r>
      <w:r w:rsidR="00C41001">
        <w:t xml:space="preserve"> </w:t>
      </w:r>
      <w:r w:rsidRPr="00023789">
        <w:t>Relapse prevention and treatment of pre-existing depression are the main goals of higher-level prevention. Pharmacological and mental health therapies are commonly used in treatments</w:t>
      </w:r>
      <w:r w:rsidR="00C41001" w:rsidRPr="00C41001">
        <w:t xml:space="preserve"> (Fonseca-Pedrero et al., 2023)</w:t>
      </w:r>
      <w:r w:rsidRPr="00023789">
        <w:t xml:space="preserve">. </w:t>
      </w:r>
    </w:p>
    <w:p w14:paraId="6D3DE8BA" w14:textId="22F2F4F7" w:rsidR="00916A99" w:rsidRDefault="00916A99" w:rsidP="00916A99">
      <w:pPr>
        <w:jc w:val="center"/>
      </w:pPr>
      <w:r>
        <w:rPr>
          <w:noProof/>
          <w:lang w:val="en-GB" w:eastAsia="en-GB"/>
        </w:rPr>
        <w:drawing>
          <wp:inline distT="0" distB="0" distL="0" distR="0" wp14:anchorId="5FED0041" wp14:editId="34E3D1C3">
            <wp:extent cx="2222500" cy="2210894"/>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35490" cy="2223816"/>
                    </a:xfrm>
                    <a:prstGeom prst="rect">
                      <a:avLst/>
                    </a:prstGeom>
                  </pic:spPr>
                </pic:pic>
              </a:graphicData>
            </a:graphic>
          </wp:inline>
        </w:drawing>
      </w:r>
    </w:p>
    <w:p w14:paraId="5DAC7A60" w14:textId="7A92C307" w:rsidR="00916A99" w:rsidRDefault="00916A99" w:rsidP="00916A99">
      <w:pPr>
        <w:jc w:val="center"/>
      </w:pPr>
      <w:r>
        <w:t xml:space="preserve">Source: </w:t>
      </w:r>
      <w:r w:rsidR="003F3B1E" w:rsidRPr="003F3B1E">
        <w:t>(pubrica, 2024)</w:t>
      </w:r>
    </w:p>
    <w:p w14:paraId="3D547C9E" w14:textId="77777777" w:rsidR="00916A99" w:rsidRDefault="00023789" w:rsidP="00023789">
      <w:r w:rsidRPr="00023789">
        <w:t>Intermediate to serious depression is commonly managed with medications that treat depression, such as serotonin reuptake inhibitors (SSRIs)</w:t>
      </w:r>
      <w:r w:rsidR="00C41001" w:rsidRPr="00C41001">
        <w:t xml:space="preserve"> (Fonseca-Pedrero et al., 2023)</w:t>
      </w:r>
      <w:r w:rsidRPr="00023789">
        <w:t>. CBT, or cognitive behavioral therapy, and other psychological methods are well known for their efficacy. The initiative of NHS Improving Access to Psychological Therapies (IAPT) in the United Kingdom offers organi</w:t>
      </w:r>
      <w:r>
        <w:t>se</w:t>
      </w:r>
      <w:r w:rsidRPr="00023789">
        <w:t>d and easily available assistance to people with anxiety and depression</w:t>
      </w:r>
      <w:r w:rsidR="00C41001" w:rsidRPr="00C41001">
        <w:t xml:space="preserve"> (Fonseca-Pedrero et al., 2023)</w:t>
      </w:r>
      <w:r w:rsidRPr="00023789">
        <w:t>.</w:t>
      </w:r>
      <w:r w:rsidR="00C41001">
        <w:t xml:space="preserve"> </w:t>
      </w:r>
    </w:p>
    <w:p w14:paraId="0D1DB1E8" w14:textId="6E9AA262" w:rsidR="00023789" w:rsidRPr="00023789" w:rsidRDefault="00023789" w:rsidP="00023789">
      <w:r w:rsidRPr="00023789">
        <w:t>In order to manage depression, community-based treatments are also essential, in which the healthcare practitioners can connect patients to non-clinical activities that help enhance mental health, such as community organi</w:t>
      </w:r>
      <w:r>
        <w:t>sation</w:t>
      </w:r>
      <w:r w:rsidRPr="00023789">
        <w:t xml:space="preserve">s, volunteer opportunities, and fitness </w:t>
      </w:r>
      <w:r w:rsidRPr="00023789">
        <w:lastRenderedPageBreak/>
        <w:t>regimens, through social prescribing. Risk factors are further reduced by workplace measures, including mental health support programs and flexible work schedules.</w:t>
      </w:r>
    </w:p>
    <w:p w14:paraId="473EDB63" w14:textId="77777777" w:rsidR="00023789" w:rsidRPr="00023789" w:rsidRDefault="00023789" w:rsidP="0021464E">
      <w:pPr>
        <w:pStyle w:val="Heading2"/>
        <w:rPr>
          <w:rFonts w:eastAsia="Times New Roman"/>
        </w:rPr>
      </w:pPr>
      <w:bookmarkStart w:id="4" w:name="_Toc234697692"/>
      <w:r w:rsidRPr="00023789">
        <w:rPr>
          <w:rFonts w:eastAsia="Times New Roman"/>
        </w:rPr>
        <w:t>2.3 The Effects of Depression on People and Communities</w:t>
      </w:r>
      <w:bookmarkEnd w:id="4"/>
    </w:p>
    <w:p w14:paraId="1F7C140B" w14:textId="174A89C1" w:rsidR="00084764" w:rsidRDefault="00023789" w:rsidP="00023789">
      <w:r w:rsidRPr="00023789">
        <w:t>The effects of depression on communities, people, and healthcare systems are extensive, and it has a detrimental impact on a person's emotional, social, and physical health</w:t>
      </w:r>
      <w:r w:rsidR="00C41001" w:rsidRPr="00C41001">
        <w:t xml:space="preserve"> </w:t>
      </w:r>
      <w:r w:rsidR="00352812" w:rsidRPr="00352812">
        <w:t>(Newby et al., 2023)</w:t>
      </w:r>
      <w:r w:rsidRPr="00023789">
        <w:t>. Most significantly, people may suffer from decreased productivity, diminished relationships, and a markedly worse quality of life because depression is associated with a higher risk of chronic illnesses, including cardiovascular disease and compromised immunological function. Physical health is also affected</w:t>
      </w:r>
      <w:r w:rsidR="00EB2C37" w:rsidRPr="00EB2C37">
        <w:t xml:space="preserve"> </w:t>
      </w:r>
      <w:r w:rsidR="00352812" w:rsidRPr="00352812">
        <w:t>(Newby et al., 2023)</w:t>
      </w:r>
      <w:r w:rsidRPr="00023789">
        <w:t xml:space="preserve">. According to </w:t>
      </w:r>
      <w:r w:rsidR="00D307F1" w:rsidRPr="00D307F1">
        <w:t>Evans-Lacko and Knapp (2016)</w:t>
      </w:r>
      <w:r w:rsidRPr="00023789">
        <w:t xml:space="preserve">, the seriousness of untreated depression is shown by the fact that suicide is still one of the primary causes of mortality among young adults, because depression increases absenteeism, presenteeism, and lower employment engagement, and the economic burden is also significant. As a result, the economy and employers as a whole bear </w:t>
      </w:r>
      <w:r w:rsidR="00070E46" w:rsidRPr="00023789">
        <w:t>heavy financial consequence</w:t>
      </w:r>
      <w:r w:rsidRPr="00023789">
        <w:t>.</w:t>
      </w:r>
    </w:p>
    <w:p w14:paraId="01EBC824" w14:textId="1155A522" w:rsidR="00084764" w:rsidRDefault="00084764" w:rsidP="00084764">
      <w:pPr>
        <w:jc w:val="center"/>
      </w:pPr>
      <w:r>
        <w:rPr>
          <w:noProof/>
          <w:lang w:val="en-GB" w:eastAsia="en-GB"/>
        </w:rPr>
        <w:drawing>
          <wp:inline distT="0" distB="0" distL="0" distR="0" wp14:anchorId="09D199AF" wp14:editId="49C7D0E0">
            <wp:extent cx="3571875" cy="2097799"/>
            <wp:effectExtent l="0" t="0" r="0" b="0"/>
            <wp:docPr id="5" name="Picture 5" descr="Revealed: what our data says about the UK's mental health – Our Future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vealed: what our data says about the UK's mental health – Our Future  Health"/>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colorTemperature colorTemp="11200"/>
                              </a14:imgEffect>
                            </a14:imgLayer>
                          </a14:imgProps>
                        </a:ext>
                        <a:ext uri="{28A0092B-C50C-407E-A947-70E740481C1C}">
                          <a14:useLocalDpi xmlns:a14="http://schemas.microsoft.com/office/drawing/2010/main" val="0"/>
                        </a:ext>
                      </a:extLst>
                    </a:blip>
                    <a:srcRect l="2381" t="13574" r="3546" b="3551"/>
                    <a:stretch/>
                  </pic:blipFill>
                  <pic:spPr bwMode="auto">
                    <a:xfrm>
                      <a:off x="0" y="0"/>
                      <a:ext cx="3594697" cy="2111203"/>
                    </a:xfrm>
                    <a:prstGeom prst="rect">
                      <a:avLst/>
                    </a:prstGeom>
                    <a:noFill/>
                    <a:ln>
                      <a:noFill/>
                    </a:ln>
                    <a:extLst>
                      <a:ext uri="{53640926-AAD7-44D8-BBD7-CCE9431645EC}">
                        <a14:shadowObscured xmlns:a14="http://schemas.microsoft.com/office/drawing/2010/main"/>
                      </a:ext>
                    </a:extLst>
                  </pic:spPr>
                </pic:pic>
              </a:graphicData>
            </a:graphic>
          </wp:inline>
        </w:drawing>
      </w:r>
    </w:p>
    <w:p w14:paraId="1DACD2DC" w14:textId="306F7211" w:rsidR="00084764" w:rsidRPr="00023789" w:rsidRDefault="00084764" w:rsidP="00084764">
      <w:pPr>
        <w:jc w:val="center"/>
      </w:pPr>
      <w:r>
        <w:t xml:space="preserve">Source: </w:t>
      </w:r>
      <w:r w:rsidRPr="00084764">
        <w:t>(Money and Mental Health, 2021)</w:t>
      </w:r>
    </w:p>
    <w:p w14:paraId="4B2F2E2D" w14:textId="77AFAC22" w:rsidR="00023789" w:rsidRPr="00023789" w:rsidRDefault="00023789" w:rsidP="00023789">
      <w:r w:rsidRPr="00023789">
        <w:t>In the United Kingdom, national trends significantly exacerbate the effects of depression, which percentages having increased from around 12% to about 17–19% of people, and it is still much higher than pre-pandemic averages</w:t>
      </w:r>
      <w:r w:rsidR="00084764" w:rsidRPr="00084764">
        <w:t xml:space="preserve"> (Money and Mental Health, 2021)</w:t>
      </w:r>
      <w:r w:rsidRPr="00023789">
        <w:t>. Significantly, people who are jobless, live in impoverished regions, or have long-term medical concerns are among the populations that are disproportionately impacted, which indicates that there is a strong correlation between depression and socioeconomic determinants of health, including income, service accessibility, and housing. On the other hand, parents and caregivers likewise get impacted; they frequently face monetary strain and mental hardship, which emphasi</w:t>
      </w:r>
      <w:r>
        <w:t>se</w:t>
      </w:r>
      <w:r w:rsidRPr="00023789">
        <w:t>s the necessity of a comprehensive strategy that considers the social and psychological components of depression.</w:t>
      </w:r>
    </w:p>
    <w:p w14:paraId="6C0B409F" w14:textId="77777777" w:rsidR="00023789" w:rsidRPr="00023789" w:rsidRDefault="00023789" w:rsidP="0021464E">
      <w:pPr>
        <w:pStyle w:val="Heading2"/>
        <w:rPr>
          <w:rFonts w:eastAsia="Times New Roman"/>
        </w:rPr>
      </w:pPr>
      <w:bookmarkStart w:id="5" w:name="_Toc234697693"/>
      <w:r w:rsidRPr="00023789">
        <w:rPr>
          <w:rFonts w:eastAsia="Times New Roman"/>
        </w:rPr>
        <w:lastRenderedPageBreak/>
        <w:t>2.4 Services for Supporting Health and Social Care</w:t>
      </w:r>
      <w:bookmarkEnd w:id="5"/>
    </w:p>
    <w:p w14:paraId="06BB1085" w14:textId="38FBF4F9" w:rsidR="00023789" w:rsidRPr="00023789" w:rsidRDefault="00023789" w:rsidP="00023789">
      <w:r w:rsidRPr="00023789">
        <w:t>In order to address the demands of people with depression, a variety of social and health care interventions must be implemented</w:t>
      </w:r>
      <w:r w:rsidR="00786A2F" w:rsidRPr="00786A2F">
        <w:t xml:space="preserve"> (NHS, 2022)</w:t>
      </w:r>
      <w:r w:rsidRPr="00023789">
        <w:t>. In that case, the primary care settings serve as the starting point of interaction in the United Kingdom, when general practitioners (GPs) evaluate complaints and offer initial medical care or prescriptions</w:t>
      </w:r>
      <w:r w:rsidR="00786A2F" w:rsidRPr="00786A2F">
        <w:t xml:space="preserve"> (NHS, 2022)</w:t>
      </w:r>
      <w:r w:rsidRPr="00023789">
        <w:t>. Therefore, in times of serious instances, secondary care specialists like clinical psychologists and psychiatrists provide speciali</w:t>
      </w:r>
      <w:r>
        <w:t>se</w:t>
      </w:r>
      <w:r w:rsidRPr="00023789">
        <w:t>d help. More importantly, the treatment for depression revolves around psychological therapy, and the NHS IAPT programme offers evidence-based treatments including psychotherapy, guided self-help, and cognitive behavioural therapy</w:t>
      </w:r>
      <w:r w:rsidR="00786A2F" w:rsidRPr="00786A2F">
        <w:t xml:space="preserve"> (NHS, 2022)</w:t>
      </w:r>
      <w:r w:rsidRPr="00023789">
        <w:t>. These programs can decrease wait times and provide accessibility to get mental health care, though the demand is high, rather than outpacing the service.</w:t>
      </w:r>
    </w:p>
    <w:p w14:paraId="5175826D" w14:textId="59E47C11" w:rsidR="00023789" w:rsidRDefault="00023789" w:rsidP="00023789">
      <w:r w:rsidRPr="00023789">
        <w:t>People with complicated needs receive ongoing care from regional mental wellness services. Social work professionals, physical therapists, and doctors are members of these interconnected groups that collaborate to provide comprehensive treatment</w:t>
      </w:r>
      <w:r w:rsidR="00F66C4A">
        <w:t xml:space="preserve"> </w:t>
      </w:r>
      <w:r w:rsidR="00F66C4A" w:rsidRPr="00F66C4A">
        <w:t>(Hernandez et al., 2024)</w:t>
      </w:r>
      <w:r w:rsidRPr="00023789">
        <w:t>. Additionally, crucial are crisis response programs, which provide those going through severe depression episodes with prompt assistance. On the other hand, the social care services take care of people's more general requirements, such as work, housing, and social inclusion. In that case, occupational support services and supported housing programs assist people in retaining their independence and reintegrating into society.</w:t>
      </w:r>
    </w:p>
    <w:p w14:paraId="4EA1B065" w14:textId="4846B12F" w:rsidR="00D10FE0" w:rsidRDefault="00D10FE0" w:rsidP="00D10FE0">
      <w:pPr>
        <w:jc w:val="center"/>
      </w:pPr>
      <w:r w:rsidRPr="00D10FE0">
        <w:rPr>
          <w:noProof/>
          <w:lang w:val="en-GB" w:eastAsia="en-GB"/>
        </w:rPr>
        <w:drawing>
          <wp:inline distT="0" distB="0" distL="0" distR="0" wp14:anchorId="4F1D381C" wp14:editId="60B2E353">
            <wp:extent cx="1762125" cy="1755718"/>
            <wp:effectExtent l="0" t="0" r="0" b="0"/>
            <wp:docPr id="6" name="Picture 6" descr="Healing the Whole: An International Review of the Collaborative Care Model  between Primary Care and Psychia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ling the Whole: An International Review of the Collaborative Care Model  between Primary Care and Psychiatry"/>
                    <pic:cNvPicPr>
                      <a:picLocks noChangeAspect="1" noChangeArrowheads="1"/>
                    </pic:cNvPicPr>
                  </pic:nvPicPr>
                  <pic:blipFill>
                    <a:blip r:embed="rId17" cstate="print">
                      <a:extLst>
                        <a:ext uri="{BEBA8EAE-BF5A-486C-A8C5-ECC9F3942E4B}">
                          <a14:imgProps xmlns:a14="http://schemas.microsoft.com/office/drawing/2010/main">
                            <a14:imgLayer r:embed="rId18">
                              <a14:imgEffect>
                                <a14:colorTemperature colorTemp="72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1786662" cy="1780166"/>
                    </a:xfrm>
                    <a:prstGeom prst="rect">
                      <a:avLst/>
                    </a:prstGeom>
                    <a:noFill/>
                    <a:ln>
                      <a:noFill/>
                    </a:ln>
                  </pic:spPr>
                </pic:pic>
              </a:graphicData>
            </a:graphic>
          </wp:inline>
        </w:drawing>
      </w:r>
    </w:p>
    <w:p w14:paraId="5B082566" w14:textId="7F18BAC9" w:rsidR="00D10FE0" w:rsidRPr="00023789" w:rsidRDefault="00D10FE0" w:rsidP="00D10FE0">
      <w:pPr>
        <w:jc w:val="center"/>
      </w:pPr>
      <w:r>
        <w:t>Source:</w:t>
      </w:r>
      <w:r w:rsidR="00CD7648">
        <w:t xml:space="preserve"> </w:t>
      </w:r>
      <w:r w:rsidR="00CD7648" w:rsidRPr="00CD7648">
        <w:t>(Hernandez et al., 2024)</w:t>
      </w:r>
    </w:p>
    <w:p w14:paraId="2D4B8F32" w14:textId="17022369" w:rsidR="00916A99" w:rsidRDefault="00023789" w:rsidP="000D7268">
      <w:r w:rsidRPr="00023789">
        <w:t>Support from caregivers and family is also crucial since it allows people to get both emotional and practical help while they recuperate</w:t>
      </w:r>
      <w:r w:rsidR="00EB59BD" w:rsidRPr="00EB59BD">
        <w:t xml:space="preserve"> (Learn to Live, 2023)</w:t>
      </w:r>
      <w:r w:rsidRPr="00023789">
        <w:t>.</w:t>
      </w:r>
      <w:r w:rsidR="009A58F7">
        <w:t xml:space="preserve"> </w:t>
      </w:r>
      <w:r w:rsidRPr="00023789">
        <w:t>However, in order to improve service results and delivery, relevant issues, including a lack of workers, rising demand, and scarce resources, must be addressed.</w:t>
      </w:r>
    </w:p>
    <w:p w14:paraId="7E9297FC" w14:textId="4A341E1C" w:rsidR="00023789" w:rsidRPr="00023789" w:rsidRDefault="00023789" w:rsidP="0021464E">
      <w:pPr>
        <w:pStyle w:val="Heading1"/>
        <w:rPr>
          <w:rFonts w:eastAsia="Times New Roman"/>
        </w:rPr>
      </w:pPr>
      <w:bookmarkStart w:id="6" w:name="_Toc234697694"/>
      <w:r w:rsidRPr="00023789">
        <w:rPr>
          <w:rFonts w:eastAsia="Times New Roman"/>
        </w:rPr>
        <w:lastRenderedPageBreak/>
        <w:t>3. Conclusion</w:t>
      </w:r>
      <w:bookmarkEnd w:id="6"/>
    </w:p>
    <w:p w14:paraId="58DD9994" w14:textId="5DD49431" w:rsidR="00023789" w:rsidRPr="00023789" w:rsidRDefault="00023789" w:rsidP="00023789">
      <w:r w:rsidRPr="00023789">
        <w:t>Depression affects people, neighborhoods, and systems of healthcare profoundly, making it a serious public health concern, and it has significant impacts, both internationally and in the United Kingdom, especially the increase from about 12% prior to the pandemic to about 19% in recent years, which presents the importance of urgently managing this issue</w:t>
      </w:r>
      <w:r w:rsidR="009A58F7">
        <w:t xml:space="preserve"> </w:t>
      </w:r>
      <w:r w:rsidR="009A58F7" w:rsidRPr="009A58F7">
        <w:t>(Simply Psychology Editorial Team, 2026)</w:t>
      </w:r>
      <w:r w:rsidRPr="00023789">
        <w:t>.</w:t>
      </w:r>
      <w:r w:rsidR="000D7268">
        <w:t xml:space="preserve"> </w:t>
      </w:r>
      <w:r w:rsidRPr="00023789">
        <w:t>The mental health problem directly impacts social interactions, economic output, development, and physical health. In order to solve these issues, extensive services for social and health care are required, where the services should include primary care, psychiatric therapy, and community assistance. Moreover, improving treatment availability, lowering negative stereotypes, and addressing broader socioeconomic determinants of health are all required to lessen the burden of depression. However, a coordinated and all-encompassing treatment will eventually improve results and improve the quality of life for those who suffer from depression.</w:t>
      </w:r>
    </w:p>
    <w:p w14:paraId="72DB27C6" w14:textId="77777777" w:rsidR="00206C1A" w:rsidRDefault="00206C1A">
      <w:pPr>
        <w:spacing w:line="259" w:lineRule="auto"/>
        <w:jc w:val="left"/>
        <w:rPr>
          <w:rFonts w:eastAsia="Times New Roman" w:cs="Arial"/>
        </w:rPr>
      </w:pPr>
      <w:r>
        <w:rPr>
          <w:rFonts w:cs="Arial"/>
        </w:rPr>
        <w:br w:type="page"/>
      </w:r>
    </w:p>
    <w:p w14:paraId="605917B8" w14:textId="72B03A94" w:rsidR="00206C1A" w:rsidRDefault="00206C1A" w:rsidP="00206C1A">
      <w:pPr>
        <w:pStyle w:val="Heading1"/>
      </w:pPr>
      <w:bookmarkStart w:id="7" w:name="_Toc234697695"/>
      <w:r>
        <w:lastRenderedPageBreak/>
        <w:t>Reference</w:t>
      </w:r>
      <w:r w:rsidR="003D6E60">
        <w:t xml:space="preserve"> List</w:t>
      </w:r>
      <w:bookmarkEnd w:id="7"/>
    </w:p>
    <w:p w14:paraId="73D26B8C" w14:textId="5C91CC5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Amarasekera, S., Cho, E.R., Brown, P., Bondy, S.J., Young, L.T. and Jha, P. (2026). Major depressive disorder (MDD) and the risks of mortality and hospitalization in the UK Biobank. </w:t>
      </w:r>
      <w:r>
        <w:rPr>
          <w:rFonts w:ascii="Arial" w:hAnsi="Arial" w:cs="Arial"/>
          <w:i/>
          <w:iCs/>
          <w:sz w:val="22"/>
          <w:szCs w:val="22"/>
        </w:rPr>
        <w:t>BMC Psychiatry</w:t>
      </w:r>
      <w:r>
        <w:rPr>
          <w:rFonts w:ascii="Arial" w:hAnsi="Arial" w:cs="Arial"/>
          <w:sz w:val="22"/>
          <w:szCs w:val="22"/>
        </w:rPr>
        <w:t>, 26(1). doi:10.1186/s12888-026-07939-9.</w:t>
      </w:r>
    </w:p>
    <w:p w14:paraId="6A74C382"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Arias, J., Vilagut, G., Ronaldson, A., Valderas, J.M., Ioannis Bakolis, Dregan, A., Molina, A.J., Navarro-Mateu, F., Pérez, K., Bartoll-Roca, X., Elices, M., Víctor Pérez-Sola, Antoni Serrano-Blanco, Martín, V. and Alonso, J. (2023). Reliability and cross-country equivalence of the 8-item version of the Patient Health Questionnaire (PHQ-8) for the assessment of depression: Results from 27 countries in Europe. </w:t>
      </w:r>
      <w:r>
        <w:rPr>
          <w:rFonts w:ascii="Arial" w:hAnsi="Arial" w:cs="Arial"/>
          <w:i/>
          <w:iCs/>
          <w:sz w:val="22"/>
          <w:szCs w:val="22"/>
        </w:rPr>
        <w:t>The Lancet Regional Health</w:t>
      </w:r>
      <w:r>
        <w:rPr>
          <w:rFonts w:ascii="Arial" w:hAnsi="Arial" w:cs="Arial"/>
          <w:sz w:val="22"/>
          <w:szCs w:val="22"/>
        </w:rPr>
        <w:t>, 31, pp.100659–100659. doi:10.1016/j.lanepe.2023.100659.</w:t>
      </w:r>
    </w:p>
    <w:p w14:paraId="1C7D3090"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Catalao, R., Broadbent, M., Ashworth, M., Jayati Das-Munshi, Hatch, S.L., Hotopf, M. and Dorrington, S. (2024). Access to psychological therapies amongst patients with a mental health diagnosis in primary care: A data linkage study. </w:t>
      </w:r>
      <w:r>
        <w:rPr>
          <w:rFonts w:ascii="Arial" w:hAnsi="Arial" w:cs="Arial"/>
          <w:i/>
          <w:iCs/>
          <w:sz w:val="22"/>
          <w:szCs w:val="22"/>
        </w:rPr>
        <w:t>Social Psychiatry and Psychiatric Epidemiology</w:t>
      </w:r>
      <w:r>
        <w:rPr>
          <w:rFonts w:ascii="Arial" w:hAnsi="Arial" w:cs="Arial"/>
          <w:sz w:val="22"/>
          <w:szCs w:val="22"/>
        </w:rPr>
        <w:t>. doi:10.1007/s00127-024-02787-y.</w:t>
      </w:r>
    </w:p>
    <w:p w14:paraId="09BCD217"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Evans-Lacko, S. and Knapp, M. (2016). Global patterns of workplace productivity for people with depression: Absenteeism and presenteeism costs across eight diverse countries. </w:t>
      </w:r>
      <w:r>
        <w:rPr>
          <w:rFonts w:ascii="Arial" w:hAnsi="Arial" w:cs="Arial"/>
          <w:i/>
          <w:iCs/>
          <w:sz w:val="22"/>
          <w:szCs w:val="22"/>
        </w:rPr>
        <w:t>Social Psychiatry and Psychiatric Epidemiology</w:t>
      </w:r>
      <w:r>
        <w:rPr>
          <w:rFonts w:ascii="Arial" w:hAnsi="Arial" w:cs="Arial"/>
          <w:sz w:val="22"/>
          <w:szCs w:val="22"/>
        </w:rPr>
        <w:t>, [online] 51(11), pp.1525–1537. doi:10.1007/s00127-016-1278-4.</w:t>
      </w:r>
    </w:p>
    <w:p w14:paraId="2BD484AA"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Fonseca-Pedrero, E., Díez-Gómez, A., Pérez-Albéniz, A., Al-Halabí, S. and Debbané, M. (2023). Youth Screening Depression: Validation of the Patient Health Questionnaire-9 (PHQ-9) in a representative sample of adolescents. </w:t>
      </w:r>
      <w:r>
        <w:rPr>
          <w:rFonts w:ascii="Arial" w:hAnsi="Arial" w:cs="Arial"/>
          <w:i/>
          <w:iCs/>
          <w:sz w:val="22"/>
          <w:szCs w:val="22"/>
        </w:rPr>
        <w:t>Psychiatry Research</w:t>
      </w:r>
      <w:r>
        <w:rPr>
          <w:rFonts w:ascii="Arial" w:hAnsi="Arial" w:cs="Arial"/>
          <w:sz w:val="22"/>
          <w:szCs w:val="22"/>
        </w:rPr>
        <w:t>, [online] p.115486. doi:10.1016/j.psychres.2023.115486.</w:t>
      </w:r>
    </w:p>
    <w:p w14:paraId="12F22C1A"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Gillett, A.C., Handley, D., Bala, R., Young, K.G., Tyrrell, J. and Lewis, C.M. (2026). Impact of depression on treatment progression in type 2 diabetes: A UK retrospective cohort study using the Clinical Practice Research Datalink Aurum database. </w:t>
      </w:r>
      <w:r>
        <w:rPr>
          <w:rFonts w:ascii="Arial" w:hAnsi="Arial" w:cs="Arial"/>
          <w:i/>
          <w:iCs/>
          <w:sz w:val="22"/>
          <w:szCs w:val="22"/>
        </w:rPr>
        <w:t>Primary Care Diabetes</w:t>
      </w:r>
      <w:r>
        <w:rPr>
          <w:rFonts w:ascii="Arial" w:hAnsi="Arial" w:cs="Arial"/>
          <w:sz w:val="22"/>
          <w:szCs w:val="22"/>
        </w:rPr>
        <w:t>. [online] doi:10.1016/j.pcd.2026.04.003.</w:t>
      </w:r>
    </w:p>
    <w:p w14:paraId="6F9299B7"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Hernandez, V., Nasser, L., Do, C. and Lee, W.-C. (2024). Healing the Whole: An International Review of the Collaborative Care Model between Primary Care and Psychiatry. </w:t>
      </w:r>
      <w:r>
        <w:rPr>
          <w:rFonts w:ascii="Arial" w:hAnsi="Arial" w:cs="Arial"/>
          <w:i/>
          <w:iCs/>
          <w:sz w:val="22"/>
          <w:szCs w:val="22"/>
        </w:rPr>
        <w:t>Healthcare</w:t>
      </w:r>
      <w:r>
        <w:rPr>
          <w:rFonts w:ascii="Arial" w:hAnsi="Arial" w:cs="Arial"/>
          <w:sz w:val="22"/>
          <w:szCs w:val="22"/>
        </w:rPr>
        <w:t>, [online] 12(16), pp.1679–1679. doi:10.3390/healthcare12161679.</w:t>
      </w:r>
    </w:p>
    <w:p w14:paraId="661FEB21"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Jha, M.K., Vasu, S., Foster, J.A. and Trivedi, M.H. (2025). Screening for Depression, Anxiety, and Suicidality: Insights From Electronic Health Record Data in an Academic </w:t>
      </w:r>
      <w:r>
        <w:rPr>
          <w:rFonts w:ascii="Arial" w:hAnsi="Arial" w:cs="Arial"/>
          <w:sz w:val="22"/>
          <w:szCs w:val="22"/>
        </w:rPr>
        <w:lastRenderedPageBreak/>
        <w:t xml:space="preserve">Medical Center. </w:t>
      </w:r>
      <w:r>
        <w:rPr>
          <w:rFonts w:ascii="Arial" w:hAnsi="Arial" w:cs="Arial"/>
          <w:i/>
          <w:iCs/>
          <w:sz w:val="22"/>
          <w:szCs w:val="22"/>
        </w:rPr>
        <w:t>Journal of Primary Care &amp; Community Health</w:t>
      </w:r>
      <w:r>
        <w:rPr>
          <w:rFonts w:ascii="Arial" w:hAnsi="Arial" w:cs="Arial"/>
          <w:sz w:val="22"/>
          <w:szCs w:val="22"/>
        </w:rPr>
        <w:t>, [online] 16, pp.21501319251394192–21501319251394192. doi:10.1177/21501319251394192.</w:t>
      </w:r>
    </w:p>
    <w:p w14:paraId="718C2F52"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Khaliq, R. (2023). </w:t>
      </w:r>
      <w:r>
        <w:rPr>
          <w:rFonts w:ascii="Arial" w:hAnsi="Arial" w:cs="Arial"/>
          <w:i/>
          <w:iCs/>
          <w:sz w:val="22"/>
          <w:szCs w:val="22"/>
        </w:rPr>
        <w:t>How is the Beck Depression Inventory Administered</w:t>
      </w:r>
      <w:r>
        <w:rPr>
          <w:rFonts w:ascii="Arial" w:hAnsi="Arial" w:cs="Arial"/>
          <w:sz w:val="22"/>
          <w:szCs w:val="22"/>
        </w:rPr>
        <w:t>. [online] MEDvidi. Available at: https://medvidi.com/blog/what-is-the-beck-depression-inventory-and-how-to-use-it [Accessed 11 July 2026].</w:t>
      </w:r>
    </w:p>
    <w:p w14:paraId="2A0050EE"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Learn to Live (2023). </w:t>
      </w:r>
      <w:r>
        <w:rPr>
          <w:rFonts w:ascii="Arial" w:hAnsi="Arial" w:cs="Arial"/>
          <w:i/>
          <w:iCs/>
          <w:sz w:val="22"/>
          <w:szCs w:val="22"/>
        </w:rPr>
        <w:t>Why is the support of a friend or family member important in mental health care?</w:t>
      </w:r>
      <w:r>
        <w:rPr>
          <w:rFonts w:ascii="Arial" w:hAnsi="Arial" w:cs="Arial"/>
          <w:sz w:val="22"/>
          <w:szCs w:val="22"/>
        </w:rPr>
        <w:t xml:space="preserve"> [online] Learn to Live. Available at: https://www.learntolive.com/insights/why-is-the-support-of-a-friend-or-family-member-important-in-mental-health-care [Accessed 11 July 2026].</w:t>
      </w:r>
    </w:p>
    <w:p w14:paraId="692D82EA"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Money and Mental Health (2021). </w:t>
      </w:r>
      <w:r>
        <w:rPr>
          <w:rFonts w:ascii="Arial" w:hAnsi="Arial" w:cs="Arial"/>
          <w:i/>
          <w:iCs/>
          <w:sz w:val="22"/>
          <w:szCs w:val="22"/>
        </w:rPr>
        <w:t>Mental health and the pandemic: What do the latest ONS stats tell us?</w:t>
      </w:r>
      <w:r>
        <w:rPr>
          <w:rFonts w:ascii="Arial" w:hAnsi="Arial" w:cs="Arial"/>
          <w:sz w:val="22"/>
          <w:szCs w:val="22"/>
        </w:rPr>
        <w:t xml:space="preserve"> [online] Money and Mental Health Policy Institute. Available at: https://www.moneyandmentalhealth.org/mental-health-and-the-pandemic-ons-stats/ [Accessed 11 July 2026].</w:t>
      </w:r>
    </w:p>
    <w:p w14:paraId="12043DA7"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Newby, D., Bonnechere, B., MahmoudianDehkordi, S., Arnold, M., Batra, R., Chiou, Y.-J., Fernandes, M., Ikram, M.A., Kraaij, R., Krumsiek, J., Nho, K., Radjabzadeh, D., Saykin, A.J., Shi, L., Sproviero, W., Winchester, L., Yang, Y., Nevado-Holgado, A.J., Kastenmüller, G., Kaddurah-Daouk, R. and van Duijn, C.M. (2023). Interplay of Metabolome and Gut Microbiome in Individuals With Major Depressive Disorder vs Control Individuals. </w:t>
      </w:r>
      <w:r>
        <w:rPr>
          <w:rFonts w:ascii="Arial" w:hAnsi="Arial" w:cs="Arial"/>
          <w:i/>
          <w:iCs/>
          <w:sz w:val="22"/>
          <w:szCs w:val="22"/>
        </w:rPr>
        <w:t>JAMA Psychiatry</w:t>
      </w:r>
      <w:r>
        <w:rPr>
          <w:rFonts w:ascii="Arial" w:hAnsi="Arial" w:cs="Arial"/>
          <w:sz w:val="22"/>
          <w:szCs w:val="22"/>
        </w:rPr>
        <w:t>, [online] 80(6), p.597. doi:10.1001/jamapsychiatry.2023.0685.</w:t>
      </w:r>
    </w:p>
    <w:p w14:paraId="47BDDFB2"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NHS (2022). </w:t>
      </w:r>
      <w:r>
        <w:rPr>
          <w:rFonts w:ascii="Arial" w:hAnsi="Arial" w:cs="Arial"/>
          <w:i/>
          <w:iCs/>
          <w:sz w:val="22"/>
          <w:szCs w:val="22"/>
        </w:rPr>
        <w:t>How to access mental health services</w:t>
      </w:r>
      <w:r>
        <w:rPr>
          <w:rFonts w:ascii="Arial" w:hAnsi="Arial" w:cs="Arial"/>
          <w:sz w:val="22"/>
          <w:szCs w:val="22"/>
        </w:rPr>
        <w:t>. [online] NHS. Available at: https://www.nhs.uk/mental-health/social-care-and-your-rights/how-to-access-mental-health-services/ [Accessed 11 July 2026].</w:t>
      </w:r>
    </w:p>
    <w:p w14:paraId="5A3B9A10"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Priory Group (2025). </w:t>
      </w:r>
      <w:r>
        <w:rPr>
          <w:rFonts w:ascii="Arial" w:hAnsi="Arial" w:cs="Arial"/>
          <w:i/>
          <w:iCs/>
          <w:sz w:val="22"/>
          <w:szCs w:val="22"/>
        </w:rPr>
        <w:t>Depression Statistics</w:t>
      </w:r>
      <w:r>
        <w:rPr>
          <w:rFonts w:ascii="Arial" w:hAnsi="Arial" w:cs="Arial"/>
          <w:sz w:val="22"/>
          <w:szCs w:val="22"/>
        </w:rPr>
        <w:t>. [online] Priory. Available at: https://www.priorygroup.com/mental-health/depression-treatment/depression-statistics [Accessed 11 July 2026].</w:t>
      </w:r>
    </w:p>
    <w:p w14:paraId="3B922EF4"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Public (2025). </w:t>
      </w:r>
      <w:r>
        <w:rPr>
          <w:rFonts w:ascii="Arial" w:hAnsi="Arial" w:cs="Arial"/>
          <w:i/>
          <w:iCs/>
          <w:sz w:val="22"/>
          <w:szCs w:val="22"/>
        </w:rPr>
        <w:t>Public opinions and social trends, Great Britain</w:t>
      </w:r>
      <w:r>
        <w:rPr>
          <w:rFonts w:ascii="Arial" w:hAnsi="Arial" w:cs="Arial"/>
          <w:sz w:val="22"/>
          <w:szCs w:val="22"/>
        </w:rPr>
        <w:t>. [online] Ons.gov.uk. Available at: https://www.ons.gov.uk/peoplepopulationandcommunity/wellbeing/bulletins/publicopinionsandsocialtrendsgreatbritain/april2025 [Accessed 11 July 2026].</w:t>
      </w:r>
    </w:p>
    <w:p w14:paraId="722029FE"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lastRenderedPageBreak/>
        <w:t xml:space="preserve">pubrica (2024). </w:t>
      </w:r>
      <w:r>
        <w:rPr>
          <w:rFonts w:ascii="Arial" w:hAnsi="Arial" w:cs="Arial"/>
          <w:i/>
          <w:iCs/>
          <w:sz w:val="22"/>
          <w:szCs w:val="22"/>
        </w:rPr>
        <w:t>Standardized Library of Depression Outcome Measures  - Pubrica</w:t>
      </w:r>
      <w:r>
        <w:rPr>
          <w:rFonts w:ascii="Arial" w:hAnsi="Arial" w:cs="Arial"/>
          <w:sz w:val="22"/>
          <w:szCs w:val="22"/>
        </w:rPr>
        <w:t>. [online] Pubrica. Available at: https://pubrica.com/insights/research-services/standardized-library-of-depression-outcome-measures/ [Accessed 11 July 2026].</w:t>
      </w:r>
    </w:p>
    <w:p w14:paraId="56F7EFEE" w14:textId="77777777" w:rsidR="00D63C1E"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Simply Psychology Editorial Team (2026). </w:t>
      </w:r>
      <w:r>
        <w:rPr>
          <w:rFonts w:ascii="Arial" w:hAnsi="Arial" w:cs="Arial"/>
          <w:i/>
          <w:iCs/>
          <w:sz w:val="22"/>
          <w:szCs w:val="22"/>
        </w:rPr>
        <w:t>Best Online Psychiatry Platforms 2026: Comprehensive Review and Comparison</w:t>
      </w:r>
      <w:r>
        <w:rPr>
          <w:rFonts w:ascii="Arial" w:hAnsi="Arial" w:cs="Arial"/>
          <w:sz w:val="22"/>
          <w:szCs w:val="22"/>
        </w:rPr>
        <w:t>. [online] Simplypsychology.com. Available at: https://www.simplypsychology.com/articles/online-psychiatry-platforms-2026 [Accessed 11 July 2026].</w:t>
      </w:r>
    </w:p>
    <w:p w14:paraId="00BC64A4" w14:textId="7EDAA42F" w:rsidR="00ED4F6A" w:rsidRDefault="00D63C1E" w:rsidP="00206C1A">
      <w:pPr>
        <w:pStyle w:val="NormalWeb"/>
        <w:numPr>
          <w:ilvl w:val="0"/>
          <w:numId w:val="2"/>
        </w:numPr>
        <w:spacing w:before="0" w:beforeAutospacing="0" w:after="240" w:afterAutospacing="0" w:line="360" w:lineRule="auto"/>
        <w:ind w:left="360"/>
        <w:jc w:val="both"/>
        <w:rPr>
          <w:rFonts w:ascii="Arial" w:hAnsi="Arial" w:cs="Arial"/>
          <w:sz w:val="22"/>
          <w:szCs w:val="22"/>
        </w:rPr>
      </w:pPr>
      <w:r>
        <w:rPr>
          <w:rFonts w:ascii="Arial" w:hAnsi="Arial" w:cs="Arial"/>
          <w:sz w:val="22"/>
          <w:szCs w:val="22"/>
        </w:rPr>
        <w:t xml:space="preserve">View Designs, T. (2026). </w:t>
      </w:r>
      <w:r>
        <w:rPr>
          <w:rFonts w:ascii="Arial" w:hAnsi="Arial" w:cs="Arial"/>
          <w:i/>
          <w:iCs/>
          <w:sz w:val="22"/>
          <w:szCs w:val="22"/>
        </w:rPr>
        <w:t>Wellbeing Services</w:t>
      </w:r>
      <w:r>
        <w:rPr>
          <w:rFonts w:ascii="Arial" w:hAnsi="Arial" w:cs="Arial"/>
          <w:sz w:val="22"/>
          <w:szCs w:val="22"/>
        </w:rPr>
        <w:t>. [online] Practitionerhealth.nhs.uk. Available at: https://www.practitionerhealth.nhs.uk/self-help-wellbeing-services [Accessed 11 July 2026].</w:t>
      </w:r>
    </w:p>
    <w:p w14:paraId="2314CFD6" w14:textId="77777777" w:rsidR="000C109E" w:rsidRPr="00023789" w:rsidRDefault="000C109E" w:rsidP="00206C1A"/>
    <w:sectPr w:rsidR="000C109E" w:rsidRPr="00023789" w:rsidSect="00687EB3">
      <w:headerReference w:type="default" r:id="rId19"/>
      <w:footerReference w:type="default" r:id="rId2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3422E" w14:textId="77777777" w:rsidR="00AB6C6A" w:rsidRDefault="00AB6C6A" w:rsidP="00687EB3">
      <w:pPr>
        <w:spacing w:after="0" w:line="240" w:lineRule="auto"/>
      </w:pPr>
      <w:r>
        <w:separator/>
      </w:r>
    </w:p>
  </w:endnote>
  <w:endnote w:type="continuationSeparator" w:id="0">
    <w:p w14:paraId="588AE5DA" w14:textId="77777777" w:rsidR="00AB6C6A" w:rsidRDefault="00AB6C6A" w:rsidP="00687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581587"/>
      <w:docPartObj>
        <w:docPartGallery w:val="Page Numbers (Bottom of Page)"/>
        <w:docPartUnique/>
      </w:docPartObj>
    </w:sdtPr>
    <w:sdtEndPr>
      <w:rPr>
        <w:noProof/>
      </w:rPr>
    </w:sdtEndPr>
    <w:sdtContent>
      <w:p w14:paraId="5B7EEC67" w14:textId="2DA754F7" w:rsidR="00687EB3" w:rsidRDefault="00687EB3">
        <w:pPr>
          <w:pStyle w:val="Footer"/>
          <w:jc w:val="center"/>
        </w:pPr>
        <w:r>
          <w:rPr>
            <w:noProof/>
            <w:lang w:val="en-GB" w:eastAsia="en-GB"/>
          </w:rPr>
          <mc:AlternateContent>
            <mc:Choice Requires="wps">
              <w:drawing>
                <wp:inline distT="0" distB="0" distL="0" distR="0" wp14:anchorId="2F4C2946" wp14:editId="00EC9ECC">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94AA6C0"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2F401E0F" w14:textId="32C0E894" w:rsidR="00687EB3" w:rsidRDefault="00687EB3">
        <w:pPr>
          <w:pStyle w:val="Footer"/>
          <w:jc w:val="center"/>
        </w:pPr>
        <w:r>
          <w:fldChar w:fldCharType="begin"/>
        </w:r>
        <w:r>
          <w:instrText xml:space="preserve"> PAGE    \* MERGEFORMAT </w:instrText>
        </w:r>
        <w:r>
          <w:fldChar w:fldCharType="separate"/>
        </w:r>
        <w:r w:rsidR="00CA6A8B">
          <w:rPr>
            <w:noProof/>
          </w:rPr>
          <w:t>9</w:t>
        </w:r>
        <w:r>
          <w:rPr>
            <w:noProof/>
          </w:rPr>
          <w:fldChar w:fldCharType="end"/>
        </w:r>
      </w:p>
    </w:sdtContent>
  </w:sdt>
  <w:p w14:paraId="4C80A9D0" w14:textId="77777777" w:rsidR="00687EB3" w:rsidRDefault="00687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2C65C" w14:textId="77777777" w:rsidR="00AB6C6A" w:rsidRDefault="00AB6C6A" w:rsidP="00687EB3">
      <w:pPr>
        <w:spacing w:after="0" w:line="240" w:lineRule="auto"/>
      </w:pPr>
      <w:r>
        <w:separator/>
      </w:r>
    </w:p>
  </w:footnote>
  <w:footnote w:type="continuationSeparator" w:id="0">
    <w:p w14:paraId="6F90EB99" w14:textId="77777777" w:rsidR="00AB6C6A" w:rsidRDefault="00AB6C6A" w:rsidP="00687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17338" w14:textId="59EA7CE4" w:rsidR="00151645" w:rsidRDefault="003D6E60">
    <w:pPr>
      <w:pStyle w:val="Header"/>
    </w:pPr>
    <w:r>
      <w:rPr>
        <w:noProof/>
      </w:rPr>
      <w:drawing>
        <wp:anchor distT="0" distB="0" distL="114300" distR="114300" simplePos="0" relativeHeight="251659264" behindDoc="1" locked="0" layoutInCell="1" allowOverlap="1" wp14:anchorId="129C3820" wp14:editId="307C7619">
          <wp:simplePos x="0" y="0"/>
          <wp:positionH relativeFrom="margin">
            <wp:align>right</wp:align>
          </wp:positionH>
          <wp:positionV relativeFrom="paragraph">
            <wp:posOffset>-198887</wp:posOffset>
          </wp:positionV>
          <wp:extent cx="1292860" cy="516890"/>
          <wp:effectExtent l="0" t="0" r="2540" b="0"/>
          <wp:wrapTight wrapText="bothSides">
            <wp:wrapPolygon edited="0">
              <wp:start x="5411" y="0"/>
              <wp:lineTo x="0" y="796"/>
              <wp:lineTo x="0" y="14329"/>
              <wp:lineTo x="1910" y="20698"/>
              <wp:lineTo x="18141" y="20698"/>
              <wp:lineTo x="21324" y="15125"/>
              <wp:lineTo x="21324" y="796"/>
              <wp:lineTo x="15277" y="0"/>
              <wp:lineTo x="5411" y="0"/>
            </wp:wrapPolygon>
          </wp:wrapTight>
          <wp:docPr id="3" name="Picture 3"/>
          <wp:cNvGraphicFramePr/>
          <a:graphic xmlns:a="http://schemas.openxmlformats.org/drawingml/2006/main">
            <a:graphicData uri="http://schemas.openxmlformats.org/drawingml/2006/picture">
              <pic:pic xmlns:pic="http://schemas.openxmlformats.org/drawingml/2006/picture">
                <pic:nvPicPr>
                  <pic:cNvPr id="321" name="Picture 321"/>
                  <pic:cNvPicPr/>
                </pic:nvPicPr>
                <pic:blipFill>
                  <a:blip r:embed="rId1">
                    <a:extLst>
                      <a:ext uri="{28A0092B-C50C-407E-A947-70E740481C1C}">
                        <a14:useLocalDpi xmlns:a14="http://schemas.microsoft.com/office/drawing/2010/main" val="0"/>
                      </a:ext>
                    </a:extLst>
                  </a:blip>
                  <a:stretch>
                    <a:fillRect/>
                  </a:stretch>
                </pic:blipFill>
                <pic:spPr>
                  <a:xfrm>
                    <a:off x="0" y="0"/>
                    <a:ext cx="1292860" cy="5168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A52A2"/>
    <w:multiLevelType w:val="hybridMultilevel"/>
    <w:tmpl w:val="ABBA9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C45B51"/>
    <w:multiLevelType w:val="hybridMultilevel"/>
    <w:tmpl w:val="F084A77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4679949">
    <w:abstractNumId w:val="0"/>
  </w:num>
  <w:num w:numId="2" w16cid:durableId="710149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CBE"/>
    <w:rsid w:val="00006184"/>
    <w:rsid w:val="00023789"/>
    <w:rsid w:val="0006551A"/>
    <w:rsid w:val="00070E46"/>
    <w:rsid w:val="00084764"/>
    <w:rsid w:val="00093A40"/>
    <w:rsid w:val="000B3606"/>
    <w:rsid w:val="000C109E"/>
    <w:rsid w:val="000D7268"/>
    <w:rsid w:val="000F1500"/>
    <w:rsid w:val="000F1AA1"/>
    <w:rsid w:val="00151645"/>
    <w:rsid w:val="001673F6"/>
    <w:rsid w:val="001675CA"/>
    <w:rsid w:val="0017211D"/>
    <w:rsid w:val="00183339"/>
    <w:rsid w:val="00184E8D"/>
    <w:rsid w:val="00197C2D"/>
    <w:rsid w:val="001D3DB9"/>
    <w:rsid w:val="001D778B"/>
    <w:rsid w:val="002000D2"/>
    <w:rsid w:val="00206C1A"/>
    <w:rsid w:val="0021464E"/>
    <w:rsid w:val="00250075"/>
    <w:rsid w:val="0025575C"/>
    <w:rsid w:val="00260371"/>
    <w:rsid w:val="00274844"/>
    <w:rsid w:val="00280175"/>
    <w:rsid w:val="002B075B"/>
    <w:rsid w:val="002E4880"/>
    <w:rsid w:val="003018F5"/>
    <w:rsid w:val="00315ECF"/>
    <w:rsid w:val="003235DE"/>
    <w:rsid w:val="00352812"/>
    <w:rsid w:val="003535E4"/>
    <w:rsid w:val="00384542"/>
    <w:rsid w:val="003A1403"/>
    <w:rsid w:val="003B0C48"/>
    <w:rsid w:val="003C7708"/>
    <w:rsid w:val="003D6E60"/>
    <w:rsid w:val="003E6247"/>
    <w:rsid w:val="003F3B1E"/>
    <w:rsid w:val="00421E61"/>
    <w:rsid w:val="0043610D"/>
    <w:rsid w:val="00443AF8"/>
    <w:rsid w:val="004544B2"/>
    <w:rsid w:val="004938DC"/>
    <w:rsid w:val="004A2680"/>
    <w:rsid w:val="004B0A75"/>
    <w:rsid w:val="004B34FE"/>
    <w:rsid w:val="004C5219"/>
    <w:rsid w:val="005D254D"/>
    <w:rsid w:val="005D59E6"/>
    <w:rsid w:val="005E5FC6"/>
    <w:rsid w:val="00616703"/>
    <w:rsid w:val="006267D1"/>
    <w:rsid w:val="00645A36"/>
    <w:rsid w:val="00655185"/>
    <w:rsid w:val="006671E9"/>
    <w:rsid w:val="00680E8C"/>
    <w:rsid w:val="00687EB3"/>
    <w:rsid w:val="00690053"/>
    <w:rsid w:val="006F48C2"/>
    <w:rsid w:val="00715E22"/>
    <w:rsid w:val="0072684F"/>
    <w:rsid w:val="007375B5"/>
    <w:rsid w:val="00757CBE"/>
    <w:rsid w:val="00764F1B"/>
    <w:rsid w:val="00786A2F"/>
    <w:rsid w:val="00791D20"/>
    <w:rsid w:val="00794F2F"/>
    <w:rsid w:val="007B69CE"/>
    <w:rsid w:val="00807D76"/>
    <w:rsid w:val="00815AD4"/>
    <w:rsid w:val="00822961"/>
    <w:rsid w:val="008245E3"/>
    <w:rsid w:val="00833333"/>
    <w:rsid w:val="00835302"/>
    <w:rsid w:val="00845267"/>
    <w:rsid w:val="008550D8"/>
    <w:rsid w:val="008B15AB"/>
    <w:rsid w:val="008B3FA4"/>
    <w:rsid w:val="00911400"/>
    <w:rsid w:val="00916A99"/>
    <w:rsid w:val="00924ACD"/>
    <w:rsid w:val="009A58F7"/>
    <w:rsid w:val="009C4DC7"/>
    <w:rsid w:val="009D7F2B"/>
    <w:rsid w:val="00A72EB8"/>
    <w:rsid w:val="00A77174"/>
    <w:rsid w:val="00A92B17"/>
    <w:rsid w:val="00A97905"/>
    <w:rsid w:val="00AB2DCB"/>
    <w:rsid w:val="00AB6C6A"/>
    <w:rsid w:val="00AC703F"/>
    <w:rsid w:val="00AF370C"/>
    <w:rsid w:val="00B469BB"/>
    <w:rsid w:val="00B6110D"/>
    <w:rsid w:val="00B74AD6"/>
    <w:rsid w:val="00B87C20"/>
    <w:rsid w:val="00BB1624"/>
    <w:rsid w:val="00C41001"/>
    <w:rsid w:val="00C45FBF"/>
    <w:rsid w:val="00C4701F"/>
    <w:rsid w:val="00CA5BDE"/>
    <w:rsid w:val="00CA6A8B"/>
    <w:rsid w:val="00CB08EB"/>
    <w:rsid w:val="00CC07CF"/>
    <w:rsid w:val="00CD7648"/>
    <w:rsid w:val="00D03B52"/>
    <w:rsid w:val="00D10FE0"/>
    <w:rsid w:val="00D20160"/>
    <w:rsid w:val="00D307F1"/>
    <w:rsid w:val="00D35AD2"/>
    <w:rsid w:val="00D63C1E"/>
    <w:rsid w:val="00D67329"/>
    <w:rsid w:val="00D74353"/>
    <w:rsid w:val="00D8634C"/>
    <w:rsid w:val="00DB55C2"/>
    <w:rsid w:val="00DD147F"/>
    <w:rsid w:val="00DD151A"/>
    <w:rsid w:val="00DF4F23"/>
    <w:rsid w:val="00EB2C37"/>
    <w:rsid w:val="00EB59BD"/>
    <w:rsid w:val="00ED4F6A"/>
    <w:rsid w:val="00ED5E9C"/>
    <w:rsid w:val="00F027BE"/>
    <w:rsid w:val="00F04BE2"/>
    <w:rsid w:val="00F66C4A"/>
    <w:rsid w:val="00FE6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621E95"/>
  <w15:chartTrackingRefBased/>
  <w15:docId w15:val="{72966E07-6247-4482-99D9-F2F4E4991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EB3"/>
    <w:pPr>
      <w:spacing w:line="360" w:lineRule="auto"/>
      <w:jc w:val="both"/>
    </w:pPr>
    <w:rPr>
      <w:rFonts w:ascii="Arial" w:hAnsi="Arial"/>
    </w:rPr>
  </w:style>
  <w:style w:type="paragraph" w:styleId="Heading1">
    <w:name w:val="heading 1"/>
    <w:basedOn w:val="Normal"/>
    <w:next w:val="Normal"/>
    <w:link w:val="Heading1Char"/>
    <w:autoRedefine/>
    <w:uiPriority w:val="9"/>
    <w:qFormat/>
    <w:rsid w:val="00687EB3"/>
    <w:pPr>
      <w:keepNext/>
      <w:keepLines/>
      <w:spacing w:before="240" w:after="0"/>
      <w:outlineLvl w:val="0"/>
    </w:pPr>
    <w:rPr>
      <w:rFonts w:eastAsiaTheme="majorEastAsia" w:cstheme="majorBidi"/>
      <w:b/>
      <w:color w:val="4472C4" w:themeColor="accent1"/>
      <w:sz w:val="26"/>
      <w:szCs w:val="32"/>
    </w:rPr>
  </w:style>
  <w:style w:type="paragraph" w:styleId="Heading2">
    <w:name w:val="heading 2"/>
    <w:basedOn w:val="Normal"/>
    <w:next w:val="Normal"/>
    <w:link w:val="Heading2Char"/>
    <w:autoRedefine/>
    <w:uiPriority w:val="9"/>
    <w:unhideWhenUsed/>
    <w:qFormat/>
    <w:rsid w:val="00687EB3"/>
    <w:pPr>
      <w:keepNext/>
      <w:keepLines/>
      <w:spacing w:before="40" w:after="0"/>
      <w:outlineLvl w:val="1"/>
    </w:pPr>
    <w:rPr>
      <w:rFonts w:eastAsiaTheme="majorEastAsia" w:cstheme="majorBidi"/>
      <w:b/>
      <w:color w:val="44546A" w:themeColor="text2"/>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7E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7EB3"/>
  </w:style>
  <w:style w:type="paragraph" w:styleId="Footer">
    <w:name w:val="footer"/>
    <w:basedOn w:val="Normal"/>
    <w:link w:val="FooterChar"/>
    <w:uiPriority w:val="99"/>
    <w:unhideWhenUsed/>
    <w:rsid w:val="00687E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7EB3"/>
  </w:style>
  <w:style w:type="character" w:customStyle="1" w:styleId="Heading1Char">
    <w:name w:val="Heading 1 Char"/>
    <w:basedOn w:val="DefaultParagraphFont"/>
    <w:link w:val="Heading1"/>
    <w:uiPriority w:val="9"/>
    <w:rsid w:val="00687EB3"/>
    <w:rPr>
      <w:rFonts w:ascii="Arial" w:eastAsiaTheme="majorEastAsia" w:hAnsi="Arial" w:cstheme="majorBidi"/>
      <w:b/>
      <w:color w:val="4472C4" w:themeColor="accent1"/>
      <w:sz w:val="26"/>
      <w:szCs w:val="32"/>
    </w:rPr>
  </w:style>
  <w:style w:type="character" w:customStyle="1" w:styleId="Heading2Char">
    <w:name w:val="Heading 2 Char"/>
    <w:basedOn w:val="DefaultParagraphFont"/>
    <w:link w:val="Heading2"/>
    <w:uiPriority w:val="9"/>
    <w:rsid w:val="00687EB3"/>
    <w:rPr>
      <w:rFonts w:ascii="Arial" w:eastAsiaTheme="majorEastAsia" w:hAnsi="Arial" w:cstheme="majorBidi"/>
      <w:b/>
      <w:color w:val="44546A" w:themeColor="text2"/>
      <w:sz w:val="24"/>
      <w:szCs w:val="26"/>
    </w:rPr>
  </w:style>
  <w:style w:type="paragraph" w:styleId="ListParagraph">
    <w:name w:val="List Paragraph"/>
    <w:basedOn w:val="Normal"/>
    <w:uiPriority w:val="34"/>
    <w:qFormat/>
    <w:rsid w:val="002E4880"/>
    <w:pPr>
      <w:ind w:left="720"/>
      <w:contextualSpacing/>
    </w:pPr>
  </w:style>
  <w:style w:type="paragraph" w:styleId="NormalWeb">
    <w:name w:val="Normal (Web)"/>
    <w:basedOn w:val="Normal"/>
    <w:uiPriority w:val="99"/>
    <w:semiHidden/>
    <w:unhideWhenUsed/>
    <w:rsid w:val="00D63C1E"/>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4526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45267"/>
    <w:pPr>
      <w:spacing w:after="100"/>
    </w:pPr>
  </w:style>
  <w:style w:type="paragraph" w:styleId="TOC2">
    <w:name w:val="toc 2"/>
    <w:basedOn w:val="Normal"/>
    <w:next w:val="Normal"/>
    <w:autoRedefine/>
    <w:uiPriority w:val="39"/>
    <w:unhideWhenUsed/>
    <w:rsid w:val="00845267"/>
    <w:pPr>
      <w:spacing w:after="100"/>
      <w:ind w:left="220"/>
    </w:pPr>
  </w:style>
  <w:style w:type="character" w:styleId="Hyperlink">
    <w:name w:val="Hyperlink"/>
    <w:basedOn w:val="DefaultParagraphFont"/>
    <w:uiPriority w:val="99"/>
    <w:unhideWhenUsed/>
    <w:rsid w:val="00845267"/>
    <w:rPr>
      <w:color w:val="0563C1" w:themeColor="hyperlink"/>
      <w:u w:val="single"/>
    </w:rPr>
  </w:style>
  <w:style w:type="table" w:customStyle="1" w:styleId="TableGrid">
    <w:name w:val="TableGrid"/>
    <w:rsid w:val="008B15AB"/>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073112">
      <w:bodyDiv w:val="1"/>
      <w:marLeft w:val="0"/>
      <w:marRight w:val="0"/>
      <w:marTop w:val="0"/>
      <w:marBottom w:val="0"/>
      <w:divBdr>
        <w:top w:val="none" w:sz="0" w:space="0" w:color="auto"/>
        <w:left w:val="none" w:sz="0" w:space="0" w:color="auto"/>
        <w:bottom w:val="none" w:sz="0" w:space="0" w:color="auto"/>
        <w:right w:val="none" w:sz="0" w:space="0" w:color="auto"/>
      </w:divBdr>
    </w:div>
    <w:div w:id="487209636">
      <w:bodyDiv w:val="1"/>
      <w:marLeft w:val="0"/>
      <w:marRight w:val="0"/>
      <w:marTop w:val="0"/>
      <w:marBottom w:val="0"/>
      <w:divBdr>
        <w:top w:val="none" w:sz="0" w:space="0" w:color="auto"/>
        <w:left w:val="none" w:sz="0" w:space="0" w:color="auto"/>
        <w:bottom w:val="none" w:sz="0" w:space="0" w:color="auto"/>
        <w:right w:val="none" w:sz="0" w:space="0" w:color="auto"/>
      </w:divBdr>
      <w:divsChild>
        <w:div w:id="1698388595">
          <w:marLeft w:val="0"/>
          <w:marRight w:val="0"/>
          <w:marTop w:val="0"/>
          <w:marBottom w:val="0"/>
          <w:divBdr>
            <w:top w:val="none" w:sz="0" w:space="0" w:color="auto"/>
            <w:left w:val="none" w:sz="0" w:space="0" w:color="auto"/>
            <w:bottom w:val="none" w:sz="0" w:space="0" w:color="auto"/>
            <w:right w:val="none" w:sz="0" w:space="0" w:color="auto"/>
          </w:divBdr>
        </w:div>
      </w:divsChild>
    </w:div>
    <w:div w:id="549921919">
      <w:bodyDiv w:val="1"/>
      <w:marLeft w:val="0"/>
      <w:marRight w:val="0"/>
      <w:marTop w:val="0"/>
      <w:marBottom w:val="0"/>
      <w:divBdr>
        <w:top w:val="none" w:sz="0" w:space="0" w:color="auto"/>
        <w:left w:val="none" w:sz="0" w:space="0" w:color="auto"/>
        <w:bottom w:val="none" w:sz="0" w:space="0" w:color="auto"/>
        <w:right w:val="none" w:sz="0" w:space="0" w:color="auto"/>
      </w:divBdr>
    </w:div>
    <w:div w:id="697007277">
      <w:bodyDiv w:val="1"/>
      <w:marLeft w:val="0"/>
      <w:marRight w:val="0"/>
      <w:marTop w:val="0"/>
      <w:marBottom w:val="0"/>
      <w:divBdr>
        <w:top w:val="none" w:sz="0" w:space="0" w:color="auto"/>
        <w:left w:val="none" w:sz="0" w:space="0" w:color="auto"/>
        <w:bottom w:val="none" w:sz="0" w:space="0" w:color="auto"/>
        <w:right w:val="none" w:sz="0" w:space="0" w:color="auto"/>
      </w:divBdr>
      <w:divsChild>
        <w:div w:id="1216628000">
          <w:marLeft w:val="0"/>
          <w:marRight w:val="0"/>
          <w:marTop w:val="120"/>
          <w:marBottom w:val="120"/>
          <w:divBdr>
            <w:top w:val="none" w:sz="0" w:space="0" w:color="auto"/>
            <w:left w:val="none" w:sz="0" w:space="0" w:color="auto"/>
            <w:bottom w:val="none" w:sz="0" w:space="0" w:color="auto"/>
            <w:right w:val="none" w:sz="0" w:space="0" w:color="auto"/>
          </w:divBdr>
        </w:div>
        <w:div w:id="1716349459">
          <w:marLeft w:val="0"/>
          <w:marRight w:val="0"/>
          <w:marTop w:val="120"/>
          <w:marBottom w:val="120"/>
          <w:divBdr>
            <w:top w:val="none" w:sz="0" w:space="0" w:color="auto"/>
            <w:left w:val="none" w:sz="0" w:space="0" w:color="auto"/>
            <w:bottom w:val="none" w:sz="0" w:space="0" w:color="auto"/>
            <w:right w:val="none" w:sz="0" w:space="0" w:color="auto"/>
          </w:divBdr>
        </w:div>
        <w:div w:id="226040707">
          <w:marLeft w:val="0"/>
          <w:marRight w:val="0"/>
          <w:marTop w:val="120"/>
          <w:marBottom w:val="120"/>
          <w:divBdr>
            <w:top w:val="none" w:sz="0" w:space="0" w:color="auto"/>
            <w:left w:val="none" w:sz="0" w:space="0" w:color="auto"/>
            <w:bottom w:val="none" w:sz="0" w:space="0" w:color="auto"/>
            <w:right w:val="none" w:sz="0" w:space="0" w:color="auto"/>
          </w:divBdr>
        </w:div>
        <w:div w:id="7219380">
          <w:marLeft w:val="0"/>
          <w:marRight w:val="0"/>
          <w:marTop w:val="120"/>
          <w:marBottom w:val="120"/>
          <w:divBdr>
            <w:top w:val="none" w:sz="0" w:space="0" w:color="auto"/>
            <w:left w:val="none" w:sz="0" w:space="0" w:color="auto"/>
            <w:bottom w:val="none" w:sz="0" w:space="0" w:color="auto"/>
            <w:right w:val="none" w:sz="0" w:space="0" w:color="auto"/>
          </w:divBdr>
        </w:div>
        <w:div w:id="588776429">
          <w:marLeft w:val="0"/>
          <w:marRight w:val="0"/>
          <w:marTop w:val="120"/>
          <w:marBottom w:val="120"/>
          <w:divBdr>
            <w:top w:val="none" w:sz="0" w:space="0" w:color="auto"/>
            <w:left w:val="none" w:sz="0" w:space="0" w:color="auto"/>
            <w:bottom w:val="none" w:sz="0" w:space="0" w:color="auto"/>
            <w:right w:val="none" w:sz="0" w:space="0" w:color="auto"/>
          </w:divBdr>
        </w:div>
        <w:div w:id="687029421">
          <w:marLeft w:val="0"/>
          <w:marRight w:val="0"/>
          <w:marTop w:val="120"/>
          <w:marBottom w:val="120"/>
          <w:divBdr>
            <w:top w:val="none" w:sz="0" w:space="0" w:color="auto"/>
            <w:left w:val="none" w:sz="0" w:space="0" w:color="auto"/>
            <w:bottom w:val="none" w:sz="0" w:space="0" w:color="auto"/>
            <w:right w:val="none" w:sz="0" w:space="0" w:color="auto"/>
          </w:divBdr>
        </w:div>
        <w:div w:id="1364601262">
          <w:marLeft w:val="0"/>
          <w:marRight w:val="0"/>
          <w:marTop w:val="120"/>
          <w:marBottom w:val="120"/>
          <w:divBdr>
            <w:top w:val="none" w:sz="0" w:space="0" w:color="auto"/>
            <w:left w:val="none" w:sz="0" w:space="0" w:color="auto"/>
            <w:bottom w:val="none" w:sz="0" w:space="0" w:color="auto"/>
            <w:right w:val="none" w:sz="0" w:space="0" w:color="auto"/>
          </w:divBdr>
        </w:div>
        <w:div w:id="79645686">
          <w:marLeft w:val="0"/>
          <w:marRight w:val="0"/>
          <w:marTop w:val="120"/>
          <w:marBottom w:val="120"/>
          <w:divBdr>
            <w:top w:val="none" w:sz="0" w:space="0" w:color="auto"/>
            <w:left w:val="none" w:sz="0" w:space="0" w:color="auto"/>
            <w:bottom w:val="none" w:sz="0" w:space="0" w:color="auto"/>
            <w:right w:val="none" w:sz="0" w:space="0" w:color="auto"/>
          </w:divBdr>
        </w:div>
        <w:div w:id="1305037913">
          <w:marLeft w:val="0"/>
          <w:marRight w:val="0"/>
          <w:marTop w:val="120"/>
          <w:marBottom w:val="120"/>
          <w:divBdr>
            <w:top w:val="none" w:sz="0" w:space="0" w:color="auto"/>
            <w:left w:val="none" w:sz="0" w:space="0" w:color="auto"/>
            <w:bottom w:val="none" w:sz="0" w:space="0" w:color="auto"/>
            <w:right w:val="none" w:sz="0" w:space="0" w:color="auto"/>
          </w:divBdr>
        </w:div>
        <w:div w:id="16347267">
          <w:marLeft w:val="0"/>
          <w:marRight w:val="0"/>
          <w:marTop w:val="120"/>
          <w:marBottom w:val="120"/>
          <w:divBdr>
            <w:top w:val="none" w:sz="0" w:space="0" w:color="auto"/>
            <w:left w:val="none" w:sz="0" w:space="0" w:color="auto"/>
            <w:bottom w:val="none" w:sz="0" w:space="0" w:color="auto"/>
            <w:right w:val="none" w:sz="0" w:space="0" w:color="auto"/>
          </w:divBdr>
        </w:div>
        <w:div w:id="238177062">
          <w:marLeft w:val="0"/>
          <w:marRight w:val="0"/>
          <w:marTop w:val="120"/>
          <w:marBottom w:val="120"/>
          <w:divBdr>
            <w:top w:val="none" w:sz="0" w:space="0" w:color="auto"/>
            <w:left w:val="none" w:sz="0" w:space="0" w:color="auto"/>
            <w:bottom w:val="none" w:sz="0" w:space="0" w:color="auto"/>
            <w:right w:val="none" w:sz="0" w:space="0" w:color="auto"/>
          </w:divBdr>
        </w:div>
        <w:div w:id="103499077">
          <w:marLeft w:val="0"/>
          <w:marRight w:val="0"/>
          <w:marTop w:val="120"/>
          <w:marBottom w:val="120"/>
          <w:divBdr>
            <w:top w:val="none" w:sz="0" w:space="0" w:color="auto"/>
            <w:left w:val="none" w:sz="0" w:space="0" w:color="auto"/>
            <w:bottom w:val="none" w:sz="0" w:space="0" w:color="auto"/>
            <w:right w:val="none" w:sz="0" w:space="0" w:color="auto"/>
          </w:divBdr>
        </w:div>
        <w:div w:id="2077623463">
          <w:marLeft w:val="0"/>
          <w:marRight w:val="0"/>
          <w:marTop w:val="120"/>
          <w:marBottom w:val="120"/>
          <w:divBdr>
            <w:top w:val="none" w:sz="0" w:space="0" w:color="auto"/>
            <w:left w:val="none" w:sz="0" w:space="0" w:color="auto"/>
            <w:bottom w:val="none" w:sz="0" w:space="0" w:color="auto"/>
            <w:right w:val="none" w:sz="0" w:space="0" w:color="auto"/>
          </w:divBdr>
        </w:div>
        <w:div w:id="2128811180">
          <w:marLeft w:val="0"/>
          <w:marRight w:val="0"/>
          <w:marTop w:val="120"/>
          <w:marBottom w:val="120"/>
          <w:divBdr>
            <w:top w:val="none" w:sz="0" w:space="0" w:color="auto"/>
            <w:left w:val="none" w:sz="0" w:space="0" w:color="auto"/>
            <w:bottom w:val="none" w:sz="0" w:space="0" w:color="auto"/>
            <w:right w:val="none" w:sz="0" w:space="0" w:color="auto"/>
          </w:divBdr>
        </w:div>
        <w:div w:id="587159375">
          <w:marLeft w:val="0"/>
          <w:marRight w:val="0"/>
          <w:marTop w:val="120"/>
          <w:marBottom w:val="120"/>
          <w:divBdr>
            <w:top w:val="none" w:sz="0" w:space="0" w:color="auto"/>
            <w:left w:val="none" w:sz="0" w:space="0" w:color="auto"/>
            <w:bottom w:val="none" w:sz="0" w:space="0" w:color="auto"/>
            <w:right w:val="none" w:sz="0" w:space="0" w:color="auto"/>
          </w:divBdr>
        </w:div>
        <w:div w:id="244340547">
          <w:marLeft w:val="0"/>
          <w:marRight w:val="0"/>
          <w:marTop w:val="120"/>
          <w:marBottom w:val="120"/>
          <w:divBdr>
            <w:top w:val="none" w:sz="0" w:space="0" w:color="auto"/>
            <w:left w:val="none" w:sz="0" w:space="0" w:color="auto"/>
            <w:bottom w:val="none" w:sz="0" w:space="0" w:color="auto"/>
            <w:right w:val="none" w:sz="0" w:space="0" w:color="auto"/>
          </w:divBdr>
        </w:div>
        <w:div w:id="1206285859">
          <w:marLeft w:val="0"/>
          <w:marRight w:val="0"/>
          <w:marTop w:val="120"/>
          <w:marBottom w:val="120"/>
          <w:divBdr>
            <w:top w:val="none" w:sz="0" w:space="0" w:color="auto"/>
            <w:left w:val="none" w:sz="0" w:space="0" w:color="auto"/>
            <w:bottom w:val="none" w:sz="0" w:space="0" w:color="auto"/>
            <w:right w:val="none" w:sz="0" w:space="0" w:color="auto"/>
          </w:divBdr>
        </w:div>
        <w:div w:id="1029643459">
          <w:marLeft w:val="0"/>
          <w:marRight w:val="0"/>
          <w:marTop w:val="120"/>
          <w:marBottom w:val="120"/>
          <w:divBdr>
            <w:top w:val="none" w:sz="0" w:space="0" w:color="auto"/>
            <w:left w:val="none" w:sz="0" w:space="0" w:color="auto"/>
            <w:bottom w:val="none" w:sz="0" w:space="0" w:color="auto"/>
            <w:right w:val="none" w:sz="0" w:space="0" w:color="auto"/>
          </w:divBdr>
        </w:div>
        <w:div w:id="1689480517">
          <w:marLeft w:val="0"/>
          <w:marRight w:val="0"/>
          <w:marTop w:val="120"/>
          <w:marBottom w:val="120"/>
          <w:divBdr>
            <w:top w:val="none" w:sz="0" w:space="0" w:color="auto"/>
            <w:left w:val="none" w:sz="0" w:space="0" w:color="auto"/>
            <w:bottom w:val="none" w:sz="0" w:space="0" w:color="auto"/>
            <w:right w:val="none" w:sz="0" w:space="0" w:color="auto"/>
          </w:divBdr>
        </w:div>
        <w:div w:id="313921348">
          <w:marLeft w:val="0"/>
          <w:marRight w:val="0"/>
          <w:marTop w:val="120"/>
          <w:marBottom w:val="120"/>
          <w:divBdr>
            <w:top w:val="none" w:sz="0" w:space="0" w:color="auto"/>
            <w:left w:val="none" w:sz="0" w:space="0" w:color="auto"/>
            <w:bottom w:val="none" w:sz="0" w:space="0" w:color="auto"/>
            <w:right w:val="none" w:sz="0" w:space="0" w:color="auto"/>
          </w:divBdr>
        </w:div>
        <w:div w:id="589193620">
          <w:marLeft w:val="0"/>
          <w:marRight w:val="0"/>
          <w:marTop w:val="120"/>
          <w:marBottom w:val="120"/>
          <w:divBdr>
            <w:top w:val="none" w:sz="0" w:space="0" w:color="auto"/>
            <w:left w:val="none" w:sz="0" w:space="0" w:color="auto"/>
            <w:bottom w:val="none" w:sz="0" w:space="0" w:color="auto"/>
            <w:right w:val="none" w:sz="0" w:space="0" w:color="auto"/>
          </w:divBdr>
        </w:div>
        <w:div w:id="359206703">
          <w:marLeft w:val="0"/>
          <w:marRight w:val="0"/>
          <w:marTop w:val="120"/>
          <w:marBottom w:val="120"/>
          <w:divBdr>
            <w:top w:val="none" w:sz="0" w:space="0" w:color="auto"/>
            <w:left w:val="none" w:sz="0" w:space="0" w:color="auto"/>
            <w:bottom w:val="none" w:sz="0" w:space="0" w:color="auto"/>
            <w:right w:val="none" w:sz="0" w:space="0" w:color="auto"/>
          </w:divBdr>
        </w:div>
        <w:div w:id="2105802920">
          <w:marLeft w:val="0"/>
          <w:marRight w:val="0"/>
          <w:marTop w:val="120"/>
          <w:marBottom w:val="120"/>
          <w:divBdr>
            <w:top w:val="none" w:sz="0" w:space="0" w:color="auto"/>
            <w:left w:val="none" w:sz="0" w:space="0" w:color="auto"/>
            <w:bottom w:val="none" w:sz="0" w:space="0" w:color="auto"/>
            <w:right w:val="none" w:sz="0" w:space="0" w:color="auto"/>
          </w:divBdr>
        </w:div>
      </w:divsChild>
    </w:div>
    <w:div w:id="909996033">
      <w:bodyDiv w:val="1"/>
      <w:marLeft w:val="0"/>
      <w:marRight w:val="0"/>
      <w:marTop w:val="0"/>
      <w:marBottom w:val="0"/>
      <w:divBdr>
        <w:top w:val="none" w:sz="0" w:space="0" w:color="auto"/>
        <w:left w:val="none" w:sz="0" w:space="0" w:color="auto"/>
        <w:bottom w:val="none" w:sz="0" w:space="0" w:color="auto"/>
        <w:right w:val="none" w:sz="0" w:space="0" w:color="auto"/>
      </w:divBdr>
      <w:divsChild>
        <w:div w:id="1895775361">
          <w:marLeft w:val="0"/>
          <w:marRight w:val="0"/>
          <w:marTop w:val="120"/>
          <w:marBottom w:val="120"/>
          <w:divBdr>
            <w:top w:val="none" w:sz="0" w:space="0" w:color="auto"/>
            <w:left w:val="none" w:sz="0" w:space="0" w:color="auto"/>
            <w:bottom w:val="none" w:sz="0" w:space="0" w:color="auto"/>
            <w:right w:val="none" w:sz="0" w:space="0" w:color="auto"/>
          </w:divBdr>
        </w:div>
        <w:div w:id="1001204029">
          <w:marLeft w:val="0"/>
          <w:marRight w:val="0"/>
          <w:marTop w:val="120"/>
          <w:marBottom w:val="120"/>
          <w:divBdr>
            <w:top w:val="none" w:sz="0" w:space="0" w:color="auto"/>
            <w:left w:val="none" w:sz="0" w:space="0" w:color="auto"/>
            <w:bottom w:val="none" w:sz="0" w:space="0" w:color="auto"/>
            <w:right w:val="none" w:sz="0" w:space="0" w:color="auto"/>
          </w:divBdr>
        </w:div>
        <w:div w:id="693575906">
          <w:marLeft w:val="0"/>
          <w:marRight w:val="0"/>
          <w:marTop w:val="120"/>
          <w:marBottom w:val="120"/>
          <w:divBdr>
            <w:top w:val="none" w:sz="0" w:space="0" w:color="auto"/>
            <w:left w:val="none" w:sz="0" w:space="0" w:color="auto"/>
            <w:bottom w:val="none" w:sz="0" w:space="0" w:color="auto"/>
            <w:right w:val="none" w:sz="0" w:space="0" w:color="auto"/>
          </w:divBdr>
        </w:div>
        <w:div w:id="155610658">
          <w:marLeft w:val="0"/>
          <w:marRight w:val="0"/>
          <w:marTop w:val="120"/>
          <w:marBottom w:val="120"/>
          <w:divBdr>
            <w:top w:val="none" w:sz="0" w:space="0" w:color="auto"/>
            <w:left w:val="none" w:sz="0" w:space="0" w:color="auto"/>
            <w:bottom w:val="none" w:sz="0" w:space="0" w:color="auto"/>
            <w:right w:val="none" w:sz="0" w:space="0" w:color="auto"/>
          </w:divBdr>
        </w:div>
        <w:div w:id="716860662">
          <w:marLeft w:val="0"/>
          <w:marRight w:val="0"/>
          <w:marTop w:val="120"/>
          <w:marBottom w:val="120"/>
          <w:divBdr>
            <w:top w:val="none" w:sz="0" w:space="0" w:color="auto"/>
            <w:left w:val="none" w:sz="0" w:space="0" w:color="auto"/>
            <w:bottom w:val="none" w:sz="0" w:space="0" w:color="auto"/>
            <w:right w:val="none" w:sz="0" w:space="0" w:color="auto"/>
          </w:divBdr>
        </w:div>
        <w:div w:id="928268615">
          <w:marLeft w:val="0"/>
          <w:marRight w:val="0"/>
          <w:marTop w:val="120"/>
          <w:marBottom w:val="120"/>
          <w:divBdr>
            <w:top w:val="none" w:sz="0" w:space="0" w:color="auto"/>
            <w:left w:val="none" w:sz="0" w:space="0" w:color="auto"/>
            <w:bottom w:val="none" w:sz="0" w:space="0" w:color="auto"/>
            <w:right w:val="none" w:sz="0" w:space="0" w:color="auto"/>
          </w:divBdr>
        </w:div>
        <w:div w:id="1341080121">
          <w:marLeft w:val="0"/>
          <w:marRight w:val="0"/>
          <w:marTop w:val="120"/>
          <w:marBottom w:val="120"/>
          <w:divBdr>
            <w:top w:val="none" w:sz="0" w:space="0" w:color="auto"/>
            <w:left w:val="none" w:sz="0" w:space="0" w:color="auto"/>
            <w:bottom w:val="none" w:sz="0" w:space="0" w:color="auto"/>
            <w:right w:val="none" w:sz="0" w:space="0" w:color="auto"/>
          </w:divBdr>
        </w:div>
        <w:div w:id="666204152">
          <w:marLeft w:val="0"/>
          <w:marRight w:val="0"/>
          <w:marTop w:val="120"/>
          <w:marBottom w:val="120"/>
          <w:divBdr>
            <w:top w:val="none" w:sz="0" w:space="0" w:color="auto"/>
            <w:left w:val="none" w:sz="0" w:space="0" w:color="auto"/>
            <w:bottom w:val="none" w:sz="0" w:space="0" w:color="auto"/>
            <w:right w:val="none" w:sz="0" w:space="0" w:color="auto"/>
          </w:divBdr>
        </w:div>
        <w:div w:id="498008158">
          <w:marLeft w:val="0"/>
          <w:marRight w:val="0"/>
          <w:marTop w:val="120"/>
          <w:marBottom w:val="120"/>
          <w:divBdr>
            <w:top w:val="none" w:sz="0" w:space="0" w:color="auto"/>
            <w:left w:val="none" w:sz="0" w:space="0" w:color="auto"/>
            <w:bottom w:val="none" w:sz="0" w:space="0" w:color="auto"/>
            <w:right w:val="none" w:sz="0" w:space="0" w:color="auto"/>
          </w:divBdr>
        </w:div>
        <w:div w:id="309796962">
          <w:marLeft w:val="0"/>
          <w:marRight w:val="0"/>
          <w:marTop w:val="120"/>
          <w:marBottom w:val="120"/>
          <w:divBdr>
            <w:top w:val="none" w:sz="0" w:space="0" w:color="auto"/>
            <w:left w:val="none" w:sz="0" w:space="0" w:color="auto"/>
            <w:bottom w:val="none" w:sz="0" w:space="0" w:color="auto"/>
            <w:right w:val="none" w:sz="0" w:space="0" w:color="auto"/>
          </w:divBdr>
        </w:div>
        <w:div w:id="1567111520">
          <w:marLeft w:val="0"/>
          <w:marRight w:val="0"/>
          <w:marTop w:val="120"/>
          <w:marBottom w:val="120"/>
          <w:divBdr>
            <w:top w:val="none" w:sz="0" w:space="0" w:color="auto"/>
            <w:left w:val="none" w:sz="0" w:space="0" w:color="auto"/>
            <w:bottom w:val="none" w:sz="0" w:space="0" w:color="auto"/>
            <w:right w:val="none" w:sz="0" w:space="0" w:color="auto"/>
          </w:divBdr>
        </w:div>
        <w:div w:id="1021973939">
          <w:marLeft w:val="0"/>
          <w:marRight w:val="0"/>
          <w:marTop w:val="120"/>
          <w:marBottom w:val="120"/>
          <w:divBdr>
            <w:top w:val="none" w:sz="0" w:space="0" w:color="auto"/>
            <w:left w:val="none" w:sz="0" w:space="0" w:color="auto"/>
            <w:bottom w:val="none" w:sz="0" w:space="0" w:color="auto"/>
            <w:right w:val="none" w:sz="0" w:space="0" w:color="auto"/>
          </w:divBdr>
        </w:div>
        <w:div w:id="2020236962">
          <w:marLeft w:val="0"/>
          <w:marRight w:val="0"/>
          <w:marTop w:val="120"/>
          <w:marBottom w:val="120"/>
          <w:divBdr>
            <w:top w:val="none" w:sz="0" w:space="0" w:color="auto"/>
            <w:left w:val="none" w:sz="0" w:space="0" w:color="auto"/>
            <w:bottom w:val="none" w:sz="0" w:space="0" w:color="auto"/>
            <w:right w:val="none" w:sz="0" w:space="0" w:color="auto"/>
          </w:divBdr>
        </w:div>
        <w:div w:id="3869436">
          <w:marLeft w:val="0"/>
          <w:marRight w:val="0"/>
          <w:marTop w:val="120"/>
          <w:marBottom w:val="120"/>
          <w:divBdr>
            <w:top w:val="none" w:sz="0" w:space="0" w:color="auto"/>
            <w:left w:val="none" w:sz="0" w:space="0" w:color="auto"/>
            <w:bottom w:val="none" w:sz="0" w:space="0" w:color="auto"/>
            <w:right w:val="none" w:sz="0" w:space="0" w:color="auto"/>
          </w:divBdr>
        </w:div>
        <w:div w:id="1749107410">
          <w:marLeft w:val="0"/>
          <w:marRight w:val="0"/>
          <w:marTop w:val="120"/>
          <w:marBottom w:val="120"/>
          <w:divBdr>
            <w:top w:val="none" w:sz="0" w:space="0" w:color="auto"/>
            <w:left w:val="none" w:sz="0" w:space="0" w:color="auto"/>
            <w:bottom w:val="none" w:sz="0" w:space="0" w:color="auto"/>
            <w:right w:val="none" w:sz="0" w:space="0" w:color="auto"/>
          </w:divBdr>
        </w:div>
        <w:div w:id="407271454">
          <w:marLeft w:val="0"/>
          <w:marRight w:val="0"/>
          <w:marTop w:val="120"/>
          <w:marBottom w:val="120"/>
          <w:divBdr>
            <w:top w:val="none" w:sz="0" w:space="0" w:color="auto"/>
            <w:left w:val="none" w:sz="0" w:space="0" w:color="auto"/>
            <w:bottom w:val="none" w:sz="0" w:space="0" w:color="auto"/>
            <w:right w:val="none" w:sz="0" w:space="0" w:color="auto"/>
          </w:divBdr>
        </w:div>
        <w:div w:id="1332640118">
          <w:marLeft w:val="0"/>
          <w:marRight w:val="0"/>
          <w:marTop w:val="120"/>
          <w:marBottom w:val="120"/>
          <w:divBdr>
            <w:top w:val="none" w:sz="0" w:space="0" w:color="auto"/>
            <w:left w:val="none" w:sz="0" w:space="0" w:color="auto"/>
            <w:bottom w:val="none" w:sz="0" w:space="0" w:color="auto"/>
            <w:right w:val="none" w:sz="0" w:space="0" w:color="auto"/>
          </w:divBdr>
        </w:div>
        <w:div w:id="1146777680">
          <w:marLeft w:val="0"/>
          <w:marRight w:val="0"/>
          <w:marTop w:val="120"/>
          <w:marBottom w:val="120"/>
          <w:divBdr>
            <w:top w:val="none" w:sz="0" w:space="0" w:color="auto"/>
            <w:left w:val="none" w:sz="0" w:space="0" w:color="auto"/>
            <w:bottom w:val="none" w:sz="0" w:space="0" w:color="auto"/>
            <w:right w:val="none" w:sz="0" w:space="0" w:color="auto"/>
          </w:divBdr>
        </w:div>
        <w:div w:id="1199077542">
          <w:marLeft w:val="0"/>
          <w:marRight w:val="0"/>
          <w:marTop w:val="120"/>
          <w:marBottom w:val="120"/>
          <w:divBdr>
            <w:top w:val="none" w:sz="0" w:space="0" w:color="auto"/>
            <w:left w:val="none" w:sz="0" w:space="0" w:color="auto"/>
            <w:bottom w:val="none" w:sz="0" w:space="0" w:color="auto"/>
            <w:right w:val="none" w:sz="0" w:space="0" w:color="auto"/>
          </w:divBdr>
        </w:div>
        <w:div w:id="320042829">
          <w:marLeft w:val="0"/>
          <w:marRight w:val="0"/>
          <w:marTop w:val="120"/>
          <w:marBottom w:val="120"/>
          <w:divBdr>
            <w:top w:val="none" w:sz="0" w:space="0" w:color="auto"/>
            <w:left w:val="none" w:sz="0" w:space="0" w:color="auto"/>
            <w:bottom w:val="none" w:sz="0" w:space="0" w:color="auto"/>
            <w:right w:val="none" w:sz="0" w:space="0" w:color="auto"/>
          </w:divBdr>
        </w:div>
        <w:div w:id="2083721348">
          <w:marLeft w:val="0"/>
          <w:marRight w:val="0"/>
          <w:marTop w:val="120"/>
          <w:marBottom w:val="120"/>
          <w:divBdr>
            <w:top w:val="none" w:sz="0" w:space="0" w:color="auto"/>
            <w:left w:val="none" w:sz="0" w:space="0" w:color="auto"/>
            <w:bottom w:val="none" w:sz="0" w:space="0" w:color="auto"/>
            <w:right w:val="none" w:sz="0" w:space="0" w:color="auto"/>
          </w:divBdr>
        </w:div>
        <w:div w:id="554970260">
          <w:marLeft w:val="0"/>
          <w:marRight w:val="0"/>
          <w:marTop w:val="120"/>
          <w:marBottom w:val="120"/>
          <w:divBdr>
            <w:top w:val="none" w:sz="0" w:space="0" w:color="auto"/>
            <w:left w:val="none" w:sz="0" w:space="0" w:color="auto"/>
            <w:bottom w:val="none" w:sz="0" w:space="0" w:color="auto"/>
            <w:right w:val="none" w:sz="0" w:space="0" w:color="auto"/>
          </w:divBdr>
        </w:div>
        <w:div w:id="1314603714">
          <w:marLeft w:val="0"/>
          <w:marRight w:val="0"/>
          <w:marTop w:val="120"/>
          <w:marBottom w:val="120"/>
          <w:divBdr>
            <w:top w:val="none" w:sz="0" w:space="0" w:color="auto"/>
            <w:left w:val="none" w:sz="0" w:space="0" w:color="auto"/>
            <w:bottom w:val="none" w:sz="0" w:space="0" w:color="auto"/>
            <w:right w:val="none" w:sz="0" w:space="0" w:color="auto"/>
          </w:divBdr>
        </w:div>
      </w:divsChild>
    </w:div>
    <w:div w:id="1113553091">
      <w:bodyDiv w:val="1"/>
      <w:marLeft w:val="0"/>
      <w:marRight w:val="0"/>
      <w:marTop w:val="0"/>
      <w:marBottom w:val="0"/>
      <w:divBdr>
        <w:top w:val="none" w:sz="0" w:space="0" w:color="auto"/>
        <w:left w:val="none" w:sz="0" w:space="0" w:color="auto"/>
        <w:bottom w:val="none" w:sz="0" w:space="0" w:color="auto"/>
        <w:right w:val="none" w:sz="0" w:space="0" w:color="auto"/>
      </w:divBdr>
    </w:div>
    <w:div w:id="161378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microsoft.com/office/2007/relationships/hdphoto" Target="media/hdphoto3.wdp"/><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microsoft.com/office/2007/relationships/hdphoto" Target="media/hdphoto2.wd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7" ma:contentTypeDescription="Create a new document." ma:contentTypeScope="" ma:versionID="444bf340781b5733eaf0834bf131b95c">
  <xsd:schema xmlns:xsd="http://www.w3.org/2001/XMLSchema" xmlns:xs="http://www.w3.org/2001/XMLSchema" xmlns:p="http://schemas.microsoft.com/office/2006/metadata/properties" xmlns:ns3="3a45fc47-eb9b-4e12-9db8-9c54afcdd495" targetNamespace="http://schemas.microsoft.com/office/2006/metadata/properties" ma:root="true" ma:fieldsID="11c57b2e8f53428c7aa0d67afe81ecda"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AF79C6-D795-4CAE-9722-2E08E68A96E8}">
  <ds:schemaRefs>
    <ds:schemaRef ds:uri="http://schemas.openxmlformats.org/officeDocument/2006/bibliography"/>
  </ds:schemaRefs>
</ds:datastoreItem>
</file>

<file path=customXml/itemProps2.xml><?xml version="1.0" encoding="utf-8"?>
<ds:datastoreItem xmlns:ds="http://schemas.openxmlformats.org/officeDocument/2006/customXml" ds:itemID="{20AC69E7-F79A-4EE7-BE3A-FC0B78AD7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5002BB-6EE6-43DA-8109-83DB84D0FC58}">
  <ds:schemaRefs>
    <ds:schemaRef ds:uri="http://schemas.microsoft.com/sharepoint/v3/contenttype/forms"/>
  </ds:schemaRefs>
</ds:datastoreItem>
</file>

<file path=customXml/itemProps4.xml><?xml version="1.0" encoding="utf-8"?>
<ds:datastoreItem xmlns:ds="http://schemas.openxmlformats.org/officeDocument/2006/customXml" ds:itemID="{38C5B72A-763A-4C17-9D2D-ECD47DE03CF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Fernanda Ponta Garca Carvalho (2525127)</cp:lastModifiedBy>
  <cp:revision>4</cp:revision>
  <dcterms:created xsi:type="dcterms:W3CDTF">2026-08-11T11:56:00Z</dcterms:created>
  <dcterms:modified xsi:type="dcterms:W3CDTF">2026-08-11T11:57:00Z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2f25ec69-0e2a-4c23-a469-24ed46f3ced6</vt:lpwstr>
  </property>
  <property fmtid="{D5CDD505-2E9C-101B-9397-08002B2CF9AE}" pid="3" name="ContentTypeId">
    <vt:lpwstr>0x010100726380AC60170645A0935717CAD1D47D</vt:lpwstr>
  </property>
</Properties>
</file>