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ced7e7"/>
        </w:tblPrEx>
        <w:trPr>
          <w:trHeight w:val="55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EMILY ROBINSON</w:t>
            </w:r>
          </w:p>
        </w:tc>
      </w:tr>
      <w:tr>
        <w:tblPrEx>
          <w:shd w:val="clear" w:color="auto" w:fill="ced7e7"/>
        </w:tblPrEx>
        <w:trPr>
          <w:trHeight w:val="144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HPCA7009</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SKYSCAPES, COSMOLOGY AND ARCHAEOLOGY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pStyle w:val="Body"/>
              <w:ind w:right="34"/>
              <w:jc w:val="left"/>
            </w:pPr>
            <w:r>
              <w:rPr>
                <w:rFonts w:ascii="Arial" w:hAnsi="Arial"/>
                <w:sz w:val="22"/>
                <w:szCs w:val="22"/>
                <w:u w:color="000000"/>
                <w:rtl w:val="0"/>
                <w:lang w:val="en-US"/>
              </w:rPr>
              <w:t>1806481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tutor: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SILVA, FABIO; BRADY, BERNADETTE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04 March 2019</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u w:color="000000"/>
                <w:rtl w:val="0"/>
              </w:rPr>
            </w:pPr>
            <w:r>
              <w:rPr>
                <w:rFonts w:ascii="Arial" w:hAnsi="Arial"/>
                <w:u w:color="000000"/>
                <w:rtl w:val="0"/>
                <w:lang w:val="en-US"/>
              </w:rPr>
              <w:t>If your module has multiple submissions please indicate which piece of work this is.</w:t>
            </w:r>
          </w:p>
          <w:p>
            <w:pPr>
              <w:pStyle w:val="Body"/>
              <w:bidi w:val="0"/>
              <w:ind w:left="0" w:right="0" w:firstLine="0"/>
              <w:jc w:val="left"/>
              <w:rPr>
                <w:rFonts w:ascii="Arial" w:cs="Arial" w:hAnsi="Arial" w:eastAsia="Arial"/>
                <w:u w:color="000000"/>
                <w:rtl w:val="0"/>
                <w:lang w:val="en-US"/>
              </w:rPr>
            </w:pPr>
          </w:p>
          <w:p>
            <w:pPr>
              <w:pStyle w:val="Body"/>
              <w:jc w:val="left"/>
            </w:pPr>
            <w:r>
              <w:rPr>
                <w:rFonts w:ascii="Arial" w:hAnsi="Arial"/>
                <w:u w:color="000000"/>
                <w:rtl w:val="0"/>
                <w:lang w:val="en-US"/>
              </w:rPr>
              <w:t>1</w:t>
            </w:r>
            <w:r>
              <w:rPr>
                <w:rFonts w:ascii="Arial" w:hAnsi="Arial"/>
                <w:u w:color="000000"/>
                <w:vertAlign w:val="superscript"/>
                <w:rtl w:val="0"/>
                <w:lang w:val="en-US"/>
              </w:rPr>
              <w:t xml:space="preserve">st </w:t>
            </w:r>
          </w:p>
        </w:tc>
      </w:tr>
      <w:tr>
        <w:tblPrEx>
          <w:shd w:val="clear" w:color="auto" w:fill="ced7e7"/>
        </w:tblPrEx>
        <w:trPr>
          <w:trHeight w:val="209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EFR </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 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r>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 xml:space="preserve"> </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3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rtl w:val="0"/>
                <w:lang w:val="en-US"/>
              </w:rPr>
            </w:pPr>
          </w:p>
          <w:p>
            <w:pPr>
              <w:pStyle w:val="Body"/>
              <w:jc w:val="left"/>
              <w:rPr>
                <w:rFonts w:ascii="Arial" w:cs="Arial" w:hAnsi="Arial" w:eastAsia="Arial"/>
                <w:sz w:val="24"/>
                <w:szCs w:val="24"/>
                <w:u w:color="000000"/>
              </w:rPr>
            </w:pPr>
            <w:r>
              <w:rPr>
                <w:rFonts w:ascii="Arial" w:hAnsi="Arial"/>
                <w:b w:val="1"/>
                <w:bCs w:val="1"/>
                <w:sz w:val="24"/>
                <w:szCs w:val="24"/>
                <w:u w:color="000000"/>
                <w:rtl w:val="0"/>
                <w:lang w:val="en-US"/>
              </w:rPr>
              <w:t>Assignment Mark</w:t>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1</w:t>
            </w:r>
            <w:r>
              <w:rPr>
                <w:rFonts w:ascii="Arial" w:hAnsi="Arial"/>
                <w:sz w:val="20"/>
                <w:szCs w:val="20"/>
                <w:u w:color="000000"/>
                <w:vertAlign w:val="superscript"/>
                <w:rtl w:val="0"/>
                <w:lang w:val="en-US"/>
              </w:rPr>
              <w:t>st</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2</w:t>
            </w:r>
            <w:r>
              <w:rPr>
                <w:rFonts w:ascii="Arial" w:hAnsi="Arial"/>
                <w:sz w:val="20"/>
                <w:szCs w:val="20"/>
                <w:u w:color="000000"/>
                <w:vertAlign w:val="superscript"/>
                <w:rtl w:val="0"/>
                <w:lang w:val="en-US"/>
              </w:rPr>
              <w:t>nd</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s/Moderator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rPr>
            </w:pPr>
            <w:r>
              <w:rPr>
                <w:rFonts w:ascii="Arial" w:hAnsi="Arial"/>
                <w:sz w:val="20"/>
                <w:szCs w:val="20"/>
                <w:u w:color="000000"/>
                <w:rtl w:val="0"/>
                <w:lang w:val="en-US"/>
              </w:rPr>
              <w:t xml:space="preserve">Agreed Internal Mark: </w:t>
            </w:r>
          </w:p>
          <w:p>
            <w:pPr>
              <w:pStyle w:val="Body"/>
              <w:bidi w:val="0"/>
              <w:ind w:left="0" w:right="0" w:firstLine="0"/>
              <w:jc w:val="left"/>
              <w:rPr>
                <w:rFonts w:ascii="Arial" w:cs="Arial" w:hAnsi="Arial" w:eastAsia="Arial"/>
                <w:sz w:val="20"/>
                <w:szCs w:val="20"/>
                <w:u w:color="000000"/>
                <w:shd w:val="clear" w:color="auto" w:fill="ffff00"/>
                <w:rtl w:val="0"/>
              </w:rPr>
            </w:pPr>
            <w:r>
              <w:rPr>
                <w:rFonts w:ascii="Arial" w:cs="Arial" w:hAnsi="Arial" w:eastAsia="Arial"/>
                <w:sz w:val="20"/>
                <w:szCs w:val="20"/>
                <w:u w:color="000000"/>
                <w:shd w:val="clear" w:color="auto" w:fill="ffff00"/>
                <w:rtl w:val="0"/>
              </w:rPr>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External Examiner</w:t>
            </w:r>
            <w:r>
              <w:rPr>
                <w:rFonts w:ascii="Arial" w:hAnsi="Arial" w:hint="default"/>
                <w:sz w:val="20"/>
                <w:szCs w:val="20"/>
                <w:u w:color="000000"/>
                <w:rtl w:val="0"/>
                <w:lang w:val="en-US"/>
              </w:rPr>
              <w:t>’</w:t>
            </w:r>
            <w:r>
              <w:rPr>
                <w:rFonts w:ascii="Arial" w:hAnsi="Arial"/>
                <w:sz w:val="20"/>
                <w:szCs w:val="20"/>
                <w:u w:color="000000"/>
                <w:rtl w:val="0"/>
                <w:lang w:val="en-US"/>
              </w:rPr>
              <w:t>s mark (if relevant)</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b w:val="1"/>
                <w:bCs w:val="1"/>
                <w:sz w:val="20"/>
                <w:szCs w:val="20"/>
                <w:u w:color="000000"/>
                <w:rtl w:val="0"/>
              </w:rPr>
            </w:pPr>
            <w:r>
              <w:rPr>
                <w:rFonts w:ascii="Arial" w:hAnsi="Arial"/>
                <w:b w:val="1"/>
                <w:bCs w:val="1"/>
                <w:sz w:val="20"/>
                <w:szCs w:val="20"/>
                <w:u w:color="000000"/>
                <w:rtl w:val="0"/>
                <w:lang w:val="en-US"/>
              </w:rPr>
              <w:t>Final Mark</w:t>
            </w:r>
          </w:p>
          <w:p>
            <w:pPr>
              <w:pStyle w:val="Body"/>
              <w:bidi w:val="0"/>
              <w:ind w:left="0" w:right="0" w:firstLine="0"/>
              <w:jc w:val="left"/>
              <w:rPr>
                <w:rFonts w:ascii="Arial" w:cs="Arial" w:hAnsi="Arial" w:eastAsia="Arial"/>
                <w:b w:val="1"/>
                <w:bCs w:val="1"/>
                <w:sz w:val="20"/>
                <w:szCs w:val="20"/>
                <w:u w:color="000000"/>
                <w:rtl w:val="0"/>
              </w:rPr>
            </w:pPr>
            <w:r>
              <w:rPr>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6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AGREED INTERNAL MARK (where necessary):</w:t>
            </w:r>
          </w:p>
          <w:p>
            <w:pPr>
              <w:pStyle w:val="Body"/>
              <w:bidi w:val="0"/>
              <w:ind w:left="0" w:right="0" w:firstLine="0"/>
              <w:jc w:val="left"/>
              <w:rPr>
                <w:rFonts w:ascii="Arial" w:cs="Arial" w:hAnsi="Arial" w:eastAsia="Arial"/>
                <w:b w:val="1"/>
                <w:bCs w:val="1"/>
                <w:u w:color="000000"/>
                <w:rtl w:val="0"/>
                <w:lang w:val="en-US"/>
              </w:rPr>
            </w:pPr>
          </w:p>
          <w:p>
            <w:pPr>
              <w:pStyle w:val="Body"/>
              <w:jc w:val="left"/>
              <w:rPr>
                <w:rFonts w:ascii="Arial" w:cs="Arial" w:hAnsi="Arial" w:eastAsia="Arial"/>
                <w:b w:val="1"/>
                <w:bCs w:val="1"/>
                <w:u w:color="000000"/>
              </w:rPr>
            </w:pPr>
            <w:r>
              <w:rPr>
                <w:rFonts w:ascii="Arial" w:hAnsi="Arial"/>
                <w:b w:val="1"/>
                <w:bCs w:val="1"/>
                <w:u w:color="000000"/>
                <w:rtl w:val="0"/>
                <w:lang w:val="en-US"/>
              </w:rPr>
              <w:t>Comment on process of arriving at agreed mark:</w:t>
            </w:r>
          </w:p>
          <w:p>
            <w:pPr>
              <w:pStyle w:val="Body"/>
              <w:bidi w:val="0"/>
              <w:ind w:left="0" w:right="0" w:firstLine="0"/>
              <w:jc w:val="left"/>
              <w:rPr>
                <w:rFonts w:ascii="Arial" w:cs="Arial" w:hAnsi="Arial" w:eastAsia="Arial"/>
                <w:b w:val="1"/>
                <w:bCs w:val="1"/>
                <w:u w:color="000000"/>
                <w:rtl w:val="0"/>
                <w:lang w:val="en-US"/>
              </w:rPr>
            </w:pPr>
          </w:p>
          <w:p>
            <w:pPr>
              <w:pStyle w:val="Body"/>
              <w:bidi w:val="0"/>
              <w:ind w:left="0" w:right="0" w:firstLine="0"/>
              <w:jc w:val="left"/>
              <w:rPr>
                <w:rFonts w:ascii="Arial" w:cs="Arial" w:hAnsi="Arial" w:eastAsia="Arial"/>
                <w:b w:val="1"/>
                <w:bCs w:val="1"/>
                <w:u w:color="000000"/>
                <w:rtl w:val="0"/>
                <w:lang w:val="en-US"/>
              </w:rPr>
            </w:pPr>
          </w:p>
          <w:p>
            <w:pPr>
              <w:pStyle w:val="Body"/>
              <w:bidi w:val="0"/>
              <w:ind w:left="0" w:right="0" w:firstLine="0"/>
              <w:jc w:val="left"/>
              <w:rPr>
                <w:rFonts w:ascii="Arial" w:cs="Arial" w:hAnsi="Arial" w:eastAsia="Arial"/>
                <w:b w:val="1"/>
                <w:bCs w:val="1"/>
                <w:u w:color="000000"/>
                <w:rtl w:val="0"/>
                <w:lang w:val="en-US"/>
              </w:rPr>
            </w:pPr>
          </w:p>
          <w:p>
            <w:pPr>
              <w:pStyle w:val="Body"/>
              <w:bidi w:val="0"/>
              <w:ind w:left="0" w:right="0" w:firstLine="0"/>
              <w:jc w:val="left"/>
              <w:rPr>
                <w:rFonts w:ascii="Arial" w:cs="Arial" w:hAnsi="Arial" w:eastAsia="Arial"/>
                <w:b w:val="1"/>
                <w:bCs w:val="1"/>
                <w:u w:color="000000"/>
                <w:rtl w:val="0"/>
                <w:lang w:val="en-US"/>
              </w:rPr>
            </w:pPr>
          </w:p>
          <w:p>
            <w:pPr>
              <w:pStyle w:val="Body"/>
              <w:bidi w:val="0"/>
              <w:ind w:left="0" w:right="0" w:firstLine="0"/>
              <w:jc w:val="left"/>
              <w:rPr>
                <w:rFonts w:ascii="Arial" w:cs="Arial" w:hAnsi="Arial" w:eastAsia="Arial"/>
                <w:b w:val="1"/>
                <w:bCs w:val="1"/>
                <w:u w:color="000000"/>
                <w:rtl w:val="0"/>
                <w:lang w:val="en-US"/>
              </w:rPr>
            </w:pPr>
          </w:p>
          <w:p>
            <w:pPr>
              <w:pStyle w:val="Body"/>
              <w:bidi w:val="0"/>
              <w:ind w:left="0" w:right="0" w:firstLine="0"/>
              <w:jc w:val="left"/>
              <w:rPr>
                <w:rFonts w:ascii="Arial" w:cs="Arial" w:hAnsi="Arial" w:eastAsia="Arial"/>
                <w:b w:val="1"/>
                <w:bCs w:val="1"/>
                <w:u w:color="000000"/>
                <w:rtl w:val="0"/>
                <w:lang w:val="en-US"/>
              </w:rPr>
            </w:pPr>
          </w:p>
          <w:p>
            <w:pPr>
              <w:pStyle w:val="Body"/>
              <w:bidi w:val="0"/>
              <w:ind w:left="0" w:right="0" w:firstLine="0"/>
              <w:jc w:val="left"/>
              <w:rPr>
                <w:rtl w:val="0"/>
              </w:rPr>
            </w:pPr>
            <w:r>
              <w:rPr>
                <w:rFonts w:ascii="Arial" w:cs="Arial" w:hAnsi="Arial" w:eastAsia="Arial"/>
                <w:b w:val="1"/>
                <w:bCs w:val="1"/>
                <w:u w:color="000000"/>
                <w:rtl w:val="0"/>
                <w:lang w:val="en-US"/>
              </w:rPr>
            </w:r>
          </w:p>
        </w:tc>
      </w:tr>
      <w:tr>
        <w:tblPrEx>
          <w:shd w:val="clear" w:color="auto" w:fill="ced7e7"/>
        </w:tblPrEx>
        <w:trPr>
          <w:trHeight w:val="19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External Examiner</w:t>
            </w:r>
            <w:r>
              <w:rPr>
                <w:rFonts w:ascii="Arial" w:hAnsi="Arial" w:hint="default"/>
                <w:b w:val="1"/>
                <w:bCs w:val="1"/>
                <w:u w:color="000000"/>
                <w:rtl w:val="0"/>
                <w:lang w:val="en-US"/>
              </w:rPr>
              <w:t>’</w:t>
            </w:r>
            <w:r>
              <w:rPr>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External Examiner</w:t>
            </w:r>
            <w:r>
              <w:rPr>
                <w:rFonts w:ascii="Arial" w:hAnsi="Arial" w:hint="default"/>
                <w:u w:color="000000"/>
                <w:rtl w:val="0"/>
                <w:lang w:val="en-US"/>
              </w:rPr>
              <w:t>’</w:t>
            </w:r>
            <w:r>
              <w:rPr>
                <w:rFonts w:ascii="Arial" w:hAnsi="Arial"/>
                <w:u w:color="000000"/>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0"/>
          <w:bCs w:val="0"/>
          <w:i w:val="0"/>
          <w:iCs w:val="0"/>
          <w:caps w:val="0"/>
          <w:smallCaps w:val="0"/>
          <w:strike w:val="0"/>
          <w:dstrike w:val="0"/>
          <w:outline w:val="0"/>
          <w:color w:val="000000"/>
          <w:spacing w:val="0"/>
          <w:kern w:val="0"/>
          <w:position w:val="0"/>
          <w:sz w:val="21"/>
          <w:szCs w:val="21"/>
          <w:u w:val="none" w:color="000000"/>
          <w:vertAlign w:val="baseline"/>
          <w:rtl w:val="0"/>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rPr>
        <w:t>THIS SHEET MUST BE THE FIRST PAGE OF THE ASSIGNMENT YOU ARE SUBMITTING  (DO NOT SEND AS A SEPARATE FILE)</w:t>
      </w:r>
    </w:p>
    <w:p>
      <w:pPr>
        <w:pStyle w:val="Heading 3"/>
        <w:widowControl w:val="0"/>
        <w:pBdr>
          <w:top w:val="nil"/>
          <w:left w:val="nil"/>
          <w:bottom w:val="nil"/>
          <w:right w:val="nil"/>
        </w:pBdr>
        <w:bidi w:val="0"/>
        <w:spacing w:before="0" w:after="0" w:line="240" w:lineRule="auto"/>
        <w:ind w:left="0" w:right="0" w:firstLine="0"/>
        <w:jc w:val="center"/>
        <w:rPr>
          <w:rtl w:val="0"/>
        </w:rPr>
      </w:pPr>
      <w:r>
        <w:rPr>
          <w:rFonts w:ascii="Arial Unicode MS" w:cs="Arial Unicode MS" w:hAnsi="Arial Unicode MS" w:eastAsia="Arial Unicode MS"/>
          <w:b w:val="0"/>
          <w:bCs w:val="0"/>
          <w:i w:val="0"/>
          <w:iCs w:val="0"/>
          <w:spacing w:val="0"/>
          <w:sz w:val="20"/>
          <w:szCs w:val="20"/>
          <w:u w:color="000000"/>
          <w:rtl w:val="0"/>
          <w:lang w:val="en-US"/>
        </w:rPr>
        <w:br w:type="page"/>
      </w:r>
    </w:p>
    <w:p>
      <w:pPr>
        <w:pStyle w:val="Body"/>
        <w:rPr>
          <w:rFonts w:ascii="Times New Roman" w:cs="Times New Roman" w:hAnsi="Times New Roman" w:eastAsia="Times New Roman"/>
          <w:sz w:val="24"/>
          <w:szCs w:val="24"/>
        </w:rPr>
      </w:pPr>
      <w:r>
        <w:rPr>
          <w:rFonts w:ascii="Times New Roman" w:hAnsi="Times New Roman" w:hint="default"/>
          <w:sz w:val="24"/>
          <w:szCs w:val="24"/>
          <w:rtl w:val="0"/>
        </w:rPr>
        <w:t> </w:t>
      </w:r>
      <w:r>
        <w:rPr>
          <w:rFonts w:ascii="Times New Roman" w:hAnsi="Times New Roman"/>
          <w:sz w:val="24"/>
          <w:szCs w:val="24"/>
          <w:rtl w:val="0"/>
          <w:lang w:val="en-US"/>
        </w:rPr>
        <w:t xml:space="preserve">A Critical Review of Two Papers Concerning </w:t>
      </w:r>
      <w:r>
        <w:rPr>
          <w:rFonts w:ascii="Times New Roman" w:hAnsi="Times New Roman"/>
          <w:sz w:val="24"/>
          <w:szCs w:val="24"/>
          <w:rtl w:val="0"/>
          <w:lang w:val="en-US"/>
        </w:rPr>
        <w:t>Iberian Megaliths</w:t>
      </w:r>
      <w:r>
        <w:rPr>
          <w:rFonts w:ascii="Arial Unicode MS" w:cs="Arial Unicode MS" w:hAnsi="Arial Unicode MS" w:eastAsia="Arial Unicode MS"/>
          <w:b w:val="0"/>
          <w:bCs w:val="0"/>
          <w:i w:val="0"/>
          <w:iCs w:val="0"/>
          <w:sz w:val="24"/>
          <w:szCs w:val="24"/>
        </w:rPr>
        <w:br w:type="textWrapping"/>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Michael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sz w:val="24"/>
          <w:szCs w:val="24"/>
          <w:rtl w:val="0"/>
        </w:rPr>
        <w:t xml:space="preserve">1998 </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de-DE"/>
        </w:rPr>
        <w:t>tudies in Iberian Archaeoastronomy (5)</w:t>
      </w:r>
      <w:r>
        <w:rPr>
          <w:rFonts w:ascii="Times New Roman" w:hAnsi="Times New Roman"/>
          <w:sz w:val="24"/>
          <w:szCs w:val="24"/>
          <w:rtl w:val="0"/>
          <w:lang w:val="en-US"/>
        </w:rPr>
        <w:t>:</w:t>
      </w:r>
      <w:r>
        <w:rPr>
          <w:rFonts w:ascii="Times New Roman" w:hAnsi="Times New Roman"/>
          <w:sz w:val="24"/>
          <w:szCs w:val="24"/>
          <w:rtl w:val="0"/>
          <w:lang w:val="en-US"/>
        </w:rPr>
        <w:t xml:space="preserve"> Orientations of Megalithic Tombs of Northern and Western Iberia</w:t>
      </w:r>
      <w:r>
        <w:rPr>
          <w:rFonts w:ascii="Times New Roman" w:hAnsi="Times New Roman" w:hint="default"/>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w:t>
      </w:r>
      <w:r>
        <w:rPr>
          <w:rFonts w:ascii="Times New Roman" w:hAnsi="Times New Roman"/>
          <w:i w:val="1"/>
          <w:iCs w:val="1"/>
          <w:sz w:val="24"/>
          <w:szCs w:val="24"/>
          <w:rtl w:val="0"/>
        </w:rPr>
        <w:t>Archaeoastronomy</w:t>
      </w:r>
      <w:r>
        <w:rPr>
          <w:rFonts w:ascii="Times New Roman" w:hAnsi="Times New Roman"/>
          <w:sz w:val="24"/>
          <w:szCs w:val="24"/>
          <w:rtl w:val="0"/>
        </w:rPr>
        <w:t xml:space="preserve"> 23</w:t>
      </w:r>
      <w:r>
        <w:rPr>
          <w:rFonts w:ascii="Times New Roman" w:hAnsi="Times New Roman"/>
          <w:sz w:val="24"/>
          <w:szCs w:val="24"/>
          <w:rtl w:val="0"/>
          <w:lang w:val="en-US"/>
        </w:rPr>
        <w:t xml:space="preserve">), published the results of fieldwork in </w:t>
      </w:r>
      <w:r>
        <w:rPr>
          <w:rFonts w:ascii="Times New Roman" w:hAnsi="Times New Roman"/>
          <w:i w:val="1"/>
          <w:iCs w:val="1"/>
          <w:sz w:val="24"/>
          <w:szCs w:val="24"/>
          <w:rtl w:val="0"/>
          <w:lang w:val="en-US"/>
        </w:rPr>
        <w:t>Archaeoastronomy</w:t>
      </w:r>
      <w:r>
        <w:rPr>
          <w:rFonts w:ascii="Times New Roman" w:hAnsi="Times New Roman"/>
          <w:i w:val="1"/>
          <w:iCs w:val="1"/>
          <w:sz w:val="24"/>
          <w:szCs w:val="24"/>
          <w:rtl w:val="0"/>
        </w:rPr>
        <w:t xml:space="preserve"> </w:t>
      </w:r>
      <w:r>
        <w:rPr>
          <w:rFonts w:ascii="Times New Roman" w:hAnsi="Times New Roman"/>
          <w:sz w:val="24"/>
          <w:szCs w:val="24"/>
          <w:rtl w:val="0"/>
          <w:lang w:val="en-US"/>
        </w:rPr>
        <w:t xml:space="preserve">(now contained within the </w:t>
      </w:r>
      <w:r>
        <w:rPr>
          <w:rFonts w:ascii="Times New Roman" w:hAnsi="Times New Roman"/>
          <w:i w:val="1"/>
          <w:iCs w:val="1"/>
          <w:sz w:val="24"/>
          <w:szCs w:val="24"/>
          <w:rtl w:val="0"/>
          <w:lang w:val="en-US"/>
        </w:rPr>
        <w:t>Journal for Historic Astronomy</w:t>
      </w:r>
      <w:r>
        <w:rPr>
          <w:rFonts w:ascii="Times New Roman" w:hAnsi="Times New Roman"/>
          <w:sz w:val="24"/>
          <w:szCs w:val="24"/>
          <w:rtl w:val="0"/>
          <w:lang w:val="en-US"/>
        </w:rPr>
        <w:t>) that were undertaken to measure megaliths in Portugal and Spain. Published in 2015, Fabio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T</w:t>
      </w:r>
      <w:r>
        <w:rPr>
          <w:rFonts w:ascii="Times New Roman" w:hAnsi="Times New Roman"/>
          <w:sz w:val="24"/>
          <w:szCs w:val="24"/>
          <w:rtl w:val="0"/>
          <w:lang w:val="en-US"/>
        </w:rPr>
        <w:t xml:space="preserve">he View from Within: a </w:t>
      </w:r>
      <w:r>
        <w:rPr>
          <w:rFonts w:ascii="Times New Roman" w:hAnsi="Times New Roman" w:hint="default"/>
          <w:sz w:val="24"/>
          <w:szCs w:val="24"/>
          <w:rtl w:val="0"/>
          <w:lang w:val="en-US"/>
        </w:rPr>
        <w:t>“</w:t>
      </w:r>
      <w:r>
        <w:rPr>
          <w:rFonts w:ascii="Times New Roman" w:hAnsi="Times New Roman"/>
          <w:sz w:val="24"/>
          <w:szCs w:val="24"/>
          <w:rtl w:val="0"/>
          <w:lang w:val="en-US"/>
        </w:rPr>
        <w:t>time-space-action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 approach to Megalithism in Central Portugal</w:t>
      </w:r>
      <w:r>
        <w:rPr>
          <w:rFonts w:ascii="Times New Roman" w:hAnsi="Times New Roman" w:hint="default"/>
          <w:sz w:val="24"/>
          <w:szCs w:val="24"/>
          <w:rtl w:val="0"/>
          <w:lang w:val="en-US"/>
        </w:rPr>
        <w:t xml:space="preserve">’ </w:t>
      </w:r>
      <w:r>
        <w:rPr>
          <w:rFonts w:ascii="Times New Roman" w:hAnsi="Times New Roman"/>
          <w:sz w:val="24"/>
          <w:szCs w:val="24"/>
          <w:rtl w:val="0"/>
          <w:lang w:val="en-US"/>
        </w:rPr>
        <w:t>i</w:t>
      </w:r>
      <w:r>
        <w:rPr>
          <w:rFonts w:ascii="Times New Roman" w:hAnsi="Times New Roman"/>
          <w:sz w:val="24"/>
          <w:szCs w:val="24"/>
          <w:rtl w:val="0"/>
        </w:rPr>
        <w:t>n</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Skyscapes: The Role and Importance of the Sky in Archaeology</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Oxford: Oxbow Book</w:t>
      </w:r>
      <w:r>
        <w:rPr>
          <w:rFonts w:ascii="Times New Roman" w:hAnsi="Times New Roman"/>
          <w:sz w:val="24"/>
          <w:szCs w:val="24"/>
          <w:rtl w:val="0"/>
          <w:lang w:val="en-US"/>
        </w:rPr>
        <w:t>s) studies the megalithic dolmens in one of the surveyed locations in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paper. Both of these papers measure the orientations of megalithic structures and are located within the discipline of archaeoastronomy. Clive Ruggles defines archaeoastronomy as </w:t>
      </w:r>
      <w:r>
        <w:rPr>
          <w:rFonts w:ascii="Times New Roman" w:hAnsi="Times New Roman" w:hint="default"/>
          <w:sz w:val="24"/>
          <w:szCs w:val="24"/>
          <w:rtl w:val="0"/>
          <w:lang w:val="en-US"/>
        </w:rPr>
        <w:t>‘</w:t>
      </w:r>
      <w:r>
        <w:rPr>
          <w:rFonts w:ascii="Times New Roman" w:hAnsi="Times New Roman"/>
          <w:sz w:val="24"/>
          <w:szCs w:val="24"/>
          <w:rtl w:val="0"/>
          <w:lang w:val="en-US"/>
        </w:rPr>
        <w:t>the study of beliefs and practices concerning the sky in the past, particularly in the absence of written records, and the uses to which people</w:t>
      </w:r>
      <w:r>
        <w:rPr>
          <w:rFonts w:ascii="Times New Roman" w:hAnsi="Times New Roman" w:hint="default"/>
          <w:sz w:val="24"/>
          <w:szCs w:val="24"/>
          <w:rtl w:val="0"/>
          <w:lang w:val="en-US"/>
        </w:rPr>
        <w:t>’</w:t>
      </w:r>
      <w:r>
        <w:rPr>
          <w:rFonts w:ascii="Times New Roman" w:hAnsi="Times New Roman"/>
          <w:sz w:val="24"/>
          <w:szCs w:val="24"/>
          <w:rtl w:val="0"/>
          <w:lang w:val="en-US"/>
        </w:rPr>
        <w:t>s understanding of the sky was put.</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
      </w:r>
      <w:r>
        <w:rPr>
          <w:rFonts w:ascii="Times New Roman" w:hAnsi="Times New Roman"/>
          <w:sz w:val="24"/>
          <w:szCs w:val="24"/>
          <w:rtl w:val="0"/>
          <w:lang w:val="en-US"/>
        </w:rPr>
        <w:t xml:space="preserve"> This paper critically compares and contrasts the structure, methodology, and subsequent analysis of Hoskin and Silva</w:t>
      </w:r>
      <w:r>
        <w:rPr>
          <w:rFonts w:ascii="Times New Roman" w:hAnsi="Times New Roman" w:hint="default"/>
          <w:sz w:val="24"/>
          <w:szCs w:val="24"/>
          <w:rtl w:val="0"/>
          <w:lang w:val="en-US"/>
        </w:rPr>
        <w:t>’</w:t>
      </w:r>
      <w:r>
        <w:rPr>
          <w:rFonts w:ascii="Times New Roman" w:hAnsi="Times New Roman"/>
          <w:sz w:val="24"/>
          <w:szCs w:val="24"/>
          <w:rtl w:val="0"/>
          <w:lang w:val="en-US"/>
        </w:rPr>
        <w:t>s papers.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STRUCTURE</w:t>
      </w:r>
    </w:p>
    <w:p>
      <w:pPr>
        <w:pStyle w:val="Body"/>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Writing in 1998,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study of megalithic tombs is the 5th in his series of archaeological surveys of mediterranean Europe; he takes care to describe the geographical bounds of this study in the introduction. Hoskin uses his paper to </w:t>
      </w:r>
      <w:r>
        <w:rPr>
          <w:rFonts w:ascii="Times New Roman" w:hAnsi="Times New Roman" w:hint="default"/>
          <w:sz w:val="24"/>
          <w:szCs w:val="24"/>
          <w:rtl w:val="0"/>
          <w:lang w:val="en-US"/>
        </w:rPr>
        <w:t>‘</w:t>
      </w:r>
      <w:r>
        <w:rPr>
          <w:rFonts w:ascii="Times New Roman" w:hAnsi="Times New Roman"/>
          <w:sz w:val="24"/>
          <w:szCs w:val="24"/>
          <w:rtl w:val="0"/>
          <w:lang w:val="en-US"/>
        </w:rPr>
        <w:t>present the results of extensive fieldwork</w:t>
      </w:r>
      <w:r>
        <w:rPr>
          <w:rFonts w:ascii="Times New Roman" w:hAnsi="Times New Roman" w:hint="default"/>
          <w:sz w:val="24"/>
          <w:szCs w:val="24"/>
          <w:rtl w:val="0"/>
          <w:lang w:val="en-US"/>
        </w:rPr>
        <w:t xml:space="preserve">’ </w:t>
      </w:r>
      <w:r>
        <w:rPr>
          <w:rFonts w:ascii="Times New Roman" w:hAnsi="Times New Roman"/>
          <w:sz w:val="24"/>
          <w:szCs w:val="24"/>
          <w:rtl w:val="0"/>
          <w:lang w:val="en-US"/>
        </w:rPr>
        <w:t>from an extended period over the 1990s with the collaboration of local archaeologists who co-author sections of the paper. Hoskin then provides us with his methodology, what tools were used, how potential compass issues were handled, and the aim of his paper.</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Hoskin writes that his aim for the fieldwork has always been to </w:t>
      </w:r>
      <w:r>
        <w:rPr>
          <w:rFonts w:ascii="Times New Roman" w:hAnsi="Times New Roman" w:hint="default"/>
          <w:sz w:val="24"/>
          <w:szCs w:val="24"/>
          <w:rtl w:val="0"/>
          <w:lang w:val="en-US"/>
        </w:rPr>
        <w:t>‘</w:t>
      </w:r>
      <w:r>
        <w:rPr>
          <w:rFonts w:ascii="Times New Roman" w:hAnsi="Times New Roman"/>
          <w:sz w:val="24"/>
          <w:szCs w:val="24"/>
          <w:rtl w:val="0"/>
          <w:lang w:val="en-US"/>
        </w:rPr>
        <w:t>assemble data, which archaeologists and archaeoastronomers will then have at their disposal and may interpret as they see fit.</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n-US"/>
        </w:rPr>
        <w:t xml:space="preserve"> </w:t>
      </w:r>
      <w:r>
        <w:rPr>
          <w:rFonts w:ascii="Times New Roman" w:hAnsi="Times New Roman"/>
          <w:sz w:val="24"/>
          <w:szCs w:val="24"/>
          <w:rtl w:val="0"/>
          <w:lang w:val="en-US"/>
        </w:rPr>
        <w:t>In identifying the aim of his paper, Hoskin makes it clear that the audience intended for this piece are archaeoastronomers or other archaeologists</w:t>
      </w:r>
      <w:r>
        <w:rPr>
          <w:rFonts w:ascii="Times New Roman" w:hAnsi="Times New Roman" w:hint="default"/>
          <w:sz w:val="24"/>
          <w:szCs w:val="24"/>
          <w:rtl w:val="0"/>
          <w:lang w:val="en-US"/>
        </w:rPr>
        <w:t xml:space="preserve"> — </w:t>
      </w:r>
      <w:r>
        <w:rPr>
          <w:rFonts w:ascii="Times New Roman" w:hAnsi="Times New Roman"/>
          <w:sz w:val="24"/>
          <w:szCs w:val="24"/>
          <w:rtl w:val="0"/>
          <w:lang w:val="en-US"/>
        </w:rPr>
        <w:t xml:space="preserve">perhaps </w:t>
      </w:r>
      <w:r>
        <w:rPr>
          <w:rFonts w:ascii="Times New Roman" w:hAnsi="Times New Roman"/>
          <w:sz w:val="24"/>
          <w:szCs w:val="24"/>
          <w:rtl w:val="0"/>
          <w:lang w:val="en-US"/>
        </w:rPr>
        <w:t>not meant for widespread understanding or interest.</w:t>
      </w:r>
      <w:r>
        <w:rPr>
          <w:rFonts w:ascii="Times New Roman" w:hAnsi="Times New Roman"/>
          <w:sz w:val="24"/>
          <w:szCs w:val="24"/>
          <w:rtl w:val="0"/>
          <w:lang w:val="en-US"/>
        </w:rPr>
        <w:t xml:space="preserve"> Throughout this introduction, Hoskin refers to the megalithic structures studied as </w:t>
      </w:r>
      <w:r>
        <w:rPr>
          <w:rFonts w:ascii="Times New Roman" w:hAnsi="Times New Roman" w:hint="default"/>
          <w:sz w:val="24"/>
          <w:szCs w:val="24"/>
          <w:rtl w:val="0"/>
          <w:lang w:val="en-US"/>
        </w:rPr>
        <w:t>‘</w:t>
      </w:r>
      <w:r>
        <w:rPr>
          <w:rFonts w:ascii="Times New Roman" w:hAnsi="Times New Roman"/>
          <w:sz w:val="24"/>
          <w:szCs w:val="24"/>
          <w:rtl w:val="0"/>
          <w:lang w:val="en-US"/>
        </w:rPr>
        <w:t>tombs,</w:t>
      </w:r>
      <w:r>
        <w:rPr>
          <w:rFonts w:ascii="Times New Roman" w:hAnsi="Times New Roman" w:hint="default"/>
          <w:sz w:val="24"/>
          <w:szCs w:val="24"/>
          <w:rtl w:val="0"/>
          <w:lang w:val="en-US"/>
        </w:rPr>
        <w:t xml:space="preserve">’ </w:t>
      </w:r>
      <w:r>
        <w:rPr>
          <w:rFonts w:ascii="Times New Roman" w:hAnsi="Times New Roman"/>
          <w:sz w:val="24"/>
          <w:szCs w:val="24"/>
          <w:rtl w:val="0"/>
          <w:lang w:val="en-US"/>
        </w:rPr>
        <w:t>but does not provide a definition or outside reference as to what makes them tombs; it serves as a generalized term to refer to the megaliths throughout the research,</w:t>
      </w:r>
      <w:r>
        <w:rPr>
          <w:rFonts w:ascii="Times New Roman" w:hAnsi="Times New Roman"/>
          <w:sz w:val="24"/>
          <w:szCs w:val="24"/>
          <w:rtl w:val="0"/>
          <w:lang w:val="en-US"/>
        </w:rPr>
        <w:t xml:space="preserve"> but also reveals an assumption </w:t>
      </w:r>
      <w:r>
        <w:rPr>
          <w:rFonts w:ascii="Times New Roman" w:hAnsi="Times New Roman"/>
          <w:sz w:val="24"/>
          <w:szCs w:val="24"/>
          <w:rtl w:val="0"/>
          <w:lang w:val="en-US"/>
        </w:rPr>
        <w:t xml:space="preserve">in the fieldwork </w:t>
      </w:r>
      <w:r>
        <w:rPr>
          <w:rFonts w:ascii="Times New Roman" w:hAnsi="Times New Roman"/>
          <w:sz w:val="24"/>
          <w:szCs w:val="24"/>
          <w:rtl w:val="0"/>
          <w:lang w:val="en-US"/>
        </w:rPr>
        <w:t>about the use of the structures</w:t>
      </w:r>
      <w:r>
        <w:rPr>
          <w:rFonts w:ascii="Times New Roman" w:hAnsi="Times New Roman"/>
          <w:sz w:val="24"/>
          <w:szCs w:val="24"/>
          <w:rtl w:val="0"/>
          <w:lang w:val="en-US"/>
        </w:rPr>
        <w:t>. The paper itself is extensive in the data provided for the reader, as it covers studies of 16 different locations in sections A-P of the paper. In contrast, Silva</w:t>
      </w:r>
      <w:r>
        <w:rPr>
          <w:rFonts w:ascii="Times New Roman" w:hAnsi="Times New Roman" w:hint="default"/>
          <w:sz w:val="24"/>
          <w:szCs w:val="24"/>
          <w:rtl w:val="0"/>
          <w:lang w:val="en-US"/>
        </w:rPr>
        <w:t>’</w:t>
      </w:r>
      <w:r>
        <w:rPr>
          <w:rFonts w:ascii="Times New Roman" w:hAnsi="Times New Roman"/>
          <w:sz w:val="24"/>
          <w:szCs w:val="24"/>
          <w:rtl w:val="0"/>
          <w:lang w:val="en-US"/>
        </w:rPr>
        <w:t>s paper narrows the focus to Central Portugal, covering only the Mondego platform. Silva begins his paper with a description of his survey</w:t>
      </w:r>
      <w:r>
        <w:rPr>
          <w:rFonts w:ascii="Times New Roman" w:hAnsi="Times New Roman" w:hint="default"/>
          <w:sz w:val="24"/>
          <w:szCs w:val="24"/>
          <w:rtl w:val="0"/>
          <w:lang w:val="en-US"/>
        </w:rPr>
        <w:t>’</w:t>
      </w:r>
      <w:r>
        <w:rPr>
          <w:rFonts w:ascii="Times New Roman" w:hAnsi="Times New Roman"/>
          <w:sz w:val="24"/>
          <w:szCs w:val="24"/>
          <w:rtl w:val="0"/>
          <w:lang w:val="en-US"/>
        </w:rPr>
        <w:t>s bounds and explicitly defines the megalithic structures as dolmens, noting that they are simple monuments with a chamber, but does not assume the use of the structures.</w:t>
      </w:r>
      <w:r>
        <w:rPr>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n-US"/>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In his introduction, Silva includes the theoretical framework of archaeologist Timothy Darvill</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time-space-action model</w:t>
      </w:r>
      <w:r>
        <w:rPr>
          <w:rFonts w:ascii="Times New Roman" w:hAnsi="Times New Roman" w:hint="default"/>
          <w:sz w:val="24"/>
          <w:szCs w:val="24"/>
          <w:rtl w:val="0"/>
          <w:lang w:val="en-US"/>
        </w:rPr>
        <w:t xml:space="preserve">’ </w:t>
      </w:r>
      <w:r>
        <w:rPr>
          <w:rFonts w:ascii="Times New Roman" w:hAnsi="Times New Roman"/>
          <w:sz w:val="24"/>
          <w:szCs w:val="24"/>
          <w:rtl w:val="0"/>
          <w:lang w:val="en-US"/>
        </w:rPr>
        <w:t>to demonstrate the holistic methodology of skyscape study. The aim of Silva</w:t>
      </w:r>
      <w:r>
        <w:rPr>
          <w:rFonts w:ascii="Times New Roman" w:hAnsi="Times New Roman" w:hint="default"/>
          <w:sz w:val="24"/>
          <w:szCs w:val="24"/>
          <w:rtl w:val="0"/>
          <w:lang w:val="en-US"/>
        </w:rPr>
        <w:t>’</w:t>
      </w:r>
      <w:r>
        <w:rPr>
          <w:rFonts w:ascii="Times New Roman" w:hAnsi="Times New Roman"/>
          <w:sz w:val="24"/>
          <w:szCs w:val="24"/>
          <w:rtl w:val="0"/>
          <w:lang w:val="en-US"/>
        </w:rPr>
        <w:t>s paper is identified as one resting in methodology in order to allow for better understanding of the belief and practices of the sky in the past, per Ruggles</w:t>
      </w:r>
      <w:r>
        <w:rPr>
          <w:rFonts w:ascii="Times New Roman" w:hAnsi="Times New Roman" w:hint="default"/>
          <w:sz w:val="24"/>
          <w:szCs w:val="24"/>
          <w:rtl w:val="0"/>
          <w:lang w:val="en-US"/>
        </w:rPr>
        <w:t xml:space="preserve">’ </w:t>
      </w:r>
      <w:r>
        <w:rPr>
          <w:rFonts w:ascii="Times New Roman" w:hAnsi="Times New Roman"/>
          <w:sz w:val="24"/>
          <w:szCs w:val="24"/>
          <w:rtl w:val="0"/>
          <w:lang w:val="en-US"/>
        </w:rPr>
        <w:t>definition</w:t>
      </w:r>
      <w:r>
        <w:rPr>
          <w:rFonts w:ascii="Times New Roman" w:cs="Times New Roman" w:hAnsi="Times New Roman" w:eastAsia="Times New Roman"/>
          <w:sz w:val="24"/>
          <w:szCs w:val="24"/>
          <w:vertAlign w:val="superscript"/>
        </w:rPr>
        <w:footnoteReference w:id="5"/>
      </w:r>
      <w:r>
        <w:rPr>
          <w:rFonts w:ascii="Times New Roman" w:hAnsi="Times New Roman"/>
          <w:sz w:val="24"/>
          <w:szCs w:val="24"/>
          <w:rtl w:val="0"/>
          <w:lang w:val="en-US"/>
        </w:rPr>
        <w:t>. Silva gives a history of early human occupation and monumentalization of Central Portugal by utilizing the ethnographic work of Brian Hayden and Suzanne Villeneuve, published by Simon Fraser University</w:t>
      </w:r>
      <w:r>
        <w:rPr>
          <w:rFonts w:ascii="Times New Roman" w:hAnsi="Times New Roman" w:hint="default"/>
          <w:sz w:val="24"/>
          <w:szCs w:val="24"/>
          <w:rtl w:val="0"/>
          <w:lang w:val="en-US"/>
        </w:rPr>
        <w:t>’</w:t>
      </w:r>
      <w:r>
        <w:rPr>
          <w:rFonts w:ascii="Times New Roman" w:hAnsi="Times New Roman"/>
          <w:sz w:val="24"/>
          <w:szCs w:val="24"/>
          <w:rtl w:val="0"/>
          <w:lang w:val="en-US"/>
        </w:rPr>
        <w:t>s archaeology department. This history serves as a literature review of the academic work surrounding Silva</w:t>
      </w:r>
      <w:r>
        <w:rPr>
          <w:rFonts w:ascii="Times New Roman" w:hAnsi="Times New Roman" w:hint="default"/>
          <w:sz w:val="24"/>
          <w:szCs w:val="24"/>
          <w:rtl w:val="0"/>
          <w:lang w:val="en-US"/>
        </w:rPr>
        <w:t>’</w:t>
      </w:r>
      <w:r>
        <w:rPr>
          <w:rFonts w:ascii="Times New Roman" w:hAnsi="Times New Roman"/>
          <w:sz w:val="24"/>
          <w:szCs w:val="24"/>
          <w:rtl w:val="0"/>
          <w:lang w:val="en-US"/>
        </w:rPr>
        <w:t>s study, which includes the cultural a</w:t>
      </w:r>
      <w:r>
        <w:rPr>
          <w:rFonts w:ascii="Times New Roman" w:hAnsi="Times New Roman"/>
          <w:sz w:val="24"/>
          <w:szCs w:val="24"/>
          <w:rtl w:val="0"/>
          <w:lang w:val="en-US"/>
        </w:rPr>
        <w:t>nthropolog</w:t>
      </w:r>
      <w:r>
        <w:rPr>
          <w:rFonts w:ascii="Times New Roman" w:hAnsi="Times New Roman"/>
          <w:sz w:val="24"/>
          <w:szCs w:val="24"/>
          <w:rtl w:val="0"/>
          <w:lang w:val="en-US"/>
        </w:rPr>
        <w:t xml:space="preserve">y </w:t>
      </w:r>
      <w:r>
        <w:rPr>
          <w:rFonts w:ascii="Times New Roman" w:hAnsi="Times New Roman"/>
          <w:sz w:val="24"/>
          <w:szCs w:val="24"/>
          <w:rtl w:val="0"/>
          <w:lang w:val="en-US"/>
        </w:rPr>
        <w:t xml:space="preserve">and </w:t>
      </w:r>
      <w:r>
        <w:rPr>
          <w:rFonts w:ascii="Times New Roman" w:hAnsi="Times New Roman"/>
          <w:sz w:val="24"/>
          <w:szCs w:val="24"/>
          <w:rtl w:val="0"/>
          <w:lang w:val="en-US"/>
        </w:rPr>
        <w:t>a</w:t>
      </w:r>
      <w:r>
        <w:rPr>
          <w:rFonts w:ascii="Times New Roman" w:hAnsi="Times New Roman"/>
          <w:sz w:val="24"/>
          <w:szCs w:val="24"/>
          <w:rtl w:val="0"/>
          <w:lang w:val="de-DE"/>
        </w:rPr>
        <w:t>rchaeolog</w:t>
      </w:r>
      <w:r>
        <w:rPr>
          <w:rFonts w:ascii="Times New Roman" w:hAnsi="Times New Roman"/>
          <w:sz w:val="24"/>
          <w:szCs w:val="24"/>
          <w:rtl w:val="0"/>
          <w:lang w:val="en-US"/>
        </w:rPr>
        <w:t>y approach.</w:t>
      </w:r>
      <w:r>
        <w:rPr>
          <w:rFonts w:ascii="Times New Roman" w:cs="Times New Roman" w:hAnsi="Times New Roman" w:eastAsia="Times New Roman"/>
          <w:sz w:val="24"/>
          <w:szCs w:val="24"/>
          <w:vertAlign w:val="superscript"/>
        </w:rPr>
        <w:footnoteReference w:id="6"/>
      </w:r>
      <w:r>
        <w:rPr>
          <w:rFonts w:ascii="Times New Roman" w:hAnsi="Times New Roman"/>
          <w:sz w:val="24"/>
          <w:szCs w:val="24"/>
          <w:rtl w:val="0"/>
          <w:lang w:val="en-US"/>
        </w:rPr>
        <w:t xml:space="preserve"> In contrast,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paper gives </w:t>
      </w:r>
      <w:r>
        <w:rPr>
          <w:rFonts w:ascii="Times New Roman" w:hAnsi="Times New Roman"/>
          <w:sz w:val="24"/>
          <w:szCs w:val="24"/>
          <w:rtl w:val="0"/>
          <w:lang w:val="en-US"/>
        </w:rPr>
        <w:t>no literature review; however, the goal of this paper was not to produce theoretical frameworks</w:t>
      </w:r>
      <w:r>
        <w:rPr>
          <w:rFonts w:ascii="Times New Roman" w:hAnsi="Times New Roman"/>
          <w:sz w:val="24"/>
          <w:szCs w:val="24"/>
          <w:rtl w:val="0"/>
          <w:lang w:val="en-US"/>
        </w:rPr>
        <w:t xml:space="preserve"> like Silva</w:t>
      </w:r>
      <w:r>
        <w:rPr>
          <w:rFonts w:ascii="Times New Roman" w:hAnsi="Times New Roman" w:hint="default"/>
          <w:sz w:val="24"/>
          <w:szCs w:val="24"/>
          <w:rtl w:val="0"/>
          <w:lang w:val="en-US"/>
        </w:rPr>
        <w:t>’</w:t>
      </w:r>
      <w:r>
        <w:rPr>
          <w:rFonts w:ascii="Times New Roman" w:hAnsi="Times New Roman"/>
          <w:sz w:val="24"/>
          <w:szCs w:val="24"/>
          <w:rtl w:val="0"/>
          <w:lang w:val="en-US"/>
        </w:rPr>
        <w:t>s, but to provide data for later study. Silva</w:t>
      </w:r>
      <w:r>
        <w:rPr>
          <w:rFonts w:ascii="Times New Roman" w:hAnsi="Times New Roman" w:hint="default"/>
          <w:sz w:val="24"/>
          <w:szCs w:val="24"/>
          <w:rtl w:val="0"/>
          <w:lang w:val="en-US"/>
        </w:rPr>
        <w:t>’</w:t>
      </w:r>
      <w:r>
        <w:rPr>
          <w:rFonts w:ascii="Times New Roman" w:hAnsi="Times New Roman"/>
          <w:sz w:val="24"/>
          <w:szCs w:val="24"/>
          <w:rtl w:val="0"/>
          <w:lang w:val="en-US"/>
        </w:rPr>
        <w:t>s paper is in direct conversation with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as he spends time </w:t>
      </w:r>
      <w:r>
        <w:rPr>
          <w:rFonts w:ascii="Times New Roman" w:hAnsi="Times New Roman"/>
          <w:sz w:val="24"/>
          <w:szCs w:val="24"/>
          <w:rtl w:val="0"/>
          <w:lang w:val="en-US"/>
        </w:rPr>
        <w:t xml:space="preserve">in the paper </w:t>
      </w:r>
      <w:r>
        <w:rPr>
          <w:rFonts w:ascii="Times New Roman" w:hAnsi="Times New Roman"/>
          <w:sz w:val="24"/>
          <w:szCs w:val="24"/>
          <w:rtl w:val="0"/>
          <w:lang w:val="en-US"/>
        </w:rPr>
        <w:t>reflecting on Hoskin</w:t>
      </w:r>
      <w:r>
        <w:rPr>
          <w:rFonts w:ascii="Times New Roman" w:hAnsi="Times New Roman" w:hint="default"/>
          <w:sz w:val="24"/>
          <w:szCs w:val="24"/>
          <w:rtl w:val="0"/>
          <w:lang w:val="en-US"/>
        </w:rPr>
        <w:t>’</w:t>
      </w:r>
      <w:r>
        <w:rPr>
          <w:rFonts w:ascii="Times New Roman" w:hAnsi="Times New Roman"/>
          <w:sz w:val="24"/>
          <w:szCs w:val="24"/>
          <w:rtl w:val="0"/>
          <w:lang w:val="en-US"/>
        </w:rPr>
        <w:t>s data and how it informed his methodology. Based on a phenomenological approach, Silva orients his measurements around the visible skyscape from within the dolmens; both Hoskin and Silva</w:t>
      </w:r>
      <w:r>
        <w:rPr>
          <w:rFonts w:ascii="Times New Roman" w:hAnsi="Times New Roman" w:hint="default"/>
          <w:sz w:val="24"/>
          <w:szCs w:val="24"/>
          <w:rtl w:val="0"/>
          <w:lang w:val="en-US"/>
        </w:rPr>
        <w:t>’</w:t>
      </w:r>
      <w:r>
        <w:rPr>
          <w:rFonts w:ascii="Times New Roman" w:hAnsi="Times New Roman"/>
          <w:sz w:val="24"/>
          <w:szCs w:val="24"/>
          <w:rtl w:val="0"/>
          <w:lang w:val="en-US"/>
        </w:rPr>
        <w:t>s methodologies will be explored thoroughly in its own section. Using this approach, Silva finds evidence of a connection between the orientation of the dolmen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view</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the star Aldebaran. After revealing his findings, Silva pivots to examining the </w:t>
      </w:r>
      <w:r>
        <w:rPr>
          <w:rFonts w:ascii="Times New Roman" w:hAnsi="Times New Roman" w:hint="default"/>
          <w:sz w:val="24"/>
          <w:szCs w:val="24"/>
          <w:rtl w:val="0"/>
          <w:lang w:val="en-US"/>
        </w:rPr>
        <w:t>‘</w:t>
      </w:r>
      <w:r>
        <w:rPr>
          <w:rFonts w:ascii="Times New Roman" w:hAnsi="Times New Roman"/>
          <w:sz w:val="24"/>
          <w:szCs w:val="24"/>
          <w:rtl w:val="0"/>
          <w:lang w:val="en-US"/>
        </w:rPr>
        <w:t>views</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 structure of the chamber in an ethnographic context, finding many potential uses for the space through comparison with ethnographic understandings of hunter-gatherer peoples. Based on these ethnographic considerations, Silva evaluates the function of Aldebaran in the dolmen-builders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belief system by presenting two theories: Aldebaran for the Dead or for the Living. The former theory also examines the assumption of the dolmens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use as a tomb; though there is some evidence of human remains, the dolmens may not have been originally constructed for that reason. The latter theory explores how the structure and </w:t>
      </w:r>
      <w:r>
        <w:rPr>
          <w:rFonts w:ascii="Times New Roman" w:hAnsi="Times New Roman" w:hint="default"/>
          <w:sz w:val="24"/>
          <w:szCs w:val="24"/>
          <w:rtl w:val="0"/>
          <w:lang w:val="en-US"/>
        </w:rPr>
        <w:t>‘</w:t>
      </w:r>
      <w:r>
        <w:rPr>
          <w:rFonts w:ascii="Times New Roman" w:hAnsi="Times New Roman"/>
          <w:sz w:val="24"/>
          <w:szCs w:val="24"/>
          <w:rtl w:val="0"/>
          <w:lang w:val="en-US"/>
        </w:rPr>
        <w:t>view</w:t>
      </w:r>
      <w:r>
        <w:rPr>
          <w:rFonts w:ascii="Times New Roman" w:hAnsi="Times New Roman" w:hint="default"/>
          <w:sz w:val="24"/>
          <w:szCs w:val="24"/>
          <w:rtl w:val="0"/>
          <w:lang w:val="en-US"/>
        </w:rPr>
        <w:t xml:space="preserve">’ </w:t>
      </w:r>
      <w:r>
        <w:rPr>
          <w:rFonts w:ascii="Times New Roman" w:hAnsi="Times New Roman"/>
          <w:sz w:val="24"/>
          <w:szCs w:val="24"/>
          <w:rtl w:val="0"/>
          <w:lang w:val="en-US"/>
        </w:rPr>
        <w:t>could be used in ritual or other early hunter-gatherer activities.</w:t>
      </w:r>
      <w:r>
        <w:rPr>
          <w:rFonts w:ascii="Times New Roman" w:cs="Times New Roman" w:hAnsi="Times New Roman" w:eastAsia="Times New Roman"/>
          <w:sz w:val="24"/>
          <w:szCs w:val="24"/>
          <w:vertAlign w:val="superscript"/>
        </w:rPr>
        <w:footnoteReference w:id="7"/>
      </w:r>
      <w:r>
        <w:rPr>
          <w:rFonts w:ascii="Times New Roman" w:hAnsi="Times New Roman"/>
          <w:sz w:val="24"/>
          <w:szCs w:val="24"/>
          <w:rtl w:val="0"/>
          <w:lang w:val="en-US"/>
        </w:rPr>
        <w:t xml:space="preserve"> Silva concludes his paper by reviewing the methodology, context, and theory that was utilized to link the dolmens</w:t>
      </w:r>
      <w:r>
        <w:rPr>
          <w:rFonts w:ascii="Times New Roman" w:hAnsi="Times New Roman" w:hint="default"/>
          <w:sz w:val="24"/>
          <w:szCs w:val="24"/>
          <w:rtl w:val="0"/>
          <w:lang w:val="en-US"/>
        </w:rPr>
        <w:t xml:space="preserve">’ </w:t>
      </w:r>
      <w:r>
        <w:rPr>
          <w:rFonts w:ascii="Times New Roman" w:hAnsi="Times New Roman"/>
          <w:sz w:val="24"/>
          <w:szCs w:val="24"/>
          <w:rtl w:val="0"/>
          <w:lang w:val="en-US"/>
        </w:rPr>
        <w:t>orientations with ritual activity and the use of dolmens as transitional structures (literally and figuratively).</w:t>
      </w:r>
      <w:r>
        <w:rPr>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n-US"/>
        </w:rPr>
        <w:t xml:space="preserve"> In contrast, Hoskin</w:t>
      </w:r>
      <w:r>
        <w:rPr>
          <w:rFonts w:ascii="Times New Roman" w:hAnsi="Times New Roman" w:hint="default"/>
          <w:sz w:val="24"/>
          <w:szCs w:val="24"/>
          <w:rtl w:val="0"/>
          <w:lang w:val="en-US"/>
        </w:rPr>
        <w:t>’</w:t>
      </w:r>
      <w:r>
        <w:rPr>
          <w:rFonts w:ascii="Times New Roman" w:hAnsi="Times New Roman"/>
          <w:sz w:val="24"/>
          <w:szCs w:val="24"/>
          <w:rtl w:val="0"/>
          <w:lang w:val="en-US"/>
        </w:rPr>
        <w:t>s paper ends by restating his aim, calling for the interpretation of other archaeoastronomers.</w:t>
      </w:r>
      <w:r>
        <w:rPr>
          <w:rFonts w:ascii="Times New Roman" w:cs="Times New Roman" w:hAnsi="Times New Roman" w:eastAsia="Times New Roman"/>
          <w:sz w:val="24"/>
          <w:szCs w:val="24"/>
          <w:vertAlign w:val="superscript"/>
        </w:rPr>
        <w:footnoteReference w:id="9"/>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METHODOLOGY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As discussed, Hoskin</w:t>
      </w:r>
      <w:r>
        <w:rPr>
          <w:rFonts w:ascii="Times New Roman" w:hAnsi="Times New Roman" w:hint="default"/>
          <w:sz w:val="24"/>
          <w:szCs w:val="24"/>
          <w:rtl w:val="0"/>
          <w:lang w:val="en-US"/>
        </w:rPr>
        <w:t>’</w:t>
      </w:r>
      <w:r>
        <w:rPr>
          <w:rFonts w:ascii="Times New Roman" w:hAnsi="Times New Roman"/>
          <w:sz w:val="24"/>
          <w:szCs w:val="24"/>
          <w:rtl w:val="0"/>
          <w:lang w:val="en-US"/>
        </w:rPr>
        <w:t>s aim for the paper was to produce data for later archaeoastronomical analysis. In contrast to Silva</w:t>
      </w:r>
      <w:r>
        <w:rPr>
          <w:rFonts w:ascii="Times New Roman" w:hAnsi="Times New Roman" w:hint="default"/>
          <w:sz w:val="24"/>
          <w:szCs w:val="24"/>
          <w:rtl w:val="0"/>
          <w:lang w:val="en-US"/>
        </w:rPr>
        <w:t>’</w:t>
      </w:r>
      <w:r>
        <w:rPr>
          <w:rFonts w:ascii="Times New Roman" w:hAnsi="Times New Roman"/>
          <w:sz w:val="24"/>
          <w:szCs w:val="24"/>
          <w:rtl w:val="0"/>
          <w:lang w:val="en-US"/>
        </w:rPr>
        <w:t>s ethnographic considerations, Hoskin</w:t>
      </w:r>
      <w:r>
        <w:rPr>
          <w:rFonts w:ascii="Times New Roman" w:hAnsi="Times New Roman" w:hint="default"/>
          <w:sz w:val="24"/>
          <w:szCs w:val="24"/>
          <w:rtl w:val="0"/>
          <w:lang w:val="en-US"/>
        </w:rPr>
        <w:t>’</w:t>
      </w:r>
      <w:r>
        <w:rPr>
          <w:rFonts w:ascii="Times New Roman" w:hAnsi="Times New Roman"/>
          <w:sz w:val="24"/>
          <w:szCs w:val="24"/>
          <w:rtl w:val="0"/>
          <w:lang w:val="en-US"/>
        </w:rPr>
        <w:t>s methodology is quantitative in nature, as it was to find the measurements of megaliths and how that may align with measurements of celestial bodies; if there are specific theoretical considerations that inform Hoskin</w:t>
      </w:r>
      <w:r>
        <w:rPr>
          <w:rFonts w:ascii="Times New Roman" w:hAnsi="Times New Roman" w:hint="default"/>
          <w:sz w:val="24"/>
          <w:szCs w:val="24"/>
          <w:rtl w:val="0"/>
          <w:lang w:val="en-US"/>
        </w:rPr>
        <w:t>’</w:t>
      </w:r>
      <w:r>
        <w:rPr>
          <w:rFonts w:ascii="Times New Roman" w:hAnsi="Times New Roman"/>
          <w:sz w:val="24"/>
          <w:szCs w:val="24"/>
          <w:rtl w:val="0"/>
          <w:lang w:val="en-US"/>
        </w:rPr>
        <w:t>s approach, they are not identified in this study. Hoskin</w:t>
      </w:r>
      <w:r>
        <w:rPr>
          <w:rFonts w:ascii="Times New Roman" w:hAnsi="Times New Roman" w:hint="default"/>
          <w:sz w:val="24"/>
          <w:szCs w:val="24"/>
          <w:rtl w:val="0"/>
          <w:lang w:val="en-US"/>
        </w:rPr>
        <w:t>’</w:t>
      </w:r>
      <w:r>
        <w:rPr>
          <w:rFonts w:ascii="Times New Roman" w:hAnsi="Times New Roman"/>
          <w:sz w:val="24"/>
          <w:szCs w:val="24"/>
          <w:rtl w:val="0"/>
          <w:lang w:val="en-US"/>
        </w:rPr>
        <w:t>s research was undertaken with the help of local archaeologists; he notes that it would have been '</w:t>
      </w:r>
      <w:r>
        <w:rPr>
          <w:rFonts w:ascii="Times New Roman" w:hAnsi="Times New Roman"/>
          <w:sz w:val="24"/>
          <w:szCs w:val="24"/>
          <w:rtl w:val="0"/>
          <w:lang w:val="fr-FR"/>
        </w:rPr>
        <w:t>difficult</w:t>
      </w:r>
      <w:r>
        <w:rPr>
          <w:rFonts w:ascii="Times New Roman" w:hAnsi="Times New Roman"/>
          <w:sz w:val="24"/>
          <w:szCs w:val="24"/>
          <w:rtl w:val="0"/>
          <w:lang w:val="en-US"/>
        </w:rPr>
        <w:t>,</w:t>
      </w:r>
      <w:r>
        <w:rPr>
          <w:rFonts w:ascii="Times New Roman" w:hAnsi="Times New Roman"/>
          <w:sz w:val="24"/>
          <w:szCs w:val="24"/>
          <w:rtl w:val="0"/>
          <w:lang w:val="en-US"/>
        </w:rPr>
        <w:t xml:space="preserve"> if not impos</w:t>
      </w:r>
      <w:r>
        <w:rPr>
          <w:rFonts w:ascii="Times New Roman" w:hAnsi="Times New Roman"/>
          <w:sz w:val="24"/>
          <w:szCs w:val="24"/>
          <w:rtl w:val="0"/>
          <w:lang w:val="en-US"/>
        </w:rPr>
        <w:t>s</w:t>
      </w:r>
      <w:r>
        <w:rPr>
          <w:rFonts w:ascii="Times New Roman" w:hAnsi="Times New Roman"/>
          <w:sz w:val="24"/>
          <w:szCs w:val="24"/>
          <w:rtl w:val="0"/>
          <w:lang w:val="en-US"/>
        </w:rPr>
        <w:t>ible</w:t>
      </w:r>
      <w:r>
        <w:rPr>
          <w:rFonts w:ascii="Times New Roman" w:hAnsi="Times New Roman"/>
          <w:sz w:val="24"/>
          <w:szCs w:val="24"/>
          <w:rtl w:val="0"/>
          <w:lang w:val="en-US"/>
        </w:rPr>
        <w:t>,</w:t>
      </w:r>
      <w:r>
        <w:rPr>
          <w:rFonts w:ascii="Times New Roman" w:hAnsi="Times New Roman"/>
          <w:sz w:val="24"/>
          <w:szCs w:val="24"/>
          <w:rtl w:val="0"/>
          <w:lang w:val="en-US"/>
        </w:rPr>
        <w:t xml:space="preserve"> to locate</w:t>
      </w:r>
      <w:r>
        <w:rPr>
          <w:rFonts w:ascii="Times New Roman" w:hAnsi="Times New Roman"/>
          <w:sz w:val="24"/>
          <w:szCs w:val="24"/>
          <w:rtl w:val="0"/>
          <w:lang w:val="en-US"/>
        </w:rPr>
        <w:t xml:space="preserve"> the tombs</w:t>
      </w:r>
      <w:r>
        <w:rPr>
          <w:rFonts w:ascii="Times New Roman" w:hAnsi="Times New Roman"/>
          <w:sz w:val="24"/>
          <w:szCs w:val="24"/>
          <w:rtl w:val="0"/>
          <w:lang w:val="en-US"/>
        </w:rPr>
        <w:t xml:space="preserve"> without</w:t>
      </w:r>
      <w:r>
        <w:rPr>
          <w:rFonts w:ascii="Times New Roman" w:hAnsi="Times New Roman"/>
          <w:sz w:val="24"/>
          <w:szCs w:val="24"/>
          <w:rtl w:val="0"/>
          <w:lang w:val="en-US"/>
        </w:rPr>
        <w:t xml:space="preserve"> the help of the archaeologists.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0"/>
      </w:r>
      <w:r>
        <w:rPr>
          <w:rFonts w:ascii="Times New Roman" w:hAnsi="Times New Roman"/>
          <w:sz w:val="24"/>
          <w:szCs w:val="24"/>
          <w:rtl w:val="0"/>
          <w:lang w:val="en-US"/>
        </w:rPr>
        <w:t xml:space="preserve"> This implies there was a degree of luck necessary for Hoskin, a non-local </w:t>
      </w:r>
      <w:r>
        <w:rPr>
          <w:rFonts w:ascii="Times New Roman" w:hAnsi="Times New Roman" w:hint="default"/>
          <w:sz w:val="24"/>
          <w:szCs w:val="24"/>
          <w:rtl w:val="0"/>
          <w:lang w:val="en-US"/>
        </w:rPr>
        <w:t>‘</w:t>
      </w:r>
      <w:r>
        <w:rPr>
          <w:rFonts w:ascii="Times New Roman" w:hAnsi="Times New Roman"/>
          <w:sz w:val="24"/>
          <w:szCs w:val="24"/>
          <w:rtl w:val="0"/>
          <w:lang w:val="en-US"/>
        </w:rPr>
        <w:t>outsider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this sense), to create contacts with local specialists in order to find and study the </w:t>
      </w:r>
      <w:r>
        <w:rPr>
          <w:rFonts w:ascii="Times New Roman" w:hAnsi="Times New Roman" w:hint="default"/>
          <w:sz w:val="24"/>
          <w:szCs w:val="24"/>
          <w:rtl w:val="0"/>
          <w:lang w:val="en-US"/>
        </w:rPr>
        <w:t>‘</w:t>
      </w:r>
      <w:r>
        <w:rPr>
          <w:rFonts w:ascii="Times New Roman" w:hAnsi="Times New Roman"/>
          <w:sz w:val="24"/>
          <w:szCs w:val="24"/>
          <w:rtl w:val="0"/>
          <w:lang w:val="en-US"/>
        </w:rPr>
        <w:t>tombs.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describing the differences between quantitative and qualitative methods, researcher Alan Bryman writes that the qualitative approach often encounters situations that require a bit of luck (a sense of being at the </w:t>
      </w:r>
      <w:r>
        <w:rPr>
          <w:rFonts w:ascii="Times New Roman" w:hAnsi="Times New Roman" w:hint="default"/>
          <w:sz w:val="24"/>
          <w:szCs w:val="24"/>
          <w:rtl w:val="0"/>
          <w:lang w:val="en-US"/>
        </w:rPr>
        <w:t>‘</w:t>
      </w:r>
      <w:r>
        <w:rPr>
          <w:rFonts w:ascii="Times New Roman" w:hAnsi="Times New Roman"/>
          <w:sz w:val="24"/>
          <w:szCs w:val="24"/>
          <w:rtl w:val="0"/>
          <w:lang w:val="en-US"/>
        </w:rPr>
        <w:t>right place at the right time</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1"/>
      </w:r>
      <w:r>
        <w:rPr>
          <w:rFonts w:ascii="Times New Roman" w:hAnsi="Times New Roman"/>
          <w:sz w:val="24"/>
          <w:szCs w:val="24"/>
          <w:rtl w:val="0"/>
          <w:lang w:val="en-US"/>
        </w:rPr>
        <w:t>); despite the data-driven nature of the study, Hoskin</w:t>
      </w:r>
      <w:r>
        <w:rPr>
          <w:rFonts w:ascii="Times New Roman" w:hAnsi="Times New Roman" w:hint="default"/>
          <w:sz w:val="24"/>
          <w:szCs w:val="24"/>
          <w:rtl w:val="0"/>
          <w:lang w:val="en-US"/>
        </w:rPr>
        <w:t>’</w:t>
      </w:r>
      <w:r>
        <w:rPr>
          <w:rFonts w:ascii="Times New Roman" w:hAnsi="Times New Roman"/>
          <w:sz w:val="24"/>
          <w:szCs w:val="24"/>
          <w:rtl w:val="0"/>
          <w:lang w:val="en-US"/>
        </w:rPr>
        <w:t>s approach required a social and phenomenological link (the facilitation of the local archaeologers) for successful data collection. The qualitative aspect of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methodology is valuable for understanding how this paper contributes to the development of archaeoastronomy as a discipline; as Ruggles points out in a 2011 paper, the </w:t>
      </w:r>
      <w:r>
        <w:rPr>
          <w:rFonts w:ascii="Times New Roman" w:hAnsi="Times New Roman" w:hint="default"/>
          <w:sz w:val="24"/>
          <w:szCs w:val="24"/>
          <w:rtl w:val="0"/>
          <w:lang w:val="en-US"/>
        </w:rPr>
        <w:t>‘</w:t>
      </w:r>
      <w:r>
        <w:rPr>
          <w:rFonts w:ascii="Times New Roman" w:hAnsi="Times New Roman"/>
          <w:sz w:val="24"/>
          <w:szCs w:val="24"/>
          <w:rtl w:val="0"/>
          <w:lang w:val="en-US"/>
        </w:rPr>
        <w:t>green v. brown</w:t>
      </w:r>
      <w:r>
        <w:rPr>
          <w:rFonts w:ascii="Times New Roman" w:hAnsi="Times New Roman" w:hint="default"/>
          <w:sz w:val="24"/>
          <w:szCs w:val="24"/>
          <w:rtl w:val="0"/>
          <w:lang w:val="en-US"/>
        </w:rPr>
        <w:t xml:space="preserve">’  </w:t>
      </w:r>
      <w:r>
        <w:rPr>
          <w:rFonts w:ascii="Times New Roman" w:hAnsi="Times New Roman"/>
          <w:sz w:val="24"/>
          <w:szCs w:val="24"/>
          <w:rtl w:val="0"/>
          <w:lang w:val="en-US"/>
        </w:rPr>
        <w:t>(or to briefly summarize, the statistical v. cultiural) debate was ongoing in the discipline at the time. Ruggles praises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data-driven approach, noting that it helped to bridge this gap by </w:t>
      </w:r>
      <w:r>
        <w:rPr>
          <w:rFonts w:ascii="Times New Roman" w:hAnsi="Times New Roman" w:hint="default"/>
          <w:sz w:val="24"/>
          <w:szCs w:val="24"/>
          <w:rtl w:val="0"/>
          <w:lang w:val="en-US"/>
        </w:rPr>
        <w:t>‘</w:t>
      </w:r>
      <w:r>
        <w:rPr>
          <w:rFonts w:ascii="Times New Roman" w:hAnsi="Times New Roman"/>
          <w:sz w:val="24"/>
          <w:szCs w:val="24"/>
          <w:rtl w:val="0"/>
          <w:lang w:val="en-US"/>
        </w:rPr>
        <w:t>persuading many European archaeologists that orientation was indeed an important design consideration and that in most cases it had a broad connection with the sun, moon, or stars.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2"/>
      </w:r>
      <w:r>
        <w:rPr>
          <w:rFonts w:ascii="Times New Roman" w:hAnsi="Times New Roman"/>
          <w:sz w:val="24"/>
          <w:szCs w:val="24"/>
          <w:rtl w:val="0"/>
          <w:lang w:val="en-US"/>
        </w:rPr>
        <w:t xml:space="preserve">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success may come from allowing the phenomenological, social experience to guide the selection of locations, demonstrating the importance of a holistic approach in archaeoastronomical study.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Silva utilizes a framework theory from archaeologist Timothy Darvill called the </w:t>
      </w:r>
      <w:r>
        <w:rPr>
          <w:rFonts w:ascii="Times New Roman" w:hAnsi="Times New Roman" w:hint="default"/>
          <w:sz w:val="24"/>
          <w:szCs w:val="24"/>
          <w:rtl w:val="0"/>
          <w:lang w:val="en-US"/>
        </w:rPr>
        <w:t>‘</w:t>
      </w:r>
      <w:r>
        <w:rPr>
          <w:rFonts w:ascii="Times New Roman" w:hAnsi="Times New Roman"/>
          <w:sz w:val="24"/>
          <w:szCs w:val="24"/>
          <w:rtl w:val="0"/>
          <w:lang w:val="en-US"/>
        </w:rPr>
        <w:t>time-space-action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model. In his paper introducing the topic, Darvill defines this approach as a </w:t>
      </w:r>
      <w:r>
        <w:rPr>
          <w:rFonts w:ascii="Times New Roman" w:hAnsi="Times New Roman" w:hint="default"/>
          <w:sz w:val="24"/>
          <w:szCs w:val="24"/>
          <w:rtl w:val="0"/>
          <w:lang w:val="en-US"/>
        </w:rPr>
        <w:t>‘</w:t>
      </w:r>
      <w:r>
        <w:rPr>
          <w:rFonts w:ascii="Times New Roman" w:hAnsi="Times New Roman"/>
          <w:sz w:val="24"/>
          <w:szCs w:val="24"/>
          <w:rtl w:val="0"/>
          <w:lang w:val="en-US"/>
        </w:rPr>
        <w:t>time dependent, spatially referenced, socially constituted template or perspective of the world that is held in common by individuals and groups and which is applied in a variety of ways to the domain in which they find themselves,</w:t>
      </w:r>
      <w:r>
        <w:rPr>
          <w:rFonts w:ascii="Times New Roman" w:hAnsi="Times New Roman" w:hint="default"/>
          <w:sz w:val="24"/>
          <w:szCs w:val="24"/>
          <w:rtl w:val="0"/>
          <w:lang w:val="en-US"/>
        </w:rPr>
        <w:t xml:space="preserve">’ </w:t>
      </w:r>
      <w:r>
        <w:rPr>
          <w:rFonts w:ascii="Times New Roman" w:hAnsi="Times New Roman"/>
          <w:sz w:val="24"/>
          <w:szCs w:val="24"/>
          <w:rtl w:val="0"/>
          <w:lang w:val="en-US"/>
        </w:rPr>
        <w:t>identifying the necessity of a cultural, historic, and ethnographic approach to the study of landscapes.</w:t>
      </w:r>
      <w:r>
        <w:rPr>
          <w:rFonts w:ascii="Times New Roman" w:cs="Times New Roman" w:hAnsi="Times New Roman" w:eastAsia="Times New Roman"/>
          <w:sz w:val="24"/>
          <w:szCs w:val="24"/>
          <w:vertAlign w:val="superscript"/>
        </w:rPr>
        <w:footnoteReference w:id="13"/>
      </w:r>
      <w:r>
        <w:rPr>
          <w:rFonts w:ascii="Times New Roman" w:hAnsi="Times New Roman"/>
          <w:sz w:val="24"/>
          <w:szCs w:val="24"/>
          <w:rtl w:val="0"/>
          <w:lang w:val="en-US"/>
        </w:rPr>
        <w:t xml:space="preserve"> Silva introduces this theoretical framework as a way to validate the aim of his paper: to extend the holistic approach to skyscape study, and in expanding the methodology, allowing room for the discussion of practice and belief of the sky. </w:t>
      </w:r>
      <w:r>
        <w:rPr>
          <w:rFonts w:ascii="Times New Roman" w:cs="Times New Roman" w:hAnsi="Times New Roman" w:eastAsia="Times New Roman"/>
          <w:sz w:val="24"/>
          <w:szCs w:val="24"/>
          <w:vertAlign w:val="superscript"/>
        </w:rPr>
        <w:footnoteReference w:id="14"/>
      </w:r>
      <w:r>
        <w:rPr>
          <w:rFonts w:ascii="Times New Roman" w:hAnsi="Times New Roman"/>
          <w:sz w:val="24"/>
          <w:szCs w:val="24"/>
          <w:rtl w:val="0"/>
          <w:lang w:val="en-US"/>
        </w:rPr>
        <w:t xml:space="preserve"> Silva</w:t>
      </w:r>
      <w:r>
        <w:rPr>
          <w:rFonts w:ascii="Times New Roman" w:hAnsi="Times New Roman" w:hint="default"/>
          <w:sz w:val="24"/>
          <w:szCs w:val="24"/>
          <w:rtl w:val="0"/>
          <w:lang w:val="en-US"/>
        </w:rPr>
        <w:t>’</w:t>
      </w:r>
      <w:r>
        <w:rPr>
          <w:rFonts w:ascii="Times New Roman" w:hAnsi="Times New Roman"/>
          <w:sz w:val="24"/>
          <w:szCs w:val="24"/>
          <w:rtl w:val="0"/>
          <w:lang w:val="en-US"/>
        </w:rPr>
        <w:t>s methodology was directly influenced by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data findings, as his study originally indicated an orientation in the </w:t>
      </w:r>
      <w:r>
        <w:rPr>
          <w:rFonts w:ascii="Times New Roman" w:hAnsi="Times New Roman" w:hint="default"/>
          <w:sz w:val="24"/>
          <w:szCs w:val="24"/>
          <w:rtl w:val="0"/>
          <w:lang w:val="en-US"/>
        </w:rPr>
        <w:t>‘</w:t>
      </w:r>
      <w:r>
        <w:rPr>
          <w:rFonts w:ascii="Times New Roman" w:hAnsi="Times New Roman"/>
          <w:sz w:val="24"/>
          <w:szCs w:val="24"/>
          <w:rtl w:val="0"/>
          <w:lang w:val="en-US"/>
        </w:rPr>
        <w:t>tombs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that started in the </w:t>
      </w:r>
      <w:r>
        <w:rPr>
          <w:rFonts w:ascii="Times New Roman" w:hAnsi="Times New Roman" w:hint="default"/>
          <w:sz w:val="24"/>
          <w:szCs w:val="24"/>
          <w:rtl w:val="0"/>
          <w:lang w:val="en-US"/>
        </w:rPr>
        <w:t>‘</w:t>
      </w:r>
      <w:r>
        <w:rPr>
          <w:rFonts w:ascii="Times New Roman" w:hAnsi="Times New Roman"/>
          <w:sz w:val="24"/>
          <w:szCs w:val="24"/>
          <w:rtl w:val="0"/>
          <w:lang w:val="en-US"/>
        </w:rPr>
        <w:t>the interior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pointed to the </w:t>
      </w:r>
      <w:r>
        <w:rPr>
          <w:rFonts w:ascii="Times New Roman" w:hAnsi="Times New Roman" w:hint="default"/>
          <w:sz w:val="24"/>
          <w:szCs w:val="24"/>
          <w:rtl w:val="0"/>
          <w:lang w:val="en-US"/>
        </w:rPr>
        <w:t>‘</w:t>
      </w:r>
      <w:r>
        <w:rPr>
          <w:rFonts w:ascii="Times New Roman" w:hAnsi="Times New Roman"/>
          <w:sz w:val="24"/>
          <w:szCs w:val="24"/>
          <w:rtl w:val="0"/>
          <w:lang w:val="en-US"/>
        </w:rPr>
        <w:t>exterior.</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5"/>
      </w:r>
      <w:r>
        <w:rPr>
          <w:rFonts w:ascii="Times New Roman" w:hAnsi="Times New Roman"/>
          <w:sz w:val="24"/>
          <w:szCs w:val="24"/>
          <w:rtl w:val="0"/>
          <w:lang w:val="en-US"/>
        </w:rPr>
        <w:t xml:space="preserve"> Since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study failed to </w:t>
      </w:r>
      <w:r>
        <w:rPr>
          <w:rFonts w:ascii="Times New Roman" w:hAnsi="Times New Roman" w:hint="default"/>
          <w:sz w:val="24"/>
          <w:szCs w:val="24"/>
          <w:rtl w:val="0"/>
          <w:lang w:val="en-US"/>
        </w:rPr>
        <w:t>‘</w:t>
      </w:r>
      <w:r>
        <w:rPr>
          <w:rFonts w:ascii="Times New Roman" w:hAnsi="Times New Roman"/>
          <w:sz w:val="24"/>
          <w:szCs w:val="24"/>
          <w:rtl w:val="0"/>
          <w:lang w:val="en-US"/>
        </w:rPr>
        <w:t>find a distinct pattern that applied to all dolmens,</w:t>
      </w:r>
      <w:r>
        <w:rPr>
          <w:rFonts w:ascii="Times New Roman" w:hAnsi="Times New Roman" w:hint="default"/>
          <w:sz w:val="24"/>
          <w:szCs w:val="24"/>
          <w:rtl w:val="0"/>
          <w:lang w:val="en-US"/>
        </w:rPr>
        <w:t xml:space="preserve">’ </w:t>
      </w:r>
      <w:r>
        <w:rPr>
          <w:rFonts w:ascii="Times New Roman" w:hAnsi="Times New Roman"/>
          <w:sz w:val="24"/>
          <w:szCs w:val="24"/>
          <w:rtl w:val="0"/>
          <w:lang w:val="en-US"/>
        </w:rPr>
        <w:t>as all the orientations were different within the azimuthal range.</w:t>
      </w:r>
      <w:r>
        <w:rPr>
          <w:rFonts w:ascii="Times New Roman" w:cs="Times New Roman" w:hAnsi="Times New Roman" w:eastAsia="Times New Roman"/>
          <w:sz w:val="24"/>
          <w:szCs w:val="24"/>
          <w:vertAlign w:val="superscript"/>
        </w:rPr>
        <w:footnoteReference w:id="16"/>
      </w:r>
      <w:r>
        <w:rPr>
          <w:rFonts w:ascii="Times New Roman" w:hAnsi="Times New Roman"/>
          <w:sz w:val="24"/>
          <w:szCs w:val="24"/>
          <w:rtl w:val="0"/>
          <w:lang w:val="en-US"/>
        </w:rPr>
        <w:t xml:space="preserve">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goal was not only to expand on the number of sites surveyed by Hoskin, by including newly excavated sites, but to offer holistic interpretation of the data by emphasizing the phenomenological necessity of his visual interaction with the sites, to see the </w:t>
      </w:r>
      <w:r>
        <w:rPr>
          <w:rFonts w:ascii="Times New Roman" w:hAnsi="Times New Roman" w:hint="default"/>
          <w:sz w:val="24"/>
          <w:szCs w:val="24"/>
          <w:rtl w:val="0"/>
          <w:lang w:val="en-US"/>
        </w:rPr>
        <w:t>‘</w:t>
      </w:r>
      <w:r>
        <w:rPr>
          <w:rFonts w:ascii="Times New Roman" w:hAnsi="Times New Roman"/>
          <w:sz w:val="24"/>
          <w:szCs w:val="24"/>
          <w:rtl w:val="0"/>
          <w:lang w:val="en-US"/>
        </w:rPr>
        <w:t>view from within</w:t>
      </w:r>
      <w:r>
        <w:rPr>
          <w:rFonts w:ascii="Times New Roman" w:hAnsi="Times New Roman" w:hint="default"/>
          <w:sz w:val="24"/>
          <w:szCs w:val="24"/>
          <w:rtl w:val="0"/>
          <w:lang w:val="en-US"/>
        </w:rPr>
        <w:t xml:space="preserve">’ </w:t>
      </w:r>
      <w:r>
        <w:rPr>
          <w:rFonts w:ascii="Times New Roman" w:hAnsi="Times New Roman"/>
          <w:sz w:val="24"/>
          <w:szCs w:val="24"/>
          <w:rtl w:val="0"/>
          <w:lang w:val="en-US"/>
        </w:rPr>
        <w:t>himself.</w:t>
      </w:r>
      <w:r>
        <w:rPr>
          <w:rFonts w:ascii="Times New Roman" w:cs="Times New Roman" w:hAnsi="Times New Roman" w:eastAsia="Times New Roman"/>
          <w:sz w:val="24"/>
          <w:szCs w:val="24"/>
          <w:vertAlign w:val="superscript"/>
        </w:rPr>
        <w:footnoteReference w:id="17"/>
      </w:r>
      <w:r>
        <w:rPr>
          <w:rFonts w:ascii="Times New Roman" w:hAnsi="Times New Roman"/>
          <w:sz w:val="24"/>
          <w:szCs w:val="24"/>
          <w:rtl w:val="0"/>
          <w:lang w:val="en-US"/>
        </w:rPr>
        <w:t xml:space="preserve"> This phenomenological approach also became central to Silva</w:t>
      </w:r>
      <w:r>
        <w:rPr>
          <w:rFonts w:ascii="Times New Roman" w:hAnsi="Times New Roman" w:hint="default"/>
          <w:sz w:val="24"/>
          <w:szCs w:val="24"/>
          <w:rtl w:val="0"/>
          <w:lang w:val="en-US"/>
        </w:rPr>
        <w:t>’</w:t>
      </w:r>
      <w:r>
        <w:rPr>
          <w:rFonts w:ascii="Times New Roman" w:hAnsi="Times New Roman"/>
          <w:sz w:val="24"/>
          <w:szCs w:val="24"/>
          <w:rtl w:val="0"/>
          <w:lang w:val="en-US"/>
        </w:rPr>
        <w:t>s understanding of the potential beliefs and practices of the dolmen-builders, as the act of seeing Aldebaran rise within the Serra da Estrela was fundamental to Silva</w:t>
      </w:r>
      <w:r>
        <w:rPr>
          <w:rFonts w:ascii="Times New Roman" w:hAnsi="Times New Roman" w:hint="default"/>
          <w:sz w:val="24"/>
          <w:szCs w:val="24"/>
          <w:rtl w:val="0"/>
          <w:lang w:val="en-US"/>
        </w:rPr>
        <w:t>’</w:t>
      </w:r>
      <w:r>
        <w:rPr>
          <w:rFonts w:ascii="Times New Roman" w:hAnsi="Times New Roman"/>
          <w:sz w:val="24"/>
          <w:szCs w:val="24"/>
          <w:rtl w:val="0"/>
          <w:lang w:val="en-US"/>
        </w:rPr>
        <w:t>s understanding of the dolmens</w:t>
      </w:r>
      <w:r>
        <w:rPr>
          <w:rFonts w:ascii="Times New Roman" w:hAnsi="Times New Roman" w:hint="default"/>
          <w:sz w:val="24"/>
          <w:szCs w:val="24"/>
          <w:rtl w:val="0"/>
          <w:lang w:val="en-US"/>
        </w:rPr>
        <w:t xml:space="preserve">’ </w:t>
      </w:r>
      <w:r>
        <w:rPr>
          <w:rFonts w:ascii="Times New Roman" w:hAnsi="Times New Roman"/>
          <w:sz w:val="24"/>
          <w:szCs w:val="24"/>
          <w:rtl w:val="0"/>
          <w:lang w:val="en-US"/>
        </w:rPr>
        <w:t>intended use.</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ANALYSIS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Both Hoskin and Silva</w:t>
      </w:r>
      <w:r>
        <w:rPr>
          <w:rFonts w:ascii="Times New Roman" w:hAnsi="Times New Roman" w:hint="default"/>
          <w:sz w:val="24"/>
          <w:szCs w:val="24"/>
          <w:rtl w:val="0"/>
          <w:lang w:val="en-US"/>
        </w:rPr>
        <w:t>’</w:t>
      </w:r>
      <w:r>
        <w:rPr>
          <w:rFonts w:ascii="Times New Roman" w:hAnsi="Times New Roman"/>
          <w:sz w:val="24"/>
          <w:szCs w:val="24"/>
          <w:rtl w:val="0"/>
          <w:lang w:val="en-US"/>
        </w:rPr>
        <w:t>s papers successfully engage with the aims of their respective papers, albeit in different ways. Hoskin</w:t>
      </w:r>
      <w:r>
        <w:rPr>
          <w:rFonts w:ascii="Times New Roman" w:hAnsi="Times New Roman" w:hint="default"/>
          <w:sz w:val="24"/>
          <w:szCs w:val="24"/>
          <w:rtl w:val="0"/>
          <w:lang w:val="en-US"/>
        </w:rPr>
        <w:t>’</w:t>
      </w:r>
      <w:r>
        <w:rPr>
          <w:rFonts w:ascii="Times New Roman" w:hAnsi="Times New Roman"/>
          <w:sz w:val="24"/>
          <w:szCs w:val="24"/>
          <w:rtl w:val="0"/>
          <w:lang w:val="en-US"/>
        </w:rPr>
        <w:t>s paper, as noted by Ruggles and evidenced in Silva</w:t>
      </w:r>
      <w:r>
        <w:rPr>
          <w:rFonts w:ascii="Times New Roman" w:hAnsi="Times New Roman" w:hint="default"/>
          <w:sz w:val="24"/>
          <w:szCs w:val="24"/>
          <w:rtl w:val="0"/>
          <w:lang w:val="en-US"/>
        </w:rPr>
        <w:t>’</w:t>
      </w:r>
      <w:r>
        <w:rPr>
          <w:rFonts w:ascii="Times New Roman" w:hAnsi="Times New Roman"/>
          <w:sz w:val="24"/>
          <w:szCs w:val="24"/>
          <w:rtl w:val="0"/>
          <w:lang w:val="en-US"/>
        </w:rPr>
        <w:t>s use, is successful in its aim to provide data for further analysis. In identifying Hoskin</w:t>
      </w:r>
      <w:r>
        <w:rPr>
          <w:rFonts w:ascii="Times New Roman" w:hAnsi="Times New Roman" w:hint="default"/>
          <w:sz w:val="24"/>
          <w:szCs w:val="24"/>
          <w:rtl w:val="0"/>
          <w:lang w:val="en-US"/>
        </w:rPr>
        <w:t>’</w:t>
      </w:r>
      <w:r>
        <w:rPr>
          <w:rFonts w:ascii="Times New Roman" w:hAnsi="Times New Roman"/>
          <w:sz w:val="24"/>
          <w:szCs w:val="24"/>
          <w:rtl w:val="0"/>
          <w:lang w:val="en-US"/>
        </w:rPr>
        <w:t>s aim, the intended audience for the material is clearly for other archeaoastronomers, as little about the discipline or its theoretical foundations is explicitly defined for the readers, and no data is spared in the interest of editorializing the study</w:t>
      </w:r>
      <w:r>
        <w:rPr>
          <w:rFonts w:ascii="Times New Roman" w:hAnsi="Times New Roman" w:hint="default"/>
          <w:sz w:val="24"/>
          <w:szCs w:val="24"/>
          <w:rtl w:val="0"/>
          <w:lang w:val="en-US"/>
        </w:rPr>
        <w:t>’</w:t>
      </w:r>
      <w:r>
        <w:rPr>
          <w:rFonts w:ascii="Times New Roman" w:hAnsi="Times New Roman"/>
          <w:sz w:val="24"/>
          <w:szCs w:val="24"/>
          <w:rtl w:val="0"/>
          <w:lang w:val="en-US"/>
        </w:rPr>
        <w:t>s findings. Silva</w:t>
      </w:r>
      <w:r>
        <w:rPr>
          <w:rFonts w:ascii="Times New Roman" w:hAnsi="Times New Roman" w:hint="default"/>
          <w:sz w:val="24"/>
          <w:szCs w:val="24"/>
          <w:rtl w:val="0"/>
          <w:lang w:val="en-US"/>
        </w:rPr>
        <w:t>’</w:t>
      </w:r>
      <w:r>
        <w:rPr>
          <w:rFonts w:ascii="Times New Roman" w:hAnsi="Times New Roman"/>
          <w:sz w:val="24"/>
          <w:szCs w:val="24"/>
          <w:rtl w:val="0"/>
          <w:lang w:val="en-US"/>
        </w:rPr>
        <w:t>s piece, on the other hand, is much shorter and legible to the layman, handily defining dolmens, tumuli, and the intention of skyscape study in his introduction. Per Silva</w:t>
      </w:r>
      <w:r>
        <w:rPr>
          <w:rFonts w:ascii="Times New Roman" w:hAnsi="Times New Roman" w:hint="default"/>
          <w:sz w:val="24"/>
          <w:szCs w:val="24"/>
          <w:rtl w:val="0"/>
          <w:lang w:val="en-US"/>
        </w:rPr>
        <w:t>’</w:t>
      </w:r>
      <w:r>
        <w:rPr>
          <w:rFonts w:ascii="Times New Roman" w:hAnsi="Times New Roman"/>
          <w:sz w:val="24"/>
          <w:szCs w:val="24"/>
          <w:rtl w:val="0"/>
          <w:lang w:val="en-US"/>
        </w:rPr>
        <w:t>s aim to expand the field of archaeoastronomy, Silva</w:t>
      </w:r>
      <w:r>
        <w:rPr>
          <w:rFonts w:ascii="Times New Roman" w:hAnsi="Times New Roman" w:hint="default"/>
          <w:sz w:val="24"/>
          <w:szCs w:val="24"/>
          <w:rtl w:val="0"/>
          <w:lang w:val="en-US"/>
        </w:rPr>
        <w:t>’</w:t>
      </w:r>
      <w:r>
        <w:rPr>
          <w:rFonts w:ascii="Times New Roman" w:hAnsi="Times New Roman"/>
          <w:sz w:val="24"/>
          <w:szCs w:val="24"/>
          <w:rtl w:val="0"/>
          <w:lang w:val="en-US"/>
        </w:rPr>
        <w:t>s intended audience may come from many related disciplines or for many kinds of thinkers to read. Evidence of this difference audience is present in the papers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post-publication use. Hoskin</w:t>
      </w:r>
      <w:r>
        <w:rPr>
          <w:rFonts w:ascii="Times New Roman" w:hAnsi="Times New Roman" w:hint="default"/>
          <w:sz w:val="24"/>
          <w:szCs w:val="24"/>
          <w:rtl w:val="0"/>
          <w:lang w:val="en-US"/>
        </w:rPr>
        <w:t>’</w:t>
      </w:r>
      <w:r>
        <w:rPr>
          <w:rFonts w:ascii="Times New Roman" w:hAnsi="Times New Roman"/>
          <w:sz w:val="24"/>
          <w:szCs w:val="24"/>
          <w:rtl w:val="0"/>
          <w:lang w:val="en-US"/>
        </w:rPr>
        <w:t>s paper is cited by later archaeoastronomical studies</w:t>
      </w:r>
      <w:r>
        <w:rPr>
          <w:rFonts w:ascii="Times New Roman" w:cs="Times New Roman" w:hAnsi="Times New Roman" w:eastAsia="Times New Roman"/>
          <w:sz w:val="24"/>
          <w:szCs w:val="24"/>
          <w:vertAlign w:val="superscript"/>
        </w:rPr>
        <w:footnoteReference w:id="18"/>
      </w:r>
      <w:r>
        <w:rPr>
          <w:rFonts w:ascii="Times New Roman" w:hAnsi="Times New Roman"/>
          <w:sz w:val="24"/>
          <w:szCs w:val="24"/>
          <w:rtl w:val="0"/>
          <w:lang w:val="en-US"/>
        </w:rPr>
        <w:t>, while Silva</w:t>
      </w:r>
      <w:r>
        <w:rPr>
          <w:rFonts w:ascii="Times New Roman" w:hAnsi="Times New Roman" w:hint="default"/>
          <w:sz w:val="24"/>
          <w:szCs w:val="24"/>
          <w:rtl w:val="0"/>
          <w:lang w:val="en-US"/>
        </w:rPr>
        <w:t>’</w:t>
      </w:r>
      <w:r>
        <w:rPr>
          <w:rFonts w:ascii="Times New Roman" w:hAnsi="Times New Roman"/>
          <w:sz w:val="24"/>
          <w:szCs w:val="24"/>
          <w:rtl w:val="0"/>
          <w:lang w:val="en-US"/>
        </w:rPr>
        <w:t>s paper has been utilized by both archaeastronomical researchers</w:t>
      </w:r>
      <w:r>
        <w:rPr>
          <w:rFonts w:ascii="Times New Roman" w:cs="Times New Roman" w:hAnsi="Times New Roman" w:eastAsia="Times New Roman"/>
          <w:sz w:val="24"/>
          <w:szCs w:val="24"/>
          <w:vertAlign w:val="superscript"/>
        </w:rPr>
        <w:footnoteReference w:id="19"/>
      </w:r>
      <w:r>
        <w:rPr>
          <w:rFonts w:ascii="Times New Roman" w:hAnsi="Times New Roman"/>
          <w:sz w:val="24"/>
          <w:szCs w:val="24"/>
          <w:rtl w:val="0"/>
          <w:lang w:val="en-US"/>
        </w:rPr>
        <w:t xml:space="preserve"> and interdisciplinary work, such as independent researcher Simon Crook</w:t>
      </w:r>
      <w:r>
        <w:rPr>
          <w:rFonts w:ascii="Times New Roman" w:hAnsi="Times New Roman" w:hint="default"/>
          <w:sz w:val="24"/>
          <w:szCs w:val="24"/>
          <w:rtl w:val="0"/>
          <w:lang w:val="en-US"/>
        </w:rPr>
        <w:t>’</w:t>
      </w:r>
      <w:r>
        <w:rPr>
          <w:rFonts w:ascii="Times New Roman" w:hAnsi="Times New Roman"/>
          <w:sz w:val="24"/>
          <w:szCs w:val="24"/>
          <w:rtl w:val="0"/>
          <w:lang w:val="en-US"/>
        </w:rPr>
        <w:t xml:space="preserve">s use of literary theory in his paper </w:t>
      </w:r>
      <w:r>
        <w:rPr>
          <w:rFonts w:ascii="Times New Roman" w:hAnsi="Times New Roman" w:hint="default"/>
          <w:sz w:val="24"/>
          <w:szCs w:val="24"/>
          <w:rtl w:val="0"/>
          <w:lang w:val="en-US"/>
        </w:rPr>
        <w:t>‘</w:t>
      </w:r>
      <w:r>
        <w:rPr>
          <w:rFonts w:ascii="Times New Roman" w:hAnsi="Times New Roman"/>
          <w:sz w:val="24"/>
          <w:szCs w:val="24"/>
          <w:rtl w:val="0"/>
          <w:lang w:val="en-US"/>
        </w:rPr>
        <w:t>A Ruby and Triangled Sign upon the Forehead of Taurus: Modalities of Revelation in Megalithic Archaeoastronomy and James Joyce</w:t>
      </w:r>
      <w:r>
        <w:rPr>
          <w:rFonts w:ascii="Times New Roman" w:hAnsi="Times New Roman" w:hint="default"/>
          <w:sz w:val="24"/>
          <w:szCs w:val="24"/>
          <w:rtl w:val="0"/>
        </w:rPr>
        <w:t>’</w:t>
      </w:r>
      <w:r>
        <w:rPr>
          <w:rFonts w:ascii="Times New Roman" w:hAnsi="Times New Roman"/>
          <w:sz w:val="24"/>
          <w:szCs w:val="24"/>
          <w:rtl w:val="0"/>
          <w:lang w:val="da-DK"/>
        </w:rPr>
        <w:t>s Novels</w:t>
      </w:r>
      <w:r>
        <w:rPr>
          <w:rFonts w:ascii="Times New Roman" w:hAnsi="Times New Roman" w:hint="default"/>
          <w:sz w:val="24"/>
          <w:szCs w:val="24"/>
          <w:rtl w:val="0"/>
        </w:rPr>
        <w:t> </w:t>
      </w:r>
      <w:r>
        <w:rPr>
          <w:rFonts w:ascii="Times New Roman" w:hAnsi="Times New Roman"/>
          <w:i w:val="1"/>
          <w:iCs w:val="1"/>
          <w:sz w:val="24"/>
          <w:szCs w:val="24"/>
          <w:rtl w:val="0"/>
          <w:lang w:val="sv-SE"/>
        </w:rPr>
        <w:t>Ulysses</w:t>
      </w:r>
      <w:r>
        <w:rPr>
          <w:rFonts w:ascii="Times New Roman" w:hAnsi="Times New Roman" w:hint="default"/>
          <w:sz w:val="24"/>
          <w:szCs w:val="24"/>
          <w:rtl w:val="0"/>
        </w:rPr>
        <w:t> </w:t>
      </w:r>
      <w:r>
        <w:rPr>
          <w:rFonts w:ascii="Times New Roman" w:hAnsi="Times New Roman"/>
          <w:sz w:val="24"/>
          <w:szCs w:val="24"/>
          <w:rtl w:val="0"/>
        </w:rPr>
        <w:t>and</w:t>
      </w:r>
      <w:r>
        <w:rPr>
          <w:rFonts w:ascii="Times New Roman" w:hAnsi="Times New Roman" w:hint="default"/>
          <w:sz w:val="24"/>
          <w:szCs w:val="24"/>
          <w:rtl w:val="0"/>
        </w:rPr>
        <w:t> </w:t>
      </w:r>
      <w:r>
        <w:rPr>
          <w:rFonts w:ascii="Times New Roman" w:hAnsi="Times New Roman"/>
          <w:i w:val="1"/>
          <w:iCs w:val="1"/>
          <w:sz w:val="24"/>
          <w:szCs w:val="24"/>
          <w:rtl w:val="0"/>
        </w:rPr>
        <w:t>Finnegans Wake</w:t>
      </w:r>
      <w:r>
        <w:rPr>
          <w:rFonts w:ascii="Times New Roman" w:hAnsi="Times New Roman"/>
          <w:i w:val="1"/>
          <w:iCs w:val="1"/>
          <w:sz w:val="24"/>
          <w:szCs w:val="24"/>
          <w:rtl w:val="0"/>
          <w:lang w:val="en-US"/>
        </w:rPr>
        <w:t>,</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published in </w:t>
      </w:r>
      <w:r>
        <w:rPr>
          <w:rFonts w:ascii="Times New Roman" w:hAnsi="Times New Roman"/>
          <w:i w:val="1"/>
          <w:iCs w:val="1"/>
          <w:sz w:val="24"/>
          <w:szCs w:val="24"/>
          <w:rtl w:val="0"/>
          <w:lang w:val="en-US"/>
        </w:rPr>
        <w:t>Religions</w:t>
      </w:r>
      <w:r>
        <w:rPr>
          <w:rFonts w:ascii="Times New Roman" w:hAnsi="Times New Roman"/>
          <w:sz w:val="24"/>
          <w:szCs w:val="24"/>
          <w:rtl w:val="0"/>
          <w:lang w:val="en-US"/>
        </w:rPr>
        <w:t xml:space="preserve"> in 2018. Further evidence of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paper reaching its aim comes from </w:t>
      </w:r>
      <w:r>
        <w:rPr>
          <w:rFonts w:ascii="Times New Roman" w:hAnsi="Times New Roman"/>
          <w:i w:val="1"/>
          <w:iCs w:val="1"/>
          <w:sz w:val="24"/>
          <w:szCs w:val="24"/>
          <w:rtl w:val="0"/>
          <w:lang w:val="en-US"/>
        </w:rPr>
        <w:t>Skyscapes</w:t>
      </w:r>
      <w:r>
        <w:rPr>
          <w:rFonts w:ascii="Times New Roman" w:hAnsi="Times New Roman" w:hint="default"/>
          <w:sz w:val="24"/>
          <w:szCs w:val="24"/>
          <w:rtl w:val="0"/>
          <w:lang w:val="en-US"/>
        </w:rPr>
        <w:t xml:space="preserve">’ </w:t>
      </w:r>
      <w:r>
        <w:rPr>
          <w:rFonts w:ascii="Times New Roman" w:hAnsi="Times New Roman"/>
          <w:sz w:val="24"/>
          <w:szCs w:val="24"/>
          <w:rtl w:val="0"/>
          <w:lang w:val="en-US"/>
        </w:rPr>
        <w:t>afterword, written by Darvill - the archaeologist that informed Silva</w:t>
      </w:r>
      <w:r>
        <w:rPr>
          <w:rFonts w:ascii="Times New Roman" w:hAnsi="Times New Roman" w:hint="default"/>
          <w:sz w:val="24"/>
          <w:szCs w:val="24"/>
          <w:rtl w:val="0"/>
          <w:lang w:val="en-US"/>
        </w:rPr>
        <w:t>’</w:t>
      </w:r>
      <w:r>
        <w:rPr>
          <w:rFonts w:ascii="Times New Roman" w:hAnsi="Times New Roman"/>
          <w:sz w:val="24"/>
          <w:szCs w:val="24"/>
          <w:rtl w:val="0"/>
          <w:lang w:val="en-US"/>
        </w:rPr>
        <w:t>s theoretical framework. Darvill finds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evidence of the rising Aldebaran above Serra da Estrela to be </w:t>
      </w:r>
      <w:r>
        <w:rPr>
          <w:rFonts w:ascii="Times New Roman" w:hAnsi="Times New Roman" w:hint="default"/>
          <w:sz w:val="24"/>
          <w:szCs w:val="24"/>
          <w:rtl w:val="0"/>
          <w:lang w:val="en-US"/>
        </w:rPr>
        <w:t>‘</w:t>
      </w:r>
      <w:r>
        <w:rPr>
          <w:rFonts w:ascii="Times New Roman" w:hAnsi="Times New Roman"/>
          <w:sz w:val="24"/>
          <w:szCs w:val="24"/>
          <w:rtl w:val="0"/>
          <w:lang w:val="en-US"/>
        </w:rPr>
        <w:t>convincing,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 praises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phenomenological and ethnographic </w:t>
      </w:r>
      <w:r>
        <w:rPr>
          <w:rFonts w:ascii="Times New Roman" w:hAnsi="Times New Roman" w:hint="default"/>
          <w:sz w:val="24"/>
          <w:szCs w:val="24"/>
          <w:rtl w:val="0"/>
          <w:lang w:val="en-US"/>
        </w:rPr>
        <w:t>‘</w:t>
      </w:r>
      <w:r>
        <w:rPr>
          <w:rFonts w:ascii="Times New Roman" w:hAnsi="Times New Roman"/>
          <w:sz w:val="24"/>
          <w:szCs w:val="24"/>
          <w:rtl w:val="0"/>
          <w:lang w:val="en-US"/>
        </w:rPr>
        <w:t>window of visibility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approach as </w:t>
      </w:r>
      <w:r>
        <w:rPr>
          <w:rFonts w:ascii="Times New Roman" w:hAnsi="Times New Roman" w:hint="default"/>
          <w:sz w:val="24"/>
          <w:szCs w:val="24"/>
          <w:rtl w:val="0"/>
          <w:lang w:val="en-US"/>
        </w:rPr>
        <w:t>‘</w:t>
      </w:r>
      <w:r>
        <w:rPr>
          <w:rFonts w:ascii="Times New Roman" w:hAnsi="Times New Roman"/>
          <w:sz w:val="24"/>
          <w:szCs w:val="24"/>
          <w:rtl w:val="0"/>
          <w:lang w:val="en-US"/>
        </w:rPr>
        <w:t>the application of innovative methodologies</w:t>
      </w:r>
      <w:r>
        <w:rPr>
          <w:rFonts w:ascii="Times New Roman" w:hAnsi="Times New Roman" w:hint="default"/>
          <w:sz w:val="24"/>
          <w:szCs w:val="24"/>
          <w:rtl w:val="0"/>
          <w:lang w:val="en-US"/>
        </w:rPr>
        <w:t>…</w:t>
      </w:r>
      <w:r>
        <w:rPr>
          <w:rFonts w:ascii="Times New Roman" w:hAnsi="Times New Roman"/>
          <w:sz w:val="24"/>
          <w:szCs w:val="24"/>
          <w:rtl w:val="0"/>
          <w:lang w:val="en-US"/>
        </w:rPr>
        <w:t>[open] up possibilities for investigation.</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20"/>
      </w:r>
      <w:r>
        <w:rPr>
          <w:rFonts w:ascii="Times New Roman" w:hAnsi="Times New Roman"/>
          <w:sz w:val="24"/>
          <w:szCs w:val="24"/>
          <w:rtl w:val="0"/>
          <w:lang w:val="en-US"/>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Though both papers successfully engaged with their aims, the possibility of future research in skyscape study arises from analyzing any academic blindspots the papers may contain. As previously explored, Silva</w:t>
      </w:r>
      <w:r>
        <w:rPr>
          <w:rFonts w:ascii="Times New Roman" w:hAnsi="Times New Roman" w:hint="default"/>
          <w:sz w:val="24"/>
          <w:szCs w:val="24"/>
          <w:rtl w:val="0"/>
          <w:lang w:val="en-US"/>
        </w:rPr>
        <w:t>’</w:t>
      </w:r>
      <w:r>
        <w:rPr>
          <w:rFonts w:ascii="Times New Roman" w:hAnsi="Times New Roman"/>
          <w:sz w:val="24"/>
          <w:szCs w:val="24"/>
          <w:rtl w:val="0"/>
          <w:lang w:val="en-US"/>
        </w:rPr>
        <w:t>s research holistically sourced ethnographic histories and quantitive data; Silva</w:t>
      </w:r>
      <w:r>
        <w:rPr>
          <w:rFonts w:ascii="Times New Roman" w:hAnsi="Times New Roman" w:hint="default"/>
          <w:sz w:val="24"/>
          <w:szCs w:val="24"/>
          <w:rtl w:val="0"/>
          <w:lang w:val="en-US"/>
        </w:rPr>
        <w:t>’</w:t>
      </w:r>
      <w:r>
        <w:rPr>
          <w:rFonts w:ascii="Times New Roman" w:hAnsi="Times New Roman"/>
          <w:sz w:val="24"/>
          <w:szCs w:val="24"/>
          <w:rtl w:val="0"/>
          <w:lang w:val="en-US"/>
        </w:rPr>
        <w:t>s argument is well-foot noted and takes care to include the work of relevant experts, such as Cruz, Ruggles, Hayden +</w:t>
      </w:r>
      <w:r>
        <w:rPr>
          <w:rFonts w:ascii="Times New Roman" w:hAnsi="Times New Roman"/>
          <w:sz w:val="24"/>
          <w:szCs w:val="24"/>
          <w:rtl w:val="0"/>
          <w:lang w:val="fr-FR"/>
        </w:rPr>
        <w:t>Villeneuve</w:t>
      </w:r>
      <w:r>
        <w:rPr>
          <w:rFonts w:ascii="Times New Roman" w:hAnsi="Times New Roman"/>
          <w:sz w:val="24"/>
          <w:szCs w:val="24"/>
          <w:rtl w:val="0"/>
          <w:lang w:val="en-US"/>
        </w:rPr>
        <w:t>, and so on. Hoskin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references, on the other hand, are his past research and the contributions of local archaeologists, but no citation is given to explain a theoretical framework or to offer evidence of why the megaliths studied in this paper are considered </w:t>
      </w:r>
      <w:r>
        <w:rPr>
          <w:rFonts w:ascii="Times New Roman" w:hAnsi="Times New Roman" w:hint="default"/>
          <w:sz w:val="24"/>
          <w:szCs w:val="24"/>
          <w:rtl w:val="0"/>
          <w:lang w:val="en-US"/>
        </w:rPr>
        <w:t>‘</w:t>
      </w:r>
      <w:r>
        <w:rPr>
          <w:rFonts w:ascii="Times New Roman" w:hAnsi="Times New Roman"/>
          <w:sz w:val="24"/>
          <w:szCs w:val="24"/>
          <w:rtl w:val="0"/>
          <w:lang w:val="en-US"/>
        </w:rPr>
        <w:t>tombs.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This stokes the question </w:t>
      </w:r>
      <w:r>
        <w:rPr>
          <w:rFonts w:ascii="Times New Roman" w:hAnsi="Times New Roman" w:hint="default"/>
          <w:sz w:val="24"/>
          <w:szCs w:val="24"/>
          <w:rtl w:val="0"/>
          <w:lang w:val="en-US"/>
        </w:rPr>
        <w:t xml:space="preserve">— </w:t>
      </w:r>
      <w:r>
        <w:rPr>
          <w:rFonts w:ascii="Times New Roman" w:hAnsi="Times New Roman"/>
          <w:sz w:val="24"/>
          <w:szCs w:val="24"/>
          <w:rtl w:val="0"/>
          <w:lang w:val="en-US"/>
        </w:rPr>
        <w:t>where does the assumption that the megaliths are tombs come from? Is it Hoskin</w:t>
      </w:r>
      <w:r>
        <w:rPr>
          <w:rFonts w:ascii="Times New Roman" w:hAnsi="Times New Roman" w:hint="default"/>
          <w:sz w:val="24"/>
          <w:szCs w:val="24"/>
          <w:rtl w:val="0"/>
          <w:lang w:val="en-US"/>
        </w:rPr>
        <w:t>’</w:t>
      </w:r>
      <w:r>
        <w:rPr>
          <w:rFonts w:ascii="Times New Roman" w:hAnsi="Times New Roman"/>
          <w:sz w:val="24"/>
          <w:szCs w:val="24"/>
          <w:rtl w:val="0"/>
          <w:lang w:val="en-US"/>
        </w:rPr>
        <w:t>s own bias, or a commonly held belief of the local archaeologists? Silva notes that this assumption is a dogma that should be tested; though the assumption of dolmens as tombs does not change nor invalidate the quantitative data provided by Hoskin and used by others, locating this bias through proper citation would have given richer understanding to Hoskin and his colleagues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approach. </w:t>
      </w:r>
    </w:p>
    <w:p>
      <w:pPr>
        <w:pStyle w:val="Body"/>
        <w:rPr>
          <w:rFonts w:ascii="Times New Roman" w:cs="Times New Roman" w:hAnsi="Times New Roman" w:eastAsia="Times New Roman"/>
          <w:color w:val="b41700"/>
          <w:sz w:val="24"/>
          <w:szCs w:val="24"/>
        </w:rPr>
      </w:pPr>
    </w:p>
    <w:p>
      <w:pPr>
        <w:pStyle w:val="Body"/>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CONCLUDING REMARKS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This paper offered a critical review Hoskin and Silva</w:t>
      </w:r>
      <w:r>
        <w:rPr>
          <w:rFonts w:ascii="Times New Roman" w:hAnsi="Times New Roman" w:hint="default"/>
          <w:sz w:val="24"/>
          <w:szCs w:val="24"/>
          <w:rtl w:val="0"/>
          <w:lang w:val="en-US"/>
        </w:rPr>
        <w:t>’</w:t>
      </w:r>
      <w:r>
        <w:rPr>
          <w:rFonts w:ascii="Times New Roman" w:hAnsi="Times New Roman"/>
          <w:sz w:val="24"/>
          <w:szCs w:val="24"/>
          <w:rtl w:val="0"/>
          <w:lang w:val="en-US"/>
        </w:rPr>
        <w:t>s papers, with consideration towards the papers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structure, methodology, and subsequent analysis. Ruggles</w:t>
      </w:r>
      <w:r>
        <w:rPr>
          <w:rFonts w:ascii="Times New Roman" w:hAnsi="Times New Roman" w:hint="default"/>
          <w:sz w:val="24"/>
          <w:szCs w:val="24"/>
          <w:rtl w:val="0"/>
          <w:lang w:val="en-US"/>
        </w:rPr>
        <w:t xml:space="preserve">’ </w:t>
      </w:r>
      <w:r>
        <w:rPr>
          <w:rFonts w:ascii="Times New Roman" w:hAnsi="Times New Roman"/>
          <w:sz w:val="24"/>
          <w:szCs w:val="24"/>
          <w:rtl w:val="0"/>
          <w:lang w:val="en-US"/>
        </w:rPr>
        <w:t>(who is generally considered the leading expert in archaeoastronomy) definition is engaged in Hoskin and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papers in demonstratively different ways about the same geographic skyscape. Though Hoskin provides a data-driven approach which, at surface appearance, seems concerned with the statistical considerations of the discipline rather than the </w:t>
      </w:r>
      <w:r>
        <w:rPr>
          <w:rFonts w:ascii="Times New Roman" w:hAnsi="Times New Roman" w:hint="default"/>
          <w:sz w:val="24"/>
          <w:szCs w:val="24"/>
          <w:rtl w:val="0"/>
          <w:lang w:val="en-US"/>
        </w:rPr>
        <w:t>‘</w:t>
      </w:r>
      <w:r>
        <w:rPr>
          <w:rFonts w:ascii="Times New Roman" w:hAnsi="Times New Roman"/>
          <w:sz w:val="24"/>
          <w:szCs w:val="24"/>
          <w:rtl w:val="0"/>
          <w:lang w:val="en-US"/>
        </w:rPr>
        <w:t>beliefs and practices concerning the sky in the past,</w:t>
      </w:r>
      <w:r>
        <w:rPr>
          <w:rFonts w:ascii="Times New Roman" w:hAnsi="Times New Roman" w:hint="default"/>
          <w:sz w:val="24"/>
          <w:szCs w:val="24"/>
          <w:rtl w:val="0"/>
          <w:lang w:val="en-US"/>
        </w:rPr>
        <w:t xml:space="preserve">’ </w:t>
      </w:r>
      <w:r>
        <w:rPr>
          <w:rFonts w:ascii="Times New Roman" w:hAnsi="Times New Roman"/>
          <w:sz w:val="24"/>
          <w:szCs w:val="24"/>
          <w:rtl w:val="0"/>
          <w:lang w:val="en-US"/>
        </w:rPr>
        <w:t>deeper examination of this methodology reveals qualitative characteristics of Hoskin</w:t>
      </w:r>
      <w:r>
        <w:rPr>
          <w:rFonts w:ascii="Times New Roman" w:hAnsi="Times New Roman" w:hint="default"/>
          <w:sz w:val="24"/>
          <w:szCs w:val="24"/>
          <w:rtl w:val="0"/>
          <w:lang w:val="en-US"/>
        </w:rPr>
        <w:t>’</w:t>
      </w:r>
      <w:r>
        <w:rPr>
          <w:rFonts w:ascii="Times New Roman" w:hAnsi="Times New Roman"/>
          <w:sz w:val="24"/>
          <w:szCs w:val="24"/>
          <w:rtl w:val="0"/>
          <w:lang w:val="en-US"/>
        </w:rPr>
        <w:t>s research and is lauded by Ruggles in a 2011 paper.</w:t>
      </w:r>
      <w:r>
        <w:rPr>
          <w:rFonts w:ascii="Times New Roman" w:cs="Times New Roman" w:hAnsi="Times New Roman" w:eastAsia="Times New Roman"/>
          <w:sz w:val="24"/>
          <w:szCs w:val="24"/>
          <w:vertAlign w:val="superscript"/>
        </w:rPr>
        <w:footnoteReference w:id="21"/>
      </w:r>
      <w:r>
        <w:rPr>
          <w:rFonts w:ascii="Times New Roman" w:hAnsi="Times New Roman"/>
          <w:sz w:val="24"/>
          <w:szCs w:val="24"/>
          <w:rtl w:val="0"/>
          <w:lang w:val="en-US"/>
        </w:rPr>
        <w:t xml:space="preserve"> Silva draws directly from Hoskin</w:t>
      </w:r>
      <w:r>
        <w:rPr>
          <w:rFonts w:ascii="Times New Roman" w:hAnsi="Times New Roman" w:hint="default"/>
          <w:sz w:val="24"/>
          <w:szCs w:val="24"/>
          <w:rtl w:val="0"/>
          <w:lang w:val="en-US"/>
        </w:rPr>
        <w:t>’</w:t>
      </w:r>
      <w:r>
        <w:rPr>
          <w:rFonts w:ascii="Times New Roman" w:hAnsi="Times New Roman"/>
          <w:sz w:val="24"/>
          <w:szCs w:val="24"/>
          <w:rtl w:val="0"/>
          <w:lang w:val="en-US"/>
        </w:rPr>
        <w:t>s previous study, but fully engages with Ruggles</w:t>
      </w:r>
      <w:r>
        <w:rPr>
          <w:rFonts w:ascii="Times New Roman" w:hAnsi="Times New Roman" w:hint="default"/>
          <w:sz w:val="24"/>
          <w:szCs w:val="24"/>
          <w:rtl w:val="0"/>
          <w:lang w:val="en-US"/>
        </w:rPr>
        <w:t xml:space="preserve">’ </w:t>
      </w:r>
      <w:r>
        <w:rPr>
          <w:rFonts w:ascii="Times New Roman" w:hAnsi="Times New Roman"/>
          <w:sz w:val="24"/>
          <w:szCs w:val="24"/>
          <w:rtl w:val="0"/>
          <w:lang w:val="en-US"/>
        </w:rPr>
        <w:t>definition of archaeoastronomy by incorporating holistic theoretical frameworks that allow for the beliefs and practices of past peoples to be considered alongside archaeological, quantitative, and phenomenological data. Though Hoskin</w:t>
      </w:r>
      <w:r>
        <w:rPr>
          <w:rFonts w:ascii="Times New Roman" w:hAnsi="Times New Roman" w:hint="default"/>
          <w:sz w:val="24"/>
          <w:szCs w:val="24"/>
          <w:rtl w:val="0"/>
          <w:lang w:val="en-US"/>
        </w:rPr>
        <w:t>’</w:t>
      </w:r>
      <w:r>
        <w:rPr>
          <w:rFonts w:ascii="Times New Roman" w:hAnsi="Times New Roman"/>
          <w:sz w:val="24"/>
          <w:szCs w:val="24"/>
          <w:rtl w:val="0"/>
          <w:lang w:val="en-US"/>
        </w:rPr>
        <w:t>s paper would benefit from further elucidation of potential bias by including a lengthier literature review, it has been explored that this was perhaps left out because of the nature of his papers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aim. Hoskin and Silva</w:t>
      </w:r>
      <w:r>
        <w:rPr>
          <w:rFonts w:ascii="Times New Roman" w:hAnsi="Times New Roman" w:hint="default"/>
          <w:sz w:val="24"/>
          <w:szCs w:val="24"/>
          <w:rtl w:val="0"/>
          <w:lang w:val="en-US"/>
        </w:rPr>
        <w:t>’</w:t>
      </w:r>
      <w:r>
        <w:rPr>
          <w:rFonts w:ascii="Times New Roman" w:hAnsi="Times New Roman"/>
          <w:sz w:val="24"/>
          <w:szCs w:val="24"/>
          <w:rtl w:val="0"/>
          <w:lang w:val="en-US"/>
        </w:rPr>
        <w:t xml:space="preserve">s differing approaches allow for the various shades and levels of the archaeoastronomical discipline to be visible. </w:t>
      </w:r>
    </w:p>
    <w:p>
      <w:pPr>
        <w:pStyle w:val="Body"/>
        <w:rPr>
          <w:rFonts w:ascii="Times New Roman" w:cs="Times New Roman" w:hAnsi="Times New Roman" w:eastAsia="Times New Roman"/>
          <w:sz w:val="24"/>
          <w:szCs w:val="24"/>
        </w:rPr>
      </w:pPr>
    </w:p>
    <w:p>
      <w:pPr>
        <w:pStyle w:val="Body"/>
      </w:pPr>
      <w:r>
        <w:rPr>
          <w:rFonts w:ascii="Arial Unicode MS" w:cs="Arial Unicode MS" w:hAnsi="Arial Unicode MS" w:eastAsia="Arial Unicode MS"/>
          <w:b w:val="0"/>
          <w:bCs w:val="0"/>
          <w:i w:val="0"/>
          <w:iCs w:val="0"/>
          <w:sz w:val="24"/>
          <w:szCs w:val="24"/>
        </w:rPr>
        <w:br w:type="page"/>
      </w: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Works Cited</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i w:val="1"/>
          <w:iCs w:val="1"/>
          <w:sz w:val="24"/>
          <w:szCs w:val="24"/>
        </w:rPr>
      </w:pPr>
      <w:r>
        <w:rPr>
          <w:rFonts w:ascii="Times New Roman" w:hAnsi="Times New Roman"/>
          <w:b w:val="0"/>
          <w:bCs w:val="0"/>
          <w:i w:val="1"/>
          <w:iCs w:val="1"/>
          <w:sz w:val="24"/>
          <w:szCs w:val="24"/>
          <w:rtl w:val="0"/>
          <w:lang w:val="en-US"/>
        </w:rPr>
        <w:t>Primary Sources</w:t>
      </w:r>
    </w:p>
    <w:p>
      <w:pPr>
        <w:pStyle w:val="Footnote"/>
        <w:rPr>
          <w:rFonts w:ascii="Times New Roman" w:cs="Times New Roman" w:hAnsi="Times New Roman" w:eastAsia="Times New Roman"/>
          <w:sz w:val="24"/>
          <w:szCs w:val="24"/>
        </w:rPr>
      </w:pPr>
    </w:p>
    <w:p>
      <w:pPr>
        <w:pStyle w:val="Footnote"/>
        <w:rPr>
          <w:rFonts w:ascii="Times New Roman" w:cs="Times New Roman" w:hAnsi="Times New Roman" w:eastAsia="Times New Roman"/>
          <w:sz w:val="24"/>
          <w:szCs w:val="24"/>
        </w:rPr>
      </w:pPr>
      <w:r>
        <w:rPr>
          <w:rFonts w:ascii="Times New Roman" w:hAnsi="Times New Roman"/>
          <w:sz w:val="24"/>
          <w:szCs w:val="24"/>
          <w:rtl w:val="0"/>
          <w:lang w:val="en-US"/>
        </w:rPr>
        <w:t xml:space="preserve">Hoskin, Michael, </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de-DE"/>
        </w:rPr>
        <w:t>tudies in Iberian Archaeoastronomy (5)</w:t>
      </w:r>
      <w:r>
        <w:rPr>
          <w:rFonts w:ascii="Times New Roman" w:hAnsi="Times New Roman"/>
          <w:sz w:val="24"/>
          <w:szCs w:val="24"/>
          <w:rtl w:val="0"/>
          <w:lang w:val="en-US"/>
        </w:rPr>
        <w:t>:</w:t>
      </w:r>
      <w:r>
        <w:rPr>
          <w:rFonts w:ascii="Times New Roman" w:hAnsi="Times New Roman"/>
          <w:sz w:val="24"/>
          <w:szCs w:val="24"/>
          <w:rtl w:val="0"/>
          <w:lang w:val="en-US"/>
        </w:rPr>
        <w:t xml:space="preserve"> Orientations of Megalithic Tombs of </w:t>
      </w:r>
      <w:r>
        <w:rPr>
          <w:rFonts w:ascii="Times New Roman" w:cs="Times New Roman" w:hAnsi="Times New Roman" w:eastAsia="Times New Roman"/>
          <w:sz w:val="24"/>
          <w:szCs w:val="24"/>
        </w:rPr>
        <w:tab/>
      </w:r>
      <w:r>
        <w:rPr>
          <w:rFonts w:ascii="Times New Roman" w:hAnsi="Times New Roman"/>
          <w:sz w:val="24"/>
          <w:szCs w:val="24"/>
          <w:rtl w:val="0"/>
          <w:lang w:val="en-US"/>
        </w:rPr>
        <w:t>Northern and Western Iberia</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rPr>
        <w:t>Archaeoastronomy</w:t>
      </w:r>
      <w:r>
        <w:rPr>
          <w:rFonts w:ascii="Times New Roman" w:hAnsi="Times New Roman"/>
          <w:sz w:val="24"/>
          <w:szCs w:val="24"/>
          <w:rtl w:val="0"/>
        </w:rPr>
        <w:t xml:space="preserve"> 23 (JHA xxix)</w:t>
      </w:r>
      <w:r>
        <w:rPr>
          <w:rFonts w:ascii="Times New Roman" w:hAnsi="Times New Roman"/>
          <w:sz w:val="24"/>
          <w:szCs w:val="24"/>
          <w:rtl w:val="0"/>
          <w:lang w:val="en-US"/>
        </w:rPr>
        <w:t xml:space="preserve"> (1998): p. S39-S88. </w:t>
      </w:r>
    </w:p>
    <w:p>
      <w:pPr>
        <w:pStyle w:val="Footnote"/>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Silva, Fabio,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View from Within: a </w:t>
      </w:r>
      <w:r>
        <w:rPr>
          <w:rFonts w:ascii="Times New Roman" w:hAnsi="Times New Roman" w:hint="default"/>
          <w:sz w:val="24"/>
          <w:szCs w:val="24"/>
          <w:rtl w:val="0"/>
        </w:rPr>
        <w:t>‘</w:t>
      </w:r>
      <w:r>
        <w:rPr>
          <w:rFonts w:ascii="Times New Roman" w:hAnsi="Times New Roman"/>
          <w:sz w:val="24"/>
          <w:szCs w:val="24"/>
          <w:rtl w:val="0"/>
          <w:lang w:val="en-US"/>
        </w:rPr>
        <w:t>time-space-action</w:t>
      </w:r>
      <w:r>
        <w:rPr>
          <w:rFonts w:ascii="Times New Roman" w:hAnsi="Times New Roman" w:hint="default"/>
          <w:sz w:val="24"/>
          <w:szCs w:val="24"/>
          <w:rtl w:val="0"/>
        </w:rPr>
        <w:t xml:space="preserve">’ </w:t>
      </w:r>
      <w:r>
        <w:rPr>
          <w:rFonts w:ascii="Times New Roman" w:hAnsi="Times New Roman"/>
          <w:sz w:val="24"/>
          <w:szCs w:val="24"/>
          <w:rtl w:val="0"/>
          <w:lang w:val="en-US"/>
        </w:rPr>
        <w:t xml:space="preserve">approach to Megalithism in Central </w:t>
      </w:r>
      <w:r>
        <w:rPr>
          <w:rFonts w:ascii="Times New Roman" w:cs="Times New Roman" w:hAnsi="Times New Roman" w:eastAsia="Times New Roman"/>
          <w:sz w:val="24"/>
          <w:szCs w:val="24"/>
        </w:rPr>
        <w:tab/>
        <w:tab/>
        <w:tab/>
      </w:r>
      <w:r>
        <w:rPr>
          <w:rFonts w:ascii="Times New Roman" w:hAnsi="Times New Roman"/>
          <w:sz w:val="24"/>
          <w:szCs w:val="24"/>
          <w:rtl w:val="0"/>
          <w:lang w:val="pt-PT"/>
        </w:rPr>
        <w:t>Portugal</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i</w:t>
      </w:r>
      <w:r>
        <w:rPr>
          <w:rFonts w:ascii="Times New Roman" w:hAnsi="Times New Roman"/>
          <w:sz w:val="24"/>
          <w:szCs w:val="24"/>
          <w:rtl w:val="0"/>
          <w:lang w:val="it-IT"/>
        </w:rPr>
        <w:t>n Fabio Silva and Nick Campion (eds)</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 xml:space="preserve">Skyscapes: The Role and Importance </w:t>
      </w:r>
      <w:r>
        <w:rPr>
          <w:rFonts w:ascii="Times New Roman" w:cs="Times New Roman" w:hAnsi="Times New Roman" w:eastAsia="Times New Roman"/>
          <w:i w:val="1"/>
          <w:iCs w:val="1"/>
          <w:sz w:val="24"/>
          <w:szCs w:val="24"/>
        </w:rPr>
        <w:tab/>
        <w:tab/>
        <w:tab/>
      </w:r>
      <w:r>
        <w:rPr>
          <w:rFonts w:ascii="Times New Roman" w:hAnsi="Times New Roman"/>
          <w:i w:val="1"/>
          <w:iCs w:val="1"/>
          <w:sz w:val="24"/>
          <w:szCs w:val="24"/>
          <w:rtl w:val="0"/>
          <w:lang w:val="en-US"/>
        </w:rPr>
        <w:t>of the Sky in Archaeology</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Oxford: Oxbow Books</w:t>
      </w:r>
      <w:r>
        <w:rPr>
          <w:rFonts w:ascii="Times New Roman" w:hAnsi="Times New Roman"/>
          <w:sz w:val="24"/>
          <w:szCs w:val="24"/>
          <w:rtl w:val="0"/>
          <w:lang w:val="en-US"/>
        </w:rPr>
        <w:t>, (2015): p. 120-139</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i w:val="1"/>
          <w:iCs w:val="1"/>
          <w:sz w:val="24"/>
          <w:szCs w:val="24"/>
        </w:rPr>
      </w:pPr>
      <w:r>
        <w:rPr>
          <w:rFonts w:ascii="Times New Roman" w:hAnsi="Times New Roman"/>
          <w:b w:val="0"/>
          <w:bCs w:val="0"/>
          <w:i w:val="1"/>
          <w:iCs w:val="1"/>
          <w:sz w:val="24"/>
          <w:szCs w:val="24"/>
          <w:rtl w:val="0"/>
          <w:lang w:val="en-US"/>
        </w:rPr>
        <w:t>Secondary Sources</w:t>
      </w:r>
    </w:p>
    <w:p>
      <w:pPr>
        <w:pStyle w:val="Body"/>
        <w:rPr>
          <w:rFonts w:ascii="Times New Roman" w:cs="Times New Roman" w:hAnsi="Times New Roman" w:eastAsia="Times New Roman"/>
          <w:b w:val="0"/>
          <w:bCs w:val="0"/>
          <w:sz w:val="24"/>
          <w:szCs w:val="24"/>
        </w:rPr>
      </w:pPr>
    </w:p>
    <w:p>
      <w:pPr>
        <w:pStyle w:val="Footnote"/>
        <w:bidi w:val="0"/>
      </w:pPr>
      <w:r>
        <w:rPr>
          <w:rFonts w:ascii="Times New Roman" w:hAnsi="Times New Roman"/>
          <w:sz w:val="24"/>
          <w:szCs w:val="24"/>
          <w:rtl w:val="0"/>
        </w:rPr>
        <w:t xml:space="preserve">Bennett, </w:t>
      </w:r>
      <w:r>
        <w:rPr>
          <w:rFonts w:ascii="Times New Roman" w:hAnsi="Times New Roman"/>
          <w:sz w:val="24"/>
          <w:szCs w:val="24"/>
          <w:rtl w:val="0"/>
          <w:lang w:val="en-US"/>
        </w:rPr>
        <w:t xml:space="preserve">Gerald </w:t>
      </w:r>
      <w:r>
        <w:rPr>
          <w:rFonts w:ascii="Times New Roman" w:hAnsi="Times New Roman"/>
          <w:sz w:val="24"/>
          <w:szCs w:val="24"/>
          <w:rtl w:val="0"/>
          <w:lang w:val="en-US"/>
        </w:rPr>
        <w:t xml:space="preserve">A., and John Gale. "Lines of Enquiry: Linear Organisation of the High Lea Farm </w:t>
      </w:r>
      <w:r>
        <w:rPr>
          <w:rFonts w:ascii="Times New Roman" w:cs="Times New Roman" w:hAnsi="Times New Roman" w:eastAsia="Times New Roman"/>
          <w:sz w:val="24"/>
          <w:szCs w:val="24"/>
        </w:rPr>
        <w:tab/>
      </w:r>
      <w:r>
        <w:rPr>
          <w:rFonts w:ascii="Times New Roman" w:hAnsi="Times New Roman"/>
          <w:sz w:val="24"/>
          <w:szCs w:val="24"/>
          <w:rtl w:val="0"/>
          <w:lang w:val="en-US"/>
        </w:rPr>
        <w:t>Bronze Age Barrow Cemetery."</w:t>
      </w:r>
      <w:r>
        <w:rPr>
          <w:rFonts w:ascii="Times New Roman" w:hAnsi="Times New Roman" w:hint="default"/>
          <w:sz w:val="24"/>
          <w:szCs w:val="24"/>
          <w:rtl w:val="0"/>
        </w:rPr>
        <w:t> </w:t>
      </w:r>
      <w:r>
        <w:rPr>
          <w:rFonts w:ascii="Times New Roman" w:hAnsi="Times New Roman"/>
          <w:i w:val="1"/>
          <w:iCs w:val="1"/>
          <w:sz w:val="24"/>
          <w:szCs w:val="24"/>
          <w:rtl w:val="0"/>
          <w:lang w:val="en-US"/>
        </w:rPr>
        <w:t xml:space="preserve">Proceedings of the Dorset Natural History &amp; </w:t>
      </w:r>
      <w:r>
        <w:rPr>
          <w:rFonts w:ascii="Times New Roman" w:cs="Times New Roman" w:hAnsi="Times New Roman" w:eastAsia="Times New Roman"/>
          <w:i w:val="1"/>
          <w:iCs w:val="1"/>
          <w:sz w:val="24"/>
          <w:szCs w:val="24"/>
        </w:rPr>
        <w:tab/>
        <w:tab/>
        <w:tab/>
        <w:tab/>
      </w:r>
      <w:r>
        <w:rPr>
          <w:rFonts w:ascii="Times New Roman" w:hAnsi="Times New Roman"/>
          <w:i w:val="1"/>
          <w:iCs w:val="1"/>
          <w:sz w:val="24"/>
          <w:szCs w:val="24"/>
          <w:rtl w:val="0"/>
          <w:lang w:val="en-US"/>
        </w:rPr>
        <w:t>Archaeological Society</w:t>
      </w:r>
      <w:r>
        <w:rPr>
          <w:rFonts w:ascii="Times New Roman" w:hAnsi="Times New Roman"/>
          <w:sz w:val="24"/>
          <w:szCs w:val="24"/>
          <w:rtl w:val="0"/>
          <w:lang w:val="en-US"/>
        </w:rPr>
        <w:t xml:space="preserve">. Vol. 138. Bournemouth University, Fern Barrow, Poole, Dorset, </w:t>
      </w:r>
      <w:r>
        <w:rPr>
          <w:rFonts w:ascii="Times New Roman" w:cs="Times New Roman" w:hAnsi="Times New Roman" w:eastAsia="Times New Roman"/>
          <w:sz w:val="24"/>
          <w:szCs w:val="24"/>
        </w:rPr>
        <w:tab/>
        <w:tab/>
        <w:tab/>
      </w:r>
      <w:r>
        <w:rPr>
          <w:rFonts w:ascii="Times New Roman" w:hAnsi="Times New Roman"/>
          <w:sz w:val="24"/>
          <w:szCs w:val="24"/>
          <w:rtl w:val="0"/>
          <w:lang w:val="nl-NL"/>
        </w:rPr>
        <w:t>BH12 5BB, UK, 2017.</w:t>
      </w:r>
    </w:p>
    <w:p>
      <w:pPr>
        <w:pStyle w:val="Body"/>
        <w:rPr>
          <w:rFonts w:ascii="Times New Roman" w:cs="Times New Roman" w:hAnsi="Times New Roman" w:eastAsia="Times New Roman"/>
          <w:b w:val="0"/>
          <w:bCs w:val="0"/>
          <w:sz w:val="24"/>
          <w:szCs w:val="24"/>
        </w:rPr>
      </w:pPr>
    </w:p>
    <w:p>
      <w:pPr>
        <w:pStyle w:val="Footnote"/>
        <w:rPr>
          <w:rFonts w:ascii="Times New Roman" w:cs="Times New Roman" w:hAnsi="Times New Roman" w:eastAsia="Times New Roman"/>
          <w:color w:val="333333"/>
          <w:sz w:val="24"/>
          <w:szCs w:val="24"/>
          <w:u w:color="333333"/>
        </w:rPr>
      </w:pPr>
      <w:r>
        <w:rPr>
          <w:rFonts w:ascii="Times New Roman" w:hAnsi="Times New Roman"/>
          <w:color w:val="333333"/>
          <w:sz w:val="24"/>
          <w:szCs w:val="24"/>
          <w:u w:color="333333"/>
          <w:rtl w:val="0"/>
        </w:rPr>
        <w:t xml:space="preserve">Bryman, Alan, </w:t>
      </w:r>
      <w:r>
        <w:rPr>
          <w:rFonts w:ascii="Times New Roman" w:hAnsi="Times New Roman"/>
          <w:i w:val="1"/>
          <w:iCs w:val="1"/>
          <w:color w:val="333333"/>
          <w:sz w:val="24"/>
          <w:szCs w:val="24"/>
          <w:u w:color="333333"/>
          <w:rtl w:val="0"/>
          <w:lang w:val="en-US"/>
        </w:rPr>
        <w:t>Quantity and Quality in Social Research</w:t>
      </w:r>
      <w:r>
        <w:rPr>
          <w:rFonts w:ascii="Times New Roman" w:hAnsi="Times New Roman"/>
          <w:i w:val="1"/>
          <w:iCs w:val="1"/>
          <w:color w:val="333333"/>
          <w:sz w:val="24"/>
          <w:szCs w:val="24"/>
          <w:u w:color="333333"/>
          <w:rtl w:val="0"/>
          <w:lang w:val="en-US"/>
        </w:rPr>
        <w:t xml:space="preserve">, </w:t>
      </w:r>
      <w:r>
        <w:rPr>
          <w:rFonts w:ascii="Times New Roman" w:hAnsi="Times New Roman"/>
          <w:color w:val="333333"/>
          <w:sz w:val="24"/>
          <w:szCs w:val="24"/>
          <w:u w:color="333333"/>
          <w:rtl w:val="0"/>
          <w:lang w:val="en-US"/>
        </w:rPr>
        <w:t xml:space="preserve">London: Routledge, </w:t>
      </w:r>
      <w:r>
        <w:rPr>
          <w:rFonts w:ascii="Times New Roman" w:hAnsi="Times New Roman"/>
          <w:color w:val="333333"/>
          <w:sz w:val="24"/>
          <w:szCs w:val="24"/>
          <w:u w:color="333333"/>
          <w:rtl w:val="0"/>
          <w:lang w:val="en-US"/>
        </w:rPr>
        <w:t>(</w:t>
      </w:r>
      <w:r>
        <w:rPr>
          <w:rFonts w:ascii="Times New Roman" w:hAnsi="Times New Roman"/>
          <w:color w:val="333333"/>
          <w:sz w:val="24"/>
          <w:szCs w:val="24"/>
          <w:u w:color="333333"/>
          <w:rtl w:val="0"/>
        </w:rPr>
        <w:t>2001</w:t>
      </w:r>
      <w:r>
        <w:rPr>
          <w:rFonts w:ascii="Times New Roman" w:hAnsi="Times New Roman"/>
          <w:color w:val="333333"/>
          <w:sz w:val="24"/>
          <w:szCs w:val="24"/>
          <w:u w:color="333333"/>
          <w:rtl w:val="0"/>
          <w:lang w:val="en-US"/>
        </w:rPr>
        <w:t xml:space="preserve">): Ch. 5, p. </w:t>
        <w:tab/>
        <w:tab/>
        <w:tab/>
        <w:t xml:space="preserve">99-100. </w:t>
      </w:r>
    </w:p>
    <w:p>
      <w:pPr>
        <w:pStyle w:val="Footnote"/>
        <w:rPr>
          <w:rFonts w:ascii="Times New Roman" w:cs="Times New Roman" w:hAnsi="Times New Roman" w:eastAsia="Times New Roman"/>
          <w:color w:val="333333"/>
          <w:sz w:val="24"/>
          <w:szCs w:val="24"/>
          <w:u w:color="333333"/>
        </w:rPr>
      </w:pPr>
    </w:p>
    <w:p>
      <w:pPr>
        <w:pStyle w:val="Default"/>
        <w:bidi w:val="0"/>
        <w:ind w:left="0" w:right="0" w:firstLine="0"/>
        <w:jc w:val="left"/>
        <w:rPr>
          <w:rFonts w:ascii="Times New Roman" w:cs="Times New Roman" w:hAnsi="Times New Roman" w:eastAsia="Times New Roman"/>
          <w:color w:val="222222"/>
          <w:sz w:val="24"/>
          <w:szCs w:val="24"/>
          <w:shd w:val="clear" w:color="auto" w:fill="ffffff"/>
          <w:rtl w:val="0"/>
        </w:rPr>
      </w:pPr>
      <w:r>
        <w:rPr>
          <w:rFonts w:ascii="Times New Roman" w:hAnsi="Times New Roman"/>
          <w:color w:val="222222"/>
          <w:sz w:val="24"/>
          <w:szCs w:val="24"/>
          <w:shd w:val="clear" w:color="auto" w:fill="ffffff"/>
          <w:rtl w:val="0"/>
          <w:lang w:val="nl-NL"/>
        </w:rPr>
        <w:t>Cerde</w:t>
      </w:r>
      <w:r>
        <w:rPr>
          <w:rFonts w:ascii="Times New Roman" w:hAnsi="Times New Roman" w:hint="default"/>
          <w:color w:val="222222"/>
          <w:sz w:val="24"/>
          <w:szCs w:val="24"/>
          <w:shd w:val="clear" w:color="auto" w:fill="ffffff"/>
          <w:rtl w:val="0"/>
          <w:lang w:val="es-ES_tradnl"/>
        </w:rPr>
        <w:t>ñ</w:t>
      </w:r>
      <w:r>
        <w:rPr>
          <w:rFonts w:ascii="Times New Roman" w:hAnsi="Times New Roman"/>
          <w:color w:val="222222"/>
          <w:sz w:val="24"/>
          <w:szCs w:val="24"/>
          <w:shd w:val="clear" w:color="auto" w:fill="ffffff"/>
          <w:rtl w:val="0"/>
          <w:lang w:val="it-IT"/>
        </w:rPr>
        <w:t>o, M</w:t>
      </w:r>
      <w:r>
        <w:rPr>
          <w:rFonts w:ascii="Times New Roman" w:hAnsi="Times New Roman"/>
          <w:color w:val="222222"/>
          <w:sz w:val="24"/>
          <w:szCs w:val="24"/>
          <w:shd w:val="clear" w:color="auto" w:fill="ffffff"/>
          <w:rtl w:val="0"/>
          <w:lang w:val="en-US"/>
        </w:rPr>
        <w:t>. L.</w:t>
      </w:r>
      <w:r>
        <w:rPr>
          <w:rFonts w:ascii="Times New Roman" w:hAnsi="Times New Roman"/>
          <w:color w:val="222222"/>
          <w:sz w:val="24"/>
          <w:szCs w:val="24"/>
          <w:shd w:val="clear" w:color="auto" w:fill="ffffff"/>
          <w:rtl w:val="0"/>
          <w:lang w:val="pt-PT"/>
        </w:rPr>
        <w:t>, et al. "Los estudios de arqueoastronom</w:t>
      </w:r>
      <w:r>
        <w:rPr>
          <w:rFonts w:ascii="Times New Roman" w:hAnsi="Times New Roman" w:hint="default"/>
          <w:color w:val="222222"/>
          <w:sz w:val="24"/>
          <w:szCs w:val="24"/>
          <w:shd w:val="clear" w:color="auto" w:fill="ffffff"/>
          <w:rtl w:val="0"/>
        </w:rPr>
        <w:t>í</w:t>
      </w:r>
      <w:r>
        <w:rPr>
          <w:rFonts w:ascii="Times New Roman" w:hAnsi="Times New Roman"/>
          <w:color w:val="222222"/>
          <w:sz w:val="24"/>
          <w:szCs w:val="24"/>
          <w:shd w:val="clear" w:color="auto" w:fill="ffffff"/>
          <w:rtl w:val="0"/>
          <w:lang w:val="es-ES_tradnl"/>
        </w:rPr>
        <w:t>a en Espa</w:t>
      </w:r>
      <w:r>
        <w:rPr>
          <w:rFonts w:ascii="Times New Roman" w:hAnsi="Times New Roman" w:hint="default"/>
          <w:color w:val="222222"/>
          <w:sz w:val="24"/>
          <w:szCs w:val="24"/>
          <w:shd w:val="clear" w:color="auto" w:fill="ffffff"/>
          <w:rtl w:val="0"/>
          <w:lang w:val="es-ES_tradnl"/>
        </w:rPr>
        <w:t>ñ</w:t>
      </w:r>
      <w:r>
        <w:rPr>
          <w:rFonts w:ascii="Times New Roman" w:hAnsi="Times New Roman"/>
          <w:color w:val="222222"/>
          <w:sz w:val="24"/>
          <w:szCs w:val="24"/>
          <w:shd w:val="clear" w:color="auto" w:fill="ffffff"/>
          <w:rtl w:val="0"/>
          <w:lang w:val="es-ES_tradnl"/>
        </w:rPr>
        <w:t xml:space="preserve">a: estado de la </w:t>
      </w:r>
      <w:r>
        <w:rPr>
          <w:rFonts w:ascii="Times New Roman" w:cs="Times New Roman" w:hAnsi="Times New Roman" w:eastAsia="Times New Roman"/>
          <w:color w:val="222222"/>
          <w:sz w:val="24"/>
          <w:szCs w:val="24"/>
          <w:shd w:val="clear" w:color="auto" w:fill="ffffff"/>
          <w:rtl w:val="0"/>
        </w:rPr>
        <w:tab/>
        <w:tab/>
        <w:tab/>
        <w:tab/>
        <w:tab/>
      </w:r>
      <w:r>
        <w:rPr>
          <w:rFonts w:ascii="Times New Roman" w:hAnsi="Times New Roman"/>
          <w:color w:val="222222"/>
          <w:sz w:val="24"/>
          <w:szCs w:val="24"/>
          <w:shd w:val="clear" w:color="auto" w:fill="ffffff"/>
          <w:rtl w:val="0"/>
          <w:lang w:val="es-ES_tradnl"/>
        </w:rPr>
        <w:t>cuesti</w:t>
      </w:r>
      <w:r>
        <w:rPr>
          <w:rFonts w:ascii="Times New Roman" w:hAnsi="Times New Roman" w:hint="default"/>
          <w:color w:val="222222"/>
          <w:sz w:val="24"/>
          <w:szCs w:val="24"/>
          <w:shd w:val="clear" w:color="auto" w:fill="ffffff"/>
          <w:rtl w:val="0"/>
          <w:lang w:val="es-ES_tradnl"/>
        </w:rPr>
        <w:t>ó</w:t>
      </w:r>
      <w:r>
        <w:rPr>
          <w:rFonts w:ascii="Times New Roman" w:hAnsi="Times New Roman"/>
          <w:color w:val="222222"/>
          <w:sz w:val="24"/>
          <w:szCs w:val="24"/>
          <w:shd w:val="clear" w:color="auto" w:fill="ffffff"/>
          <w:rtl w:val="0"/>
        </w:rPr>
        <w:t>n."</w:t>
      </w:r>
      <w:r>
        <w:rPr>
          <w:rFonts w:ascii="Times New Roman" w:hAnsi="Times New Roman" w:hint="default"/>
          <w:color w:val="222222"/>
          <w:sz w:val="24"/>
          <w:szCs w:val="24"/>
          <w:shd w:val="clear" w:color="auto" w:fill="ffffff"/>
          <w:rtl w:val="0"/>
        </w:rPr>
        <w:t> </w:t>
      </w:r>
      <w:r>
        <w:rPr>
          <w:rFonts w:ascii="Times New Roman" w:hAnsi="Times New Roman"/>
          <w:i w:val="1"/>
          <w:iCs w:val="1"/>
          <w:color w:val="222222"/>
          <w:sz w:val="24"/>
          <w:szCs w:val="24"/>
          <w:shd w:val="clear" w:color="auto" w:fill="ffffff"/>
          <w:rtl w:val="0"/>
          <w:lang w:val="es-ES_tradnl"/>
        </w:rPr>
        <w:t>Trabajos de Prehistoria</w:t>
      </w:r>
      <w:r>
        <w:rPr>
          <w:rFonts w:ascii="Times New Roman" w:hAnsi="Times New Roman"/>
          <w:i w:val="1"/>
          <w:iCs w:val="1"/>
          <w:color w:val="222222"/>
          <w:sz w:val="24"/>
          <w:szCs w:val="24"/>
          <w:shd w:val="clear" w:color="auto" w:fill="ffffff"/>
          <w:rtl w:val="0"/>
          <w:lang w:val="en-US"/>
        </w:rPr>
        <w:t xml:space="preserve"> </w:t>
      </w:r>
      <w:r>
        <w:rPr>
          <w:rFonts w:ascii="Times New Roman" w:hAnsi="Times New Roman"/>
          <w:color w:val="222222"/>
          <w:sz w:val="24"/>
          <w:szCs w:val="24"/>
          <w:shd w:val="clear" w:color="auto" w:fill="ffffff"/>
          <w:rtl w:val="0"/>
        </w:rPr>
        <w:t>63.2 (2006): 13-34.</w:t>
      </w:r>
    </w:p>
    <w:p>
      <w:pPr>
        <w:pStyle w:val="Default"/>
        <w:bidi w:val="0"/>
        <w:ind w:left="0" w:right="0" w:firstLine="0"/>
        <w:jc w:val="left"/>
        <w:rPr>
          <w:rFonts w:ascii="Times New Roman" w:cs="Times New Roman" w:hAnsi="Times New Roman" w:eastAsia="Times New Roman"/>
          <w:color w:val="222222"/>
          <w:sz w:val="24"/>
          <w:szCs w:val="24"/>
          <w:shd w:val="clear" w:color="auto" w:fill="ffffff"/>
          <w:rtl w:val="0"/>
        </w:rPr>
      </w:pPr>
    </w:p>
    <w:p>
      <w:pPr>
        <w:pStyle w:val="Default"/>
        <w:bidi w:val="0"/>
        <w:ind w:left="0" w:right="0" w:firstLine="0"/>
        <w:jc w:val="left"/>
        <w:rPr>
          <w:rFonts w:ascii="Times New Roman" w:cs="Times New Roman" w:hAnsi="Times New Roman" w:eastAsia="Times New Roman"/>
          <w:color w:val="333333"/>
          <w:sz w:val="24"/>
          <w:szCs w:val="24"/>
          <w:u w:color="333333"/>
          <w:shd w:val="clear" w:color="auto" w:fill="ffffff"/>
          <w:rtl w:val="0"/>
        </w:rPr>
      </w:pPr>
      <w:r>
        <w:rPr>
          <w:rFonts w:ascii="Times New Roman" w:hAnsi="Times New Roman"/>
          <w:color w:val="222222"/>
          <w:sz w:val="24"/>
          <w:szCs w:val="24"/>
          <w:shd w:val="clear" w:color="auto" w:fill="ffffff"/>
          <w:rtl w:val="0"/>
          <w:lang w:val="en-US"/>
        </w:rPr>
        <w:t>Chevalier, Yves. "Orientations of 935 dolmens of southern France."</w:t>
      </w:r>
      <w:r>
        <w:rPr>
          <w:rFonts w:ascii="Times New Roman" w:hAnsi="Times New Roman" w:hint="default"/>
          <w:color w:val="222222"/>
          <w:sz w:val="24"/>
          <w:szCs w:val="24"/>
          <w:shd w:val="clear" w:color="auto" w:fill="ffffff"/>
          <w:rtl w:val="0"/>
        </w:rPr>
        <w:t> </w:t>
      </w:r>
      <w:r>
        <w:rPr>
          <w:rFonts w:ascii="Times New Roman" w:hAnsi="Times New Roman"/>
          <w:i w:val="1"/>
          <w:iCs w:val="1"/>
          <w:color w:val="222222"/>
          <w:sz w:val="24"/>
          <w:szCs w:val="24"/>
          <w:shd w:val="clear" w:color="auto" w:fill="ffffff"/>
          <w:rtl w:val="0"/>
          <w:lang w:val="en-US"/>
        </w:rPr>
        <w:t xml:space="preserve">Journal for the History of </w:t>
      </w:r>
      <w:r>
        <w:rPr>
          <w:rFonts w:ascii="Times New Roman" w:cs="Times New Roman" w:hAnsi="Times New Roman" w:eastAsia="Times New Roman"/>
          <w:i w:val="1"/>
          <w:iCs w:val="1"/>
          <w:color w:val="222222"/>
          <w:sz w:val="24"/>
          <w:szCs w:val="24"/>
          <w:shd w:val="clear" w:color="auto" w:fill="ffffff"/>
          <w:rtl w:val="0"/>
        </w:rPr>
        <w:tab/>
        <w:tab/>
        <w:tab/>
      </w:r>
      <w:r>
        <w:rPr>
          <w:rFonts w:ascii="Times New Roman" w:hAnsi="Times New Roman"/>
          <w:i w:val="1"/>
          <w:iCs w:val="1"/>
          <w:color w:val="222222"/>
          <w:sz w:val="24"/>
          <w:szCs w:val="24"/>
          <w:shd w:val="clear" w:color="auto" w:fill="ffffff"/>
          <w:rtl w:val="0"/>
          <w:lang w:val="en-US"/>
        </w:rPr>
        <w:t>Astronomy</w:t>
      </w:r>
      <w:r>
        <w:rPr>
          <w:rFonts w:ascii="Times New Roman" w:hAnsi="Times New Roman" w:hint="default"/>
          <w:color w:val="222222"/>
          <w:sz w:val="24"/>
          <w:szCs w:val="24"/>
          <w:shd w:val="clear" w:color="auto" w:fill="ffffff"/>
          <w:rtl w:val="0"/>
        </w:rPr>
        <w:t> </w:t>
      </w:r>
      <w:r>
        <w:rPr>
          <w:rFonts w:ascii="Times New Roman" w:hAnsi="Times New Roman"/>
          <w:color w:val="222222"/>
          <w:sz w:val="24"/>
          <w:szCs w:val="24"/>
          <w:shd w:val="clear" w:color="auto" w:fill="ffffff"/>
          <w:rtl w:val="0"/>
        </w:rPr>
        <w:t>30.24 (1999): S47-S82.</w:t>
      </w:r>
    </w:p>
    <w:p>
      <w:pPr>
        <w:pStyle w:val="Footnote"/>
        <w:rPr>
          <w:rFonts w:ascii="Times New Roman" w:cs="Times New Roman" w:hAnsi="Times New Roman" w:eastAsia="Times New Roman"/>
          <w:color w:val="333333"/>
          <w:sz w:val="24"/>
          <w:szCs w:val="24"/>
          <w:u w:color="333333"/>
        </w:rPr>
      </w:pP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rPr>
        <w:t>Cruz, D</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pt-PT"/>
        </w:rPr>
        <w:t>Cronologia dos monumentos com tumulus do Noroeste peninsular e da Beira Alta</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tab/>
        <w:tab/>
        <w:tab/>
      </w:r>
      <w:r>
        <w:rPr>
          <w:rFonts w:ascii="Times New Roman" w:hAnsi="Times New Roman"/>
          <w:i w:val="1"/>
          <w:iCs w:val="1"/>
          <w:sz w:val="24"/>
          <w:szCs w:val="24"/>
          <w:rtl w:val="0"/>
          <w:lang w:val="pt-PT"/>
        </w:rPr>
        <w:t>Estudos Pr</w:t>
      </w:r>
      <w:r>
        <w:rPr>
          <w:rFonts w:ascii="Times New Roman" w:hAnsi="Times New Roman" w:hint="default"/>
          <w:i w:val="1"/>
          <w:iCs w:val="1"/>
          <w:sz w:val="24"/>
          <w:szCs w:val="24"/>
          <w:rtl w:val="0"/>
          <w:lang w:val="fr-FR"/>
        </w:rPr>
        <w:t>é</w:t>
      </w:r>
      <w:r>
        <w:rPr>
          <w:rFonts w:ascii="Times New Roman" w:hAnsi="Times New Roman"/>
          <w:i w:val="1"/>
          <w:iCs w:val="1"/>
          <w:sz w:val="24"/>
          <w:szCs w:val="24"/>
          <w:rtl w:val="0"/>
        </w:rPr>
        <w:t>-Hist</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lang w:val="pt-PT"/>
        </w:rPr>
        <w:t xml:space="preserve">ricos </w:t>
      </w:r>
      <w:r>
        <w:rPr>
          <w:rFonts w:ascii="Times New Roman" w:hAnsi="Times New Roman"/>
          <w:sz w:val="24"/>
          <w:szCs w:val="24"/>
          <w:rtl w:val="0"/>
        </w:rPr>
        <w:t xml:space="preserve">3, </w:t>
      </w:r>
      <w:r>
        <w:rPr>
          <w:rFonts w:ascii="Times New Roman" w:hAnsi="Times New Roman"/>
          <w:sz w:val="24"/>
          <w:szCs w:val="24"/>
          <w:rtl w:val="0"/>
          <w:lang w:val="en-US"/>
        </w:rPr>
        <w:t xml:space="preserve">(1995): p. </w:t>
      </w:r>
      <w:r>
        <w:rPr>
          <w:rFonts w:ascii="Times New Roman" w:hAnsi="Times New Roman"/>
          <w:sz w:val="24"/>
          <w:szCs w:val="24"/>
          <w:rtl w:val="0"/>
        </w:rPr>
        <w:t>81</w:t>
      </w:r>
      <w:r>
        <w:rPr>
          <w:rFonts w:ascii="Times New Roman" w:hAnsi="Times New Roman" w:hint="default"/>
          <w:sz w:val="24"/>
          <w:szCs w:val="24"/>
          <w:rtl w:val="0"/>
        </w:rPr>
        <w:t>–</w:t>
      </w:r>
      <w:r>
        <w:rPr>
          <w:rFonts w:ascii="Times New Roman" w:hAnsi="Times New Roman"/>
          <w:sz w:val="24"/>
          <w:szCs w:val="24"/>
          <w:rtl w:val="0"/>
        </w:rPr>
        <w:t>120.</w:t>
      </w:r>
    </w:p>
    <w:p>
      <w:pPr>
        <w:pStyle w:val="Footnote"/>
        <w:rPr>
          <w:rFonts w:ascii="Times New Roman" w:cs="Times New Roman" w:hAnsi="Times New Roman" w:eastAsia="Times New Roman"/>
          <w:sz w:val="24"/>
          <w:szCs w:val="24"/>
        </w:rPr>
      </w:pPr>
      <w:r>
        <w:rPr>
          <w:rFonts w:ascii="Times New Roman" w:hAnsi="Times New Roman"/>
          <w:sz w:val="24"/>
          <w:szCs w:val="24"/>
          <w:rtl w:val="0"/>
          <w:lang w:val="en-US"/>
        </w:rPr>
        <w:t xml:space="preserve">Darvill, Timothy,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historic environment, historic landscapes, and space-time-action models </w:t>
      </w:r>
      <w:r>
        <w:rPr>
          <w:rFonts w:ascii="Times New Roman" w:cs="Times New Roman" w:hAnsi="Times New Roman" w:eastAsia="Times New Roman"/>
          <w:sz w:val="24"/>
          <w:szCs w:val="24"/>
        </w:rPr>
        <w:tab/>
        <w:tab/>
        <w:tab/>
      </w:r>
      <w:r>
        <w:rPr>
          <w:rFonts w:ascii="Times New Roman" w:hAnsi="Times New Roman"/>
          <w:sz w:val="24"/>
          <w:szCs w:val="24"/>
          <w:rtl w:val="0"/>
          <w:lang w:val="en-US"/>
        </w:rPr>
        <w:t>in landscape archaeology</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Robert Layton and Peter Ucko (eds), </w:t>
      </w:r>
      <w:r>
        <w:rPr>
          <w:rFonts w:ascii="Times New Roman" w:hAnsi="Times New Roman"/>
          <w:i w:val="1"/>
          <w:iCs w:val="1"/>
          <w:sz w:val="24"/>
          <w:szCs w:val="24"/>
          <w:rtl w:val="0"/>
          <w:lang w:val="en-US"/>
        </w:rPr>
        <w:t xml:space="preserve">The Archaeology and </w:t>
        <w:tab/>
        <w:tab/>
        <w:tab/>
        <w:t>Anthropology of Landscape: Shaping your Landscape,</w:t>
      </w:r>
      <w:r>
        <w:rPr>
          <w:rFonts w:ascii="Times New Roman" w:hAnsi="Times New Roman"/>
          <w:sz w:val="24"/>
          <w:szCs w:val="24"/>
          <w:rtl w:val="0"/>
          <w:lang w:val="en-US"/>
        </w:rPr>
        <w:t xml:space="preserve"> London: Routledge, (2003): p. </w:t>
        <w:tab/>
        <w:tab/>
        <w:tab/>
        <w:t>106-120</w:t>
      </w:r>
    </w:p>
    <w:p>
      <w:pPr>
        <w:pStyle w:val="Footnote"/>
        <w:rPr>
          <w:rFonts w:ascii="Times New Roman" w:cs="Times New Roman" w:hAnsi="Times New Roman" w:eastAsia="Times New Roman"/>
          <w:sz w:val="24"/>
          <w:szCs w:val="24"/>
        </w:rPr>
      </w:pPr>
    </w:p>
    <w:p>
      <w:pPr>
        <w:pStyle w:val="Footnote"/>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 xml:space="preserve">Afterword: </w:t>
      </w:r>
      <w:r>
        <w:rPr>
          <w:rFonts w:ascii="Times New Roman" w:hAnsi="Times New Roman"/>
          <w:sz w:val="24"/>
          <w:szCs w:val="24"/>
          <w:rtl w:val="0"/>
          <w:lang w:val="en-US"/>
        </w:rPr>
        <w:t>d</w:t>
      </w:r>
      <w:r>
        <w:rPr>
          <w:rFonts w:ascii="Times New Roman" w:hAnsi="Times New Roman"/>
          <w:sz w:val="24"/>
          <w:szCs w:val="24"/>
          <w:rtl w:val="0"/>
          <w:lang w:val="en-US"/>
        </w:rPr>
        <w:t>ances beneath a diamond sky</w:t>
      </w:r>
      <w:r>
        <w:rPr>
          <w:rFonts w:ascii="Times New Roman" w:hAnsi="Times New Roman" w:hint="default"/>
          <w:sz w:val="24"/>
          <w:szCs w:val="24"/>
          <w:rtl w:val="0"/>
        </w:rPr>
        <w:t>’</w:t>
      </w:r>
      <w:r>
        <w:rPr>
          <w:rFonts w:ascii="Times New Roman" w:hAnsi="Times New Roman"/>
          <w:sz w:val="24"/>
          <w:szCs w:val="24"/>
          <w:rtl w:val="0"/>
          <w:lang w:val="en-US"/>
        </w:rPr>
        <w:t xml:space="preserve"> i</w:t>
      </w:r>
      <w:r>
        <w:rPr>
          <w:rFonts w:ascii="Times New Roman" w:hAnsi="Times New Roman"/>
          <w:sz w:val="24"/>
          <w:szCs w:val="24"/>
          <w:rtl w:val="0"/>
          <w:lang w:val="it-IT"/>
        </w:rPr>
        <w:t xml:space="preserve">n Silva, Fabio and Nick Campion (eds), </w:t>
      </w:r>
      <w:r>
        <w:rPr>
          <w:rFonts w:ascii="Times New Roman" w:cs="Times New Roman" w:hAnsi="Times New Roman" w:eastAsia="Times New Roman"/>
          <w:sz w:val="24"/>
          <w:szCs w:val="24"/>
        </w:rPr>
        <w:tab/>
        <w:tab/>
        <w:tab/>
        <w:tab/>
      </w:r>
      <w:r>
        <w:rPr>
          <w:rFonts w:ascii="Times New Roman" w:hAnsi="Times New Roman"/>
          <w:i w:val="1"/>
          <w:iCs w:val="1"/>
          <w:sz w:val="24"/>
          <w:szCs w:val="24"/>
          <w:rtl w:val="0"/>
          <w:lang w:val="en-US"/>
        </w:rPr>
        <w:t>Skyscapes: The Role and Importance of the Sky in Archaeology</w:t>
      </w:r>
      <w:r>
        <w:rPr>
          <w:rFonts w:ascii="Times New Roman" w:hAnsi="Times New Roman"/>
          <w:sz w:val="24"/>
          <w:szCs w:val="24"/>
          <w:rtl w:val="0"/>
          <w:lang w:val="en-US"/>
        </w:rPr>
        <w:t xml:space="preserve">, Oxford: Oxbow </w:t>
      </w:r>
      <w:r>
        <w:rPr>
          <w:rFonts w:ascii="Times New Roman" w:cs="Times New Roman" w:hAnsi="Times New Roman" w:eastAsia="Times New Roman"/>
          <w:sz w:val="24"/>
          <w:szCs w:val="24"/>
        </w:rPr>
        <w:tab/>
        <w:tab/>
        <w:tab/>
        <w:tab/>
      </w:r>
      <w:r>
        <w:rPr>
          <w:rFonts w:ascii="Times New Roman" w:hAnsi="Times New Roman"/>
          <w:sz w:val="24"/>
          <w:szCs w:val="24"/>
          <w:rtl w:val="0"/>
          <w:lang w:val="en-US"/>
        </w:rPr>
        <w:t>Books</w:t>
      </w:r>
      <w:r>
        <w:rPr>
          <w:rFonts w:ascii="Times New Roman" w:hAnsi="Times New Roman"/>
          <w:sz w:val="24"/>
          <w:szCs w:val="24"/>
          <w:rtl w:val="0"/>
          <w:lang w:val="en-US"/>
        </w:rPr>
        <w:t xml:space="preserve"> (</w:t>
      </w:r>
      <w:r>
        <w:rPr>
          <w:rFonts w:ascii="Times New Roman" w:hAnsi="Times New Roman"/>
          <w:sz w:val="24"/>
          <w:szCs w:val="24"/>
          <w:rtl w:val="0"/>
        </w:rPr>
        <w:t>2015</w:t>
      </w:r>
      <w:r>
        <w:rPr>
          <w:rFonts w:ascii="Times New Roman" w:hAnsi="Times New Roman"/>
          <w:sz w:val="24"/>
          <w:szCs w:val="24"/>
          <w:rtl w:val="0"/>
          <w:lang w:val="en-US"/>
        </w:rPr>
        <w:t>):</w:t>
      </w:r>
      <w:r>
        <w:rPr>
          <w:rFonts w:ascii="Times New Roman" w:hAnsi="Times New Roman"/>
          <w:sz w:val="24"/>
          <w:szCs w:val="24"/>
          <w:rtl w:val="0"/>
        </w:rPr>
        <w:t xml:space="preserve"> pp. 140-148.</w:t>
      </w:r>
      <w:r>
        <w:rPr>
          <w:rFonts w:ascii="Times New Roman" w:hAnsi="Times New Roman" w:hint="default"/>
          <w:sz w:val="24"/>
          <w:szCs w:val="24"/>
          <w:rtl w:val="0"/>
        </w:rPr>
        <w:t> </w:t>
      </w:r>
    </w:p>
    <w:p>
      <w:pPr>
        <w:pStyle w:val="Footnote"/>
        <w:rPr>
          <w:rFonts w:ascii="Times New Roman" w:cs="Times New Roman" w:hAnsi="Times New Roman" w:eastAsia="Times New Roman"/>
          <w:sz w:val="24"/>
          <w:szCs w:val="24"/>
        </w:rPr>
      </w:pPr>
    </w:p>
    <w:p>
      <w:pPr>
        <w:pStyle w:val="Footnote"/>
        <w:rPr>
          <w:rFonts w:ascii="Times New Roman" w:cs="Times New Roman" w:hAnsi="Times New Roman" w:eastAsia="Times New Roman"/>
          <w:sz w:val="24"/>
          <w:szCs w:val="24"/>
        </w:rPr>
      </w:pPr>
      <w:r>
        <w:rPr>
          <w:rFonts w:ascii="Times New Roman" w:hAnsi="Times New Roman"/>
          <w:sz w:val="24"/>
          <w:szCs w:val="24"/>
          <w:rtl w:val="0"/>
          <w:lang w:val="de-DE"/>
        </w:rPr>
        <w:t>Hayden, B. and Villeneuve, S.</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Astronomy in the Upper Palaeolithic?</w:t>
      </w:r>
      <w:r>
        <w:rPr>
          <w:rFonts w:ascii="Times New Roman" w:hAnsi="Times New Roman"/>
          <w:sz w:val="24"/>
          <w:szCs w:val="24"/>
          <w:rtl w:val="0"/>
          <w:lang w:val="en-US"/>
        </w:rPr>
        <w:t>,</w:t>
      </w:r>
      <w:r>
        <w:rPr>
          <w:rFonts w:ascii="Times New Roman" w:hAnsi="Times New Roman" w:hint="default"/>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 xml:space="preserve">Cambridge </w:t>
      </w:r>
      <w:r>
        <w:rPr>
          <w:rFonts w:ascii="Times New Roman" w:cs="Times New Roman" w:hAnsi="Times New Roman" w:eastAsia="Times New Roman"/>
          <w:i w:val="1"/>
          <w:iCs w:val="1"/>
          <w:sz w:val="24"/>
          <w:szCs w:val="24"/>
        </w:rPr>
        <w:tab/>
        <w:tab/>
        <w:tab/>
        <w:tab/>
      </w:r>
      <w:r>
        <w:rPr>
          <w:rFonts w:ascii="Times New Roman" w:hAnsi="Times New Roman"/>
          <w:i w:val="1"/>
          <w:iCs w:val="1"/>
          <w:sz w:val="24"/>
          <w:szCs w:val="24"/>
          <w:rtl w:val="0"/>
          <w:lang w:val="en-US"/>
        </w:rPr>
        <w:t xml:space="preserve">Archaeological Journal </w:t>
      </w:r>
      <w:r>
        <w:rPr>
          <w:rFonts w:ascii="Times New Roman" w:hAnsi="Times New Roman"/>
          <w:sz w:val="24"/>
          <w:szCs w:val="24"/>
          <w:rtl w:val="0"/>
        </w:rPr>
        <w:t xml:space="preserve">21, </w:t>
      </w:r>
      <w:r>
        <w:rPr>
          <w:rFonts w:ascii="Times New Roman" w:hAnsi="Times New Roman"/>
          <w:sz w:val="24"/>
          <w:szCs w:val="24"/>
          <w:rtl w:val="0"/>
          <w:lang w:val="en-US"/>
        </w:rPr>
        <w:t xml:space="preserve">(2011): p. </w:t>
      </w:r>
      <w:r>
        <w:rPr>
          <w:rFonts w:ascii="Times New Roman" w:hAnsi="Times New Roman"/>
          <w:sz w:val="24"/>
          <w:szCs w:val="24"/>
          <w:rtl w:val="0"/>
        </w:rPr>
        <w:t>331</w:t>
      </w:r>
      <w:r>
        <w:rPr>
          <w:rFonts w:ascii="Times New Roman" w:hAnsi="Times New Roman" w:hint="default"/>
          <w:sz w:val="24"/>
          <w:szCs w:val="24"/>
          <w:rtl w:val="0"/>
        </w:rPr>
        <w:t>–</w:t>
      </w:r>
      <w:r>
        <w:rPr>
          <w:rFonts w:ascii="Times New Roman" w:hAnsi="Times New Roman"/>
          <w:sz w:val="24"/>
          <w:szCs w:val="24"/>
          <w:rtl w:val="0"/>
        </w:rPr>
        <w:t>55.</w:t>
      </w:r>
    </w:p>
    <w:p>
      <w:pPr>
        <w:pStyle w:val="Body"/>
        <w:rPr>
          <w:rFonts w:ascii="Times New Roman" w:cs="Times New Roman" w:hAnsi="Times New Roman" w:eastAsia="Times New Roman"/>
          <w:b w:val="0"/>
          <w:bCs w:val="0"/>
          <w:sz w:val="24"/>
          <w:szCs w:val="24"/>
        </w:rPr>
      </w:pPr>
    </w:p>
    <w:p>
      <w:pPr>
        <w:pStyle w:val="Footnote"/>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Ruggles, Clive, </w:t>
      </w:r>
      <w:r>
        <w:rPr>
          <w:rFonts w:ascii="Times New Roman" w:hAnsi="Times New Roman" w:hint="default"/>
          <w:sz w:val="24"/>
          <w:szCs w:val="24"/>
          <w:rtl w:val="0"/>
          <w:lang w:val="en-US"/>
        </w:rPr>
        <w:t>“</w:t>
      </w:r>
      <w:r>
        <w:rPr>
          <w:rFonts w:ascii="Times New Roman" w:hAnsi="Times New Roman"/>
          <w:sz w:val="24"/>
          <w:szCs w:val="24"/>
          <w:rtl w:val="0"/>
          <w:lang w:val="en-US"/>
        </w:rPr>
        <w:t>Archaeoastronomy</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w:t>
      </w:r>
      <w:r>
        <w:rPr>
          <w:rFonts w:ascii="Times New Roman" w:hAnsi="Times New Roman"/>
          <w:sz w:val="24"/>
          <w:szCs w:val="24"/>
          <w:rtl w:val="0"/>
          <w:lang w:val="en-US"/>
        </w:rPr>
        <w:t xml:space="preserve">Renfrew, Colin and Paul Bahn (eds), </w:t>
      </w:r>
      <w:r>
        <w:rPr>
          <w:rFonts w:ascii="Times New Roman" w:hAnsi="Times New Roman"/>
          <w:i w:val="1"/>
          <w:iCs w:val="1"/>
          <w:sz w:val="24"/>
          <w:szCs w:val="24"/>
          <w:rtl w:val="0"/>
          <w:lang w:val="en-US"/>
        </w:rPr>
        <w:t xml:space="preserve">Archaeology: The </w:t>
      </w:r>
      <w:r>
        <w:rPr>
          <w:rFonts w:ascii="Times New Roman" w:cs="Times New Roman" w:hAnsi="Times New Roman" w:eastAsia="Times New Roman"/>
          <w:i w:val="1"/>
          <w:iCs w:val="1"/>
          <w:sz w:val="24"/>
          <w:szCs w:val="24"/>
          <w:lang w:val="en-US"/>
        </w:rPr>
        <w:tab/>
        <w:tab/>
        <w:tab/>
      </w:r>
      <w:r>
        <w:rPr>
          <w:rFonts w:ascii="Times New Roman" w:hAnsi="Times New Roman"/>
          <w:i w:val="1"/>
          <w:iCs w:val="1"/>
          <w:sz w:val="24"/>
          <w:szCs w:val="24"/>
          <w:rtl w:val="0"/>
          <w:lang w:val="en-US"/>
        </w:rPr>
        <w:t>Key Concepts</w:t>
      </w:r>
      <w:r>
        <w:rPr>
          <w:rFonts w:ascii="Times New Roman" w:hAnsi="Times New Roman"/>
          <w:sz w:val="24"/>
          <w:szCs w:val="24"/>
          <w:rtl w:val="0"/>
          <w:lang w:val="en-US"/>
        </w:rPr>
        <w:t>, London: Routledge,</w:t>
      </w:r>
      <w:r>
        <w:rPr>
          <w:rFonts w:ascii="Times New Roman" w:hAnsi="Times New Roman"/>
          <w:sz w:val="24"/>
          <w:szCs w:val="24"/>
          <w:rtl w:val="0"/>
          <w:lang w:val="en-US"/>
        </w:rPr>
        <w:t xml:space="preserve"> (</w:t>
      </w:r>
      <w:r>
        <w:rPr>
          <w:rFonts w:ascii="Times New Roman" w:hAnsi="Times New Roman"/>
          <w:sz w:val="24"/>
          <w:szCs w:val="24"/>
          <w:rtl w:val="0"/>
          <w:lang w:val="en-US"/>
        </w:rPr>
        <w:t>2005</w:t>
      </w:r>
      <w:r>
        <w:rPr>
          <w:rFonts w:ascii="Times New Roman" w:hAnsi="Times New Roman"/>
          <w:sz w:val="24"/>
          <w:szCs w:val="24"/>
          <w:rtl w:val="0"/>
          <w:lang w:val="en-US"/>
        </w:rPr>
        <w:t xml:space="preserve">): </w:t>
      </w:r>
      <w:r>
        <w:rPr>
          <w:rFonts w:ascii="Times New Roman" w:hAnsi="Times New Roman"/>
          <w:sz w:val="24"/>
          <w:szCs w:val="24"/>
          <w:rtl w:val="0"/>
          <w:lang w:val="en-US"/>
        </w:rPr>
        <w:t>pp. 11-16</w:t>
      </w:r>
      <w:r>
        <w:rPr>
          <w:rFonts w:ascii="Times New Roman" w:hAnsi="Times New Roman"/>
          <w:sz w:val="24"/>
          <w:szCs w:val="24"/>
          <w:rtl w:val="0"/>
          <w:lang w:val="en-US"/>
        </w:rPr>
        <w:t>.</w:t>
      </w:r>
    </w:p>
    <w:p>
      <w:pPr>
        <w:pStyle w:val="Footnote"/>
        <w:rPr>
          <w:rFonts w:ascii="Times New Roman" w:cs="Times New Roman" w:hAnsi="Times New Roman" w:eastAsia="Times New Roman"/>
          <w:sz w:val="24"/>
          <w:szCs w:val="24"/>
          <w:lang w:val="en-US"/>
        </w:rPr>
      </w:pPr>
    </w:p>
    <w:p>
      <w:pPr>
        <w:pStyle w:val="Footnote"/>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ab/>
        <w:t>— ‘</w:t>
      </w:r>
      <w:r>
        <w:rPr>
          <w:rFonts w:ascii="Times New Roman" w:hAnsi="Times New Roman"/>
          <w:sz w:val="24"/>
          <w:szCs w:val="24"/>
          <w:rtl w:val="0"/>
          <w:lang w:val="en-US"/>
        </w:rPr>
        <w:t xml:space="preserve">Pushing back the frontiers or still running around the same circles? </w:t>
      </w:r>
      <w:r>
        <w:rPr>
          <w:rFonts w:ascii="Times New Roman" w:hAnsi="Times New Roman" w:hint="default"/>
          <w:sz w:val="24"/>
          <w:szCs w:val="24"/>
          <w:rtl w:val="0"/>
          <w:lang w:val="en-US"/>
        </w:rPr>
        <w:t>‘</w:t>
      </w:r>
      <w:r>
        <w:rPr>
          <w:rFonts w:ascii="Times New Roman" w:hAnsi="Times New Roman"/>
          <w:sz w:val="24"/>
          <w:szCs w:val="24"/>
          <w:rtl w:val="0"/>
          <w:lang w:val="en-US"/>
        </w:rPr>
        <w:t xml:space="preserve">Interpretative </w:t>
      </w:r>
      <w:r>
        <w:rPr>
          <w:rFonts w:ascii="Times New Roman" w:cs="Times New Roman" w:hAnsi="Times New Roman" w:eastAsia="Times New Roman"/>
          <w:sz w:val="24"/>
          <w:szCs w:val="24"/>
          <w:lang w:val="en-US"/>
        </w:rPr>
        <w:tab/>
        <w:tab/>
        <w:tab/>
        <w:tab/>
      </w:r>
      <w:r>
        <w:rPr>
          <w:rFonts w:ascii="Times New Roman" w:hAnsi="Times New Roman"/>
          <w:sz w:val="24"/>
          <w:szCs w:val="24"/>
          <w:rtl w:val="0"/>
          <w:lang w:val="en-US"/>
        </w:rPr>
        <w:t>archaeoastronomy</w:t>
      </w:r>
      <w:r>
        <w:rPr>
          <w:rFonts w:ascii="Times New Roman" w:hAnsi="Times New Roman" w:hint="default"/>
          <w:sz w:val="24"/>
          <w:szCs w:val="24"/>
          <w:rtl w:val="0"/>
          <w:lang w:val="en-US"/>
        </w:rPr>
        <w:t xml:space="preserve">’ </w:t>
      </w:r>
      <w:r>
        <w:rPr>
          <w:rFonts w:ascii="Times New Roman" w:hAnsi="Times New Roman"/>
          <w:sz w:val="24"/>
          <w:szCs w:val="24"/>
          <w:rtl w:val="0"/>
          <w:lang w:val="en-US"/>
        </w:rPr>
        <w:t>thirty years on,</w:t>
      </w:r>
      <w:r>
        <w:rPr>
          <w:rFonts w:ascii="Times New Roman" w:hAnsi="Times New Roman" w:hint="default"/>
          <w:sz w:val="24"/>
          <w:szCs w:val="24"/>
          <w:rtl w:val="0"/>
          <w:lang w:val="en-US"/>
        </w:rPr>
        <w:t>’</w:t>
      </w:r>
      <w:r>
        <w:rPr>
          <w:rFonts w:ascii="Times New Roman" w:hAnsi="Times New Roman"/>
          <w:sz w:val="24"/>
          <w:szCs w:val="24"/>
          <w:rtl w:val="0"/>
          <w:lang w:val="en-US"/>
        </w:rPr>
        <w:t xml:space="preserve"> Proceedings IAU Symposium No. 278, </w:t>
      </w:r>
      <w:r>
        <w:rPr>
          <w:rFonts w:ascii="Times New Roman" w:cs="Times New Roman" w:hAnsi="Times New Roman" w:eastAsia="Times New Roman"/>
          <w:sz w:val="24"/>
          <w:szCs w:val="24"/>
          <w:rtl w:val="0"/>
          <w:lang w:val="en-US"/>
        </w:rPr>
        <w:tab/>
        <w:tab/>
        <w:tab/>
        <w:tab/>
        <w:t>(</w:t>
      </w:r>
      <w:r>
        <w:rPr>
          <w:rFonts w:ascii="Times New Roman" w:hAnsi="Times New Roman"/>
          <w:sz w:val="24"/>
          <w:szCs w:val="24"/>
          <w:rtl w:val="0"/>
          <w:lang w:val="en-US"/>
        </w:rPr>
        <w:t>2011</w:t>
      </w:r>
      <w:r>
        <w:rPr>
          <w:rFonts w:ascii="Times New Roman" w:hAnsi="Times New Roman"/>
          <w:sz w:val="24"/>
          <w:szCs w:val="24"/>
          <w:rtl w:val="0"/>
          <w:lang w:val="en-US"/>
        </w:rPr>
        <w:t>):</w:t>
        <w:tab/>
      </w:r>
      <w:r>
        <w:rPr>
          <w:rFonts w:ascii="Times New Roman" w:hAnsi="Times New Roman"/>
          <w:sz w:val="24"/>
          <w:szCs w:val="24"/>
          <w:rtl w:val="0"/>
          <w:lang w:val="en-US"/>
        </w:rPr>
        <w:t>p</w:t>
      </w:r>
      <w:r>
        <w:rPr>
          <w:rFonts w:ascii="Times New Roman" w:hAnsi="Times New Roman"/>
          <w:sz w:val="24"/>
          <w:szCs w:val="24"/>
          <w:rtl w:val="0"/>
          <w:lang w:val="en-US"/>
        </w:rPr>
        <w:t>. 1-18</w:t>
      </w:r>
    </w:p>
    <w:p>
      <w:pPr>
        <w:pStyle w:val="Footnote"/>
        <w:rPr>
          <w:rFonts w:ascii="Times New Roman" w:cs="Times New Roman" w:hAnsi="Times New Roman" w:eastAsia="Times New Roman"/>
          <w:sz w:val="24"/>
          <w:szCs w:val="24"/>
        </w:rPr>
      </w:pPr>
    </w:p>
    <w:p>
      <w:pPr>
        <w:pStyle w:val="Footnote"/>
      </w:pPr>
      <w:r>
        <w:rPr>
          <w:rFonts w:ascii="Times New Roman" w:hAnsi="Times New Roman"/>
          <w:sz w:val="24"/>
          <w:szCs w:val="24"/>
          <w:rtl w:val="0"/>
          <w:lang w:val="fr-FR"/>
        </w:rPr>
        <w:t>Senna-Martinez, J. C.</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pt-PT"/>
        </w:rPr>
        <w:t>Megalitismo, habitat e sociedades: a bacia do m</w:t>
      </w:r>
      <w:r>
        <w:rPr>
          <w:rFonts w:ascii="Times New Roman" w:hAnsi="Times New Roman" w:hint="default"/>
          <w:sz w:val="24"/>
          <w:szCs w:val="24"/>
          <w:rtl w:val="0"/>
          <w:lang w:val="fr-FR"/>
        </w:rPr>
        <w:t>é</w:t>
      </w:r>
      <w:r>
        <w:rPr>
          <w:rFonts w:ascii="Times New Roman" w:hAnsi="Times New Roman"/>
          <w:sz w:val="24"/>
          <w:szCs w:val="24"/>
          <w:rtl w:val="0"/>
          <w:lang w:val="pt-PT"/>
        </w:rPr>
        <w:t xml:space="preserve">dio e do alto </w:t>
      </w:r>
      <w:r>
        <w:rPr>
          <w:rFonts w:ascii="Times New Roman" w:cs="Times New Roman" w:hAnsi="Times New Roman" w:eastAsia="Times New Roman"/>
          <w:sz w:val="24"/>
          <w:szCs w:val="24"/>
        </w:rPr>
        <w:tab/>
        <w:tab/>
        <w:tab/>
        <w:tab/>
      </w:r>
      <w:r>
        <w:rPr>
          <w:rFonts w:ascii="Times New Roman" w:hAnsi="Times New Roman"/>
          <w:sz w:val="24"/>
          <w:szCs w:val="24"/>
          <w:rtl w:val="0"/>
          <w:lang w:val="pt-PT"/>
        </w:rPr>
        <w:t>Mondego no conjunto da Beira Alta (</w:t>
      </w:r>
      <w:r>
        <w:rPr>
          <w:rFonts w:ascii="Times New Roman" w:hAnsi="Times New Roman"/>
          <w:i w:val="1"/>
          <w:iCs w:val="1"/>
          <w:sz w:val="24"/>
          <w:szCs w:val="24"/>
          <w:rtl w:val="0"/>
        </w:rPr>
        <w:t>c</w:t>
      </w:r>
      <w:r>
        <w:rPr>
          <w:rFonts w:ascii="Times New Roman" w:hAnsi="Times New Roman"/>
          <w:sz w:val="24"/>
          <w:szCs w:val="24"/>
          <w:rtl w:val="0"/>
        </w:rPr>
        <w:t>. 5200</w:t>
      </w:r>
      <w:r>
        <w:rPr>
          <w:rFonts w:ascii="Times New Roman" w:hAnsi="Times New Roman" w:hint="default"/>
          <w:sz w:val="24"/>
          <w:szCs w:val="24"/>
          <w:rtl w:val="0"/>
        </w:rPr>
        <w:t>–</w:t>
      </w:r>
      <w:r>
        <w:rPr>
          <w:rFonts w:ascii="Times New Roman" w:hAnsi="Times New Roman"/>
          <w:sz w:val="24"/>
          <w:szCs w:val="24"/>
          <w:rtl w:val="0"/>
        </w:rPr>
        <w:t>3000BP)</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i w:val="1"/>
          <w:iCs w:val="1"/>
          <w:sz w:val="24"/>
          <w:szCs w:val="24"/>
          <w:rtl w:val="0"/>
          <w:lang w:val="pt-PT"/>
        </w:rPr>
        <w:t>Estudos Pr</w:t>
      </w:r>
      <w:r>
        <w:rPr>
          <w:rFonts w:ascii="Times New Roman" w:hAnsi="Times New Roman" w:hint="default"/>
          <w:i w:val="1"/>
          <w:iCs w:val="1"/>
          <w:sz w:val="24"/>
          <w:szCs w:val="24"/>
          <w:rtl w:val="0"/>
          <w:lang w:val="fr-FR"/>
        </w:rPr>
        <w:t>é</w:t>
      </w:r>
      <w:r>
        <w:rPr>
          <w:rFonts w:ascii="Times New Roman" w:hAnsi="Times New Roman"/>
          <w:i w:val="1"/>
          <w:iCs w:val="1"/>
          <w:sz w:val="24"/>
          <w:szCs w:val="24"/>
          <w:rtl w:val="0"/>
        </w:rPr>
        <w:t>-hist</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lang w:val="pt-PT"/>
        </w:rPr>
        <w:t xml:space="preserve">ricos </w:t>
      </w:r>
      <w:r>
        <w:rPr>
          <w:rFonts w:ascii="Times New Roman" w:hAnsi="Times New Roman"/>
          <w:sz w:val="24"/>
          <w:szCs w:val="24"/>
          <w:rtl w:val="0"/>
        </w:rPr>
        <w:t xml:space="preserve">2, </w:t>
      </w:r>
      <w:r>
        <w:rPr>
          <w:rFonts w:ascii="Times New Roman" w:cs="Times New Roman" w:hAnsi="Times New Roman" w:eastAsia="Times New Roman"/>
          <w:sz w:val="24"/>
          <w:szCs w:val="24"/>
          <w:rtl w:val="0"/>
          <w:lang w:val="en-US"/>
        </w:rPr>
        <w:tab/>
        <w:tab/>
        <w:tab/>
        <w:t xml:space="preserve">(1994): p. </w:t>
      </w:r>
      <w:r>
        <w:rPr>
          <w:rFonts w:ascii="Times New Roman" w:hAnsi="Times New Roman"/>
          <w:sz w:val="24"/>
          <w:szCs w:val="24"/>
          <w:rtl w:val="0"/>
        </w:rPr>
        <w:t>15</w:t>
      </w:r>
      <w:r>
        <w:rPr>
          <w:rFonts w:ascii="Times New Roman" w:hAnsi="Times New Roman" w:hint="default"/>
          <w:sz w:val="24"/>
          <w:szCs w:val="24"/>
          <w:rtl w:val="0"/>
        </w:rPr>
        <w:t>–</w:t>
      </w:r>
      <w:r>
        <w:rPr>
          <w:rFonts w:ascii="Times New Roman" w:hAnsi="Times New Roman"/>
          <w:sz w:val="24"/>
          <w:szCs w:val="24"/>
          <w:rtl w:val="0"/>
        </w:rPr>
        <w:t>29</w:t>
      </w:r>
      <w:r>
        <w:rPr>
          <w:rFonts w:ascii="Times New Roman" w:cs="Times New Roman" w:hAnsi="Times New Roman" w:eastAsia="Times New Roman"/>
          <w:sz w:val="24"/>
          <w:szCs w:val="24"/>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bidi w:val="0"/>
      <w:ind w:left="0" w:right="0" w:firstLine="0"/>
      <w:jc w:val="left"/>
      <w:rPr>
        <w:rtl w:val="0"/>
      </w:rPr>
    </w:pPr>
    <w:r>
      <w:rPr>
        <w:rFonts w:ascii="Times New Roman" w:hAnsi="Times New Roman"/>
        <w:u w:color="000000"/>
        <w:rtl w:val="0"/>
        <w:lang w:val="en-US"/>
      </w:rPr>
      <w:t>Robinson 1806481</w:t>
      <w:tab/>
      <w:tab/>
    </w:r>
    <w:r>
      <w:rPr>
        <w:rFonts w:ascii="Times New Roman" w:cs="Times New Roman" w:hAnsi="Times New Roman" w:eastAsia="Times New Roman"/>
        <w:u w:color="000000"/>
        <w:rtl w:val="0"/>
        <w:lang w:val="en-US"/>
      </w:rPr>
      <w:fldChar w:fldCharType="begin" w:fldLock="0"/>
    </w:r>
    <w:r>
      <w:rPr>
        <w:rFonts w:ascii="Times New Roman" w:cs="Times New Roman" w:hAnsi="Times New Roman" w:eastAsia="Times New Roman"/>
        <w:u w:color="000000"/>
        <w:rtl w:val="0"/>
        <w:lang w:val="en-US"/>
      </w:rPr>
      <w:instrText xml:space="preserve"> PAGE </w:instrText>
    </w:r>
    <w:r>
      <w:rPr>
        <w:rFonts w:ascii="Times New Roman" w:cs="Times New Roman" w:hAnsi="Times New Roman" w:eastAsia="Times New Roman"/>
        <w:u w:color="000000"/>
        <w:rtl w:val="0"/>
        <w:lang w:val="en-US"/>
      </w:rPr>
      <w:fldChar w:fldCharType="separate" w:fldLock="0"/>
    </w:r>
    <w:r>
      <w:rPr>
        <w:rFonts w:ascii="Times New Roman" w:cs="Times New Roman" w:hAnsi="Times New Roman" w:eastAsia="Times New Roman"/>
        <w:u w:color="000000"/>
        <w:rtl w:val="0"/>
        <w:lang w:val="en-US"/>
      </w:rPr>
      <w:t>11</w:t>
    </w:r>
    <w:r>
      <w:rPr>
        <w:rFonts w:ascii="Times New Roman" w:cs="Times New Roman" w:hAnsi="Times New Roman" w:eastAsia="Times New Roman"/>
        <w:u w:color="000000"/>
        <w:rtl w:val="0"/>
        <w:lang w:val="en-US"/>
      </w:rPr>
      <w:fldChar w:fldCharType="end" w:fldLock="0"/>
    </w:r>
    <w:r>
      <w:rPr>
        <w:rFonts w:ascii="Times New Roman" w:hAnsi="Times New Roman"/>
        <w:u w:color="000000"/>
        <w:rtl w:val="0"/>
        <w:lang w:val="en-US"/>
      </w:rPr>
      <w:t xml:space="preserve"> of </w:t>
    </w:r>
    <w:r>
      <w:rPr>
        <w:rFonts w:ascii="Times New Roman" w:cs="Times New Roman" w:hAnsi="Times New Roman" w:eastAsia="Times New Roman"/>
        <w:u w:color="000000"/>
        <w:rtl w:val="0"/>
        <w:lang w:val="en-US"/>
      </w:rPr>
      <w:fldChar w:fldCharType="begin" w:fldLock="0"/>
    </w:r>
    <w:r>
      <w:rPr>
        <w:rFonts w:ascii="Times New Roman" w:cs="Times New Roman" w:hAnsi="Times New Roman" w:eastAsia="Times New Roman"/>
        <w:u w:color="000000"/>
        <w:rtl w:val="0"/>
        <w:lang w:val="en-US"/>
      </w:rPr>
      <w:instrText xml:space="preserve"> NUMPAGES </w:instrText>
    </w:r>
    <w:r>
      <w:rPr>
        <w:rFonts w:ascii="Times New Roman" w:cs="Times New Roman" w:hAnsi="Times New Roman" w:eastAsia="Times New Roman"/>
        <w:u w:color="000000"/>
        <w:rtl w:val="0"/>
        <w:lang w:val="en-US"/>
      </w:rPr>
      <w:fldChar w:fldCharType="separate" w:fldLock="0"/>
    </w:r>
    <w:r>
      <w:rPr>
        <w:rFonts w:ascii="Times New Roman" w:cs="Times New Roman" w:hAnsi="Times New Roman" w:eastAsia="Times New Roman"/>
        <w:u w:color="000000"/>
        <w:rtl w:val="0"/>
        <w:lang w:val="en-US"/>
      </w:rPr>
      <w:t>11</w:t>
    </w:r>
    <w:r>
      <w:rPr>
        <w:rFonts w:ascii="Times New Roman" w:cs="Times New Roman" w:hAnsi="Times New Roman" w:eastAsia="Times New Roman"/>
        <w:u w:color="000000"/>
        <w:rtl w:val="0"/>
        <w:lang w:val="en-US"/>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lang w:val="en-US"/>
        </w:rPr>
        <w:t xml:space="preserve"> </w:t>
      </w:r>
      <w:r>
        <w:rPr>
          <w:rFonts w:ascii="Times New Roman" w:hAnsi="Times New Roman"/>
          <w:sz w:val="24"/>
          <w:szCs w:val="24"/>
          <w:rtl w:val="0"/>
          <w:lang w:val="en-US"/>
        </w:rPr>
        <w:t xml:space="preserve">Ruggles, Clive, </w:t>
      </w:r>
      <w:r>
        <w:rPr>
          <w:rFonts w:ascii="Times New Roman" w:hAnsi="Times New Roman" w:hint="default"/>
          <w:sz w:val="24"/>
          <w:szCs w:val="24"/>
          <w:rtl w:val="0"/>
          <w:lang w:val="en-US"/>
        </w:rPr>
        <w:t>“</w:t>
      </w:r>
      <w:r>
        <w:rPr>
          <w:rFonts w:ascii="Times New Roman" w:hAnsi="Times New Roman"/>
          <w:sz w:val="24"/>
          <w:szCs w:val="24"/>
          <w:rtl w:val="0"/>
          <w:lang w:val="en-US"/>
        </w:rPr>
        <w:t>Archaeoastronomy</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w:t>
      </w:r>
      <w:r>
        <w:rPr>
          <w:rFonts w:ascii="Times New Roman" w:hAnsi="Times New Roman"/>
          <w:sz w:val="24"/>
          <w:szCs w:val="24"/>
          <w:rtl w:val="0"/>
          <w:lang w:val="en-US"/>
        </w:rPr>
        <w:t xml:space="preserve">Renfrew, Colin and Paul Bahn (eds), </w:t>
      </w:r>
      <w:r>
        <w:rPr>
          <w:rFonts w:ascii="Times New Roman" w:hAnsi="Times New Roman"/>
          <w:i w:val="1"/>
          <w:iCs w:val="1"/>
          <w:sz w:val="24"/>
          <w:szCs w:val="24"/>
          <w:rtl w:val="0"/>
          <w:lang w:val="en-US"/>
        </w:rPr>
        <w:t>Archaeology: The Key Concepts</w:t>
      </w:r>
      <w:r>
        <w:rPr>
          <w:rFonts w:ascii="Times New Roman" w:hAnsi="Times New Roman"/>
          <w:sz w:val="24"/>
          <w:szCs w:val="24"/>
          <w:rtl w:val="0"/>
          <w:lang w:val="en-US"/>
        </w:rPr>
        <w:t xml:space="preserve">, London: Routledge, </w:t>
      </w:r>
      <w:r>
        <w:rPr>
          <w:rFonts w:ascii="Times New Roman" w:hAnsi="Times New Roman"/>
          <w:sz w:val="24"/>
          <w:szCs w:val="24"/>
          <w:rtl w:val="0"/>
          <w:lang w:val="en-US"/>
        </w:rPr>
        <w:t>(</w:t>
      </w:r>
      <w:r>
        <w:rPr>
          <w:rFonts w:ascii="Times New Roman" w:hAnsi="Times New Roman"/>
          <w:sz w:val="24"/>
          <w:szCs w:val="24"/>
          <w:rtl w:val="0"/>
          <w:lang w:val="en-US"/>
        </w:rPr>
        <w:t>2005</w:t>
      </w:r>
      <w:r>
        <w:rPr>
          <w:rFonts w:ascii="Times New Roman" w:hAnsi="Times New Roman"/>
          <w:sz w:val="24"/>
          <w:szCs w:val="24"/>
          <w:rtl w:val="0"/>
          <w:lang w:val="en-US"/>
        </w:rPr>
        <w:t>): p</w:t>
      </w:r>
      <w:r>
        <w:rPr>
          <w:rFonts w:ascii="Times New Roman" w:hAnsi="Times New Roman"/>
          <w:sz w:val="24"/>
          <w:szCs w:val="24"/>
          <w:rtl w:val="0"/>
          <w:lang w:val="en-US"/>
        </w:rPr>
        <w:t>. 11-16</w:t>
      </w:r>
      <w:r>
        <w:rPr>
          <w:rFonts w:ascii="Times New Roman" w:hAnsi="Times New Roman"/>
          <w:sz w:val="24"/>
          <w:szCs w:val="24"/>
          <w:rtl w:val="0"/>
          <w:lang w:val="en-US"/>
        </w:rPr>
        <w:t>.</w:t>
      </w:r>
    </w:p>
  </w:footnote>
  <w:footnote w:id="2">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lang w:val="en-US"/>
        </w:rPr>
        <w:t xml:space="preserve"> Hoskin, Michael, </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de-DE"/>
        </w:rPr>
        <w:t>tudies in Iberian Archaeoastronomy (5)</w:t>
      </w:r>
      <w:r>
        <w:rPr>
          <w:rFonts w:ascii="Times New Roman" w:hAnsi="Times New Roman"/>
          <w:sz w:val="24"/>
          <w:szCs w:val="24"/>
          <w:rtl w:val="0"/>
          <w:lang w:val="en-US"/>
        </w:rPr>
        <w:t>:</w:t>
      </w:r>
      <w:r>
        <w:rPr>
          <w:rFonts w:ascii="Times New Roman" w:hAnsi="Times New Roman"/>
          <w:sz w:val="24"/>
          <w:szCs w:val="24"/>
          <w:rtl w:val="0"/>
          <w:lang w:val="en-US"/>
        </w:rPr>
        <w:t xml:space="preserve"> Orientations of Megalithic Tombs of Northern and Western Iberia</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rPr>
        <w:t>Archaeoastronomy</w:t>
      </w:r>
      <w:r>
        <w:rPr>
          <w:rFonts w:ascii="Times New Roman" w:hAnsi="Times New Roman"/>
          <w:sz w:val="24"/>
          <w:szCs w:val="24"/>
          <w:rtl w:val="0"/>
        </w:rPr>
        <w:t xml:space="preserve"> 23 (JHA xxix)</w:t>
      </w:r>
      <w:r>
        <w:rPr>
          <w:rFonts w:ascii="Times New Roman" w:hAnsi="Times New Roman"/>
          <w:sz w:val="24"/>
          <w:szCs w:val="24"/>
          <w:rtl w:val="0"/>
          <w:lang w:val="en-US"/>
        </w:rPr>
        <w:t>, (1998): p. S39-S40.</w:t>
      </w:r>
    </w:p>
  </w:footnote>
  <w:footnote w:id="3">
    <w:p>
      <w:pPr>
        <w:pStyle w:val="Footnote"/>
        <w:bidi w:val="0"/>
      </w:pPr>
      <w:r>
        <w:rPr>
          <w:vertAlign w:val="superscript"/>
        </w:rPr>
        <w:footnoteRef/>
      </w:r>
      <w:r>
        <w:rPr>
          <w:rFonts w:cs="Arial Unicode MS" w:eastAsia="Arial Unicode MS"/>
          <w:rtl w:val="0"/>
          <w:lang w:val="en-US"/>
        </w:rPr>
        <w:t xml:space="preserve"> </w:t>
      </w:r>
      <w:r>
        <w:rPr>
          <w:rFonts w:ascii="Times New Roman" w:hAnsi="Times New Roman"/>
          <w:sz w:val="24"/>
          <w:szCs w:val="24"/>
          <w:rtl w:val="0"/>
          <w:lang w:val="en-US"/>
        </w:rPr>
        <w:t>Hoskin, p. S41</w:t>
      </w:r>
    </w:p>
  </w:footnote>
  <w:footnote w:id="4">
    <w:p>
      <w:pPr>
        <w:pStyle w:val="Body"/>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 xml:space="preserve">Silva, Fabio,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View from Within: a </w:t>
      </w:r>
      <w:r>
        <w:rPr>
          <w:rFonts w:ascii="Times New Roman" w:hAnsi="Times New Roman" w:hint="default"/>
          <w:sz w:val="24"/>
          <w:szCs w:val="24"/>
          <w:rtl w:val="0"/>
        </w:rPr>
        <w:t>‘</w:t>
      </w:r>
      <w:r>
        <w:rPr>
          <w:rFonts w:ascii="Times New Roman" w:hAnsi="Times New Roman"/>
          <w:sz w:val="24"/>
          <w:szCs w:val="24"/>
          <w:rtl w:val="0"/>
          <w:lang w:val="en-US"/>
        </w:rPr>
        <w:t>time-space-action</w:t>
      </w:r>
      <w:r>
        <w:rPr>
          <w:rFonts w:ascii="Times New Roman" w:hAnsi="Times New Roman" w:hint="default"/>
          <w:sz w:val="24"/>
          <w:szCs w:val="24"/>
          <w:rtl w:val="0"/>
        </w:rPr>
        <w:t xml:space="preserve">’ </w:t>
      </w:r>
      <w:r>
        <w:rPr>
          <w:rFonts w:ascii="Times New Roman" w:hAnsi="Times New Roman"/>
          <w:sz w:val="24"/>
          <w:szCs w:val="24"/>
          <w:rtl w:val="0"/>
          <w:lang w:val="en-US"/>
        </w:rPr>
        <w:t xml:space="preserve">approach to Megalithism in Central </w:t>
      </w:r>
      <w:r>
        <w:rPr>
          <w:rFonts w:ascii="Times New Roman" w:cs="Times New Roman" w:hAnsi="Times New Roman" w:eastAsia="Times New Roman"/>
          <w:sz w:val="24"/>
          <w:szCs w:val="24"/>
        </w:rPr>
        <w:tab/>
        <w:tab/>
      </w:r>
      <w:r>
        <w:rPr>
          <w:rFonts w:ascii="Times New Roman" w:hAnsi="Times New Roman"/>
          <w:sz w:val="24"/>
          <w:szCs w:val="24"/>
          <w:rtl w:val="0"/>
          <w:lang w:val="pt-PT"/>
        </w:rPr>
        <w:t>Portugal</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i</w:t>
      </w:r>
      <w:r>
        <w:rPr>
          <w:rFonts w:ascii="Times New Roman" w:hAnsi="Times New Roman"/>
          <w:sz w:val="24"/>
          <w:szCs w:val="24"/>
          <w:rtl w:val="0"/>
          <w:lang w:val="it-IT"/>
        </w:rPr>
        <w:t>n Fabio Silva and Nick Campion (eds)</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 xml:space="preserve">Skyscapes: The Role and Importance </w:t>
      </w:r>
      <w:r>
        <w:rPr>
          <w:rFonts w:ascii="Times New Roman" w:cs="Times New Roman" w:hAnsi="Times New Roman" w:eastAsia="Times New Roman"/>
          <w:i w:val="1"/>
          <w:iCs w:val="1"/>
          <w:sz w:val="24"/>
          <w:szCs w:val="24"/>
        </w:rPr>
        <w:tab/>
        <w:tab/>
        <w:tab/>
      </w:r>
      <w:r>
        <w:rPr>
          <w:rFonts w:ascii="Times New Roman" w:hAnsi="Times New Roman"/>
          <w:i w:val="1"/>
          <w:iCs w:val="1"/>
          <w:sz w:val="24"/>
          <w:szCs w:val="24"/>
          <w:rtl w:val="0"/>
          <w:lang w:val="en-US"/>
        </w:rPr>
        <w:t>of the Sky in Archaeology</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Oxford: Oxbow Books</w:t>
      </w:r>
      <w:r>
        <w:rPr>
          <w:rFonts w:ascii="Times New Roman" w:hAnsi="Times New Roman"/>
          <w:sz w:val="24"/>
          <w:szCs w:val="24"/>
          <w:rtl w:val="0"/>
          <w:lang w:val="en-US"/>
        </w:rPr>
        <w:t>, (2015): p.120-121.</w:t>
      </w:r>
    </w:p>
  </w:footnote>
  <w:footnote w:id="5">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Silva, p. 121; Ruggles (2005), p. 11-16</w:t>
      </w:r>
    </w:p>
  </w:footnote>
  <w:footnote w:id="6">
    <w:p>
      <w:pPr>
        <w:pStyle w:val="Footnote"/>
        <w:bidi w:val="0"/>
        <w:rPr>
          <w:rFonts w:ascii="Times New Roman" w:cs="Times New Roman" w:hAnsi="Times New Roman" w:eastAsia="Times New Roman"/>
          <w:sz w:val="24"/>
          <w:szCs w:val="24"/>
        </w:rPr>
      </w:pPr>
      <w:r>
        <w:rPr>
          <w:vertAlign w:val="superscript"/>
        </w:rPr>
        <w:footnoteRef/>
      </w:r>
      <w:r>
        <w:rPr>
          <w:rFonts w:ascii="Times New Roman" w:hAnsi="Times New Roman"/>
          <w:sz w:val="24"/>
          <w:szCs w:val="24"/>
          <w:rtl w:val="0"/>
          <w:lang w:val="pt-PT"/>
        </w:rPr>
        <w:t xml:space="preserve"> Cruz, D</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pt-PT"/>
        </w:rPr>
        <w:t>Cronologia dos monumentos com tumulus do Noroeste peninsular e da Beira Alta</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tab/>
        <w:tab/>
        <w:tab/>
      </w:r>
      <w:r>
        <w:rPr>
          <w:rFonts w:ascii="Times New Roman" w:hAnsi="Times New Roman"/>
          <w:i w:val="1"/>
          <w:iCs w:val="1"/>
          <w:sz w:val="24"/>
          <w:szCs w:val="24"/>
          <w:rtl w:val="0"/>
          <w:lang w:val="pt-PT"/>
        </w:rPr>
        <w:t>Estudos Pr</w:t>
      </w:r>
      <w:r>
        <w:rPr>
          <w:rFonts w:ascii="Times New Roman" w:hAnsi="Times New Roman" w:hint="default"/>
          <w:i w:val="1"/>
          <w:iCs w:val="1"/>
          <w:sz w:val="24"/>
          <w:szCs w:val="24"/>
          <w:rtl w:val="0"/>
          <w:lang w:val="fr-FR"/>
        </w:rPr>
        <w:t>é</w:t>
      </w:r>
      <w:r>
        <w:rPr>
          <w:rFonts w:ascii="Times New Roman" w:hAnsi="Times New Roman"/>
          <w:i w:val="1"/>
          <w:iCs w:val="1"/>
          <w:sz w:val="24"/>
          <w:szCs w:val="24"/>
          <w:rtl w:val="0"/>
        </w:rPr>
        <w:t>-Hist</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lang w:val="pt-PT"/>
        </w:rPr>
        <w:t xml:space="preserve">ricos </w:t>
      </w:r>
      <w:r>
        <w:rPr>
          <w:rFonts w:ascii="Times New Roman" w:hAnsi="Times New Roman"/>
          <w:sz w:val="24"/>
          <w:szCs w:val="24"/>
          <w:rtl w:val="0"/>
        </w:rPr>
        <w:t xml:space="preserve">3, </w:t>
      </w:r>
      <w:r>
        <w:rPr>
          <w:rFonts w:ascii="Times New Roman" w:hAnsi="Times New Roman"/>
          <w:sz w:val="24"/>
          <w:szCs w:val="24"/>
          <w:rtl w:val="0"/>
          <w:lang w:val="en-US"/>
        </w:rPr>
        <w:t xml:space="preserve">(1995): p. </w:t>
      </w:r>
      <w:r>
        <w:rPr>
          <w:rFonts w:ascii="Times New Roman" w:hAnsi="Times New Roman"/>
          <w:sz w:val="24"/>
          <w:szCs w:val="24"/>
          <w:rtl w:val="0"/>
        </w:rPr>
        <w:t>81</w:t>
      </w:r>
      <w:r>
        <w:rPr>
          <w:rFonts w:ascii="Times New Roman" w:hAnsi="Times New Roman" w:hint="default"/>
          <w:sz w:val="24"/>
          <w:szCs w:val="24"/>
          <w:rtl w:val="0"/>
        </w:rPr>
        <w:t>–</w:t>
      </w:r>
      <w:r>
        <w:rPr>
          <w:rFonts w:ascii="Times New Roman" w:hAnsi="Times New Roman"/>
          <w:sz w:val="24"/>
          <w:szCs w:val="24"/>
          <w:rtl w:val="0"/>
        </w:rPr>
        <w:t>120.</w:t>
      </w:r>
    </w:p>
    <w:p>
      <w:pPr>
        <w:pStyle w:val="Footnote"/>
        <w:bidi w:val="0"/>
        <w:rPr>
          <w:rFonts w:ascii="Times New Roman" w:cs="Times New Roman" w:hAnsi="Times New Roman" w:eastAsia="Times New Roman"/>
          <w:sz w:val="24"/>
          <w:szCs w:val="24"/>
        </w:rPr>
      </w:pPr>
    </w:p>
    <w:p>
      <w:pPr>
        <w:pStyle w:val="Footnote"/>
        <w:bidi w:val="0"/>
        <w:rPr>
          <w:rFonts w:ascii="Times New Roman" w:cs="Times New Roman" w:hAnsi="Times New Roman" w:eastAsia="Times New Roman"/>
          <w:sz w:val="24"/>
          <w:szCs w:val="24"/>
        </w:rPr>
      </w:pPr>
      <w:r>
        <w:rPr>
          <w:rFonts w:ascii="Times New Roman" w:hAnsi="Times New Roman"/>
          <w:sz w:val="24"/>
          <w:szCs w:val="24"/>
          <w:rtl w:val="0"/>
          <w:lang w:val="de-DE"/>
        </w:rPr>
        <w:t>Hayden, B. and Villeneuve, S.</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Astronomy in the Upper Palaeolithic?</w:t>
      </w:r>
      <w:r>
        <w:rPr>
          <w:rFonts w:ascii="Times New Roman" w:hAnsi="Times New Roman"/>
          <w:sz w:val="24"/>
          <w:szCs w:val="24"/>
          <w:rtl w:val="0"/>
          <w:lang w:val="en-US"/>
        </w:rPr>
        <w:t>,</w:t>
      </w:r>
      <w:r>
        <w:rPr>
          <w:rFonts w:ascii="Times New Roman" w:hAnsi="Times New Roman" w:hint="default"/>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 xml:space="preserve">Cambridge </w:t>
      </w:r>
      <w:r>
        <w:rPr>
          <w:rFonts w:ascii="Times New Roman" w:cs="Times New Roman" w:hAnsi="Times New Roman" w:eastAsia="Times New Roman"/>
          <w:i w:val="1"/>
          <w:iCs w:val="1"/>
          <w:sz w:val="24"/>
          <w:szCs w:val="24"/>
        </w:rPr>
        <w:tab/>
        <w:tab/>
        <w:tab/>
        <w:tab/>
      </w:r>
      <w:r>
        <w:rPr>
          <w:rFonts w:ascii="Times New Roman" w:hAnsi="Times New Roman"/>
          <w:i w:val="1"/>
          <w:iCs w:val="1"/>
          <w:sz w:val="24"/>
          <w:szCs w:val="24"/>
          <w:rtl w:val="0"/>
          <w:lang w:val="en-US"/>
        </w:rPr>
        <w:t xml:space="preserve">Archaeological Journal </w:t>
      </w:r>
      <w:r>
        <w:rPr>
          <w:rFonts w:ascii="Times New Roman" w:hAnsi="Times New Roman"/>
          <w:sz w:val="24"/>
          <w:szCs w:val="24"/>
          <w:rtl w:val="0"/>
        </w:rPr>
        <w:t xml:space="preserve">21, </w:t>
      </w:r>
      <w:r>
        <w:rPr>
          <w:rFonts w:ascii="Times New Roman" w:hAnsi="Times New Roman"/>
          <w:sz w:val="24"/>
          <w:szCs w:val="24"/>
          <w:rtl w:val="0"/>
          <w:lang w:val="en-US"/>
        </w:rPr>
        <w:t xml:space="preserve">(2011): p. </w:t>
      </w:r>
      <w:r>
        <w:rPr>
          <w:rFonts w:ascii="Times New Roman" w:hAnsi="Times New Roman"/>
          <w:sz w:val="24"/>
          <w:szCs w:val="24"/>
          <w:rtl w:val="0"/>
        </w:rPr>
        <w:t>331</w:t>
      </w:r>
      <w:r>
        <w:rPr>
          <w:rFonts w:ascii="Times New Roman" w:hAnsi="Times New Roman" w:hint="default"/>
          <w:sz w:val="24"/>
          <w:szCs w:val="24"/>
          <w:rtl w:val="0"/>
        </w:rPr>
        <w:t>–</w:t>
      </w:r>
      <w:r>
        <w:rPr>
          <w:rFonts w:ascii="Times New Roman" w:hAnsi="Times New Roman"/>
          <w:sz w:val="24"/>
          <w:szCs w:val="24"/>
          <w:rtl w:val="0"/>
        </w:rPr>
        <w:t>55.</w:t>
      </w:r>
    </w:p>
    <w:p>
      <w:pPr>
        <w:pStyle w:val="Footnote"/>
        <w:rPr>
          <w:rFonts w:ascii="Times New Roman" w:cs="Times New Roman" w:hAnsi="Times New Roman" w:eastAsia="Times New Roman"/>
          <w:sz w:val="24"/>
          <w:szCs w:val="24"/>
        </w:rPr>
      </w:pPr>
    </w:p>
    <w:p>
      <w:pPr>
        <w:pStyle w:val="Footnote"/>
      </w:pPr>
      <w:r>
        <w:rPr>
          <w:rFonts w:ascii="Times New Roman" w:hAnsi="Times New Roman"/>
          <w:sz w:val="24"/>
          <w:szCs w:val="24"/>
          <w:rtl w:val="0"/>
          <w:lang w:val="fr-FR"/>
        </w:rPr>
        <w:t>Senna-Martinez, J. C.</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pt-PT"/>
        </w:rPr>
        <w:t>Megalitismo, habitat e sociedades: a bacia do m</w:t>
      </w:r>
      <w:r>
        <w:rPr>
          <w:rFonts w:ascii="Times New Roman" w:hAnsi="Times New Roman" w:hint="default"/>
          <w:sz w:val="24"/>
          <w:szCs w:val="24"/>
          <w:rtl w:val="0"/>
          <w:lang w:val="fr-FR"/>
        </w:rPr>
        <w:t>é</w:t>
      </w:r>
      <w:r>
        <w:rPr>
          <w:rFonts w:ascii="Times New Roman" w:hAnsi="Times New Roman"/>
          <w:sz w:val="24"/>
          <w:szCs w:val="24"/>
          <w:rtl w:val="0"/>
          <w:lang w:val="pt-PT"/>
        </w:rPr>
        <w:t xml:space="preserve">dio e do alto Mondego </w:t>
      </w:r>
      <w:r>
        <w:rPr>
          <w:rFonts w:ascii="Times New Roman" w:cs="Times New Roman" w:hAnsi="Times New Roman" w:eastAsia="Times New Roman"/>
          <w:sz w:val="24"/>
          <w:szCs w:val="24"/>
        </w:rPr>
        <w:tab/>
        <w:tab/>
        <w:tab/>
      </w:r>
      <w:r>
        <w:rPr>
          <w:rFonts w:ascii="Times New Roman" w:hAnsi="Times New Roman"/>
          <w:sz w:val="24"/>
          <w:szCs w:val="24"/>
          <w:rtl w:val="0"/>
          <w:lang w:val="pt-PT"/>
        </w:rPr>
        <w:t>no conjunto da Beira Alta (</w:t>
      </w:r>
      <w:r>
        <w:rPr>
          <w:rFonts w:ascii="Times New Roman" w:hAnsi="Times New Roman"/>
          <w:i w:val="1"/>
          <w:iCs w:val="1"/>
          <w:sz w:val="24"/>
          <w:szCs w:val="24"/>
          <w:rtl w:val="0"/>
        </w:rPr>
        <w:t>c</w:t>
      </w:r>
      <w:r>
        <w:rPr>
          <w:rFonts w:ascii="Times New Roman" w:hAnsi="Times New Roman"/>
          <w:sz w:val="24"/>
          <w:szCs w:val="24"/>
          <w:rtl w:val="0"/>
        </w:rPr>
        <w:t>. 5200</w:t>
      </w:r>
      <w:r>
        <w:rPr>
          <w:rFonts w:ascii="Times New Roman" w:hAnsi="Times New Roman" w:hint="default"/>
          <w:sz w:val="24"/>
          <w:szCs w:val="24"/>
          <w:rtl w:val="0"/>
        </w:rPr>
        <w:t>–</w:t>
      </w:r>
      <w:r>
        <w:rPr>
          <w:rFonts w:ascii="Times New Roman" w:hAnsi="Times New Roman"/>
          <w:sz w:val="24"/>
          <w:szCs w:val="24"/>
          <w:rtl w:val="0"/>
        </w:rPr>
        <w:t>3000BP)</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i w:val="1"/>
          <w:iCs w:val="1"/>
          <w:sz w:val="24"/>
          <w:szCs w:val="24"/>
          <w:rtl w:val="0"/>
          <w:lang w:val="pt-PT"/>
        </w:rPr>
        <w:t>Estudos Pr</w:t>
      </w:r>
      <w:r>
        <w:rPr>
          <w:rFonts w:ascii="Times New Roman" w:hAnsi="Times New Roman" w:hint="default"/>
          <w:i w:val="1"/>
          <w:iCs w:val="1"/>
          <w:sz w:val="24"/>
          <w:szCs w:val="24"/>
          <w:rtl w:val="0"/>
          <w:lang w:val="fr-FR"/>
        </w:rPr>
        <w:t>é</w:t>
      </w:r>
      <w:r>
        <w:rPr>
          <w:rFonts w:ascii="Times New Roman" w:hAnsi="Times New Roman"/>
          <w:i w:val="1"/>
          <w:iCs w:val="1"/>
          <w:sz w:val="24"/>
          <w:szCs w:val="24"/>
          <w:rtl w:val="0"/>
        </w:rPr>
        <w:t>-hist</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lang w:val="pt-PT"/>
        </w:rPr>
        <w:t xml:space="preserve">ricos </w:t>
      </w:r>
      <w:r>
        <w:rPr>
          <w:rFonts w:ascii="Times New Roman" w:hAnsi="Times New Roman"/>
          <w:sz w:val="24"/>
          <w:szCs w:val="24"/>
          <w:rtl w:val="0"/>
        </w:rPr>
        <w:t xml:space="preserve">2, </w:t>
      </w:r>
      <w:r>
        <w:rPr>
          <w:rFonts w:ascii="Times New Roman" w:hAnsi="Times New Roman"/>
          <w:sz w:val="24"/>
          <w:szCs w:val="24"/>
          <w:rtl w:val="0"/>
          <w:lang w:val="en-US"/>
        </w:rPr>
        <w:t xml:space="preserve">(1994): p. </w:t>
      </w:r>
      <w:r>
        <w:rPr>
          <w:rFonts w:ascii="Times New Roman" w:hAnsi="Times New Roman"/>
          <w:sz w:val="24"/>
          <w:szCs w:val="24"/>
          <w:rtl w:val="0"/>
        </w:rPr>
        <w:t>15</w:t>
      </w:r>
      <w:r>
        <w:rPr>
          <w:rFonts w:ascii="Times New Roman" w:hAnsi="Times New Roman" w:hint="default"/>
          <w:sz w:val="24"/>
          <w:szCs w:val="24"/>
          <w:rtl w:val="0"/>
        </w:rPr>
        <w:t>–</w:t>
      </w:r>
      <w:r>
        <w:rPr>
          <w:rFonts w:ascii="Times New Roman" w:hAnsi="Times New Roman"/>
          <w:sz w:val="24"/>
          <w:szCs w:val="24"/>
          <w:rtl w:val="0"/>
        </w:rPr>
        <w:t>29</w:t>
      </w:r>
      <w:r>
        <w:rPr>
          <w:rFonts w:ascii="Times New Roman" w:hAnsi="Times New Roman"/>
          <w:sz w:val="24"/>
          <w:szCs w:val="24"/>
          <w:rtl w:val="0"/>
          <w:lang w:val="en-US"/>
        </w:rPr>
        <w:t>.</w:t>
      </w:r>
    </w:p>
  </w:footnote>
  <w:footnote w:id="7">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Silva, p. 133-135</w:t>
      </w:r>
    </w:p>
  </w:footnote>
  <w:footnote w:id="8">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Silva, p. 136</w:t>
      </w:r>
    </w:p>
  </w:footnote>
  <w:footnote w:id="9">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Hoskin, p. S86-S88</w:t>
      </w:r>
    </w:p>
  </w:footnote>
  <w:footnote w:id="10">
    <w:p>
      <w:pPr>
        <w:pStyle w:val="Footnote"/>
        <w:bidi w:val="0"/>
      </w:pPr>
      <w:r>
        <w:rPr>
          <w:vertAlign w:val="superscript"/>
        </w:rPr>
        <w:footnoteRef/>
      </w:r>
      <w:r>
        <w:rPr>
          <w:rFonts w:cs="Arial Unicode MS" w:eastAsia="Arial Unicode MS"/>
          <w:rtl w:val="0"/>
        </w:rPr>
        <w:t xml:space="preserve"> </w:t>
      </w:r>
      <w:r>
        <w:rPr>
          <w:rFonts w:ascii="Times New Roman" w:hAnsi="Times New Roman"/>
          <w:sz w:val="24"/>
          <w:szCs w:val="24"/>
          <w:rtl w:val="0"/>
          <w:lang w:val="en-US"/>
        </w:rPr>
        <w:t>Hoskin, p. S39</w:t>
      </w:r>
    </w:p>
  </w:footnote>
  <w:footnote w:id="11">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color w:val="333333"/>
          <w:sz w:val="24"/>
          <w:szCs w:val="24"/>
          <w:u w:color="333333"/>
          <w:rtl w:val="0"/>
        </w:rPr>
        <w:t xml:space="preserve">Bryman, Alan, </w:t>
      </w:r>
      <w:r>
        <w:rPr>
          <w:rFonts w:ascii="Times New Roman" w:hAnsi="Times New Roman"/>
          <w:i w:val="1"/>
          <w:iCs w:val="1"/>
          <w:color w:val="333333"/>
          <w:sz w:val="24"/>
          <w:szCs w:val="24"/>
          <w:u w:color="333333"/>
          <w:rtl w:val="0"/>
          <w:lang w:val="en-US"/>
        </w:rPr>
        <w:t>Quantity and Quality in Social Research</w:t>
      </w:r>
      <w:r>
        <w:rPr>
          <w:rFonts w:ascii="Times New Roman" w:hAnsi="Times New Roman"/>
          <w:i w:val="1"/>
          <w:iCs w:val="1"/>
          <w:color w:val="333333"/>
          <w:sz w:val="24"/>
          <w:szCs w:val="24"/>
          <w:u w:color="333333"/>
          <w:rtl w:val="0"/>
          <w:lang w:val="en-US"/>
        </w:rPr>
        <w:t xml:space="preserve">, </w:t>
      </w:r>
      <w:r>
        <w:rPr>
          <w:rFonts w:ascii="Times New Roman" w:hAnsi="Times New Roman"/>
          <w:color w:val="333333"/>
          <w:sz w:val="24"/>
          <w:szCs w:val="24"/>
          <w:u w:color="333333"/>
          <w:rtl w:val="0"/>
          <w:lang w:val="en-US"/>
        </w:rPr>
        <w:t xml:space="preserve">London: Routledge, </w:t>
      </w:r>
      <w:r>
        <w:rPr>
          <w:rFonts w:ascii="Times New Roman" w:hAnsi="Times New Roman"/>
          <w:color w:val="333333"/>
          <w:sz w:val="24"/>
          <w:szCs w:val="24"/>
          <w:u w:color="333333"/>
          <w:rtl w:val="0"/>
          <w:lang w:val="en-US"/>
        </w:rPr>
        <w:t>(</w:t>
      </w:r>
      <w:r>
        <w:rPr>
          <w:rFonts w:ascii="Times New Roman" w:hAnsi="Times New Roman"/>
          <w:color w:val="333333"/>
          <w:sz w:val="24"/>
          <w:szCs w:val="24"/>
          <w:u w:color="333333"/>
          <w:rtl w:val="0"/>
        </w:rPr>
        <w:t>2001</w:t>
      </w:r>
      <w:r>
        <w:rPr>
          <w:rFonts w:ascii="Times New Roman" w:hAnsi="Times New Roman"/>
          <w:color w:val="333333"/>
          <w:sz w:val="24"/>
          <w:szCs w:val="24"/>
          <w:u w:color="333333"/>
          <w:rtl w:val="0"/>
          <w:lang w:val="en-US"/>
        </w:rPr>
        <w:t xml:space="preserve">): Chapter </w:t>
        <w:tab/>
        <w:tab/>
        <w:tab/>
        <w:t xml:space="preserve">5, p. 99-100. </w:t>
      </w:r>
    </w:p>
  </w:footnote>
  <w:footnote w:id="12">
    <w:p>
      <w:pPr>
        <w:pStyle w:val="Footnote"/>
        <w:bidi w:val="0"/>
      </w:pPr>
      <w:r>
        <w:rPr>
          <w:vertAlign w:val="superscript"/>
        </w:rPr>
        <w:footnoteRef/>
      </w:r>
      <w:r>
        <w:rPr>
          <w:rFonts w:cs="Arial Unicode MS" w:eastAsia="Arial Unicode MS"/>
          <w:rtl w:val="0"/>
        </w:rPr>
        <w:t xml:space="preserve"> </w:t>
      </w:r>
      <w:r>
        <w:rPr>
          <w:rFonts w:ascii="Times New Roman" w:hAnsi="Times New Roman"/>
          <w:sz w:val="24"/>
          <w:szCs w:val="24"/>
          <w:rtl w:val="0"/>
          <w:lang w:val="en-US"/>
        </w:rPr>
        <w:t xml:space="preserve">Ruggles, Clive, </w:t>
      </w:r>
      <w:r>
        <w:rPr>
          <w:rFonts w:ascii="Times New Roman" w:hAnsi="Times New Roman" w:hint="default"/>
          <w:sz w:val="24"/>
          <w:szCs w:val="24"/>
          <w:rtl w:val="0"/>
          <w:lang w:val="en-US"/>
        </w:rPr>
        <w:t>‘</w:t>
      </w:r>
      <w:r>
        <w:rPr>
          <w:rFonts w:ascii="Times New Roman" w:hAnsi="Times New Roman"/>
          <w:sz w:val="24"/>
          <w:szCs w:val="24"/>
          <w:rtl w:val="0"/>
          <w:lang w:val="en-US"/>
        </w:rPr>
        <w:t xml:space="preserve">Pushing back the frontiers or still running around the same circles? </w:t>
      </w:r>
      <w:r>
        <w:rPr>
          <w:rFonts w:ascii="Times New Roman" w:cs="Times New Roman" w:hAnsi="Times New Roman" w:eastAsia="Times New Roman"/>
          <w:sz w:val="24"/>
          <w:szCs w:val="24"/>
        </w:rPr>
        <w:tab/>
      </w:r>
      <w:r>
        <w:rPr>
          <w:rFonts w:ascii="Times New Roman" w:hAnsi="Times New Roman" w:hint="default"/>
          <w:sz w:val="24"/>
          <w:szCs w:val="24"/>
          <w:rtl w:val="0"/>
        </w:rPr>
        <w:t>‘</w:t>
      </w:r>
      <w:r>
        <w:rPr>
          <w:rFonts w:ascii="Times New Roman" w:hAnsi="Times New Roman"/>
          <w:sz w:val="24"/>
          <w:szCs w:val="24"/>
          <w:rtl w:val="0"/>
        </w:rPr>
        <w:t>Interpretative archaeoastronomy</w:t>
      </w:r>
      <w:r>
        <w:rPr>
          <w:rFonts w:ascii="Times New Roman" w:hAnsi="Times New Roman" w:hint="default"/>
          <w:sz w:val="24"/>
          <w:szCs w:val="24"/>
          <w:rtl w:val="0"/>
        </w:rPr>
        <w:t xml:space="preserve">’ </w:t>
      </w:r>
      <w:r>
        <w:rPr>
          <w:rFonts w:ascii="Times New Roman" w:hAnsi="Times New Roman"/>
          <w:sz w:val="24"/>
          <w:szCs w:val="24"/>
          <w:rtl w:val="0"/>
          <w:lang w:val="en-US"/>
        </w:rPr>
        <w:t>thirty years on,</w:t>
      </w:r>
      <w:r>
        <w:rPr>
          <w:rFonts w:ascii="Times New Roman" w:hAnsi="Times New Roman" w:hint="default"/>
          <w:sz w:val="24"/>
          <w:szCs w:val="24"/>
          <w:rtl w:val="0"/>
          <w:lang w:val="en-US"/>
        </w:rPr>
        <w:t>’</w:t>
      </w:r>
      <w:r>
        <w:rPr>
          <w:rFonts w:ascii="Times New Roman" w:hAnsi="Times New Roman"/>
          <w:sz w:val="24"/>
          <w:szCs w:val="24"/>
          <w:rtl w:val="0"/>
          <w:lang w:val="en-US"/>
        </w:rPr>
        <w:t xml:space="preserve"> Proceedings IAU Symposium No. </w:t>
      </w:r>
      <w:r>
        <w:rPr>
          <w:rFonts w:ascii="Times New Roman" w:cs="Times New Roman" w:hAnsi="Times New Roman" w:eastAsia="Times New Roman"/>
          <w:sz w:val="24"/>
          <w:szCs w:val="24"/>
        </w:rPr>
        <w:tab/>
        <w:tab/>
        <w:tab/>
      </w:r>
      <w:r>
        <w:rPr>
          <w:rFonts w:ascii="Times New Roman" w:hAnsi="Times New Roman"/>
          <w:sz w:val="24"/>
          <w:szCs w:val="24"/>
          <w:rtl w:val="0"/>
        </w:rPr>
        <w:t xml:space="preserve">278, </w:t>
      </w:r>
      <w:r>
        <w:rPr>
          <w:rFonts w:ascii="Times New Roman" w:hAnsi="Times New Roman"/>
          <w:sz w:val="24"/>
          <w:szCs w:val="24"/>
          <w:rtl w:val="0"/>
          <w:lang w:val="en-US"/>
        </w:rPr>
        <w:t>(</w:t>
      </w:r>
      <w:r>
        <w:rPr>
          <w:rFonts w:ascii="Times New Roman" w:hAnsi="Times New Roman"/>
          <w:sz w:val="24"/>
          <w:szCs w:val="24"/>
          <w:rtl w:val="0"/>
        </w:rPr>
        <w:t>2011</w:t>
      </w:r>
      <w:r>
        <w:rPr>
          <w:rFonts w:ascii="Times New Roman" w:hAnsi="Times New Roman"/>
          <w:sz w:val="24"/>
          <w:szCs w:val="24"/>
          <w:rtl w:val="0"/>
          <w:lang w:val="en-US"/>
        </w:rPr>
        <w:t>):</w:t>
      </w:r>
      <w:r>
        <w:rPr>
          <w:rFonts w:ascii="Times New Roman" w:hAnsi="Times New Roman"/>
          <w:sz w:val="24"/>
          <w:szCs w:val="24"/>
          <w:rtl w:val="0"/>
        </w:rPr>
        <w:t xml:space="preserve"> p</w:t>
      </w:r>
      <w:r>
        <w:rPr>
          <w:rFonts w:ascii="Times New Roman" w:hAnsi="Times New Roman"/>
          <w:sz w:val="24"/>
          <w:szCs w:val="24"/>
          <w:rtl w:val="0"/>
          <w:lang w:val="en-US"/>
        </w:rPr>
        <w:t>. 9-10.</w:t>
      </w:r>
    </w:p>
  </w:footnote>
  <w:footnote w:id="13">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 xml:space="preserve">Darvill, Timothy,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historic environment, historic landscapes, and space-time-action </w:t>
      </w:r>
      <w:r>
        <w:rPr>
          <w:rFonts w:ascii="Times New Roman" w:cs="Times New Roman" w:hAnsi="Times New Roman" w:eastAsia="Times New Roman"/>
          <w:sz w:val="24"/>
          <w:szCs w:val="24"/>
        </w:rPr>
        <w:tab/>
        <w:tab/>
        <w:tab/>
      </w:r>
      <w:r>
        <w:rPr>
          <w:rFonts w:ascii="Times New Roman" w:hAnsi="Times New Roman"/>
          <w:sz w:val="24"/>
          <w:szCs w:val="24"/>
          <w:rtl w:val="0"/>
          <w:lang w:val="en-US"/>
        </w:rPr>
        <w:t>models in landscape archaeology</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Robert Layton and Peter Ucko (eds), </w:t>
      </w:r>
      <w:r>
        <w:rPr>
          <w:rFonts w:ascii="Times New Roman" w:hAnsi="Times New Roman"/>
          <w:i w:val="1"/>
          <w:iCs w:val="1"/>
          <w:sz w:val="24"/>
          <w:szCs w:val="24"/>
          <w:rtl w:val="0"/>
          <w:lang w:val="en-US"/>
        </w:rPr>
        <w:t xml:space="preserve">The </w:t>
        <w:tab/>
        <w:tab/>
        <w:tab/>
        <w:tab/>
        <w:t>Archaeology and Anthropology of Landscape: Shaping your Landscape,</w:t>
      </w:r>
      <w:r>
        <w:rPr>
          <w:rFonts w:ascii="Times New Roman" w:hAnsi="Times New Roman"/>
          <w:sz w:val="24"/>
          <w:szCs w:val="24"/>
          <w:rtl w:val="0"/>
          <w:lang w:val="en-US"/>
        </w:rPr>
        <w:t xml:space="preserve"> London: </w:t>
        <w:tab/>
        <w:tab/>
        <w:tab/>
        <w:tab/>
        <w:t>Routledge, (2003): p. 111</w:t>
      </w:r>
    </w:p>
  </w:footnote>
  <w:footnote w:id="14">
    <w:p>
      <w:pPr>
        <w:pStyle w:val="Footnote"/>
        <w:bidi w:val="0"/>
      </w:pPr>
      <w:r>
        <w:rPr>
          <w:vertAlign w:val="superscript"/>
        </w:rPr>
        <w:footnoteRef/>
      </w:r>
      <w:r>
        <w:rPr>
          <w:rFonts w:cs="Arial Unicode MS" w:eastAsia="Arial Unicode MS"/>
          <w:rtl w:val="0"/>
        </w:rPr>
        <w:t xml:space="preserve"> </w:t>
      </w:r>
      <w:r>
        <w:rPr>
          <w:rFonts w:ascii="Times New Roman" w:hAnsi="Times New Roman"/>
          <w:sz w:val="24"/>
          <w:szCs w:val="24"/>
          <w:rtl w:val="0"/>
          <w:lang w:val="pt-PT"/>
        </w:rPr>
        <w:t xml:space="preserve">Silva, </w:t>
      </w:r>
      <w:r>
        <w:rPr>
          <w:rFonts w:ascii="Times New Roman" w:hAnsi="Times New Roman"/>
          <w:sz w:val="24"/>
          <w:szCs w:val="24"/>
          <w:rtl w:val="0"/>
          <w:lang w:val="en-US"/>
        </w:rPr>
        <w:t xml:space="preserve">p. </w:t>
      </w:r>
      <w:r>
        <w:rPr>
          <w:rFonts w:ascii="Times New Roman" w:hAnsi="Times New Roman"/>
          <w:sz w:val="24"/>
          <w:szCs w:val="24"/>
          <w:rtl w:val="0"/>
        </w:rPr>
        <w:t>12</w:t>
      </w:r>
      <w:r>
        <w:rPr>
          <w:rFonts w:ascii="Times New Roman" w:hAnsi="Times New Roman"/>
          <w:sz w:val="24"/>
          <w:szCs w:val="24"/>
          <w:rtl w:val="0"/>
          <w:lang w:val="en-US"/>
        </w:rPr>
        <w:t>1</w:t>
      </w:r>
    </w:p>
  </w:footnote>
  <w:footnote w:id="15">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Hoskin, p. S40</w:t>
      </w:r>
    </w:p>
  </w:footnote>
  <w:footnote w:id="16">
    <w:p>
      <w:pPr>
        <w:pStyle w:val="Footnote"/>
        <w:bidi w:val="0"/>
      </w:pPr>
      <w:r>
        <w:rPr>
          <w:vertAlign w:val="superscript"/>
        </w:rPr>
        <w:footnoteRef/>
      </w:r>
      <w:r>
        <w:rPr>
          <w:rFonts w:cs="Arial Unicode MS" w:eastAsia="Arial Unicode MS"/>
          <w:rtl w:val="0"/>
        </w:rPr>
        <w:t xml:space="preserve"> </w:t>
      </w:r>
      <w:r>
        <w:rPr>
          <w:rFonts w:ascii="Times New Roman" w:hAnsi="Times New Roman"/>
          <w:sz w:val="24"/>
          <w:szCs w:val="24"/>
          <w:rtl w:val="0"/>
          <w:lang w:val="pt-PT"/>
        </w:rPr>
        <w:t xml:space="preserve">Silva, </w:t>
      </w:r>
      <w:r>
        <w:rPr>
          <w:rFonts w:ascii="Times New Roman" w:hAnsi="Times New Roman"/>
          <w:sz w:val="24"/>
          <w:szCs w:val="24"/>
          <w:rtl w:val="0"/>
          <w:lang w:val="en-US"/>
        </w:rPr>
        <w:t xml:space="preserve">p. </w:t>
      </w:r>
      <w:r>
        <w:rPr>
          <w:rFonts w:ascii="Times New Roman" w:hAnsi="Times New Roman"/>
          <w:sz w:val="24"/>
          <w:szCs w:val="24"/>
          <w:rtl w:val="0"/>
        </w:rPr>
        <w:t>12</w:t>
      </w:r>
      <w:r>
        <w:rPr>
          <w:rFonts w:ascii="Times New Roman" w:hAnsi="Times New Roman"/>
          <w:sz w:val="24"/>
          <w:szCs w:val="24"/>
          <w:rtl w:val="0"/>
          <w:lang w:val="en-US"/>
        </w:rPr>
        <w:t>3</w:t>
      </w:r>
    </w:p>
  </w:footnote>
  <w:footnote w:id="17">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Silva, p. 124</w:t>
      </w:r>
    </w:p>
  </w:footnote>
  <w:footnote w:id="18">
    <w:p>
      <w:pPr>
        <w:pStyle w:val="Footnote"/>
        <w:rPr>
          <w:rFonts w:ascii="Times New Roman" w:cs="Times New Roman" w:hAnsi="Times New Roman" w:eastAsia="Times New Roman"/>
          <w:sz w:val="24"/>
          <w:szCs w:val="24"/>
        </w:rPr>
      </w:pPr>
      <w:r>
        <w:rPr>
          <w:rFonts w:ascii="Times New Roman" w:cs="Times New Roman" w:hAnsi="Times New Roman" w:eastAsia="Times New Roman"/>
          <w:sz w:val="24"/>
          <w:szCs w:val="24"/>
          <w:vertAlign w:val="superscript"/>
        </w:rPr>
        <w:footnoteRef/>
      </w:r>
      <w:r>
        <w:rPr>
          <w:rFonts w:ascii="Times New Roman" w:hAnsi="Times New Roman"/>
          <w:sz w:val="24"/>
          <w:szCs w:val="24"/>
          <w:rtl w:val="0"/>
          <w:lang w:val="nl-NL"/>
        </w:rPr>
        <w:t xml:space="preserve"> Cerde</w:t>
      </w:r>
      <w:r>
        <w:rPr>
          <w:rFonts w:ascii="Times New Roman" w:hAnsi="Times New Roman" w:hint="default"/>
          <w:sz w:val="24"/>
          <w:szCs w:val="24"/>
          <w:rtl w:val="0"/>
          <w:lang w:val="es-ES_tradnl"/>
        </w:rPr>
        <w:t>ñ</w:t>
      </w:r>
      <w:r>
        <w:rPr>
          <w:rFonts w:ascii="Times New Roman" w:hAnsi="Times New Roman"/>
          <w:sz w:val="24"/>
          <w:szCs w:val="24"/>
          <w:rtl w:val="0"/>
          <w:lang w:val="it-IT"/>
        </w:rPr>
        <w:t>o, M</w:t>
      </w:r>
      <w:r>
        <w:rPr>
          <w:rFonts w:ascii="Times New Roman" w:hAnsi="Times New Roman"/>
          <w:sz w:val="24"/>
          <w:szCs w:val="24"/>
          <w:rtl w:val="0"/>
          <w:lang w:val="en-US"/>
        </w:rPr>
        <w:t>. L.</w:t>
      </w:r>
      <w:r>
        <w:rPr>
          <w:rFonts w:ascii="Times New Roman" w:hAnsi="Times New Roman"/>
          <w:sz w:val="24"/>
          <w:szCs w:val="24"/>
          <w:rtl w:val="0"/>
          <w:lang w:val="pt-PT"/>
        </w:rPr>
        <w:t>, et al. "Los estudios de arqueoastronom</w:t>
      </w:r>
      <w:r>
        <w:rPr>
          <w:rFonts w:ascii="Times New Roman" w:hAnsi="Times New Roman" w:hint="default"/>
          <w:sz w:val="24"/>
          <w:szCs w:val="24"/>
          <w:rtl w:val="0"/>
        </w:rPr>
        <w:t>í</w:t>
      </w:r>
      <w:r>
        <w:rPr>
          <w:rFonts w:ascii="Times New Roman" w:hAnsi="Times New Roman"/>
          <w:sz w:val="24"/>
          <w:szCs w:val="24"/>
          <w:rtl w:val="0"/>
          <w:lang w:val="es-ES_tradnl"/>
        </w:rPr>
        <w:t>a en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 estado de la </w:t>
      </w:r>
      <w:r>
        <w:rPr>
          <w:rFonts w:ascii="Times New Roman" w:cs="Times New Roman" w:hAnsi="Times New Roman" w:eastAsia="Times New Roman"/>
          <w:sz w:val="24"/>
          <w:szCs w:val="24"/>
        </w:rPr>
        <w:tab/>
        <w:tab/>
        <w:tab/>
        <w:tab/>
      </w:r>
      <w:r>
        <w:rPr>
          <w:rFonts w:ascii="Times New Roman" w:hAnsi="Times New Roman"/>
          <w:sz w:val="24"/>
          <w:szCs w:val="24"/>
          <w:rtl w:val="0"/>
          <w:lang w:val="es-ES_tradnl"/>
        </w:rPr>
        <w:t>cuesti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hint="default"/>
          <w:sz w:val="24"/>
          <w:szCs w:val="24"/>
          <w:rtl w:val="0"/>
        </w:rPr>
        <w:t> </w:t>
      </w:r>
      <w:r>
        <w:rPr>
          <w:rFonts w:ascii="Times New Roman" w:hAnsi="Times New Roman"/>
          <w:i w:val="1"/>
          <w:iCs w:val="1"/>
          <w:sz w:val="24"/>
          <w:szCs w:val="24"/>
          <w:rtl w:val="0"/>
          <w:lang w:val="es-ES_tradnl"/>
        </w:rPr>
        <w:t>Trabajos de Prehistoria</w:t>
      </w:r>
      <w:r>
        <w:rPr>
          <w:rFonts w:ascii="Times New Roman" w:hAnsi="Times New Roman"/>
          <w:i w:val="1"/>
          <w:iCs w:val="1"/>
          <w:sz w:val="24"/>
          <w:szCs w:val="24"/>
          <w:rtl w:val="0"/>
          <w:lang w:val="en-US"/>
        </w:rPr>
        <w:t xml:space="preserve"> </w:t>
      </w:r>
      <w:r>
        <w:rPr>
          <w:rFonts w:ascii="Times New Roman" w:hAnsi="Times New Roman"/>
          <w:sz w:val="24"/>
          <w:szCs w:val="24"/>
          <w:rtl w:val="0"/>
        </w:rPr>
        <w:t>63.2 (2006): 13-34</w:t>
      </w:r>
    </w:p>
    <w:p>
      <w:pPr>
        <w:pStyle w:val="Footnote"/>
        <w:rPr>
          <w:rFonts w:ascii="Times New Roman" w:cs="Times New Roman" w:hAnsi="Times New Roman" w:eastAsia="Times New Roman"/>
          <w:sz w:val="24"/>
          <w:szCs w:val="24"/>
        </w:rPr>
      </w:pPr>
    </w:p>
    <w:p>
      <w:pPr>
        <w:pStyle w:val="Footnote"/>
        <w:rPr>
          <w:rFonts w:ascii="Times New Roman" w:cs="Times New Roman" w:hAnsi="Times New Roman" w:eastAsia="Times New Roman"/>
          <w:sz w:val="24"/>
          <w:szCs w:val="24"/>
        </w:rPr>
      </w:pPr>
      <w:r>
        <w:rPr>
          <w:rFonts w:ascii="Times New Roman" w:hAnsi="Times New Roman"/>
          <w:sz w:val="24"/>
          <w:szCs w:val="24"/>
          <w:rtl w:val="0"/>
          <w:lang w:val="en-US"/>
        </w:rPr>
        <w:t>Chevalier, Yves. "Orientations of 935 dolmens of southern France."</w:t>
      </w:r>
      <w:r>
        <w:rPr>
          <w:rFonts w:ascii="Times New Roman" w:hAnsi="Times New Roman" w:hint="default"/>
          <w:sz w:val="24"/>
          <w:szCs w:val="24"/>
          <w:rtl w:val="0"/>
        </w:rPr>
        <w:t> </w:t>
      </w:r>
      <w:r>
        <w:rPr>
          <w:rFonts w:ascii="Times New Roman" w:hAnsi="Times New Roman"/>
          <w:i w:val="1"/>
          <w:iCs w:val="1"/>
          <w:sz w:val="24"/>
          <w:szCs w:val="24"/>
          <w:rtl w:val="0"/>
          <w:lang w:val="en-US"/>
        </w:rPr>
        <w:t xml:space="preserve">Journal for the History of </w:t>
      </w:r>
      <w:r>
        <w:rPr>
          <w:rFonts w:ascii="Times New Roman" w:cs="Times New Roman" w:hAnsi="Times New Roman" w:eastAsia="Times New Roman"/>
          <w:i w:val="1"/>
          <w:iCs w:val="1"/>
          <w:sz w:val="24"/>
          <w:szCs w:val="24"/>
        </w:rPr>
        <w:tab/>
        <w:tab/>
        <w:tab/>
      </w:r>
      <w:r>
        <w:rPr>
          <w:rFonts w:ascii="Times New Roman" w:hAnsi="Times New Roman"/>
          <w:i w:val="1"/>
          <w:iCs w:val="1"/>
          <w:sz w:val="24"/>
          <w:szCs w:val="24"/>
          <w:rtl w:val="0"/>
          <w:lang w:val="en-US"/>
        </w:rPr>
        <w:t>Astronomy</w:t>
      </w:r>
      <w:r>
        <w:rPr>
          <w:rFonts w:ascii="Times New Roman" w:hAnsi="Times New Roman" w:hint="default"/>
          <w:sz w:val="24"/>
          <w:szCs w:val="24"/>
          <w:rtl w:val="0"/>
        </w:rPr>
        <w:t> </w:t>
      </w:r>
      <w:r>
        <w:rPr>
          <w:rFonts w:ascii="Times New Roman" w:hAnsi="Times New Roman"/>
          <w:sz w:val="24"/>
          <w:szCs w:val="24"/>
          <w:rtl w:val="0"/>
        </w:rPr>
        <w:t>30.24 (1999): S47-S82</w:t>
      </w:r>
    </w:p>
    <w:p>
      <w:pPr>
        <w:pStyle w:val="Footnote"/>
        <w:rPr>
          <w:rFonts w:ascii="Times New Roman" w:cs="Times New Roman" w:hAnsi="Times New Roman" w:eastAsia="Times New Roman"/>
          <w:sz w:val="24"/>
          <w:szCs w:val="24"/>
        </w:rPr>
      </w:pPr>
    </w:p>
    <w:p>
      <w:pPr>
        <w:pStyle w:val="Footnote"/>
      </w:pPr>
      <w:r>
        <w:rPr>
          <w:rFonts w:ascii="Times New Roman" w:hAnsi="Times New Roman"/>
          <w:sz w:val="24"/>
          <w:szCs w:val="24"/>
          <w:rtl w:val="0"/>
          <w:lang w:val="en-US"/>
        </w:rPr>
        <w:t xml:space="preserve">Silva, </w:t>
      </w:r>
      <w:r>
        <w:rPr>
          <w:rFonts w:ascii="Times New Roman" w:hAnsi="Times New Roman"/>
          <w:sz w:val="24"/>
          <w:szCs w:val="24"/>
          <w:rtl w:val="0"/>
        </w:rPr>
        <w:t>p. 120-139</w:t>
      </w:r>
    </w:p>
  </w:footnote>
  <w:footnote w:id="19">
    <w:p>
      <w:pPr>
        <w:pStyle w:val="Footnote"/>
        <w:bidi w:val="0"/>
      </w:pPr>
      <w:r>
        <w:rPr>
          <w:vertAlign w:val="superscript"/>
        </w:rPr>
        <w:footnoteRef/>
      </w:r>
      <w:r>
        <w:rPr>
          <w:rFonts w:ascii="Times New Roman" w:hAnsi="Times New Roman"/>
          <w:sz w:val="24"/>
          <w:szCs w:val="24"/>
          <w:rtl w:val="0"/>
        </w:rPr>
        <w:t xml:space="preserve"> Bennett, </w:t>
      </w:r>
      <w:r>
        <w:rPr>
          <w:rFonts w:ascii="Times New Roman" w:hAnsi="Times New Roman"/>
          <w:sz w:val="24"/>
          <w:szCs w:val="24"/>
          <w:rtl w:val="0"/>
          <w:lang w:val="en-US"/>
        </w:rPr>
        <w:t xml:space="preserve">Gerald </w:t>
      </w:r>
      <w:r>
        <w:rPr>
          <w:rFonts w:ascii="Times New Roman" w:hAnsi="Times New Roman"/>
          <w:sz w:val="24"/>
          <w:szCs w:val="24"/>
          <w:rtl w:val="0"/>
          <w:lang w:val="en-US"/>
        </w:rPr>
        <w:t>A., and John Gale. "Lines of Enquiry: Linear Organisation of the High Lea Farm Bronze Age Barrow Cemetery."</w:t>
      </w:r>
      <w:r>
        <w:rPr>
          <w:rFonts w:ascii="Times New Roman" w:hAnsi="Times New Roman" w:hint="default"/>
          <w:sz w:val="24"/>
          <w:szCs w:val="24"/>
          <w:rtl w:val="0"/>
        </w:rPr>
        <w:t> </w:t>
      </w:r>
      <w:r>
        <w:rPr>
          <w:rFonts w:ascii="Times New Roman" w:hAnsi="Times New Roman"/>
          <w:i w:val="1"/>
          <w:iCs w:val="1"/>
          <w:sz w:val="24"/>
          <w:szCs w:val="24"/>
          <w:rtl w:val="0"/>
          <w:lang w:val="en-US"/>
        </w:rPr>
        <w:t>Proceedings of the Dorset Natural History &amp; Archaeological Society</w:t>
      </w:r>
      <w:r>
        <w:rPr>
          <w:rFonts w:ascii="Times New Roman" w:hAnsi="Times New Roman"/>
          <w:sz w:val="24"/>
          <w:szCs w:val="24"/>
          <w:rtl w:val="0"/>
          <w:lang w:val="en-US"/>
        </w:rPr>
        <w:t>. Vol. 138. Bournemouth University, Fern Barrow, Poole, Dorset, BH12 5BB, UK, 2017.</w:t>
      </w:r>
    </w:p>
  </w:footnote>
  <w:footnote w:id="20">
    <w:p>
      <w:pPr>
        <w:pStyle w:val="Footnote"/>
        <w:bidi w:val="0"/>
      </w:pPr>
      <w:r>
        <w:rPr>
          <w:vertAlign w:val="superscript"/>
        </w:rPr>
        <w:footnoteRef/>
      </w:r>
      <w:r>
        <w:rPr>
          <w:rFonts w:cs="Arial Unicode MS" w:eastAsia="Arial Unicode MS"/>
          <w:rtl w:val="0"/>
        </w:rPr>
        <w:t xml:space="preserve"> </w:t>
      </w:r>
      <w:r>
        <w:rPr>
          <w:rFonts w:ascii="Times New Roman" w:hAnsi="Times New Roman"/>
          <w:sz w:val="24"/>
          <w:szCs w:val="24"/>
          <w:rtl w:val="0"/>
          <w:lang w:val="en-US"/>
        </w:rPr>
        <w:t xml:space="preserve">Darvill, Timothy, </w:t>
      </w:r>
      <w:r>
        <w:rPr>
          <w:rFonts w:ascii="Times New Roman" w:hAnsi="Times New Roman" w:hint="default"/>
          <w:sz w:val="24"/>
          <w:szCs w:val="24"/>
          <w:rtl w:val="0"/>
          <w:lang w:val="en-US"/>
        </w:rPr>
        <w:t>‘</w:t>
      </w:r>
      <w:r>
        <w:rPr>
          <w:rFonts w:ascii="Times New Roman" w:hAnsi="Times New Roman"/>
          <w:sz w:val="24"/>
          <w:szCs w:val="24"/>
          <w:rtl w:val="0"/>
          <w:lang w:val="en-US"/>
        </w:rPr>
        <w:t xml:space="preserve">Afterword: </w:t>
      </w:r>
      <w:r>
        <w:rPr>
          <w:rFonts w:ascii="Times New Roman" w:hAnsi="Times New Roman"/>
          <w:sz w:val="24"/>
          <w:szCs w:val="24"/>
          <w:rtl w:val="0"/>
          <w:lang w:val="en-US"/>
        </w:rPr>
        <w:t>d</w:t>
      </w:r>
      <w:r>
        <w:rPr>
          <w:rFonts w:ascii="Times New Roman" w:hAnsi="Times New Roman"/>
          <w:sz w:val="24"/>
          <w:szCs w:val="24"/>
          <w:rtl w:val="0"/>
          <w:lang w:val="en-US"/>
        </w:rPr>
        <w:t>ances beneath a diamond sky</w:t>
      </w:r>
      <w:r>
        <w:rPr>
          <w:rFonts w:ascii="Times New Roman" w:hAnsi="Times New Roman" w:hint="default"/>
          <w:sz w:val="24"/>
          <w:szCs w:val="24"/>
          <w:rtl w:val="0"/>
        </w:rPr>
        <w:t>’</w:t>
      </w:r>
      <w:r>
        <w:rPr>
          <w:rFonts w:ascii="Times New Roman" w:hAnsi="Times New Roman"/>
          <w:sz w:val="24"/>
          <w:szCs w:val="24"/>
          <w:rtl w:val="0"/>
          <w:lang w:val="en-US"/>
        </w:rPr>
        <w:t xml:space="preserve"> i</w:t>
      </w:r>
      <w:r>
        <w:rPr>
          <w:rFonts w:ascii="Times New Roman" w:hAnsi="Times New Roman"/>
          <w:sz w:val="24"/>
          <w:szCs w:val="24"/>
          <w:rtl w:val="0"/>
          <w:lang w:val="it-IT"/>
        </w:rPr>
        <w:t xml:space="preserve">n Silva, Fabio and Nick Campion (eds), </w:t>
      </w:r>
      <w:r>
        <w:rPr>
          <w:rFonts w:ascii="Times New Roman" w:hAnsi="Times New Roman"/>
          <w:i w:val="1"/>
          <w:iCs w:val="1"/>
          <w:sz w:val="24"/>
          <w:szCs w:val="24"/>
          <w:rtl w:val="0"/>
          <w:lang w:val="en-US"/>
        </w:rPr>
        <w:t>Skyscapes: The Role and Importance of the Sky in Archaeology</w:t>
      </w:r>
      <w:r>
        <w:rPr>
          <w:rFonts w:ascii="Times New Roman" w:hAnsi="Times New Roman"/>
          <w:sz w:val="24"/>
          <w:szCs w:val="24"/>
          <w:rtl w:val="0"/>
          <w:lang w:val="en-US"/>
        </w:rPr>
        <w:t>, Oxford: Oxbow</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Books </w:t>
      </w:r>
      <w:r>
        <w:rPr>
          <w:rFonts w:ascii="Times New Roman" w:hAnsi="Times New Roman"/>
          <w:sz w:val="24"/>
          <w:szCs w:val="24"/>
          <w:rtl w:val="0"/>
          <w:lang w:val="en-US"/>
        </w:rPr>
        <w:t>(</w:t>
      </w:r>
      <w:r>
        <w:rPr>
          <w:rFonts w:ascii="Times New Roman" w:hAnsi="Times New Roman"/>
          <w:sz w:val="24"/>
          <w:szCs w:val="24"/>
          <w:rtl w:val="0"/>
        </w:rPr>
        <w:t>2015</w:t>
      </w:r>
      <w:r>
        <w:rPr>
          <w:rFonts w:ascii="Times New Roman" w:hAnsi="Times New Roman"/>
          <w:sz w:val="24"/>
          <w:szCs w:val="24"/>
          <w:rtl w:val="0"/>
          <w:lang w:val="en-US"/>
        </w:rPr>
        <w:t>)</w:t>
      </w:r>
      <w:r>
        <w:rPr>
          <w:rFonts w:ascii="Times New Roman" w:hAnsi="Times New Roman"/>
          <w:sz w:val="24"/>
          <w:szCs w:val="24"/>
          <w:rtl w:val="0"/>
        </w:rPr>
        <w:t xml:space="preserve"> p</w:t>
      </w:r>
      <w:r>
        <w:rPr>
          <w:rFonts w:ascii="Times New Roman" w:hAnsi="Times New Roman"/>
          <w:sz w:val="24"/>
          <w:szCs w:val="24"/>
          <w:rtl w:val="0"/>
          <w:lang w:val="en-US"/>
        </w:rPr>
        <w:t xml:space="preserve">. 4-7 </w:t>
      </w:r>
    </w:p>
  </w:footnote>
  <w:footnote w:id="21">
    <w:p>
      <w:pPr>
        <w:pStyle w:val="Footnote"/>
      </w:pPr>
      <w:r>
        <w:rPr>
          <w:rFonts w:ascii="Times New Roman" w:cs="Times New Roman" w:hAnsi="Times New Roman" w:eastAsia="Times New Roman"/>
          <w:sz w:val="24"/>
          <w:szCs w:val="24"/>
          <w:vertAlign w:val="superscript"/>
        </w:rPr>
        <w:footnoteRef/>
      </w:r>
      <w:r>
        <w:rPr>
          <w:rFonts w:ascii="Times New Roman" w:hAnsi="Times New Roman"/>
          <w:sz w:val="24"/>
          <w:szCs w:val="24"/>
          <w:rtl w:val="0"/>
        </w:rPr>
        <w:t xml:space="preserve"> </w:t>
      </w:r>
      <w:r>
        <w:rPr>
          <w:rFonts w:ascii="Times New Roman" w:hAnsi="Times New Roman"/>
          <w:sz w:val="24"/>
          <w:szCs w:val="24"/>
          <w:rtl w:val="0"/>
          <w:lang w:val="en-US"/>
        </w:rPr>
        <w:t>Ruggles (2011), p. 9-10</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nl-NL"/>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