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3686F" w14:textId="6C07A858" w:rsidR="00267AE2" w:rsidRDefault="00155821">
      <w:r>
        <w:rPr>
          <w:noProof/>
        </w:rPr>
        <w:drawing>
          <wp:inline distT="0" distB="0" distL="0" distR="0" wp14:anchorId="7CD239E4" wp14:editId="2803DED5">
            <wp:extent cx="3609975" cy="2165985"/>
            <wp:effectExtent l="0" t="0" r="0" b="0"/>
            <wp:docPr id="1072225949" name="Picture 1072225949"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25949" name="Picture 1072225949" descr="A logo with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609975" cy="2165985"/>
                    </a:xfrm>
                    <a:prstGeom prst="rect">
                      <a:avLst/>
                    </a:prstGeom>
                  </pic:spPr>
                </pic:pic>
              </a:graphicData>
            </a:graphic>
          </wp:inline>
        </w:drawing>
      </w:r>
    </w:p>
    <w:p w14:paraId="459B6F82" w14:textId="77777777" w:rsidR="00155821" w:rsidRDefault="00155821"/>
    <w:p w14:paraId="4B4A488E" w14:textId="77777777" w:rsidR="00155821" w:rsidRDefault="00155821" w:rsidP="00155821">
      <w:pPr>
        <w:rPr>
          <w:rFonts w:ascii="Arial Nova" w:eastAsia="Arial Nova" w:hAnsi="Arial Nova" w:cs="Arial Nova"/>
          <w:b/>
          <w:bCs/>
          <w:sz w:val="36"/>
          <w:szCs w:val="36"/>
        </w:rPr>
      </w:pPr>
    </w:p>
    <w:p w14:paraId="0B5C1D4A" w14:textId="6C45C2AD" w:rsidR="00155821" w:rsidRDefault="00155821" w:rsidP="00155821">
      <w:pPr>
        <w:rPr>
          <w:rFonts w:ascii="Arial Nova" w:eastAsia="Arial Nova" w:hAnsi="Arial Nova" w:cs="Arial Nova"/>
          <w:sz w:val="36"/>
          <w:szCs w:val="36"/>
        </w:rPr>
      </w:pPr>
      <w:r w:rsidRPr="378007F4">
        <w:rPr>
          <w:rFonts w:ascii="Arial Nova" w:eastAsia="Arial Nova" w:hAnsi="Arial Nova" w:cs="Arial Nova"/>
          <w:b/>
          <w:bCs/>
          <w:sz w:val="36"/>
          <w:szCs w:val="36"/>
        </w:rPr>
        <w:t>Programme:</w:t>
      </w:r>
      <w:r w:rsidRPr="378007F4">
        <w:rPr>
          <w:rFonts w:ascii="Arial Nova" w:eastAsia="Arial Nova" w:hAnsi="Arial Nova" w:cs="Arial Nova"/>
          <w:sz w:val="36"/>
          <w:szCs w:val="36"/>
        </w:rPr>
        <w:t xml:space="preserve"> BSc (</w:t>
      </w:r>
      <w:proofErr w:type="spellStart"/>
      <w:r w:rsidRPr="378007F4">
        <w:rPr>
          <w:rFonts w:ascii="Arial Nova" w:eastAsia="Arial Nova" w:hAnsi="Arial Nova" w:cs="Arial Nova"/>
          <w:sz w:val="36"/>
          <w:szCs w:val="36"/>
        </w:rPr>
        <w:t>Hons</w:t>
      </w:r>
      <w:proofErr w:type="spellEnd"/>
      <w:r w:rsidRPr="378007F4">
        <w:rPr>
          <w:rFonts w:ascii="Arial Nova" w:eastAsia="Arial Nova" w:hAnsi="Arial Nova" w:cs="Arial Nova"/>
          <w:sz w:val="36"/>
          <w:szCs w:val="36"/>
        </w:rPr>
        <w:t>) Health and Social Care</w:t>
      </w:r>
    </w:p>
    <w:p w14:paraId="67DC4412" w14:textId="77777777" w:rsidR="00155821" w:rsidRDefault="00155821" w:rsidP="00155821">
      <w:pPr>
        <w:rPr>
          <w:rFonts w:ascii="Arial Nova" w:eastAsia="Arial Nova" w:hAnsi="Arial Nova" w:cs="Arial Nova"/>
          <w:sz w:val="36"/>
          <w:szCs w:val="36"/>
        </w:rPr>
      </w:pPr>
      <w:r w:rsidRPr="378007F4">
        <w:rPr>
          <w:rFonts w:ascii="Arial Nova" w:eastAsia="Arial Nova" w:hAnsi="Arial Nova" w:cs="Arial Nova"/>
          <w:b/>
          <w:bCs/>
          <w:sz w:val="36"/>
          <w:szCs w:val="36"/>
        </w:rPr>
        <w:t xml:space="preserve">Module name: </w:t>
      </w:r>
      <w:r w:rsidRPr="378007F4">
        <w:rPr>
          <w:rFonts w:ascii="Arial Nova" w:eastAsia="Arial Nova" w:hAnsi="Arial Nova" w:cs="Arial Nova"/>
          <w:sz w:val="36"/>
          <w:szCs w:val="36"/>
        </w:rPr>
        <w:t>Protecting and Supporting Families in</w:t>
      </w:r>
    </w:p>
    <w:p w14:paraId="082C5C7B" w14:textId="7168EEAC" w:rsidR="00155821" w:rsidRDefault="00155821" w:rsidP="00155821">
      <w:pPr>
        <w:rPr>
          <w:rFonts w:ascii="Arial Nova" w:eastAsia="Arial Nova" w:hAnsi="Arial Nova" w:cs="Arial Nova"/>
          <w:sz w:val="36"/>
          <w:szCs w:val="36"/>
        </w:rPr>
      </w:pPr>
      <w:r>
        <w:rPr>
          <w:rFonts w:ascii="Arial Nova" w:eastAsia="Arial Nova" w:hAnsi="Arial Nova" w:cs="Arial Nova"/>
          <w:sz w:val="36"/>
          <w:szCs w:val="36"/>
        </w:rPr>
        <w:t xml:space="preserve">Health </w:t>
      </w:r>
      <w:r w:rsidRPr="378007F4">
        <w:rPr>
          <w:rFonts w:ascii="Arial Nova" w:eastAsia="Arial Nova" w:hAnsi="Arial Nova" w:cs="Arial Nova"/>
          <w:sz w:val="36"/>
          <w:szCs w:val="36"/>
        </w:rPr>
        <w:t>and Care</w:t>
      </w:r>
    </w:p>
    <w:p w14:paraId="28E48A6A" w14:textId="77777777" w:rsidR="00155821" w:rsidRDefault="00155821" w:rsidP="00155821">
      <w:pPr>
        <w:rPr>
          <w:rFonts w:ascii="Arial Nova" w:eastAsia="Arial Nova" w:hAnsi="Arial Nova" w:cs="Arial Nova"/>
          <w:sz w:val="36"/>
          <w:szCs w:val="36"/>
        </w:rPr>
      </w:pPr>
      <w:r w:rsidRPr="378007F4">
        <w:rPr>
          <w:rFonts w:ascii="Arial Nova" w:eastAsia="Arial Nova" w:hAnsi="Arial Nova" w:cs="Arial Nova"/>
          <w:b/>
          <w:bCs/>
          <w:sz w:val="36"/>
          <w:szCs w:val="36"/>
        </w:rPr>
        <w:t>Module Code:</w:t>
      </w:r>
      <w:r w:rsidRPr="378007F4">
        <w:rPr>
          <w:rFonts w:ascii="Arial Nova" w:eastAsia="Arial Nova" w:hAnsi="Arial Nova" w:cs="Arial Nova"/>
          <w:sz w:val="36"/>
          <w:szCs w:val="36"/>
        </w:rPr>
        <w:t xml:space="preserve"> (BMHP5021_LON)</w:t>
      </w:r>
    </w:p>
    <w:p w14:paraId="629ED308" w14:textId="61EBFB28" w:rsidR="00155821" w:rsidRDefault="00155821" w:rsidP="00155821">
      <w:pPr>
        <w:rPr>
          <w:rFonts w:ascii="Arial Nova" w:eastAsia="Arial Nova" w:hAnsi="Arial Nova" w:cs="Arial Nova"/>
          <w:sz w:val="36"/>
          <w:szCs w:val="36"/>
        </w:rPr>
      </w:pPr>
      <w:r w:rsidRPr="378007F4">
        <w:rPr>
          <w:rFonts w:ascii="Arial Nova" w:eastAsia="Arial Nova" w:hAnsi="Arial Nova" w:cs="Arial Nova"/>
          <w:b/>
          <w:bCs/>
          <w:sz w:val="36"/>
          <w:szCs w:val="36"/>
        </w:rPr>
        <w:t>Assignment Title:</w:t>
      </w:r>
      <w:r w:rsidRPr="378007F4">
        <w:rPr>
          <w:rFonts w:ascii="Arial Nova" w:eastAsia="Arial Nova" w:hAnsi="Arial Nova" w:cs="Arial Nova"/>
          <w:sz w:val="36"/>
          <w:szCs w:val="36"/>
        </w:rPr>
        <w:t xml:space="preserve"> Component 1 - Presentation </w:t>
      </w:r>
      <w:r w:rsidR="00C8259B">
        <w:rPr>
          <w:rFonts w:ascii="Arial Nova" w:eastAsia="Arial Nova" w:hAnsi="Arial Nova" w:cs="Arial Nova"/>
          <w:sz w:val="36"/>
          <w:szCs w:val="36"/>
        </w:rPr>
        <w:t xml:space="preserve">notes </w:t>
      </w:r>
    </w:p>
    <w:p w14:paraId="0212C189" w14:textId="66E97D7E" w:rsidR="00155821" w:rsidRDefault="00155821" w:rsidP="00155821">
      <w:pPr>
        <w:rPr>
          <w:rFonts w:ascii="Arial Nova" w:eastAsia="Arial Nova" w:hAnsi="Arial Nova" w:cs="Arial Nova"/>
          <w:sz w:val="36"/>
          <w:szCs w:val="36"/>
        </w:rPr>
      </w:pPr>
      <w:r w:rsidRPr="0D42718A">
        <w:rPr>
          <w:rFonts w:ascii="Arial Nova" w:eastAsia="Arial Nova" w:hAnsi="Arial Nova" w:cs="Arial Nova"/>
          <w:b/>
          <w:bCs/>
          <w:sz w:val="36"/>
          <w:szCs w:val="36"/>
        </w:rPr>
        <w:t>Student name:</w:t>
      </w:r>
      <w:r w:rsidRPr="0D42718A">
        <w:rPr>
          <w:rFonts w:ascii="Arial Nova" w:eastAsia="Arial Nova" w:hAnsi="Arial Nova" w:cs="Arial Nova"/>
          <w:sz w:val="36"/>
          <w:szCs w:val="36"/>
        </w:rPr>
        <w:t xml:space="preserve"> </w:t>
      </w:r>
      <w:r w:rsidR="00643852">
        <w:rPr>
          <w:rFonts w:ascii="Arial Nova" w:eastAsia="Arial Nova" w:hAnsi="Arial Nova" w:cs="Arial Nova"/>
          <w:sz w:val="36"/>
          <w:szCs w:val="36"/>
        </w:rPr>
        <w:t xml:space="preserve">Eunice Franco </w:t>
      </w:r>
    </w:p>
    <w:p w14:paraId="24976044" w14:textId="7860D383" w:rsidR="00155821" w:rsidRDefault="00155821" w:rsidP="00155821">
      <w:pPr>
        <w:rPr>
          <w:rFonts w:ascii="Arial Nova" w:eastAsia="Arial Nova" w:hAnsi="Arial Nova" w:cs="Arial Nova"/>
          <w:b/>
          <w:bCs/>
          <w:sz w:val="36"/>
          <w:szCs w:val="36"/>
        </w:rPr>
      </w:pPr>
      <w:r w:rsidRPr="0D42718A">
        <w:rPr>
          <w:rFonts w:ascii="Arial Nova" w:eastAsia="Arial Nova" w:hAnsi="Arial Nova" w:cs="Arial Nova"/>
          <w:b/>
          <w:bCs/>
          <w:sz w:val="36"/>
          <w:szCs w:val="36"/>
        </w:rPr>
        <w:t>Student I</w:t>
      </w:r>
      <w:r>
        <w:rPr>
          <w:rFonts w:ascii="Arial Nova" w:eastAsia="Arial Nova" w:hAnsi="Arial Nova" w:cs="Arial Nova"/>
          <w:b/>
          <w:bCs/>
          <w:sz w:val="36"/>
          <w:szCs w:val="36"/>
        </w:rPr>
        <w:t>D</w:t>
      </w:r>
      <w:r w:rsidRPr="0D42718A">
        <w:rPr>
          <w:rFonts w:ascii="Arial Nova" w:eastAsia="Arial Nova" w:hAnsi="Arial Nova" w:cs="Arial Nova"/>
          <w:b/>
          <w:bCs/>
          <w:sz w:val="36"/>
          <w:szCs w:val="36"/>
        </w:rPr>
        <w:t xml:space="preserve">: </w:t>
      </w:r>
      <w:r w:rsidR="00643852">
        <w:rPr>
          <w:rFonts w:ascii="Arial Nova" w:eastAsia="Arial Nova" w:hAnsi="Arial Nova" w:cs="Arial Nova"/>
          <w:b/>
          <w:bCs/>
          <w:sz w:val="36"/>
          <w:szCs w:val="36"/>
        </w:rPr>
        <w:t>2242259</w:t>
      </w:r>
    </w:p>
    <w:p w14:paraId="6669F8A3" w14:textId="7129717B" w:rsidR="00155821" w:rsidRPr="00155821" w:rsidRDefault="00155821" w:rsidP="00155821">
      <w:pPr>
        <w:pStyle w:val="NormalWeb"/>
        <w:rPr>
          <w:rFonts w:ascii="Arial" w:hAnsi="Arial" w:cs="Arial"/>
          <w:b/>
          <w:bCs/>
          <w:sz w:val="36"/>
          <w:szCs w:val="36"/>
        </w:rPr>
      </w:pPr>
      <w:r w:rsidRPr="00155821">
        <w:rPr>
          <w:rFonts w:ascii="Arial" w:hAnsi="Arial" w:cs="Arial"/>
          <w:b/>
          <w:bCs/>
          <w:sz w:val="36"/>
          <w:szCs w:val="36"/>
        </w:rPr>
        <w:t xml:space="preserve">Submission deadline: </w:t>
      </w:r>
      <w:r w:rsidR="00643852">
        <w:rPr>
          <w:rFonts w:ascii="Arial" w:hAnsi="Arial" w:cs="Arial"/>
          <w:b/>
          <w:bCs/>
          <w:sz w:val="36"/>
          <w:szCs w:val="36"/>
        </w:rPr>
        <w:t>04/04/2025</w:t>
      </w:r>
      <w:r w:rsidRPr="00155821">
        <w:rPr>
          <w:rFonts w:ascii="Arial" w:hAnsi="Arial" w:cs="Arial"/>
          <w:b/>
          <w:bCs/>
          <w:sz w:val="36"/>
          <w:szCs w:val="36"/>
        </w:rPr>
        <w:cr/>
      </w:r>
    </w:p>
    <w:p w14:paraId="763EB2A4" w14:textId="77777777" w:rsidR="00155821" w:rsidRDefault="00155821" w:rsidP="00155821"/>
    <w:p w14:paraId="5E582AD2" w14:textId="77777777" w:rsidR="00155821" w:rsidRDefault="00155821" w:rsidP="00155821"/>
    <w:p w14:paraId="776FB432" w14:textId="77777777" w:rsidR="00155821" w:rsidRDefault="00155821" w:rsidP="00155821"/>
    <w:p w14:paraId="1360D050" w14:textId="77777777" w:rsidR="00155821" w:rsidRDefault="00155821" w:rsidP="00155821"/>
    <w:p w14:paraId="04244124" w14:textId="77777777" w:rsidR="00155821" w:rsidRPr="008D45B1" w:rsidRDefault="00155821" w:rsidP="00155821">
      <w:pPr>
        <w:spacing w:line="360" w:lineRule="auto"/>
        <w:jc w:val="both"/>
        <w:rPr>
          <w:rFonts w:ascii="Arial" w:hAnsi="Arial" w:cs="Arial"/>
        </w:rPr>
      </w:pPr>
    </w:p>
    <w:p w14:paraId="7DE3BEC4" w14:textId="77777777" w:rsidR="00155821" w:rsidRDefault="00155821" w:rsidP="00155821"/>
    <w:p w14:paraId="1E3B666F" w14:textId="77777777" w:rsidR="00C8259B" w:rsidRDefault="00C8259B" w:rsidP="00155821"/>
    <w:p w14:paraId="251A6A5A" w14:textId="77777777" w:rsidR="00155821" w:rsidRDefault="00155821" w:rsidP="00155821"/>
    <w:p w14:paraId="20AB89AB" w14:textId="5CA00FE1" w:rsidR="00155821" w:rsidRPr="00C257C3" w:rsidRDefault="00155821" w:rsidP="00155821">
      <w:pPr>
        <w:spacing w:line="360" w:lineRule="auto"/>
        <w:jc w:val="both"/>
        <w:rPr>
          <w:rFonts w:ascii="Arial" w:eastAsia="Arial Nova" w:hAnsi="Arial" w:cs="Arial"/>
        </w:rPr>
      </w:pPr>
      <w:r>
        <w:rPr>
          <w:rFonts w:ascii="Arial" w:eastAsia="Arial Nova" w:hAnsi="Arial" w:cs="Arial"/>
          <w:b/>
          <w:bCs/>
        </w:rPr>
        <w:lastRenderedPageBreak/>
        <w:t xml:space="preserve">Case study </w:t>
      </w:r>
      <w:r w:rsidRPr="1A923512">
        <w:rPr>
          <w:rFonts w:ascii="Arial" w:eastAsia="Arial Nova" w:hAnsi="Arial" w:cs="Arial"/>
          <w:b/>
          <w:bCs/>
        </w:rPr>
        <w:t xml:space="preserve">Title: </w:t>
      </w:r>
    </w:p>
    <w:p w14:paraId="2CEA3816" w14:textId="7BCE4407" w:rsidR="00155821" w:rsidRPr="00C257C3" w:rsidRDefault="00155821" w:rsidP="00155821">
      <w:pPr>
        <w:spacing w:line="360" w:lineRule="auto"/>
        <w:jc w:val="both"/>
        <w:rPr>
          <w:rFonts w:ascii="Arial" w:eastAsia="Arial Nova" w:hAnsi="Arial" w:cs="Arial"/>
        </w:rPr>
      </w:pPr>
    </w:p>
    <w:p w14:paraId="307681BB" w14:textId="77777777" w:rsidR="00155821" w:rsidRPr="00C257C3" w:rsidRDefault="00155821" w:rsidP="00155821">
      <w:pPr>
        <w:spacing w:line="360" w:lineRule="auto"/>
        <w:jc w:val="both"/>
        <w:rPr>
          <w:rFonts w:ascii="Arial" w:eastAsia="Arial Nova" w:hAnsi="Arial" w:cs="Arial"/>
          <w:b/>
          <w:bCs/>
        </w:rPr>
      </w:pPr>
      <w:r w:rsidRPr="00C257C3">
        <w:rPr>
          <w:rFonts w:ascii="Arial" w:eastAsia="Arial Nova" w:hAnsi="Arial" w:cs="Arial"/>
          <w:b/>
          <w:bCs/>
        </w:rPr>
        <w:t xml:space="preserve">Source: </w:t>
      </w:r>
      <w:hyperlink r:id="rId6">
        <w:r w:rsidRPr="00C257C3">
          <w:rPr>
            <w:rStyle w:val="Hyperlink"/>
            <w:rFonts w:ascii="Arial" w:eastAsia="Arial Nova" w:hAnsi="Arial" w:cs="Arial"/>
          </w:rPr>
          <w:t>https://learning.nspcc.org.uk/case-reviews/national-case-review-repository</w:t>
        </w:r>
      </w:hyperlink>
      <w:r w:rsidRPr="00C257C3">
        <w:rPr>
          <w:rFonts w:ascii="Arial" w:eastAsia="Arial Nova" w:hAnsi="Arial" w:cs="Arial"/>
        </w:rPr>
        <w:t xml:space="preserve"> </w:t>
      </w:r>
    </w:p>
    <w:p w14:paraId="4D5B9F53" w14:textId="77777777" w:rsidR="00155821" w:rsidRPr="00C257C3" w:rsidRDefault="00155821" w:rsidP="00155821">
      <w:pPr>
        <w:spacing w:line="360" w:lineRule="auto"/>
        <w:jc w:val="both"/>
        <w:rPr>
          <w:rFonts w:ascii="Arial" w:eastAsia="Arial Nova" w:hAnsi="Arial" w:cs="Arial"/>
          <w:b/>
          <w:bCs/>
        </w:rPr>
      </w:pPr>
    </w:p>
    <w:p w14:paraId="4EFC1C6D" w14:textId="77777777" w:rsidR="00155821" w:rsidRPr="00C257C3" w:rsidRDefault="00155821" w:rsidP="00155821">
      <w:pPr>
        <w:pStyle w:val="ListParagraph"/>
        <w:numPr>
          <w:ilvl w:val="0"/>
          <w:numId w:val="1"/>
        </w:numPr>
        <w:spacing w:line="360" w:lineRule="auto"/>
        <w:jc w:val="both"/>
        <w:rPr>
          <w:rFonts w:ascii="Arial" w:eastAsia="Arial Nova" w:hAnsi="Arial" w:cs="Arial"/>
          <w:b/>
          <w:bCs/>
        </w:rPr>
      </w:pPr>
      <w:r w:rsidRPr="1A923512">
        <w:rPr>
          <w:rFonts w:ascii="Arial" w:eastAsia="Arial Nova" w:hAnsi="Arial" w:cs="Arial"/>
          <w:b/>
          <w:bCs/>
        </w:rPr>
        <w:t>Microsoft Teams Link with the recording of group’s discussion</w:t>
      </w:r>
    </w:p>
    <w:p w14:paraId="38DB634E" w14:textId="701DE727" w:rsidR="00155821" w:rsidRDefault="00155821" w:rsidP="00155821">
      <w:pPr>
        <w:spacing w:line="360" w:lineRule="auto"/>
        <w:jc w:val="both"/>
        <w:rPr>
          <w:rFonts w:ascii="Arial" w:eastAsia="Arial Nova" w:hAnsi="Arial" w:cs="Arial"/>
        </w:rPr>
      </w:pPr>
      <w:r w:rsidRPr="00C257C3">
        <w:rPr>
          <w:rFonts w:ascii="Arial" w:eastAsia="Arial Nova" w:hAnsi="Arial" w:cs="Arial"/>
        </w:rPr>
        <w:t xml:space="preserve">  </w:t>
      </w:r>
      <w:hyperlink r:id="rId7" w:history="1">
        <w:r w:rsidR="00D32823" w:rsidRPr="00BD007A">
          <w:rPr>
            <w:rStyle w:val="Hyperlink"/>
            <w:rFonts w:ascii="Arial" w:eastAsia="Arial Nova" w:hAnsi="Arial" w:cs="Arial"/>
          </w:rPr>
          <w:t>https://uowtsd-my.sharepoint.com/:v:/g/personal/2308808_student_uwtsd_ac_uk/EfwVPbGoMUFNgi-zo9WphBUBIrMCpEddSfHCcS-ualg6EQ</w:t>
        </w:r>
      </w:hyperlink>
    </w:p>
    <w:p w14:paraId="2BF19C34" w14:textId="77777777" w:rsidR="00D32823" w:rsidRDefault="00D32823" w:rsidP="00155821">
      <w:pPr>
        <w:spacing w:line="360" w:lineRule="auto"/>
        <w:jc w:val="both"/>
        <w:rPr>
          <w:rFonts w:ascii="Arial" w:eastAsia="Arial Nova" w:hAnsi="Arial" w:cs="Arial"/>
        </w:rPr>
      </w:pPr>
    </w:p>
    <w:p w14:paraId="6EF82C65" w14:textId="77777777" w:rsidR="00E55220" w:rsidRPr="00C257C3" w:rsidRDefault="00E55220" w:rsidP="00155821">
      <w:pPr>
        <w:spacing w:line="360" w:lineRule="auto"/>
        <w:jc w:val="both"/>
        <w:rPr>
          <w:rFonts w:ascii="Arial" w:eastAsia="Arial Nova" w:hAnsi="Arial" w:cs="Arial"/>
        </w:rPr>
      </w:pPr>
    </w:p>
    <w:p w14:paraId="10027656" w14:textId="77777777" w:rsidR="00155821" w:rsidRPr="00C257C3" w:rsidRDefault="00155821" w:rsidP="00155821">
      <w:pPr>
        <w:spacing w:line="360" w:lineRule="auto"/>
        <w:jc w:val="both"/>
        <w:rPr>
          <w:rFonts w:ascii="Arial" w:eastAsia="Arial Nova" w:hAnsi="Arial" w:cs="Arial"/>
        </w:rPr>
      </w:pPr>
    </w:p>
    <w:p w14:paraId="5FA74CDE" w14:textId="57DEAA1D" w:rsidR="00155821" w:rsidRPr="00155821" w:rsidRDefault="00155821" w:rsidP="00643852">
      <w:pPr>
        <w:pStyle w:val="ListParagraph"/>
        <w:numPr>
          <w:ilvl w:val="0"/>
          <w:numId w:val="1"/>
        </w:numPr>
        <w:spacing w:line="360" w:lineRule="auto"/>
        <w:jc w:val="both"/>
        <w:rPr>
          <w:rFonts w:ascii="Arial" w:eastAsia="Arial" w:hAnsi="Arial" w:cs="Arial"/>
          <w:sz w:val="24"/>
          <w:szCs w:val="24"/>
        </w:rPr>
      </w:pPr>
      <w:r w:rsidRPr="00155821">
        <w:rPr>
          <w:rFonts w:ascii="Arial" w:eastAsia="Arial Nova" w:hAnsi="Arial" w:cs="Arial"/>
          <w:b/>
          <w:bCs/>
        </w:rPr>
        <w:t>Overview of the case study</w:t>
      </w:r>
    </w:p>
    <w:p w14:paraId="17F5E885" w14:textId="77777777" w:rsidR="00A50C3E" w:rsidRDefault="00A50C3E" w:rsidP="00643852">
      <w:pPr>
        <w:pStyle w:val="p1"/>
        <w:spacing w:line="360" w:lineRule="auto"/>
        <w:ind w:left="720"/>
        <w:divId w:val="1693530319"/>
      </w:pPr>
      <w:r>
        <w:rPr>
          <w:rStyle w:val="s1"/>
        </w:rPr>
        <w:t>This Serious Case Review focuses on a child who was repeatedly exposed to harm, including chronic neglect, domestic violence, and a breakdown in emotional support from caregivers. Multiple agencies—social services, schools, healthcare professionals—had contact with the family, yet no single agency assumed full responsibility for safeguarding the child. Over time, risks increased, while interventions remained fragmented and inconsistent. The lack of professional curiosity, poor information sharing, and a failure to escalate concerns meant that the child remained in an unsafe environment, ultimately leading to tragic consequences. The review also reflects wider systemic issues, such as high caseloads, desensitisation to risk, and the assumption that someone else would act.</w:t>
      </w:r>
    </w:p>
    <w:p w14:paraId="7F8D7515" w14:textId="77777777" w:rsidR="00155821" w:rsidRPr="00155821" w:rsidRDefault="00155821" w:rsidP="00643852">
      <w:pPr>
        <w:pStyle w:val="ListParagraph"/>
        <w:spacing w:line="360" w:lineRule="auto"/>
        <w:jc w:val="both"/>
        <w:rPr>
          <w:rFonts w:ascii="Arial" w:eastAsia="Arial" w:hAnsi="Arial" w:cs="Arial"/>
          <w:sz w:val="24"/>
          <w:szCs w:val="24"/>
        </w:rPr>
      </w:pPr>
    </w:p>
    <w:p w14:paraId="0F83A94F" w14:textId="77777777" w:rsidR="00155821" w:rsidRPr="00155821" w:rsidRDefault="00155821" w:rsidP="00643852">
      <w:pPr>
        <w:pStyle w:val="ListParagraph"/>
        <w:spacing w:line="360" w:lineRule="auto"/>
        <w:jc w:val="both"/>
        <w:rPr>
          <w:rFonts w:ascii="Arial" w:eastAsia="Arial" w:hAnsi="Arial" w:cs="Arial"/>
          <w:sz w:val="24"/>
          <w:szCs w:val="24"/>
        </w:rPr>
      </w:pPr>
    </w:p>
    <w:p w14:paraId="303CC667" w14:textId="12648E97" w:rsidR="00155821" w:rsidRDefault="00155821" w:rsidP="00643852">
      <w:pPr>
        <w:pStyle w:val="ListParagraph"/>
        <w:spacing w:line="360" w:lineRule="auto"/>
        <w:jc w:val="both"/>
        <w:rPr>
          <w:rFonts w:ascii="Arial" w:eastAsia="Arial Nova" w:hAnsi="Arial" w:cs="Arial"/>
          <w:b/>
          <w:bCs/>
        </w:rPr>
      </w:pPr>
    </w:p>
    <w:p w14:paraId="26942A85" w14:textId="77777777" w:rsidR="00155821" w:rsidRDefault="00155821" w:rsidP="00643852">
      <w:pPr>
        <w:pStyle w:val="ListParagraph"/>
        <w:numPr>
          <w:ilvl w:val="0"/>
          <w:numId w:val="1"/>
        </w:numPr>
        <w:spacing w:line="360" w:lineRule="auto"/>
        <w:jc w:val="both"/>
        <w:rPr>
          <w:rFonts w:ascii="Arial" w:eastAsia="Arial Nova" w:hAnsi="Arial" w:cs="Arial"/>
          <w:b/>
          <w:bCs/>
        </w:rPr>
      </w:pPr>
      <w:r w:rsidRPr="1A923512">
        <w:rPr>
          <w:rFonts w:ascii="Arial" w:eastAsia="Arial Nova" w:hAnsi="Arial" w:cs="Arial"/>
          <w:b/>
          <w:bCs/>
        </w:rPr>
        <w:t xml:space="preserve">Children, Young People and Families’ perception of well-being. </w:t>
      </w:r>
    </w:p>
    <w:p w14:paraId="0E64502A" w14:textId="0FC80AE3" w:rsidR="00B21810" w:rsidRDefault="00B21810" w:rsidP="00643852">
      <w:pPr>
        <w:pStyle w:val="p1"/>
        <w:numPr>
          <w:ilvl w:val="0"/>
          <w:numId w:val="1"/>
        </w:numPr>
        <w:spacing w:line="360" w:lineRule="auto"/>
        <w:divId w:val="1675955058"/>
      </w:pPr>
      <w:r>
        <w:rPr>
          <w:rStyle w:val="s1"/>
        </w:rPr>
        <w:t xml:space="preserve">In this case, the child’s perception of well-being was severely distorted by ongoing trauma. From the child’s point of view, experiences of fear, confusion, and instability were normalised. The family appeared to present well superficially, which may have </w:t>
      </w:r>
      <w:r>
        <w:rPr>
          <w:rStyle w:val="s1"/>
        </w:rPr>
        <w:lastRenderedPageBreak/>
        <w:t>led professionals to underestimate the severity of the situation. Parents described themselves as “coping,” even though there were clear signs of mental health struggles, financial stress, and emotional unavailability. This disconnection between perceived and actual well-being demonstrates the importance of listening to the child’s voice, observing non-verbal cues, and using child-centred assessment tools. According to Trevithick (2012), understanding how children and families perceive their own situation is vital in making accurate assessments and tailoring support interventions.</w:t>
      </w:r>
    </w:p>
    <w:p w14:paraId="55478F84" w14:textId="77777777" w:rsidR="00155821" w:rsidRDefault="00155821" w:rsidP="00643852">
      <w:pPr>
        <w:spacing w:line="360" w:lineRule="auto"/>
        <w:jc w:val="both"/>
        <w:rPr>
          <w:rFonts w:ascii="Arial" w:eastAsia="Arial Nova" w:hAnsi="Arial" w:cs="Arial"/>
          <w:b/>
          <w:bCs/>
        </w:rPr>
      </w:pPr>
    </w:p>
    <w:p w14:paraId="21BE9BFC" w14:textId="77777777" w:rsidR="00155821" w:rsidRPr="00155821" w:rsidRDefault="00155821" w:rsidP="00643852">
      <w:pPr>
        <w:spacing w:line="360" w:lineRule="auto"/>
        <w:jc w:val="both"/>
        <w:rPr>
          <w:rFonts w:ascii="Arial" w:eastAsia="Arial Nova" w:hAnsi="Arial" w:cs="Arial"/>
          <w:b/>
          <w:bCs/>
        </w:rPr>
      </w:pPr>
    </w:p>
    <w:p w14:paraId="3D3FF6A7" w14:textId="2D8C2956" w:rsidR="00155821" w:rsidRDefault="00155821" w:rsidP="00643852">
      <w:pPr>
        <w:pStyle w:val="ListParagraph"/>
        <w:numPr>
          <w:ilvl w:val="0"/>
          <w:numId w:val="1"/>
        </w:numPr>
        <w:spacing w:line="360" w:lineRule="auto"/>
        <w:jc w:val="both"/>
        <w:rPr>
          <w:rFonts w:ascii="Arial" w:eastAsia="Arial Nova" w:hAnsi="Arial" w:cs="Arial"/>
          <w:b/>
          <w:bCs/>
        </w:rPr>
      </w:pPr>
      <w:r w:rsidRPr="00155821">
        <w:rPr>
          <w:rFonts w:ascii="Arial" w:eastAsia="Arial Nova" w:hAnsi="Arial" w:cs="Arial"/>
          <w:b/>
          <w:bCs/>
        </w:rPr>
        <w:t>Factors leading to adverse childhood experience</w:t>
      </w:r>
      <w:r>
        <w:rPr>
          <w:rFonts w:ascii="Arial" w:eastAsia="Arial Nova" w:hAnsi="Arial" w:cs="Arial"/>
          <w:b/>
          <w:bCs/>
        </w:rPr>
        <w:t>s in the case study</w:t>
      </w:r>
    </w:p>
    <w:p w14:paraId="1460FCB8" w14:textId="77777777" w:rsidR="005D3BC5" w:rsidRDefault="005D3BC5" w:rsidP="00643852">
      <w:pPr>
        <w:pStyle w:val="p1"/>
        <w:numPr>
          <w:ilvl w:val="0"/>
          <w:numId w:val="1"/>
        </w:numPr>
        <w:spacing w:line="360" w:lineRule="auto"/>
        <w:divId w:val="425998717"/>
      </w:pPr>
      <w:r>
        <w:rPr>
          <w:rStyle w:val="s1"/>
        </w:rPr>
        <w:t>Several risk factors contributed to the child’s Adverse Childhood Experiences (ACEs), which research has shown can lead to long-term harm:</w:t>
      </w:r>
    </w:p>
    <w:p w14:paraId="67CBD756" w14:textId="77777777" w:rsidR="005D3BC5" w:rsidRDefault="005D3BC5" w:rsidP="00643852">
      <w:pPr>
        <w:pStyle w:val="p2"/>
        <w:numPr>
          <w:ilvl w:val="0"/>
          <w:numId w:val="1"/>
        </w:numPr>
        <w:spacing w:line="360" w:lineRule="auto"/>
        <w:divId w:val="425998717"/>
      </w:pPr>
      <w:r>
        <w:rPr>
          <w:rStyle w:val="s1"/>
        </w:rPr>
        <w:t>•</w:t>
      </w:r>
      <w:r>
        <w:rPr>
          <w:rStyle w:val="apple-tab-span"/>
        </w:rPr>
        <w:t xml:space="preserve"> </w:t>
      </w:r>
      <w:r>
        <w:rPr>
          <w:rStyle w:val="s2"/>
        </w:rPr>
        <w:t>Domestic violence</w:t>
      </w:r>
      <w:r>
        <w:rPr>
          <w:rStyle w:val="s1"/>
        </w:rPr>
        <w:t>: The child was regularly exposed to loud arguments, physical aggression, and controlling behaviour between caregivers.</w:t>
      </w:r>
    </w:p>
    <w:p w14:paraId="1210FCCD" w14:textId="77777777" w:rsidR="005D3BC5" w:rsidRDefault="005D3BC5" w:rsidP="00643852">
      <w:pPr>
        <w:pStyle w:val="p2"/>
        <w:numPr>
          <w:ilvl w:val="0"/>
          <w:numId w:val="1"/>
        </w:numPr>
        <w:spacing w:line="360" w:lineRule="auto"/>
        <w:divId w:val="425998717"/>
      </w:pPr>
      <w:r>
        <w:rPr>
          <w:rStyle w:val="s1"/>
        </w:rPr>
        <w:t>•</w:t>
      </w:r>
      <w:r>
        <w:rPr>
          <w:rStyle w:val="apple-tab-span"/>
        </w:rPr>
        <w:t xml:space="preserve"> </w:t>
      </w:r>
      <w:r>
        <w:rPr>
          <w:rStyle w:val="s2"/>
        </w:rPr>
        <w:t>Emotional and physical neglect</w:t>
      </w:r>
      <w:r>
        <w:rPr>
          <w:rStyle w:val="s1"/>
        </w:rPr>
        <w:t>: Basic needs such as food, hygiene, and supervision were not consistently met.</w:t>
      </w:r>
    </w:p>
    <w:p w14:paraId="30BEEFEF" w14:textId="77777777" w:rsidR="005D3BC5" w:rsidRDefault="005D3BC5" w:rsidP="00643852">
      <w:pPr>
        <w:pStyle w:val="p2"/>
        <w:numPr>
          <w:ilvl w:val="0"/>
          <w:numId w:val="1"/>
        </w:numPr>
        <w:spacing w:line="360" w:lineRule="auto"/>
        <w:divId w:val="425998717"/>
      </w:pPr>
      <w:r>
        <w:rPr>
          <w:rStyle w:val="s1"/>
        </w:rPr>
        <w:t>•</w:t>
      </w:r>
      <w:r>
        <w:rPr>
          <w:rStyle w:val="apple-tab-span"/>
        </w:rPr>
        <w:t xml:space="preserve"> </w:t>
      </w:r>
      <w:r>
        <w:rPr>
          <w:rStyle w:val="s2"/>
        </w:rPr>
        <w:t>Parental substance misuse and mental health issues</w:t>
      </w:r>
      <w:r>
        <w:rPr>
          <w:rStyle w:val="s1"/>
        </w:rPr>
        <w:t>: These contributed to erratic parenting and emotional instability.</w:t>
      </w:r>
    </w:p>
    <w:p w14:paraId="280764CA" w14:textId="77777777" w:rsidR="005D3BC5" w:rsidRDefault="005D3BC5" w:rsidP="00643852">
      <w:pPr>
        <w:pStyle w:val="p2"/>
        <w:numPr>
          <w:ilvl w:val="0"/>
          <w:numId w:val="1"/>
        </w:numPr>
        <w:spacing w:line="360" w:lineRule="auto"/>
        <w:divId w:val="425998717"/>
      </w:pPr>
      <w:r>
        <w:rPr>
          <w:rStyle w:val="s1"/>
        </w:rPr>
        <w:t>•</w:t>
      </w:r>
      <w:r>
        <w:rPr>
          <w:rStyle w:val="apple-tab-span"/>
        </w:rPr>
        <w:t xml:space="preserve"> </w:t>
      </w:r>
      <w:r>
        <w:rPr>
          <w:rStyle w:val="s2"/>
        </w:rPr>
        <w:t>Socioeconomic hardship</w:t>
      </w:r>
      <w:r>
        <w:rPr>
          <w:rStyle w:val="s1"/>
        </w:rPr>
        <w:t>: The family faced housing instability and poverty, which limited access to support services and created additional stress.</w:t>
      </w:r>
    </w:p>
    <w:p w14:paraId="3EB25F5E" w14:textId="0BE48597" w:rsidR="005D3BC5" w:rsidRDefault="005D3BC5" w:rsidP="00643852">
      <w:pPr>
        <w:pStyle w:val="p2"/>
        <w:numPr>
          <w:ilvl w:val="0"/>
          <w:numId w:val="1"/>
        </w:numPr>
        <w:spacing w:line="360" w:lineRule="auto"/>
        <w:divId w:val="425998717"/>
      </w:pPr>
      <w:r>
        <w:rPr>
          <w:rStyle w:val="s1"/>
        </w:rPr>
        <w:t>•</w:t>
      </w:r>
      <w:r>
        <w:rPr>
          <w:rStyle w:val="apple-tab-span"/>
        </w:rPr>
        <w:t xml:space="preserve"> </w:t>
      </w:r>
      <w:r>
        <w:rPr>
          <w:rStyle w:val="s2"/>
        </w:rPr>
        <w:t>Lack of a consistent, trusted adult</w:t>
      </w:r>
      <w:r>
        <w:rPr>
          <w:rStyle w:val="s1"/>
        </w:rPr>
        <w:t>: Although different professionals were involved, the child lacked a stable relationship with any one adult, which research identifies as a key protective factor (Fleet et al., 1998).</w:t>
      </w:r>
    </w:p>
    <w:p w14:paraId="5C0165A6" w14:textId="77777777" w:rsidR="005D3BC5" w:rsidRDefault="005D3BC5" w:rsidP="00643852">
      <w:pPr>
        <w:pStyle w:val="p3"/>
        <w:numPr>
          <w:ilvl w:val="0"/>
          <w:numId w:val="1"/>
        </w:numPr>
        <w:spacing w:line="360" w:lineRule="auto"/>
        <w:divId w:val="425998717"/>
      </w:pPr>
    </w:p>
    <w:p w14:paraId="3CA57C9A" w14:textId="77777777" w:rsidR="005D3BC5" w:rsidRDefault="005D3BC5" w:rsidP="00643852">
      <w:pPr>
        <w:pStyle w:val="p1"/>
        <w:numPr>
          <w:ilvl w:val="0"/>
          <w:numId w:val="1"/>
        </w:numPr>
        <w:spacing w:line="360" w:lineRule="auto"/>
        <w:divId w:val="425998717"/>
      </w:pPr>
      <w:r>
        <w:rPr>
          <w:rStyle w:val="s1"/>
        </w:rPr>
        <w:t>These factors created a cumulative risk that should have triggered a coordinated safeguarding response, but instead were addressed in isolation.</w:t>
      </w:r>
    </w:p>
    <w:p w14:paraId="1702D13F" w14:textId="77777777" w:rsidR="005D3BC5" w:rsidRDefault="005D3BC5" w:rsidP="00643852">
      <w:pPr>
        <w:spacing w:line="360" w:lineRule="auto"/>
        <w:jc w:val="both"/>
        <w:rPr>
          <w:rFonts w:ascii="Arial" w:eastAsia="Arial Nova" w:hAnsi="Arial" w:cs="Arial"/>
          <w:b/>
          <w:bCs/>
        </w:rPr>
      </w:pPr>
    </w:p>
    <w:p w14:paraId="00499E44" w14:textId="77777777" w:rsidR="005D3BC5" w:rsidRDefault="005D3BC5" w:rsidP="00643852">
      <w:pPr>
        <w:spacing w:line="360" w:lineRule="auto"/>
        <w:jc w:val="both"/>
        <w:rPr>
          <w:rFonts w:ascii="Arial" w:eastAsia="Arial Nova" w:hAnsi="Arial" w:cs="Arial"/>
          <w:b/>
          <w:bCs/>
        </w:rPr>
      </w:pPr>
    </w:p>
    <w:p w14:paraId="4F1CA7F6" w14:textId="77777777" w:rsidR="005D3BC5" w:rsidRPr="005D3BC5" w:rsidRDefault="005D3BC5" w:rsidP="00643852">
      <w:pPr>
        <w:spacing w:line="360" w:lineRule="auto"/>
        <w:jc w:val="both"/>
        <w:rPr>
          <w:rFonts w:ascii="Arial" w:eastAsia="Arial Nova" w:hAnsi="Arial" w:cs="Arial"/>
          <w:b/>
          <w:bCs/>
        </w:rPr>
      </w:pPr>
    </w:p>
    <w:p w14:paraId="6EB4736E" w14:textId="77777777" w:rsidR="00155821" w:rsidRDefault="00155821" w:rsidP="00643852">
      <w:pPr>
        <w:pStyle w:val="ListParagraph"/>
        <w:numPr>
          <w:ilvl w:val="0"/>
          <w:numId w:val="1"/>
        </w:numPr>
        <w:spacing w:line="360" w:lineRule="auto"/>
        <w:jc w:val="both"/>
        <w:rPr>
          <w:rFonts w:ascii="Arial" w:eastAsia="Arial Nova" w:hAnsi="Arial" w:cs="Arial"/>
          <w:b/>
          <w:bCs/>
        </w:rPr>
      </w:pPr>
      <w:r w:rsidRPr="1A923512">
        <w:rPr>
          <w:rFonts w:ascii="Arial" w:eastAsia="Arial Nova" w:hAnsi="Arial" w:cs="Arial"/>
          <w:b/>
          <w:bCs/>
        </w:rPr>
        <w:lastRenderedPageBreak/>
        <w:t>The importance of partnership working and communication and linking these to the case study.</w:t>
      </w:r>
    </w:p>
    <w:p w14:paraId="2E2DA43B" w14:textId="77777777" w:rsidR="005D3BC5" w:rsidRPr="005D3BC5" w:rsidRDefault="005D3BC5" w:rsidP="00643852">
      <w:pPr>
        <w:spacing w:line="360" w:lineRule="auto"/>
        <w:jc w:val="both"/>
        <w:rPr>
          <w:rFonts w:ascii="Arial" w:eastAsia="Arial Nova" w:hAnsi="Arial" w:cs="Arial"/>
          <w:b/>
          <w:bCs/>
        </w:rPr>
      </w:pPr>
    </w:p>
    <w:p w14:paraId="1A582A66" w14:textId="77777777" w:rsidR="003D4CC4" w:rsidRDefault="003D4CC4" w:rsidP="00643852">
      <w:pPr>
        <w:spacing w:line="360" w:lineRule="auto"/>
        <w:jc w:val="both"/>
        <w:rPr>
          <w:rFonts w:ascii="Arial" w:eastAsia="Arial Nova" w:hAnsi="Arial" w:cs="Arial"/>
          <w:b/>
          <w:bCs/>
        </w:rPr>
      </w:pPr>
    </w:p>
    <w:p w14:paraId="23E37E43" w14:textId="77777777" w:rsidR="00EC71A2" w:rsidRDefault="00EC71A2" w:rsidP="00643852">
      <w:pPr>
        <w:pStyle w:val="p1"/>
        <w:spacing w:line="360" w:lineRule="auto"/>
        <w:divId w:val="1994946009"/>
      </w:pPr>
      <w:r>
        <w:rPr>
          <w:rStyle w:val="s1"/>
        </w:rPr>
        <w:t>The case clearly demonstrates the dangers of weak inter-agency collaboration. Different services had partial knowledge of the child’s situation, but information was not effectively shared. One school report noted changes in behaviour, while a health visitor flagged concerns about hygiene, yet there was no formal meeting to bring these observations together. Without a coordinated response, the pattern of risk went unnoticed.</w:t>
      </w:r>
    </w:p>
    <w:p w14:paraId="696F9340" w14:textId="77777777" w:rsidR="00EC71A2" w:rsidRDefault="00EC71A2" w:rsidP="00643852">
      <w:pPr>
        <w:pStyle w:val="p2"/>
        <w:spacing w:line="360" w:lineRule="auto"/>
        <w:divId w:val="1994946009"/>
      </w:pPr>
    </w:p>
    <w:p w14:paraId="7870DFF4" w14:textId="77777777" w:rsidR="00EC71A2" w:rsidRDefault="00EC71A2" w:rsidP="00643852">
      <w:pPr>
        <w:pStyle w:val="p1"/>
        <w:spacing w:line="360" w:lineRule="auto"/>
        <w:divId w:val="1994946009"/>
      </w:pPr>
      <w:r>
        <w:rPr>
          <w:rStyle w:val="s1"/>
        </w:rPr>
        <w:t xml:space="preserve">Working in partnership involves more than just passing information between agencies—it requires shared responsibility, mutual trust, and consistent communication. According to </w:t>
      </w:r>
      <w:r>
        <w:rPr>
          <w:rStyle w:val="s2"/>
        </w:rPr>
        <w:t>Working Together to Safeguard Children</w:t>
      </w:r>
      <w:r>
        <w:rPr>
          <w:rStyle w:val="s1"/>
        </w:rPr>
        <w:t xml:space="preserve"> (2018), professionals must work as a team around the child, ensuring regular communication, joint assessments, and a clear understanding of each agency’s role. In this case, the absence of joint strategy meetings and poor use of early help assessments led to fragmentation and delay.</w:t>
      </w:r>
    </w:p>
    <w:p w14:paraId="6B0C9242" w14:textId="77777777" w:rsidR="003D4CC4" w:rsidRDefault="003D4CC4" w:rsidP="00643852">
      <w:pPr>
        <w:spacing w:line="360" w:lineRule="auto"/>
        <w:jc w:val="both"/>
        <w:rPr>
          <w:rFonts w:ascii="Arial" w:eastAsia="Arial Nova" w:hAnsi="Arial" w:cs="Arial"/>
          <w:b/>
          <w:bCs/>
        </w:rPr>
      </w:pPr>
    </w:p>
    <w:p w14:paraId="15CF06F8" w14:textId="77777777" w:rsidR="003D4CC4" w:rsidRDefault="003D4CC4" w:rsidP="00643852">
      <w:pPr>
        <w:spacing w:line="360" w:lineRule="auto"/>
        <w:jc w:val="both"/>
        <w:rPr>
          <w:rFonts w:ascii="Arial" w:eastAsia="Arial Nova" w:hAnsi="Arial" w:cs="Arial"/>
          <w:b/>
          <w:bCs/>
        </w:rPr>
      </w:pPr>
    </w:p>
    <w:p w14:paraId="57C4E6A5" w14:textId="77777777" w:rsidR="003D4CC4" w:rsidRDefault="003D4CC4" w:rsidP="00643852">
      <w:pPr>
        <w:spacing w:line="360" w:lineRule="auto"/>
        <w:jc w:val="both"/>
        <w:rPr>
          <w:rFonts w:ascii="Arial" w:eastAsia="Arial Nova" w:hAnsi="Arial" w:cs="Arial"/>
          <w:b/>
          <w:bCs/>
        </w:rPr>
      </w:pPr>
    </w:p>
    <w:p w14:paraId="6E48D8F8" w14:textId="77777777" w:rsidR="003D4CC4" w:rsidRPr="003D4CC4" w:rsidRDefault="003D4CC4" w:rsidP="00643852">
      <w:pPr>
        <w:spacing w:line="360" w:lineRule="auto"/>
        <w:jc w:val="both"/>
        <w:rPr>
          <w:rFonts w:ascii="Arial" w:eastAsia="Arial Nova" w:hAnsi="Arial" w:cs="Arial"/>
          <w:b/>
          <w:bCs/>
        </w:rPr>
      </w:pPr>
    </w:p>
    <w:p w14:paraId="25A87DC7" w14:textId="77777777" w:rsidR="00155821" w:rsidRPr="00155821" w:rsidRDefault="00155821" w:rsidP="00643852">
      <w:pPr>
        <w:spacing w:line="360" w:lineRule="auto"/>
        <w:jc w:val="both"/>
        <w:rPr>
          <w:rFonts w:ascii="Arial" w:eastAsia="Arial Nova" w:hAnsi="Arial" w:cs="Arial"/>
          <w:b/>
          <w:bCs/>
        </w:rPr>
      </w:pPr>
    </w:p>
    <w:p w14:paraId="1BBD3EE5" w14:textId="38F50DB4" w:rsidR="00155821" w:rsidRDefault="00155821" w:rsidP="00643852">
      <w:pPr>
        <w:pStyle w:val="ListParagraph"/>
        <w:spacing w:line="360" w:lineRule="auto"/>
        <w:jc w:val="both"/>
        <w:rPr>
          <w:rFonts w:ascii="Arial" w:eastAsia="Arial" w:hAnsi="Arial" w:cs="Arial"/>
          <w:sz w:val="24"/>
          <w:szCs w:val="24"/>
        </w:rPr>
      </w:pPr>
    </w:p>
    <w:p w14:paraId="6BD494C8" w14:textId="77777777" w:rsidR="003D4CC4" w:rsidRDefault="00155821" w:rsidP="00643852">
      <w:pPr>
        <w:pStyle w:val="ListParagraph"/>
        <w:numPr>
          <w:ilvl w:val="0"/>
          <w:numId w:val="1"/>
        </w:numPr>
        <w:spacing w:line="360" w:lineRule="auto"/>
        <w:jc w:val="both"/>
        <w:rPr>
          <w:rFonts w:ascii="Arial" w:eastAsia="Arial Nova" w:hAnsi="Arial" w:cs="Arial"/>
          <w:b/>
          <w:bCs/>
        </w:rPr>
      </w:pPr>
      <w:r w:rsidRPr="1A923512">
        <w:rPr>
          <w:rFonts w:ascii="Arial" w:eastAsia="Arial Nova" w:hAnsi="Arial" w:cs="Arial"/>
          <w:b/>
          <w:bCs/>
        </w:rPr>
        <w:t xml:space="preserve">Critical analysis of the case study and the information which has been provided including relevant policies and professional intervention which may be outlined in order to measure and enhance the health and well-being of children, young </w:t>
      </w:r>
    </w:p>
    <w:p w14:paraId="62E6B65C" w14:textId="70DD10A6" w:rsidR="00155821" w:rsidRDefault="00155821" w:rsidP="00643852">
      <w:pPr>
        <w:pStyle w:val="ListParagraph"/>
        <w:spacing w:line="360" w:lineRule="auto"/>
        <w:jc w:val="both"/>
        <w:rPr>
          <w:rFonts w:ascii="Arial" w:eastAsia="Arial Nova" w:hAnsi="Arial" w:cs="Arial"/>
          <w:b/>
          <w:bCs/>
        </w:rPr>
      </w:pPr>
      <w:r w:rsidRPr="1A923512">
        <w:rPr>
          <w:rFonts w:ascii="Arial" w:eastAsia="Arial Nova" w:hAnsi="Arial" w:cs="Arial"/>
          <w:b/>
          <w:bCs/>
        </w:rPr>
        <w:t xml:space="preserve">people and families. </w:t>
      </w:r>
    </w:p>
    <w:p w14:paraId="5F5EF158" w14:textId="77777777" w:rsidR="003D4CC4" w:rsidRDefault="003D4CC4" w:rsidP="00643852">
      <w:pPr>
        <w:pStyle w:val="ListParagraph"/>
        <w:spacing w:line="360" w:lineRule="auto"/>
        <w:jc w:val="both"/>
        <w:rPr>
          <w:rFonts w:ascii="Arial" w:eastAsia="Arial Nova" w:hAnsi="Arial" w:cs="Arial"/>
          <w:b/>
          <w:bCs/>
        </w:rPr>
      </w:pPr>
    </w:p>
    <w:p w14:paraId="63A96010" w14:textId="7595EB03" w:rsidR="003D4CC4" w:rsidRPr="003D4CC4" w:rsidRDefault="003D4CC4" w:rsidP="00643852">
      <w:pPr>
        <w:pStyle w:val="ListParagraph"/>
        <w:spacing w:line="360" w:lineRule="auto"/>
        <w:jc w:val="both"/>
        <w:rPr>
          <w:rFonts w:ascii="Arial" w:hAnsi="Arial" w:cs="Arial"/>
        </w:rPr>
      </w:pPr>
      <w:r w:rsidRPr="003D4CC4">
        <w:rPr>
          <w:rFonts w:ascii="Arial" w:hAnsi="Arial" w:cs="Arial"/>
        </w:rPr>
        <w:t xml:space="preserve">While the policy framework is strong on paper, its application in practice often fails. In this case, agencies were following their own internal procedures without aligning them </w:t>
      </w:r>
      <w:r w:rsidRPr="003D4CC4">
        <w:rPr>
          <w:rFonts w:ascii="Arial" w:hAnsi="Arial" w:cs="Arial"/>
        </w:rPr>
        <w:lastRenderedPageBreak/>
        <w:t>with national guidance. Risk assessments were superficial and not regularly updated. Professionals were overly reliant on parental self-reporting and failed to use observational evidence to challenge assumptions.</w:t>
      </w:r>
    </w:p>
    <w:p w14:paraId="73D74437" w14:textId="77777777" w:rsidR="003D4CC4" w:rsidRPr="003D4CC4" w:rsidRDefault="003D4CC4" w:rsidP="00643852">
      <w:pPr>
        <w:pStyle w:val="ListParagraph"/>
        <w:spacing w:line="360" w:lineRule="auto"/>
        <w:jc w:val="both"/>
        <w:rPr>
          <w:rFonts w:ascii="Arial" w:hAnsi="Arial" w:cs="Arial"/>
        </w:rPr>
      </w:pPr>
    </w:p>
    <w:p w14:paraId="583D7CAA" w14:textId="4110FDB9" w:rsidR="00155821" w:rsidRPr="003D4CC4" w:rsidRDefault="003D4CC4" w:rsidP="00643852">
      <w:pPr>
        <w:pStyle w:val="ListParagraph"/>
        <w:spacing w:line="360" w:lineRule="auto"/>
        <w:jc w:val="both"/>
        <w:rPr>
          <w:rFonts w:ascii="Arial" w:hAnsi="Arial" w:cs="Arial"/>
        </w:rPr>
      </w:pPr>
      <w:r w:rsidRPr="003D4CC4">
        <w:rPr>
          <w:rFonts w:ascii="Arial" w:hAnsi="Arial" w:cs="Arial"/>
        </w:rPr>
        <w:t>The Munro Review (2011) highlights that performance-driven cultures can lead to a “tick-box” approach rather than a reflective, analytical one. This was evident in the case, where assessment forms were completed without true engagement. Additionally, the Victoria Climb Inquiry (Laming, 2003) had already highlighted the need for professional curiosity, yet the same failures persisted in this review.</w:t>
      </w:r>
    </w:p>
    <w:p w14:paraId="467C3B81" w14:textId="77777777" w:rsidR="00155821" w:rsidRPr="00C257C3" w:rsidRDefault="00155821" w:rsidP="00643852">
      <w:pPr>
        <w:spacing w:line="360" w:lineRule="auto"/>
        <w:jc w:val="both"/>
        <w:rPr>
          <w:rFonts w:ascii="Arial" w:hAnsi="Arial" w:cs="Arial"/>
        </w:rPr>
      </w:pPr>
      <w:r w:rsidRPr="00C257C3">
        <w:rPr>
          <w:rFonts w:ascii="Arial" w:hAnsi="Arial" w:cs="Arial"/>
        </w:rPr>
        <w:t xml:space="preserve">           </w:t>
      </w:r>
    </w:p>
    <w:p w14:paraId="2703AC8A" w14:textId="77777777" w:rsidR="00155821" w:rsidRPr="00C257C3" w:rsidRDefault="00155821" w:rsidP="00643852">
      <w:pPr>
        <w:spacing w:line="360" w:lineRule="auto"/>
        <w:jc w:val="both"/>
        <w:rPr>
          <w:rFonts w:ascii="Arial" w:hAnsi="Arial" w:cs="Arial"/>
        </w:rPr>
      </w:pPr>
    </w:p>
    <w:p w14:paraId="52FEFA75" w14:textId="77777777" w:rsidR="00155821" w:rsidRPr="00C257C3" w:rsidRDefault="00155821" w:rsidP="00643852">
      <w:pPr>
        <w:pStyle w:val="ListParagraph"/>
        <w:numPr>
          <w:ilvl w:val="0"/>
          <w:numId w:val="1"/>
        </w:numPr>
        <w:spacing w:line="360" w:lineRule="auto"/>
        <w:jc w:val="both"/>
        <w:rPr>
          <w:rFonts w:ascii="Arial" w:eastAsia="Arial Nova" w:hAnsi="Arial" w:cs="Arial"/>
          <w:b/>
          <w:bCs/>
        </w:rPr>
      </w:pPr>
      <w:r w:rsidRPr="1A923512">
        <w:rPr>
          <w:rFonts w:ascii="Arial" w:eastAsia="Arial Nova" w:hAnsi="Arial" w:cs="Arial"/>
          <w:b/>
          <w:bCs/>
        </w:rPr>
        <w:t xml:space="preserve">Draw conclusions on current policy and the roles of multi-disciplinary services within the case study and the impact of their responses on the children, young people, and families. </w:t>
      </w:r>
    </w:p>
    <w:p w14:paraId="1ADB298E" w14:textId="77777777" w:rsidR="00155821" w:rsidRPr="00C257C3" w:rsidRDefault="00155821" w:rsidP="00643852">
      <w:pPr>
        <w:spacing w:line="360" w:lineRule="auto"/>
        <w:jc w:val="both"/>
        <w:rPr>
          <w:rFonts w:ascii="Arial" w:hAnsi="Arial" w:cs="Arial"/>
        </w:rPr>
      </w:pPr>
    </w:p>
    <w:p w14:paraId="51C8252B" w14:textId="77777777" w:rsidR="00EC4589" w:rsidRPr="00EC4589" w:rsidRDefault="00EC4589" w:rsidP="00643852">
      <w:pPr>
        <w:spacing w:line="360" w:lineRule="auto"/>
        <w:jc w:val="both"/>
        <w:rPr>
          <w:rFonts w:ascii="Arial" w:hAnsi="Arial" w:cs="Arial"/>
        </w:rPr>
      </w:pPr>
      <w:r w:rsidRPr="00EC4589">
        <w:rPr>
          <w:rFonts w:ascii="Arial" w:hAnsi="Arial" w:cs="Arial"/>
        </w:rPr>
        <w:t>Although national safeguarding policies provide a comprehensive framework, their effectiveness depends on local implementation, leadership, and training. In this case, no lead professional was identified to coordinate services, resulting in role confusion and inconsistent monitoring. Health and education professionals lacked clarity about when and how to escalate concerns. Social workers were overburdened and did not conduct home visits with sufficient frequency or depth.</w:t>
      </w:r>
    </w:p>
    <w:p w14:paraId="0646BA71" w14:textId="77777777" w:rsidR="00EC4589" w:rsidRPr="00EC4589" w:rsidRDefault="00EC4589" w:rsidP="00643852">
      <w:pPr>
        <w:spacing w:line="360" w:lineRule="auto"/>
        <w:jc w:val="both"/>
        <w:rPr>
          <w:rFonts w:ascii="Arial" w:hAnsi="Arial" w:cs="Arial"/>
        </w:rPr>
      </w:pPr>
    </w:p>
    <w:p w14:paraId="7FA20DB5" w14:textId="626B3007" w:rsidR="00155821" w:rsidRPr="00C257C3" w:rsidRDefault="00EC4589" w:rsidP="00643852">
      <w:pPr>
        <w:spacing w:line="360" w:lineRule="auto"/>
        <w:jc w:val="both"/>
        <w:rPr>
          <w:rFonts w:ascii="Arial" w:hAnsi="Arial" w:cs="Arial"/>
        </w:rPr>
      </w:pPr>
      <w:r w:rsidRPr="00EC4589">
        <w:rPr>
          <w:rFonts w:ascii="Arial" w:hAnsi="Arial" w:cs="Arial"/>
        </w:rPr>
        <w:t>The response to the child’s needs was reactive, only becoming urgent when crises occurred, rather than being guided by early intervention. This reflects systemic gaps in safeguarding culture. Multi-disciplinary services have the potential to be highly effective, but only when supported by strong leadership, joint training, and clear accountability.</w:t>
      </w:r>
    </w:p>
    <w:p w14:paraId="06F4E420" w14:textId="77777777" w:rsidR="00155821" w:rsidRPr="00C257C3" w:rsidRDefault="00155821" w:rsidP="00643852">
      <w:pPr>
        <w:spacing w:line="360" w:lineRule="auto"/>
        <w:jc w:val="both"/>
        <w:rPr>
          <w:rFonts w:ascii="Arial" w:hAnsi="Arial" w:cs="Arial"/>
        </w:rPr>
      </w:pPr>
    </w:p>
    <w:p w14:paraId="7BE04D67" w14:textId="06577A6B" w:rsidR="00155821" w:rsidRPr="00C257C3" w:rsidRDefault="00155821" w:rsidP="00643852">
      <w:pPr>
        <w:pStyle w:val="ListParagraph"/>
        <w:numPr>
          <w:ilvl w:val="0"/>
          <w:numId w:val="1"/>
        </w:numPr>
        <w:spacing w:line="360" w:lineRule="auto"/>
        <w:jc w:val="both"/>
        <w:rPr>
          <w:rFonts w:ascii="Arial" w:hAnsi="Arial" w:cs="Arial"/>
        </w:rPr>
      </w:pPr>
      <w:r w:rsidRPr="1A923512">
        <w:rPr>
          <w:rFonts w:ascii="Arial" w:eastAsia="Arial Nova" w:hAnsi="Arial" w:cs="Arial"/>
          <w:b/>
          <w:bCs/>
        </w:rPr>
        <w:t>Provide recommendations to improve the multi and inter-disciplinary nature of health and social care services</w:t>
      </w:r>
      <w:r>
        <w:rPr>
          <w:rFonts w:ascii="Arial" w:eastAsia="Arial Nova" w:hAnsi="Arial" w:cs="Arial"/>
          <w:b/>
          <w:bCs/>
        </w:rPr>
        <w:t xml:space="preserve">. </w:t>
      </w:r>
    </w:p>
    <w:p w14:paraId="1FA071D5" w14:textId="2CD753E3" w:rsidR="00895E1E" w:rsidRPr="00895E1E" w:rsidRDefault="00895E1E" w:rsidP="00643852">
      <w:pPr>
        <w:spacing w:line="360" w:lineRule="auto"/>
        <w:jc w:val="both"/>
        <w:rPr>
          <w:rFonts w:ascii="Arial" w:hAnsi="Arial" w:cs="Arial"/>
          <w:b/>
          <w:bCs/>
        </w:rPr>
      </w:pPr>
    </w:p>
    <w:p w14:paraId="693BC1CE" w14:textId="77777777" w:rsidR="00895E1E" w:rsidRPr="00EC4589" w:rsidRDefault="00895E1E" w:rsidP="00643852">
      <w:pPr>
        <w:spacing w:line="360" w:lineRule="auto"/>
        <w:jc w:val="both"/>
        <w:rPr>
          <w:rFonts w:ascii="Arial" w:hAnsi="Arial" w:cs="Arial"/>
        </w:rPr>
      </w:pPr>
      <w:r w:rsidRPr="00EC4589">
        <w:rPr>
          <w:rFonts w:ascii="Arial" w:hAnsi="Arial" w:cs="Arial"/>
        </w:rPr>
        <w:tab/>
        <w:t>1.</w:t>
      </w:r>
      <w:r w:rsidRPr="00EC4589">
        <w:rPr>
          <w:rFonts w:ascii="Arial" w:hAnsi="Arial" w:cs="Arial"/>
        </w:rPr>
        <w:tab/>
        <w:t>Establish a lead professional system for each child at risk, ensuring one person is responsible for coordinating care across services.</w:t>
      </w:r>
    </w:p>
    <w:p w14:paraId="3486FC57" w14:textId="77777777" w:rsidR="00895E1E" w:rsidRPr="00EC4589" w:rsidRDefault="00895E1E" w:rsidP="00643852">
      <w:pPr>
        <w:spacing w:line="360" w:lineRule="auto"/>
        <w:jc w:val="both"/>
        <w:rPr>
          <w:rFonts w:ascii="Arial" w:hAnsi="Arial" w:cs="Arial"/>
        </w:rPr>
      </w:pPr>
      <w:r w:rsidRPr="00EC4589">
        <w:rPr>
          <w:rFonts w:ascii="Arial" w:hAnsi="Arial" w:cs="Arial"/>
        </w:rPr>
        <w:lastRenderedPageBreak/>
        <w:tab/>
        <w:t>2.</w:t>
      </w:r>
      <w:r w:rsidRPr="00EC4589">
        <w:rPr>
          <w:rFonts w:ascii="Arial" w:hAnsi="Arial" w:cs="Arial"/>
        </w:rPr>
        <w:tab/>
        <w:t>Introduce mandatory joint training for all professionals involved in safeguarding, focusing on communication, escalation, and trauma-informed practice.</w:t>
      </w:r>
    </w:p>
    <w:p w14:paraId="398B5CCA" w14:textId="77777777" w:rsidR="00895E1E" w:rsidRPr="00EC4589" w:rsidRDefault="00895E1E" w:rsidP="00643852">
      <w:pPr>
        <w:spacing w:line="360" w:lineRule="auto"/>
        <w:jc w:val="both"/>
        <w:rPr>
          <w:rFonts w:ascii="Arial" w:hAnsi="Arial" w:cs="Arial"/>
        </w:rPr>
      </w:pPr>
      <w:r w:rsidRPr="00EC4589">
        <w:rPr>
          <w:rFonts w:ascii="Arial" w:hAnsi="Arial" w:cs="Arial"/>
        </w:rPr>
        <w:tab/>
        <w:t>3.</w:t>
      </w:r>
      <w:r w:rsidRPr="00EC4589">
        <w:rPr>
          <w:rFonts w:ascii="Arial" w:hAnsi="Arial" w:cs="Arial"/>
        </w:rPr>
        <w:tab/>
        <w:t>Develop shared digital platforms where schools, health workers, and social care can access and contribute to a single case file.</w:t>
      </w:r>
    </w:p>
    <w:p w14:paraId="32737A4A" w14:textId="77777777" w:rsidR="00895E1E" w:rsidRPr="00EC4589" w:rsidRDefault="00895E1E" w:rsidP="00643852">
      <w:pPr>
        <w:spacing w:line="360" w:lineRule="auto"/>
        <w:jc w:val="both"/>
        <w:rPr>
          <w:rFonts w:ascii="Arial" w:hAnsi="Arial" w:cs="Arial"/>
        </w:rPr>
      </w:pPr>
      <w:r w:rsidRPr="00EC4589">
        <w:rPr>
          <w:rFonts w:ascii="Arial" w:hAnsi="Arial" w:cs="Arial"/>
        </w:rPr>
        <w:tab/>
        <w:t>4.</w:t>
      </w:r>
      <w:r w:rsidRPr="00EC4589">
        <w:rPr>
          <w:rFonts w:ascii="Arial" w:hAnsi="Arial" w:cs="Arial"/>
        </w:rPr>
        <w:tab/>
        <w:t>Embed regular multi-agency meetings (e.g. Team Around the Child) as standard practice when multiple services are involved.</w:t>
      </w:r>
    </w:p>
    <w:p w14:paraId="1327389C" w14:textId="77777777" w:rsidR="00895E1E" w:rsidRPr="00EC4589" w:rsidRDefault="00895E1E" w:rsidP="00643852">
      <w:pPr>
        <w:spacing w:line="360" w:lineRule="auto"/>
        <w:jc w:val="both"/>
        <w:rPr>
          <w:rFonts w:ascii="Arial" w:hAnsi="Arial" w:cs="Arial"/>
        </w:rPr>
      </w:pPr>
      <w:r w:rsidRPr="00EC4589">
        <w:rPr>
          <w:rFonts w:ascii="Arial" w:hAnsi="Arial" w:cs="Arial"/>
        </w:rPr>
        <w:tab/>
        <w:t>5.</w:t>
      </w:r>
      <w:r w:rsidRPr="00EC4589">
        <w:rPr>
          <w:rFonts w:ascii="Arial" w:hAnsi="Arial" w:cs="Arial"/>
        </w:rPr>
        <w:tab/>
        <w:t>Promote reflective supervision across all disciplines to support critical thinking and avoid desensitisation to risk.</w:t>
      </w:r>
    </w:p>
    <w:p w14:paraId="62B37656" w14:textId="77777777" w:rsidR="00895E1E" w:rsidRPr="00A50C3E" w:rsidRDefault="00895E1E" w:rsidP="00643852">
      <w:pPr>
        <w:spacing w:line="360" w:lineRule="auto"/>
        <w:jc w:val="both"/>
        <w:rPr>
          <w:rFonts w:ascii="Arial" w:hAnsi="Arial" w:cs="Arial"/>
        </w:rPr>
      </w:pPr>
      <w:r w:rsidRPr="00A50C3E">
        <w:rPr>
          <w:rFonts w:ascii="Arial" w:hAnsi="Arial" w:cs="Arial"/>
        </w:rPr>
        <w:tab/>
        <w:t>6.</w:t>
      </w:r>
      <w:r w:rsidRPr="00A50C3E">
        <w:rPr>
          <w:rFonts w:ascii="Arial" w:hAnsi="Arial" w:cs="Arial"/>
        </w:rPr>
        <w:tab/>
        <w:t>Enhance family engagement strategies, ensuring the voice of the child is central to planning and decisions.</w:t>
      </w:r>
    </w:p>
    <w:p w14:paraId="7BCE8EBE" w14:textId="19CFADE4" w:rsidR="00155821" w:rsidRPr="00A50C3E" w:rsidRDefault="00895E1E" w:rsidP="00643852">
      <w:pPr>
        <w:spacing w:line="360" w:lineRule="auto"/>
        <w:jc w:val="both"/>
        <w:rPr>
          <w:rFonts w:ascii="Arial" w:hAnsi="Arial" w:cs="Arial"/>
        </w:rPr>
      </w:pPr>
      <w:r w:rsidRPr="00A50C3E">
        <w:rPr>
          <w:rFonts w:ascii="Arial" w:hAnsi="Arial" w:cs="Arial"/>
        </w:rPr>
        <w:tab/>
        <w:t>7.</w:t>
      </w:r>
      <w:r w:rsidRPr="00A50C3E">
        <w:rPr>
          <w:rFonts w:ascii="Arial" w:hAnsi="Arial" w:cs="Arial"/>
        </w:rPr>
        <w:tab/>
        <w:t>Address workforce challenges such as high caseloads and staff turnover, which directly impact continuity and quality of care.</w:t>
      </w:r>
    </w:p>
    <w:p w14:paraId="3E471B71" w14:textId="77777777" w:rsidR="00155821" w:rsidRPr="00A50C3E" w:rsidRDefault="00155821" w:rsidP="00643852">
      <w:pPr>
        <w:spacing w:line="360" w:lineRule="auto"/>
        <w:jc w:val="both"/>
        <w:rPr>
          <w:rFonts w:ascii="Arial" w:hAnsi="Arial" w:cs="Arial"/>
        </w:rPr>
      </w:pPr>
    </w:p>
    <w:p w14:paraId="48F480D0" w14:textId="77777777" w:rsidR="00155821" w:rsidRPr="00A50C3E" w:rsidRDefault="00155821" w:rsidP="00643852">
      <w:pPr>
        <w:spacing w:line="360" w:lineRule="auto"/>
        <w:jc w:val="both"/>
        <w:rPr>
          <w:rFonts w:ascii="Arial" w:hAnsi="Arial" w:cs="Arial"/>
        </w:rPr>
      </w:pPr>
    </w:p>
    <w:p w14:paraId="66FE7F55" w14:textId="77777777" w:rsidR="00155821" w:rsidRPr="00A50C3E" w:rsidRDefault="00155821" w:rsidP="00643852">
      <w:pPr>
        <w:spacing w:line="360" w:lineRule="auto"/>
        <w:jc w:val="both"/>
        <w:rPr>
          <w:rFonts w:ascii="Arial" w:hAnsi="Arial" w:cs="Arial"/>
        </w:rPr>
      </w:pPr>
    </w:p>
    <w:p w14:paraId="4C67BC91" w14:textId="77777777" w:rsidR="00155821" w:rsidRPr="00A50C3E" w:rsidRDefault="00155821" w:rsidP="00643852">
      <w:pPr>
        <w:spacing w:line="360" w:lineRule="auto"/>
        <w:jc w:val="both"/>
        <w:rPr>
          <w:rFonts w:ascii="Arial" w:hAnsi="Arial" w:cs="Arial"/>
        </w:rPr>
      </w:pPr>
    </w:p>
    <w:p w14:paraId="571ADD07" w14:textId="77777777" w:rsidR="00A50C3E" w:rsidRPr="00C257C3" w:rsidRDefault="00A50C3E" w:rsidP="00643852">
      <w:pPr>
        <w:spacing w:line="360" w:lineRule="auto"/>
        <w:jc w:val="both"/>
        <w:rPr>
          <w:rFonts w:ascii="Arial" w:hAnsi="Arial" w:cs="Arial"/>
          <w:b/>
          <w:bCs/>
        </w:rPr>
      </w:pPr>
    </w:p>
    <w:p w14:paraId="71CACBDA" w14:textId="15E75936" w:rsidR="00155821" w:rsidRDefault="00155821" w:rsidP="00643852">
      <w:pPr>
        <w:spacing w:line="360" w:lineRule="auto"/>
        <w:jc w:val="both"/>
        <w:rPr>
          <w:rFonts w:ascii="Arial" w:hAnsi="Arial" w:cs="Arial"/>
          <w:b/>
          <w:bCs/>
        </w:rPr>
      </w:pPr>
    </w:p>
    <w:p w14:paraId="7809B288" w14:textId="6247F269" w:rsidR="00155821" w:rsidRPr="00C257C3" w:rsidRDefault="00155821" w:rsidP="00643852">
      <w:pPr>
        <w:spacing w:line="360" w:lineRule="auto"/>
        <w:jc w:val="both"/>
        <w:rPr>
          <w:rFonts w:ascii="Arial" w:hAnsi="Arial" w:cs="Arial"/>
          <w:b/>
          <w:bCs/>
        </w:rPr>
      </w:pPr>
      <w:r w:rsidRPr="00C257C3">
        <w:rPr>
          <w:rFonts w:ascii="Arial" w:hAnsi="Arial" w:cs="Arial"/>
          <w:b/>
          <w:bCs/>
        </w:rPr>
        <w:t xml:space="preserve">Reference list: </w:t>
      </w:r>
    </w:p>
    <w:p w14:paraId="271304DE" w14:textId="77777777" w:rsidR="00155821" w:rsidRPr="00C257C3" w:rsidRDefault="00155821" w:rsidP="00643852">
      <w:pPr>
        <w:spacing w:line="360" w:lineRule="auto"/>
        <w:jc w:val="both"/>
        <w:rPr>
          <w:rFonts w:ascii="Arial" w:hAnsi="Arial" w:cs="Arial"/>
          <w:b/>
          <w:bCs/>
        </w:rPr>
      </w:pPr>
    </w:p>
    <w:p w14:paraId="796C03DE"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t xml:space="preserve">HM Government. (2018). Working Together to Safeguard Children: A guide to inter-agency working to safeguard and promote the welfare of children. Retrieved from </w:t>
      </w:r>
      <w:hyperlink r:id="rId8" w:history="1">
        <w:r w:rsidRPr="00643852">
          <w:rPr>
            <w:rFonts w:ascii="Times New Roman" w:eastAsiaTheme="minorEastAsia" w:hAnsi="Times New Roman" w:cs="Times New Roman"/>
            <w:color w:val="0000FF"/>
            <w:kern w:val="0"/>
            <w:sz w:val="24"/>
            <w:szCs w:val="24"/>
            <w:u w:val="single"/>
            <w:lang w:eastAsia="en-GB"/>
            <w14:ligatures w14:val="none"/>
          </w:rPr>
          <w:t>https://www.gov.uk/government/publications/working-together-to-safeguard-children–2</w:t>
        </w:r>
      </w:hyperlink>
      <w:r w:rsidRPr="00643852">
        <w:rPr>
          <w:rFonts w:ascii="Times New Roman" w:eastAsiaTheme="minorEastAsia" w:hAnsi="Times New Roman" w:cs="Times New Roman"/>
          <w:kern w:val="0"/>
          <w:sz w:val="24"/>
          <w:szCs w:val="24"/>
          <w:lang w:eastAsia="en-GB"/>
          <w14:ligatures w14:val="none"/>
        </w:rPr>
        <w:t xml:space="preserve"> (Accessed: 3 April 2025).</w:t>
      </w:r>
    </w:p>
    <w:p w14:paraId="3FDD4A2B"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t xml:space="preserve">2. NSPCC Learning. (n.d.). Case review repository. Retrieved from </w:t>
      </w:r>
      <w:hyperlink r:id="rId9" w:history="1">
        <w:r w:rsidRPr="00643852">
          <w:rPr>
            <w:rFonts w:ascii="Times New Roman" w:eastAsiaTheme="minorEastAsia" w:hAnsi="Times New Roman" w:cs="Times New Roman"/>
            <w:color w:val="0000FF"/>
            <w:kern w:val="0"/>
            <w:sz w:val="24"/>
            <w:szCs w:val="24"/>
            <w:u w:val="single"/>
            <w:lang w:eastAsia="en-GB"/>
            <w14:ligatures w14:val="none"/>
          </w:rPr>
          <w:t>https://learning.nspcc.org.uk/case-reviews/national-case-review-repository</w:t>
        </w:r>
      </w:hyperlink>
      <w:r w:rsidRPr="00643852">
        <w:rPr>
          <w:rFonts w:ascii="Times New Roman" w:eastAsiaTheme="minorEastAsia" w:hAnsi="Times New Roman" w:cs="Times New Roman"/>
          <w:kern w:val="0"/>
          <w:sz w:val="24"/>
          <w:szCs w:val="24"/>
          <w:lang w:eastAsia="en-GB"/>
          <w14:ligatures w14:val="none"/>
        </w:rPr>
        <w:t xml:space="preserve"> (Accessed: 3 April 2025).</w:t>
      </w:r>
    </w:p>
    <w:p w14:paraId="27732A77"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lastRenderedPageBreak/>
        <w:t xml:space="preserve">3. Department for Education. (2023). Keeping Children Safe in Education. Retrieved from </w:t>
      </w:r>
      <w:hyperlink r:id="rId10" w:history="1">
        <w:r w:rsidRPr="00643852">
          <w:rPr>
            <w:rFonts w:ascii="Times New Roman" w:eastAsiaTheme="minorEastAsia" w:hAnsi="Times New Roman" w:cs="Times New Roman"/>
            <w:color w:val="0000FF"/>
            <w:kern w:val="0"/>
            <w:sz w:val="24"/>
            <w:szCs w:val="24"/>
            <w:u w:val="single"/>
            <w:lang w:eastAsia="en-GB"/>
            <w14:ligatures w14:val="none"/>
          </w:rPr>
          <w:t>https://www.gov.uk/government/publications/keeping-children-safe-in-education–2</w:t>
        </w:r>
      </w:hyperlink>
      <w:r w:rsidRPr="00643852">
        <w:rPr>
          <w:rFonts w:ascii="Times New Roman" w:eastAsiaTheme="minorEastAsia" w:hAnsi="Times New Roman" w:cs="Times New Roman"/>
          <w:kern w:val="0"/>
          <w:sz w:val="24"/>
          <w:szCs w:val="24"/>
          <w:lang w:eastAsia="en-GB"/>
          <w14:ligatures w14:val="none"/>
        </w:rPr>
        <w:t xml:space="preserve"> (Accessed: 3 April 2025).</w:t>
      </w:r>
    </w:p>
    <w:p w14:paraId="0830DEB7"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t xml:space="preserve">4. </w:t>
      </w:r>
      <w:proofErr w:type="spellStart"/>
      <w:r w:rsidRPr="00643852">
        <w:rPr>
          <w:rFonts w:ascii="Times New Roman" w:eastAsiaTheme="minorEastAsia" w:hAnsi="Times New Roman" w:cs="Times New Roman"/>
          <w:kern w:val="0"/>
          <w:sz w:val="24"/>
          <w:szCs w:val="24"/>
          <w:lang w:eastAsia="en-GB"/>
          <w14:ligatures w14:val="none"/>
        </w:rPr>
        <w:t>Felitti</w:t>
      </w:r>
      <w:proofErr w:type="spellEnd"/>
      <w:r w:rsidRPr="00643852">
        <w:rPr>
          <w:rFonts w:ascii="Times New Roman" w:eastAsiaTheme="minorEastAsia" w:hAnsi="Times New Roman" w:cs="Times New Roman"/>
          <w:kern w:val="0"/>
          <w:sz w:val="24"/>
          <w:szCs w:val="24"/>
          <w:lang w:eastAsia="en-GB"/>
          <w14:ligatures w14:val="none"/>
        </w:rPr>
        <w:t xml:space="preserve">, V. J., </w:t>
      </w:r>
      <w:proofErr w:type="spellStart"/>
      <w:r w:rsidRPr="00643852">
        <w:rPr>
          <w:rFonts w:ascii="Times New Roman" w:eastAsiaTheme="minorEastAsia" w:hAnsi="Times New Roman" w:cs="Times New Roman"/>
          <w:kern w:val="0"/>
          <w:sz w:val="24"/>
          <w:szCs w:val="24"/>
          <w:lang w:eastAsia="en-GB"/>
          <w14:ligatures w14:val="none"/>
        </w:rPr>
        <w:t>Anda</w:t>
      </w:r>
      <w:proofErr w:type="spellEnd"/>
      <w:r w:rsidRPr="00643852">
        <w:rPr>
          <w:rFonts w:ascii="Times New Roman" w:eastAsiaTheme="minorEastAsia" w:hAnsi="Times New Roman" w:cs="Times New Roman"/>
          <w:kern w:val="0"/>
          <w:sz w:val="24"/>
          <w:szCs w:val="24"/>
          <w:lang w:eastAsia="en-GB"/>
          <w14:ligatures w14:val="none"/>
        </w:rPr>
        <w:t xml:space="preserve">, R. F., </w:t>
      </w:r>
      <w:proofErr w:type="spellStart"/>
      <w:r w:rsidRPr="00643852">
        <w:rPr>
          <w:rFonts w:ascii="Times New Roman" w:eastAsiaTheme="minorEastAsia" w:hAnsi="Times New Roman" w:cs="Times New Roman"/>
          <w:kern w:val="0"/>
          <w:sz w:val="24"/>
          <w:szCs w:val="24"/>
          <w:lang w:eastAsia="en-GB"/>
          <w14:ligatures w14:val="none"/>
        </w:rPr>
        <w:t>Nordenberg</w:t>
      </w:r>
      <w:proofErr w:type="spellEnd"/>
      <w:r w:rsidRPr="00643852">
        <w:rPr>
          <w:rFonts w:ascii="Times New Roman" w:eastAsiaTheme="minorEastAsia" w:hAnsi="Times New Roman" w:cs="Times New Roman"/>
          <w:kern w:val="0"/>
          <w:sz w:val="24"/>
          <w:szCs w:val="24"/>
          <w:lang w:eastAsia="en-GB"/>
          <w14:ligatures w14:val="none"/>
        </w:rPr>
        <w:t xml:space="preserve">, D., et al. (1998). Relationship of childhood abuse and household dysfunction to many of the leading causes of death in adults: The Adverse Childhood Experiences (ACE) Study. American Journal of Preventive Medicine, 14(4), 245–258. Retrieved from </w:t>
      </w:r>
      <w:hyperlink r:id="rId11" w:history="1">
        <w:r w:rsidRPr="00643852">
          <w:rPr>
            <w:rFonts w:ascii="Times New Roman" w:eastAsiaTheme="minorEastAsia" w:hAnsi="Times New Roman" w:cs="Times New Roman"/>
            <w:color w:val="0000FF"/>
            <w:kern w:val="0"/>
            <w:sz w:val="24"/>
            <w:szCs w:val="24"/>
            <w:u w:val="single"/>
            <w:lang w:eastAsia="en-GB"/>
            <w14:ligatures w14:val="none"/>
          </w:rPr>
          <w:t>https://doi.org/10.1016/S0749-3797(98)00017-8</w:t>
        </w:r>
      </w:hyperlink>
      <w:r w:rsidRPr="00643852">
        <w:rPr>
          <w:rFonts w:ascii="Times New Roman" w:eastAsiaTheme="minorEastAsia" w:hAnsi="Times New Roman" w:cs="Times New Roman"/>
          <w:kern w:val="0"/>
          <w:sz w:val="24"/>
          <w:szCs w:val="24"/>
          <w:lang w:eastAsia="en-GB"/>
          <w14:ligatures w14:val="none"/>
        </w:rPr>
        <w:t xml:space="preserve"> (Accessed: 3 April 2025).</w:t>
      </w:r>
    </w:p>
    <w:p w14:paraId="55DCD0E5"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t xml:space="preserve">5. </w:t>
      </w:r>
      <w:proofErr w:type="spellStart"/>
      <w:r w:rsidRPr="00643852">
        <w:rPr>
          <w:rFonts w:ascii="Times New Roman" w:eastAsiaTheme="minorEastAsia" w:hAnsi="Times New Roman" w:cs="Times New Roman"/>
          <w:kern w:val="0"/>
          <w:sz w:val="24"/>
          <w:szCs w:val="24"/>
          <w:lang w:eastAsia="en-GB"/>
          <w14:ligatures w14:val="none"/>
        </w:rPr>
        <w:t>Sidebotham</w:t>
      </w:r>
      <w:proofErr w:type="spellEnd"/>
      <w:r w:rsidRPr="00643852">
        <w:rPr>
          <w:rFonts w:ascii="Times New Roman" w:eastAsiaTheme="minorEastAsia" w:hAnsi="Times New Roman" w:cs="Times New Roman"/>
          <w:kern w:val="0"/>
          <w:sz w:val="24"/>
          <w:szCs w:val="24"/>
          <w:lang w:eastAsia="en-GB"/>
          <w14:ligatures w14:val="none"/>
        </w:rPr>
        <w:t xml:space="preserve">, P., Brandon, M., Bailey, S., </w:t>
      </w:r>
      <w:proofErr w:type="spellStart"/>
      <w:r w:rsidRPr="00643852">
        <w:rPr>
          <w:rFonts w:ascii="Times New Roman" w:eastAsiaTheme="minorEastAsia" w:hAnsi="Times New Roman" w:cs="Times New Roman"/>
          <w:kern w:val="0"/>
          <w:sz w:val="24"/>
          <w:szCs w:val="24"/>
          <w:lang w:eastAsia="en-GB"/>
          <w14:ligatures w14:val="none"/>
        </w:rPr>
        <w:t>Belderson</w:t>
      </w:r>
      <w:proofErr w:type="spellEnd"/>
      <w:r w:rsidRPr="00643852">
        <w:rPr>
          <w:rFonts w:ascii="Times New Roman" w:eastAsiaTheme="minorEastAsia" w:hAnsi="Times New Roman" w:cs="Times New Roman"/>
          <w:kern w:val="0"/>
          <w:sz w:val="24"/>
          <w:szCs w:val="24"/>
          <w:lang w:eastAsia="en-GB"/>
          <w14:ligatures w14:val="none"/>
        </w:rPr>
        <w:t xml:space="preserve">, P., Dodsworth, J., &amp; </w:t>
      </w:r>
      <w:proofErr w:type="spellStart"/>
      <w:r w:rsidRPr="00643852">
        <w:rPr>
          <w:rFonts w:ascii="Times New Roman" w:eastAsiaTheme="minorEastAsia" w:hAnsi="Times New Roman" w:cs="Times New Roman"/>
          <w:kern w:val="0"/>
          <w:sz w:val="24"/>
          <w:szCs w:val="24"/>
          <w:lang w:eastAsia="en-GB"/>
          <w14:ligatures w14:val="none"/>
        </w:rPr>
        <w:t>Garstang</w:t>
      </w:r>
      <w:proofErr w:type="spellEnd"/>
      <w:r w:rsidRPr="00643852">
        <w:rPr>
          <w:rFonts w:ascii="Times New Roman" w:eastAsiaTheme="minorEastAsia" w:hAnsi="Times New Roman" w:cs="Times New Roman"/>
          <w:kern w:val="0"/>
          <w:sz w:val="24"/>
          <w:szCs w:val="24"/>
          <w:lang w:eastAsia="en-GB"/>
          <w14:ligatures w14:val="none"/>
        </w:rPr>
        <w:t xml:space="preserve">, J. (2016). Pathways to harm, pathways to protection: A triennial analysis of serious case reviews 2011–14. Department for Education. Retrieved from </w:t>
      </w:r>
      <w:hyperlink r:id="rId12" w:history="1">
        <w:r w:rsidRPr="00643852">
          <w:rPr>
            <w:rFonts w:ascii="Times New Roman" w:eastAsiaTheme="minorEastAsia" w:hAnsi="Times New Roman" w:cs="Times New Roman"/>
            <w:color w:val="0000FF"/>
            <w:kern w:val="0"/>
            <w:sz w:val="24"/>
            <w:szCs w:val="24"/>
            <w:u w:val="single"/>
            <w:lang w:eastAsia="en-GB"/>
            <w14:ligatures w14:val="none"/>
          </w:rPr>
          <w:t>https://assets.publishing.service.gov.uk/government/uploads/system/uploads/attachment_data/file/533826/Triennial_Analysis_of_SCRs_2011-2014_-__Pathways_to_harm_and_protection.pdf</w:t>
        </w:r>
      </w:hyperlink>
      <w:r w:rsidRPr="00643852">
        <w:rPr>
          <w:rFonts w:ascii="Times New Roman" w:eastAsiaTheme="minorEastAsia" w:hAnsi="Times New Roman" w:cs="Times New Roman"/>
          <w:kern w:val="0"/>
          <w:sz w:val="24"/>
          <w:szCs w:val="24"/>
          <w:lang w:eastAsia="en-GB"/>
          <w14:ligatures w14:val="none"/>
        </w:rPr>
        <w:t xml:space="preserve"> (Accessed: 3 April 2025).</w:t>
      </w:r>
    </w:p>
    <w:p w14:paraId="1346C6CC"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t xml:space="preserve">6. Laming, H. (2003). The Victoria </w:t>
      </w:r>
      <w:proofErr w:type="spellStart"/>
      <w:r w:rsidRPr="00643852">
        <w:rPr>
          <w:rFonts w:ascii="Times New Roman" w:eastAsiaTheme="minorEastAsia" w:hAnsi="Times New Roman" w:cs="Times New Roman"/>
          <w:kern w:val="0"/>
          <w:sz w:val="24"/>
          <w:szCs w:val="24"/>
          <w:lang w:eastAsia="en-GB"/>
          <w14:ligatures w14:val="none"/>
        </w:rPr>
        <w:t>Climbié</w:t>
      </w:r>
      <w:proofErr w:type="spellEnd"/>
      <w:r w:rsidRPr="00643852">
        <w:rPr>
          <w:rFonts w:ascii="Times New Roman" w:eastAsiaTheme="minorEastAsia" w:hAnsi="Times New Roman" w:cs="Times New Roman"/>
          <w:kern w:val="0"/>
          <w:sz w:val="24"/>
          <w:szCs w:val="24"/>
          <w:lang w:eastAsia="en-GB"/>
          <w14:ligatures w14:val="none"/>
        </w:rPr>
        <w:t xml:space="preserve"> Inquiry: Report of an inquiry by Lord Laming. The Stationery Office. Retrieved from </w:t>
      </w:r>
      <w:hyperlink r:id="rId13" w:history="1">
        <w:r w:rsidRPr="00643852">
          <w:rPr>
            <w:rFonts w:ascii="Times New Roman" w:eastAsiaTheme="minorEastAsia" w:hAnsi="Times New Roman" w:cs="Times New Roman"/>
            <w:color w:val="0000FF"/>
            <w:kern w:val="0"/>
            <w:sz w:val="24"/>
            <w:szCs w:val="24"/>
            <w:u w:val="single"/>
            <w:lang w:eastAsia="en-GB"/>
            <w14:ligatures w14:val="none"/>
          </w:rPr>
          <w:t>https://www.gov.uk/government/publications/the-victoria-climbie-inquiry-report-of-an-inquiry-by-lord-laming</w:t>
        </w:r>
      </w:hyperlink>
      <w:r w:rsidRPr="00643852">
        <w:rPr>
          <w:rFonts w:ascii="Times New Roman" w:eastAsiaTheme="minorEastAsia" w:hAnsi="Times New Roman" w:cs="Times New Roman"/>
          <w:kern w:val="0"/>
          <w:sz w:val="24"/>
          <w:szCs w:val="24"/>
          <w:lang w:eastAsia="en-GB"/>
          <w14:ligatures w14:val="none"/>
        </w:rPr>
        <w:t xml:space="preserve"> (Accessed: 3 April 2025).</w:t>
      </w:r>
    </w:p>
    <w:p w14:paraId="1D453F47"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t xml:space="preserve">7. Munro, E. (2011). The Munro Review of Child Protection: Final Report – A child-centred system. Department for Education. Retrieved from </w:t>
      </w:r>
      <w:hyperlink r:id="rId14" w:history="1">
        <w:r w:rsidRPr="00643852">
          <w:rPr>
            <w:rFonts w:ascii="Times New Roman" w:eastAsiaTheme="minorEastAsia" w:hAnsi="Times New Roman" w:cs="Times New Roman"/>
            <w:color w:val="0000FF"/>
            <w:kern w:val="0"/>
            <w:sz w:val="24"/>
            <w:szCs w:val="24"/>
            <w:u w:val="single"/>
            <w:lang w:eastAsia="en-GB"/>
            <w14:ligatures w14:val="none"/>
          </w:rPr>
          <w:t>https://www.gov.uk/government/publications/munro-review-of-child-protection-final-report-a-child-centred-system</w:t>
        </w:r>
      </w:hyperlink>
      <w:r w:rsidRPr="00643852">
        <w:rPr>
          <w:rFonts w:ascii="Times New Roman" w:eastAsiaTheme="minorEastAsia" w:hAnsi="Times New Roman" w:cs="Times New Roman"/>
          <w:kern w:val="0"/>
          <w:sz w:val="24"/>
          <w:szCs w:val="24"/>
          <w:lang w:eastAsia="en-GB"/>
          <w14:ligatures w14:val="none"/>
        </w:rPr>
        <w:t xml:space="preserve"> (Accessed: 3 April 2025).</w:t>
      </w:r>
    </w:p>
    <w:p w14:paraId="04993EFE" w14:textId="77777777" w:rsidR="00643852" w:rsidRPr="00643852" w:rsidRDefault="00643852" w:rsidP="00643852">
      <w:pPr>
        <w:spacing w:before="100" w:beforeAutospacing="1" w:after="100" w:afterAutospacing="1" w:line="360" w:lineRule="auto"/>
        <w:divId w:val="1756592736"/>
        <w:rPr>
          <w:rFonts w:ascii="Times New Roman" w:eastAsiaTheme="minorEastAsia" w:hAnsi="Times New Roman" w:cs="Times New Roman"/>
          <w:kern w:val="0"/>
          <w:sz w:val="24"/>
          <w:szCs w:val="24"/>
          <w:lang w:eastAsia="en-GB"/>
          <w14:ligatures w14:val="none"/>
        </w:rPr>
      </w:pPr>
      <w:r w:rsidRPr="00643852">
        <w:rPr>
          <w:rFonts w:ascii="Times New Roman" w:eastAsiaTheme="minorEastAsia" w:hAnsi="Times New Roman" w:cs="Times New Roman"/>
          <w:kern w:val="0"/>
          <w:sz w:val="24"/>
          <w:szCs w:val="24"/>
          <w:lang w:eastAsia="en-GB"/>
          <w14:ligatures w14:val="none"/>
        </w:rPr>
        <w:t>8. Trevithick, P. (2012). Social Work Skills and Knowledge: A Practice Handbook (3rd ed.). Open University Press.</w:t>
      </w:r>
    </w:p>
    <w:p w14:paraId="1FAE7D0F" w14:textId="77777777" w:rsidR="00155821" w:rsidRPr="00C257C3" w:rsidRDefault="00155821" w:rsidP="00643852">
      <w:pPr>
        <w:spacing w:line="360" w:lineRule="auto"/>
        <w:jc w:val="both"/>
        <w:rPr>
          <w:rFonts w:ascii="Arial" w:hAnsi="Arial" w:cs="Arial"/>
          <w:b/>
          <w:bCs/>
        </w:rPr>
      </w:pPr>
    </w:p>
    <w:p w14:paraId="21A48D4A" w14:textId="77777777" w:rsidR="00155821" w:rsidRPr="00C257C3" w:rsidRDefault="00155821" w:rsidP="00643852">
      <w:pPr>
        <w:spacing w:line="360" w:lineRule="auto"/>
        <w:jc w:val="both"/>
        <w:rPr>
          <w:rFonts w:ascii="Arial" w:hAnsi="Arial" w:cs="Arial"/>
          <w:b/>
          <w:bCs/>
        </w:rPr>
      </w:pPr>
    </w:p>
    <w:p w14:paraId="40CD260D" w14:textId="77777777" w:rsidR="00155821" w:rsidRPr="00C257C3" w:rsidRDefault="00155821" w:rsidP="00643852">
      <w:pPr>
        <w:spacing w:line="360" w:lineRule="auto"/>
        <w:jc w:val="both"/>
        <w:rPr>
          <w:rFonts w:ascii="Arial" w:hAnsi="Arial" w:cs="Arial"/>
          <w:b/>
          <w:bCs/>
        </w:rPr>
      </w:pPr>
    </w:p>
    <w:p w14:paraId="19399638" w14:textId="77777777" w:rsidR="00155821" w:rsidRPr="00C257C3" w:rsidRDefault="00155821" w:rsidP="00643852">
      <w:pPr>
        <w:spacing w:line="360" w:lineRule="auto"/>
        <w:jc w:val="both"/>
        <w:rPr>
          <w:rFonts w:ascii="Arial" w:hAnsi="Arial" w:cs="Arial"/>
          <w:b/>
          <w:bCs/>
        </w:rPr>
      </w:pPr>
    </w:p>
    <w:p w14:paraId="51449F7C" w14:textId="77777777" w:rsidR="00155821" w:rsidRPr="00C257C3" w:rsidRDefault="00155821" w:rsidP="00643852">
      <w:pPr>
        <w:spacing w:line="360" w:lineRule="auto"/>
        <w:jc w:val="both"/>
        <w:rPr>
          <w:rFonts w:ascii="Arial" w:hAnsi="Arial" w:cs="Arial"/>
        </w:rPr>
      </w:pPr>
    </w:p>
    <w:p w14:paraId="7DEA6901" w14:textId="77777777" w:rsidR="00155821" w:rsidRDefault="00155821" w:rsidP="00643852">
      <w:pPr>
        <w:spacing w:line="360" w:lineRule="auto"/>
      </w:pPr>
    </w:p>
    <w:sectPr w:rsidR="00155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864831"/>
    <w:multiLevelType w:val="hybridMultilevel"/>
    <w:tmpl w:val="55088512"/>
    <w:lvl w:ilvl="0" w:tplc="B5588956">
      <w:start w:val="1"/>
      <w:numFmt w:val="bullet"/>
      <w:lvlText w:val=""/>
      <w:lvlJc w:val="left"/>
      <w:pPr>
        <w:ind w:left="720" w:hanging="360"/>
      </w:pPr>
      <w:rPr>
        <w:rFonts w:ascii="Symbol" w:hAnsi="Symbol" w:hint="default"/>
      </w:rPr>
    </w:lvl>
    <w:lvl w:ilvl="1" w:tplc="337C825C">
      <w:start w:val="1"/>
      <w:numFmt w:val="bullet"/>
      <w:lvlText w:val="o"/>
      <w:lvlJc w:val="left"/>
      <w:pPr>
        <w:ind w:left="1440" w:hanging="360"/>
      </w:pPr>
      <w:rPr>
        <w:rFonts w:ascii="Courier New" w:hAnsi="Courier New" w:hint="default"/>
      </w:rPr>
    </w:lvl>
    <w:lvl w:ilvl="2" w:tplc="738A19C0">
      <w:start w:val="1"/>
      <w:numFmt w:val="bullet"/>
      <w:lvlText w:val=""/>
      <w:lvlJc w:val="left"/>
      <w:pPr>
        <w:ind w:left="2160" w:hanging="360"/>
      </w:pPr>
      <w:rPr>
        <w:rFonts w:ascii="Wingdings" w:hAnsi="Wingdings" w:hint="default"/>
      </w:rPr>
    </w:lvl>
    <w:lvl w:ilvl="3" w:tplc="4B320FB2">
      <w:start w:val="1"/>
      <w:numFmt w:val="bullet"/>
      <w:lvlText w:val=""/>
      <w:lvlJc w:val="left"/>
      <w:pPr>
        <w:ind w:left="2880" w:hanging="360"/>
      </w:pPr>
      <w:rPr>
        <w:rFonts w:ascii="Symbol" w:hAnsi="Symbol" w:hint="default"/>
      </w:rPr>
    </w:lvl>
    <w:lvl w:ilvl="4" w:tplc="98241DCE">
      <w:start w:val="1"/>
      <w:numFmt w:val="bullet"/>
      <w:lvlText w:val="o"/>
      <w:lvlJc w:val="left"/>
      <w:pPr>
        <w:ind w:left="3600" w:hanging="360"/>
      </w:pPr>
      <w:rPr>
        <w:rFonts w:ascii="Courier New" w:hAnsi="Courier New" w:hint="default"/>
      </w:rPr>
    </w:lvl>
    <w:lvl w:ilvl="5" w:tplc="B156B0B0">
      <w:start w:val="1"/>
      <w:numFmt w:val="bullet"/>
      <w:lvlText w:val=""/>
      <w:lvlJc w:val="left"/>
      <w:pPr>
        <w:ind w:left="4320" w:hanging="360"/>
      </w:pPr>
      <w:rPr>
        <w:rFonts w:ascii="Wingdings" w:hAnsi="Wingdings" w:hint="default"/>
      </w:rPr>
    </w:lvl>
    <w:lvl w:ilvl="6" w:tplc="F2E4D84A">
      <w:start w:val="1"/>
      <w:numFmt w:val="bullet"/>
      <w:lvlText w:val=""/>
      <w:lvlJc w:val="left"/>
      <w:pPr>
        <w:ind w:left="5040" w:hanging="360"/>
      </w:pPr>
      <w:rPr>
        <w:rFonts w:ascii="Symbol" w:hAnsi="Symbol" w:hint="default"/>
      </w:rPr>
    </w:lvl>
    <w:lvl w:ilvl="7" w:tplc="12DCEDE0">
      <w:start w:val="1"/>
      <w:numFmt w:val="bullet"/>
      <w:lvlText w:val="o"/>
      <w:lvlJc w:val="left"/>
      <w:pPr>
        <w:ind w:left="5760" w:hanging="360"/>
      </w:pPr>
      <w:rPr>
        <w:rFonts w:ascii="Courier New" w:hAnsi="Courier New" w:hint="default"/>
      </w:rPr>
    </w:lvl>
    <w:lvl w:ilvl="8" w:tplc="3B08EE40">
      <w:start w:val="1"/>
      <w:numFmt w:val="bullet"/>
      <w:lvlText w:val=""/>
      <w:lvlJc w:val="left"/>
      <w:pPr>
        <w:ind w:left="6480" w:hanging="360"/>
      </w:pPr>
      <w:rPr>
        <w:rFonts w:ascii="Wingdings" w:hAnsi="Wingdings" w:hint="default"/>
      </w:rPr>
    </w:lvl>
  </w:abstractNum>
  <w:num w:numId="1" w16cid:durableId="1874150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821"/>
    <w:rsid w:val="00155821"/>
    <w:rsid w:val="00267AE2"/>
    <w:rsid w:val="003D4CC4"/>
    <w:rsid w:val="00531B39"/>
    <w:rsid w:val="005A2BF2"/>
    <w:rsid w:val="005D3BC5"/>
    <w:rsid w:val="00607F96"/>
    <w:rsid w:val="00643852"/>
    <w:rsid w:val="00795F8E"/>
    <w:rsid w:val="00895E1E"/>
    <w:rsid w:val="009B3BBC"/>
    <w:rsid w:val="00A50C3E"/>
    <w:rsid w:val="00B21810"/>
    <w:rsid w:val="00C436E8"/>
    <w:rsid w:val="00C8259B"/>
    <w:rsid w:val="00CF20A4"/>
    <w:rsid w:val="00D32823"/>
    <w:rsid w:val="00DE3B31"/>
    <w:rsid w:val="00E55220"/>
    <w:rsid w:val="00E70488"/>
    <w:rsid w:val="00E77416"/>
    <w:rsid w:val="00EC4589"/>
    <w:rsid w:val="00EC7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93103"/>
  <w15:chartTrackingRefBased/>
  <w15:docId w15:val="{7AC16BB2-AF61-419B-A1B9-67F29031F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8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58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58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58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58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5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8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58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58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58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58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5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821"/>
    <w:rPr>
      <w:rFonts w:eastAsiaTheme="majorEastAsia" w:cstheme="majorBidi"/>
      <w:color w:val="272727" w:themeColor="text1" w:themeTint="D8"/>
    </w:rPr>
  </w:style>
  <w:style w:type="paragraph" w:styleId="Title">
    <w:name w:val="Title"/>
    <w:basedOn w:val="Normal"/>
    <w:next w:val="Normal"/>
    <w:link w:val="TitleChar"/>
    <w:uiPriority w:val="10"/>
    <w:qFormat/>
    <w:rsid w:val="00155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821"/>
    <w:pPr>
      <w:spacing w:before="160"/>
      <w:jc w:val="center"/>
    </w:pPr>
    <w:rPr>
      <w:i/>
      <w:iCs/>
      <w:color w:val="404040" w:themeColor="text1" w:themeTint="BF"/>
    </w:rPr>
  </w:style>
  <w:style w:type="character" w:customStyle="1" w:styleId="QuoteChar">
    <w:name w:val="Quote Char"/>
    <w:basedOn w:val="DefaultParagraphFont"/>
    <w:link w:val="Quote"/>
    <w:uiPriority w:val="29"/>
    <w:rsid w:val="00155821"/>
    <w:rPr>
      <w:i/>
      <w:iCs/>
      <w:color w:val="404040" w:themeColor="text1" w:themeTint="BF"/>
    </w:rPr>
  </w:style>
  <w:style w:type="paragraph" w:styleId="ListParagraph">
    <w:name w:val="List Paragraph"/>
    <w:basedOn w:val="Normal"/>
    <w:uiPriority w:val="34"/>
    <w:qFormat/>
    <w:rsid w:val="00155821"/>
    <w:pPr>
      <w:ind w:left="720"/>
      <w:contextualSpacing/>
    </w:pPr>
  </w:style>
  <w:style w:type="character" w:styleId="IntenseEmphasis">
    <w:name w:val="Intense Emphasis"/>
    <w:basedOn w:val="DefaultParagraphFont"/>
    <w:uiPriority w:val="21"/>
    <w:qFormat/>
    <w:rsid w:val="00155821"/>
    <w:rPr>
      <w:i/>
      <w:iCs/>
      <w:color w:val="2F5496" w:themeColor="accent1" w:themeShade="BF"/>
    </w:rPr>
  </w:style>
  <w:style w:type="paragraph" w:styleId="IntenseQuote">
    <w:name w:val="Intense Quote"/>
    <w:basedOn w:val="Normal"/>
    <w:next w:val="Normal"/>
    <w:link w:val="IntenseQuoteChar"/>
    <w:uiPriority w:val="30"/>
    <w:qFormat/>
    <w:rsid w:val="001558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5821"/>
    <w:rPr>
      <w:i/>
      <w:iCs/>
      <w:color w:val="2F5496" w:themeColor="accent1" w:themeShade="BF"/>
    </w:rPr>
  </w:style>
  <w:style w:type="character" w:styleId="IntenseReference">
    <w:name w:val="Intense Reference"/>
    <w:basedOn w:val="DefaultParagraphFont"/>
    <w:uiPriority w:val="32"/>
    <w:qFormat/>
    <w:rsid w:val="00155821"/>
    <w:rPr>
      <w:b/>
      <w:bCs/>
      <w:smallCaps/>
      <w:color w:val="2F5496" w:themeColor="accent1" w:themeShade="BF"/>
      <w:spacing w:val="5"/>
    </w:rPr>
  </w:style>
  <w:style w:type="character" w:styleId="Hyperlink">
    <w:name w:val="Hyperlink"/>
    <w:basedOn w:val="DefaultParagraphFont"/>
    <w:uiPriority w:val="99"/>
    <w:unhideWhenUsed/>
    <w:rsid w:val="00155821"/>
    <w:rPr>
      <w:color w:val="0563C1" w:themeColor="hyperlink"/>
      <w:u w:val="single"/>
    </w:rPr>
  </w:style>
  <w:style w:type="paragraph" w:styleId="NormalWeb">
    <w:name w:val="Normal (Web)"/>
    <w:basedOn w:val="Normal"/>
    <w:uiPriority w:val="99"/>
    <w:unhideWhenUsed/>
    <w:rsid w:val="001558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1">
    <w:name w:val="p1"/>
    <w:basedOn w:val="Normal"/>
    <w:rsid w:val="00EC71A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1">
    <w:name w:val="s1"/>
    <w:basedOn w:val="DefaultParagraphFont"/>
    <w:rsid w:val="00EC71A2"/>
  </w:style>
  <w:style w:type="paragraph" w:customStyle="1" w:styleId="p2">
    <w:name w:val="p2"/>
    <w:basedOn w:val="Normal"/>
    <w:rsid w:val="00EC71A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EC71A2"/>
  </w:style>
  <w:style w:type="character" w:customStyle="1" w:styleId="apple-tab-span">
    <w:name w:val="apple-tab-span"/>
    <w:basedOn w:val="DefaultParagraphFont"/>
    <w:rsid w:val="005D3BC5"/>
  </w:style>
  <w:style w:type="paragraph" w:customStyle="1" w:styleId="p3">
    <w:name w:val="p3"/>
    <w:basedOn w:val="Normal"/>
    <w:rsid w:val="005D3BC5"/>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55220"/>
    <w:rPr>
      <w:color w:val="605E5C"/>
      <w:shd w:val="clear" w:color="auto" w:fill="E1DFDD"/>
    </w:rPr>
  </w:style>
  <w:style w:type="character" w:styleId="FollowedHyperlink">
    <w:name w:val="FollowedHyperlink"/>
    <w:basedOn w:val="DefaultParagraphFont"/>
    <w:uiPriority w:val="99"/>
    <w:semiHidden/>
    <w:unhideWhenUsed/>
    <w:rsid w:val="00E552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998717">
      <w:bodyDiv w:val="1"/>
      <w:marLeft w:val="0"/>
      <w:marRight w:val="0"/>
      <w:marTop w:val="0"/>
      <w:marBottom w:val="0"/>
      <w:divBdr>
        <w:top w:val="none" w:sz="0" w:space="0" w:color="auto"/>
        <w:left w:val="none" w:sz="0" w:space="0" w:color="auto"/>
        <w:bottom w:val="none" w:sz="0" w:space="0" w:color="auto"/>
        <w:right w:val="none" w:sz="0" w:space="0" w:color="auto"/>
      </w:divBdr>
    </w:div>
    <w:div w:id="1595212013">
      <w:bodyDiv w:val="1"/>
      <w:marLeft w:val="0"/>
      <w:marRight w:val="0"/>
      <w:marTop w:val="0"/>
      <w:marBottom w:val="0"/>
      <w:divBdr>
        <w:top w:val="none" w:sz="0" w:space="0" w:color="auto"/>
        <w:left w:val="none" w:sz="0" w:space="0" w:color="auto"/>
        <w:bottom w:val="none" w:sz="0" w:space="0" w:color="auto"/>
        <w:right w:val="none" w:sz="0" w:space="0" w:color="auto"/>
      </w:divBdr>
    </w:div>
    <w:div w:id="1675955058">
      <w:bodyDiv w:val="1"/>
      <w:marLeft w:val="0"/>
      <w:marRight w:val="0"/>
      <w:marTop w:val="0"/>
      <w:marBottom w:val="0"/>
      <w:divBdr>
        <w:top w:val="none" w:sz="0" w:space="0" w:color="auto"/>
        <w:left w:val="none" w:sz="0" w:space="0" w:color="auto"/>
        <w:bottom w:val="none" w:sz="0" w:space="0" w:color="auto"/>
        <w:right w:val="none" w:sz="0" w:space="0" w:color="auto"/>
      </w:divBdr>
    </w:div>
    <w:div w:id="1693530319">
      <w:bodyDiv w:val="1"/>
      <w:marLeft w:val="0"/>
      <w:marRight w:val="0"/>
      <w:marTop w:val="0"/>
      <w:marBottom w:val="0"/>
      <w:divBdr>
        <w:top w:val="none" w:sz="0" w:space="0" w:color="auto"/>
        <w:left w:val="none" w:sz="0" w:space="0" w:color="auto"/>
        <w:bottom w:val="none" w:sz="0" w:space="0" w:color="auto"/>
        <w:right w:val="none" w:sz="0" w:space="0" w:color="auto"/>
      </w:divBdr>
    </w:div>
    <w:div w:id="1756592736">
      <w:bodyDiv w:val="1"/>
      <w:marLeft w:val="0"/>
      <w:marRight w:val="0"/>
      <w:marTop w:val="0"/>
      <w:marBottom w:val="0"/>
      <w:divBdr>
        <w:top w:val="none" w:sz="0" w:space="0" w:color="auto"/>
        <w:left w:val="none" w:sz="0" w:space="0" w:color="auto"/>
        <w:bottom w:val="none" w:sz="0" w:space="0" w:color="auto"/>
        <w:right w:val="none" w:sz="0" w:space="0" w:color="auto"/>
      </w:divBdr>
    </w:div>
    <w:div w:id="199494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13" Type="http://schemas.openxmlformats.org/officeDocument/2006/relationships/hyperlink" Target="https://www.gov.uk/government/publications/the-victoria-climbie-inquiry-report-of-an-inquiry-by-lord-laming" TargetMode="External"/><Relationship Id="rId3" Type="http://schemas.openxmlformats.org/officeDocument/2006/relationships/settings" Target="settings.xml"/><Relationship Id="rId7" Type="http://schemas.openxmlformats.org/officeDocument/2006/relationships/hyperlink" Target="https://uowtsd-my.sharepoint.com/:v:/g/personal/2308808_student_uwtsd_ac_uk/EfwVPbGoMUFNgi-zo9WphBUBIrMCpEddSfHCcS-ualg6EQ" TargetMode="External"/><Relationship Id="rId12" Type="http://schemas.openxmlformats.org/officeDocument/2006/relationships/hyperlink" Target="https://assets.publishing.service.gov.uk/government/uploads/system/uploads/attachment_data/file/533826/Triennial_Analysis_of_SCRs_2011-2014_-__Pathways_to_harm_and_protectio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earning.nspcc.org.uk/case-reviews/national-case-review-repository" TargetMode="External"/><Relationship Id="rId11" Type="http://schemas.openxmlformats.org/officeDocument/2006/relationships/hyperlink" Target="https://doi.org/10.1016/S0749-3797(98)00017-8"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gov.uk/government/publications/keeping-children-safe-in-education--2" TargetMode="External"/><Relationship Id="rId4" Type="http://schemas.openxmlformats.org/officeDocument/2006/relationships/webSettings" Target="webSettings.xml"/><Relationship Id="rId9" Type="http://schemas.openxmlformats.org/officeDocument/2006/relationships/hyperlink" Target="https://learning.nspcc.org.uk/case-reviews/national-case-review-repository" TargetMode="External"/><Relationship Id="rId14" Type="http://schemas.openxmlformats.org/officeDocument/2006/relationships/hyperlink" Target="https://www.gov.uk/government/publications/munro-review-of-child-protection-final-report-a-child-centred-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1593</Words>
  <Characters>9082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eunice franco</cp:lastModifiedBy>
  <cp:revision>2</cp:revision>
  <dcterms:created xsi:type="dcterms:W3CDTF">2025-04-03T23:15:00Z</dcterms:created>
  <dcterms:modified xsi:type="dcterms:W3CDTF">2025-04-03T23:15:00Z</dcterms:modified>
</cp:coreProperties>
</file>