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525AB" w14:textId="4BCE335B" w:rsidR="00F20B33" w:rsidRDefault="00F20B33" w:rsidP="005F1C51">
      <w:pPr>
        <w:pStyle w:val="TOCHeading"/>
        <w:spacing w:line="360" w:lineRule="auto"/>
        <w:jc w:val="center"/>
        <w:rPr>
          <w:rFonts w:ascii="Times New Roman" w:hAnsi="Times New Roman" w:cs="Times New Roman"/>
        </w:rPr>
      </w:pPr>
    </w:p>
    <w:p w14:paraId="32F2C5B9" w14:textId="40B43EDA" w:rsidR="005F1C51" w:rsidRPr="00F94FD0" w:rsidRDefault="00F94FD0" w:rsidP="005F1C51">
      <w:pPr>
        <w:pStyle w:val="TOC1"/>
        <w:tabs>
          <w:tab w:val="right" w:leader="dot" w:pos="9350"/>
        </w:tabs>
        <w:spacing w:line="360" w:lineRule="auto"/>
        <w:jc w:val="both"/>
        <w:rPr>
          <w:rFonts w:ascii="Times New Roman" w:hAnsi="Times New Roman"/>
          <w:noProof/>
          <w:sz w:val="24"/>
          <w:szCs w:val="24"/>
        </w:rPr>
      </w:pPr>
      <w:r w:rsidRPr="00F94FD0">
        <w:rPr>
          <w:rFonts w:ascii="Times New Roman" w:hAnsi="Times New Roman"/>
          <w:b/>
          <w:bCs/>
          <w:noProof/>
          <w:sz w:val="24"/>
          <w:szCs w:val="24"/>
        </w:rPr>
        <w:fldChar w:fldCharType="begin"/>
      </w:r>
      <w:r w:rsidRPr="00F94FD0">
        <w:rPr>
          <w:rFonts w:ascii="Times New Roman" w:hAnsi="Times New Roman"/>
          <w:b/>
          <w:bCs/>
          <w:noProof/>
          <w:sz w:val="24"/>
          <w:szCs w:val="24"/>
        </w:rPr>
        <w:instrText xml:space="preserve"> TOC \o "1-3" \h \z \u </w:instrText>
      </w:r>
      <w:r w:rsidRPr="00F94FD0">
        <w:rPr>
          <w:rFonts w:ascii="Times New Roman" w:hAnsi="Times New Roman"/>
          <w:b/>
          <w:bCs/>
          <w:noProof/>
          <w:sz w:val="24"/>
          <w:szCs w:val="24"/>
        </w:rPr>
        <w:fldChar w:fldCharType="separate"/>
      </w:r>
    </w:p>
    <w:p w14:paraId="66164DA1" w14:textId="5BB1B961" w:rsidR="00F20B33" w:rsidRPr="00F94FD0" w:rsidRDefault="00F20B33" w:rsidP="00F94FD0">
      <w:pPr>
        <w:pStyle w:val="TOC2"/>
        <w:tabs>
          <w:tab w:val="right" w:leader="dot" w:pos="9350"/>
        </w:tabs>
        <w:spacing w:line="360" w:lineRule="auto"/>
        <w:jc w:val="both"/>
        <w:rPr>
          <w:rFonts w:ascii="Times New Roman" w:hAnsi="Times New Roman"/>
          <w:noProof/>
          <w:sz w:val="24"/>
          <w:szCs w:val="24"/>
        </w:rPr>
      </w:pPr>
    </w:p>
    <w:p w14:paraId="47ADAF54" w14:textId="77777777"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b/>
          <w:bCs/>
          <w:noProof/>
          <w:sz w:val="24"/>
          <w:szCs w:val="24"/>
        </w:rPr>
        <w:fldChar w:fldCharType="end"/>
      </w:r>
    </w:p>
    <w:tbl>
      <w:tblPr>
        <w:tblStyle w:val="TableGrid"/>
        <w:tblpPr w:leftFromText="180" w:rightFromText="180" w:vertAnchor="page" w:horzAnchor="margin" w:tblpY="6961"/>
        <w:tblW w:w="104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0"/>
        <w:gridCol w:w="7728"/>
      </w:tblGrid>
      <w:tr w:rsidR="005F1C51" w14:paraId="0FD9274D" w14:textId="77777777" w:rsidTr="005F1C51">
        <w:trPr>
          <w:trHeight w:val="692"/>
        </w:trPr>
        <w:tc>
          <w:tcPr>
            <w:tcW w:w="2700" w:type="dxa"/>
          </w:tcPr>
          <w:p w14:paraId="04AB1A10" w14:textId="77777777" w:rsidR="005F1C51" w:rsidRPr="005F1C51" w:rsidRDefault="005F1C51" w:rsidP="005F1C51">
            <w:pPr>
              <w:pStyle w:val="TOC1"/>
              <w:tabs>
                <w:tab w:val="right" w:leader="dot" w:pos="9350"/>
              </w:tabs>
              <w:spacing w:line="360" w:lineRule="auto"/>
              <w:rPr>
                <w:rFonts w:ascii="Times New Roman" w:hAnsi="Times New Roman"/>
                <w:b/>
                <w:bCs/>
                <w:noProof/>
                <w:sz w:val="36"/>
                <w:szCs w:val="36"/>
              </w:rPr>
            </w:pPr>
            <w:r w:rsidRPr="005F1C51">
              <w:rPr>
                <w:rFonts w:ascii="Times New Roman" w:hAnsi="Times New Roman"/>
                <w:b/>
                <w:bCs/>
                <w:noProof/>
                <w:sz w:val="36"/>
                <w:szCs w:val="36"/>
              </w:rPr>
              <w:t>Student Name:</w:t>
            </w:r>
          </w:p>
        </w:tc>
        <w:tc>
          <w:tcPr>
            <w:tcW w:w="7728" w:type="dxa"/>
          </w:tcPr>
          <w:p w14:paraId="33138B70" w14:textId="77777777" w:rsidR="005F1C51" w:rsidRPr="005F1C51" w:rsidRDefault="005F1C51" w:rsidP="005F1C51">
            <w:pPr>
              <w:pStyle w:val="TOC1"/>
              <w:tabs>
                <w:tab w:val="right" w:leader="dot" w:pos="9350"/>
              </w:tabs>
              <w:spacing w:line="360" w:lineRule="auto"/>
              <w:rPr>
                <w:rFonts w:ascii="Times New Roman" w:hAnsi="Times New Roman"/>
                <w:noProof/>
                <w:sz w:val="32"/>
                <w:szCs w:val="32"/>
              </w:rPr>
            </w:pPr>
            <w:r w:rsidRPr="005F1C51">
              <w:rPr>
                <w:rFonts w:ascii="Times New Roman" w:hAnsi="Times New Roman"/>
                <w:noProof/>
                <w:sz w:val="32"/>
                <w:szCs w:val="32"/>
              </w:rPr>
              <w:t>Bijay Dip Karki</w:t>
            </w:r>
          </w:p>
        </w:tc>
      </w:tr>
      <w:tr w:rsidR="005F1C51" w14:paraId="3BD57ADA" w14:textId="77777777" w:rsidTr="005F1C51">
        <w:trPr>
          <w:trHeight w:val="692"/>
        </w:trPr>
        <w:tc>
          <w:tcPr>
            <w:tcW w:w="2700" w:type="dxa"/>
          </w:tcPr>
          <w:p w14:paraId="18C55FC2" w14:textId="77777777" w:rsidR="005F1C51" w:rsidRPr="005F1C51" w:rsidRDefault="005F1C51" w:rsidP="005F1C51">
            <w:pPr>
              <w:pStyle w:val="TOC1"/>
              <w:tabs>
                <w:tab w:val="right" w:leader="dot" w:pos="9350"/>
              </w:tabs>
              <w:spacing w:line="360" w:lineRule="auto"/>
              <w:rPr>
                <w:rFonts w:ascii="Times New Roman" w:hAnsi="Times New Roman"/>
                <w:b/>
                <w:bCs/>
                <w:noProof/>
                <w:sz w:val="36"/>
                <w:szCs w:val="36"/>
              </w:rPr>
            </w:pPr>
            <w:r w:rsidRPr="005F1C51">
              <w:rPr>
                <w:rFonts w:ascii="Times New Roman" w:hAnsi="Times New Roman"/>
                <w:b/>
                <w:bCs/>
                <w:noProof/>
                <w:sz w:val="36"/>
                <w:szCs w:val="36"/>
              </w:rPr>
              <w:t>Student ID:</w:t>
            </w:r>
          </w:p>
        </w:tc>
        <w:tc>
          <w:tcPr>
            <w:tcW w:w="7728" w:type="dxa"/>
          </w:tcPr>
          <w:p w14:paraId="66F76473" w14:textId="77777777" w:rsidR="005F1C51" w:rsidRPr="005F1C51" w:rsidRDefault="005F1C51" w:rsidP="005F1C51">
            <w:pPr>
              <w:pStyle w:val="TOC1"/>
              <w:tabs>
                <w:tab w:val="right" w:leader="dot" w:pos="9350"/>
              </w:tabs>
              <w:spacing w:line="360" w:lineRule="auto"/>
              <w:rPr>
                <w:rFonts w:ascii="Times New Roman" w:hAnsi="Times New Roman"/>
                <w:noProof/>
                <w:sz w:val="32"/>
                <w:szCs w:val="32"/>
              </w:rPr>
            </w:pPr>
            <w:r w:rsidRPr="005F1C51">
              <w:rPr>
                <w:rFonts w:ascii="Times New Roman" w:hAnsi="Times New Roman"/>
                <w:noProof/>
                <w:sz w:val="32"/>
                <w:szCs w:val="32"/>
              </w:rPr>
              <w:t>2207937</w:t>
            </w:r>
          </w:p>
        </w:tc>
      </w:tr>
      <w:tr w:rsidR="005F1C51" w14:paraId="27A5CA53" w14:textId="77777777" w:rsidTr="005F1C51">
        <w:trPr>
          <w:trHeight w:val="698"/>
        </w:trPr>
        <w:tc>
          <w:tcPr>
            <w:tcW w:w="2700" w:type="dxa"/>
          </w:tcPr>
          <w:p w14:paraId="07D6C654" w14:textId="77777777" w:rsidR="005F1C51" w:rsidRPr="005F1C51" w:rsidRDefault="005F1C51" w:rsidP="005F1C51">
            <w:pPr>
              <w:pStyle w:val="TOC1"/>
              <w:tabs>
                <w:tab w:val="right" w:leader="dot" w:pos="9350"/>
              </w:tabs>
              <w:spacing w:line="360" w:lineRule="auto"/>
              <w:rPr>
                <w:rFonts w:ascii="Times New Roman" w:hAnsi="Times New Roman"/>
                <w:b/>
                <w:bCs/>
                <w:noProof/>
                <w:sz w:val="36"/>
                <w:szCs w:val="36"/>
              </w:rPr>
            </w:pPr>
            <w:r w:rsidRPr="005F1C51">
              <w:rPr>
                <w:rFonts w:ascii="Times New Roman" w:hAnsi="Times New Roman"/>
                <w:b/>
                <w:bCs/>
                <w:noProof/>
                <w:sz w:val="36"/>
                <w:szCs w:val="36"/>
              </w:rPr>
              <w:t>Module Title:</w:t>
            </w:r>
          </w:p>
        </w:tc>
        <w:tc>
          <w:tcPr>
            <w:tcW w:w="7728" w:type="dxa"/>
          </w:tcPr>
          <w:p w14:paraId="558342C8" w14:textId="3C20D52C" w:rsidR="005F1C51" w:rsidRPr="005F1C51" w:rsidRDefault="005F1C51" w:rsidP="005F1C51">
            <w:pPr>
              <w:pStyle w:val="TOC1"/>
              <w:tabs>
                <w:tab w:val="right" w:leader="dot" w:pos="9350"/>
              </w:tabs>
              <w:spacing w:line="360" w:lineRule="auto"/>
              <w:rPr>
                <w:rFonts w:ascii="Times New Roman" w:hAnsi="Times New Roman"/>
                <w:b/>
                <w:bCs/>
                <w:noProof/>
                <w:sz w:val="32"/>
                <w:szCs w:val="32"/>
              </w:rPr>
            </w:pPr>
            <w:r w:rsidRPr="005F1C51">
              <w:rPr>
                <w:rFonts w:ascii="Times New Roman" w:hAnsi="Times New Roman"/>
                <w:noProof/>
                <w:sz w:val="32"/>
                <w:szCs w:val="32"/>
              </w:rPr>
              <w:t>Personal resourcing &amp;</w:t>
            </w:r>
            <w:r>
              <w:rPr>
                <w:rFonts w:ascii="Times New Roman" w:hAnsi="Times New Roman"/>
                <w:noProof/>
                <w:sz w:val="32"/>
                <w:szCs w:val="32"/>
              </w:rPr>
              <w:t xml:space="preserve"> </w:t>
            </w:r>
            <w:r w:rsidRPr="005F1C51">
              <w:rPr>
                <w:rFonts w:ascii="Times New Roman" w:hAnsi="Times New Roman"/>
                <w:noProof/>
                <w:sz w:val="32"/>
                <w:szCs w:val="32"/>
              </w:rPr>
              <w:t xml:space="preserve">development( </w:t>
            </w:r>
            <w:r w:rsidRPr="005F1C51">
              <w:rPr>
                <w:rFonts w:ascii="Times New Roman" w:hAnsi="Times New Roman"/>
                <w:b/>
                <w:bCs/>
                <w:noProof/>
                <w:sz w:val="32"/>
                <w:szCs w:val="32"/>
              </w:rPr>
              <w:t>BMIH5005)</w:t>
            </w:r>
          </w:p>
        </w:tc>
      </w:tr>
      <w:tr w:rsidR="005F1C51" w14:paraId="45355C33" w14:textId="77777777" w:rsidTr="005F1C51">
        <w:trPr>
          <w:trHeight w:val="692"/>
        </w:trPr>
        <w:tc>
          <w:tcPr>
            <w:tcW w:w="2700" w:type="dxa"/>
          </w:tcPr>
          <w:p w14:paraId="1E4F9990" w14:textId="77777777" w:rsidR="005F1C51" w:rsidRPr="005F1C51" w:rsidRDefault="005F1C51" w:rsidP="005F1C51">
            <w:pPr>
              <w:pStyle w:val="TOC1"/>
              <w:tabs>
                <w:tab w:val="right" w:leader="dot" w:pos="9350"/>
              </w:tabs>
              <w:spacing w:line="360" w:lineRule="auto"/>
              <w:rPr>
                <w:rFonts w:ascii="Times New Roman" w:hAnsi="Times New Roman"/>
                <w:b/>
                <w:bCs/>
                <w:noProof/>
                <w:sz w:val="36"/>
                <w:szCs w:val="36"/>
              </w:rPr>
            </w:pPr>
            <w:r w:rsidRPr="005F1C51">
              <w:rPr>
                <w:rFonts w:ascii="Times New Roman" w:hAnsi="Times New Roman"/>
                <w:b/>
                <w:bCs/>
                <w:noProof/>
                <w:sz w:val="36"/>
                <w:szCs w:val="36"/>
              </w:rPr>
              <w:t>Lecture Name:</w:t>
            </w:r>
          </w:p>
        </w:tc>
        <w:tc>
          <w:tcPr>
            <w:tcW w:w="7728" w:type="dxa"/>
          </w:tcPr>
          <w:p w14:paraId="6EC2E0C2" w14:textId="77777777" w:rsidR="005F1C51" w:rsidRPr="005F1C51" w:rsidRDefault="005F1C51" w:rsidP="005F1C51">
            <w:pPr>
              <w:pStyle w:val="TOC1"/>
              <w:tabs>
                <w:tab w:val="right" w:leader="dot" w:pos="9350"/>
              </w:tabs>
              <w:spacing w:line="360" w:lineRule="auto"/>
              <w:rPr>
                <w:rFonts w:ascii="Times New Roman" w:hAnsi="Times New Roman"/>
                <w:noProof/>
                <w:sz w:val="32"/>
                <w:szCs w:val="32"/>
              </w:rPr>
            </w:pPr>
            <w:r w:rsidRPr="005F1C51">
              <w:rPr>
                <w:rFonts w:ascii="Times New Roman" w:hAnsi="Times New Roman"/>
                <w:noProof/>
                <w:sz w:val="32"/>
                <w:szCs w:val="32"/>
              </w:rPr>
              <w:t>Deborah Lloyds</w:t>
            </w:r>
          </w:p>
        </w:tc>
      </w:tr>
    </w:tbl>
    <w:p w14:paraId="6D2BF1F8" w14:textId="77777777"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sz w:val="24"/>
          <w:szCs w:val="24"/>
        </w:rPr>
        <w:br w:type="page"/>
      </w:r>
    </w:p>
    <w:p w14:paraId="53E6D1A0" w14:textId="5406ADDE" w:rsidR="005F1C51" w:rsidRPr="00C658BE" w:rsidRDefault="00C658BE" w:rsidP="00C658BE">
      <w:pPr>
        <w:spacing w:line="360" w:lineRule="auto"/>
        <w:rPr>
          <w:rFonts w:ascii="Times New Roman" w:hAnsi="Times New Roman"/>
          <w:b/>
          <w:bCs/>
          <w:sz w:val="28"/>
          <w:szCs w:val="28"/>
          <w:u w:val="single"/>
        </w:rPr>
      </w:pPr>
      <w:r w:rsidRPr="00C658BE">
        <w:rPr>
          <w:rFonts w:ascii="Times New Roman" w:hAnsi="Times New Roman"/>
          <w:b/>
          <w:bCs/>
          <w:sz w:val="28"/>
          <w:szCs w:val="28"/>
          <w:u w:val="single"/>
        </w:rPr>
        <w:lastRenderedPageBreak/>
        <w:t>How to engage employees (Generation Ys) throughout the employee life cycle.</w:t>
      </w:r>
    </w:p>
    <w:p w14:paraId="63F267D6" w14:textId="0E364AF8"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sz w:val="24"/>
          <w:szCs w:val="24"/>
        </w:rPr>
        <w:t>In the hotel sector, employee engagement is of utmost importance because it has a significant impact on customer pleasure, employee productivity, and overall organizational success (Shmailan, 2016). The complexity of retaining staff throughout their careers at a large hotel is examined in this essay, with a particular emphasis on Generation Y, commonly known as Millennials, who were born between the early 1980s and the mid-1990s.</w:t>
      </w:r>
    </w:p>
    <w:p w14:paraId="65867513" w14:textId="1F4901FB"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sz w:val="24"/>
          <w:szCs w:val="24"/>
        </w:rPr>
        <w:t>Primarily, it is crucial to provide precise definitions. Employee engagement is the term used to describe the emotional dedication and drive shown by employees toward their jobs and the company (Schaufeli, 2012). Generation Y presents potential problems for hoteliers because of its digital nativism and desire for meaningful work.</w:t>
      </w:r>
    </w:p>
    <w:p w14:paraId="2F6F8FB8" w14:textId="0FFE5F23" w:rsidR="00C658BE" w:rsidRPr="00C658BE" w:rsidRDefault="00F94FD0" w:rsidP="00C658BE">
      <w:pPr>
        <w:spacing w:line="360" w:lineRule="auto"/>
        <w:jc w:val="both"/>
        <w:rPr>
          <w:rFonts w:ascii="Times New Roman" w:hAnsi="Times New Roman"/>
          <w:sz w:val="24"/>
          <w:szCs w:val="24"/>
        </w:rPr>
      </w:pPr>
      <w:r w:rsidRPr="00F94FD0">
        <w:rPr>
          <w:rFonts w:ascii="Times New Roman" w:hAnsi="Times New Roman"/>
          <w:sz w:val="24"/>
          <w:szCs w:val="24"/>
        </w:rPr>
        <w:t xml:space="preserve">This essay's goal is to analyze how human resources may motivate Generation Y workers at various points in their employment in the hotel sector, </w:t>
      </w:r>
      <w:r w:rsidRPr="00F94FD0">
        <w:rPr>
          <w:rFonts w:ascii="Times New Roman" w:hAnsi="Times New Roman"/>
          <w:sz w:val="24"/>
          <w:szCs w:val="24"/>
          <w:highlight w:val="yellow"/>
        </w:rPr>
        <w:t>specifically in the hotel chain of Marriott Hotel Management.</w:t>
      </w:r>
      <w:r w:rsidRPr="00F94FD0">
        <w:rPr>
          <w:rFonts w:ascii="Times New Roman" w:hAnsi="Times New Roman"/>
          <w:sz w:val="24"/>
          <w:szCs w:val="24"/>
        </w:rPr>
        <w:t xml:space="preserve"> The essay will examine the unique traits and preferences of Generation Y, offer specific engagement tactics, and carefully examine the employee lifecycle to find critical moments for promoting engagement. The essay will also include a model for employee engagement and show how it may be used in the context of hotels. In the end, this essay will highlight how engagement techniques can be modified in response to the changing dynamics of the hospitality business, preparing Generation Y workers and the sector for growth and success.</w:t>
      </w:r>
    </w:p>
    <w:p w14:paraId="04328F72" w14:textId="3F6999BA" w:rsidR="004B2354" w:rsidRPr="00C658BE" w:rsidRDefault="00F94FD0" w:rsidP="004B2354">
      <w:pPr>
        <w:pStyle w:val="Heading2"/>
        <w:spacing w:line="360" w:lineRule="auto"/>
        <w:jc w:val="both"/>
        <w:rPr>
          <w:rFonts w:ascii="Times New Roman" w:hAnsi="Times New Roman" w:cs="Times New Roman"/>
          <w:color w:val="000000" w:themeColor="text1"/>
          <w:sz w:val="24"/>
          <w:szCs w:val="24"/>
          <w:u w:val="single"/>
        </w:rPr>
      </w:pPr>
      <w:bookmarkStart w:id="0" w:name="_Toc147604567"/>
      <w:r w:rsidRPr="00C658BE">
        <w:rPr>
          <w:rFonts w:ascii="Times New Roman" w:hAnsi="Times New Roman" w:cs="Times New Roman"/>
          <w:color w:val="000000" w:themeColor="text1"/>
          <w:sz w:val="24"/>
          <w:szCs w:val="24"/>
          <w:u w:val="single"/>
        </w:rPr>
        <w:t>Role of HR in Employee Engagement</w:t>
      </w:r>
      <w:bookmarkEnd w:id="0"/>
      <w:r w:rsidR="004B2354" w:rsidRPr="00C658BE">
        <w:rPr>
          <w:rFonts w:ascii="Times New Roman" w:hAnsi="Times New Roman" w:cs="Times New Roman"/>
          <w:color w:val="000000" w:themeColor="text1"/>
          <w:sz w:val="24"/>
          <w:szCs w:val="24"/>
          <w:u w:val="single"/>
        </w:rPr>
        <w:t>:</w:t>
      </w:r>
    </w:p>
    <w:p w14:paraId="2EAD5886" w14:textId="614C74F5"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sz w:val="24"/>
          <w:szCs w:val="24"/>
          <w:highlight w:val="yellow"/>
        </w:rPr>
        <w:t xml:space="preserve">The chain of Marriott Hotel has been expanded all around the world and it has been offering services to the people with the help of its meaningful employees. </w:t>
      </w:r>
      <w:r w:rsidR="004B2354">
        <w:rPr>
          <w:rFonts w:ascii="Times New Roman" w:hAnsi="Times New Roman"/>
          <w:sz w:val="24"/>
          <w:szCs w:val="24"/>
          <w:highlight w:val="yellow"/>
        </w:rPr>
        <w:t>In</w:t>
      </w:r>
      <w:r w:rsidRPr="00F94FD0">
        <w:rPr>
          <w:rFonts w:ascii="Times New Roman" w:hAnsi="Times New Roman"/>
          <w:sz w:val="24"/>
          <w:szCs w:val="24"/>
          <w:highlight w:val="yellow"/>
        </w:rPr>
        <w:t xml:space="preserve"> all the hotel sector</w:t>
      </w:r>
      <w:r w:rsidRPr="00F94FD0">
        <w:rPr>
          <w:rFonts w:ascii="Times New Roman" w:hAnsi="Times New Roman"/>
          <w:sz w:val="24"/>
          <w:szCs w:val="24"/>
        </w:rPr>
        <w:t xml:space="preserve">, human resources are crucial in fostering employee engagement (Kang and Busser, 2018). </w:t>
      </w:r>
      <w:r w:rsidRPr="00F94FD0">
        <w:rPr>
          <w:rFonts w:ascii="Times New Roman" w:hAnsi="Times New Roman"/>
          <w:sz w:val="24"/>
          <w:szCs w:val="24"/>
          <w:highlight w:val="yellow"/>
        </w:rPr>
        <w:t>But, The Ritz-Carlton hotel company (Parent Company, Marriott International)</w:t>
      </w:r>
      <w:r w:rsidRPr="00F94FD0">
        <w:rPr>
          <w:rFonts w:ascii="Times New Roman" w:hAnsi="Times New Roman"/>
          <w:sz w:val="24"/>
          <w:szCs w:val="24"/>
        </w:rPr>
        <w:t xml:space="preserve">, </w:t>
      </w:r>
      <w:r w:rsidR="004B2354">
        <w:rPr>
          <w:rFonts w:ascii="Times New Roman" w:hAnsi="Times New Roman"/>
          <w:sz w:val="24"/>
          <w:szCs w:val="24"/>
        </w:rPr>
        <w:t>oversees</w:t>
      </w:r>
      <w:r w:rsidRPr="00F94FD0">
        <w:rPr>
          <w:rFonts w:ascii="Times New Roman" w:hAnsi="Times New Roman"/>
          <w:sz w:val="24"/>
          <w:szCs w:val="24"/>
        </w:rPr>
        <w:t xml:space="preserve"> every stage of the employee lifecycle, starting with attraction and recruitment. HR professionals of Ritz-Carlton are responsible for creating engaging employer branding messaging that appeals to Generation Y during these initial stages. For the best chance of success, they must make use of social media and digital channels to connect with prospects.</w:t>
      </w:r>
    </w:p>
    <w:p w14:paraId="4B29E7DE" w14:textId="77777777"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sz w:val="24"/>
          <w:szCs w:val="24"/>
          <w:highlight w:val="yellow"/>
        </w:rPr>
        <w:t xml:space="preserve">During the onboarding process, Ritz-Carlton's HR makes </w:t>
      </w:r>
      <w:r w:rsidRPr="00F94FD0">
        <w:rPr>
          <w:rFonts w:ascii="Times New Roman" w:hAnsi="Times New Roman"/>
          <w:sz w:val="24"/>
          <w:szCs w:val="24"/>
        </w:rPr>
        <w:t xml:space="preserve">ensuring that new hires are successfully assimilated into the operations and culture of the hotel (Kang and Busser, 2018). Additionally, HR </w:t>
      </w:r>
      <w:r w:rsidRPr="00F94FD0">
        <w:rPr>
          <w:rFonts w:ascii="Times New Roman" w:hAnsi="Times New Roman"/>
          <w:sz w:val="24"/>
          <w:szCs w:val="24"/>
        </w:rPr>
        <w:lastRenderedPageBreak/>
        <w:t>promotes continual development through training and skill-building initiatives designed to satisfy Generation Y's thirst for possibilities for personal development.</w:t>
      </w:r>
    </w:p>
    <w:p w14:paraId="21B10BAA" w14:textId="77777777"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sz w:val="24"/>
          <w:szCs w:val="24"/>
          <w:highlight w:val="yellow"/>
        </w:rPr>
        <w:t>Another important duty of Ritz-Carlton's HR</w:t>
      </w:r>
      <w:r w:rsidRPr="00F94FD0">
        <w:rPr>
          <w:rFonts w:ascii="Times New Roman" w:hAnsi="Times New Roman"/>
          <w:sz w:val="24"/>
          <w:szCs w:val="24"/>
        </w:rPr>
        <w:t xml:space="preserve"> is to make retention efforts (Allen, Bryant and Vardaman, 2010). To keep Generation Y employees interested and motivated, they put into place tactics like mentorship programs, flexible work schedules, and regular feedback sessions. Finally, HR handles the separation process sympathetically and gathers input to enhance subsequent engagement initiatives.</w:t>
      </w:r>
    </w:p>
    <w:p w14:paraId="20192E55" w14:textId="25EE5BE3" w:rsidR="00F20B33" w:rsidRPr="00C658BE" w:rsidRDefault="00F94FD0" w:rsidP="00F94FD0">
      <w:pPr>
        <w:pStyle w:val="Heading2"/>
        <w:spacing w:line="360" w:lineRule="auto"/>
        <w:jc w:val="both"/>
        <w:rPr>
          <w:rFonts w:ascii="Times New Roman" w:hAnsi="Times New Roman" w:cs="Times New Roman"/>
          <w:color w:val="000000" w:themeColor="text1"/>
          <w:sz w:val="24"/>
          <w:szCs w:val="24"/>
          <w:u w:val="single"/>
        </w:rPr>
      </w:pPr>
      <w:bookmarkStart w:id="1" w:name="_Toc147604568"/>
      <w:r w:rsidRPr="00C658BE">
        <w:rPr>
          <w:rFonts w:ascii="Times New Roman" w:hAnsi="Times New Roman" w:cs="Times New Roman"/>
          <w:color w:val="000000" w:themeColor="text1"/>
          <w:sz w:val="24"/>
          <w:szCs w:val="24"/>
          <w:u w:val="single"/>
        </w:rPr>
        <w:t>Characteristics of Generation Y</w:t>
      </w:r>
      <w:bookmarkEnd w:id="1"/>
      <w:r w:rsidR="004B2354" w:rsidRPr="00C658BE">
        <w:rPr>
          <w:rFonts w:ascii="Times New Roman" w:hAnsi="Times New Roman" w:cs="Times New Roman"/>
          <w:color w:val="000000" w:themeColor="text1"/>
          <w:sz w:val="24"/>
          <w:szCs w:val="24"/>
          <w:u w:val="single"/>
        </w:rPr>
        <w:t>:</w:t>
      </w:r>
    </w:p>
    <w:p w14:paraId="011347DA" w14:textId="77777777"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sz w:val="24"/>
          <w:szCs w:val="24"/>
        </w:rPr>
        <w:t>Millennials, often known as Generation Y, bring unique traits and preferences to the workplace. They seek meaning in their job, value possibilities for collaboration, and value work-life balance (Gabrielova and Buchko, 2021). Technology is second nature to Generation Y, and they thrive in digital settings. To create engaging engagement initiatives, HR must make use of these characteristics.</w:t>
      </w:r>
    </w:p>
    <w:p w14:paraId="5BB828EC" w14:textId="77777777"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sz w:val="24"/>
          <w:szCs w:val="24"/>
        </w:rPr>
        <w:t>Their propensity for flexibility is in line with tactics like flexible scheduling and remote employment. Given that Generation Y emphasizes open communication and well-defined expectations, it is crucial to offer regular feedback and acknowledgment (Tulgan, 2009). Additionally, giving them the chance to expand their careers and develop their skills speaks to their need for development on a personal level.</w:t>
      </w:r>
    </w:p>
    <w:p w14:paraId="4306BE73" w14:textId="696E5FF2" w:rsidR="00F20B33" w:rsidRPr="00C658BE" w:rsidRDefault="00F94FD0" w:rsidP="00F94FD0">
      <w:pPr>
        <w:pStyle w:val="Heading2"/>
        <w:spacing w:line="360" w:lineRule="auto"/>
        <w:jc w:val="both"/>
        <w:rPr>
          <w:rFonts w:ascii="Times New Roman" w:hAnsi="Times New Roman" w:cs="Times New Roman"/>
          <w:color w:val="000000" w:themeColor="text1"/>
          <w:sz w:val="24"/>
          <w:szCs w:val="24"/>
          <w:u w:val="single"/>
        </w:rPr>
      </w:pPr>
      <w:bookmarkStart w:id="2" w:name="_Toc147604569"/>
      <w:r w:rsidRPr="00C658BE">
        <w:rPr>
          <w:rFonts w:ascii="Times New Roman" w:hAnsi="Times New Roman" w:cs="Times New Roman"/>
          <w:color w:val="000000" w:themeColor="text1"/>
          <w:sz w:val="24"/>
          <w:szCs w:val="24"/>
          <w:u w:val="single"/>
        </w:rPr>
        <w:t>Ways of Engaging Employees and Advantages</w:t>
      </w:r>
      <w:bookmarkEnd w:id="2"/>
      <w:r w:rsidR="004B2354" w:rsidRPr="00C658BE">
        <w:rPr>
          <w:rFonts w:ascii="Times New Roman" w:hAnsi="Times New Roman" w:cs="Times New Roman"/>
          <w:color w:val="000000" w:themeColor="text1"/>
          <w:sz w:val="24"/>
          <w:szCs w:val="24"/>
          <w:u w:val="single"/>
        </w:rPr>
        <w:t>:</w:t>
      </w:r>
    </w:p>
    <w:p w14:paraId="74C5297A" w14:textId="77777777"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sz w:val="24"/>
          <w:szCs w:val="24"/>
        </w:rPr>
        <w:t>A diversified strategy that is in line with Generation Y employees' interests and values is required to engage them throughout their careers. Emphasizing the hotel's commitment to work-life balance and professional progression in employer branding helps attract top talent at the earliest phases of attraction and recruiting. The introduction of innovative benefits like remote work alternatives enhances the organization's appeal (Casper and Buffardi, 2004).</w:t>
      </w:r>
    </w:p>
    <w:p w14:paraId="4AD51625" w14:textId="77777777"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sz w:val="24"/>
          <w:szCs w:val="24"/>
        </w:rPr>
        <w:t>Making a friendly environment through thorough orientation programs and mentorship opportunities during the vital onboarding phase cultivates a sense of belonging and purpose among new hires. We support their commitment by making investments in their personal and professional progress using e-learning platforms and regular feedback sessions (Chang, 2016).</w:t>
      </w:r>
    </w:p>
    <w:p w14:paraId="6BBF67C6" w14:textId="77777777"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sz w:val="24"/>
          <w:szCs w:val="24"/>
          <w:highlight w:val="yellow"/>
        </w:rPr>
        <w:lastRenderedPageBreak/>
        <w:t>Fairfield Inn by Marriott often believe that flexiible wo</w:t>
      </w:r>
      <w:r w:rsidRPr="00F94FD0">
        <w:rPr>
          <w:rFonts w:ascii="Times New Roman" w:hAnsi="Times New Roman"/>
          <w:sz w:val="24"/>
          <w:szCs w:val="24"/>
        </w:rPr>
        <w:t>rk arrangements that support work-life balance are essential for sustaining a happy staff during the retention period. Peer-to-peer acknowledgment enhances morale while also utilizing their collaborative nature (Fishman et al., 2018). Strategic investments in their professional development also help employees become more engaged and are an effective way to get them ready for leadership positions within the company. This multimodal strategy guarantees that Generation Y staff members stay engaged and make a substantial contribution to the hotel's success.</w:t>
      </w:r>
    </w:p>
    <w:p w14:paraId="28FD0B12" w14:textId="544CCC51" w:rsidR="00F20B33" w:rsidRPr="00C658BE" w:rsidRDefault="00F94FD0" w:rsidP="00F94FD0">
      <w:pPr>
        <w:pStyle w:val="Heading2"/>
        <w:spacing w:line="360" w:lineRule="auto"/>
        <w:jc w:val="both"/>
        <w:rPr>
          <w:rFonts w:ascii="Times New Roman" w:hAnsi="Times New Roman" w:cs="Times New Roman"/>
          <w:color w:val="000000" w:themeColor="text1"/>
          <w:sz w:val="24"/>
          <w:szCs w:val="24"/>
          <w:u w:val="single"/>
        </w:rPr>
      </w:pPr>
      <w:bookmarkStart w:id="3" w:name="_Toc147604570"/>
      <w:r w:rsidRPr="00C658BE">
        <w:rPr>
          <w:rFonts w:ascii="Times New Roman" w:hAnsi="Times New Roman" w:cs="Times New Roman"/>
          <w:color w:val="000000" w:themeColor="text1"/>
          <w:sz w:val="24"/>
          <w:szCs w:val="24"/>
          <w:u w:val="single"/>
        </w:rPr>
        <w:t>Employee Lifecycle</w:t>
      </w:r>
      <w:bookmarkEnd w:id="3"/>
      <w:r w:rsidR="004B2354" w:rsidRPr="00C658BE">
        <w:rPr>
          <w:rFonts w:ascii="Times New Roman" w:hAnsi="Times New Roman" w:cs="Times New Roman"/>
          <w:color w:val="000000" w:themeColor="text1"/>
          <w:sz w:val="24"/>
          <w:szCs w:val="24"/>
          <w:u w:val="single"/>
        </w:rPr>
        <w:t>:</w:t>
      </w:r>
    </w:p>
    <w:p w14:paraId="0E9E7A00" w14:textId="77777777"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sz w:val="24"/>
          <w:szCs w:val="24"/>
          <w:highlight w:val="yellow"/>
        </w:rPr>
        <w:t>The hotel chain of Marriott International's employment lifecycle includes</w:t>
      </w:r>
      <w:r w:rsidRPr="00F94FD0">
        <w:rPr>
          <w:rFonts w:ascii="Times New Roman" w:hAnsi="Times New Roman"/>
          <w:sz w:val="24"/>
          <w:szCs w:val="24"/>
        </w:rPr>
        <w:t xml:space="preserve"> several crucial stages, each of which offers an opportunity for effective engagement initiatives catered to Generation Y.</w:t>
      </w:r>
    </w:p>
    <w:p w14:paraId="70BAF7E9" w14:textId="77777777"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sz w:val="24"/>
          <w:szCs w:val="24"/>
          <w:highlight w:val="yellow"/>
        </w:rPr>
        <w:t>In the case of Sheraton Hotels and Resorts, at this early stage, HR's job is to entice individuals who fit the hotel's culture and ideals, especially those from Generation Y. HR usually create appealing employer branding messages that highlight the hotel's dedication to work-life balance, professional advancement, and a collaborative work environment to engage them</w:t>
      </w:r>
      <w:r w:rsidRPr="00F94FD0">
        <w:rPr>
          <w:rFonts w:ascii="Times New Roman" w:hAnsi="Times New Roman"/>
          <w:sz w:val="24"/>
          <w:szCs w:val="24"/>
        </w:rPr>
        <w:t xml:space="preserve"> (Rodríguez-Sánchez et al., 2020). </w:t>
      </w:r>
      <w:r w:rsidRPr="00F94FD0">
        <w:rPr>
          <w:rFonts w:ascii="Times New Roman" w:hAnsi="Times New Roman"/>
          <w:sz w:val="24"/>
          <w:szCs w:val="24"/>
          <w:highlight w:val="yellow"/>
        </w:rPr>
        <w:t>Sheraton Hotels and Resorts' HR connects with this tech-savvy generation by using social media and digital platforms to highlight the hotel's distinctive selling qualities.</w:t>
      </w:r>
      <w:r w:rsidRPr="00F94FD0">
        <w:rPr>
          <w:rFonts w:ascii="Times New Roman" w:hAnsi="Times New Roman"/>
          <w:sz w:val="24"/>
          <w:szCs w:val="24"/>
        </w:rPr>
        <w:t xml:space="preserve"> A strong attraction for potential employees is being created by interesting images, employee testimonials, and anecdotes of professional development.</w:t>
      </w:r>
    </w:p>
    <w:p w14:paraId="4FC5A266" w14:textId="77777777"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sz w:val="24"/>
          <w:szCs w:val="24"/>
        </w:rPr>
        <w:t>HR should retain involvement during hiring by establishing a simple and open application process. Communication is crucial; candidates should receive timely information and feedback. Candidates from Generation Y value a timely and engaging hiring process (van Esch and Black, 2019). A sense of belonging can be fostered in this generation by demonstrating the hotel's commitment to diversity and inclusion.</w:t>
      </w:r>
    </w:p>
    <w:p w14:paraId="6BF40D87" w14:textId="77777777"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sz w:val="24"/>
          <w:szCs w:val="24"/>
        </w:rPr>
        <w:t>A crucial phase of the process where engagement attempts must go on is onboarding. By assisting with a smooth integration into the hotel's culture and operations, HR may attract new hires. A successful start is ensured by setting clear expectations, introducing them to mentors or pals, and providing training specific to their roles (Johnson, 2015). They can develop a sense of belonging and purpose by engaging in team-building exercises and connecting them with peers.</w:t>
      </w:r>
    </w:p>
    <w:p w14:paraId="0CB7D228" w14:textId="77777777"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sz w:val="24"/>
          <w:szCs w:val="24"/>
        </w:rPr>
        <w:lastRenderedPageBreak/>
        <w:t>Generation Y's professional development depends heavily on engagement during the development period. With the use of mentorship programs and e-learning systems, HR may offer continual learning opportunities (Khan, 2005). The hotel's dedication to its growth is evidenced by frequent goal-setting conversations, coaching sessions, and feedback sessions. Engagement is further strengthened by providing a clear path for career advancement and acknowledging their accomplishments.</w:t>
      </w:r>
    </w:p>
    <w:p w14:paraId="03060168" w14:textId="77777777"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sz w:val="24"/>
          <w:szCs w:val="24"/>
        </w:rPr>
        <w:t>Throughout an employee's employment, retention efforts are ongoing. By providing flexible work options that meet Generation Y employees' expectations for a work-life balance, HR can attract and retain this generation of workers. Open communication is maintained with the support of frequent check-ins and feedback sessions. Recognition for contributions and peer-to-peer acknowledgment systems highlight their collaborative nature. In addition to increasing engagement, investing in their professional development equips them for leadership positions within the hotel.</w:t>
      </w:r>
    </w:p>
    <w:p w14:paraId="1870A117" w14:textId="77777777"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sz w:val="24"/>
          <w:szCs w:val="24"/>
        </w:rPr>
        <w:t>Employees may inevitably get to the point of parting. HR can still show empathy even at this point. Exit interviews and feedback gathering give HR valuable information for improvement. Keeping up good contact with leaving employees may result in advocates or returnees for the property (Mitchell, Holtom and Lee, 2001).</w:t>
      </w:r>
    </w:p>
    <w:p w14:paraId="33E0AC93" w14:textId="77777777"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sz w:val="24"/>
          <w:szCs w:val="24"/>
        </w:rPr>
        <w:t>HR is crucial to the whole hotel industry's success in retaining Generation Y workers across the entire employee lifetime. Hotels may improve engagement by developing tactics that are specific to each stage and in line with Generation Y's beliefs and tastes. This will lead to more productivity, lower attrition, and higher customer satisfaction (Itani, Kassar and Loureiro, 2019). Employees who are engaged are not only assets to the company but also ambassadors who help the hotel maintain a favorable reputation in the market.</w:t>
      </w:r>
    </w:p>
    <w:p w14:paraId="4D495D3E" w14:textId="31904029" w:rsidR="00F20B33" w:rsidRPr="00C658BE" w:rsidRDefault="00F94FD0" w:rsidP="00F94FD0">
      <w:pPr>
        <w:pStyle w:val="Heading2"/>
        <w:spacing w:line="360" w:lineRule="auto"/>
        <w:jc w:val="both"/>
        <w:rPr>
          <w:rFonts w:ascii="Times New Roman" w:hAnsi="Times New Roman" w:cs="Times New Roman"/>
          <w:sz w:val="24"/>
          <w:szCs w:val="24"/>
          <w:u w:val="single"/>
        </w:rPr>
      </w:pPr>
      <w:bookmarkStart w:id="4" w:name="_Toc147604571"/>
      <w:r w:rsidRPr="00C658BE">
        <w:rPr>
          <w:rFonts w:ascii="Times New Roman" w:hAnsi="Times New Roman" w:cs="Times New Roman"/>
          <w:color w:val="000000" w:themeColor="text1"/>
          <w:sz w:val="24"/>
          <w:szCs w:val="24"/>
          <w:u w:val="single"/>
        </w:rPr>
        <w:t xml:space="preserve">Examples of Engaging </w:t>
      </w:r>
      <w:r w:rsidR="004B2354" w:rsidRPr="00C658BE">
        <w:rPr>
          <w:rFonts w:ascii="Times New Roman" w:hAnsi="Times New Roman" w:cs="Times New Roman"/>
          <w:color w:val="000000" w:themeColor="text1"/>
          <w:sz w:val="24"/>
          <w:szCs w:val="24"/>
          <w:u w:val="single"/>
        </w:rPr>
        <w:t xml:space="preserve">the </w:t>
      </w:r>
      <w:r w:rsidRPr="00C658BE">
        <w:rPr>
          <w:rFonts w:ascii="Times New Roman" w:hAnsi="Times New Roman" w:cs="Times New Roman"/>
          <w:color w:val="000000" w:themeColor="text1"/>
          <w:sz w:val="24"/>
          <w:szCs w:val="24"/>
          <w:u w:val="single"/>
        </w:rPr>
        <w:t>Team</w:t>
      </w:r>
      <w:bookmarkEnd w:id="4"/>
      <w:r w:rsidR="004B2354" w:rsidRPr="00C658BE">
        <w:rPr>
          <w:rFonts w:ascii="Times New Roman" w:hAnsi="Times New Roman" w:cs="Times New Roman"/>
          <w:color w:val="000000" w:themeColor="text1"/>
          <w:sz w:val="24"/>
          <w:szCs w:val="24"/>
          <w:u w:val="single"/>
        </w:rPr>
        <w:t>:</w:t>
      </w:r>
    </w:p>
    <w:p w14:paraId="128AE533" w14:textId="0924BF2F"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sz w:val="24"/>
          <w:szCs w:val="24"/>
        </w:rPr>
        <w:t xml:space="preserve">As if </w:t>
      </w:r>
      <w:r w:rsidR="004B2354">
        <w:rPr>
          <w:rFonts w:ascii="Times New Roman" w:hAnsi="Times New Roman"/>
          <w:sz w:val="24"/>
          <w:szCs w:val="24"/>
        </w:rPr>
        <w:t xml:space="preserve">he </w:t>
      </w:r>
      <w:r w:rsidR="00D75F70">
        <w:rPr>
          <w:rFonts w:ascii="Times New Roman" w:hAnsi="Times New Roman"/>
          <w:sz w:val="24"/>
          <w:szCs w:val="24"/>
        </w:rPr>
        <w:t>was</w:t>
      </w:r>
      <w:r w:rsidR="004B2354">
        <w:rPr>
          <w:rFonts w:ascii="Times New Roman" w:hAnsi="Times New Roman"/>
          <w:sz w:val="24"/>
          <w:szCs w:val="24"/>
        </w:rPr>
        <w:t xml:space="preserve"> </w:t>
      </w:r>
      <w:r w:rsidRPr="00F94FD0">
        <w:rPr>
          <w:rFonts w:ascii="Times New Roman" w:hAnsi="Times New Roman"/>
          <w:sz w:val="24"/>
          <w:szCs w:val="24"/>
        </w:rPr>
        <w:t xml:space="preserve">an HR manager, engaging </w:t>
      </w:r>
      <w:r w:rsidR="004B2354">
        <w:rPr>
          <w:rFonts w:ascii="Times New Roman" w:hAnsi="Times New Roman"/>
          <w:sz w:val="24"/>
          <w:szCs w:val="24"/>
        </w:rPr>
        <w:t>his</w:t>
      </w:r>
      <w:r w:rsidRPr="00F94FD0">
        <w:rPr>
          <w:rFonts w:ascii="Times New Roman" w:hAnsi="Times New Roman"/>
          <w:sz w:val="24"/>
          <w:szCs w:val="24"/>
        </w:rPr>
        <w:t xml:space="preserve"> staff, which is mostly made up of Generation Y workers, requires a combination of creative techniques catered to their preferences:</w:t>
      </w:r>
    </w:p>
    <w:p w14:paraId="7587888D" w14:textId="34E075F9"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sz w:val="24"/>
          <w:szCs w:val="24"/>
        </w:rPr>
        <w:t xml:space="preserve">First, </w:t>
      </w:r>
      <w:r w:rsidR="004B2354">
        <w:rPr>
          <w:rFonts w:ascii="Times New Roman" w:hAnsi="Times New Roman"/>
          <w:sz w:val="24"/>
          <w:szCs w:val="24"/>
        </w:rPr>
        <w:t xml:space="preserve">he </w:t>
      </w:r>
      <w:r w:rsidRPr="00F94FD0">
        <w:rPr>
          <w:rFonts w:ascii="Times New Roman" w:hAnsi="Times New Roman"/>
          <w:sz w:val="24"/>
          <w:szCs w:val="24"/>
        </w:rPr>
        <w:t>would put in place consistent feedback systems that promote open dialogue (Nicol, 2010). One-on-one check-ins provide employees a chance to express their issues, discuss ideas, and feel heard. This routine not only improves our relationship but also aids in rapid problem-solving.</w:t>
      </w:r>
    </w:p>
    <w:p w14:paraId="6B8E7DCF" w14:textId="1F0A33B9"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sz w:val="24"/>
          <w:szCs w:val="24"/>
        </w:rPr>
        <w:lastRenderedPageBreak/>
        <w:t xml:space="preserve">Second, </w:t>
      </w:r>
      <w:r w:rsidR="004B2354">
        <w:rPr>
          <w:rFonts w:ascii="Times New Roman" w:hAnsi="Times New Roman"/>
          <w:sz w:val="24"/>
          <w:szCs w:val="24"/>
        </w:rPr>
        <w:t>he</w:t>
      </w:r>
      <w:r w:rsidRPr="00F94FD0">
        <w:rPr>
          <w:rFonts w:ascii="Times New Roman" w:hAnsi="Times New Roman"/>
          <w:sz w:val="24"/>
          <w:szCs w:val="24"/>
        </w:rPr>
        <w:t xml:space="preserve"> would promote a culture of lifelong learning. Implementing an e-learning platform so that staff members can access training materials whenever they want is in line with Generation Y's desire for personal development (Abumandour, 2020). Recognizing and recognizing their course and credential completion can encourage them even more to invest in their professional growth.</w:t>
      </w:r>
    </w:p>
    <w:p w14:paraId="547D6050" w14:textId="592650FD"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sz w:val="24"/>
          <w:szCs w:val="24"/>
        </w:rPr>
        <w:t>Additionally, encouraging teamwork through joint efforts and cross-functional projects would foster a feeling of togetherness (Holland, Gaston</w:t>
      </w:r>
      <w:r w:rsidR="00C658BE">
        <w:rPr>
          <w:rFonts w:ascii="Times New Roman" w:hAnsi="Times New Roman"/>
          <w:sz w:val="24"/>
          <w:szCs w:val="24"/>
        </w:rPr>
        <w:t>,</w:t>
      </w:r>
      <w:r w:rsidRPr="00F94FD0">
        <w:rPr>
          <w:rFonts w:ascii="Times New Roman" w:hAnsi="Times New Roman"/>
          <w:sz w:val="24"/>
          <w:szCs w:val="24"/>
        </w:rPr>
        <w:t xml:space="preserve"> and Gomes, 2020). Peer-to-peer encouragement of acknowledgment for exceptional achievements strengthens their collaborative spirit and boosts morale.</w:t>
      </w:r>
    </w:p>
    <w:p w14:paraId="68E4CF7A" w14:textId="6A838B22"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sz w:val="24"/>
          <w:szCs w:val="24"/>
        </w:rPr>
        <w:t xml:space="preserve">By putting these tactics into practice, </w:t>
      </w:r>
      <w:r w:rsidR="004B2354">
        <w:rPr>
          <w:rFonts w:ascii="Times New Roman" w:hAnsi="Times New Roman"/>
          <w:sz w:val="24"/>
          <w:szCs w:val="24"/>
        </w:rPr>
        <w:t>he</w:t>
      </w:r>
      <w:r w:rsidRPr="00F94FD0">
        <w:rPr>
          <w:rFonts w:ascii="Times New Roman" w:hAnsi="Times New Roman"/>
          <w:sz w:val="24"/>
          <w:szCs w:val="24"/>
        </w:rPr>
        <w:t xml:space="preserve"> </w:t>
      </w:r>
      <w:r w:rsidR="004B2354">
        <w:rPr>
          <w:rFonts w:ascii="Times New Roman" w:hAnsi="Times New Roman"/>
          <w:sz w:val="24"/>
          <w:szCs w:val="24"/>
        </w:rPr>
        <w:t>hopes</w:t>
      </w:r>
      <w:r w:rsidRPr="00F94FD0">
        <w:rPr>
          <w:rFonts w:ascii="Times New Roman" w:hAnsi="Times New Roman"/>
          <w:sz w:val="24"/>
          <w:szCs w:val="24"/>
        </w:rPr>
        <w:t xml:space="preserve"> to effectively engage </w:t>
      </w:r>
      <w:r w:rsidR="004B2354">
        <w:rPr>
          <w:rFonts w:ascii="Times New Roman" w:hAnsi="Times New Roman"/>
          <w:sz w:val="24"/>
          <w:szCs w:val="24"/>
        </w:rPr>
        <w:t>his</w:t>
      </w:r>
      <w:r w:rsidRPr="00F94FD0">
        <w:rPr>
          <w:rFonts w:ascii="Times New Roman" w:hAnsi="Times New Roman"/>
          <w:sz w:val="24"/>
          <w:szCs w:val="24"/>
        </w:rPr>
        <w:t xml:space="preserve"> team, assuring their happiness, productivity, and ongoing dedication to our company.</w:t>
      </w:r>
    </w:p>
    <w:p w14:paraId="2CF8632C" w14:textId="45C84623" w:rsidR="00F20B33" w:rsidRPr="00C658BE" w:rsidRDefault="00F94FD0" w:rsidP="00F94FD0">
      <w:pPr>
        <w:pStyle w:val="Heading2"/>
        <w:spacing w:line="360" w:lineRule="auto"/>
        <w:jc w:val="both"/>
        <w:rPr>
          <w:rFonts w:ascii="Times New Roman" w:hAnsi="Times New Roman" w:cs="Times New Roman"/>
          <w:color w:val="000000" w:themeColor="text1"/>
          <w:sz w:val="24"/>
          <w:szCs w:val="24"/>
          <w:u w:val="single"/>
        </w:rPr>
      </w:pPr>
      <w:bookmarkStart w:id="5" w:name="_Toc147604572"/>
      <w:r w:rsidRPr="00C658BE">
        <w:rPr>
          <w:rFonts w:ascii="Times New Roman" w:hAnsi="Times New Roman" w:cs="Times New Roman"/>
          <w:color w:val="000000" w:themeColor="text1"/>
          <w:sz w:val="24"/>
          <w:szCs w:val="24"/>
          <w:u w:val="single"/>
        </w:rPr>
        <w:t>Incorporating an Employee Engagement Model</w:t>
      </w:r>
      <w:bookmarkEnd w:id="5"/>
      <w:r w:rsidR="004B2354" w:rsidRPr="00C658BE">
        <w:rPr>
          <w:rFonts w:ascii="Times New Roman" w:hAnsi="Times New Roman" w:cs="Times New Roman"/>
          <w:color w:val="000000" w:themeColor="text1"/>
          <w:sz w:val="24"/>
          <w:szCs w:val="24"/>
          <w:u w:val="single"/>
        </w:rPr>
        <w:t>:</w:t>
      </w:r>
    </w:p>
    <w:p w14:paraId="50015F62" w14:textId="77777777"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sz w:val="24"/>
          <w:szCs w:val="24"/>
        </w:rPr>
        <w:t>Employers and the organization as a whole stand to gain significantly from the strategic approach represented by the hotel industry's adoption of an employee engagement model like the Gallup Q12. The Gallup Q12 model carefully evaluates 12 fundamental components that are the cornerstones of fostering and maintaining employee engagement (Bakker and Leiter, 2010). These components cover a broad range of important topics, including but not limited to:</w:t>
      </w:r>
    </w:p>
    <w:p w14:paraId="5FB5089E" w14:textId="77777777"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b/>
          <w:bCs/>
          <w:sz w:val="24"/>
          <w:szCs w:val="24"/>
        </w:rPr>
        <w:t>Clear Expectations:</w:t>
      </w:r>
      <w:r w:rsidRPr="00F94FD0">
        <w:rPr>
          <w:rFonts w:ascii="Times New Roman" w:hAnsi="Times New Roman"/>
          <w:sz w:val="24"/>
          <w:szCs w:val="24"/>
        </w:rPr>
        <w:t xml:space="preserve"> Ensuring that employees have a clear understanding of their roles and responsibilities within the hotel establishment.</w:t>
      </w:r>
    </w:p>
    <w:p w14:paraId="3F188352" w14:textId="77777777"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b/>
          <w:bCs/>
          <w:sz w:val="24"/>
          <w:szCs w:val="24"/>
        </w:rPr>
        <w:t>Opportunities for Growth:</w:t>
      </w:r>
      <w:r w:rsidRPr="00F94FD0">
        <w:rPr>
          <w:rFonts w:ascii="Times New Roman" w:hAnsi="Times New Roman"/>
          <w:sz w:val="24"/>
          <w:szCs w:val="24"/>
        </w:rPr>
        <w:t xml:space="preserve"> Providing pathways for personal and professional development, which aligns well with Generation Y's appetite for continuous learning.</w:t>
      </w:r>
    </w:p>
    <w:p w14:paraId="2A72A62D" w14:textId="77777777"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b/>
          <w:bCs/>
          <w:sz w:val="24"/>
          <w:szCs w:val="24"/>
        </w:rPr>
        <w:t>Recognition for Achievements:</w:t>
      </w:r>
      <w:r w:rsidRPr="00F94FD0">
        <w:rPr>
          <w:rFonts w:ascii="Times New Roman" w:hAnsi="Times New Roman"/>
          <w:sz w:val="24"/>
          <w:szCs w:val="24"/>
        </w:rPr>
        <w:t xml:space="preserve"> Acknowledging and appreciating employees' contributions and accomplishments, thereby reinforcing a sense of value and purpose.</w:t>
      </w:r>
    </w:p>
    <w:p w14:paraId="0B5DC778" w14:textId="77777777"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sz w:val="24"/>
          <w:szCs w:val="24"/>
        </w:rPr>
        <w:t>Surveys that are expressly created to correspond with the Q12 elements are first administered. These surveys are effective tools for gauging and assessing the degree of employee engagement among millennials (Byrne, Hayes and Holcombe, 2017). These surveys enable hotels to efficiently gather both qualitative and quantitative feedback, highlighting the areas that require attention and improvement.</w:t>
      </w:r>
    </w:p>
    <w:p w14:paraId="27BA0622" w14:textId="77777777"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sz w:val="24"/>
          <w:szCs w:val="24"/>
        </w:rPr>
        <w:lastRenderedPageBreak/>
        <w:t>The versatility of the Gallup Q12 model is one of its significant benefits. It gives hotels the ability to modify their engagement methods to meet the requirements and preferences of Generation Y workers. Hotels can create laser-focused campaigns targeted at reviving engagement by identifying areas where employees could feel disengaged or underappreciated.</w:t>
      </w:r>
    </w:p>
    <w:p w14:paraId="268A2164" w14:textId="1F23DA01" w:rsidR="00F20B33" w:rsidRPr="00C658BE" w:rsidRDefault="00F94FD0" w:rsidP="00F94FD0">
      <w:pPr>
        <w:pStyle w:val="Heading2"/>
        <w:spacing w:line="360" w:lineRule="auto"/>
        <w:jc w:val="both"/>
        <w:rPr>
          <w:rFonts w:ascii="Times New Roman" w:hAnsi="Times New Roman" w:cs="Times New Roman"/>
          <w:color w:val="000000" w:themeColor="text1"/>
          <w:sz w:val="24"/>
          <w:szCs w:val="24"/>
          <w:u w:val="single"/>
        </w:rPr>
      </w:pPr>
      <w:bookmarkStart w:id="6" w:name="_Toc147604573"/>
      <w:r w:rsidRPr="00C658BE">
        <w:rPr>
          <w:rFonts w:ascii="Times New Roman" w:hAnsi="Times New Roman" w:cs="Times New Roman"/>
          <w:color w:val="000000" w:themeColor="text1"/>
          <w:sz w:val="24"/>
          <w:szCs w:val="24"/>
          <w:u w:val="single"/>
        </w:rPr>
        <w:t>Examples from the Industry</w:t>
      </w:r>
      <w:bookmarkEnd w:id="6"/>
      <w:r w:rsidR="004B2354" w:rsidRPr="00C658BE">
        <w:rPr>
          <w:rFonts w:ascii="Times New Roman" w:hAnsi="Times New Roman" w:cs="Times New Roman"/>
          <w:color w:val="000000" w:themeColor="text1"/>
          <w:sz w:val="24"/>
          <w:szCs w:val="24"/>
          <w:u w:val="single"/>
        </w:rPr>
        <w:t>:</w:t>
      </w:r>
    </w:p>
    <w:p w14:paraId="1C2FC768" w14:textId="77777777"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sz w:val="24"/>
          <w:szCs w:val="24"/>
          <w:highlight w:val="yellow"/>
        </w:rPr>
        <w:t xml:space="preserve">The </w:t>
      </w:r>
      <w:r w:rsidRPr="00F94FD0">
        <w:rPr>
          <w:rFonts w:ascii="Times New Roman" w:hAnsi="Times New Roman"/>
          <w:b/>
          <w:bCs/>
          <w:sz w:val="24"/>
          <w:szCs w:val="24"/>
          <w:highlight w:val="yellow"/>
        </w:rPr>
        <w:t>"Courtyard Academy"</w:t>
      </w:r>
      <w:r w:rsidRPr="00F94FD0">
        <w:rPr>
          <w:rFonts w:ascii="Times New Roman" w:hAnsi="Times New Roman"/>
          <w:sz w:val="24"/>
          <w:szCs w:val="24"/>
          <w:highlight w:val="yellow"/>
        </w:rPr>
        <w:t xml:space="preserve"> at Marriott i</w:t>
      </w:r>
      <w:r w:rsidRPr="00F94FD0">
        <w:rPr>
          <w:rFonts w:ascii="Times New Roman" w:hAnsi="Times New Roman"/>
          <w:sz w:val="24"/>
          <w:szCs w:val="24"/>
        </w:rPr>
        <w:t>s a shining illustration of accepted standards (Franco, 2014). This initiative provides a variety of training and development programs, including leadership training and online learning modules. Marriott's engagement strategy is in line with the desires of Generation Y, who value opportunities for growth and constant learning. As a result, both the company and the employees have benefited from greater employee retention and career advancement.</w:t>
      </w:r>
    </w:p>
    <w:p w14:paraId="70019E98" w14:textId="77777777"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sz w:val="24"/>
          <w:szCs w:val="24"/>
          <w:highlight w:val="yellow"/>
        </w:rPr>
        <w:t xml:space="preserve">The Ritz-Carlton is also well renowned for its "Gold Standards," </w:t>
      </w:r>
      <w:r w:rsidRPr="00F94FD0">
        <w:rPr>
          <w:rFonts w:ascii="Times New Roman" w:hAnsi="Times New Roman"/>
          <w:sz w:val="24"/>
          <w:szCs w:val="24"/>
        </w:rPr>
        <w:t>which emphasize superior service and employee empowerment (Vilana Olmos and Martín Miralles, 2019). They support Generation Y's need for meaningful work by giving employees the freedom to make choices that improve the experiences of their customers. As a result of feeling appreciated and crucial to the hotel's performance, this strategy has increased employee engagement in addition to greater visitor satisfaction.</w:t>
      </w:r>
    </w:p>
    <w:p w14:paraId="092E27CE" w14:textId="77777777"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sz w:val="24"/>
          <w:szCs w:val="24"/>
        </w:rPr>
        <w:t>With the help of engagement techniques catered to Generation Y, prominent hotels in the sector have effectively implemented them, enhancing employee happiness, guest experiences, and overall business success.</w:t>
      </w:r>
    </w:p>
    <w:p w14:paraId="4AB9C39B" w14:textId="38C3AE9A" w:rsidR="00F20B33" w:rsidRPr="00C658BE" w:rsidRDefault="00F94FD0" w:rsidP="00F94FD0">
      <w:pPr>
        <w:pStyle w:val="Heading1"/>
        <w:spacing w:line="360" w:lineRule="auto"/>
        <w:jc w:val="both"/>
        <w:rPr>
          <w:rFonts w:ascii="Times New Roman" w:hAnsi="Times New Roman" w:cs="Times New Roman"/>
          <w:color w:val="000000" w:themeColor="text1"/>
          <w:sz w:val="24"/>
          <w:szCs w:val="24"/>
          <w:u w:val="single"/>
        </w:rPr>
      </w:pPr>
      <w:bookmarkStart w:id="7" w:name="_Toc147604574"/>
      <w:r w:rsidRPr="00C658BE">
        <w:rPr>
          <w:rFonts w:ascii="Times New Roman" w:hAnsi="Times New Roman" w:cs="Times New Roman"/>
          <w:color w:val="000000" w:themeColor="text1"/>
          <w:sz w:val="24"/>
          <w:szCs w:val="24"/>
          <w:u w:val="single"/>
        </w:rPr>
        <w:t>Conclusion</w:t>
      </w:r>
      <w:bookmarkEnd w:id="7"/>
      <w:r w:rsidR="004B2354" w:rsidRPr="00C658BE">
        <w:rPr>
          <w:rFonts w:ascii="Times New Roman" w:hAnsi="Times New Roman" w:cs="Times New Roman"/>
          <w:color w:val="000000" w:themeColor="text1"/>
          <w:sz w:val="24"/>
          <w:szCs w:val="24"/>
          <w:u w:val="single"/>
        </w:rPr>
        <w:t>:</w:t>
      </w:r>
    </w:p>
    <w:p w14:paraId="5391ECDF" w14:textId="77777777"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sz w:val="24"/>
          <w:szCs w:val="24"/>
        </w:rPr>
        <w:t>The key components of retaining Generation Y workers throughout the employee lifecycle in the hotel sector have been discussed in this essay. We now know that there is no one-size-fits-all strategy for employee engagement; rather, it must be customized to the traits and preferences of this generation.</w:t>
      </w:r>
    </w:p>
    <w:p w14:paraId="2038FF81" w14:textId="77777777"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sz w:val="24"/>
          <w:szCs w:val="24"/>
        </w:rPr>
        <w:t>Human Resources plays a key role in developing and putting into practice engagement initiatives throughout the employee's lifetime, making sure they are in line with the values of Generation Y (Shmailan, 2016). Engagement strategies need to be flexible and current in all areas, from recruiting and attraction to onboarding, training, retention, and even separation.</w:t>
      </w:r>
    </w:p>
    <w:p w14:paraId="45AEBF32" w14:textId="77777777"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sz w:val="24"/>
          <w:szCs w:val="24"/>
        </w:rPr>
        <w:lastRenderedPageBreak/>
        <w:t>There are several advantages to effective engagement for both employees and the hotel sector. It leads to higher job satisfaction, increased productivity, and lower turnover. Increased guest satisfaction is a result of engaged staff members as well, which benefits the hotel's reputation and financial performance.</w:t>
      </w:r>
    </w:p>
    <w:p w14:paraId="5BE9B801" w14:textId="77777777" w:rsidR="00F20B33" w:rsidRPr="00F94FD0" w:rsidRDefault="00F94FD0" w:rsidP="00F94FD0">
      <w:pPr>
        <w:spacing w:line="360" w:lineRule="auto"/>
        <w:jc w:val="both"/>
        <w:rPr>
          <w:rFonts w:ascii="Times New Roman" w:hAnsi="Times New Roman"/>
          <w:sz w:val="24"/>
          <w:szCs w:val="24"/>
        </w:rPr>
      </w:pPr>
      <w:r w:rsidRPr="00F94FD0">
        <w:rPr>
          <w:rFonts w:ascii="Times New Roman" w:hAnsi="Times New Roman"/>
          <w:sz w:val="24"/>
          <w:szCs w:val="24"/>
        </w:rPr>
        <w:t>In the context of Generation Y and Generation Z, the future of employee engagement contains promising possibilities. Organizations must continue to be flexible and creative in their engagement strategies as these generations continue to dominate the workforce. Maintaining elevated levels of engagement will depend on embracing technology, placing a priority on wellness, and fostering a culture of continual learning.</w:t>
      </w:r>
    </w:p>
    <w:p w14:paraId="3044EC36" w14:textId="77777777" w:rsidR="00F20B33" w:rsidRPr="00F94FD0" w:rsidRDefault="00F94FD0" w:rsidP="00F94FD0">
      <w:pPr>
        <w:spacing w:after="0" w:line="360" w:lineRule="auto"/>
        <w:jc w:val="both"/>
        <w:rPr>
          <w:rFonts w:ascii="Times New Roman" w:hAnsi="Times New Roman"/>
          <w:sz w:val="24"/>
          <w:szCs w:val="24"/>
        </w:rPr>
      </w:pPr>
      <w:r w:rsidRPr="00F94FD0">
        <w:rPr>
          <w:rFonts w:ascii="Times New Roman" w:hAnsi="Times New Roman"/>
          <w:sz w:val="24"/>
          <w:szCs w:val="24"/>
        </w:rPr>
        <w:br w:type="page"/>
      </w:r>
    </w:p>
    <w:p w14:paraId="5F269208" w14:textId="5474C7DA" w:rsidR="00F20B33" w:rsidRPr="00C658BE" w:rsidRDefault="00F94FD0" w:rsidP="00F94FD0">
      <w:pPr>
        <w:pStyle w:val="Heading1"/>
        <w:spacing w:line="360" w:lineRule="auto"/>
        <w:jc w:val="both"/>
        <w:rPr>
          <w:rFonts w:ascii="Times New Roman" w:hAnsi="Times New Roman" w:cs="Times New Roman"/>
          <w:color w:val="000000" w:themeColor="text1"/>
          <w:sz w:val="24"/>
          <w:szCs w:val="24"/>
          <w:u w:val="single"/>
        </w:rPr>
      </w:pPr>
      <w:bookmarkStart w:id="8" w:name="_Toc147604575"/>
      <w:r w:rsidRPr="00C658BE">
        <w:rPr>
          <w:rFonts w:ascii="Times New Roman" w:hAnsi="Times New Roman" w:cs="Times New Roman"/>
          <w:color w:val="000000" w:themeColor="text1"/>
          <w:sz w:val="24"/>
          <w:szCs w:val="24"/>
          <w:u w:val="single"/>
        </w:rPr>
        <w:lastRenderedPageBreak/>
        <w:t>Reference list</w:t>
      </w:r>
      <w:bookmarkEnd w:id="8"/>
      <w:r w:rsidR="004B2354" w:rsidRPr="00C658BE">
        <w:rPr>
          <w:rFonts w:ascii="Times New Roman" w:hAnsi="Times New Roman" w:cs="Times New Roman"/>
          <w:color w:val="000000" w:themeColor="text1"/>
          <w:sz w:val="24"/>
          <w:szCs w:val="24"/>
          <w:u w:val="single"/>
        </w:rPr>
        <w:t>:</w:t>
      </w:r>
    </w:p>
    <w:p w14:paraId="65BD2282" w14:textId="77777777" w:rsidR="00F20B33" w:rsidRPr="00F94FD0" w:rsidRDefault="00F94FD0" w:rsidP="00F94FD0">
      <w:pPr>
        <w:pStyle w:val="NormalWeb"/>
        <w:spacing w:before="0" w:beforeAutospacing="0" w:after="240" w:afterAutospacing="0" w:line="360" w:lineRule="auto"/>
        <w:jc w:val="both"/>
      </w:pPr>
      <w:r w:rsidRPr="00F94FD0">
        <w:t xml:space="preserve">Abumandour, E.-S.T. (2020). Public libraries’ role in supporting e-learning and spreading lifelong education: a case study. </w:t>
      </w:r>
      <w:r w:rsidRPr="00F94FD0">
        <w:rPr>
          <w:i/>
          <w:iCs/>
        </w:rPr>
        <w:t>Journal of Research in Innovative Teaching &amp; Learning</w:t>
      </w:r>
      <w:r w:rsidRPr="00F94FD0">
        <w:t>, ahead-of-print(ahead-of-print). doi:https://doi.org/10.1108/jrit-06-2019-0063.</w:t>
      </w:r>
    </w:p>
    <w:p w14:paraId="23E1BAC2" w14:textId="77777777" w:rsidR="00F20B33" w:rsidRPr="00F94FD0" w:rsidRDefault="00F94FD0" w:rsidP="00F94FD0">
      <w:pPr>
        <w:pStyle w:val="NormalWeb"/>
        <w:spacing w:before="0" w:beforeAutospacing="0" w:after="240" w:afterAutospacing="0" w:line="360" w:lineRule="auto"/>
        <w:jc w:val="both"/>
      </w:pPr>
      <w:r w:rsidRPr="00F94FD0">
        <w:t xml:space="preserve">Allen, D.G., Bryant, P.C. and Vardaman, J.M. (2010). Retaining Talent: Replacing Misconceptions With Evidence-Based Strategies. </w:t>
      </w:r>
      <w:r w:rsidRPr="00F94FD0">
        <w:rPr>
          <w:i/>
          <w:iCs/>
        </w:rPr>
        <w:t>Academy of Management Perspectives</w:t>
      </w:r>
      <w:r w:rsidRPr="00F94FD0">
        <w:t>, 24(2), pp.48–64. doi:https://doi.org/10.5465/amp.24.2.48.</w:t>
      </w:r>
    </w:p>
    <w:p w14:paraId="25C65CAD" w14:textId="77777777" w:rsidR="00F20B33" w:rsidRPr="00F94FD0" w:rsidRDefault="00F94FD0" w:rsidP="00F94FD0">
      <w:pPr>
        <w:pStyle w:val="NormalWeb"/>
        <w:spacing w:before="0" w:beforeAutospacing="0" w:after="240" w:afterAutospacing="0" w:line="360" w:lineRule="auto"/>
        <w:jc w:val="both"/>
      </w:pPr>
      <w:r w:rsidRPr="00F94FD0">
        <w:t xml:space="preserve">Bakker, A.B. and Leiter, M.P. (2010). </w:t>
      </w:r>
      <w:r w:rsidRPr="00F94FD0">
        <w:rPr>
          <w:i/>
          <w:iCs/>
        </w:rPr>
        <w:t>Work Engagement: A Handbook of Essential Theory and Research</w:t>
      </w:r>
      <w:r w:rsidRPr="00F94FD0">
        <w:t xml:space="preserve">. [online] </w:t>
      </w:r>
      <w:r w:rsidRPr="00F94FD0">
        <w:rPr>
          <w:i/>
          <w:iCs/>
        </w:rPr>
        <w:t>Google Books</w:t>
      </w:r>
      <w:r w:rsidRPr="00F94FD0">
        <w:t>. Psychology Press. Available at: https://books.google.com/books?hl=en&amp;lr=&amp;id=IZJ5AgAAQBAJ&amp;oi=fnd&amp;pg=PA10&amp;dq=gallup+q12+model+of+employee+engagement&amp;ots=N0UF3Hkg9W&amp;sig=ixqOvt127aM2kawkd6ACOcdNg8Y [Accessed 4 Oct. 2023].</w:t>
      </w:r>
    </w:p>
    <w:p w14:paraId="45DE152A" w14:textId="77777777" w:rsidR="00F20B33" w:rsidRPr="00F94FD0" w:rsidRDefault="00F94FD0" w:rsidP="00F94FD0">
      <w:pPr>
        <w:pStyle w:val="NormalWeb"/>
        <w:spacing w:before="0" w:beforeAutospacing="0" w:after="240" w:afterAutospacing="0" w:line="360" w:lineRule="auto"/>
        <w:jc w:val="both"/>
      </w:pPr>
      <w:r w:rsidRPr="00F94FD0">
        <w:t xml:space="preserve">Byrne, Z.S., Hayes, T.L. and Holcombe, K.J. (2017). Employee Engagement Using the Federal Employee Viewpoint Survey. </w:t>
      </w:r>
      <w:r w:rsidRPr="00F94FD0">
        <w:rPr>
          <w:i/>
          <w:iCs/>
        </w:rPr>
        <w:t>Public Personnel Management</w:t>
      </w:r>
      <w:r w:rsidRPr="00F94FD0">
        <w:t>, 46(4), pp.368–390. doi:https://doi.org/10.1177/0091026017717242.</w:t>
      </w:r>
    </w:p>
    <w:p w14:paraId="73DECE90" w14:textId="77777777" w:rsidR="00F20B33" w:rsidRPr="00F94FD0" w:rsidRDefault="00F94FD0" w:rsidP="00F94FD0">
      <w:pPr>
        <w:pStyle w:val="NormalWeb"/>
        <w:spacing w:before="0" w:beforeAutospacing="0" w:after="240" w:afterAutospacing="0" w:line="360" w:lineRule="auto"/>
        <w:jc w:val="both"/>
      </w:pPr>
      <w:r w:rsidRPr="00F94FD0">
        <w:t xml:space="preserve">Casper, W.J. and Buffardi, L.C. (2004). Work-life benefits and job pursuit intentions: The role of anticipated organizational support. </w:t>
      </w:r>
      <w:r w:rsidRPr="00F94FD0">
        <w:rPr>
          <w:i/>
          <w:iCs/>
        </w:rPr>
        <w:t>Journal of Vocational Behavior</w:t>
      </w:r>
      <w:r w:rsidRPr="00F94FD0">
        <w:t>, 65(3), pp.391–410. doi:https://doi.org/10.1016/j.jvb.2003.09.003.</w:t>
      </w:r>
    </w:p>
    <w:p w14:paraId="45A75024" w14:textId="77777777" w:rsidR="00F20B33" w:rsidRPr="00F94FD0" w:rsidRDefault="00F94FD0" w:rsidP="00F94FD0">
      <w:pPr>
        <w:pStyle w:val="NormalWeb"/>
        <w:spacing w:before="0" w:beforeAutospacing="0" w:after="240" w:afterAutospacing="0" w:line="360" w:lineRule="auto"/>
        <w:jc w:val="both"/>
      </w:pPr>
      <w:r w:rsidRPr="00F94FD0">
        <w:t xml:space="preserve">Chang, V. (2016). Review and discussion: E-learning for academia and industry. </w:t>
      </w:r>
      <w:r w:rsidRPr="00F94FD0">
        <w:rPr>
          <w:i/>
          <w:iCs/>
        </w:rPr>
        <w:t>International Journal of Information Management</w:t>
      </w:r>
      <w:r w:rsidRPr="00F94FD0">
        <w:t>, 36(3), pp.476–485. doi:https://doi.org/10.1016/j.ijinfomgt.2015.12.007.</w:t>
      </w:r>
    </w:p>
    <w:p w14:paraId="3EBA4939" w14:textId="77777777" w:rsidR="00F20B33" w:rsidRPr="00F94FD0" w:rsidRDefault="00F94FD0" w:rsidP="00F94FD0">
      <w:pPr>
        <w:pStyle w:val="NormalWeb"/>
        <w:spacing w:before="0" w:beforeAutospacing="0" w:after="240" w:afterAutospacing="0" w:line="360" w:lineRule="auto"/>
        <w:jc w:val="both"/>
      </w:pPr>
      <w:r w:rsidRPr="00F94FD0">
        <w:t xml:space="preserve">Fishman, M.D.C., Mehta, T.S., Siewert, B., Bender, C.E. and Kruskal, J.B. (2018). The Road to Wellness: Engagement Strategies to Help Radiologists Achieve Joy at Work. </w:t>
      </w:r>
      <w:r w:rsidRPr="00F94FD0">
        <w:rPr>
          <w:i/>
          <w:iCs/>
        </w:rPr>
        <w:t>RadioGraphics</w:t>
      </w:r>
      <w:r w:rsidRPr="00F94FD0">
        <w:t>, 38(6), pp.1651–1664. doi:https://doi.org/10.1148/rg.2018180030.</w:t>
      </w:r>
    </w:p>
    <w:p w14:paraId="0B97E8E0" w14:textId="77777777" w:rsidR="00F20B33" w:rsidRPr="00F94FD0" w:rsidRDefault="00F94FD0" w:rsidP="00F94FD0">
      <w:pPr>
        <w:pStyle w:val="NormalWeb"/>
        <w:spacing w:before="0" w:beforeAutospacing="0" w:after="240" w:afterAutospacing="0" w:line="360" w:lineRule="auto"/>
        <w:jc w:val="both"/>
      </w:pPr>
      <w:r w:rsidRPr="00F94FD0">
        <w:t xml:space="preserve">Franco, N.D. (2014). </w:t>
      </w:r>
      <w:r w:rsidRPr="00F94FD0">
        <w:rPr>
          <w:i/>
          <w:iCs/>
        </w:rPr>
        <w:t>Negotiating Adolescence in Rural Bangladesh: A Journey through School, Love and Marriage</w:t>
      </w:r>
      <w:r w:rsidRPr="00F94FD0">
        <w:t xml:space="preserve">. [online] </w:t>
      </w:r>
      <w:r w:rsidRPr="00F94FD0">
        <w:rPr>
          <w:i/>
          <w:iCs/>
        </w:rPr>
        <w:t>Google Books</w:t>
      </w:r>
      <w:r w:rsidRPr="00F94FD0">
        <w:t>. Zubaan. Available at: https://books.google.com/books?hl=en&amp;lr=&amp;id=aOOmDAAAQBAJ&amp;oi=fnd&amp;pg=PT5&amp;dq=The</w:t>
      </w:r>
      <w:r w:rsidRPr="00F94FD0">
        <w:lastRenderedPageBreak/>
        <w:t>+Courtyard+Academy+at+Marriott+is+a+shining+illustration+of+accepted+standards.+&amp;ots=ETyyX4zbdz&amp;sig=vNz-sdAI2DU_IMvsT7evn1_wptI [Accessed 4 Oct. 2023].</w:t>
      </w:r>
    </w:p>
    <w:p w14:paraId="5DCD92B2" w14:textId="77777777" w:rsidR="00F20B33" w:rsidRPr="00F94FD0" w:rsidRDefault="00F94FD0" w:rsidP="00F94FD0">
      <w:pPr>
        <w:pStyle w:val="NormalWeb"/>
        <w:spacing w:before="0" w:beforeAutospacing="0" w:after="240" w:afterAutospacing="0" w:line="360" w:lineRule="auto"/>
        <w:jc w:val="both"/>
      </w:pPr>
      <w:r w:rsidRPr="00F94FD0">
        <w:t xml:space="preserve">Gabrielova, K. and Buchko, A.A. (2021). Here comes Generation Z: Millennials as managers. </w:t>
      </w:r>
      <w:r w:rsidRPr="00F94FD0">
        <w:rPr>
          <w:i/>
          <w:iCs/>
        </w:rPr>
        <w:t>Business Horizons</w:t>
      </w:r>
      <w:r w:rsidRPr="00F94FD0">
        <w:t>, [online] 64(4), pp.489–499. doi:https://doi.org/10.1016/j.bushor.2021.02.013.</w:t>
      </w:r>
    </w:p>
    <w:p w14:paraId="32818EC8" w14:textId="77777777" w:rsidR="00F20B33" w:rsidRPr="00F94FD0" w:rsidRDefault="00F94FD0" w:rsidP="00F94FD0">
      <w:pPr>
        <w:pStyle w:val="NormalWeb"/>
        <w:spacing w:before="0" w:beforeAutospacing="0" w:after="240" w:afterAutospacing="0" w:line="360" w:lineRule="auto"/>
        <w:jc w:val="both"/>
      </w:pPr>
      <w:r w:rsidRPr="00F94FD0">
        <w:t xml:space="preserve">Holland, S., Gaston, K. and Gomes, J. (2020). Critical success factors for cross‐functional teamwork in new product development. </w:t>
      </w:r>
      <w:r w:rsidRPr="00F94FD0">
        <w:rPr>
          <w:i/>
          <w:iCs/>
        </w:rPr>
        <w:t>International Journal of Management Reviews</w:t>
      </w:r>
      <w:r w:rsidRPr="00F94FD0">
        <w:t>, 2(3), pp.231–259. doi:https://doi.org/10.1111/1468-2370.00040.</w:t>
      </w:r>
    </w:p>
    <w:p w14:paraId="2F4F5983" w14:textId="77777777" w:rsidR="00F20B33" w:rsidRPr="00F94FD0" w:rsidRDefault="00F94FD0" w:rsidP="00F94FD0">
      <w:pPr>
        <w:pStyle w:val="NormalWeb"/>
        <w:spacing w:before="0" w:beforeAutospacing="0" w:after="240" w:afterAutospacing="0" w:line="360" w:lineRule="auto"/>
        <w:jc w:val="both"/>
      </w:pPr>
      <w:r w:rsidRPr="00F94FD0">
        <w:t xml:space="preserve">Itani, O.S., Kassar, A.-N. and Loureiro, S.M.C. (2019). Value get, value give: The relationships among perceived value, relationship quality, customer engagement, and value consciousness. </w:t>
      </w:r>
      <w:r w:rsidRPr="00F94FD0">
        <w:rPr>
          <w:i/>
          <w:iCs/>
        </w:rPr>
        <w:t>International Journal of Hospitality Management</w:t>
      </w:r>
      <w:r w:rsidRPr="00F94FD0">
        <w:t>, [online] 80, pp.78–90. doi:https://doi.org/10.1016/j.ijhm.2019.01.014.</w:t>
      </w:r>
    </w:p>
    <w:p w14:paraId="1229BBAD" w14:textId="77777777" w:rsidR="00F20B33" w:rsidRPr="00F94FD0" w:rsidRDefault="00F94FD0" w:rsidP="00F94FD0">
      <w:pPr>
        <w:pStyle w:val="NormalWeb"/>
        <w:spacing w:before="0" w:beforeAutospacing="0" w:after="240" w:afterAutospacing="0" w:line="360" w:lineRule="auto"/>
        <w:jc w:val="both"/>
      </w:pPr>
      <w:r w:rsidRPr="00F94FD0">
        <w:t xml:space="preserve">Johnson, W.B. (2015). </w:t>
      </w:r>
      <w:r w:rsidRPr="00F94FD0">
        <w:rPr>
          <w:i/>
          <w:iCs/>
        </w:rPr>
        <w:t>On Being a Mentor: A Guide for Higher Education Faculty, Second Edition</w:t>
      </w:r>
      <w:r w:rsidRPr="00F94FD0">
        <w:t xml:space="preserve">. [online] </w:t>
      </w:r>
      <w:r w:rsidRPr="00F94FD0">
        <w:rPr>
          <w:i/>
          <w:iCs/>
        </w:rPr>
        <w:t>Google Books</w:t>
      </w:r>
      <w:r w:rsidRPr="00F94FD0">
        <w:t>. Routledge. Available at: https://books.google.com/books?hl=en&amp;lr=&amp;id=0NW9CgAAQBAJ&amp;oi=fnd&amp;pg=PP1&amp;dq=A+successful+start+is+ensured+by+setting+clear+expectations [Accessed 4 Oct. 2023].</w:t>
      </w:r>
    </w:p>
    <w:p w14:paraId="6611A174" w14:textId="77777777" w:rsidR="00F20B33" w:rsidRPr="00F94FD0" w:rsidRDefault="00F94FD0" w:rsidP="00F94FD0">
      <w:pPr>
        <w:pStyle w:val="NormalWeb"/>
        <w:spacing w:before="0" w:beforeAutospacing="0" w:after="240" w:afterAutospacing="0" w:line="360" w:lineRule="auto"/>
        <w:jc w:val="both"/>
      </w:pPr>
      <w:r w:rsidRPr="00F94FD0">
        <w:rPr>
          <w:lang w:val="de-DE"/>
        </w:rPr>
        <w:t xml:space="preserve">Kang, H.J. (Annette) and Busser, J.A. (2018). </w:t>
      </w:r>
      <w:r w:rsidRPr="00F94FD0">
        <w:t xml:space="preserve">Impact of service climate and psychological capital on employee engagement: The role of organizational hierarchy. </w:t>
      </w:r>
      <w:r w:rsidRPr="00F94FD0">
        <w:rPr>
          <w:i/>
          <w:iCs/>
        </w:rPr>
        <w:t>International Journal of Hospitality Management</w:t>
      </w:r>
      <w:r w:rsidRPr="00F94FD0">
        <w:t>, 75, pp.1–9. doi:https://doi.org/10.1016/j.ijhm.2018.03.003.</w:t>
      </w:r>
    </w:p>
    <w:p w14:paraId="4D6BD587" w14:textId="77777777" w:rsidR="00F20B33" w:rsidRPr="00F94FD0" w:rsidRDefault="00F94FD0" w:rsidP="00F94FD0">
      <w:pPr>
        <w:pStyle w:val="NormalWeb"/>
        <w:spacing w:before="0" w:beforeAutospacing="0" w:after="240" w:afterAutospacing="0" w:line="360" w:lineRule="auto"/>
        <w:jc w:val="both"/>
      </w:pPr>
      <w:r w:rsidRPr="00F94FD0">
        <w:t xml:space="preserve">Khan, B.H. (2005). </w:t>
      </w:r>
      <w:r w:rsidRPr="00F94FD0">
        <w:rPr>
          <w:i/>
          <w:iCs/>
        </w:rPr>
        <w:t>Managing E-learning: Design, Delivery, Implementation, and Evaluation</w:t>
      </w:r>
      <w:r w:rsidRPr="00F94FD0">
        <w:t xml:space="preserve">. [online] </w:t>
      </w:r>
      <w:r w:rsidRPr="00F94FD0">
        <w:rPr>
          <w:i/>
          <w:iCs/>
        </w:rPr>
        <w:t>Google Books</w:t>
      </w:r>
      <w:r w:rsidRPr="00F94FD0">
        <w:t>. Idea Group Inc (IGI). Available at: https://books.google.com/books?hl=en&amp;lr=&amp;id=WVL9ix9EZskC&amp;oi=fnd&amp;pg=PR7&amp;dq=Generation+Y%27s+professional+development+depends+heavily+on+engagement+during+the+development+period.+With+the+use+of+mentorship+programs+and+e-learning+systems [Accessed 4 Oct. 2023].</w:t>
      </w:r>
    </w:p>
    <w:p w14:paraId="3CEB7595" w14:textId="77777777" w:rsidR="00F20B33" w:rsidRPr="00F94FD0" w:rsidRDefault="00F94FD0" w:rsidP="00F94FD0">
      <w:pPr>
        <w:pStyle w:val="NormalWeb"/>
        <w:spacing w:before="0" w:beforeAutospacing="0" w:after="240" w:afterAutospacing="0" w:line="360" w:lineRule="auto"/>
        <w:jc w:val="both"/>
      </w:pPr>
      <w:r w:rsidRPr="00F94FD0">
        <w:t xml:space="preserve">Mitchell, T.R., Holtom, B.C. and Lee, T.W. (2001). How to keep your best employees: Developing an effective retention policy. </w:t>
      </w:r>
      <w:r w:rsidRPr="00F94FD0">
        <w:rPr>
          <w:i/>
          <w:iCs/>
        </w:rPr>
        <w:t>Academy of Management Perspectives</w:t>
      </w:r>
      <w:r w:rsidRPr="00F94FD0">
        <w:t>, 15(4), pp.96–108. doi:https://doi.org/10.5465/ame.2001.5897929.</w:t>
      </w:r>
    </w:p>
    <w:p w14:paraId="300AB14B" w14:textId="77777777" w:rsidR="00F20B33" w:rsidRPr="00F94FD0" w:rsidRDefault="00F94FD0" w:rsidP="00F94FD0">
      <w:pPr>
        <w:pStyle w:val="NormalWeb"/>
        <w:spacing w:before="0" w:beforeAutospacing="0" w:after="240" w:afterAutospacing="0" w:line="360" w:lineRule="auto"/>
        <w:jc w:val="both"/>
      </w:pPr>
      <w:r w:rsidRPr="00F94FD0">
        <w:lastRenderedPageBreak/>
        <w:t xml:space="preserve">Nicol, D. (2010). From monologue to dialogue: improving written feedback processes in mass higher education. </w:t>
      </w:r>
      <w:r w:rsidRPr="00F94FD0">
        <w:rPr>
          <w:i/>
          <w:iCs/>
        </w:rPr>
        <w:t>Assessment &amp; Evaluation in Higher Education</w:t>
      </w:r>
      <w:r w:rsidRPr="00F94FD0">
        <w:t>, 35(5), pp.501–517. doi:https://doi.org/10.1080/02602931003786559.</w:t>
      </w:r>
    </w:p>
    <w:p w14:paraId="25404DC2" w14:textId="77777777" w:rsidR="00F20B33" w:rsidRPr="00F94FD0" w:rsidRDefault="00F94FD0" w:rsidP="00F94FD0">
      <w:pPr>
        <w:pStyle w:val="NormalWeb"/>
        <w:spacing w:before="0" w:beforeAutospacing="0" w:after="240" w:afterAutospacing="0" w:line="360" w:lineRule="auto"/>
        <w:jc w:val="both"/>
      </w:pPr>
      <w:r w:rsidRPr="00F94FD0">
        <w:t xml:space="preserve">Rodríguez-Sánchez, J.-L., González-Torres, T., Montero-Navarro, A. and Gallego-Losada, R. (2020). Investing time and resources for work–life balance: The effect on talent retention. </w:t>
      </w:r>
      <w:r w:rsidRPr="00F94FD0">
        <w:rPr>
          <w:i/>
          <w:iCs/>
        </w:rPr>
        <w:t>International Journal of Environmental Research and Public Health</w:t>
      </w:r>
      <w:r w:rsidRPr="00F94FD0">
        <w:t>, 17(6), p.1920.</w:t>
      </w:r>
    </w:p>
    <w:p w14:paraId="2EF3D834" w14:textId="77777777" w:rsidR="00F20B33" w:rsidRPr="00F94FD0" w:rsidRDefault="00F94FD0" w:rsidP="00F94FD0">
      <w:pPr>
        <w:pStyle w:val="NormalWeb"/>
        <w:spacing w:before="0" w:beforeAutospacing="0" w:after="240" w:afterAutospacing="0" w:line="360" w:lineRule="auto"/>
        <w:jc w:val="both"/>
      </w:pPr>
      <w:r w:rsidRPr="00F94FD0">
        <w:t xml:space="preserve">Schaufeli, W. (2012). Work Engagement. What Do We Know and Where Do We Go? Work Engagement in Everyday Life, Business, and Academia. </w:t>
      </w:r>
      <w:r w:rsidRPr="00F94FD0">
        <w:rPr>
          <w:i/>
          <w:iCs/>
        </w:rPr>
        <w:t>Romanian Journal of Applied Psychology</w:t>
      </w:r>
      <w:r w:rsidRPr="00F94FD0">
        <w:t>, [online] 14(1), pp.3–10. Available at: https://lirias.kuleuven.be/retrieve/307310 [Accessed 4 Oct. 2023].</w:t>
      </w:r>
    </w:p>
    <w:p w14:paraId="5BBA1CBA" w14:textId="77777777" w:rsidR="00F20B33" w:rsidRPr="00F94FD0" w:rsidRDefault="00F94FD0" w:rsidP="00F94FD0">
      <w:pPr>
        <w:pStyle w:val="NormalWeb"/>
        <w:spacing w:before="0" w:beforeAutospacing="0" w:after="240" w:afterAutospacing="0" w:line="360" w:lineRule="auto"/>
        <w:jc w:val="both"/>
      </w:pPr>
      <w:r w:rsidRPr="00F94FD0">
        <w:t xml:space="preserve">Shmailan, A. (2016). The relationship between job satisfaction, job performance and employee engagement: An explorative study. </w:t>
      </w:r>
      <w:r w:rsidRPr="00F94FD0">
        <w:rPr>
          <w:i/>
          <w:iCs/>
        </w:rPr>
        <w:t>Issues in Business Management and Economics</w:t>
      </w:r>
      <w:r w:rsidRPr="00F94FD0">
        <w:t>, 4(1), pp.1–8. doi:https://doi.org/10.15739/IBME.16.001.</w:t>
      </w:r>
    </w:p>
    <w:p w14:paraId="0DED039C" w14:textId="77777777" w:rsidR="00F20B33" w:rsidRPr="00F94FD0" w:rsidRDefault="00F94FD0" w:rsidP="00F94FD0">
      <w:pPr>
        <w:pStyle w:val="NormalWeb"/>
        <w:spacing w:before="0" w:beforeAutospacing="0" w:after="240" w:afterAutospacing="0" w:line="360" w:lineRule="auto"/>
        <w:jc w:val="both"/>
      </w:pPr>
      <w:r w:rsidRPr="00F94FD0">
        <w:t xml:space="preserve">Tulgan, B. (2009). </w:t>
      </w:r>
      <w:r w:rsidRPr="00F94FD0">
        <w:rPr>
          <w:i/>
          <w:iCs/>
        </w:rPr>
        <w:t>Not Everyone Gets A Trophy: How to Manage Generation Y</w:t>
      </w:r>
      <w:r w:rsidRPr="00F94FD0">
        <w:t xml:space="preserve">. [online] </w:t>
      </w:r>
      <w:r w:rsidRPr="00F94FD0">
        <w:rPr>
          <w:i/>
          <w:iCs/>
        </w:rPr>
        <w:t>Google Books</w:t>
      </w:r>
      <w:r w:rsidRPr="00F94FD0">
        <w:t>. John Wiley &amp; Sons. Available at: https://books.google.com/books?hl=en&amp;lr=&amp;id=zYPVuhFDahEC&amp;oi=fnd&amp;pg=PT11&amp;dq=Generation+Y+emphasizes+open+communication+and+well-defined+expectations [Accessed 4 Oct. 2023].</w:t>
      </w:r>
    </w:p>
    <w:p w14:paraId="58B02AB2" w14:textId="77777777" w:rsidR="00F20B33" w:rsidRPr="00F94FD0" w:rsidRDefault="00F94FD0" w:rsidP="00F94FD0">
      <w:pPr>
        <w:pStyle w:val="NormalWeb"/>
        <w:spacing w:before="0" w:beforeAutospacing="0" w:after="240" w:afterAutospacing="0" w:line="360" w:lineRule="auto"/>
        <w:jc w:val="both"/>
      </w:pPr>
      <w:r w:rsidRPr="00F94FD0">
        <w:t xml:space="preserve">van Esch, P. and Black, J.S. (2019). Factors that influence new generation candidates to engage with and complete digital, AI-enabled recruiting. </w:t>
      </w:r>
      <w:r w:rsidRPr="00F94FD0">
        <w:rPr>
          <w:i/>
          <w:iCs/>
        </w:rPr>
        <w:t>Business Horizons</w:t>
      </w:r>
      <w:r w:rsidRPr="00F94FD0">
        <w:t>, [online] 62(6), pp.729–739. doi:https://doi.org/10.1016/j.bushor.2019.07.004.</w:t>
      </w:r>
    </w:p>
    <w:p w14:paraId="7962E340" w14:textId="77777777" w:rsidR="00F20B33" w:rsidRPr="00F94FD0" w:rsidRDefault="00F94FD0" w:rsidP="00F94FD0">
      <w:pPr>
        <w:pStyle w:val="NormalWeb"/>
        <w:spacing w:before="0" w:beforeAutospacing="0" w:after="240" w:afterAutospacing="0" w:line="360" w:lineRule="auto"/>
        <w:jc w:val="both"/>
      </w:pPr>
      <w:r w:rsidRPr="00F94FD0">
        <w:t xml:space="preserve">Vilana Olmos, A. and Martín Miralles, A. (2019). Should the Employee Promise of Ritz Carlton Gold Standards be updated? </w:t>
      </w:r>
      <w:r w:rsidRPr="00F94FD0">
        <w:rPr>
          <w:i/>
          <w:iCs/>
        </w:rPr>
        <w:t>RECERCAT (Dipòsit de la Recerca de Catalunya)</w:t>
      </w:r>
      <w:r w:rsidRPr="00F94FD0">
        <w:t>. [online] Available at: https://www.recercat.cat/handle/2072/357245 [Accessed 4 Oct. 2023].</w:t>
      </w:r>
    </w:p>
    <w:sectPr w:rsidR="00F20B33" w:rsidRPr="00F94F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ShadeFormData/>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B33"/>
    <w:rsid w:val="001D5933"/>
    <w:rsid w:val="004B2354"/>
    <w:rsid w:val="005F1C51"/>
    <w:rsid w:val="008552FE"/>
    <w:rsid w:val="00B43577"/>
    <w:rsid w:val="00C658BE"/>
    <w:rsid w:val="00CA3EC1"/>
    <w:rsid w:val="00CE2A0D"/>
    <w:rsid w:val="00D75F70"/>
    <w:rsid w:val="00F20B33"/>
    <w:rsid w:val="00F94F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DBE233"/>
  <w15:docId w15:val="{7D16AF7E-BB7D-445A-B3E5-950D5B46F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uiPriority w:val="9"/>
    <w:qFormat/>
    <w:pPr>
      <w:keepNext/>
      <w:keepLines/>
      <w:spacing w:before="240" w:after="0"/>
      <w:outlineLvl w:val="0"/>
    </w:pPr>
    <w:rPr>
      <w:rFonts w:ascii="Cambria" w:hAnsi="Cambria" w:cs="SimSun"/>
      <w:color w:val="365F91"/>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Cambria" w:hAnsi="Cambria" w:cs="SimSun"/>
      <w:color w:val="365F9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Cambria" w:eastAsia="SimSun" w:hAnsi="Cambria" w:cs="SimSun"/>
      <w:color w:val="365F91"/>
      <w:sz w:val="32"/>
      <w:szCs w:val="32"/>
    </w:rPr>
  </w:style>
  <w:style w:type="character" w:customStyle="1" w:styleId="Heading2Char">
    <w:name w:val="Heading 2 Char"/>
    <w:basedOn w:val="DefaultParagraphFont"/>
    <w:link w:val="Heading2"/>
    <w:uiPriority w:val="9"/>
    <w:rPr>
      <w:rFonts w:ascii="Cambria" w:eastAsia="SimSun" w:hAnsi="Cambria" w:cs="SimSun"/>
      <w:color w:val="365F91"/>
      <w:sz w:val="26"/>
      <w:szCs w:val="26"/>
    </w:rPr>
  </w:style>
  <w:style w:type="paragraph" w:styleId="NormalWeb">
    <w:name w:val="Normal (Web)"/>
    <w:basedOn w:val="Normal"/>
    <w:uiPriority w:val="99"/>
    <w:pPr>
      <w:spacing w:before="100" w:beforeAutospacing="1" w:after="100" w:afterAutospacing="1" w:line="240" w:lineRule="auto"/>
    </w:pPr>
    <w:rPr>
      <w:rFonts w:ascii="Times New Roman" w:eastAsia="Times New Roman" w:hAnsi="Times New Roman"/>
      <w:sz w:val="24"/>
      <w:szCs w:val="24"/>
      <w:lang w:eastAsia="en-US"/>
    </w:rPr>
  </w:style>
  <w:style w:type="paragraph" w:styleId="TOCHeading">
    <w:name w:val="TOC Heading"/>
    <w:basedOn w:val="Heading1"/>
    <w:next w:val="Normal"/>
    <w:uiPriority w:val="39"/>
    <w:qFormat/>
    <w:pPr>
      <w:spacing w:line="259" w:lineRule="auto"/>
      <w:outlineLvl w:val="9"/>
    </w:pPr>
    <w:rPr>
      <w:lang w:eastAsia="en-US"/>
    </w:rPr>
  </w:style>
  <w:style w:type="paragraph" w:styleId="TOC1">
    <w:name w:val="toc 1"/>
    <w:basedOn w:val="Normal"/>
    <w:next w:val="Normal"/>
    <w:uiPriority w:val="39"/>
    <w:pPr>
      <w:spacing w:after="100"/>
    </w:pPr>
  </w:style>
  <w:style w:type="paragraph" w:styleId="TOC2">
    <w:name w:val="toc 2"/>
    <w:basedOn w:val="Normal"/>
    <w:next w:val="Normal"/>
    <w:uiPriority w:val="39"/>
    <w:pPr>
      <w:spacing w:after="100"/>
      <w:ind w:left="220"/>
    </w:pPr>
  </w:style>
  <w:style w:type="character" w:styleId="Hyperlink">
    <w:name w:val="Hyperlink"/>
    <w:basedOn w:val="DefaultParagraphFont"/>
    <w:uiPriority w:val="99"/>
    <w:rPr>
      <w:color w:val="0000FF"/>
      <w:u w:val="single"/>
    </w:rPr>
  </w:style>
  <w:style w:type="table" w:styleId="TableGrid">
    <w:name w:val="Table Grid"/>
    <w:basedOn w:val="TableNormal"/>
    <w:uiPriority w:val="39"/>
    <w:rsid w:val="005F1C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624814-B0F7-4E31-8A0F-17929A8B6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3104</Words>
  <Characters>17699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sanke</dc:creator>
  <cp:lastModifiedBy>Bijaya Dip Karki (2207937)</cp:lastModifiedBy>
  <cp:revision>2</cp:revision>
  <dcterms:created xsi:type="dcterms:W3CDTF">2023-10-13T10:13:00Z</dcterms:created>
  <dcterms:modified xsi:type="dcterms:W3CDTF">2023-10-13T10:13:00Z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107925fec41246a19f9b468efd680a9a</vt:lpwstr>
  </property>
  <property fmtid="{D5CDD505-2E9C-101B-9397-08002B2CF9AE}" pid="3" name="GrammarlyDocumentId">
    <vt:lpwstr>767546ee3cc80e9da02d8be5d2be1766548dc3818759f266b6f32744dda08e71</vt:lpwstr>
  </property>
</Properties>
</file>