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01406977"/>
        <w:docPartObj>
          <w:docPartGallery w:val="Cover Pages"/>
          <w:docPartUnique/>
        </w:docPartObj>
      </w:sdtPr>
      <w:sdtEndPr>
        <w:rPr>
          <w:rFonts w:ascii="Arial" w:hAnsi="Arial" w:cs="Arial"/>
          <w:b/>
          <w:bCs/>
          <w:sz w:val="28"/>
          <w:szCs w:val="28"/>
        </w:rPr>
      </w:sdtEndPr>
      <w:sdtContent>
        <w:p w14:paraId="641C8C12" w14:textId="407B622C" w:rsidR="00A46B51" w:rsidRDefault="00A46B51">
          <w:r>
            <w:rPr>
              <w:noProof/>
            </w:rPr>
            <mc:AlternateContent>
              <mc:Choice Requires="wpg">
                <w:drawing>
                  <wp:anchor distT="0" distB="0" distL="114300" distR="114300" simplePos="0" relativeHeight="251662336" behindDoc="0" locked="0" layoutInCell="1" allowOverlap="1" wp14:anchorId="363670FF" wp14:editId="6199B40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A94827"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09CAF75" wp14:editId="760414C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A834FBF" w14:textId="5209F2E7" w:rsidR="00A46B51" w:rsidRDefault="00A46B51">
                                    <w:pPr>
                                      <w:pStyle w:val="NoSpacing"/>
                                      <w:jc w:val="right"/>
                                      <w:rPr>
                                        <w:color w:val="595959" w:themeColor="text1" w:themeTint="A6"/>
                                        <w:sz w:val="28"/>
                                        <w:szCs w:val="28"/>
                                      </w:rPr>
                                    </w:pPr>
                                    <w:r>
                                      <w:rPr>
                                        <w:color w:val="595959" w:themeColor="text1" w:themeTint="A6"/>
                                        <w:sz w:val="28"/>
                                        <w:szCs w:val="28"/>
                                      </w:rPr>
                                      <w:t>Tim Nicholas</w:t>
                                    </w:r>
                                  </w:p>
                                </w:sdtContent>
                              </w:sdt>
                              <w:p w14:paraId="7A972C26" w14:textId="209D9185" w:rsidR="00A46B51" w:rsidRDefault="0077239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46B51">
                                      <w:rPr>
                                        <w:color w:val="595959" w:themeColor="text1" w:themeTint="A6"/>
                                        <w:sz w:val="18"/>
                                        <w:szCs w:val="18"/>
                                      </w:rPr>
                                      <w:t>2310510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09CAF75"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A834FBF" w14:textId="5209F2E7" w:rsidR="00A46B51" w:rsidRDefault="00A46B51">
                              <w:pPr>
                                <w:pStyle w:val="NoSpacing"/>
                                <w:jc w:val="right"/>
                                <w:rPr>
                                  <w:color w:val="595959" w:themeColor="text1" w:themeTint="A6"/>
                                  <w:sz w:val="28"/>
                                  <w:szCs w:val="28"/>
                                </w:rPr>
                              </w:pPr>
                              <w:r>
                                <w:rPr>
                                  <w:color w:val="595959" w:themeColor="text1" w:themeTint="A6"/>
                                  <w:sz w:val="28"/>
                                  <w:szCs w:val="28"/>
                                </w:rPr>
                                <w:t>Tim Nicholas</w:t>
                              </w:r>
                            </w:p>
                          </w:sdtContent>
                        </w:sdt>
                        <w:p w14:paraId="7A972C26" w14:textId="209D9185" w:rsidR="00A46B51" w:rsidRDefault="0077239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46B51">
                                <w:rPr>
                                  <w:color w:val="595959" w:themeColor="text1" w:themeTint="A6"/>
                                  <w:sz w:val="18"/>
                                  <w:szCs w:val="18"/>
                                </w:rPr>
                                <w:t>2310510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CAF1B38" wp14:editId="5871FC0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32F866" w14:textId="4D808975" w:rsidR="00A46B51" w:rsidRDefault="0077239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6B51">
                                      <w:rPr>
                                        <w:caps/>
                                        <w:color w:val="4472C4" w:themeColor="accent1"/>
                                        <w:sz w:val="64"/>
                                        <w:szCs w:val="64"/>
                                      </w:rPr>
                                      <w:t>Reform of the Offences Against the Person Act 1861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4705293" w14:textId="7E8BE1A5" w:rsidR="00A46B51" w:rsidRDefault="00A46B51">
                                    <w:pPr>
                                      <w:jc w:val="right"/>
                                      <w:rPr>
                                        <w:smallCaps/>
                                        <w:color w:val="404040" w:themeColor="text1" w:themeTint="BF"/>
                                        <w:sz w:val="36"/>
                                        <w:szCs w:val="36"/>
                                      </w:rPr>
                                    </w:pPr>
                                    <w:r>
                                      <w:rPr>
                                        <w:color w:val="404040" w:themeColor="text1" w:themeTint="BF"/>
                                        <w:sz w:val="36"/>
                                        <w:szCs w:val="36"/>
                                      </w:rPr>
                                      <w:t>BMLW4005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CAF1B38"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E32F866" w14:textId="4D808975" w:rsidR="00A46B51" w:rsidRDefault="0077239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6B51">
                                <w:rPr>
                                  <w:caps/>
                                  <w:color w:val="4472C4" w:themeColor="accent1"/>
                                  <w:sz w:val="64"/>
                                  <w:szCs w:val="64"/>
                                </w:rPr>
                                <w:t>Reform of the Offences Against the Person Act 1861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4705293" w14:textId="7E8BE1A5" w:rsidR="00A46B51" w:rsidRDefault="00A46B51">
                              <w:pPr>
                                <w:jc w:val="right"/>
                                <w:rPr>
                                  <w:smallCaps/>
                                  <w:color w:val="404040" w:themeColor="text1" w:themeTint="BF"/>
                                  <w:sz w:val="36"/>
                                  <w:szCs w:val="36"/>
                                </w:rPr>
                              </w:pPr>
                              <w:r>
                                <w:rPr>
                                  <w:color w:val="404040" w:themeColor="text1" w:themeTint="BF"/>
                                  <w:sz w:val="36"/>
                                  <w:szCs w:val="36"/>
                                </w:rPr>
                                <w:t>BMLW4005</w:t>
                              </w:r>
                            </w:p>
                          </w:sdtContent>
                        </w:sdt>
                      </w:txbxContent>
                    </v:textbox>
                    <w10:wrap type="square" anchorx="page" anchory="page"/>
                  </v:shape>
                </w:pict>
              </mc:Fallback>
            </mc:AlternateContent>
          </w:r>
        </w:p>
        <w:p w14:paraId="7EA12BE8" w14:textId="6F611CA8" w:rsidR="00A46B51" w:rsidRDefault="00A46B51">
          <w:pPr>
            <w:rPr>
              <w:rFonts w:ascii="Arial" w:hAnsi="Arial" w:cs="Arial"/>
              <w:b/>
              <w:bCs/>
              <w:sz w:val="28"/>
              <w:szCs w:val="28"/>
            </w:rPr>
          </w:pPr>
          <w:r>
            <w:rPr>
              <w:rFonts w:ascii="Arial" w:hAnsi="Arial" w:cs="Arial"/>
              <w:b/>
              <w:bCs/>
              <w:sz w:val="28"/>
              <w:szCs w:val="28"/>
            </w:rPr>
            <w:br w:type="page"/>
          </w:r>
        </w:p>
      </w:sdtContent>
    </w:sdt>
    <w:p w14:paraId="2EC1C3DA" w14:textId="0FD79895" w:rsidR="00B97674" w:rsidRDefault="00E512A7" w:rsidP="00CA0357">
      <w:pPr>
        <w:spacing w:line="360" w:lineRule="auto"/>
        <w:rPr>
          <w:rFonts w:ascii="Arial" w:hAnsi="Arial" w:cs="Arial"/>
          <w:sz w:val="24"/>
          <w:szCs w:val="24"/>
        </w:rPr>
      </w:pPr>
      <w:r>
        <w:rPr>
          <w:rFonts w:ascii="Arial" w:hAnsi="Arial" w:cs="Arial"/>
          <w:sz w:val="24"/>
          <w:szCs w:val="24"/>
        </w:rPr>
        <w:lastRenderedPageBreak/>
        <w:t xml:space="preserve">In this </w:t>
      </w:r>
      <w:r w:rsidR="00FB1783">
        <w:rPr>
          <w:rFonts w:ascii="Arial" w:hAnsi="Arial" w:cs="Arial"/>
          <w:sz w:val="24"/>
          <w:szCs w:val="24"/>
        </w:rPr>
        <w:t xml:space="preserve">essay there will be discussions surrounding </w:t>
      </w:r>
      <w:r w:rsidR="00F04435">
        <w:rPr>
          <w:rFonts w:ascii="Arial" w:hAnsi="Arial" w:cs="Arial"/>
          <w:sz w:val="24"/>
          <w:szCs w:val="24"/>
        </w:rPr>
        <w:t>Offences against the person act 1861 and the need for reform in regards to it</w:t>
      </w:r>
      <w:r w:rsidR="00C912E9">
        <w:rPr>
          <w:rFonts w:ascii="Arial" w:hAnsi="Arial" w:cs="Arial"/>
          <w:sz w:val="24"/>
          <w:szCs w:val="24"/>
        </w:rPr>
        <w:t xml:space="preserve"> </w:t>
      </w:r>
      <w:r w:rsidR="00E2753A">
        <w:rPr>
          <w:rFonts w:ascii="Arial" w:hAnsi="Arial" w:cs="Arial"/>
          <w:sz w:val="24"/>
          <w:szCs w:val="24"/>
        </w:rPr>
        <w:t>c</w:t>
      </w:r>
      <w:r w:rsidR="00F844E0">
        <w:rPr>
          <w:rFonts w:ascii="Arial" w:hAnsi="Arial" w:cs="Arial"/>
          <w:sz w:val="24"/>
          <w:szCs w:val="24"/>
        </w:rPr>
        <w:t xml:space="preserve">oncentrating on non-fatal offences against </w:t>
      </w:r>
      <w:r w:rsidR="00E2753A">
        <w:rPr>
          <w:rFonts w:ascii="Arial" w:hAnsi="Arial" w:cs="Arial"/>
          <w:sz w:val="24"/>
          <w:szCs w:val="24"/>
        </w:rPr>
        <w:t xml:space="preserve">a person. </w:t>
      </w:r>
      <w:r w:rsidR="00185014">
        <w:rPr>
          <w:rFonts w:ascii="Arial" w:hAnsi="Arial" w:cs="Arial"/>
          <w:sz w:val="24"/>
          <w:szCs w:val="24"/>
        </w:rPr>
        <w:t>Topics such as</w:t>
      </w:r>
      <w:r w:rsidR="00B21407">
        <w:rPr>
          <w:rFonts w:ascii="Arial" w:hAnsi="Arial" w:cs="Arial"/>
          <w:sz w:val="24"/>
          <w:szCs w:val="24"/>
        </w:rPr>
        <w:t xml:space="preserve"> outdated language, </w:t>
      </w:r>
      <w:r w:rsidR="00EB6190">
        <w:rPr>
          <w:rFonts w:ascii="Arial" w:hAnsi="Arial" w:cs="Arial"/>
          <w:sz w:val="24"/>
          <w:szCs w:val="24"/>
        </w:rPr>
        <w:t xml:space="preserve">mental elements of </w:t>
      </w:r>
      <w:r w:rsidR="008F0199">
        <w:rPr>
          <w:rFonts w:ascii="Arial" w:hAnsi="Arial" w:cs="Arial"/>
          <w:sz w:val="24"/>
          <w:szCs w:val="24"/>
        </w:rPr>
        <w:t xml:space="preserve">offences </w:t>
      </w:r>
      <w:r w:rsidR="00690503">
        <w:rPr>
          <w:rFonts w:ascii="Arial" w:hAnsi="Arial" w:cs="Arial"/>
          <w:sz w:val="24"/>
          <w:szCs w:val="24"/>
        </w:rPr>
        <w:t xml:space="preserve">and also offences </w:t>
      </w:r>
      <w:r w:rsidR="00185014">
        <w:rPr>
          <w:rFonts w:ascii="Arial" w:hAnsi="Arial" w:cs="Arial"/>
          <w:sz w:val="24"/>
          <w:szCs w:val="24"/>
        </w:rPr>
        <w:t>that no longer serve a purpose in modern society</w:t>
      </w:r>
      <w:r w:rsidR="00690503">
        <w:rPr>
          <w:rFonts w:ascii="Arial" w:hAnsi="Arial" w:cs="Arial"/>
          <w:sz w:val="24"/>
          <w:szCs w:val="24"/>
        </w:rPr>
        <w:t>. Then looking at e</w:t>
      </w:r>
      <w:r w:rsidR="00141289">
        <w:rPr>
          <w:rFonts w:ascii="Arial" w:hAnsi="Arial" w:cs="Arial"/>
          <w:sz w:val="24"/>
          <w:szCs w:val="24"/>
        </w:rPr>
        <w:t>valuat</w:t>
      </w:r>
      <w:r w:rsidR="00690503">
        <w:rPr>
          <w:rFonts w:ascii="Arial" w:hAnsi="Arial" w:cs="Arial"/>
          <w:sz w:val="24"/>
          <w:szCs w:val="24"/>
        </w:rPr>
        <w:t>ing these topics and adding</w:t>
      </w:r>
      <w:r w:rsidR="00141289">
        <w:rPr>
          <w:rFonts w:ascii="Arial" w:hAnsi="Arial" w:cs="Arial"/>
          <w:sz w:val="24"/>
          <w:szCs w:val="24"/>
        </w:rPr>
        <w:t xml:space="preserve"> any </w:t>
      </w:r>
      <w:r w:rsidR="005B3F4E">
        <w:rPr>
          <w:rFonts w:ascii="Arial" w:hAnsi="Arial" w:cs="Arial"/>
          <w:sz w:val="24"/>
          <w:szCs w:val="24"/>
        </w:rPr>
        <w:t>recommendations</w:t>
      </w:r>
      <w:r w:rsidR="00141289">
        <w:rPr>
          <w:rFonts w:ascii="Arial" w:hAnsi="Arial" w:cs="Arial"/>
          <w:sz w:val="24"/>
          <w:szCs w:val="24"/>
        </w:rPr>
        <w:t xml:space="preserve"> </w:t>
      </w:r>
      <w:r w:rsidR="00DE1C6F">
        <w:rPr>
          <w:rFonts w:ascii="Arial" w:hAnsi="Arial" w:cs="Arial"/>
          <w:sz w:val="24"/>
          <w:szCs w:val="24"/>
        </w:rPr>
        <w:t>with the likelihood</w:t>
      </w:r>
      <w:r w:rsidR="005B3F4E">
        <w:rPr>
          <w:rFonts w:ascii="Arial" w:hAnsi="Arial" w:cs="Arial"/>
          <w:sz w:val="24"/>
          <w:szCs w:val="24"/>
        </w:rPr>
        <w:t xml:space="preserve"> this may improve the law in this area.</w:t>
      </w:r>
      <w:r w:rsidR="00950C2B">
        <w:rPr>
          <w:rFonts w:ascii="Arial" w:hAnsi="Arial" w:cs="Arial"/>
          <w:sz w:val="24"/>
          <w:szCs w:val="24"/>
        </w:rPr>
        <w:t xml:space="preserve"> </w:t>
      </w:r>
    </w:p>
    <w:p w14:paraId="771F1183" w14:textId="1E05B717" w:rsidR="00613E7C" w:rsidRPr="00975158" w:rsidRDefault="00D8267F" w:rsidP="00CA0357">
      <w:pPr>
        <w:shd w:val="clear" w:color="auto" w:fill="FFFFFF"/>
        <w:spacing w:after="0" w:line="360" w:lineRule="auto"/>
        <w:jc w:val="both"/>
        <w:rPr>
          <w:rFonts w:ascii="Arial" w:eastAsia="Times New Roman" w:hAnsi="Arial" w:cs="Arial"/>
          <w:color w:val="000000"/>
          <w:sz w:val="36"/>
          <w:szCs w:val="36"/>
          <w:lang w:eastAsia="en-GB"/>
        </w:rPr>
      </w:pPr>
      <w:r>
        <w:rPr>
          <w:rFonts w:ascii="Arial" w:hAnsi="Arial" w:cs="Arial"/>
          <w:sz w:val="24"/>
          <w:szCs w:val="24"/>
        </w:rPr>
        <w:t xml:space="preserve">There is an issue with offences and how </w:t>
      </w:r>
      <w:r w:rsidR="003501E8">
        <w:rPr>
          <w:rFonts w:ascii="Arial" w:hAnsi="Arial" w:cs="Arial"/>
          <w:sz w:val="24"/>
          <w:szCs w:val="24"/>
        </w:rPr>
        <w:t>clearly,</w:t>
      </w:r>
      <w:r>
        <w:rPr>
          <w:rFonts w:ascii="Arial" w:hAnsi="Arial" w:cs="Arial"/>
          <w:sz w:val="24"/>
          <w:szCs w:val="24"/>
        </w:rPr>
        <w:t xml:space="preserve"> they are classified</w:t>
      </w:r>
      <w:r w:rsidR="003501E8">
        <w:rPr>
          <w:rFonts w:ascii="Arial" w:hAnsi="Arial" w:cs="Arial"/>
          <w:sz w:val="24"/>
          <w:szCs w:val="24"/>
        </w:rPr>
        <w:t xml:space="preserve"> and </w:t>
      </w:r>
      <w:r>
        <w:rPr>
          <w:rFonts w:ascii="Arial" w:hAnsi="Arial" w:cs="Arial"/>
          <w:sz w:val="24"/>
          <w:szCs w:val="24"/>
        </w:rPr>
        <w:t>not always in order of seriousness. (Cunningham, 1957) For instance, the word ‘Maliciously’ which can be found in both sections 18 and 20 is not defined in the OAPA 1861, it is taken to mean recklessly</w:t>
      </w:r>
      <w:r w:rsidR="003501E8">
        <w:rPr>
          <w:rFonts w:ascii="Arial" w:hAnsi="Arial" w:cs="Arial"/>
          <w:sz w:val="24"/>
          <w:szCs w:val="24"/>
        </w:rPr>
        <w:t xml:space="preserve"> here. </w:t>
      </w:r>
      <w:r>
        <w:rPr>
          <w:rFonts w:ascii="Arial" w:hAnsi="Arial" w:cs="Arial"/>
          <w:sz w:val="24"/>
          <w:szCs w:val="24"/>
        </w:rPr>
        <w:t>This is an expansion on the meaning and could be seen to imply a bad motivation</w:t>
      </w:r>
      <w:r w:rsidR="00057E68">
        <w:rPr>
          <w:rFonts w:ascii="Arial" w:hAnsi="Arial" w:cs="Arial"/>
          <w:sz w:val="24"/>
          <w:szCs w:val="24"/>
        </w:rPr>
        <w:t xml:space="preserve">, thus creating </w:t>
      </w:r>
      <w:r w:rsidR="00B0578E">
        <w:rPr>
          <w:rFonts w:ascii="Arial" w:hAnsi="Arial" w:cs="Arial"/>
          <w:sz w:val="24"/>
          <w:szCs w:val="24"/>
        </w:rPr>
        <w:t xml:space="preserve">an unnecessary bias. </w:t>
      </w:r>
      <w:r w:rsidR="00E16EF7">
        <w:rPr>
          <w:rFonts w:ascii="Arial" w:hAnsi="Arial" w:cs="Arial"/>
          <w:sz w:val="24"/>
          <w:szCs w:val="24"/>
        </w:rPr>
        <w:t>There is more confusion when regards to the offence of assault</w:t>
      </w:r>
      <w:r w:rsidR="00ED02DC">
        <w:rPr>
          <w:rFonts w:ascii="Arial" w:hAnsi="Arial" w:cs="Arial"/>
          <w:sz w:val="24"/>
          <w:szCs w:val="24"/>
        </w:rPr>
        <w:t xml:space="preserve">, </w:t>
      </w:r>
      <w:r w:rsidR="00DE3955">
        <w:rPr>
          <w:rFonts w:ascii="Arial" w:hAnsi="Arial" w:cs="Arial"/>
          <w:sz w:val="24"/>
          <w:szCs w:val="24"/>
        </w:rPr>
        <w:t xml:space="preserve">the use of </w:t>
      </w:r>
      <w:r w:rsidR="00503171">
        <w:rPr>
          <w:rFonts w:ascii="Arial" w:hAnsi="Arial" w:cs="Arial"/>
          <w:sz w:val="24"/>
          <w:szCs w:val="24"/>
        </w:rPr>
        <w:t xml:space="preserve">the term </w:t>
      </w:r>
      <w:r w:rsidR="00DE3955">
        <w:rPr>
          <w:rFonts w:ascii="Arial" w:hAnsi="Arial" w:cs="Arial"/>
          <w:sz w:val="24"/>
          <w:szCs w:val="24"/>
        </w:rPr>
        <w:t xml:space="preserve">common assault </w:t>
      </w:r>
      <w:r w:rsidR="00AA60EF">
        <w:rPr>
          <w:rFonts w:ascii="Arial" w:hAnsi="Arial" w:cs="Arial"/>
          <w:sz w:val="24"/>
          <w:szCs w:val="24"/>
        </w:rPr>
        <w:t xml:space="preserve">used </w:t>
      </w:r>
      <w:r w:rsidR="00DE3955">
        <w:rPr>
          <w:rFonts w:ascii="Arial" w:hAnsi="Arial" w:cs="Arial"/>
          <w:sz w:val="24"/>
          <w:szCs w:val="24"/>
        </w:rPr>
        <w:t xml:space="preserve">in the OAPA </w:t>
      </w:r>
      <w:r w:rsidR="00AA4A41">
        <w:rPr>
          <w:rFonts w:ascii="Arial" w:hAnsi="Arial" w:cs="Arial"/>
          <w:sz w:val="24"/>
          <w:szCs w:val="24"/>
        </w:rPr>
        <w:t xml:space="preserve">is usually agreed to refer to the offences of assault or battery. </w:t>
      </w:r>
      <w:r w:rsidR="00CC7843">
        <w:rPr>
          <w:rFonts w:ascii="Arial" w:eastAsia="Times New Roman" w:hAnsi="Arial" w:cs="Arial"/>
          <w:color w:val="000000"/>
          <w:sz w:val="24"/>
          <w:szCs w:val="24"/>
          <w:lang w:eastAsia="en-GB"/>
        </w:rPr>
        <w:t>The</w:t>
      </w:r>
      <w:r w:rsidR="00975158" w:rsidRPr="00975158">
        <w:rPr>
          <w:rFonts w:ascii="Arial" w:eastAsia="Times New Roman" w:hAnsi="Arial" w:cs="Arial"/>
          <w:color w:val="000000"/>
          <w:sz w:val="24"/>
          <w:szCs w:val="24"/>
          <w:lang w:eastAsia="en-GB"/>
        </w:rPr>
        <w:t xml:space="preserve"> </w:t>
      </w:r>
      <w:r w:rsidR="00975158">
        <w:rPr>
          <w:rFonts w:ascii="Arial" w:eastAsia="Times New Roman" w:hAnsi="Arial" w:cs="Arial"/>
          <w:color w:val="000000"/>
          <w:sz w:val="24"/>
          <w:szCs w:val="24"/>
          <w:lang w:eastAsia="en-GB"/>
        </w:rPr>
        <w:t xml:space="preserve">wording used </w:t>
      </w:r>
      <w:r w:rsidR="00975158" w:rsidRPr="00975158">
        <w:rPr>
          <w:rFonts w:ascii="Arial" w:eastAsia="Times New Roman" w:hAnsi="Arial" w:cs="Arial"/>
          <w:color w:val="000000"/>
          <w:sz w:val="24"/>
          <w:szCs w:val="24"/>
          <w:lang w:eastAsia="en-GB"/>
        </w:rPr>
        <w:t xml:space="preserve">every day, </w:t>
      </w:r>
      <w:r w:rsidR="00975158">
        <w:rPr>
          <w:rFonts w:ascii="Arial" w:eastAsia="Times New Roman" w:hAnsi="Arial" w:cs="Arial"/>
          <w:color w:val="000000"/>
          <w:sz w:val="24"/>
          <w:szCs w:val="24"/>
          <w:lang w:eastAsia="en-GB"/>
        </w:rPr>
        <w:t xml:space="preserve">such as </w:t>
      </w:r>
      <w:r w:rsidR="00975158" w:rsidRPr="00975158">
        <w:rPr>
          <w:rFonts w:ascii="Arial" w:eastAsia="Times New Roman" w:hAnsi="Arial" w:cs="Arial"/>
          <w:color w:val="000000"/>
          <w:sz w:val="24"/>
          <w:szCs w:val="24"/>
          <w:lang w:eastAsia="en-GB"/>
        </w:rPr>
        <w:t xml:space="preserve">the word ‘assault’ generally conjures up an image of physical attack </w:t>
      </w:r>
      <w:r w:rsidR="00975158">
        <w:rPr>
          <w:rFonts w:ascii="Arial" w:eastAsia="Times New Roman" w:hAnsi="Arial" w:cs="Arial"/>
          <w:color w:val="000000"/>
          <w:sz w:val="24"/>
          <w:szCs w:val="24"/>
          <w:lang w:eastAsia="en-GB"/>
        </w:rPr>
        <w:t xml:space="preserve">taking place </w:t>
      </w:r>
      <w:r w:rsidR="00975158" w:rsidRPr="00975158">
        <w:rPr>
          <w:rFonts w:ascii="Arial" w:eastAsia="Times New Roman" w:hAnsi="Arial" w:cs="Arial"/>
          <w:color w:val="000000"/>
          <w:sz w:val="24"/>
          <w:szCs w:val="24"/>
          <w:lang w:eastAsia="en-GB"/>
        </w:rPr>
        <w:t xml:space="preserve">whereas in legal terms no contact is </w:t>
      </w:r>
      <w:r w:rsidR="00975158">
        <w:rPr>
          <w:rFonts w:ascii="Arial" w:eastAsia="Times New Roman" w:hAnsi="Arial" w:cs="Arial"/>
          <w:color w:val="000000"/>
          <w:sz w:val="24"/>
          <w:szCs w:val="24"/>
          <w:lang w:eastAsia="en-GB"/>
        </w:rPr>
        <w:t xml:space="preserve">actually </w:t>
      </w:r>
      <w:r w:rsidR="00975158" w:rsidRPr="00975158">
        <w:rPr>
          <w:rFonts w:ascii="Arial" w:eastAsia="Times New Roman" w:hAnsi="Arial" w:cs="Arial"/>
          <w:color w:val="000000"/>
          <w:sz w:val="24"/>
          <w:szCs w:val="24"/>
          <w:lang w:eastAsia="en-GB"/>
        </w:rPr>
        <w:t>required.</w:t>
      </w:r>
      <w:r w:rsidR="00975158">
        <w:rPr>
          <w:rFonts w:ascii="Arial" w:eastAsia="Times New Roman" w:hAnsi="Arial" w:cs="Arial"/>
          <w:color w:val="000000"/>
          <w:sz w:val="24"/>
          <w:szCs w:val="24"/>
          <w:lang w:eastAsia="en-GB"/>
        </w:rPr>
        <w:t xml:space="preserve"> Battery is the actual physical act of causing a person harm (Cornell Law School, 2021). </w:t>
      </w:r>
      <w:r w:rsidR="00AA4A41">
        <w:rPr>
          <w:rFonts w:ascii="Arial" w:hAnsi="Arial" w:cs="Arial"/>
          <w:sz w:val="24"/>
          <w:szCs w:val="24"/>
        </w:rPr>
        <w:t>T</w:t>
      </w:r>
      <w:r w:rsidR="00ED02DC">
        <w:rPr>
          <w:rFonts w:ascii="Arial" w:hAnsi="Arial" w:cs="Arial"/>
          <w:sz w:val="24"/>
          <w:szCs w:val="24"/>
        </w:rPr>
        <w:t>he</w:t>
      </w:r>
      <w:r w:rsidR="00C6514D">
        <w:rPr>
          <w:rFonts w:ascii="Arial" w:hAnsi="Arial" w:cs="Arial"/>
          <w:sz w:val="24"/>
          <w:szCs w:val="24"/>
        </w:rPr>
        <w:t xml:space="preserve"> definition </w:t>
      </w:r>
      <w:r w:rsidR="000E0007">
        <w:rPr>
          <w:rFonts w:ascii="Arial" w:hAnsi="Arial" w:cs="Arial"/>
          <w:sz w:val="24"/>
          <w:szCs w:val="24"/>
        </w:rPr>
        <w:t xml:space="preserve">is very important </w:t>
      </w:r>
      <w:r w:rsidR="0033151A">
        <w:rPr>
          <w:rFonts w:ascii="Arial" w:hAnsi="Arial" w:cs="Arial"/>
          <w:sz w:val="24"/>
          <w:szCs w:val="24"/>
        </w:rPr>
        <w:t>but used in different ways in the legislation</w:t>
      </w:r>
      <w:r w:rsidR="002022D5">
        <w:rPr>
          <w:rFonts w:ascii="Arial" w:hAnsi="Arial" w:cs="Arial"/>
          <w:sz w:val="24"/>
          <w:szCs w:val="24"/>
        </w:rPr>
        <w:t xml:space="preserve">. </w:t>
      </w:r>
      <w:r w:rsidR="00EF25F3">
        <w:rPr>
          <w:rFonts w:ascii="Arial" w:hAnsi="Arial" w:cs="Arial"/>
          <w:sz w:val="24"/>
          <w:szCs w:val="24"/>
        </w:rPr>
        <w:t>(C</w:t>
      </w:r>
      <w:r w:rsidR="001F6F82">
        <w:rPr>
          <w:rFonts w:ascii="Arial" w:hAnsi="Arial" w:cs="Arial"/>
          <w:sz w:val="24"/>
          <w:szCs w:val="24"/>
        </w:rPr>
        <w:t xml:space="preserve">riminal </w:t>
      </w:r>
      <w:r w:rsidR="00EF25F3">
        <w:rPr>
          <w:rFonts w:ascii="Arial" w:hAnsi="Arial" w:cs="Arial"/>
          <w:sz w:val="24"/>
          <w:szCs w:val="24"/>
        </w:rPr>
        <w:t>J</w:t>
      </w:r>
      <w:r w:rsidR="001F6F82">
        <w:rPr>
          <w:rFonts w:ascii="Arial" w:hAnsi="Arial" w:cs="Arial"/>
          <w:sz w:val="24"/>
          <w:szCs w:val="24"/>
        </w:rPr>
        <w:t xml:space="preserve">ustice </w:t>
      </w:r>
      <w:r w:rsidR="00EF25F3">
        <w:rPr>
          <w:rFonts w:ascii="Arial" w:hAnsi="Arial" w:cs="Arial"/>
          <w:sz w:val="24"/>
          <w:szCs w:val="24"/>
        </w:rPr>
        <w:t>A</w:t>
      </w:r>
      <w:r w:rsidR="001F6F82">
        <w:rPr>
          <w:rFonts w:ascii="Arial" w:hAnsi="Arial" w:cs="Arial"/>
          <w:sz w:val="24"/>
          <w:szCs w:val="24"/>
        </w:rPr>
        <w:t>ct</w:t>
      </w:r>
      <w:r w:rsidR="00DA1AE5">
        <w:rPr>
          <w:rFonts w:ascii="Arial" w:hAnsi="Arial" w:cs="Arial"/>
          <w:sz w:val="24"/>
          <w:szCs w:val="24"/>
        </w:rPr>
        <w:t>, 1988) s</w:t>
      </w:r>
      <w:r w:rsidR="002022D5">
        <w:rPr>
          <w:rFonts w:ascii="Arial" w:hAnsi="Arial" w:cs="Arial"/>
          <w:sz w:val="24"/>
          <w:szCs w:val="24"/>
        </w:rPr>
        <w:t>ection 39</w:t>
      </w:r>
      <w:r w:rsidR="002C5AD2">
        <w:rPr>
          <w:rFonts w:ascii="Arial" w:hAnsi="Arial" w:cs="Arial"/>
          <w:sz w:val="24"/>
          <w:szCs w:val="24"/>
        </w:rPr>
        <w:t>, this references the terms of common assault and battery</w:t>
      </w:r>
      <w:r w:rsidR="00FA614A">
        <w:rPr>
          <w:rFonts w:ascii="Arial" w:hAnsi="Arial" w:cs="Arial"/>
          <w:sz w:val="24"/>
          <w:szCs w:val="24"/>
        </w:rPr>
        <w:t xml:space="preserve">, this is then different when </w:t>
      </w:r>
      <w:r w:rsidR="00E23A25">
        <w:rPr>
          <w:rFonts w:ascii="Arial" w:hAnsi="Arial" w:cs="Arial"/>
          <w:sz w:val="24"/>
          <w:szCs w:val="24"/>
        </w:rPr>
        <w:t xml:space="preserve">you refer to section 40 and is </w:t>
      </w:r>
      <w:r w:rsidR="00B83AB1">
        <w:rPr>
          <w:rFonts w:ascii="Arial" w:hAnsi="Arial" w:cs="Arial"/>
          <w:sz w:val="24"/>
          <w:szCs w:val="24"/>
        </w:rPr>
        <w:t>referred</w:t>
      </w:r>
      <w:r w:rsidR="00E23A25">
        <w:rPr>
          <w:rFonts w:ascii="Arial" w:hAnsi="Arial" w:cs="Arial"/>
          <w:sz w:val="24"/>
          <w:szCs w:val="24"/>
        </w:rPr>
        <w:t xml:space="preserve"> to as </w:t>
      </w:r>
      <w:r w:rsidR="00B83AB1">
        <w:rPr>
          <w:rFonts w:ascii="Arial" w:hAnsi="Arial" w:cs="Arial"/>
          <w:sz w:val="24"/>
          <w:szCs w:val="24"/>
        </w:rPr>
        <w:t>a common assault</w:t>
      </w:r>
      <w:r w:rsidR="0006770D">
        <w:rPr>
          <w:rFonts w:ascii="Arial" w:hAnsi="Arial" w:cs="Arial"/>
          <w:sz w:val="24"/>
          <w:szCs w:val="24"/>
        </w:rPr>
        <w:t>, t</w:t>
      </w:r>
      <w:r w:rsidR="00B83AB1">
        <w:rPr>
          <w:rFonts w:ascii="Arial" w:hAnsi="Arial" w:cs="Arial"/>
          <w:sz w:val="24"/>
          <w:szCs w:val="24"/>
        </w:rPr>
        <w:t xml:space="preserve">here is no </w:t>
      </w:r>
      <w:r w:rsidR="00465EF2">
        <w:rPr>
          <w:rFonts w:ascii="Arial" w:hAnsi="Arial" w:cs="Arial"/>
          <w:sz w:val="24"/>
          <w:szCs w:val="24"/>
        </w:rPr>
        <w:t>clear definition of assault in legislature</w:t>
      </w:r>
      <w:r w:rsidR="005E45CF">
        <w:rPr>
          <w:rFonts w:ascii="Arial" w:hAnsi="Arial" w:cs="Arial"/>
          <w:sz w:val="24"/>
          <w:szCs w:val="24"/>
        </w:rPr>
        <w:t xml:space="preserve"> (CJA, 1988).</w:t>
      </w:r>
      <w:r w:rsidR="005A40A5">
        <w:rPr>
          <w:rFonts w:ascii="Arial" w:hAnsi="Arial" w:cs="Arial"/>
          <w:sz w:val="24"/>
          <w:szCs w:val="24"/>
        </w:rPr>
        <w:t xml:space="preserve"> </w:t>
      </w:r>
      <w:r w:rsidR="00362C0B">
        <w:rPr>
          <w:rFonts w:ascii="Arial" w:hAnsi="Arial" w:cs="Arial"/>
          <w:sz w:val="24"/>
          <w:szCs w:val="24"/>
        </w:rPr>
        <w:t xml:space="preserve">In section 20 </w:t>
      </w:r>
      <w:r w:rsidR="00A7177F">
        <w:rPr>
          <w:rFonts w:ascii="Arial" w:hAnsi="Arial" w:cs="Arial"/>
          <w:sz w:val="24"/>
          <w:szCs w:val="24"/>
        </w:rPr>
        <w:t>there is a discrepancy when using the word</w:t>
      </w:r>
      <w:r w:rsidR="00EC315C">
        <w:rPr>
          <w:rFonts w:ascii="Arial" w:hAnsi="Arial" w:cs="Arial"/>
          <w:sz w:val="24"/>
          <w:szCs w:val="24"/>
        </w:rPr>
        <w:t xml:space="preserve">s </w:t>
      </w:r>
      <w:r w:rsidR="00A7177F">
        <w:rPr>
          <w:rFonts w:ascii="Arial" w:hAnsi="Arial" w:cs="Arial"/>
          <w:sz w:val="24"/>
          <w:szCs w:val="24"/>
        </w:rPr>
        <w:t>inflict</w:t>
      </w:r>
      <w:r w:rsidR="00EC315C">
        <w:rPr>
          <w:rFonts w:ascii="Arial" w:hAnsi="Arial" w:cs="Arial"/>
          <w:sz w:val="24"/>
          <w:szCs w:val="24"/>
        </w:rPr>
        <w:t xml:space="preserve"> and cause,</w:t>
      </w:r>
      <w:r w:rsidR="001022A8">
        <w:rPr>
          <w:rFonts w:ascii="Arial" w:hAnsi="Arial" w:cs="Arial"/>
          <w:sz w:val="24"/>
          <w:szCs w:val="24"/>
        </w:rPr>
        <w:t xml:space="preserve"> </w:t>
      </w:r>
      <w:r w:rsidR="00817A81">
        <w:rPr>
          <w:rFonts w:ascii="Arial" w:hAnsi="Arial" w:cs="Arial"/>
          <w:sz w:val="24"/>
          <w:szCs w:val="24"/>
        </w:rPr>
        <w:t xml:space="preserve">in </w:t>
      </w:r>
      <w:r w:rsidR="009777DA">
        <w:rPr>
          <w:rFonts w:ascii="Arial" w:hAnsi="Arial" w:cs="Arial"/>
          <w:sz w:val="24"/>
          <w:szCs w:val="24"/>
        </w:rPr>
        <w:t>reference</w:t>
      </w:r>
      <w:r w:rsidR="00817A81">
        <w:rPr>
          <w:rFonts w:ascii="Arial" w:hAnsi="Arial" w:cs="Arial"/>
          <w:sz w:val="24"/>
          <w:szCs w:val="24"/>
        </w:rPr>
        <w:t xml:space="preserve"> to </w:t>
      </w:r>
      <w:r w:rsidR="00771869">
        <w:rPr>
          <w:rFonts w:ascii="Arial" w:hAnsi="Arial" w:cs="Arial"/>
          <w:sz w:val="24"/>
          <w:szCs w:val="24"/>
        </w:rPr>
        <w:t>the phrase</w:t>
      </w:r>
      <w:r w:rsidR="009777DA">
        <w:rPr>
          <w:rFonts w:ascii="Arial" w:hAnsi="Arial" w:cs="Arial"/>
          <w:sz w:val="24"/>
          <w:szCs w:val="24"/>
        </w:rPr>
        <w:t xml:space="preserve"> </w:t>
      </w:r>
      <w:r w:rsidR="003965FF">
        <w:rPr>
          <w:rFonts w:ascii="Arial" w:hAnsi="Arial" w:cs="Arial"/>
          <w:sz w:val="24"/>
          <w:szCs w:val="24"/>
        </w:rPr>
        <w:t xml:space="preserve">‘inflict’ </w:t>
      </w:r>
      <w:r w:rsidR="009777DA">
        <w:rPr>
          <w:rFonts w:ascii="Arial" w:hAnsi="Arial" w:cs="Arial"/>
          <w:sz w:val="24"/>
          <w:szCs w:val="24"/>
        </w:rPr>
        <w:t xml:space="preserve">which is </w:t>
      </w:r>
      <w:r w:rsidR="00162A62">
        <w:rPr>
          <w:rFonts w:ascii="Arial" w:hAnsi="Arial" w:cs="Arial"/>
          <w:sz w:val="24"/>
          <w:szCs w:val="24"/>
        </w:rPr>
        <w:t>defined</w:t>
      </w:r>
      <w:r w:rsidR="009777DA">
        <w:rPr>
          <w:rFonts w:ascii="Arial" w:hAnsi="Arial" w:cs="Arial"/>
          <w:sz w:val="24"/>
          <w:szCs w:val="24"/>
        </w:rPr>
        <w:t xml:space="preserve"> as to</w:t>
      </w:r>
      <w:r w:rsidR="00162A62">
        <w:rPr>
          <w:rFonts w:ascii="Arial" w:hAnsi="Arial" w:cs="Arial"/>
          <w:sz w:val="24"/>
          <w:szCs w:val="24"/>
        </w:rPr>
        <w:t xml:space="preserve"> </w:t>
      </w:r>
      <w:r w:rsidR="00771869">
        <w:rPr>
          <w:rFonts w:ascii="Arial" w:hAnsi="Arial" w:cs="Arial"/>
          <w:sz w:val="24"/>
          <w:szCs w:val="24"/>
        </w:rPr>
        <w:t xml:space="preserve">inflict any </w:t>
      </w:r>
      <w:r w:rsidR="00A86397">
        <w:rPr>
          <w:rFonts w:ascii="Arial" w:hAnsi="Arial" w:cs="Arial"/>
          <w:sz w:val="24"/>
          <w:szCs w:val="24"/>
        </w:rPr>
        <w:t>grievous</w:t>
      </w:r>
      <w:r w:rsidR="00771869">
        <w:rPr>
          <w:rFonts w:ascii="Arial" w:hAnsi="Arial" w:cs="Arial"/>
          <w:sz w:val="24"/>
          <w:szCs w:val="24"/>
        </w:rPr>
        <w:t xml:space="preserve"> bodily harm. This is then </w:t>
      </w:r>
      <w:r w:rsidR="00761C46">
        <w:rPr>
          <w:rFonts w:ascii="Arial" w:hAnsi="Arial" w:cs="Arial"/>
          <w:sz w:val="24"/>
          <w:szCs w:val="24"/>
        </w:rPr>
        <w:t>stated in section 18</w:t>
      </w:r>
      <w:r w:rsidR="001D6509">
        <w:rPr>
          <w:rFonts w:ascii="Arial" w:hAnsi="Arial" w:cs="Arial"/>
          <w:sz w:val="24"/>
          <w:szCs w:val="24"/>
        </w:rPr>
        <w:t xml:space="preserve"> any </w:t>
      </w:r>
      <w:r w:rsidR="00A86397">
        <w:rPr>
          <w:rFonts w:ascii="Arial" w:hAnsi="Arial" w:cs="Arial"/>
          <w:sz w:val="24"/>
          <w:szCs w:val="24"/>
        </w:rPr>
        <w:t>grievous</w:t>
      </w:r>
      <w:r w:rsidR="001D6509">
        <w:rPr>
          <w:rFonts w:ascii="Arial" w:hAnsi="Arial" w:cs="Arial"/>
          <w:sz w:val="24"/>
          <w:szCs w:val="24"/>
        </w:rPr>
        <w:t xml:space="preserve"> </w:t>
      </w:r>
      <w:r w:rsidR="00A86397">
        <w:rPr>
          <w:rFonts w:ascii="Arial" w:hAnsi="Arial" w:cs="Arial"/>
          <w:sz w:val="24"/>
          <w:szCs w:val="24"/>
        </w:rPr>
        <w:t>bodily harm</w:t>
      </w:r>
      <w:r w:rsidR="0054290E">
        <w:rPr>
          <w:rFonts w:ascii="Arial" w:hAnsi="Arial" w:cs="Arial"/>
          <w:sz w:val="24"/>
          <w:szCs w:val="24"/>
        </w:rPr>
        <w:t>, causing unnecessary confusion.</w:t>
      </w:r>
      <w:r w:rsidR="0095374A">
        <w:rPr>
          <w:rFonts w:ascii="Arial" w:hAnsi="Arial" w:cs="Arial"/>
          <w:sz w:val="24"/>
          <w:szCs w:val="24"/>
        </w:rPr>
        <w:t xml:space="preserve"> Inflict </w:t>
      </w:r>
      <w:r w:rsidR="00EC315C">
        <w:rPr>
          <w:rFonts w:ascii="Arial" w:hAnsi="Arial" w:cs="Arial"/>
          <w:sz w:val="24"/>
          <w:szCs w:val="24"/>
        </w:rPr>
        <w:t>was</w:t>
      </w:r>
      <w:r w:rsidR="00F05B44">
        <w:rPr>
          <w:rFonts w:ascii="Arial" w:hAnsi="Arial" w:cs="Arial"/>
          <w:sz w:val="24"/>
          <w:szCs w:val="24"/>
        </w:rPr>
        <w:t xml:space="preserve"> understood to have a narrower meaning, </w:t>
      </w:r>
      <w:r w:rsidR="007049EB">
        <w:rPr>
          <w:rFonts w:ascii="Arial" w:hAnsi="Arial" w:cs="Arial"/>
          <w:sz w:val="24"/>
          <w:szCs w:val="24"/>
        </w:rPr>
        <w:t xml:space="preserve">fortunately it is now better understood that both inflict and cause serve the same </w:t>
      </w:r>
      <w:r w:rsidR="00B225F4">
        <w:rPr>
          <w:rFonts w:ascii="Arial" w:hAnsi="Arial" w:cs="Arial"/>
          <w:sz w:val="24"/>
          <w:szCs w:val="24"/>
        </w:rPr>
        <w:t>meaning (Burstow, 1997).</w:t>
      </w:r>
      <w:r w:rsidR="00716DF0">
        <w:rPr>
          <w:rFonts w:ascii="Arial" w:hAnsi="Arial" w:cs="Arial"/>
          <w:sz w:val="24"/>
          <w:szCs w:val="24"/>
        </w:rPr>
        <w:t xml:space="preserve"> </w:t>
      </w:r>
      <w:r w:rsidR="003501E8">
        <w:rPr>
          <w:rFonts w:ascii="Arial" w:hAnsi="Arial" w:cs="Arial"/>
          <w:sz w:val="24"/>
          <w:szCs w:val="24"/>
        </w:rPr>
        <w:t xml:space="preserve">Wounding in the </w:t>
      </w:r>
      <w:r w:rsidR="00774B6D">
        <w:rPr>
          <w:rFonts w:ascii="Arial" w:hAnsi="Arial" w:cs="Arial"/>
          <w:sz w:val="24"/>
          <w:szCs w:val="24"/>
        </w:rPr>
        <w:t>OAPA is also not defined, this is defined by using case law</w:t>
      </w:r>
      <w:r w:rsidR="008C6295">
        <w:rPr>
          <w:rFonts w:ascii="Arial" w:hAnsi="Arial" w:cs="Arial"/>
          <w:sz w:val="24"/>
          <w:szCs w:val="24"/>
        </w:rPr>
        <w:t xml:space="preserve"> </w:t>
      </w:r>
      <w:r w:rsidR="00774B6D">
        <w:rPr>
          <w:rFonts w:ascii="Arial" w:hAnsi="Arial" w:cs="Arial"/>
          <w:sz w:val="24"/>
          <w:szCs w:val="24"/>
        </w:rPr>
        <w:t>(JCC v Eisenhower (1994)</w:t>
      </w:r>
      <w:r w:rsidR="008C6295">
        <w:rPr>
          <w:rFonts w:ascii="Arial" w:hAnsi="Arial" w:cs="Arial"/>
          <w:sz w:val="24"/>
          <w:szCs w:val="24"/>
        </w:rPr>
        <w:t xml:space="preserve">. (CPS, 2022) </w:t>
      </w:r>
      <w:r w:rsidR="00774B6D">
        <w:rPr>
          <w:rFonts w:ascii="Arial" w:hAnsi="Arial" w:cs="Arial"/>
          <w:sz w:val="24"/>
          <w:szCs w:val="24"/>
        </w:rPr>
        <w:t xml:space="preserve">States the definition of a wound as having to break the skin, in theory an injury as small as a pin prick is to be counted as a section 20 wounding. </w:t>
      </w:r>
    </w:p>
    <w:p w14:paraId="3AA808BE" w14:textId="77777777" w:rsidR="00D062B7" w:rsidRDefault="00D062B7" w:rsidP="00CA0357">
      <w:pPr>
        <w:spacing w:line="360" w:lineRule="auto"/>
        <w:rPr>
          <w:rFonts w:ascii="Arial" w:hAnsi="Arial" w:cs="Arial"/>
          <w:sz w:val="24"/>
          <w:szCs w:val="24"/>
        </w:rPr>
      </w:pPr>
    </w:p>
    <w:p w14:paraId="541E4B72" w14:textId="77777777" w:rsidR="00D062B7" w:rsidRDefault="00D062B7" w:rsidP="00CA0357">
      <w:pPr>
        <w:spacing w:line="360" w:lineRule="auto"/>
        <w:rPr>
          <w:rFonts w:ascii="Arial" w:hAnsi="Arial" w:cs="Arial"/>
          <w:sz w:val="24"/>
          <w:szCs w:val="24"/>
        </w:rPr>
      </w:pPr>
      <w:r>
        <w:rPr>
          <w:rFonts w:ascii="Arial" w:hAnsi="Arial" w:cs="Arial"/>
          <w:sz w:val="24"/>
          <w:szCs w:val="24"/>
        </w:rPr>
        <w:lastRenderedPageBreak/>
        <w:t>When looking at the mental elements of offences in the OAPA there are similar issues when regarding the language used. The mental element required for common assault is ‘intentionally causing the victim to fear the immediate application of force’ this offence doesn’t require any physical harm; the focus is on the understanding of a threat to be harmed</w:t>
      </w:r>
      <w:r w:rsidRPr="00690503">
        <w:rPr>
          <w:rFonts w:ascii="Roboto" w:hAnsi="Roboto"/>
          <w:color w:val="111111"/>
          <w:shd w:val="clear" w:color="auto" w:fill="F9F9F9"/>
        </w:rPr>
        <w:t xml:space="preserve"> </w:t>
      </w:r>
      <w:r w:rsidRPr="00690503">
        <w:rPr>
          <w:rStyle w:val="Strong"/>
          <w:rFonts w:ascii="Arial" w:hAnsi="Arial" w:cs="Arial"/>
          <w:b w:val="0"/>
          <w:bCs w:val="0"/>
          <w:color w:val="111111"/>
          <w:sz w:val="24"/>
          <w:szCs w:val="24"/>
          <w:shd w:val="clear" w:color="auto" w:fill="F9F9F9"/>
        </w:rPr>
        <w:t>(s39 CJA</w:t>
      </w:r>
      <w:r>
        <w:rPr>
          <w:rStyle w:val="Strong"/>
          <w:rFonts w:ascii="Arial" w:hAnsi="Arial" w:cs="Arial"/>
          <w:b w:val="0"/>
          <w:bCs w:val="0"/>
          <w:color w:val="111111"/>
          <w:sz w:val="24"/>
          <w:szCs w:val="24"/>
          <w:shd w:val="clear" w:color="auto" w:fill="F9F9F9"/>
        </w:rPr>
        <w:t>,</w:t>
      </w:r>
      <w:r w:rsidRPr="00690503">
        <w:rPr>
          <w:rStyle w:val="Strong"/>
          <w:rFonts w:ascii="Arial" w:hAnsi="Arial" w:cs="Arial"/>
          <w:b w:val="0"/>
          <w:bCs w:val="0"/>
          <w:color w:val="111111"/>
          <w:sz w:val="24"/>
          <w:szCs w:val="24"/>
          <w:shd w:val="clear" w:color="auto" w:fill="F9F9F9"/>
        </w:rPr>
        <w:t xml:space="preserve"> 1988)</w:t>
      </w:r>
      <w:r>
        <w:rPr>
          <w:rStyle w:val="Strong"/>
          <w:rFonts w:ascii="Arial" w:hAnsi="Arial" w:cs="Arial"/>
          <w:b w:val="0"/>
          <w:bCs w:val="0"/>
          <w:color w:val="111111"/>
          <w:sz w:val="24"/>
          <w:szCs w:val="24"/>
          <w:shd w:val="clear" w:color="auto" w:fill="F9F9F9"/>
        </w:rPr>
        <w:t xml:space="preserve">. </w:t>
      </w:r>
      <w:r w:rsidR="0020275C">
        <w:rPr>
          <w:rFonts w:ascii="Arial" w:hAnsi="Arial" w:cs="Arial"/>
          <w:sz w:val="24"/>
          <w:szCs w:val="24"/>
        </w:rPr>
        <w:t>In terms of the hierarchy of offences in the</w:t>
      </w:r>
      <w:r>
        <w:rPr>
          <w:rFonts w:ascii="Arial" w:hAnsi="Arial" w:cs="Arial"/>
          <w:sz w:val="24"/>
          <w:szCs w:val="24"/>
        </w:rPr>
        <w:t xml:space="preserve"> OAPA</w:t>
      </w:r>
      <w:r w:rsidR="00CC7843">
        <w:rPr>
          <w:rFonts w:ascii="Arial" w:hAnsi="Arial" w:cs="Arial"/>
          <w:sz w:val="24"/>
          <w:szCs w:val="24"/>
        </w:rPr>
        <w:t xml:space="preserve"> there are some inconsistencies also, for an offence under s39 of the CJA 1998 the longest sentence is 6 months, compared to a sentence of 5 years under s47 but the mens rea is same for both. S20 is for the more serious crimes</w:t>
      </w:r>
      <w:r w:rsidR="00192952">
        <w:rPr>
          <w:rFonts w:ascii="Arial" w:hAnsi="Arial" w:cs="Arial"/>
          <w:sz w:val="24"/>
          <w:szCs w:val="24"/>
        </w:rPr>
        <w:t xml:space="preserve"> but</w:t>
      </w:r>
      <w:r w:rsidR="00CC7843">
        <w:rPr>
          <w:rFonts w:ascii="Arial" w:hAnsi="Arial" w:cs="Arial"/>
          <w:sz w:val="24"/>
          <w:szCs w:val="24"/>
        </w:rPr>
        <w:t xml:space="preserve"> s47 and </w:t>
      </w:r>
      <w:r w:rsidR="00192952">
        <w:rPr>
          <w:rFonts w:ascii="Arial" w:hAnsi="Arial" w:cs="Arial"/>
          <w:sz w:val="24"/>
          <w:szCs w:val="24"/>
        </w:rPr>
        <w:t xml:space="preserve">s20 </w:t>
      </w:r>
      <w:r w:rsidR="00CC7843">
        <w:rPr>
          <w:rFonts w:ascii="Arial" w:hAnsi="Arial" w:cs="Arial"/>
          <w:sz w:val="24"/>
          <w:szCs w:val="24"/>
        </w:rPr>
        <w:t>both have a maximum prison sentence of 5 years, taking into account s20 are for much more serious injuries</w:t>
      </w:r>
      <w:r w:rsidR="00192952">
        <w:rPr>
          <w:rFonts w:ascii="Arial" w:hAnsi="Arial" w:cs="Arial"/>
          <w:sz w:val="24"/>
          <w:szCs w:val="24"/>
        </w:rPr>
        <w:t xml:space="preserve"> (S39 CJA, 1988).</w:t>
      </w:r>
      <w:r>
        <w:rPr>
          <w:rFonts w:ascii="Arial" w:hAnsi="Arial" w:cs="Arial"/>
          <w:sz w:val="24"/>
          <w:szCs w:val="24"/>
        </w:rPr>
        <w:t xml:space="preserve"> </w:t>
      </w:r>
    </w:p>
    <w:p w14:paraId="467093F3" w14:textId="7043BD4A" w:rsidR="001F3125" w:rsidRDefault="00D062B7" w:rsidP="00CA0357">
      <w:pPr>
        <w:pStyle w:val="NormalWeb"/>
        <w:shd w:val="clear" w:color="auto" w:fill="FFFFFF"/>
        <w:spacing w:before="0" w:beforeAutospacing="0" w:after="150" w:afterAutospacing="0" w:line="360" w:lineRule="auto"/>
        <w:rPr>
          <w:rFonts w:ascii="Arial" w:hAnsi="Arial" w:cs="Arial"/>
        </w:rPr>
      </w:pPr>
      <w:r>
        <w:rPr>
          <w:rFonts w:ascii="Arial" w:hAnsi="Arial" w:cs="Arial"/>
        </w:rPr>
        <w:t xml:space="preserve">The OAPA is over 150 years old, academics </w:t>
      </w:r>
      <w:r w:rsidR="00702B49">
        <w:rPr>
          <w:rFonts w:ascii="Arial" w:hAnsi="Arial" w:cs="Arial"/>
        </w:rPr>
        <w:t xml:space="preserve">have been calling for reform for decades with the argument for it to be more clear and less complex. The Law commission and </w:t>
      </w:r>
      <w:r w:rsidR="00DE24F5">
        <w:rPr>
          <w:rFonts w:ascii="Arial" w:hAnsi="Arial" w:cs="Arial"/>
        </w:rPr>
        <w:t>h</w:t>
      </w:r>
      <w:r w:rsidR="00702B49">
        <w:rPr>
          <w:rFonts w:ascii="Arial" w:hAnsi="Arial" w:cs="Arial"/>
        </w:rPr>
        <w:t>ome office have attempted reform in the interest of the public with the draft bill1998, this has widespread support with its more efficient and modern scope (The journal of criminal law</w:t>
      </w:r>
      <w:r w:rsidR="00BD6A44">
        <w:rPr>
          <w:rFonts w:ascii="Arial" w:hAnsi="Arial" w:cs="Arial"/>
        </w:rPr>
        <w:t>,</w:t>
      </w:r>
      <w:r w:rsidR="00702B49">
        <w:rPr>
          <w:rFonts w:ascii="Arial" w:hAnsi="Arial" w:cs="Arial"/>
        </w:rPr>
        <w:t xml:space="preserve"> </w:t>
      </w:r>
      <w:r w:rsidR="00BD6A44">
        <w:rPr>
          <w:rFonts w:ascii="Arial" w:hAnsi="Arial" w:cs="Arial"/>
        </w:rPr>
        <w:t xml:space="preserve">2017). </w:t>
      </w:r>
      <w:r w:rsidR="00D239B7">
        <w:rPr>
          <w:rFonts w:ascii="Arial" w:hAnsi="Arial" w:cs="Arial"/>
        </w:rPr>
        <w:t>It is important to make it as clear and fair as possible, it forms the basis for over 100,000 cases per year in the UK</w:t>
      </w:r>
      <w:r w:rsidR="00B30DAA">
        <w:rPr>
          <w:rFonts w:ascii="Arial" w:hAnsi="Arial" w:cs="Arial"/>
        </w:rPr>
        <w:t xml:space="preserve"> (Law commission, 2015).</w:t>
      </w:r>
      <w:r w:rsidR="00D239B7">
        <w:rPr>
          <w:rFonts w:ascii="Arial" w:hAnsi="Arial" w:cs="Arial"/>
        </w:rPr>
        <w:t xml:space="preserve"> </w:t>
      </w:r>
      <w:r w:rsidR="001F3125">
        <w:rPr>
          <w:rFonts w:ascii="Arial" w:hAnsi="Arial" w:cs="Arial"/>
        </w:rPr>
        <w:t>(The Law Commission, 2015) States t</w:t>
      </w:r>
      <w:r w:rsidR="00D239B7">
        <w:rPr>
          <w:rFonts w:ascii="Arial" w:hAnsi="Arial" w:cs="Arial"/>
        </w:rPr>
        <w:t>he proposition</w:t>
      </w:r>
      <w:r w:rsidR="001F3125">
        <w:rPr>
          <w:rFonts w:ascii="Arial" w:hAnsi="Arial" w:cs="Arial"/>
        </w:rPr>
        <w:t>,</w:t>
      </w:r>
      <w:r w:rsidR="002651CD">
        <w:rPr>
          <w:rFonts w:ascii="Arial" w:hAnsi="Arial" w:cs="Arial"/>
        </w:rPr>
        <w:t xml:space="preserve"> to use the 1998 </w:t>
      </w:r>
      <w:r w:rsidR="009559EC">
        <w:rPr>
          <w:rFonts w:ascii="Arial" w:hAnsi="Arial" w:cs="Arial"/>
        </w:rPr>
        <w:t xml:space="preserve">home office </w:t>
      </w:r>
      <w:r w:rsidR="002651CD">
        <w:rPr>
          <w:rFonts w:ascii="Arial" w:hAnsi="Arial" w:cs="Arial"/>
        </w:rPr>
        <w:t>draft bill as a basis with some modifications. This was set out in a 2015 case for reform, recommendation</w:t>
      </w:r>
      <w:r w:rsidR="00DE24F5">
        <w:rPr>
          <w:rFonts w:ascii="Arial" w:hAnsi="Arial" w:cs="Arial"/>
        </w:rPr>
        <w:t>s</w:t>
      </w:r>
      <w:r w:rsidR="009559EC">
        <w:rPr>
          <w:rFonts w:ascii="Arial" w:hAnsi="Arial" w:cs="Arial"/>
        </w:rPr>
        <w:t xml:space="preserve"> </w:t>
      </w:r>
      <w:r w:rsidR="002651CD">
        <w:rPr>
          <w:rFonts w:ascii="Arial" w:hAnsi="Arial" w:cs="Arial"/>
        </w:rPr>
        <w:t>including the use of a modified version of the 1998 draft bill</w:t>
      </w:r>
      <w:r w:rsidR="009559EC">
        <w:rPr>
          <w:rFonts w:ascii="Arial" w:hAnsi="Arial" w:cs="Arial"/>
        </w:rPr>
        <w:t xml:space="preserve"> as a good foundation.</w:t>
      </w:r>
      <w:r w:rsidR="001F3125">
        <w:rPr>
          <w:rFonts w:ascii="Arial" w:hAnsi="Arial" w:cs="Arial"/>
        </w:rPr>
        <w:t xml:space="preserve"> </w:t>
      </w:r>
      <w:r w:rsidR="00855B1E">
        <w:rPr>
          <w:rFonts w:ascii="Arial" w:hAnsi="Arial" w:cs="Arial"/>
        </w:rPr>
        <w:t xml:space="preserve">Professor David Omerod </w:t>
      </w:r>
      <w:r w:rsidR="000E7EFA">
        <w:rPr>
          <w:rFonts w:ascii="Arial" w:hAnsi="Arial" w:cs="Arial"/>
        </w:rPr>
        <w:t xml:space="preserve">explains </w:t>
      </w:r>
      <w:r w:rsidR="00855B1E">
        <w:rPr>
          <w:rFonts w:ascii="Arial" w:hAnsi="Arial" w:cs="Arial"/>
        </w:rPr>
        <w:t>the need for reform</w:t>
      </w:r>
      <w:r w:rsidR="000E7EFA">
        <w:rPr>
          <w:rFonts w:ascii="Arial" w:hAnsi="Arial" w:cs="Arial"/>
        </w:rPr>
        <w:t xml:space="preserve">, using a logical hierarchy of offences and a new offence of </w:t>
      </w:r>
      <w:r w:rsidR="00DE24F5">
        <w:rPr>
          <w:rFonts w:ascii="Arial" w:hAnsi="Arial" w:cs="Arial"/>
        </w:rPr>
        <w:t>aggravated</w:t>
      </w:r>
      <w:r w:rsidR="000E7EFA">
        <w:rPr>
          <w:rFonts w:ascii="Arial" w:hAnsi="Arial" w:cs="Arial"/>
        </w:rPr>
        <w:t xml:space="preserve"> assault that would fall between assault and ABH, this offence would be tried in the </w:t>
      </w:r>
      <w:r w:rsidR="00DE24F5">
        <w:rPr>
          <w:rFonts w:ascii="Arial" w:hAnsi="Arial" w:cs="Arial"/>
        </w:rPr>
        <w:t>magistrate’s</w:t>
      </w:r>
      <w:r w:rsidR="000E7EFA">
        <w:rPr>
          <w:rFonts w:ascii="Arial" w:hAnsi="Arial" w:cs="Arial"/>
        </w:rPr>
        <w:t xml:space="preserve"> court</w:t>
      </w:r>
      <w:r w:rsidR="00DE24F5">
        <w:rPr>
          <w:rFonts w:ascii="Arial" w:hAnsi="Arial" w:cs="Arial"/>
        </w:rPr>
        <w:t xml:space="preserve"> and </w:t>
      </w:r>
      <w:r w:rsidR="00B510B5">
        <w:rPr>
          <w:rFonts w:ascii="Arial" w:hAnsi="Arial" w:cs="Arial"/>
        </w:rPr>
        <w:t xml:space="preserve">have a maximum sentence of 12 months, thus </w:t>
      </w:r>
      <w:r w:rsidR="00DE24F5">
        <w:rPr>
          <w:rFonts w:ascii="Arial" w:hAnsi="Arial" w:cs="Arial"/>
        </w:rPr>
        <w:t>save a large amount of time and resources, freeing up the crown court for more serious offences</w:t>
      </w:r>
      <w:r w:rsidR="000E7EFA">
        <w:rPr>
          <w:rFonts w:ascii="Arial" w:hAnsi="Arial" w:cs="Arial"/>
        </w:rPr>
        <w:t xml:space="preserve"> (Law Commission, 2024)</w:t>
      </w:r>
      <w:r w:rsidR="00DE24F5">
        <w:rPr>
          <w:rFonts w:ascii="Arial" w:hAnsi="Arial" w:cs="Arial"/>
        </w:rPr>
        <w:t xml:space="preserve">. </w:t>
      </w:r>
      <w:r w:rsidR="00B510B5">
        <w:rPr>
          <w:rFonts w:ascii="Arial" w:hAnsi="Arial" w:cs="Arial"/>
        </w:rPr>
        <w:t xml:space="preserve">The OAPA tends to relate to a specific situation or not have a clear and concise principle, the 1998 draft bill tries to simplify this in ways such as </w:t>
      </w:r>
      <w:r w:rsidR="00AB21F2">
        <w:rPr>
          <w:rFonts w:ascii="Arial" w:hAnsi="Arial" w:cs="Arial"/>
        </w:rPr>
        <w:t xml:space="preserve">removing the reference of ‘felony’, ‘misdemeanour’ because these concepts are not known in law. Another way is in respect to the word assault, the draft bill suggests there either be a singular offence of assault and battery or to have two separate offences to resolve the vagueness (Law commission paper, </w:t>
      </w:r>
      <w:r w:rsidR="00B761AC">
        <w:rPr>
          <w:rFonts w:ascii="Arial" w:hAnsi="Arial" w:cs="Arial"/>
        </w:rPr>
        <w:t xml:space="preserve">p7, </w:t>
      </w:r>
      <w:r w:rsidR="00AB21F2">
        <w:rPr>
          <w:rFonts w:ascii="Arial" w:hAnsi="Arial" w:cs="Arial"/>
        </w:rPr>
        <w:t>2014).</w:t>
      </w:r>
      <w:r w:rsidR="00B761AC">
        <w:rPr>
          <w:rFonts w:ascii="Arial" w:hAnsi="Arial" w:cs="Arial"/>
        </w:rPr>
        <w:t xml:space="preserve"> This </w:t>
      </w:r>
      <w:r w:rsidR="00B761AC">
        <w:rPr>
          <w:rFonts w:ascii="Arial" w:hAnsi="Arial" w:cs="Arial"/>
        </w:rPr>
        <w:lastRenderedPageBreak/>
        <w:t>is all in a bid to improve the law in this area, the proposed 2015 reform</w:t>
      </w:r>
      <w:r w:rsidR="003F5920">
        <w:rPr>
          <w:rFonts w:ascii="Arial" w:hAnsi="Arial" w:cs="Arial"/>
        </w:rPr>
        <w:t xml:space="preserve"> outline include aims to </w:t>
      </w:r>
      <w:r w:rsidR="00637ECA">
        <w:rPr>
          <w:rFonts w:ascii="Arial" w:hAnsi="Arial" w:cs="Arial"/>
        </w:rPr>
        <w:t>abolish laws serving no purpose, such as assaulting clergy or magistrates, this is a very specific offence that can be covered by proposed law in effect. Another offence to be abolished is, attempting to choke, preventing escape from a shipwreck, failing to feed servants, these are unnecessary offences in 2024 (Law Commission, 2015).</w:t>
      </w:r>
    </w:p>
    <w:p w14:paraId="3C9BF95E" w14:textId="1F72FAF0" w:rsidR="00850767" w:rsidRDefault="000C6212" w:rsidP="00CA0357">
      <w:pPr>
        <w:pStyle w:val="NormalWeb"/>
        <w:shd w:val="clear" w:color="auto" w:fill="FFFFFF"/>
        <w:spacing w:before="0" w:beforeAutospacing="0" w:after="150" w:afterAutospacing="0" w:line="360" w:lineRule="auto"/>
        <w:rPr>
          <w:rFonts w:ascii="Arial" w:hAnsi="Arial" w:cs="Arial"/>
        </w:rPr>
      </w:pPr>
      <w:r>
        <w:rPr>
          <w:rFonts w:ascii="Arial" w:hAnsi="Arial" w:cs="Arial"/>
        </w:rPr>
        <w:t>In conclusion to the question, is the OAPA suitable for use in a modern society when considering non-fatal offences against a person</w:t>
      </w:r>
      <w:r w:rsidR="000D7151">
        <w:rPr>
          <w:rFonts w:ascii="Arial" w:hAnsi="Arial" w:cs="Arial"/>
        </w:rPr>
        <w:t>, I think it is in need for reform as soon as possible. Most of the law which concern violence are in the OAPA 1861, the proposed 2015 Law commission report is a much clearer and is easy to follow, with a list of offences in order of severity. Abolishing some unnecessary offences to streamline</w:t>
      </w:r>
      <w:r w:rsidR="001E281F">
        <w:rPr>
          <w:rFonts w:ascii="Arial" w:hAnsi="Arial" w:cs="Arial"/>
        </w:rPr>
        <w:t xml:space="preserve"> the process</w:t>
      </w:r>
      <w:r w:rsidR="000D7151">
        <w:rPr>
          <w:rFonts w:ascii="Arial" w:hAnsi="Arial" w:cs="Arial"/>
        </w:rPr>
        <w:t xml:space="preserve">, introducing a new one in aggravated assault. This new offence should free up more time in crown court for serious offences and give magistrates the power to deal with sentences up to 12 months in regard to </w:t>
      </w:r>
      <w:r w:rsidR="001E281F">
        <w:rPr>
          <w:rFonts w:ascii="Arial" w:hAnsi="Arial" w:cs="Arial"/>
        </w:rPr>
        <w:t xml:space="preserve">sentencing. </w:t>
      </w:r>
      <w:r w:rsidR="000D7151">
        <w:rPr>
          <w:rFonts w:ascii="Arial" w:hAnsi="Arial" w:cs="Arial"/>
        </w:rPr>
        <w:t>Removing obscure language that only solicitors and judges seem to properly grasp can only be a positive thing in providing transparency for the public and ease of process for the court processes.</w:t>
      </w:r>
      <w:r w:rsidR="001E281F">
        <w:rPr>
          <w:rFonts w:ascii="Arial" w:hAnsi="Arial" w:cs="Arial"/>
        </w:rPr>
        <w:t xml:space="preserve"> Despite this proposed reform being in my opinion a much better platform, there seems to be no rush for change. The current law is unsatisfactory, law needs to move and evolve with the times.</w:t>
      </w:r>
    </w:p>
    <w:p w14:paraId="64248DA1" w14:textId="77777777" w:rsidR="001F3125" w:rsidRDefault="001F3125" w:rsidP="00CA0357">
      <w:pPr>
        <w:pStyle w:val="NormalWeb"/>
        <w:shd w:val="clear" w:color="auto" w:fill="FFFFFF"/>
        <w:spacing w:before="0" w:beforeAutospacing="0" w:after="150" w:afterAutospacing="0" w:line="360" w:lineRule="auto"/>
        <w:rPr>
          <w:rFonts w:ascii="Arial" w:hAnsi="Arial" w:cs="Arial"/>
        </w:rPr>
      </w:pPr>
    </w:p>
    <w:p w14:paraId="469AB63A" w14:textId="77777777" w:rsidR="001F3125" w:rsidRDefault="001F3125" w:rsidP="00CA0357">
      <w:pPr>
        <w:pStyle w:val="NormalWeb"/>
        <w:shd w:val="clear" w:color="auto" w:fill="FFFFFF"/>
        <w:spacing w:before="0" w:beforeAutospacing="0" w:after="150" w:afterAutospacing="0" w:line="360" w:lineRule="auto"/>
        <w:rPr>
          <w:rFonts w:ascii="Arial" w:hAnsi="Arial" w:cs="Arial"/>
        </w:rPr>
      </w:pPr>
    </w:p>
    <w:p w14:paraId="17CE5361" w14:textId="77777777" w:rsidR="001F3125" w:rsidRDefault="001F3125" w:rsidP="001F3125">
      <w:pPr>
        <w:pStyle w:val="NormalWeb"/>
        <w:shd w:val="clear" w:color="auto" w:fill="FFFFFF"/>
        <w:spacing w:before="0" w:beforeAutospacing="0" w:after="150" w:afterAutospacing="0"/>
        <w:rPr>
          <w:rFonts w:ascii="Arial" w:hAnsi="Arial" w:cs="Arial"/>
        </w:rPr>
      </w:pPr>
    </w:p>
    <w:p w14:paraId="2B5343B4" w14:textId="77777777" w:rsidR="00CC7843" w:rsidRDefault="00CC7843">
      <w:pPr>
        <w:rPr>
          <w:rFonts w:ascii="Arial" w:hAnsi="Arial" w:cs="Arial"/>
          <w:sz w:val="24"/>
          <w:szCs w:val="24"/>
        </w:rPr>
      </w:pPr>
    </w:p>
    <w:p w14:paraId="5B542F80" w14:textId="77777777" w:rsidR="00CC7843" w:rsidRDefault="00CC7843">
      <w:pPr>
        <w:rPr>
          <w:rFonts w:ascii="Arial" w:hAnsi="Arial" w:cs="Arial"/>
          <w:sz w:val="24"/>
          <w:szCs w:val="24"/>
        </w:rPr>
      </w:pPr>
    </w:p>
    <w:p w14:paraId="60707ECE" w14:textId="77777777" w:rsidR="00CC7843" w:rsidRDefault="00CC7843">
      <w:pPr>
        <w:rPr>
          <w:rFonts w:ascii="Arial" w:hAnsi="Arial" w:cs="Arial"/>
          <w:sz w:val="24"/>
          <w:szCs w:val="24"/>
        </w:rPr>
      </w:pPr>
    </w:p>
    <w:p w14:paraId="50D70ACA" w14:textId="77777777" w:rsidR="00CA0357" w:rsidRDefault="00CA0357">
      <w:pPr>
        <w:rPr>
          <w:rFonts w:ascii="Arial" w:hAnsi="Arial" w:cs="Arial"/>
          <w:sz w:val="24"/>
          <w:szCs w:val="24"/>
          <w:u w:val="single"/>
        </w:rPr>
      </w:pPr>
    </w:p>
    <w:p w14:paraId="1364246E" w14:textId="77777777" w:rsidR="00CA0357" w:rsidRDefault="00CA0357">
      <w:pPr>
        <w:rPr>
          <w:rFonts w:ascii="Arial" w:hAnsi="Arial" w:cs="Arial"/>
          <w:sz w:val="24"/>
          <w:szCs w:val="24"/>
          <w:u w:val="single"/>
        </w:rPr>
      </w:pPr>
    </w:p>
    <w:p w14:paraId="51444A90" w14:textId="77777777" w:rsidR="00CA0357" w:rsidRDefault="00CA0357">
      <w:pPr>
        <w:rPr>
          <w:rFonts w:ascii="Arial" w:hAnsi="Arial" w:cs="Arial"/>
          <w:sz w:val="24"/>
          <w:szCs w:val="24"/>
          <w:u w:val="single"/>
        </w:rPr>
      </w:pPr>
    </w:p>
    <w:p w14:paraId="00CA099F" w14:textId="77777777" w:rsidR="00CA0357" w:rsidRDefault="00CA0357">
      <w:pPr>
        <w:rPr>
          <w:rFonts w:ascii="Arial" w:hAnsi="Arial" w:cs="Arial"/>
          <w:sz w:val="24"/>
          <w:szCs w:val="24"/>
          <w:u w:val="single"/>
        </w:rPr>
      </w:pPr>
    </w:p>
    <w:p w14:paraId="62350BA0" w14:textId="77777777" w:rsidR="00CA0357" w:rsidRDefault="00CA0357">
      <w:pPr>
        <w:rPr>
          <w:rFonts w:ascii="Arial" w:hAnsi="Arial" w:cs="Arial"/>
          <w:sz w:val="24"/>
          <w:szCs w:val="24"/>
          <w:u w:val="single"/>
        </w:rPr>
      </w:pPr>
    </w:p>
    <w:p w14:paraId="41B3E1DC" w14:textId="61DFCFD5" w:rsidR="00CC7843" w:rsidRPr="00FA2CFF" w:rsidRDefault="00FA2CFF">
      <w:pPr>
        <w:rPr>
          <w:rFonts w:ascii="Arial" w:hAnsi="Arial" w:cs="Arial"/>
          <w:sz w:val="24"/>
          <w:szCs w:val="24"/>
          <w:u w:val="single"/>
        </w:rPr>
      </w:pPr>
      <w:r w:rsidRPr="00FA2CFF">
        <w:rPr>
          <w:rFonts w:ascii="Arial" w:hAnsi="Arial" w:cs="Arial"/>
          <w:sz w:val="24"/>
          <w:szCs w:val="24"/>
          <w:u w:val="single"/>
        </w:rPr>
        <w:t>References</w:t>
      </w:r>
    </w:p>
    <w:p w14:paraId="7F9DE1F7" w14:textId="77777777" w:rsidR="00D8267F" w:rsidRDefault="00D8267F" w:rsidP="00D8267F">
      <w:pPr>
        <w:rPr>
          <w:rFonts w:ascii="Arial" w:hAnsi="Arial" w:cs="Arial"/>
          <w:sz w:val="24"/>
          <w:szCs w:val="24"/>
        </w:rPr>
      </w:pPr>
    </w:p>
    <w:p w14:paraId="0A074032" w14:textId="4DA3ABB9" w:rsidR="00CA0357" w:rsidRPr="00F71557" w:rsidRDefault="00CA0357" w:rsidP="00CA0357">
      <w:pPr>
        <w:tabs>
          <w:tab w:val="left" w:pos="1092"/>
        </w:tabs>
        <w:rPr>
          <w:rFonts w:ascii="Arial" w:hAnsi="Arial" w:cs="Arial"/>
          <w:sz w:val="24"/>
          <w:szCs w:val="24"/>
        </w:rPr>
      </w:pPr>
      <w:r w:rsidRPr="00F71557">
        <w:rPr>
          <w:rFonts w:ascii="Arial" w:hAnsi="Arial" w:cs="Arial"/>
          <w:sz w:val="24"/>
          <w:szCs w:val="24"/>
        </w:rPr>
        <w:t>Alexandra-Maria Eugenicos </w:t>
      </w:r>
      <w:r>
        <w:rPr>
          <w:rFonts w:ascii="Arial" w:hAnsi="Arial" w:cs="Arial"/>
          <w:sz w:val="24"/>
          <w:szCs w:val="24"/>
        </w:rPr>
        <w:t xml:space="preserve">(2017). </w:t>
      </w:r>
      <w:r w:rsidRPr="00F71557">
        <w:rPr>
          <w:rFonts w:ascii="Arial" w:hAnsi="Arial" w:cs="Arial"/>
          <w:sz w:val="24"/>
          <w:szCs w:val="24"/>
        </w:rPr>
        <w:t>The journal of criminal law</w:t>
      </w:r>
      <w:r>
        <w:rPr>
          <w:rFonts w:ascii="Arial" w:hAnsi="Arial" w:cs="Arial"/>
          <w:sz w:val="24"/>
          <w:szCs w:val="24"/>
        </w:rPr>
        <w:t xml:space="preserve"> </w:t>
      </w:r>
      <w:r w:rsidRPr="00F71557">
        <w:rPr>
          <w:rFonts w:ascii="Arial" w:hAnsi="Arial" w:cs="Arial"/>
          <w:sz w:val="24"/>
          <w:szCs w:val="24"/>
        </w:rPr>
        <w:t>Should we reform the OAPA 186</w:t>
      </w:r>
      <w:bookmarkStart w:id="0" w:name="_Hlk160889245"/>
      <w:r>
        <w:rPr>
          <w:rFonts w:ascii="Arial" w:hAnsi="Arial" w:cs="Arial"/>
          <w:sz w:val="24"/>
          <w:szCs w:val="24"/>
        </w:rPr>
        <w:t>1.</w:t>
      </w:r>
      <w:bookmarkEnd w:id="0"/>
      <w:r>
        <w:rPr>
          <w:rFonts w:ascii="Arial" w:hAnsi="Arial" w:cs="Arial"/>
          <w:sz w:val="24"/>
          <w:szCs w:val="24"/>
        </w:rPr>
        <w:t xml:space="preserve"> Available at: </w:t>
      </w:r>
      <w:hyperlink r:id="rId10" w:history="1">
        <w:r w:rsidRPr="00024115">
          <w:rPr>
            <w:rStyle w:val="Hyperlink"/>
            <w:rFonts w:ascii="Arial" w:hAnsi="Arial" w:cs="Arial"/>
            <w:sz w:val="24"/>
            <w:szCs w:val="24"/>
          </w:rPr>
          <w:t>https://doi.org/10.1177/0022018316685478</w:t>
        </w:r>
      </w:hyperlink>
      <w:r>
        <w:rPr>
          <w:rFonts w:ascii="Arial" w:hAnsi="Arial" w:cs="Arial"/>
          <w:sz w:val="24"/>
          <w:szCs w:val="24"/>
        </w:rPr>
        <w:t xml:space="preserve"> (Accessed: March 2024).</w:t>
      </w:r>
    </w:p>
    <w:p w14:paraId="0D11D7ED" w14:textId="77777777" w:rsidR="00CA0357" w:rsidRDefault="00CA0357" w:rsidP="000F063F">
      <w:pPr>
        <w:shd w:val="clear" w:color="auto" w:fill="FFFFFF"/>
        <w:spacing w:after="0" w:line="240" w:lineRule="auto"/>
        <w:outlineLvl w:val="0"/>
        <w:rPr>
          <w:rFonts w:ascii="Arial" w:eastAsia="Times New Roman" w:hAnsi="Arial" w:cs="Arial"/>
          <w:kern w:val="36"/>
          <w:sz w:val="24"/>
          <w:szCs w:val="24"/>
          <w:lang w:eastAsia="en-GB"/>
        </w:rPr>
      </w:pPr>
    </w:p>
    <w:p w14:paraId="7B5CC545" w14:textId="77777777" w:rsidR="00CA0357" w:rsidRDefault="00CA0357" w:rsidP="000F063F">
      <w:pPr>
        <w:shd w:val="clear" w:color="auto" w:fill="FFFFFF"/>
        <w:spacing w:after="0" w:line="240" w:lineRule="auto"/>
        <w:outlineLvl w:val="0"/>
        <w:rPr>
          <w:rFonts w:ascii="Arial" w:eastAsia="Times New Roman" w:hAnsi="Arial" w:cs="Arial"/>
          <w:kern w:val="36"/>
          <w:sz w:val="24"/>
          <w:szCs w:val="24"/>
          <w:lang w:eastAsia="en-GB"/>
        </w:rPr>
      </w:pPr>
    </w:p>
    <w:p w14:paraId="53367F5A" w14:textId="0095514E" w:rsidR="00CA0357" w:rsidRPr="000F063F" w:rsidRDefault="00CA0357" w:rsidP="000F063F">
      <w:pPr>
        <w:shd w:val="clear" w:color="auto" w:fill="FFFFFF"/>
        <w:spacing w:after="0" w:line="240" w:lineRule="auto"/>
        <w:outlineLvl w:val="0"/>
        <w:rPr>
          <w:rFonts w:ascii="Arial" w:eastAsia="Times New Roman" w:hAnsi="Arial" w:cs="Arial"/>
          <w:color w:val="333333"/>
          <w:kern w:val="36"/>
          <w:sz w:val="24"/>
          <w:szCs w:val="24"/>
          <w:lang w:eastAsia="en-GB"/>
        </w:rPr>
      </w:pPr>
      <w:r>
        <w:rPr>
          <w:rFonts w:ascii="Arial" w:eastAsia="Times New Roman" w:hAnsi="Arial" w:cs="Arial"/>
          <w:kern w:val="36"/>
          <w:sz w:val="24"/>
          <w:szCs w:val="24"/>
          <w:lang w:eastAsia="en-GB"/>
        </w:rPr>
        <w:t xml:space="preserve">Cornell Law School (2021) </w:t>
      </w:r>
      <w:r w:rsidRPr="008C6295">
        <w:rPr>
          <w:rFonts w:ascii="Arial" w:eastAsia="Times New Roman" w:hAnsi="Arial" w:cs="Arial"/>
          <w:kern w:val="36"/>
          <w:sz w:val="24"/>
          <w:szCs w:val="24"/>
          <w:lang w:eastAsia="en-GB"/>
        </w:rPr>
        <w:t>Offences against the Person</w:t>
      </w:r>
      <w:r>
        <w:rPr>
          <w:rFonts w:ascii="Arial" w:eastAsia="Times New Roman" w:hAnsi="Arial" w:cs="Arial"/>
          <w:color w:val="333333"/>
          <w:kern w:val="36"/>
          <w:sz w:val="24"/>
          <w:szCs w:val="24"/>
          <w:lang w:eastAsia="en-GB"/>
        </w:rPr>
        <w:t xml:space="preserve">. Available at: </w:t>
      </w:r>
      <w:hyperlink r:id="rId11" w:history="1">
        <w:r w:rsidRPr="00F71557">
          <w:rPr>
            <w:rStyle w:val="Hyperlink"/>
            <w:rFonts w:ascii="Arial" w:hAnsi="Arial" w:cs="Arial"/>
            <w:sz w:val="24"/>
            <w:szCs w:val="24"/>
          </w:rPr>
          <w:t>assault and battery | Wex | US Law | LII / Legal Information Institute (cornell.edu)</w:t>
        </w:r>
      </w:hyperlink>
      <w:r>
        <w:rPr>
          <w:rFonts w:ascii="Arial" w:hAnsi="Arial" w:cs="Arial"/>
          <w:sz w:val="24"/>
          <w:szCs w:val="24"/>
        </w:rPr>
        <w:t xml:space="preserve"> (Accessed: March 2024). </w:t>
      </w:r>
    </w:p>
    <w:p w14:paraId="55D621C8" w14:textId="77777777" w:rsidR="00CA0357" w:rsidRDefault="00CA0357" w:rsidP="00B333A8">
      <w:pPr>
        <w:rPr>
          <w:rFonts w:ascii="Arial" w:hAnsi="Arial" w:cs="Arial"/>
          <w:sz w:val="24"/>
          <w:szCs w:val="24"/>
        </w:rPr>
      </w:pPr>
    </w:p>
    <w:p w14:paraId="6FB5E88A" w14:textId="77777777" w:rsidR="00CA0357" w:rsidRDefault="00CA0357" w:rsidP="00B333A8">
      <w:pPr>
        <w:rPr>
          <w:rFonts w:ascii="Arial" w:hAnsi="Arial" w:cs="Arial"/>
          <w:sz w:val="24"/>
          <w:szCs w:val="24"/>
        </w:rPr>
      </w:pPr>
    </w:p>
    <w:p w14:paraId="6CC07A95" w14:textId="12DAD1F9" w:rsidR="00CA0357" w:rsidRPr="00F71557" w:rsidRDefault="00CA0357" w:rsidP="00B333A8">
      <w:pPr>
        <w:rPr>
          <w:rFonts w:ascii="Arial" w:hAnsi="Arial" w:cs="Arial"/>
          <w:sz w:val="24"/>
          <w:szCs w:val="24"/>
        </w:rPr>
      </w:pPr>
      <w:r w:rsidRPr="00F71557">
        <w:rPr>
          <w:rFonts w:ascii="Arial" w:hAnsi="Arial" w:cs="Arial"/>
          <w:sz w:val="24"/>
          <w:szCs w:val="24"/>
        </w:rPr>
        <w:t xml:space="preserve">Law commission </w:t>
      </w:r>
      <w:r>
        <w:rPr>
          <w:rFonts w:ascii="Arial" w:hAnsi="Arial" w:cs="Arial"/>
          <w:sz w:val="24"/>
          <w:szCs w:val="24"/>
        </w:rPr>
        <w:t>(2014) R</w:t>
      </w:r>
      <w:r w:rsidRPr="00F71557">
        <w:rPr>
          <w:rFonts w:ascii="Arial" w:hAnsi="Arial" w:cs="Arial"/>
          <w:sz w:val="24"/>
          <w:szCs w:val="24"/>
        </w:rPr>
        <w:t>eform of the offences against the person, a scoping consultation paper</w:t>
      </w:r>
      <w:r>
        <w:rPr>
          <w:rFonts w:ascii="Arial" w:hAnsi="Arial" w:cs="Arial"/>
          <w:sz w:val="24"/>
          <w:szCs w:val="24"/>
        </w:rPr>
        <w:t xml:space="preserve">. Available at: </w:t>
      </w:r>
      <w:hyperlink r:id="rId12" w:history="1">
        <w:r w:rsidRPr="00024115">
          <w:rPr>
            <w:rStyle w:val="Hyperlink"/>
            <w:rFonts w:ascii="Arial" w:hAnsi="Arial" w:cs="Arial"/>
            <w:sz w:val="24"/>
            <w:szCs w:val="24"/>
          </w:rPr>
          <w:t>https://cloud-platform-e218f50a4812967ba1215eaecede923f.s3.amazonaws.com/uploads/sites/30/2015/06/cp217_offences_against_the_person_summary.pdf</w:t>
        </w:r>
      </w:hyperlink>
      <w:r>
        <w:rPr>
          <w:rFonts w:ascii="Arial" w:hAnsi="Arial" w:cs="Arial"/>
          <w:sz w:val="24"/>
          <w:szCs w:val="24"/>
        </w:rPr>
        <w:t xml:space="preserve"> (Accessed: March 2024).</w:t>
      </w:r>
    </w:p>
    <w:p w14:paraId="7EFC93B8" w14:textId="77777777" w:rsidR="00CA0357" w:rsidRDefault="00CA0357" w:rsidP="00816733">
      <w:pPr>
        <w:shd w:val="clear" w:color="auto" w:fill="FFFFFF"/>
        <w:spacing w:after="180" w:line="240" w:lineRule="auto"/>
        <w:outlineLvl w:val="0"/>
        <w:rPr>
          <w:rFonts w:ascii="Arial" w:hAnsi="Arial" w:cs="Arial"/>
          <w:sz w:val="24"/>
          <w:szCs w:val="24"/>
        </w:rPr>
      </w:pPr>
      <w:bookmarkStart w:id="1" w:name="_Hlk160889489"/>
    </w:p>
    <w:p w14:paraId="56B1247C" w14:textId="77777777" w:rsidR="00CA0357" w:rsidRDefault="00CA0357" w:rsidP="00816733">
      <w:pPr>
        <w:shd w:val="clear" w:color="auto" w:fill="FFFFFF"/>
        <w:spacing w:after="180" w:line="240" w:lineRule="auto"/>
        <w:outlineLvl w:val="0"/>
        <w:rPr>
          <w:rFonts w:ascii="Arial" w:hAnsi="Arial" w:cs="Arial"/>
          <w:sz w:val="24"/>
          <w:szCs w:val="24"/>
        </w:rPr>
      </w:pPr>
    </w:p>
    <w:p w14:paraId="2F2B8CA2" w14:textId="3ABBEE48" w:rsidR="00CA0357" w:rsidRPr="00816733" w:rsidRDefault="00CA0357" w:rsidP="00816733">
      <w:pPr>
        <w:shd w:val="clear" w:color="auto" w:fill="FFFFFF"/>
        <w:spacing w:after="180" w:line="240" w:lineRule="auto"/>
        <w:outlineLvl w:val="0"/>
        <w:rPr>
          <w:rFonts w:ascii="Arial" w:eastAsia="Times New Roman" w:hAnsi="Arial" w:cs="Arial"/>
          <w:color w:val="333333"/>
          <w:kern w:val="36"/>
          <w:sz w:val="24"/>
          <w:szCs w:val="24"/>
          <w:lang w:eastAsia="en-GB"/>
        </w:rPr>
      </w:pPr>
      <w:r>
        <w:rPr>
          <w:rFonts w:ascii="Arial" w:hAnsi="Arial" w:cs="Arial"/>
          <w:sz w:val="24"/>
          <w:szCs w:val="24"/>
        </w:rPr>
        <w:t xml:space="preserve">Law Commission (2015) Offences against the person. Available at: </w:t>
      </w:r>
      <w:hyperlink r:id="rId13" w:history="1">
        <w:r w:rsidRPr="00F71557">
          <w:rPr>
            <w:rStyle w:val="Hyperlink"/>
            <w:rFonts w:ascii="Arial" w:hAnsi="Arial" w:cs="Arial"/>
            <w:sz w:val="24"/>
            <w:szCs w:val="24"/>
          </w:rPr>
          <w:t>Offences against the Person - Law Commission</w:t>
        </w:r>
      </w:hyperlink>
      <w:r>
        <w:rPr>
          <w:rFonts w:ascii="Arial" w:hAnsi="Arial" w:cs="Arial"/>
          <w:sz w:val="24"/>
          <w:szCs w:val="24"/>
        </w:rPr>
        <w:t xml:space="preserve"> (Accessed: March 2024).</w:t>
      </w:r>
    </w:p>
    <w:bookmarkEnd w:id="1"/>
    <w:p w14:paraId="0F2C4A97" w14:textId="77777777" w:rsidR="00CA0357" w:rsidRDefault="00CA0357" w:rsidP="00816733">
      <w:pPr>
        <w:rPr>
          <w:rFonts w:ascii="Arial" w:hAnsi="Arial" w:cs="Arial"/>
          <w:sz w:val="24"/>
          <w:szCs w:val="24"/>
        </w:rPr>
      </w:pPr>
    </w:p>
    <w:p w14:paraId="0A7E2DA5" w14:textId="77777777" w:rsidR="00CA0357" w:rsidRDefault="00CA0357" w:rsidP="00816733">
      <w:pPr>
        <w:rPr>
          <w:rFonts w:ascii="Arial" w:hAnsi="Arial" w:cs="Arial"/>
          <w:sz w:val="24"/>
          <w:szCs w:val="24"/>
        </w:rPr>
      </w:pPr>
    </w:p>
    <w:p w14:paraId="34BEE8E9" w14:textId="3136483E" w:rsidR="00CA0357" w:rsidRPr="00F71557" w:rsidRDefault="00CA0357" w:rsidP="00816733">
      <w:pPr>
        <w:rPr>
          <w:rFonts w:ascii="Arial" w:hAnsi="Arial" w:cs="Arial"/>
          <w:sz w:val="24"/>
          <w:szCs w:val="24"/>
        </w:rPr>
      </w:pPr>
      <w:r>
        <w:rPr>
          <w:rFonts w:ascii="Arial" w:hAnsi="Arial" w:cs="Arial"/>
          <w:sz w:val="24"/>
          <w:szCs w:val="24"/>
        </w:rPr>
        <w:t xml:space="preserve">Law Commission (2015) Offences against the person. Available at: </w:t>
      </w:r>
      <w:hyperlink r:id="rId14" w:history="1">
        <w:r w:rsidRPr="00F71557">
          <w:rPr>
            <w:rStyle w:val="Hyperlink"/>
            <w:rFonts w:ascii="Arial" w:hAnsi="Arial" w:cs="Arial"/>
            <w:sz w:val="24"/>
            <w:szCs w:val="24"/>
          </w:rPr>
          <w:t>Offences against the Person - Law Commission</w:t>
        </w:r>
      </w:hyperlink>
      <w:r>
        <w:rPr>
          <w:rFonts w:ascii="Arial" w:hAnsi="Arial" w:cs="Arial"/>
          <w:sz w:val="24"/>
          <w:szCs w:val="24"/>
        </w:rPr>
        <w:t xml:space="preserve"> (Accessed: March 2024).</w:t>
      </w:r>
    </w:p>
    <w:p w14:paraId="1989C8B0" w14:textId="77777777" w:rsidR="00CA0357" w:rsidRDefault="00CA0357" w:rsidP="00B333A8">
      <w:pPr>
        <w:rPr>
          <w:rFonts w:ascii="Arial" w:hAnsi="Arial" w:cs="Arial"/>
          <w:sz w:val="24"/>
          <w:szCs w:val="24"/>
        </w:rPr>
      </w:pPr>
    </w:p>
    <w:p w14:paraId="45102AFF" w14:textId="77777777" w:rsidR="00CA0357" w:rsidRDefault="00CA0357" w:rsidP="00B333A8">
      <w:pPr>
        <w:rPr>
          <w:rFonts w:ascii="Arial" w:hAnsi="Arial" w:cs="Arial"/>
          <w:sz w:val="24"/>
          <w:szCs w:val="24"/>
        </w:rPr>
      </w:pPr>
    </w:p>
    <w:p w14:paraId="1AFA061E" w14:textId="55E4C96C" w:rsidR="00CA0357" w:rsidRPr="00816733" w:rsidRDefault="00CA0357" w:rsidP="00B333A8">
      <w:pPr>
        <w:rPr>
          <w:rFonts w:ascii="Arial" w:hAnsi="Arial" w:cs="Arial"/>
          <w:sz w:val="24"/>
          <w:szCs w:val="24"/>
        </w:rPr>
      </w:pPr>
      <w:r>
        <w:rPr>
          <w:rFonts w:ascii="Arial" w:hAnsi="Arial" w:cs="Arial"/>
          <w:sz w:val="24"/>
          <w:szCs w:val="24"/>
        </w:rPr>
        <w:t xml:space="preserve">Law Commission (2015) </w:t>
      </w:r>
      <w:r w:rsidRPr="00F71557">
        <w:rPr>
          <w:rFonts w:ascii="Arial" w:hAnsi="Arial" w:cs="Arial"/>
          <w:sz w:val="24"/>
          <w:szCs w:val="24"/>
        </w:rPr>
        <w:t>Offences against the person</w:t>
      </w:r>
      <w:r>
        <w:rPr>
          <w:rFonts w:ascii="Arial" w:hAnsi="Arial" w:cs="Arial"/>
          <w:sz w:val="24"/>
          <w:szCs w:val="24"/>
        </w:rPr>
        <w:t xml:space="preserve">. Available at: </w:t>
      </w:r>
      <w:hyperlink r:id="rId15" w:history="1">
        <w:r w:rsidRPr="00024115">
          <w:rPr>
            <w:rStyle w:val="Hyperlink"/>
            <w:rFonts w:ascii="Arial" w:hAnsi="Arial" w:cs="Arial"/>
            <w:sz w:val="24"/>
            <w:szCs w:val="24"/>
          </w:rPr>
          <w:t>https://cloud-platform-e218f50a4812967ba1215eaecede923f.s3.amazonaws.com/uploads/sites/30/2015/11/lc361_offences_against_the_person_overview_new-1.pdf</w:t>
        </w:r>
      </w:hyperlink>
      <w:r>
        <w:rPr>
          <w:rFonts w:ascii="Arial" w:hAnsi="Arial" w:cs="Arial"/>
          <w:sz w:val="24"/>
          <w:szCs w:val="24"/>
        </w:rPr>
        <w:t xml:space="preserve"> (Accessed: March 2024).</w:t>
      </w:r>
    </w:p>
    <w:p w14:paraId="33857E3A" w14:textId="77777777" w:rsidR="00CA0357" w:rsidRDefault="00CA0357" w:rsidP="00162951">
      <w:pPr>
        <w:shd w:val="clear" w:color="auto" w:fill="FFFFFF"/>
        <w:spacing w:after="180" w:line="240" w:lineRule="auto"/>
        <w:outlineLvl w:val="0"/>
        <w:rPr>
          <w:rFonts w:ascii="Arial" w:eastAsia="Times New Roman" w:hAnsi="Arial" w:cs="Arial"/>
          <w:color w:val="333333"/>
          <w:kern w:val="36"/>
          <w:sz w:val="24"/>
          <w:szCs w:val="24"/>
          <w:lang w:eastAsia="en-GB"/>
        </w:rPr>
      </w:pPr>
    </w:p>
    <w:p w14:paraId="24D114CC" w14:textId="77777777" w:rsidR="00CA0357" w:rsidRDefault="00CA0357" w:rsidP="00162951">
      <w:pPr>
        <w:shd w:val="clear" w:color="auto" w:fill="FFFFFF"/>
        <w:spacing w:after="180" w:line="240" w:lineRule="auto"/>
        <w:outlineLvl w:val="0"/>
        <w:rPr>
          <w:rFonts w:ascii="Arial" w:eastAsia="Times New Roman" w:hAnsi="Arial" w:cs="Arial"/>
          <w:color w:val="333333"/>
          <w:kern w:val="36"/>
          <w:sz w:val="24"/>
          <w:szCs w:val="24"/>
          <w:lang w:eastAsia="en-GB"/>
        </w:rPr>
      </w:pPr>
    </w:p>
    <w:p w14:paraId="04C96DB7" w14:textId="23483975" w:rsidR="00CA0357" w:rsidRPr="00162951" w:rsidRDefault="00CA0357" w:rsidP="00162951">
      <w:pPr>
        <w:shd w:val="clear" w:color="auto" w:fill="FFFFFF"/>
        <w:spacing w:after="180" w:line="240" w:lineRule="auto"/>
        <w:outlineLvl w:val="0"/>
        <w:rPr>
          <w:rFonts w:ascii="Arial" w:eastAsia="Times New Roman" w:hAnsi="Arial" w:cs="Arial"/>
          <w:color w:val="333333"/>
          <w:kern w:val="36"/>
          <w:sz w:val="24"/>
          <w:szCs w:val="24"/>
          <w:lang w:eastAsia="en-GB"/>
        </w:rPr>
      </w:pPr>
      <w:r>
        <w:rPr>
          <w:rFonts w:ascii="Arial" w:eastAsia="Times New Roman" w:hAnsi="Arial" w:cs="Arial"/>
          <w:color w:val="333333"/>
          <w:kern w:val="36"/>
          <w:sz w:val="24"/>
          <w:szCs w:val="24"/>
          <w:lang w:eastAsia="en-GB"/>
        </w:rPr>
        <w:lastRenderedPageBreak/>
        <w:t xml:space="preserve">Law Commission England and Wales (2015) Professor David Omerod QC. </w:t>
      </w:r>
      <w:r w:rsidRPr="000E7EFA">
        <w:rPr>
          <w:rFonts w:ascii="Arial" w:eastAsia="Times New Roman" w:hAnsi="Arial" w:cs="Arial"/>
          <w:color w:val="333333"/>
          <w:kern w:val="36"/>
          <w:sz w:val="24"/>
          <w:szCs w:val="24"/>
          <w:lang w:eastAsia="en-GB"/>
        </w:rPr>
        <w:t>Offences against the Person</w:t>
      </w:r>
      <w:r>
        <w:rPr>
          <w:rFonts w:ascii="Arial" w:eastAsia="Times New Roman" w:hAnsi="Arial" w:cs="Arial"/>
          <w:color w:val="333333"/>
          <w:kern w:val="36"/>
          <w:sz w:val="24"/>
          <w:szCs w:val="24"/>
          <w:lang w:eastAsia="en-GB"/>
        </w:rPr>
        <w:t xml:space="preserve">. The need for reform. </w:t>
      </w:r>
      <w:r w:rsidRPr="00F71557">
        <w:rPr>
          <w:rFonts w:ascii="Arial" w:hAnsi="Arial" w:cs="Arial"/>
          <w:sz w:val="24"/>
          <w:szCs w:val="24"/>
        </w:rPr>
        <w:t>Available at:</w:t>
      </w:r>
      <w:r>
        <w:rPr>
          <w:rFonts w:ascii="Arial" w:hAnsi="Arial" w:cs="Arial"/>
          <w:sz w:val="24"/>
          <w:szCs w:val="24"/>
        </w:rPr>
        <w:t xml:space="preserve"> </w:t>
      </w:r>
      <w:hyperlink r:id="rId16" w:history="1">
        <w:r w:rsidRPr="00024115">
          <w:rPr>
            <w:rStyle w:val="Hyperlink"/>
            <w:rFonts w:ascii="Arial" w:hAnsi="Arial" w:cs="Arial"/>
            <w:sz w:val="24"/>
            <w:szCs w:val="24"/>
          </w:rPr>
          <w:t>https://www.youtube.com/watch?v=diWKWOdY8IQ</w:t>
        </w:r>
      </w:hyperlink>
      <w:r w:rsidRPr="00F71557">
        <w:rPr>
          <w:rFonts w:ascii="Arial" w:hAnsi="Arial" w:cs="Arial"/>
          <w:sz w:val="24"/>
          <w:szCs w:val="24"/>
        </w:rPr>
        <w:t xml:space="preserve"> (</w:t>
      </w:r>
      <w:r>
        <w:rPr>
          <w:rFonts w:ascii="Arial" w:hAnsi="Arial" w:cs="Arial"/>
          <w:sz w:val="24"/>
          <w:szCs w:val="24"/>
        </w:rPr>
        <w:t>A</w:t>
      </w:r>
      <w:r w:rsidRPr="00F71557">
        <w:rPr>
          <w:rFonts w:ascii="Arial" w:hAnsi="Arial" w:cs="Arial"/>
          <w:sz w:val="24"/>
          <w:szCs w:val="24"/>
        </w:rPr>
        <w:t xml:space="preserve">ccessed: </w:t>
      </w:r>
      <w:r>
        <w:rPr>
          <w:rFonts w:ascii="Arial" w:hAnsi="Arial" w:cs="Arial"/>
          <w:sz w:val="24"/>
          <w:szCs w:val="24"/>
        </w:rPr>
        <w:t>March 2024</w:t>
      </w:r>
      <w:r w:rsidRPr="00F71557">
        <w:rPr>
          <w:rFonts w:ascii="Arial" w:hAnsi="Arial" w:cs="Arial"/>
          <w:sz w:val="24"/>
          <w:szCs w:val="24"/>
        </w:rPr>
        <w:t>).</w:t>
      </w:r>
    </w:p>
    <w:p w14:paraId="11C7FB8B" w14:textId="77777777" w:rsidR="00CA0357" w:rsidRDefault="00CA0357" w:rsidP="00990A1A">
      <w:pPr>
        <w:rPr>
          <w:rFonts w:ascii="Arial" w:hAnsi="Arial" w:cs="Arial"/>
          <w:sz w:val="24"/>
          <w:szCs w:val="24"/>
        </w:rPr>
      </w:pPr>
    </w:p>
    <w:p w14:paraId="52D3BC90" w14:textId="77777777" w:rsidR="00CA0357" w:rsidRDefault="00CA0357" w:rsidP="00990A1A">
      <w:pPr>
        <w:rPr>
          <w:rFonts w:ascii="Arial" w:hAnsi="Arial" w:cs="Arial"/>
          <w:sz w:val="24"/>
          <w:szCs w:val="24"/>
        </w:rPr>
      </w:pPr>
    </w:p>
    <w:p w14:paraId="7D459BFA" w14:textId="77777777" w:rsidR="00CA0357" w:rsidRDefault="00CA0357" w:rsidP="00CA0357">
      <w:pPr>
        <w:rPr>
          <w:rFonts w:ascii="Arial" w:hAnsi="Arial" w:cs="Arial"/>
          <w:sz w:val="24"/>
          <w:szCs w:val="24"/>
        </w:rPr>
      </w:pPr>
      <w:r w:rsidRPr="00F71557">
        <w:rPr>
          <w:rFonts w:ascii="Arial" w:hAnsi="Arial" w:cs="Arial"/>
          <w:sz w:val="24"/>
          <w:szCs w:val="24"/>
        </w:rPr>
        <w:t xml:space="preserve">'R v Cunningham - 1957' (Lawteacher.net, March 2024) &lt;https://www.lawteacher.net/cases/r-v-cunningham.php?vref=1&gt; </w:t>
      </w:r>
      <w:r>
        <w:rPr>
          <w:rFonts w:ascii="Arial" w:hAnsi="Arial" w:cs="Arial"/>
          <w:sz w:val="24"/>
          <w:szCs w:val="24"/>
        </w:rPr>
        <w:t>(A</w:t>
      </w:r>
      <w:r w:rsidRPr="00F71557">
        <w:rPr>
          <w:rFonts w:ascii="Arial" w:hAnsi="Arial" w:cs="Arial"/>
          <w:sz w:val="24"/>
          <w:szCs w:val="24"/>
        </w:rPr>
        <w:t>ccessed</w:t>
      </w:r>
      <w:r>
        <w:rPr>
          <w:rFonts w:ascii="Arial" w:hAnsi="Arial" w:cs="Arial"/>
          <w:sz w:val="24"/>
          <w:szCs w:val="24"/>
        </w:rPr>
        <w:t>:</w:t>
      </w:r>
      <w:r w:rsidRPr="00F71557">
        <w:rPr>
          <w:rFonts w:ascii="Arial" w:hAnsi="Arial" w:cs="Arial"/>
          <w:sz w:val="24"/>
          <w:szCs w:val="24"/>
        </w:rPr>
        <w:t xml:space="preserve"> March 2024</w:t>
      </w:r>
      <w:r>
        <w:rPr>
          <w:rFonts w:ascii="Arial" w:hAnsi="Arial" w:cs="Arial"/>
          <w:sz w:val="24"/>
          <w:szCs w:val="24"/>
        </w:rPr>
        <w:t>).</w:t>
      </w:r>
    </w:p>
    <w:p w14:paraId="5BB5C1DC" w14:textId="77777777" w:rsidR="00CA0357" w:rsidRDefault="00CA0357" w:rsidP="00CA0357">
      <w:pPr>
        <w:rPr>
          <w:rFonts w:ascii="Arial" w:hAnsi="Arial" w:cs="Arial"/>
          <w:sz w:val="24"/>
          <w:szCs w:val="24"/>
        </w:rPr>
      </w:pPr>
    </w:p>
    <w:p w14:paraId="7A2E67AE" w14:textId="77777777" w:rsidR="00CA0357" w:rsidRDefault="00CA0357" w:rsidP="00CA0357">
      <w:pPr>
        <w:rPr>
          <w:rFonts w:ascii="Arial" w:hAnsi="Arial" w:cs="Arial"/>
          <w:sz w:val="24"/>
          <w:szCs w:val="24"/>
        </w:rPr>
      </w:pPr>
    </w:p>
    <w:p w14:paraId="38ADB8CA" w14:textId="66DAFD25" w:rsidR="00CA0357" w:rsidRPr="002F20A2" w:rsidRDefault="00CA0357" w:rsidP="00CA0357">
      <w:pPr>
        <w:rPr>
          <w:rFonts w:ascii="Arial" w:hAnsi="Arial" w:cs="Arial"/>
          <w:sz w:val="24"/>
          <w:szCs w:val="24"/>
        </w:rPr>
      </w:pPr>
      <w:r w:rsidRPr="002F20A2">
        <w:rPr>
          <w:rFonts w:ascii="Arial" w:eastAsia="Times New Roman" w:hAnsi="Arial" w:cs="Arial"/>
          <w:color w:val="111111"/>
          <w:kern w:val="36"/>
          <w:sz w:val="24"/>
          <w:szCs w:val="24"/>
          <w:lang w:eastAsia="en-GB"/>
        </w:rPr>
        <w:t>R v Ireland; R v Burstow [1998] AC 147, House of Lords</w:t>
      </w:r>
      <w:r>
        <w:rPr>
          <w:rFonts w:ascii="Arial" w:eastAsia="Times New Roman" w:hAnsi="Arial" w:cs="Arial"/>
          <w:color w:val="111111"/>
          <w:kern w:val="36"/>
          <w:sz w:val="24"/>
          <w:szCs w:val="24"/>
          <w:lang w:eastAsia="en-GB"/>
        </w:rPr>
        <w:t xml:space="preserve">. Available at: </w:t>
      </w:r>
      <w:r>
        <w:rPr>
          <w:rFonts w:ascii="Arial" w:eastAsia="Times New Roman" w:hAnsi="Arial" w:cs="Arial"/>
          <w:color w:val="111111"/>
          <w:sz w:val="24"/>
          <w:szCs w:val="24"/>
          <w:lang w:eastAsia="en-GB"/>
        </w:rPr>
        <w:t>doi</w:t>
      </w:r>
      <w:r w:rsidRPr="002F20A2">
        <w:rPr>
          <w:rFonts w:ascii="Arial" w:eastAsia="Times New Roman" w:hAnsi="Arial" w:cs="Arial"/>
          <w:color w:val="111111"/>
          <w:sz w:val="24"/>
          <w:szCs w:val="24"/>
          <w:lang w:eastAsia="en-GB"/>
        </w:rPr>
        <w:t>:</w:t>
      </w:r>
      <w:hyperlink r:id="rId17" w:tgtFrame="_blank" w:history="1">
        <w:r w:rsidRPr="002F20A2">
          <w:rPr>
            <w:rFonts w:ascii="Arial" w:eastAsia="Times New Roman" w:hAnsi="Arial" w:cs="Arial"/>
            <w:color w:val="0000FF"/>
            <w:sz w:val="24"/>
            <w:szCs w:val="24"/>
            <w:u w:val="single"/>
            <w:bdr w:val="none" w:sz="0" w:space="0" w:color="auto" w:frame="1"/>
            <w:lang w:eastAsia="en-GB"/>
          </w:rPr>
          <w:t>10.1093/he/9780191926419.003.0011</w:t>
        </w:r>
      </w:hyperlink>
      <w:r>
        <w:rPr>
          <w:rFonts w:ascii="Arial" w:eastAsia="Times New Roman" w:hAnsi="Arial" w:cs="Arial"/>
          <w:color w:val="111111"/>
          <w:sz w:val="24"/>
          <w:szCs w:val="24"/>
          <w:lang w:eastAsia="en-GB"/>
        </w:rPr>
        <w:t xml:space="preserve">  (Accessed: March 2024).</w:t>
      </w:r>
    </w:p>
    <w:p w14:paraId="49355E68" w14:textId="77777777" w:rsidR="00816733" w:rsidRDefault="00816733" w:rsidP="00B002AC">
      <w:pPr>
        <w:rPr>
          <w:rFonts w:ascii="Arial" w:eastAsia="Times New Roman" w:hAnsi="Arial" w:cs="Arial"/>
          <w:color w:val="1E1E1E"/>
          <w:kern w:val="36"/>
          <w:sz w:val="24"/>
          <w:szCs w:val="24"/>
          <w:lang w:eastAsia="en-GB"/>
        </w:rPr>
      </w:pPr>
    </w:p>
    <w:p w14:paraId="2EB8D806" w14:textId="77777777" w:rsidR="00816733" w:rsidRDefault="00816733" w:rsidP="00B002AC">
      <w:pPr>
        <w:rPr>
          <w:rFonts w:ascii="Arial" w:eastAsia="Times New Roman" w:hAnsi="Arial" w:cs="Arial"/>
          <w:color w:val="1E1E1E"/>
          <w:kern w:val="36"/>
          <w:sz w:val="24"/>
          <w:szCs w:val="24"/>
          <w:lang w:eastAsia="en-GB"/>
        </w:rPr>
      </w:pPr>
    </w:p>
    <w:p w14:paraId="45D5C421" w14:textId="77777777" w:rsidR="00816733" w:rsidRDefault="00816733" w:rsidP="00B002AC">
      <w:pPr>
        <w:rPr>
          <w:rFonts w:ascii="Arial" w:eastAsia="Times New Roman" w:hAnsi="Arial" w:cs="Arial"/>
          <w:color w:val="1E1E1E"/>
          <w:kern w:val="36"/>
          <w:sz w:val="24"/>
          <w:szCs w:val="24"/>
          <w:lang w:eastAsia="en-GB"/>
        </w:rPr>
      </w:pPr>
    </w:p>
    <w:p w14:paraId="77FCB1ED" w14:textId="77777777" w:rsidR="00816733" w:rsidRDefault="00816733" w:rsidP="00B002AC">
      <w:pPr>
        <w:rPr>
          <w:rFonts w:ascii="Arial" w:eastAsia="Times New Roman" w:hAnsi="Arial" w:cs="Arial"/>
          <w:color w:val="1E1E1E"/>
          <w:kern w:val="36"/>
          <w:sz w:val="24"/>
          <w:szCs w:val="24"/>
          <w:lang w:eastAsia="en-GB"/>
        </w:rPr>
      </w:pPr>
    </w:p>
    <w:p w14:paraId="7FC3A6FA" w14:textId="77777777" w:rsidR="00816733" w:rsidRDefault="00816733" w:rsidP="00B002AC">
      <w:pPr>
        <w:rPr>
          <w:rFonts w:ascii="Arial" w:eastAsia="Times New Roman" w:hAnsi="Arial" w:cs="Arial"/>
          <w:color w:val="1E1E1E"/>
          <w:kern w:val="36"/>
          <w:sz w:val="24"/>
          <w:szCs w:val="24"/>
          <w:lang w:eastAsia="en-GB"/>
        </w:rPr>
      </w:pPr>
    </w:p>
    <w:p w14:paraId="17FB948D" w14:textId="77777777" w:rsidR="00816733" w:rsidRDefault="00816733" w:rsidP="00B002AC">
      <w:pPr>
        <w:rPr>
          <w:rFonts w:ascii="Arial" w:eastAsia="Times New Roman" w:hAnsi="Arial" w:cs="Arial"/>
          <w:color w:val="1E1E1E"/>
          <w:kern w:val="36"/>
          <w:sz w:val="24"/>
          <w:szCs w:val="24"/>
          <w:lang w:eastAsia="en-GB"/>
        </w:rPr>
      </w:pPr>
    </w:p>
    <w:p w14:paraId="7969F48C" w14:textId="77777777" w:rsidR="00816733" w:rsidRDefault="00816733" w:rsidP="00B002AC">
      <w:pPr>
        <w:rPr>
          <w:rFonts w:ascii="Arial" w:eastAsia="Times New Roman" w:hAnsi="Arial" w:cs="Arial"/>
          <w:color w:val="1E1E1E"/>
          <w:kern w:val="36"/>
          <w:sz w:val="24"/>
          <w:szCs w:val="24"/>
          <w:lang w:eastAsia="en-GB"/>
        </w:rPr>
      </w:pPr>
    </w:p>
    <w:p w14:paraId="1C42CBDF" w14:textId="77777777" w:rsidR="00816733" w:rsidRDefault="00816733" w:rsidP="00B002AC">
      <w:pPr>
        <w:rPr>
          <w:rFonts w:ascii="Arial" w:eastAsia="Times New Roman" w:hAnsi="Arial" w:cs="Arial"/>
          <w:color w:val="1E1E1E"/>
          <w:kern w:val="36"/>
          <w:sz w:val="24"/>
          <w:szCs w:val="24"/>
          <w:lang w:eastAsia="en-GB"/>
        </w:rPr>
      </w:pPr>
    </w:p>
    <w:p w14:paraId="4D8A1DB2" w14:textId="77777777" w:rsidR="00816733" w:rsidRDefault="00816733" w:rsidP="00B002AC">
      <w:pPr>
        <w:rPr>
          <w:rFonts w:ascii="Arial" w:eastAsia="Times New Roman" w:hAnsi="Arial" w:cs="Arial"/>
          <w:color w:val="1E1E1E"/>
          <w:kern w:val="36"/>
          <w:sz w:val="24"/>
          <w:szCs w:val="24"/>
          <w:lang w:eastAsia="en-GB"/>
        </w:rPr>
      </w:pPr>
    </w:p>
    <w:p w14:paraId="5319CF72" w14:textId="77777777" w:rsidR="00816733" w:rsidRDefault="00816733" w:rsidP="00B002AC">
      <w:pPr>
        <w:rPr>
          <w:rFonts w:ascii="Arial" w:eastAsia="Times New Roman" w:hAnsi="Arial" w:cs="Arial"/>
          <w:color w:val="1E1E1E"/>
          <w:kern w:val="36"/>
          <w:sz w:val="24"/>
          <w:szCs w:val="24"/>
          <w:lang w:eastAsia="en-GB"/>
        </w:rPr>
      </w:pPr>
    </w:p>
    <w:p w14:paraId="2807C0F0" w14:textId="77777777" w:rsidR="00816733" w:rsidRDefault="00816733" w:rsidP="00B002AC">
      <w:pPr>
        <w:rPr>
          <w:rFonts w:ascii="Arial" w:eastAsia="Times New Roman" w:hAnsi="Arial" w:cs="Arial"/>
          <w:color w:val="1E1E1E"/>
          <w:kern w:val="36"/>
          <w:sz w:val="24"/>
          <w:szCs w:val="24"/>
          <w:lang w:eastAsia="en-GB"/>
        </w:rPr>
      </w:pPr>
    </w:p>
    <w:p w14:paraId="1E9D6E23" w14:textId="77777777" w:rsidR="00816733" w:rsidRDefault="00816733" w:rsidP="00B002AC">
      <w:pPr>
        <w:rPr>
          <w:rFonts w:ascii="Arial" w:eastAsia="Times New Roman" w:hAnsi="Arial" w:cs="Arial"/>
          <w:color w:val="1E1E1E"/>
          <w:kern w:val="36"/>
          <w:sz w:val="24"/>
          <w:szCs w:val="24"/>
          <w:lang w:eastAsia="en-GB"/>
        </w:rPr>
      </w:pPr>
    </w:p>
    <w:p w14:paraId="704AF1FD" w14:textId="77777777" w:rsidR="00816733" w:rsidRDefault="00816733" w:rsidP="00B002AC">
      <w:pPr>
        <w:rPr>
          <w:rFonts w:ascii="Arial" w:eastAsia="Times New Roman" w:hAnsi="Arial" w:cs="Arial"/>
          <w:color w:val="1E1E1E"/>
          <w:kern w:val="36"/>
          <w:sz w:val="24"/>
          <w:szCs w:val="24"/>
          <w:lang w:eastAsia="en-GB"/>
        </w:rPr>
      </w:pPr>
    </w:p>
    <w:p w14:paraId="55B7CBD2" w14:textId="77777777" w:rsidR="00816733" w:rsidRDefault="00816733" w:rsidP="00B002AC">
      <w:pPr>
        <w:rPr>
          <w:rFonts w:ascii="Arial" w:eastAsia="Times New Roman" w:hAnsi="Arial" w:cs="Arial"/>
          <w:color w:val="1E1E1E"/>
          <w:kern w:val="36"/>
          <w:sz w:val="24"/>
          <w:szCs w:val="24"/>
          <w:lang w:eastAsia="en-GB"/>
        </w:rPr>
      </w:pPr>
    </w:p>
    <w:p w14:paraId="006FA481" w14:textId="77777777" w:rsidR="00FA2CFF" w:rsidRDefault="00FA2CFF" w:rsidP="00B002AC">
      <w:pPr>
        <w:rPr>
          <w:rFonts w:ascii="Arial" w:eastAsia="Times New Roman" w:hAnsi="Arial" w:cs="Arial"/>
          <w:color w:val="1E1E1E"/>
          <w:kern w:val="36"/>
          <w:sz w:val="24"/>
          <w:szCs w:val="24"/>
          <w:lang w:eastAsia="en-GB"/>
        </w:rPr>
      </w:pPr>
    </w:p>
    <w:p w14:paraId="4AF1646A" w14:textId="77777777" w:rsidR="00CA0357" w:rsidRDefault="00CA0357" w:rsidP="00B002AC">
      <w:pPr>
        <w:rPr>
          <w:rFonts w:ascii="Arial" w:eastAsia="Times New Roman" w:hAnsi="Arial" w:cs="Arial"/>
          <w:color w:val="1E1E1E"/>
          <w:kern w:val="36"/>
          <w:sz w:val="24"/>
          <w:szCs w:val="24"/>
          <w:u w:val="single"/>
          <w:lang w:eastAsia="en-GB"/>
        </w:rPr>
      </w:pPr>
    </w:p>
    <w:p w14:paraId="63E4CB75" w14:textId="77777777" w:rsidR="00CA0357" w:rsidRDefault="00CA0357" w:rsidP="00B002AC">
      <w:pPr>
        <w:rPr>
          <w:rFonts w:ascii="Arial" w:eastAsia="Times New Roman" w:hAnsi="Arial" w:cs="Arial"/>
          <w:color w:val="1E1E1E"/>
          <w:kern w:val="36"/>
          <w:sz w:val="24"/>
          <w:szCs w:val="24"/>
          <w:u w:val="single"/>
          <w:lang w:eastAsia="en-GB"/>
        </w:rPr>
      </w:pPr>
    </w:p>
    <w:p w14:paraId="48767902" w14:textId="77777777" w:rsidR="00CA0357" w:rsidRDefault="00CA0357" w:rsidP="00B002AC">
      <w:pPr>
        <w:rPr>
          <w:rFonts w:ascii="Arial" w:eastAsia="Times New Roman" w:hAnsi="Arial" w:cs="Arial"/>
          <w:color w:val="1E1E1E"/>
          <w:kern w:val="36"/>
          <w:sz w:val="24"/>
          <w:szCs w:val="24"/>
          <w:u w:val="single"/>
          <w:lang w:eastAsia="en-GB"/>
        </w:rPr>
      </w:pPr>
    </w:p>
    <w:p w14:paraId="55AB92A8" w14:textId="040D1128" w:rsidR="00FA2CFF" w:rsidRPr="00FA2CFF" w:rsidRDefault="00FA2CFF" w:rsidP="00B002AC">
      <w:pPr>
        <w:rPr>
          <w:rFonts w:ascii="Arial" w:eastAsia="Times New Roman" w:hAnsi="Arial" w:cs="Arial"/>
          <w:color w:val="1E1E1E"/>
          <w:kern w:val="36"/>
          <w:sz w:val="24"/>
          <w:szCs w:val="24"/>
          <w:u w:val="single"/>
          <w:lang w:eastAsia="en-GB"/>
        </w:rPr>
      </w:pPr>
      <w:r w:rsidRPr="00FA2CFF">
        <w:rPr>
          <w:rFonts w:ascii="Arial" w:eastAsia="Times New Roman" w:hAnsi="Arial" w:cs="Arial"/>
          <w:color w:val="1E1E1E"/>
          <w:kern w:val="36"/>
          <w:sz w:val="24"/>
          <w:szCs w:val="24"/>
          <w:u w:val="single"/>
          <w:lang w:eastAsia="en-GB"/>
        </w:rPr>
        <w:lastRenderedPageBreak/>
        <w:t>Case Law</w:t>
      </w:r>
    </w:p>
    <w:p w14:paraId="7DA37BAA" w14:textId="77777777" w:rsidR="00FA2CFF" w:rsidRDefault="00FA2CFF" w:rsidP="00B002AC">
      <w:pPr>
        <w:rPr>
          <w:rFonts w:ascii="Arial" w:eastAsia="Times New Roman" w:hAnsi="Arial" w:cs="Arial"/>
          <w:color w:val="1E1E1E"/>
          <w:kern w:val="36"/>
          <w:sz w:val="24"/>
          <w:szCs w:val="24"/>
          <w:lang w:eastAsia="en-GB"/>
        </w:rPr>
      </w:pPr>
    </w:p>
    <w:p w14:paraId="504415EC" w14:textId="77777777" w:rsidR="00CA0357" w:rsidRDefault="00CA0357" w:rsidP="00B002AC">
      <w:pPr>
        <w:rPr>
          <w:rFonts w:ascii="Arial" w:eastAsia="Times New Roman" w:hAnsi="Arial" w:cs="Arial"/>
          <w:color w:val="1E1E1E"/>
          <w:kern w:val="36"/>
          <w:sz w:val="24"/>
          <w:szCs w:val="24"/>
          <w:lang w:eastAsia="en-GB"/>
        </w:rPr>
      </w:pPr>
    </w:p>
    <w:p w14:paraId="792CA940" w14:textId="2EE2DCF9" w:rsidR="00CA0357" w:rsidRPr="00F71557" w:rsidRDefault="00CA0357" w:rsidP="00B002AC">
      <w:pPr>
        <w:rPr>
          <w:rFonts w:ascii="Arial" w:hAnsi="Arial" w:cs="Arial"/>
          <w:sz w:val="24"/>
          <w:szCs w:val="24"/>
        </w:rPr>
      </w:pPr>
      <w:r w:rsidRPr="00EF25F3">
        <w:rPr>
          <w:rFonts w:ascii="Arial" w:eastAsia="Times New Roman" w:hAnsi="Arial" w:cs="Arial"/>
          <w:color w:val="1E1E1E"/>
          <w:kern w:val="36"/>
          <w:sz w:val="24"/>
          <w:szCs w:val="24"/>
          <w:lang w:eastAsia="en-GB"/>
        </w:rPr>
        <w:t>Criminal Justice Act 1988</w:t>
      </w:r>
      <w:r>
        <w:rPr>
          <w:rFonts w:ascii="Arial" w:eastAsia="Times New Roman" w:hAnsi="Arial" w:cs="Arial"/>
          <w:color w:val="1E1E1E"/>
          <w:kern w:val="36"/>
          <w:sz w:val="24"/>
          <w:szCs w:val="24"/>
          <w:lang w:eastAsia="en-GB"/>
        </w:rPr>
        <w:t>. c.33 Available at:</w:t>
      </w:r>
      <w:r w:rsidRPr="00B002AC">
        <w:rPr>
          <w:rFonts w:ascii="Arial" w:hAnsi="Arial" w:cs="Arial"/>
          <w:sz w:val="24"/>
          <w:szCs w:val="24"/>
        </w:rPr>
        <w:t xml:space="preserve"> </w:t>
      </w:r>
      <w:hyperlink r:id="rId18" w:anchor=":~:text=39%20Common%20assault%20and%20battery%20to%20be%20summary,term%20not%20exceeding%20six%20months%2C%20or%20to%20both." w:history="1">
        <w:r w:rsidRPr="00F71557">
          <w:rPr>
            <w:rStyle w:val="Hyperlink"/>
            <w:rFonts w:ascii="Arial" w:hAnsi="Arial" w:cs="Arial"/>
            <w:sz w:val="24"/>
            <w:szCs w:val="24"/>
          </w:rPr>
          <w:t>Criminal Justice Act 1988 (legislation.gov.uk)</w:t>
        </w:r>
      </w:hyperlink>
      <w:r>
        <w:rPr>
          <w:rFonts w:ascii="Arial" w:hAnsi="Arial" w:cs="Arial"/>
          <w:sz w:val="24"/>
          <w:szCs w:val="24"/>
        </w:rPr>
        <w:t xml:space="preserve"> (Accessed: March 2024).</w:t>
      </w:r>
    </w:p>
    <w:p w14:paraId="17141918" w14:textId="77777777" w:rsidR="00CA0357" w:rsidRDefault="00CA0357" w:rsidP="00B002AC">
      <w:pPr>
        <w:shd w:val="clear" w:color="auto" w:fill="FFFFFF"/>
        <w:spacing w:after="0" w:line="288" w:lineRule="atLeast"/>
        <w:outlineLvl w:val="0"/>
        <w:rPr>
          <w:rFonts w:ascii="Arial" w:eastAsia="Times New Roman" w:hAnsi="Arial" w:cs="Arial"/>
          <w:color w:val="1E1E1E"/>
          <w:kern w:val="36"/>
          <w:sz w:val="24"/>
          <w:szCs w:val="24"/>
          <w:lang w:eastAsia="en-GB"/>
        </w:rPr>
      </w:pPr>
    </w:p>
    <w:p w14:paraId="7B3EE1E5" w14:textId="77777777" w:rsidR="00CA0357" w:rsidRDefault="00CA0357" w:rsidP="00B002AC">
      <w:pPr>
        <w:shd w:val="clear" w:color="auto" w:fill="FFFFFF"/>
        <w:spacing w:after="0" w:line="288" w:lineRule="atLeast"/>
        <w:outlineLvl w:val="0"/>
        <w:rPr>
          <w:rFonts w:ascii="Arial" w:eastAsia="Times New Roman" w:hAnsi="Arial" w:cs="Arial"/>
          <w:color w:val="1E1E1E"/>
          <w:kern w:val="36"/>
          <w:sz w:val="24"/>
          <w:szCs w:val="24"/>
          <w:lang w:eastAsia="en-GB"/>
        </w:rPr>
      </w:pPr>
    </w:p>
    <w:p w14:paraId="4165EF31" w14:textId="79137A11" w:rsidR="00CA0357" w:rsidRPr="00B002AC" w:rsidRDefault="00CA0357" w:rsidP="00B002AC">
      <w:pPr>
        <w:shd w:val="clear" w:color="auto" w:fill="FFFFFF"/>
        <w:spacing w:after="0" w:line="288" w:lineRule="atLeast"/>
        <w:outlineLvl w:val="0"/>
        <w:rPr>
          <w:rFonts w:ascii="Arial" w:eastAsia="Times New Roman" w:hAnsi="Arial" w:cs="Arial"/>
          <w:color w:val="1E1E1E"/>
          <w:kern w:val="36"/>
          <w:sz w:val="24"/>
          <w:szCs w:val="24"/>
          <w:lang w:eastAsia="en-GB"/>
        </w:rPr>
      </w:pPr>
      <w:r w:rsidRPr="00AD6D18">
        <w:rPr>
          <w:rFonts w:ascii="Arial" w:eastAsia="Times New Roman" w:hAnsi="Arial" w:cs="Arial"/>
          <w:color w:val="1E1E1E"/>
          <w:kern w:val="36"/>
          <w:sz w:val="24"/>
          <w:szCs w:val="24"/>
          <w:lang w:eastAsia="en-GB"/>
        </w:rPr>
        <w:t>Criminal Justice Act 1988</w:t>
      </w:r>
      <w:r>
        <w:rPr>
          <w:rFonts w:ascii="Arial" w:eastAsia="Times New Roman" w:hAnsi="Arial" w:cs="Arial"/>
          <w:color w:val="1E1E1E"/>
          <w:kern w:val="36"/>
          <w:sz w:val="24"/>
          <w:szCs w:val="24"/>
          <w:lang w:eastAsia="en-GB"/>
        </w:rPr>
        <w:t xml:space="preserve">. c.33. Available at: </w:t>
      </w:r>
      <w:hyperlink r:id="rId19" w:history="1">
        <w:r w:rsidRPr="00F71557">
          <w:rPr>
            <w:rStyle w:val="Hyperlink"/>
            <w:rFonts w:ascii="Arial" w:hAnsi="Arial" w:cs="Arial"/>
            <w:sz w:val="24"/>
            <w:szCs w:val="24"/>
          </w:rPr>
          <w:t>Criminal Justice Act 1988 (legislation.gov.uk)</w:t>
        </w:r>
      </w:hyperlink>
      <w:r>
        <w:rPr>
          <w:rFonts w:ascii="Arial" w:hAnsi="Arial" w:cs="Arial"/>
          <w:sz w:val="24"/>
          <w:szCs w:val="24"/>
        </w:rPr>
        <w:t xml:space="preserve"> (Accessed: March 2024).</w:t>
      </w:r>
    </w:p>
    <w:p w14:paraId="12B0F4B7" w14:textId="77777777" w:rsidR="00CA0357" w:rsidRDefault="00CA0357" w:rsidP="00B333A8">
      <w:pPr>
        <w:shd w:val="clear" w:color="auto" w:fill="FFFFFF"/>
        <w:spacing w:after="0" w:line="288" w:lineRule="atLeast"/>
        <w:outlineLvl w:val="0"/>
        <w:rPr>
          <w:rFonts w:ascii="Arial" w:eastAsia="Times New Roman" w:hAnsi="Arial" w:cs="Arial"/>
          <w:color w:val="1E1E1E"/>
          <w:kern w:val="36"/>
          <w:sz w:val="24"/>
          <w:szCs w:val="24"/>
          <w:lang w:eastAsia="en-GB"/>
        </w:rPr>
      </w:pPr>
    </w:p>
    <w:p w14:paraId="4B277787" w14:textId="77777777" w:rsidR="00CA0357" w:rsidRDefault="00CA0357" w:rsidP="00B333A8">
      <w:pPr>
        <w:shd w:val="clear" w:color="auto" w:fill="FFFFFF"/>
        <w:spacing w:after="0" w:line="288" w:lineRule="atLeast"/>
        <w:outlineLvl w:val="0"/>
        <w:rPr>
          <w:rFonts w:ascii="Arial" w:eastAsia="Times New Roman" w:hAnsi="Arial" w:cs="Arial"/>
          <w:color w:val="1E1E1E"/>
          <w:kern w:val="36"/>
          <w:sz w:val="24"/>
          <w:szCs w:val="24"/>
          <w:lang w:eastAsia="en-GB"/>
        </w:rPr>
      </w:pPr>
    </w:p>
    <w:p w14:paraId="7E95F6D9" w14:textId="29A8C8AE" w:rsidR="00CA0357" w:rsidRPr="00B333A8" w:rsidRDefault="00CA0357" w:rsidP="00B333A8">
      <w:pPr>
        <w:shd w:val="clear" w:color="auto" w:fill="FFFFFF"/>
        <w:spacing w:after="0" w:line="288" w:lineRule="atLeast"/>
        <w:outlineLvl w:val="0"/>
        <w:rPr>
          <w:rFonts w:ascii="Arial" w:eastAsia="Times New Roman" w:hAnsi="Arial" w:cs="Arial"/>
          <w:color w:val="1E1E1E"/>
          <w:kern w:val="36"/>
          <w:sz w:val="24"/>
          <w:szCs w:val="24"/>
          <w:lang w:eastAsia="en-GB"/>
        </w:rPr>
      </w:pPr>
      <w:r w:rsidRPr="00192952">
        <w:rPr>
          <w:rFonts w:ascii="Arial" w:eastAsia="Times New Roman" w:hAnsi="Arial" w:cs="Arial"/>
          <w:color w:val="1E1E1E"/>
          <w:kern w:val="36"/>
          <w:sz w:val="24"/>
          <w:szCs w:val="24"/>
          <w:lang w:eastAsia="en-GB"/>
        </w:rPr>
        <w:t>Criminal Justice Act 1988</w:t>
      </w:r>
      <w:r>
        <w:rPr>
          <w:rFonts w:ascii="Arial" w:eastAsia="Times New Roman" w:hAnsi="Arial" w:cs="Arial"/>
          <w:color w:val="1E1E1E"/>
          <w:kern w:val="36"/>
          <w:sz w:val="24"/>
          <w:szCs w:val="24"/>
          <w:lang w:eastAsia="en-GB"/>
        </w:rPr>
        <w:t xml:space="preserve">. c.33. Available at: </w:t>
      </w:r>
      <w:hyperlink r:id="rId20" w:history="1">
        <w:r w:rsidRPr="00F71557">
          <w:rPr>
            <w:rStyle w:val="Hyperlink"/>
            <w:rFonts w:ascii="Arial" w:hAnsi="Arial" w:cs="Arial"/>
            <w:sz w:val="24"/>
            <w:szCs w:val="24"/>
          </w:rPr>
          <w:t>Criminal Justice Act 1988 (legislation.gov.uk)</w:t>
        </w:r>
      </w:hyperlink>
      <w:r>
        <w:rPr>
          <w:rFonts w:ascii="Arial" w:hAnsi="Arial" w:cs="Arial"/>
          <w:sz w:val="24"/>
          <w:szCs w:val="24"/>
        </w:rPr>
        <w:t xml:space="preserve"> (Accessed: March 2024).</w:t>
      </w:r>
    </w:p>
    <w:p w14:paraId="4E473429" w14:textId="77777777" w:rsidR="00CA0357" w:rsidRDefault="00CA0357" w:rsidP="00B002AC">
      <w:pPr>
        <w:rPr>
          <w:rFonts w:ascii="Arial" w:eastAsia="Times New Roman" w:hAnsi="Arial" w:cs="Arial"/>
          <w:color w:val="1E1E1E"/>
          <w:kern w:val="36"/>
          <w:sz w:val="24"/>
          <w:szCs w:val="24"/>
          <w:lang w:eastAsia="en-GB"/>
        </w:rPr>
      </w:pPr>
    </w:p>
    <w:p w14:paraId="1531C1EE" w14:textId="77777777" w:rsidR="00CA0357" w:rsidRDefault="00CA0357" w:rsidP="00B002AC">
      <w:pPr>
        <w:rPr>
          <w:rFonts w:ascii="Arial" w:eastAsia="Times New Roman" w:hAnsi="Arial" w:cs="Arial"/>
          <w:color w:val="1E1E1E"/>
          <w:kern w:val="36"/>
          <w:sz w:val="24"/>
          <w:szCs w:val="24"/>
          <w:lang w:eastAsia="en-GB"/>
        </w:rPr>
      </w:pPr>
    </w:p>
    <w:p w14:paraId="5A2BF10B" w14:textId="1CA8DCF7" w:rsidR="00CA0357" w:rsidRPr="00F71557" w:rsidRDefault="00CA0357" w:rsidP="00B002AC">
      <w:pPr>
        <w:rPr>
          <w:rFonts w:ascii="Arial" w:hAnsi="Arial" w:cs="Arial"/>
          <w:sz w:val="24"/>
          <w:szCs w:val="24"/>
        </w:rPr>
      </w:pPr>
      <w:r w:rsidRPr="001B55A0">
        <w:rPr>
          <w:rFonts w:ascii="Arial" w:eastAsia="Times New Roman" w:hAnsi="Arial" w:cs="Arial"/>
          <w:color w:val="1E1E1E"/>
          <w:kern w:val="36"/>
          <w:sz w:val="24"/>
          <w:szCs w:val="24"/>
          <w:lang w:eastAsia="en-GB"/>
        </w:rPr>
        <w:t>Offences against the Person Act 1861</w:t>
      </w:r>
      <w:r>
        <w:rPr>
          <w:rFonts w:ascii="Arial" w:eastAsia="Times New Roman" w:hAnsi="Arial" w:cs="Arial"/>
          <w:color w:val="1E1E1E"/>
          <w:kern w:val="36"/>
          <w:sz w:val="24"/>
          <w:szCs w:val="24"/>
          <w:lang w:eastAsia="en-GB"/>
        </w:rPr>
        <w:t xml:space="preserve">. c.100. Available at: </w:t>
      </w:r>
      <w:hyperlink r:id="rId21" w:history="1">
        <w:r w:rsidRPr="00F71557">
          <w:rPr>
            <w:rStyle w:val="Hyperlink"/>
            <w:rFonts w:ascii="Arial" w:hAnsi="Arial" w:cs="Arial"/>
            <w:sz w:val="24"/>
            <w:szCs w:val="24"/>
          </w:rPr>
          <w:t>Offences against the Person Act 1861 (legislation.gov.uk)</w:t>
        </w:r>
      </w:hyperlink>
      <w:r>
        <w:rPr>
          <w:rFonts w:ascii="Arial" w:hAnsi="Arial" w:cs="Arial"/>
          <w:sz w:val="24"/>
          <w:szCs w:val="24"/>
        </w:rPr>
        <w:t xml:space="preserve"> (Accessed: March 2024).</w:t>
      </w:r>
    </w:p>
    <w:p w14:paraId="50329629" w14:textId="77777777" w:rsidR="000E7EFA" w:rsidRPr="00F71557" w:rsidRDefault="000E7EFA" w:rsidP="00702B49">
      <w:pPr>
        <w:rPr>
          <w:rFonts w:ascii="Arial" w:hAnsi="Arial" w:cs="Arial"/>
          <w:sz w:val="24"/>
          <w:szCs w:val="24"/>
        </w:rPr>
      </w:pPr>
      <w:bookmarkStart w:id="2" w:name="_Hlk160888260"/>
    </w:p>
    <w:bookmarkEnd w:id="2"/>
    <w:p w14:paraId="7D27CABE" w14:textId="77777777" w:rsidR="000E7EFA" w:rsidRPr="00F71557" w:rsidRDefault="000E7EFA" w:rsidP="00702B49">
      <w:pPr>
        <w:rPr>
          <w:rFonts w:ascii="Arial" w:hAnsi="Arial" w:cs="Arial"/>
          <w:sz w:val="24"/>
          <w:szCs w:val="24"/>
        </w:rPr>
      </w:pPr>
    </w:p>
    <w:p w14:paraId="1CD860E5" w14:textId="77777777" w:rsidR="00AB21F2" w:rsidRPr="00F71557" w:rsidRDefault="00AB21F2" w:rsidP="00AB21F2">
      <w:pPr>
        <w:rPr>
          <w:rFonts w:ascii="Arial" w:hAnsi="Arial" w:cs="Arial"/>
          <w:sz w:val="24"/>
          <w:szCs w:val="24"/>
        </w:rPr>
      </w:pPr>
      <w:bookmarkStart w:id="3" w:name="_Hlk160888364"/>
    </w:p>
    <w:bookmarkEnd w:id="3"/>
    <w:p w14:paraId="7A0F2BDE" w14:textId="77777777" w:rsidR="00AB21F2" w:rsidRPr="00F71557" w:rsidRDefault="00AB21F2" w:rsidP="00AB21F2">
      <w:pPr>
        <w:rPr>
          <w:rFonts w:ascii="Arial" w:hAnsi="Arial" w:cs="Arial"/>
          <w:sz w:val="24"/>
          <w:szCs w:val="24"/>
        </w:rPr>
      </w:pPr>
    </w:p>
    <w:p w14:paraId="6F2B5E79" w14:textId="3CF199CB" w:rsidR="00637ECA" w:rsidRPr="00F71557" w:rsidRDefault="00B333A8" w:rsidP="00AB21F2">
      <w:pPr>
        <w:rPr>
          <w:rFonts w:ascii="Arial" w:hAnsi="Arial" w:cs="Arial"/>
          <w:sz w:val="24"/>
          <w:szCs w:val="24"/>
        </w:rPr>
      </w:pPr>
      <w:r>
        <w:rPr>
          <w:rFonts w:ascii="Arial" w:hAnsi="Arial" w:cs="Arial"/>
          <w:sz w:val="24"/>
          <w:szCs w:val="24"/>
        </w:rPr>
        <w:t xml:space="preserve"> </w:t>
      </w:r>
    </w:p>
    <w:sectPr w:rsidR="00637ECA" w:rsidRPr="00F71557" w:rsidSect="00A46B5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318519" w14:textId="77777777" w:rsidR="00596768" w:rsidRDefault="00596768" w:rsidP="00596768">
      <w:pPr>
        <w:spacing w:after="0" w:line="240" w:lineRule="auto"/>
      </w:pPr>
      <w:r>
        <w:separator/>
      </w:r>
    </w:p>
  </w:endnote>
  <w:endnote w:type="continuationSeparator" w:id="0">
    <w:p w14:paraId="6217B8D2" w14:textId="77777777" w:rsidR="00596768" w:rsidRDefault="00596768" w:rsidP="00596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49BE0" w14:textId="77777777" w:rsidR="00596768" w:rsidRDefault="00596768">
    <w:pPr>
      <w:pStyle w:val="Footer"/>
    </w:pPr>
  </w:p>
  <w:p w14:paraId="72B4821B" w14:textId="77777777" w:rsidR="00BD5A40" w:rsidRDefault="00BD5A40">
    <w:pPr>
      <w:pStyle w:val="Footer"/>
    </w:pPr>
  </w:p>
  <w:p w14:paraId="4981356C" w14:textId="77777777" w:rsidR="00BD5A40" w:rsidRDefault="00BD5A40">
    <w:pPr>
      <w:pStyle w:val="Footer"/>
    </w:pPr>
  </w:p>
  <w:p w14:paraId="6B5A177E" w14:textId="77777777" w:rsidR="00BD5A40" w:rsidRDefault="00BD5A40">
    <w:pPr>
      <w:pStyle w:val="Footer"/>
    </w:pPr>
  </w:p>
  <w:p w14:paraId="23E776F8" w14:textId="77777777" w:rsidR="00BD5A40" w:rsidRDefault="00BD5A40">
    <w:pPr>
      <w:pStyle w:val="Footer"/>
    </w:pPr>
  </w:p>
  <w:p w14:paraId="0431B050" w14:textId="77777777" w:rsidR="00BD5A40" w:rsidRDefault="00BD5A40">
    <w:pPr>
      <w:pStyle w:val="Footer"/>
    </w:pPr>
  </w:p>
  <w:p w14:paraId="66E7B9E6" w14:textId="77777777" w:rsidR="00BD5A40" w:rsidRDefault="00BD5A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1A19E" w14:textId="77777777" w:rsidR="00596768" w:rsidRDefault="00596768" w:rsidP="00596768">
      <w:pPr>
        <w:spacing w:after="0" w:line="240" w:lineRule="auto"/>
      </w:pPr>
      <w:r>
        <w:separator/>
      </w:r>
    </w:p>
  </w:footnote>
  <w:footnote w:type="continuationSeparator" w:id="0">
    <w:p w14:paraId="120D67B5" w14:textId="77777777" w:rsidR="00596768" w:rsidRDefault="00596768" w:rsidP="005967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DC319C"/>
    <w:multiLevelType w:val="multilevel"/>
    <w:tmpl w:val="BABEBCA8"/>
    <w:lvl w:ilvl="0">
      <w:start w:val="1"/>
      <w:numFmt w:val="bullet"/>
      <w:lvlText w:val=""/>
      <w:lvlJc w:val="left"/>
      <w:pPr>
        <w:tabs>
          <w:tab w:val="num" w:pos="1069"/>
        </w:tabs>
        <w:ind w:left="1069" w:hanging="360"/>
      </w:pPr>
      <w:rPr>
        <w:rFonts w:ascii="Symbol" w:hAnsi="Symbol" w:hint="default"/>
        <w:sz w:val="20"/>
      </w:rPr>
    </w:lvl>
    <w:lvl w:ilvl="1" w:tentative="1">
      <w:start w:val="1"/>
      <w:numFmt w:val="bullet"/>
      <w:lvlText w:val="o"/>
      <w:lvlJc w:val="left"/>
      <w:pPr>
        <w:tabs>
          <w:tab w:val="num" w:pos="1789"/>
        </w:tabs>
        <w:ind w:left="1789" w:hanging="360"/>
      </w:pPr>
      <w:rPr>
        <w:rFonts w:ascii="Courier New" w:hAnsi="Courier New" w:hint="default"/>
        <w:sz w:val="20"/>
      </w:rPr>
    </w:lvl>
    <w:lvl w:ilvl="2" w:tentative="1">
      <w:start w:val="1"/>
      <w:numFmt w:val="bullet"/>
      <w:lvlText w:val=""/>
      <w:lvlJc w:val="left"/>
      <w:pPr>
        <w:tabs>
          <w:tab w:val="num" w:pos="2509"/>
        </w:tabs>
        <w:ind w:left="2509" w:hanging="360"/>
      </w:pPr>
      <w:rPr>
        <w:rFonts w:ascii="Wingdings" w:hAnsi="Wingdings" w:hint="default"/>
        <w:sz w:val="20"/>
      </w:rPr>
    </w:lvl>
    <w:lvl w:ilvl="3" w:tentative="1">
      <w:start w:val="1"/>
      <w:numFmt w:val="bullet"/>
      <w:lvlText w:val=""/>
      <w:lvlJc w:val="left"/>
      <w:pPr>
        <w:tabs>
          <w:tab w:val="num" w:pos="3229"/>
        </w:tabs>
        <w:ind w:left="3229" w:hanging="360"/>
      </w:pPr>
      <w:rPr>
        <w:rFonts w:ascii="Wingdings" w:hAnsi="Wingdings" w:hint="default"/>
        <w:sz w:val="20"/>
      </w:rPr>
    </w:lvl>
    <w:lvl w:ilvl="4" w:tentative="1">
      <w:start w:val="1"/>
      <w:numFmt w:val="bullet"/>
      <w:lvlText w:val=""/>
      <w:lvlJc w:val="left"/>
      <w:pPr>
        <w:tabs>
          <w:tab w:val="num" w:pos="3949"/>
        </w:tabs>
        <w:ind w:left="3949" w:hanging="360"/>
      </w:pPr>
      <w:rPr>
        <w:rFonts w:ascii="Wingdings" w:hAnsi="Wingdings" w:hint="default"/>
        <w:sz w:val="20"/>
      </w:rPr>
    </w:lvl>
    <w:lvl w:ilvl="5" w:tentative="1">
      <w:start w:val="1"/>
      <w:numFmt w:val="bullet"/>
      <w:lvlText w:val=""/>
      <w:lvlJc w:val="left"/>
      <w:pPr>
        <w:tabs>
          <w:tab w:val="num" w:pos="4669"/>
        </w:tabs>
        <w:ind w:left="4669" w:hanging="360"/>
      </w:pPr>
      <w:rPr>
        <w:rFonts w:ascii="Wingdings" w:hAnsi="Wingdings" w:hint="default"/>
        <w:sz w:val="20"/>
      </w:rPr>
    </w:lvl>
    <w:lvl w:ilvl="6" w:tentative="1">
      <w:start w:val="1"/>
      <w:numFmt w:val="bullet"/>
      <w:lvlText w:val=""/>
      <w:lvlJc w:val="left"/>
      <w:pPr>
        <w:tabs>
          <w:tab w:val="num" w:pos="5389"/>
        </w:tabs>
        <w:ind w:left="5389" w:hanging="360"/>
      </w:pPr>
      <w:rPr>
        <w:rFonts w:ascii="Wingdings" w:hAnsi="Wingdings" w:hint="default"/>
        <w:sz w:val="20"/>
      </w:rPr>
    </w:lvl>
    <w:lvl w:ilvl="7" w:tentative="1">
      <w:start w:val="1"/>
      <w:numFmt w:val="bullet"/>
      <w:lvlText w:val=""/>
      <w:lvlJc w:val="left"/>
      <w:pPr>
        <w:tabs>
          <w:tab w:val="num" w:pos="6109"/>
        </w:tabs>
        <w:ind w:left="6109" w:hanging="360"/>
      </w:pPr>
      <w:rPr>
        <w:rFonts w:ascii="Wingdings" w:hAnsi="Wingdings" w:hint="default"/>
        <w:sz w:val="20"/>
      </w:rPr>
    </w:lvl>
    <w:lvl w:ilvl="8" w:tentative="1">
      <w:start w:val="1"/>
      <w:numFmt w:val="bullet"/>
      <w:lvlText w:val=""/>
      <w:lvlJc w:val="left"/>
      <w:pPr>
        <w:tabs>
          <w:tab w:val="num" w:pos="6829"/>
        </w:tabs>
        <w:ind w:left="6829" w:hanging="360"/>
      </w:pPr>
      <w:rPr>
        <w:rFonts w:ascii="Wingdings" w:hAnsi="Wingdings" w:hint="default"/>
        <w:sz w:val="20"/>
      </w:rPr>
    </w:lvl>
  </w:abstractNum>
  <w:abstractNum w:abstractNumId="1" w15:restartNumberingAfterBreak="0">
    <w:nsid w:val="221D7B6F"/>
    <w:multiLevelType w:val="multilevel"/>
    <w:tmpl w:val="3B0CA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2250E7"/>
    <w:multiLevelType w:val="multilevel"/>
    <w:tmpl w:val="FAF8C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A8322F"/>
    <w:multiLevelType w:val="multilevel"/>
    <w:tmpl w:val="C63C7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C673A8"/>
    <w:multiLevelType w:val="multilevel"/>
    <w:tmpl w:val="79926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721821"/>
    <w:multiLevelType w:val="multilevel"/>
    <w:tmpl w:val="9E98C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CD1024"/>
    <w:multiLevelType w:val="multilevel"/>
    <w:tmpl w:val="DA4AE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573C89"/>
    <w:multiLevelType w:val="multilevel"/>
    <w:tmpl w:val="18F24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4795308">
    <w:abstractNumId w:val="1"/>
  </w:num>
  <w:num w:numId="2" w16cid:durableId="647562741">
    <w:abstractNumId w:val="4"/>
  </w:num>
  <w:num w:numId="3" w16cid:durableId="108476606">
    <w:abstractNumId w:val="0"/>
  </w:num>
  <w:num w:numId="4" w16cid:durableId="1375421119">
    <w:abstractNumId w:val="6"/>
  </w:num>
  <w:num w:numId="5" w16cid:durableId="876964108">
    <w:abstractNumId w:val="2"/>
  </w:num>
  <w:num w:numId="6" w16cid:durableId="896010468">
    <w:abstractNumId w:val="7"/>
  </w:num>
  <w:num w:numId="7" w16cid:durableId="1838032133">
    <w:abstractNumId w:val="3"/>
  </w:num>
  <w:num w:numId="8" w16cid:durableId="13871012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B51"/>
    <w:rsid w:val="00057E68"/>
    <w:rsid w:val="0006770D"/>
    <w:rsid w:val="000C6212"/>
    <w:rsid w:val="000D7151"/>
    <w:rsid w:val="000E0007"/>
    <w:rsid w:val="000E7EFA"/>
    <w:rsid w:val="000F063F"/>
    <w:rsid w:val="001022A8"/>
    <w:rsid w:val="00141289"/>
    <w:rsid w:val="001577C5"/>
    <w:rsid w:val="00162951"/>
    <w:rsid w:val="00162A62"/>
    <w:rsid w:val="00185014"/>
    <w:rsid w:val="001870C4"/>
    <w:rsid w:val="00192952"/>
    <w:rsid w:val="001B55A0"/>
    <w:rsid w:val="001D6509"/>
    <w:rsid w:val="001E281F"/>
    <w:rsid w:val="001F3125"/>
    <w:rsid w:val="001F6F82"/>
    <w:rsid w:val="002022D5"/>
    <w:rsid w:val="0020275C"/>
    <w:rsid w:val="002314F5"/>
    <w:rsid w:val="002651CD"/>
    <w:rsid w:val="002C5AD2"/>
    <w:rsid w:val="002F20A2"/>
    <w:rsid w:val="0033151A"/>
    <w:rsid w:val="003501E8"/>
    <w:rsid w:val="00362C0B"/>
    <w:rsid w:val="003965FF"/>
    <w:rsid w:val="003F5920"/>
    <w:rsid w:val="00465EF2"/>
    <w:rsid w:val="00503171"/>
    <w:rsid w:val="0054290E"/>
    <w:rsid w:val="0056533B"/>
    <w:rsid w:val="00596768"/>
    <w:rsid w:val="005A0E2A"/>
    <w:rsid w:val="005A40A5"/>
    <w:rsid w:val="005B3F4E"/>
    <w:rsid w:val="005E45CF"/>
    <w:rsid w:val="00613E7C"/>
    <w:rsid w:val="00637ECA"/>
    <w:rsid w:val="00690503"/>
    <w:rsid w:val="00702B49"/>
    <w:rsid w:val="007049EB"/>
    <w:rsid w:val="00716DF0"/>
    <w:rsid w:val="00755C54"/>
    <w:rsid w:val="00756D58"/>
    <w:rsid w:val="00761C46"/>
    <w:rsid w:val="00767FB8"/>
    <w:rsid w:val="00771869"/>
    <w:rsid w:val="00772393"/>
    <w:rsid w:val="00774B6D"/>
    <w:rsid w:val="00816733"/>
    <w:rsid w:val="00817A81"/>
    <w:rsid w:val="00850767"/>
    <w:rsid w:val="00855B1E"/>
    <w:rsid w:val="008C6295"/>
    <w:rsid w:val="008F0199"/>
    <w:rsid w:val="009456F2"/>
    <w:rsid w:val="009468F9"/>
    <w:rsid w:val="00950C2B"/>
    <w:rsid w:val="0095374A"/>
    <w:rsid w:val="009559EC"/>
    <w:rsid w:val="00975158"/>
    <w:rsid w:val="009777DA"/>
    <w:rsid w:val="00990A1A"/>
    <w:rsid w:val="009A6E1C"/>
    <w:rsid w:val="00A46B51"/>
    <w:rsid w:val="00A7177F"/>
    <w:rsid w:val="00A86397"/>
    <w:rsid w:val="00AA4A41"/>
    <w:rsid w:val="00AA60EF"/>
    <w:rsid w:val="00AB21F2"/>
    <w:rsid w:val="00AD6D18"/>
    <w:rsid w:val="00B002AC"/>
    <w:rsid w:val="00B0578E"/>
    <w:rsid w:val="00B21407"/>
    <w:rsid w:val="00B225F4"/>
    <w:rsid w:val="00B30DAA"/>
    <w:rsid w:val="00B333A8"/>
    <w:rsid w:val="00B510B5"/>
    <w:rsid w:val="00B5556C"/>
    <w:rsid w:val="00B761AC"/>
    <w:rsid w:val="00B83AB1"/>
    <w:rsid w:val="00B97674"/>
    <w:rsid w:val="00BD5A40"/>
    <w:rsid w:val="00BD6A44"/>
    <w:rsid w:val="00C6514D"/>
    <w:rsid w:val="00C912E9"/>
    <w:rsid w:val="00CA0357"/>
    <w:rsid w:val="00CC7843"/>
    <w:rsid w:val="00CF7FE9"/>
    <w:rsid w:val="00D062B7"/>
    <w:rsid w:val="00D239B7"/>
    <w:rsid w:val="00D8267F"/>
    <w:rsid w:val="00DA1AE5"/>
    <w:rsid w:val="00DE1C6F"/>
    <w:rsid w:val="00DE24F5"/>
    <w:rsid w:val="00DE3955"/>
    <w:rsid w:val="00E0153B"/>
    <w:rsid w:val="00E16EF7"/>
    <w:rsid w:val="00E23A25"/>
    <w:rsid w:val="00E2753A"/>
    <w:rsid w:val="00E512A7"/>
    <w:rsid w:val="00EB6190"/>
    <w:rsid w:val="00EC315C"/>
    <w:rsid w:val="00ED02DC"/>
    <w:rsid w:val="00EF25F3"/>
    <w:rsid w:val="00F04435"/>
    <w:rsid w:val="00F05B44"/>
    <w:rsid w:val="00F71557"/>
    <w:rsid w:val="00F844E0"/>
    <w:rsid w:val="00FA2CFF"/>
    <w:rsid w:val="00FA614A"/>
    <w:rsid w:val="00FB1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89F0D"/>
  <w15:chartTrackingRefBased/>
  <w15:docId w15:val="{10DD2EBF-87F5-4F53-904D-622B7D0E2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6B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6B51"/>
    <w:rPr>
      <w:rFonts w:eastAsiaTheme="minorEastAsia"/>
      <w:lang w:val="en-US"/>
    </w:rPr>
  </w:style>
  <w:style w:type="character" w:styleId="Hyperlink">
    <w:name w:val="Hyperlink"/>
    <w:basedOn w:val="DefaultParagraphFont"/>
    <w:uiPriority w:val="99"/>
    <w:unhideWhenUsed/>
    <w:rsid w:val="00D8267F"/>
    <w:rPr>
      <w:color w:val="0000FF"/>
      <w:u w:val="single"/>
    </w:rPr>
  </w:style>
  <w:style w:type="paragraph" w:styleId="Header">
    <w:name w:val="header"/>
    <w:basedOn w:val="Normal"/>
    <w:link w:val="HeaderChar"/>
    <w:uiPriority w:val="99"/>
    <w:unhideWhenUsed/>
    <w:rsid w:val="005967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768"/>
  </w:style>
  <w:style w:type="paragraph" w:styleId="Footer">
    <w:name w:val="footer"/>
    <w:basedOn w:val="Normal"/>
    <w:link w:val="FooterChar"/>
    <w:uiPriority w:val="99"/>
    <w:unhideWhenUsed/>
    <w:rsid w:val="005967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768"/>
  </w:style>
  <w:style w:type="character" w:styleId="Strong">
    <w:name w:val="Strong"/>
    <w:basedOn w:val="DefaultParagraphFont"/>
    <w:uiPriority w:val="22"/>
    <w:qFormat/>
    <w:rsid w:val="00690503"/>
    <w:rPr>
      <w:b/>
      <w:bCs/>
    </w:rPr>
  </w:style>
  <w:style w:type="character" w:styleId="FollowedHyperlink">
    <w:name w:val="FollowedHyperlink"/>
    <w:basedOn w:val="DefaultParagraphFont"/>
    <w:uiPriority w:val="99"/>
    <w:semiHidden/>
    <w:unhideWhenUsed/>
    <w:rsid w:val="00AD6D18"/>
    <w:rPr>
      <w:color w:val="954F72" w:themeColor="followedHyperlink"/>
      <w:u w:val="single"/>
    </w:rPr>
  </w:style>
  <w:style w:type="paragraph" w:styleId="NormalWeb">
    <w:name w:val="Normal (Web)"/>
    <w:basedOn w:val="Normal"/>
    <w:uiPriority w:val="99"/>
    <w:semiHidden/>
    <w:unhideWhenUsed/>
    <w:rsid w:val="00CC78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30D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240562">
      <w:bodyDiv w:val="1"/>
      <w:marLeft w:val="0"/>
      <w:marRight w:val="0"/>
      <w:marTop w:val="0"/>
      <w:marBottom w:val="0"/>
      <w:divBdr>
        <w:top w:val="none" w:sz="0" w:space="0" w:color="auto"/>
        <w:left w:val="none" w:sz="0" w:space="0" w:color="auto"/>
        <w:bottom w:val="none" w:sz="0" w:space="0" w:color="auto"/>
        <w:right w:val="none" w:sz="0" w:space="0" w:color="auto"/>
      </w:divBdr>
      <w:divsChild>
        <w:div w:id="137109763">
          <w:marLeft w:val="0"/>
          <w:marRight w:val="0"/>
          <w:marTop w:val="120"/>
          <w:marBottom w:val="600"/>
          <w:divBdr>
            <w:top w:val="none" w:sz="0" w:space="0" w:color="auto"/>
            <w:left w:val="none" w:sz="0" w:space="0" w:color="auto"/>
            <w:bottom w:val="none" w:sz="0" w:space="0" w:color="auto"/>
            <w:right w:val="none" w:sz="0" w:space="0" w:color="auto"/>
          </w:divBdr>
        </w:div>
      </w:divsChild>
    </w:div>
    <w:div w:id="219824181">
      <w:bodyDiv w:val="1"/>
      <w:marLeft w:val="0"/>
      <w:marRight w:val="0"/>
      <w:marTop w:val="0"/>
      <w:marBottom w:val="0"/>
      <w:divBdr>
        <w:top w:val="none" w:sz="0" w:space="0" w:color="auto"/>
        <w:left w:val="none" w:sz="0" w:space="0" w:color="auto"/>
        <w:bottom w:val="none" w:sz="0" w:space="0" w:color="auto"/>
        <w:right w:val="none" w:sz="0" w:space="0" w:color="auto"/>
      </w:divBdr>
      <w:divsChild>
        <w:div w:id="227229484">
          <w:marLeft w:val="0"/>
          <w:marRight w:val="0"/>
          <w:marTop w:val="0"/>
          <w:marBottom w:val="0"/>
          <w:divBdr>
            <w:top w:val="none" w:sz="0" w:space="0" w:color="auto"/>
            <w:left w:val="none" w:sz="0" w:space="0" w:color="auto"/>
            <w:bottom w:val="none" w:sz="0" w:space="0" w:color="auto"/>
            <w:right w:val="none" w:sz="0" w:space="0" w:color="auto"/>
          </w:divBdr>
        </w:div>
      </w:divsChild>
    </w:div>
    <w:div w:id="334265158">
      <w:bodyDiv w:val="1"/>
      <w:marLeft w:val="0"/>
      <w:marRight w:val="0"/>
      <w:marTop w:val="0"/>
      <w:marBottom w:val="0"/>
      <w:divBdr>
        <w:top w:val="none" w:sz="0" w:space="0" w:color="auto"/>
        <w:left w:val="none" w:sz="0" w:space="0" w:color="auto"/>
        <w:bottom w:val="none" w:sz="0" w:space="0" w:color="auto"/>
        <w:right w:val="none" w:sz="0" w:space="0" w:color="auto"/>
      </w:divBdr>
      <w:divsChild>
        <w:div w:id="1086805822">
          <w:marLeft w:val="0"/>
          <w:marRight w:val="0"/>
          <w:marTop w:val="0"/>
          <w:marBottom w:val="0"/>
          <w:divBdr>
            <w:top w:val="none" w:sz="0" w:space="0" w:color="auto"/>
            <w:left w:val="none" w:sz="0" w:space="0" w:color="auto"/>
            <w:bottom w:val="none" w:sz="0" w:space="0" w:color="auto"/>
            <w:right w:val="none" w:sz="0" w:space="0" w:color="auto"/>
          </w:divBdr>
        </w:div>
      </w:divsChild>
    </w:div>
    <w:div w:id="564492021">
      <w:bodyDiv w:val="1"/>
      <w:marLeft w:val="0"/>
      <w:marRight w:val="0"/>
      <w:marTop w:val="0"/>
      <w:marBottom w:val="0"/>
      <w:divBdr>
        <w:top w:val="none" w:sz="0" w:space="0" w:color="auto"/>
        <w:left w:val="none" w:sz="0" w:space="0" w:color="auto"/>
        <w:bottom w:val="none" w:sz="0" w:space="0" w:color="auto"/>
        <w:right w:val="none" w:sz="0" w:space="0" w:color="auto"/>
      </w:divBdr>
    </w:div>
    <w:div w:id="728310086">
      <w:bodyDiv w:val="1"/>
      <w:marLeft w:val="0"/>
      <w:marRight w:val="0"/>
      <w:marTop w:val="0"/>
      <w:marBottom w:val="0"/>
      <w:divBdr>
        <w:top w:val="none" w:sz="0" w:space="0" w:color="auto"/>
        <w:left w:val="none" w:sz="0" w:space="0" w:color="auto"/>
        <w:bottom w:val="none" w:sz="0" w:space="0" w:color="auto"/>
        <w:right w:val="none" w:sz="0" w:space="0" w:color="auto"/>
      </w:divBdr>
    </w:div>
    <w:div w:id="775057501">
      <w:bodyDiv w:val="1"/>
      <w:marLeft w:val="0"/>
      <w:marRight w:val="0"/>
      <w:marTop w:val="0"/>
      <w:marBottom w:val="0"/>
      <w:divBdr>
        <w:top w:val="none" w:sz="0" w:space="0" w:color="auto"/>
        <w:left w:val="none" w:sz="0" w:space="0" w:color="auto"/>
        <w:bottom w:val="none" w:sz="0" w:space="0" w:color="auto"/>
        <w:right w:val="none" w:sz="0" w:space="0" w:color="auto"/>
      </w:divBdr>
      <w:divsChild>
        <w:div w:id="1447041871">
          <w:marLeft w:val="0"/>
          <w:marRight w:val="0"/>
          <w:marTop w:val="0"/>
          <w:marBottom w:val="0"/>
          <w:divBdr>
            <w:top w:val="none" w:sz="0" w:space="0" w:color="auto"/>
            <w:left w:val="none" w:sz="0" w:space="0" w:color="auto"/>
            <w:bottom w:val="none" w:sz="0" w:space="0" w:color="auto"/>
            <w:right w:val="none" w:sz="0" w:space="0" w:color="auto"/>
          </w:divBdr>
        </w:div>
      </w:divsChild>
    </w:div>
    <w:div w:id="963779723">
      <w:bodyDiv w:val="1"/>
      <w:marLeft w:val="0"/>
      <w:marRight w:val="0"/>
      <w:marTop w:val="0"/>
      <w:marBottom w:val="0"/>
      <w:divBdr>
        <w:top w:val="none" w:sz="0" w:space="0" w:color="auto"/>
        <w:left w:val="none" w:sz="0" w:space="0" w:color="auto"/>
        <w:bottom w:val="none" w:sz="0" w:space="0" w:color="auto"/>
        <w:right w:val="none" w:sz="0" w:space="0" w:color="auto"/>
      </w:divBdr>
      <w:divsChild>
        <w:div w:id="1769427178">
          <w:marLeft w:val="0"/>
          <w:marRight w:val="0"/>
          <w:marTop w:val="0"/>
          <w:marBottom w:val="0"/>
          <w:divBdr>
            <w:top w:val="none" w:sz="0" w:space="0" w:color="auto"/>
            <w:left w:val="none" w:sz="0" w:space="0" w:color="auto"/>
            <w:bottom w:val="none" w:sz="0" w:space="0" w:color="auto"/>
            <w:right w:val="none" w:sz="0" w:space="0" w:color="auto"/>
          </w:divBdr>
        </w:div>
      </w:divsChild>
    </w:div>
    <w:div w:id="1181818524">
      <w:bodyDiv w:val="1"/>
      <w:marLeft w:val="0"/>
      <w:marRight w:val="0"/>
      <w:marTop w:val="0"/>
      <w:marBottom w:val="0"/>
      <w:divBdr>
        <w:top w:val="none" w:sz="0" w:space="0" w:color="auto"/>
        <w:left w:val="none" w:sz="0" w:space="0" w:color="auto"/>
        <w:bottom w:val="none" w:sz="0" w:space="0" w:color="auto"/>
        <w:right w:val="none" w:sz="0" w:space="0" w:color="auto"/>
      </w:divBdr>
    </w:div>
    <w:div w:id="1489637916">
      <w:bodyDiv w:val="1"/>
      <w:marLeft w:val="0"/>
      <w:marRight w:val="0"/>
      <w:marTop w:val="0"/>
      <w:marBottom w:val="0"/>
      <w:divBdr>
        <w:top w:val="none" w:sz="0" w:space="0" w:color="auto"/>
        <w:left w:val="none" w:sz="0" w:space="0" w:color="auto"/>
        <w:bottom w:val="none" w:sz="0" w:space="0" w:color="auto"/>
        <w:right w:val="none" w:sz="0" w:space="0" w:color="auto"/>
      </w:divBdr>
    </w:div>
    <w:div w:id="1505708717">
      <w:bodyDiv w:val="1"/>
      <w:marLeft w:val="0"/>
      <w:marRight w:val="0"/>
      <w:marTop w:val="0"/>
      <w:marBottom w:val="0"/>
      <w:divBdr>
        <w:top w:val="none" w:sz="0" w:space="0" w:color="auto"/>
        <w:left w:val="none" w:sz="0" w:space="0" w:color="auto"/>
        <w:bottom w:val="none" w:sz="0" w:space="0" w:color="auto"/>
        <w:right w:val="none" w:sz="0" w:space="0" w:color="auto"/>
      </w:divBdr>
    </w:div>
    <w:div w:id="1512644924">
      <w:bodyDiv w:val="1"/>
      <w:marLeft w:val="0"/>
      <w:marRight w:val="0"/>
      <w:marTop w:val="0"/>
      <w:marBottom w:val="0"/>
      <w:divBdr>
        <w:top w:val="none" w:sz="0" w:space="0" w:color="auto"/>
        <w:left w:val="none" w:sz="0" w:space="0" w:color="auto"/>
        <w:bottom w:val="none" w:sz="0" w:space="0" w:color="auto"/>
        <w:right w:val="none" w:sz="0" w:space="0" w:color="auto"/>
      </w:divBdr>
      <w:divsChild>
        <w:div w:id="1411536330">
          <w:marLeft w:val="0"/>
          <w:marRight w:val="0"/>
          <w:marTop w:val="0"/>
          <w:marBottom w:val="0"/>
          <w:divBdr>
            <w:top w:val="none" w:sz="0" w:space="0" w:color="auto"/>
            <w:left w:val="none" w:sz="0" w:space="0" w:color="auto"/>
            <w:bottom w:val="none" w:sz="0" w:space="0" w:color="auto"/>
            <w:right w:val="none" w:sz="0" w:space="0" w:color="auto"/>
          </w:divBdr>
        </w:div>
      </w:divsChild>
    </w:div>
    <w:div w:id="1597636647">
      <w:bodyDiv w:val="1"/>
      <w:marLeft w:val="0"/>
      <w:marRight w:val="0"/>
      <w:marTop w:val="0"/>
      <w:marBottom w:val="0"/>
      <w:divBdr>
        <w:top w:val="none" w:sz="0" w:space="0" w:color="auto"/>
        <w:left w:val="none" w:sz="0" w:space="0" w:color="auto"/>
        <w:bottom w:val="none" w:sz="0" w:space="0" w:color="auto"/>
        <w:right w:val="none" w:sz="0" w:space="0" w:color="auto"/>
      </w:divBdr>
    </w:div>
    <w:div w:id="1717579794">
      <w:bodyDiv w:val="1"/>
      <w:marLeft w:val="0"/>
      <w:marRight w:val="0"/>
      <w:marTop w:val="0"/>
      <w:marBottom w:val="0"/>
      <w:divBdr>
        <w:top w:val="none" w:sz="0" w:space="0" w:color="auto"/>
        <w:left w:val="none" w:sz="0" w:space="0" w:color="auto"/>
        <w:bottom w:val="none" w:sz="0" w:space="0" w:color="auto"/>
        <w:right w:val="none" w:sz="0" w:space="0" w:color="auto"/>
      </w:divBdr>
      <w:divsChild>
        <w:div w:id="1059743557">
          <w:marLeft w:val="0"/>
          <w:marRight w:val="0"/>
          <w:marTop w:val="0"/>
          <w:marBottom w:val="75"/>
          <w:divBdr>
            <w:top w:val="none" w:sz="0" w:space="0" w:color="auto"/>
            <w:left w:val="none" w:sz="0" w:space="0" w:color="auto"/>
            <w:bottom w:val="none" w:sz="0" w:space="0" w:color="auto"/>
            <w:right w:val="none" w:sz="0" w:space="0" w:color="auto"/>
          </w:divBdr>
        </w:div>
        <w:div w:id="1663701092">
          <w:marLeft w:val="0"/>
          <w:marRight w:val="0"/>
          <w:marTop w:val="0"/>
          <w:marBottom w:val="75"/>
          <w:divBdr>
            <w:top w:val="none" w:sz="0" w:space="0" w:color="auto"/>
            <w:left w:val="none" w:sz="0" w:space="0" w:color="auto"/>
            <w:bottom w:val="none" w:sz="0" w:space="0" w:color="auto"/>
            <w:right w:val="none" w:sz="0" w:space="0" w:color="auto"/>
          </w:divBdr>
        </w:div>
      </w:divsChild>
    </w:div>
    <w:div w:id="1725908856">
      <w:bodyDiv w:val="1"/>
      <w:marLeft w:val="0"/>
      <w:marRight w:val="0"/>
      <w:marTop w:val="0"/>
      <w:marBottom w:val="0"/>
      <w:divBdr>
        <w:top w:val="none" w:sz="0" w:space="0" w:color="auto"/>
        <w:left w:val="none" w:sz="0" w:space="0" w:color="auto"/>
        <w:bottom w:val="none" w:sz="0" w:space="0" w:color="auto"/>
        <w:right w:val="none" w:sz="0" w:space="0" w:color="auto"/>
      </w:divBdr>
    </w:div>
    <w:div w:id="1733963113">
      <w:bodyDiv w:val="1"/>
      <w:marLeft w:val="0"/>
      <w:marRight w:val="0"/>
      <w:marTop w:val="0"/>
      <w:marBottom w:val="0"/>
      <w:divBdr>
        <w:top w:val="none" w:sz="0" w:space="0" w:color="auto"/>
        <w:left w:val="none" w:sz="0" w:space="0" w:color="auto"/>
        <w:bottom w:val="none" w:sz="0" w:space="0" w:color="auto"/>
        <w:right w:val="none" w:sz="0" w:space="0" w:color="auto"/>
      </w:divBdr>
    </w:div>
    <w:div w:id="2049405634">
      <w:bodyDiv w:val="1"/>
      <w:marLeft w:val="0"/>
      <w:marRight w:val="0"/>
      <w:marTop w:val="0"/>
      <w:marBottom w:val="0"/>
      <w:divBdr>
        <w:top w:val="none" w:sz="0" w:space="0" w:color="auto"/>
        <w:left w:val="none" w:sz="0" w:space="0" w:color="auto"/>
        <w:bottom w:val="none" w:sz="0" w:space="0" w:color="auto"/>
        <w:right w:val="none" w:sz="0" w:space="0" w:color="auto"/>
      </w:divBdr>
      <w:divsChild>
        <w:div w:id="19670836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awcom.gov.uk/project/offences-against-the-person/" TargetMode="External"/><Relationship Id="rId18" Type="http://schemas.openxmlformats.org/officeDocument/2006/relationships/hyperlink" Target="https://www.legislation.gov.uk/ukpga/1988/33/section/39" TargetMode="External"/><Relationship Id="rId3" Type="http://schemas.openxmlformats.org/officeDocument/2006/relationships/styles" Target="styles.xml"/><Relationship Id="rId21" Type="http://schemas.openxmlformats.org/officeDocument/2006/relationships/hyperlink" Target="https://www.legislation.gov.uk/ukpga/Vict/24-25/100/section/20" TargetMode="External"/><Relationship Id="rId7" Type="http://schemas.openxmlformats.org/officeDocument/2006/relationships/endnotes" Target="endnotes.xml"/><Relationship Id="rId12" Type="http://schemas.openxmlformats.org/officeDocument/2006/relationships/hyperlink" Target="https://cloud-platform-e218f50a4812967ba1215eaecede923f.s3.amazonaws.com/uploads/sites/30/2015/06/cp217_offences_against_the_person_summary.pdf" TargetMode="External"/><Relationship Id="rId17" Type="http://schemas.openxmlformats.org/officeDocument/2006/relationships/hyperlink" Target="http://dx.doi.org/10.1093/he/9780191926419.003.0011" TargetMode="External"/><Relationship Id="rId2" Type="http://schemas.openxmlformats.org/officeDocument/2006/relationships/numbering" Target="numbering.xml"/><Relationship Id="rId16" Type="http://schemas.openxmlformats.org/officeDocument/2006/relationships/hyperlink" Target="https://www.youtube.com/watch?v=diWKWOdY8IQ" TargetMode="External"/><Relationship Id="rId20" Type="http://schemas.openxmlformats.org/officeDocument/2006/relationships/hyperlink" Target="https://www.legislation.gov.uk/ukpga/1988/33/section/3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aw.cornell.edu/wex/assault_and_batter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loud-platform-e218f50a4812967ba1215eaecede923f.s3.amazonaws.com/uploads/sites/30/2015/11/lc361_offences_against_the_person_overview_new-1.pdf" TargetMode="External"/><Relationship Id="rId23" Type="http://schemas.openxmlformats.org/officeDocument/2006/relationships/fontTable" Target="fontTable.xml"/><Relationship Id="rId10" Type="http://schemas.openxmlformats.org/officeDocument/2006/relationships/hyperlink" Target="https://doi.org/10.1177/0022018316685478" TargetMode="External"/><Relationship Id="rId19" Type="http://schemas.openxmlformats.org/officeDocument/2006/relationships/hyperlink" Target="https://www.legislation.gov.uk/ukpga/1988/33/section/3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awcom.gov.uk/project/offences-against-the-pers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2310510</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1427</Words>
  <Characters>8135</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Reform of the Offences Against the Person Act 1861</vt:lpstr>
    </vt:vector>
  </TitlesOfParts>
  <Company/>
  <LinksUpToDate>false</LinksUpToDate>
  <CharactersWithSpaces>9543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Reform of the Offences Against the Person Act 1861</dc:title>
  <dc:subject>BMLW4005</dc:subject>
  <dc:creator>Tim Nicholas</dc:creator>
  <cp:keywords/>
  <dc:description/>
  <cp:lastModifiedBy>Tim Nicholas</cp:lastModifiedBy>
  <cp:revision>2</cp:revision>
  <dcterms:created xsi:type="dcterms:W3CDTF">2024-03-14T14:04:00Z</dcterms:created>
  <dcterms:modified xsi:type="dcterms:W3CDTF">2024-03-14T14:04:00Z</dcterms:modified>
</cp:coreProperties>
</file>