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1C69F7" w14:textId="77777777" w:rsidR="00C63B64" w:rsidRDefault="00C63B64" w:rsidP="00C63B64">
      <w:pPr>
        <w:spacing w:line="360" w:lineRule="auto"/>
        <w:jc w:val="center"/>
        <w:rPr>
          <w:rFonts w:asciiTheme="majorBidi" w:hAnsiTheme="majorBidi" w:cstheme="majorBidi"/>
          <w:lang w:val="en-IN"/>
        </w:rPr>
      </w:pPr>
    </w:p>
    <w:p w14:paraId="2D3A5D31" w14:textId="77777777" w:rsidR="00C63B64" w:rsidRDefault="00C63B64" w:rsidP="00C63B64">
      <w:pPr>
        <w:spacing w:line="360" w:lineRule="auto"/>
        <w:jc w:val="center"/>
        <w:rPr>
          <w:rFonts w:asciiTheme="majorBidi" w:hAnsiTheme="majorBidi" w:cstheme="majorBidi"/>
          <w:lang w:val="en-IN"/>
        </w:rPr>
      </w:pPr>
    </w:p>
    <w:p w14:paraId="6DCCF0C8" w14:textId="77777777" w:rsidR="00C63B64" w:rsidRDefault="00C63B64" w:rsidP="00C63B64">
      <w:pPr>
        <w:spacing w:line="360" w:lineRule="auto"/>
        <w:jc w:val="center"/>
        <w:rPr>
          <w:rFonts w:asciiTheme="majorBidi" w:hAnsiTheme="majorBidi" w:cstheme="majorBidi"/>
          <w:lang w:val="en-IN"/>
        </w:rPr>
      </w:pPr>
    </w:p>
    <w:p w14:paraId="6B7EEB04" w14:textId="77777777" w:rsidR="00C63B64" w:rsidRDefault="00C63B64" w:rsidP="00C63B64">
      <w:pPr>
        <w:spacing w:line="360" w:lineRule="auto"/>
        <w:jc w:val="center"/>
        <w:rPr>
          <w:rFonts w:asciiTheme="majorBidi" w:hAnsiTheme="majorBidi" w:cstheme="majorBidi"/>
          <w:lang w:val="en-IN"/>
        </w:rPr>
      </w:pPr>
    </w:p>
    <w:p w14:paraId="59BD8887" w14:textId="678C2025" w:rsidR="00C63B64" w:rsidRPr="00404944" w:rsidRDefault="00C63B64" w:rsidP="00C63B64">
      <w:pPr>
        <w:spacing w:line="360" w:lineRule="auto"/>
        <w:jc w:val="center"/>
        <w:rPr>
          <w:rFonts w:asciiTheme="majorBidi" w:hAnsiTheme="majorBidi" w:cstheme="majorBidi"/>
          <w:b/>
          <w:bCs/>
          <w:sz w:val="20"/>
          <w:szCs w:val="20"/>
        </w:rPr>
      </w:pPr>
      <w:r w:rsidRPr="00404944">
        <w:rPr>
          <w:rFonts w:asciiTheme="majorBidi" w:hAnsiTheme="majorBidi" w:cstheme="majorBidi"/>
          <w:b/>
          <w:bCs/>
          <w:sz w:val="20"/>
          <w:szCs w:val="20"/>
        </w:rPr>
        <w:t>Lived Versus Imaged Bodies at</w:t>
      </w:r>
      <w:r w:rsidRPr="00404944">
        <w:rPr>
          <w:rFonts w:asciiTheme="majorBidi" w:hAnsiTheme="majorBidi" w:cstheme="majorBidi"/>
          <w:sz w:val="20"/>
          <w:szCs w:val="20"/>
        </w:rPr>
        <w:t xml:space="preserve"> </w:t>
      </w:r>
      <w:r w:rsidR="00617A00" w:rsidRPr="00404944">
        <w:rPr>
          <w:rFonts w:asciiTheme="majorBidi" w:hAnsiTheme="majorBidi" w:cstheme="majorBidi"/>
          <w:b/>
          <w:bCs/>
          <w:sz w:val="20"/>
          <w:szCs w:val="20"/>
        </w:rPr>
        <w:t>C̜atalhöyük</w:t>
      </w:r>
    </w:p>
    <w:p w14:paraId="572B9096" w14:textId="77777777" w:rsidR="00C63B64" w:rsidRPr="00404944" w:rsidRDefault="00C63B64" w:rsidP="00C63B64">
      <w:pPr>
        <w:spacing w:line="360" w:lineRule="auto"/>
        <w:jc w:val="center"/>
        <w:rPr>
          <w:rFonts w:asciiTheme="majorBidi" w:hAnsiTheme="majorBidi" w:cstheme="majorBidi"/>
          <w:sz w:val="20"/>
          <w:szCs w:val="20"/>
          <w:lang w:val="en-IN"/>
        </w:rPr>
      </w:pPr>
      <w:r w:rsidRPr="00404944">
        <w:rPr>
          <w:rFonts w:asciiTheme="majorBidi" w:hAnsiTheme="majorBidi" w:cstheme="majorBidi"/>
          <w:sz w:val="20"/>
          <w:szCs w:val="20"/>
          <w:lang w:val="en-IN"/>
        </w:rPr>
        <w:t>By Thelma Hunsinger</w:t>
      </w:r>
    </w:p>
    <w:p w14:paraId="3D56B9C3" w14:textId="77777777" w:rsidR="00C63B64" w:rsidRPr="00404944" w:rsidRDefault="00C63B64" w:rsidP="00C63B64">
      <w:pPr>
        <w:spacing w:line="360" w:lineRule="auto"/>
        <w:jc w:val="center"/>
        <w:rPr>
          <w:rFonts w:asciiTheme="majorBidi" w:hAnsiTheme="majorBidi" w:cstheme="majorBidi"/>
          <w:sz w:val="20"/>
          <w:szCs w:val="20"/>
          <w:lang w:val="en-IN"/>
        </w:rPr>
      </w:pPr>
    </w:p>
    <w:p w14:paraId="43213D90" w14:textId="77777777" w:rsidR="00C63B64" w:rsidRPr="00404944" w:rsidRDefault="00C63B64" w:rsidP="00C63B64">
      <w:pPr>
        <w:spacing w:line="360" w:lineRule="auto"/>
        <w:jc w:val="center"/>
        <w:rPr>
          <w:rFonts w:asciiTheme="majorBidi" w:hAnsiTheme="majorBidi" w:cstheme="majorBidi"/>
          <w:sz w:val="20"/>
          <w:szCs w:val="20"/>
          <w:lang w:val="en-IN"/>
        </w:rPr>
      </w:pPr>
    </w:p>
    <w:p w14:paraId="6D43A157" w14:textId="77777777" w:rsidR="00C63B64" w:rsidRPr="00404944" w:rsidRDefault="00C63B64" w:rsidP="00C63B64">
      <w:pPr>
        <w:spacing w:line="360" w:lineRule="auto"/>
        <w:jc w:val="center"/>
        <w:rPr>
          <w:rFonts w:asciiTheme="majorBidi" w:hAnsiTheme="majorBidi" w:cstheme="majorBidi"/>
          <w:sz w:val="20"/>
          <w:szCs w:val="20"/>
          <w:lang w:val="en-IN"/>
        </w:rPr>
      </w:pPr>
    </w:p>
    <w:p w14:paraId="56917340" w14:textId="77777777" w:rsidR="00C63B64" w:rsidRPr="00404944" w:rsidRDefault="00C63B64" w:rsidP="00C63B64">
      <w:pPr>
        <w:spacing w:line="360" w:lineRule="auto"/>
        <w:jc w:val="center"/>
        <w:rPr>
          <w:rFonts w:asciiTheme="majorBidi" w:hAnsiTheme="majorBidi" w:cstheme="majorBidi"/>
          <w:sz w:val="20"/>
          <w:szCs w:val="20"/>
          <w:lang w:val="en-IN"/>
        </w:rPr>
      </w:pPr>
    </w:p>
    <w:p w14:paraId="24FF46C7" w14:textId="77777777" w:rsidR="00C63B64" w:rsidRPr="00404944" w:rsidRDefault="00C63B64" w:rsidP="00C63B64">
      <w:pPr>
        <w:spacing w:line="360" w:lineRule="auto"/>
        <w:jc w:val="center"/>
        <w:rPr>
          <w:rFonts w:asciiTheme="majorBidi" w:hAnsiTheme="majorBidi" w:cstheme="majorBidi"/>
          <w:sz w:val="20"/>
          <w:szCs w:val="20"/>
          <w:lang w:val="en-IN"/>
        </w:rPr>
      </w:pPr>
    </w:p>
    <w:p w14:paraId="704B02AD" w14:textId="77777777" w:rsidR="00C63B64" w:rsidRPr="00404944" w:rsidRDefault="00C63B64" w:rsidP="00C63B64">
      <w:pPr>
        <w:spacing w:line="360" w:lineRule="auto"/>
        <w:jc w:val="center"/>
        <w:rPr>
          <w:rFonts w:asciiTheme="majorBidi" w:hAnsiTheme="majorBidi" w:cstheme="majorBidi"/>
          <w:sz w:val="20"/>
          <w:szCs w:val="20"/>
          <w:lang w:val="en-IN"/>
        </w:rPr>
      </w:pPr>
    </w:p>
    <w:p w14:paraId="08B2A482" w14:textId="77777777" w:rsidR="00C63B64" w:rsidRPr="00404944" w:rsidRDefault="00C63B64" w:rsidP="00C63B64">
      <w:pPr>
        <w:spacing w:line="360" w:lineRule="auto"/>
        <w:jc w:val="center"/>
        <w:rPr>
          <w:rFonts w:asciiTheme="majorBidi" w:hAnsiTheme="majorBidi" w:cstheme="majorBidi"/>
          <w:sz w:val="20"/>
          <w:szCs w:val="20"/>
          <w:lang w:val="en-IN"/>
        </w:rPr>
      </w:pPr>
    </w:p>
    <w:p w14:paraId="485DB3DE" w14:textId="77777777" w:rsidR="00C63B64" w:rsidRPr="00404944" w:rsidRDefault="00C63B64" w:rsidP="00C63B64">
      <w:pPr>
        <w:spacing w:line="360" w:lineRule="auto"/>
        <w:jc w:val="center"/>
        <w:rPr>
          <w:rFonts w:asciiTheme="majorBidi" w:hAnsiTheme="majorBidi" w:cstheme="majorBidi"/>
          <w:sz w:val="20"/>
          <w:szCs w:val="20"/>
          <w:lang w:val="en-IN"/>
        </w:rPr>
      </w:pPr>
      <w:r w:rsidRPr="00404944">
        <w:rPr>
          <w:rFonts w:asciiTheme="majorBidi" w:hAnsiTheme="majorBidi" w:cstheme="majorBidi"/>
          <w:sz w:val="20"/>
          <w:szCs w:val="20"/>
          <w:lang w:val="en-IN"/>
        </w:rPr>
        <w:t>Art and Representation in the Ancient Near East</w:t>
      </w:r>
    </w:p>
    <w:p w14:paraId="4DCA1EAB" w14:textId="77777777" w:rsidR="00C63B64" w:rsidRPr="00404944" w:rsidRDefault="00C63B64" w:rsidP="00C63B64">
      <w:pPr>
        <w:spacing w:line="360" w:lineRule="auto"/>
        <w:jc w:val="center"/>
        <w:rPr>
          <w:rFonts w:asciiTheme="majorBidi" w:hAnsiTheme="majorBidi" w:cstheme="majorBidi"/>
          <w:sz w:val="20"/>
          <w:szCs w:val="20"/>
          <w:lang w:val="en-IN"/>
        </w:rPr>
      </w:pPr>
      <w:r w:rsidRPr="00404944">
        <w:rPr>
          <w:rFonts w:asciiTheme="majorBidi" w:hAnsiTheme="majorBidi" w:cstheme="majorBidi"/>
          <w:sz w:val="20"/>
          <w:szCs w:val="20"/>
          <w:lang w:val="en-IN"/>
        </w:rPr>
        <w:t>Natalie Boyd</w:t>
      </w:r>
    </w:p>
    <w:p w14:paraId="5E0769D9" w14:textId="77777777" w:rsidR="00C63B64" w:rsidRPr="00404944" w:rsidRDefault="00C63B64" w:rsidP="00C63B64">
      <w:pPr>
        <w:spacing w:line="360" w:lineRule="auto"/>
        <w:jc w:val="center"/>
        <w:rPr>
          <w:rFonts w:asciiTheme="majorBidi" w:hAnsiTheme="majorBidi" w:cstheme="majorBidi"/>
          <w:sz w:val="20"/>
          <w:szCs w:val="20"/>
          <w:lang w:val="en-IN"/>
        </w:rPr>
      </w:pPr>
      <w:r w:rsidRPr="00404944">
        <w:rPr>
          <w:rFonts w:asciiTheme="majorBidi" w:hAnsiTheme="majorBidi" w:cstheme="majorBidi"/>
          <w:sz w:val="20"/>
          <w:szCs w:val="20"/>
          <w:lang w:val="en-IN"/>
        </w:rPr>
        <w:t>University of Wales Trinity Saint David</w:t>
      </w:r>
    </w:p>
    <w:p w14:paraId="5D74A0F7" w14:textId="20319295" w:rsidR="00C63B64" w:rsidRPr="00404944" w:rsidRDefault="00C63B64" w:rsidP="00C63B64">
      <w:pPr>
        <w:spacing w:line="360" w:lineRule="auto"/>
        <w:jc w:val="center"/>
        <w:rPr>
          <w:rFonts w:asciiTheme="majorBidi" w:hAnsiTheme="majorBidi" w:cstheme="majorBidi"/>
          <w:sz w:val="20"/>
          <w:szCs w:val="20"/>
          <w:lang w:val="en-IN"/>
        </w:rPr>
      </w:pPr>
      <w:r w:rsidRPr="00404944">
        <w:rPr>
          <w:rFonts w:asciiTheme="majorBidi" w:hAnsiTheme="majorBidi" w:cstheme="majorBidi"/>
          <w:sz w:val="20"/>
          <w:szCs w:val="20"/>
          <w:lang w:val="en-IN"/>
        </w:rPr>
        <w:t>10</w:t>
      </w:r>
      <w:r w:rsidRPr="00404944">
        <w:rPr>
          <w:rFonts w:asciiTheme="majorBidi" w:hAnsiTheme="majorBidi" w:cstheme="majorBidi"/>
          <w:sz w:val="20"/>
          <w:szCs w:val="20"/>
          <w:vertAlign w:val="superscript"/>
          <w:lang w:val="en-IN"/>
        </w:rPr>
        <w:t>st</w:t>
      </w:r>
      <w:r w:rsidRPr="00404944">
        <w:rPr>
          <w:rFonts w:asciiTheme="majorBidi" w:hAnsiTheme="majorBidi" w:cstheme="majorBidi"/>
          <w:sz w:val="20"/>
          <w:szCs w:val="20"/>
          <w:lang w:val="en-IN"/>
        </w:rPr>
        <w:t xml:space="preserve"> May, 2024</w:t>
      </w:r>
    </w:p>
    <w:p w14:paraId="77F934D7" w14:textId="77777777" w:rsidR="00C63B64" w:rsidRDefault="00C63B64" w:rsidP="00C63B64">
      <w:pPr>
        <w:spacing w:line="360" w:lineRule="auto"/>
        <w:jc w:val="center"/>
        <w:rPr>
          <w:rFonts w:asciiTheme="majorBidi" w:hAnsiTheme="majorBidi" w:cstheme="majorBidi"/>
          <w:lang w:val="en-IN"/>
        </w:rPr>
      </w:pPr>
    </w:p>
    <w:p w14:paraId="284EB231" w14:textId="6E16D6EB" w:rsidR="00C63B64" w:rsidRDefault="00C63B64">
      <w:pPr>
        <w:rPr>
          <w:rFonts w:asciiTheme="majorBidi" w:hAnsiTheme="majorBidi" w:cstheme="majorBidi"/>
          <w:lang w:val="en-IN"/>
        </w:rPr>
      </w:pPr>
      <w:r>
        <w:rPr>
          <w:rFonts w:asciiTheme="majorBidi" w:hAnsiTheme="majorBidi" w:cstheme="majorBidi"/>
          <w:lang w:val="en-IN"/>
        </w:rPr>
        <w:br w:type="page"/>
      </w:r>
    </w:p>
    <w:p w14:paraId="62BDD1AA" w14:textId="506B94AB" w:rsidR="00C63B64" w:rsidRDefault="00C63B64" w:rsidP="00C63B64">
      <w:pPr>
        <w:jc w:val="center"/>
        <w:rPr>
          <w:rFonts w:asciiTheme="majorBidi" w:hAnsiTheme="majorBidi" w:cstheme="majorBidi"/>
          <w:b/>
          <w:bCs/>
          <w:sz w:val="20"/>
          <w:szCs w:val="20"/>
        </w:rPr>
      </w:pPr>
      <w:r>
        <w:rPr>
          <w:rFonts w:asciiTheme="majorBidi" w:hAnsiTheme="majorBidi" w:cstheme="majorBidi"/>
          <w:b/>
          <w:bCs/>
          <w:sz w:val="20"/>
          <w:szCs w:val="20"/>
        </w:rPr>
        <w:lastRenderedPageBreak/>
        <w:t>Lived</w:t>
      </w:r>
      <w:r w:rsidRPr="0014775A">
        <w:rPr>
          <w:rFonts w:asciiTheme="majorBidi" w:hAnsiTheme="majorBidi" w:cstheme="majorBidi"/>
          <w:b/>
          <w:bCs/>
          <w:sz w:val="20"/>
          <w:szCs w:val="20"/>
        </w:rPr>
        <w:t xml:space="preserve"> </w:t>
      </w:r>
      <w:r>
        <w:rPr>
          <w:rFonts w:asciiTheme="majorBidi" w:hAnsiTheme="majorBidi" w:cstheme="majorBidi"/>
          <w:b/>
          <w:bCs/>
          <w:sz w:val="20"/>
          <w:szCs w:val="20"/>
        </w:rPr>
        <w:t>Versus</w:t>
      </w:r>
      <w:r w:rsidRPr="0014775A">
        <w:rPr>
          <w:rFonts w:asciiTheme="majorBidi" w:hAnsiTheme="majorBidi" w:cstheme="majorBidi"/>
          <w:b/>
          <w:bCs/>
          <w:sz w:val="20"/>
          <w:szCs w:val="20"/>
        </w:rPr>
        <w:t xml:space="preserve"> </w:t>
      </w:r>
      <w:r>
        <w:rPr>
          <w:rFonts w:asciiTheme="majorBidi" w:hAnsiTheme="majorBidi" w:cstheme="majorBidi"/>
          <w:b/>
          <w:bCs/>
          <w:sz w:val="20"/>
          <w:szCs w:val="20"/>
        </w:rPr>
        <w:t>I</w:t>
      </w:r>
      <w:r w:rsidRPr="0014775A">
        <w:rPr>
          <w:rFonts w:asciiTheme="majorBidi" w:hAnsiTheme="majorBidi" w:cstheme="majorBidi"/>
          <w:b/>
          <w:bCs/>
          <w:sz w:val="20"/>
          <w:szCs w:val="20"/>
        </w:rPr>
        <w:t>maged</w:t>
      </w:r>
      <w:r>
        <w:rPr>
          <w:rFonts w:asciiTheme="majorBidi" w:hAnsiTheme="majorBidi" w:cstheme="majorBidi"/>
          <w:b/>
          <w:bCs/>
          <w:sz w:val="20"/>
          <w:szCs w:val="20"/>
        </w:rPr>
        <w:t xml:space="preserve"> Bodies at</w:t>
      </w:r>
      <w:r w:rsidRPr="00F17A82">
        <w:rPr>
          <w:rFonts w:asciiTheme="majorBidi" w:hAnsiTheme="majorBidi" w:cstheme="majorBidi"/>
          <w:sz w:val="20"/>
          <w:szCs w:val="20"/>
        </w:rPr>
        <w:t xml:space="preserve"> </w:t>
      </w:r>
      <w:r w:rsidR="00617A00" w:rsidRPr="00F17A82">
        <w:rPr>
          <w:rFonts w:asciiTheme="majorBidi" w:hAnsiTheme="majorBidi" w:cstheme="majorBidi"/>
          <w:b/>
          <w:bCs/>
          <w:sz w:val="20"/>
          <w:szCs w:val="20"/>
        </w:rPr>
        <w:t>C̜atalhöyük</w:t>
      </w:r>
    </w:p>
    <w:p w14:paraId="43C083F3" w14:textId="00986661" w:rsidR="00617A00" w:rsidRPr="008F4A7B" w:rsidRDefault="008F4A7B" w:rsidP="008F4A7B">
      <w:pPr>
        <w:jc w:val="center"/>
        <w:rPr>
          <w:rFonts w:asciiTheme="majorBidi" w:hAnsiTheme="majorBidi" w:cstheme="majorBidi"/>
          <w:b/>
          <w:bCs/>
          <w:sz w:val="20"/>
          <w:szCs w:val="20"/>
        </w:rPr>
      </w:pPr>
      <w:r w:rsidRPr="008F4A7B">
        <w:rPr>
          <w:rFonts w:asciiTheme="majorBidi" w:hAnsiTheme="majorBidi" w:cstheme="majorBidi"/>
          <w:b/>
          <w:bCs/>
          <w:sz w:val="20"/>
          <w:szCs w:val="20"/>
        </w:rPr>
        <w:t>Introduction</w:t>
      </w:r>
    </w:p>
    <w:p w14:paraId="10A3C5EB" w14:textId="77777777" w:rsidR="008F4A7B" w:rsidRPr="00617A00" w:rsidRDefault="008F4A7B" w:rsidP="008F4A7B">
      <w:pPr>
        <w:rPr>
          <w:rFonts w:asciiTheme="majorBidi" w:hAnsiTheme="majorBidi" w:cstheme="majorBidi"/>
          <w:sz w:val="20"/>
          <w:szCs w:val="20"/>
        </w:rPr>
      </w:pPr>
    </w:p>
    <w:p w14:paraId="0824E1C9" w14:textId="35033B35" w:rsidR="00DE5657" w:rsidRDefault="00163C94" w:rsidP="00F91EC5">
      <w:pPr>
        <w:rPr>
          <w:rFonts w:asciiTheme="majorBidi" w:hAnsiTheme="majorBidi" w:cstheme="majorBidi"/>
          <w:sz w:val="20"/>
          <w:szCs w:val="20"/>
        </w:rPr>
      </w:pPr>
      <w:r>
        <w:rPr>
          <w:rFonts w:asciiTheme="majorBidi" w:hAnsiTheme="majorBidi" w:cstheme="majorBidi"/>
          <w:sz w:val="20"/>
          <w:szCs w:val="20"/>
        </w:rPr>
        <w:tab/>
      </w:r>
      <w:r w:rsidR="00C81A08">
        <w:rPr>
          <w:rFonts w:asciiTheme="majorBidi" w:hAnsiTheme="majorBidi" w:cstheme="majorBidi"/>
          <w:sz w:val="20"/>
          <w:szCs w:val="20"/>
        </w:rPr>
        <w:t>T</w:t>
      </w:r>
      <w:r w:rsidR="00DA1EF1">
        <w:rPr>
          <w:rFonts w:asciiTheme="majorBidi" w:hAnsiTheme="majorBidi" w:cstheme="majorBidi"/>
          <w:sz w:val="20"/>
          <w:szCs w:val="20"/>
        </w:rPr>
        <w:t xml:space="preserve">here has been an ongoing discussion on how the physical and social body are inextricably linked </w:t>
      </w:r>
      <w:r w:rsidR="00DA1EF1" w:rsidRPr="006156EA">
        <w:rPr>
          <w:rFonts w:asciiTheme="majorBidi" w:hAnsiTheme="majorBidi" w:cstheme="majorBidi"/>
          <w:sz w:val="20"/>
          <w:szCs w:val="20"/>
        </w:rPr>
        <w:t>(</w:t>
      </w:r>
      <w:r w:rsidR="00C81A08">
        <w:rPr>
          <w:rFonts w:asciiTheme="majorBidi" w:hAnsiTheme="majorBidi" w:cstheme="majorBidi"/>
          <w:sz w:val="20"/>
          <w:szCs w:val="20"/>
        </w:rPr>
        <w:t xml:space="preserve">Douglas, 1978; </w:t>
      </w:r>
      <w:r w:rsidR="00DA1EF1" w:rsidRPr="006156EA">
        <w:rPr>
          <w:rFonts w:asciiTheme="majorBidi" w:hAnsiTheme="majorBidi" w:cstheme="majorBidi"/>
          <w:sz w:val="20"/>
          <w:szCs w:val="20"/>
        </w:rPr>
        <w:t>Knapp and Meskell, 1997</w:t>
      </w:r>
      <w:r w:rsidR="00DA1EF1">
        <w:rPr>
          <w:rFonts w:asciiTheme="majorBidi" w:hAnsiTheme="majorBidi" w:cstheme="majorBidi"/>
          <w:sz w:val="20"/>
          <w:szCs w:val="20"/>
        </w:rPr>
        <w:t>;</w:t>
      </w:r>
      <w:r w:rsidR="00DA1EF1" w:rsidRPr="002700B6">
        <w:rPr>
          <w:rFonts w:ascii="TimesNewRomanPS" w:hAnsi="TimesNewRomanPS" w:cs="TimesNewRomanPS"/>
          <w:kern w:val="0"/>
          <w:sz w:val="18"/>
          <w:szCs w:val="18"/>
        </w:rPr>
        <w:t xml:space="preserve"> </w:t>
      </w:r>
      <w:r w:rsidR="00DA1EF1" w:rsidRPr="002700B6">
        <w:rPr>
          <w:rFonts w:asciiTheme="majorBidi" w:hAnsiTheme="majorBidi" w:cstheme="majorBidi"/>
          <w:sz w:val="20"/>
          <w:szCs w:val="20"/>
        </w:rPr>
        <w:t>Van Wolputte,</w:t>
      </w:r>
      <w:r w:rsidR="00DA1EF1">
        <w:rPr>
          <w:rFonts w:asciiTheme="majorBidi" w:hAnsiTheme="majorBidi" w:cstheme="majorBidi"/>
          <w:sz w:val="20"/>
          <w:szCs w:val="20"/>
        </w:rPr>
        <w:t xml:space="preserve"> </w:t>
      </w:r>
      <w:r w:rsidR="00DA1EF1" w:rsidRPr="002700B6">
        <w:rPr>
          <w:rFonts w:asciiTheme="majorBidi" w:hAnsiTheme="majorBidi" w:cstheme="majorBidi"/>
          <w:sz w:val="20"/>
          <w:szCs w:val="20"/>
        </w:rPr>
        <w:t>2004</w:t>
      </w:r>
      <w:r w:rsidR="00DA1EF1" w:rsidRPr="006156EA">
        <w:rPr>
          <w:rFonts w:asciiTheme="majorBidi" w:hAnsiTheme="majorBidi" w:cstheme="majorBidi"/>
          <w:sz w:val="20"/>
          <w:szCs w:val="20"/>
        </w:rPr>
        <w:t>).</w:t>
      </w:r>
      <w:r w:rsidR="00DA1EF1">
        <w:rPr>
          <w:rFonts w:asciiTheme="majorBidi" w:hAnsiTheme="majorBidi" w:cstheme="majorBidi"/>
          <w:sz w:val="20"/>
          <w:szCs w:val="20"/>
        </w:rPr>
        <w:t xml:space="preserve"> </w:t>
      </w:r>
      <w:r w:rsidR="00A01293">
        <w:rPr>
          <w:rFonts w:asciiTheme="majorBidi" w:hAnsiTheme="majorBidi" w:cstheme="majorBidi"/>
          <w:sz w:val="20"/>
          <w:szCs w:val="20"/>
        </w:rPr>
        <w:t>According to Douglas (197</w:t>
      </w:r>
      <w:r w:rsidR="0017043A">
        <w:rPr>
          <w:rFonts w:asciiTheme="majorBidi" w:hAnsiTheme="majorBidi" w:cstheme="majorBidi"/>
          <w:sz w:val="20"/>
          <w:szCs w:val="20"/>
        </w:rPr>
        <w:t>8</w:t>
      </w:r>
      <w:r w:rsidR="00A01293">
        <w:rPr>
          <w:rFonts w:asciiTheme="majorBidi" w:hAnsiTheme="majorBidi" w:cstheme="majorBidi"/>
          <w:sz w:val="20"/>
          <w:szCs w:val="20"/>
        </w:rPr>
        <w:t>)</w:t>
      </w:r>
      <w:r w:rsidR="00EA27DA">
        <w:rPr>
          <w:rFonts w:asciiTheme="majorBidi" w:hAnsiTheme="majorBidi" w:cstheme="majorBidi"/>
          <w:sz w:val="20"/>
          <w:szCs w:val="20"/>
        </w:rPr>
        <w:t>, the body comprises the physical and the social</w:t>
      </w:r>
      <w:r w:rsidR="0026060B">
        <w:rPr>
          <w:rFonts w:asciiTheme="majorBidi" w:hAnsiTheme="majorBidi" w:cstheme="majorBidi"/>
          <w:sz w:val="20"/>
          <w:szCs w:val="20"/>
        </w:rPr>
        <w:t>,</w:t>
      </w:r>
      <w:r w:rsidR="00BB6D68">
        <w:rPr>
          <w:rFonts w:asciiTheme="majorBidi" w:hAnsiTheme="majorBidi" w:cstheme="majorBidi"/>
          <w:sz w:val="20"/>
          <w:szCs w:val="20"/>
        </w:rPr>
        <w:t xml:space="preserve"> </w:t>
      </w:r>
      <w:r w:rsidR="00DA1EF1">
        <w:rPr>
          <w:rFonts w:asciiTheme="majorBidi" w:hAnsiTheme="majorBidi" w:cstheme="majorBidi"/>
          <w:sz w:val="20"/>
          <w:szCs w:val="20"/>
        </w:rPr>
        <w:t xml:space="preserve">and </w:t>
      </w:r>
      <w:r w:rsidR="0026060B">
        <w:rPr>
          <w:rFonts w:asciiTheme="majorBidi" w:hAnsiTheme="majorBidi" w:cstheme="majorBidi"/>
          <w:sz w:val="20"/>
          <w:szCs w:val="20"/>
        </w:rPr>
        <w:t xml:space="preserve">it </w:t>
      </w:r>
      <w:r w:rsidR="00DA1EF1">
        <w:rPr>
          <w:rFonts w:asciiTheme="majorBidi" w:hAnsiTheme="majorBidi" w:cstheme="majorBidi"/>
          <w:sz w:val="20"/>
          <w:szCs w:val="20"/>
        </w:rPr>
        <w:t xml:space="preserve">can be </w:t>
      </w:r>
      <w:r w:rsidR="0026060B">
        <w:rPr>
          <w:rFonts w:asciiTheme="majorBidi" w:hAnsiTheme="majorBidi" w:cstheme="majorBidi"/>
          <w:sz w:val="20"/>
          <w:szCs w:val="20"/>
        </w:rPr>
        <w:t>considered</w:t>
      </w:r>
      <w:r w:rsidR="00DA1EF1">
        <w:rPr>
          <w:rFonts w:asciiTheme="majorBidi" w:hAnsiTheme="majorBidi" w:cstheme="majorBidi"/>
          <w:sz w:val="20"/>
          <w:szCs w:val="20"/>
        </w:rPr>
        <w:t xml:space="preserve"> the symbolic means that limits the perception of the lived body.</w:t>
      </w:r>
      <w:r w:rsidR="00DA1EF1" w:rsidRPr="00AF2EFE">
        <w:rPr>
          <w:rFonts w:asciiTheme="majorBidi" w:hAnsiTheme="majorBidi" w:cstheme="majorBidi"/>
          <w:sz w:val="20"/>
          <w:szCs w:val="20"/>
        </w:rPr>
        <w:t xml:space="preserve"> </w:t>
      </w:r>
      <w:r w:rsidR="00DA1EF1">
        <w:rPr>
          <w:rFonts w:asciiTheme="majorBidi" w:hAnsiTheme="majorBidi" w:cstheme="majorBidi"/>
          <w:sz w:val="20"/>
          <w:szCs w:val="20"/>
        </w:rPr>
        <w:t xml:space="preserve">In a similar vein, </w:t>
      </w:r>
      <w:r w:rsidR="00DA1EF1" w:rsidRPr="00AE04F8">
        <w:rPr>
          <w:rFonts w:asciiTheme="majorBidi" w:hAnsiTheme="majorBidi" w:cstheme="majorBidi"/>
          <w:sz w:val="20"/>
          <w:szCs w:val="20"/>
        </w:rPr>
        <w:t xml:space="preserve">Turner (2008) </w:t>
      </w:r>
      <w:r w:rsidR="00DA1EF1">
        <w:rPr>
          <w:rFonts w:asciiTheme="majorBidi" w:hAnsiTheme="majorBidi" w:cstheme="majorBidi"/>
          <w:sz w:val="20"/>
          <w:szCs w:val="20"/>
        </w:rPr>
        <w:t>asserts</w:t>
      </w:r>
      <w:r w:rsidR="00DA1EF1" w:rsidRPr="00AE04F8">
        <w:rPr>
          <w:rFonts w:asciiTheme="majorBidi" w:hAnsiTheme="majorBidi" w:cstheme="majorBidi"/>
          <w:sz w:val="20"/>
          <w:szCs w:val="20"/>
        </w:rPr>
        <w:t xml:space="preserve"> that the body is a part of nature and culture in that it is an environment and a medium of self. Th</w:t>
      </w:r>
      <w:r w:rsidR="00DA1EF1">
        <w:rPr>
          <w:rFonts w:asciiTheme="majorBidi" w:hAnsiTheme="majorBidi" w:cstheme="majorBidi"/>
          <w:sz w:val="20"/>
          <w:szCs w:val="20"/>
        </w:rPr>
        <w:t>e</w:t>
      </w:r>
      <w:r w:rsidR="00DA1EF1" w:rsidRPr="00AE04F8">
        <w:rPr>
          <w:rFonts w:asciiTheme="majorBidi" w:hAnsiTheme="majorBidi" w:cstheme="majorBidi"/>
          <w:sz w:val="20"/>
          <w:szCs w:val="20"/>
        </w:rPr>
        <w:t xml:space="preserve"> </w:t>
      </w:r>
      <w:r w:rsidR="00DA1EF1">
        <w:rPr>
          <w:rFonts w:asciiTheme="majorBidi" w:hAnsiTheme="majorBidi" w:cstheme="majorBidi"/>
          <w:sz w:val="20"/>
          <w:szCs w:val="20"/>
        </w:rPr>
        <w:t>abovementioned ideas</w:t>
      </w:r>
      <w:r w:rsidR="00DA1EF1" w:rsidRPr="00AE04F8">
        <w:rPr>
          <w:rFonts w:asciiTheme="majorBidi" w:hAnsiTheme="majorBidi" w:cstheme="majorBidi"/>
          <w:sz w:val="20"/>
          <w:szCs w:val="20"/>
        </w:rPr>
        <w:t xml:space="preserve"> help us recognise that there is a difference between the </w:t>
      </w:r>
      <w:r w:rsidR="00DA1EF1">
        <w:rPr>
          <w:rFonts w:asciiTheme="majorBidi" w:hAnsiTheme="majorBidi" w:cstheme="majorBidi"/>
          <w:sz w:val="20"/>
          <w:szCs w:val="20"/>
        </w:rPr>
        <w:t>lived</w:t>
      </w:r>
      <w:r w:rsidR="00DA1EF1" w:rsidRPr="00AE04F8">
        <w:rPr>
          <w:rFonts w:asciiTheme="majorBidi" w:hAnsiTheme="majorBidi" w:cstheme="majorBidi"/>
          <w:sz w:val="20"/>
          <w:szCs w:val="20"/>
        </w:rPr>
        <w:t xml:space="preserve"> body and the one that is ‘imaged.’ </w:t>
      </w:r>
      <w:r w:rsidR="00DA1EF1" w:rsidRPr="00A55832">
        <w:rPr>
          <w:rFonts w:asciiTheme="majorBidi" w:hAnsiTheme="majorBidi" w:cstheme="majorBidi"/>
          <w:sz w:val="20"/>
          <w:szCs w:val="20"/>
        </w:rPr>
        <w:t xml:space="preserve">Though </w:t>
      </w:r>
      <w:r w:rsidR="00DA1EF1">
        <w:rPr>
          <w:rFonts w:asciiTheme="majorBidi" w:hAnsiTheme="majorBidi" w:cstheme="majorBidi"/>
          <w:sz w:val="20"/>
          <w:szCs w:val="20"/>
        </w:rPr>
        <w:t>both these</w:t>
      </w:r>
      <w:r w:rsidR="00DA1EF1" w:rsidRPr="00A55832">
        <w:rPr>
          <w:rFonts w:asciiTheme="majorBidi" w:hAnsiTheme="majorBidi" w:cstheme="majorBidi"/>
          <w:sz w:val="20"/>
          <w:szCs w:val="20"/>
        </w:rPr>
        <w:t xml:space="preserve"> bodies may be materialised in distinct ways, they are both influenced by social and cultural interactions</w:t>
      </w:r>
      <w:r w:rsidR="00DA1EF1">
        <w:rPr>
          <w:rFonts w:asciiTheme="majorBidi" w:hAnsiTheme="majorBidi" w:cstheme="majorBidi"/>
          <w:sz w:val="20"/>
          <w:szCs w:val="20"/>
        </w:rPr>
        <w:t xml:space="preserve"> (</w:t>
      </w:r>
      <w:r w:rsidR="0017043A">
        <w:rPr>
          <w:rFonts w:asciiTheme="majorBidi" w:hAnsiTheme="majorBidi" w:cstheme="majorBidi"/>
          <w:sz w:val="20"/>
          <w:szCs w:val="20"/>
        </w:rPr>
        <w:t xml:space="preserve">Bailey, 2008; </w:t>
      </w:r>
      <w:r w:rsidR="00DA1EF1">
        <w:rPr>
          <w:rFonts w:asciiTheme="majorBidi" w:hAnsiTheme="majorBidi" w:cstheme="majorBidi"/>
          <w:sz w:val="20"/>
          <w:szCs w:val="20"/>
        </w:rPr>
        <w:t>Pearson and Meskell, 2013)</w:t>
      </w:r>
      <w:r w:rsidR="00DA1EF1" w:rsidRPr="00A55832">
        <w:rPr>
          <w:rFonts w:asciiTheme="majorBidi" w:hAnsiTheme="majorBidi" w:cstheme="majorBidi"/>
          <w:sz w:val="20"/>
          <w:szCs w:val="20"/>
        </w:rPr>
        <w:t xml:space="preserve">. These interactions were how pre-literate societies not just stored and </w:t>
      </w:r>
      <w:r w:rsidR="00DA1EF1">
        <w:rPr>
          <w:rFonts w:asciiTheme="majorBidi" w:hAnsiTheme="majorBidi" w:cstheme="majorBidi"/>
          <w:sz w:val="20"/>
          <w:szCs w:val="20"/>
        </w:rPr>
        <w:t>transmitted</w:t>
      </w:r>
      <w:r w:rsidR="00DA1EF1" w:rsidRPr="00A55832">
        <w:rPr>
          <w:rFonts w:asciiTheme="majorBidi" w:hAnsiTheme="majorBidi" w:cstheme="majorBidi"/>
          <w:sz w:val="20"/>
          <w:szCs w:val="20"/>
        </w:rPr>
        <w:t xml:space="preserve"> information but also negotiated collective memories, social identities, and relationships (Meskell, 2008). </w:t>
      </w:r>
    </w:p>
    <w:p w14:paraId="0DBB8E63" w14:textId="6468A5F8" w:rsidR="00DE5657" w:rsidRPr="00DE5657" w:rsidRDefault="00DE5657" w:rsidP="00DE5657">
      <w:pPr>
        <w:rPr>
          <w:rFonts w:asciiTheme="majorBidi" w:hAnsiTheme="majorBidi" w:cstheme="majorBidi"/>
          <w:sz w:val="20"/>
          <w:szCs w:val="20"/>
        </w:rPr>
      </w:pPr>
      <w:r>
        <w:rPr>
          <w:rFonts w:asciiTheme="majorBidi" w:hAnsiTheme="majorBidi" w:cstheme="majorBidi"/>
          <w:sz w:val="20"/>
          <w:szCs w:val="20"/>
        </w:rPr>
        <w:tab/>
      </w:r>
      <w:r w:rsidRPr="00DE5657">
        <w:rPr>
          <w:rFonts w:asciiTheme="majorBidi" w:hAnsiTheme="majorBidi" w:cstheme="majorBidi"/>
          <w:sz w:val="20"/>
          <w:szCs w:val="20"/>
        </w:rPr>
        <w:t xml:space="preserve">At C̜atalhöyük, the imaged body is created through painting and sculpting a variety of media, whereas the physical body is created through ‘genetics, diet, and labour’ (Pearson and Meskell, 2013, </w:t>
      </w:r>
      <w:r w:rsidR="007B16D1">
        <w:rPr>
          <w:rFonts w:asciiTheme="majorBidi" w:hAnsiTheme="majorBidi" w:cstheme="majorBidi"/>
          <w:sz w:val="20"/>
          <w:szCs w:val="20"/>
        </w:rPr>
        <w:t xml:space="preserve">p. </w:t>
      </w:r>
      <w:r w:rsidRPr="00DE5657">
        <w:rPr>
          <w:rFonts w:asciiTheme="majorBidi" w:hAnsiTheme="majorBidi" w:cstheme="majorBidi"/>
          <w:sz w:val="20"/>
          <w:szCs w:val="20"/>
        </w:rPr>
        <w:t>463). Particularly, anthropomorphic figurines are significant, considering that they inundated their society with particular depictions of the human body. Although this likely had a significant role in shaping ideas about embodiment, studying figurines exclusively as a separate category is not realistic, as ancient societies may not have considered it so (Meskell, 2007). This paper discusses some of the practices related to the body at C̜atalhöyük</w:t>
      </w:r>
      <w:r w:rsidR="00256EA4">
        <w:rPr>
          <w:rFonts w:asciiTheme="majorBidi" w:hAnsiTheme="majorBidi" w:cstheme="majorBidi"/>
          <w:sz w:val="20"/>
          <w:szCs w:val="20"/>
        </w:rPr>
        <w:t>—</w:t>
      </w:r>
      <w:r w:rsidRPr="00DE5657">
        <w:rPr>
          <w:rFonts w:asciiTheme="majorBidi" w:hAnsiTheme="majorBidi" w:cstheme="majorBidi"/>
          <w:sz w:val="20"/>
          <w:szCs w:val="20"/>
        </w:rPr>
        <w:t>a Neolithic settlement inhabited between 7400 and 6000 BC</w:t>
      </w:r>
      <w:r w:rsidR="00256EA4">
        <w:rPr>
          <w:rFonts w:asciiTheme="majorBidi" w:hAnsiTheme="majorBidi" w:cstheme="majorBidi"/>
          <w:sz w:val="20"/>
          <w:szCs w:val="20"/>
        </w:rPr>
        <w:t>—</w:t>
      </w:r>
      <w:r w:rsidRPr="00DE5657">
        <w:rPr>
          <w:rFonts w:asciiTheme="majorBidi" w:hAnsiTheme="majorBidi" w:cstheme="majorBidi"/>
          <w:sz w:val="20"/>
          <w:szCs w:val="20"/>
        </w:rPr>
        <w:t>with the aim of gaining a holistic understanding of bodily representation.</w:t>
      </w:r>
    </w:p>
    <w:p w14:paraId="52EBCCCF" w14:textId="26744F85" w:rsidR="00DE5657" w:rsidRPr="00DE5657" w:rsidRDefault="00DE5657" w:rsidP="009B48FB">
      <w:pPr>
        <w:rPr>
          <w:rFonts w:asciiTheme="majorBidi" w:hAnsiTheme="majorBidi" w:cstheme="majorBidi"/>
          <w:b/>
          <w:bCs/>
          <w:i/>
          <w:iCs/>
          <w:sz w:val="20"/>
          <w:szCs w:val="20"/>
        </w:rPr>
      </w:pPr>
      <w:r w:rsidRPr="00DE5657">
        <w:rPr>
          <w:rFonts w:asciiTheme="majorBidi" w:hAnsiTheme="majorBidi" w:cstheme="majorBidi"/>
          <w:b/>
          <w:bCs/>
          <w:i/>
          <w:iCs/>
          <w:sz w:val="20"/>
          <w:szCs w:val="20"/>
        </w:rPr>
        <w:t>Background</w:t>
      </w:r>
    </w:p>
    <w:p w14:paraId="58EEAA0A" w14:textId="644097FB" w:rsidR="004C3962" w:rsidRDefault="00163C94" w:rsidP="00DE5657">
      <w:pPr>
        <w:rPr>
          <w:rFonts w:asciiTheme="majorBidi" w:hAnsiTheme="majorBidi" w:cstheme="majorBidi"/>
          <w:sz w:val="20"/>
          <w:szCs w:val="20"/>
        </w:rPr>
      </w:pPr>
      <w:r>
        <w:rPr>
          <w:rFonts w:asciiTheme="majorBidi" w:hAnsiTheme="majorBidi" w:cstheme="majorBidi"/>
          <w:sz w:val="20"/>
          <w:szCs w:val="20"/>
        </w:rPr>
        <w:tab/>
      </w:r>
      <w:r w:rsidRPr="005330EC">
        <w:rPr>
          <w:rFonts w:asciiTheme="majorBidi" w:hAnsiTheme="majorBidi" w:cstheme="majorBidi"/>
          <w:sz w:val="20"/>
          <w:szCs w:val="20"/>
        </w:rPr>
        <w:t xml:space="preserve">C̜atalhöyük </w:t>
      </w:r>
      <w:r>
        <w:rPr>
          <w:rFonts w:asciiTheme="majorBidi" w:hAnsiTheme="majorBidi" w:cstheme="majorBidi"/>
          <w:sz w:val="20"/>
          <w:szCs w:val="20"/>
        </w:rPr>
        <w:t>gained widespread recognition after James Mella</w:t>
      </w:r>
      <w:r w:rsidR="005B0424">
        <w:rPr>
          <w:rFonts w:asciiTheme="majorBidi" w:hAnsiTheme="majorBidi" w:cstheme="majorBidi"/>
          <w:sz w:val="20"/>
          <w:szCs w:val="20"/>
        </w:rPr>
        <w:t>a</w:t>
      </w:r>
      <w:r>
        <w:rPr>
          <w:rFonts w:asciiTheme="majorBidi" w:hAnsiTheme="majorBidi" w:cstheme="majorBidi"/>
          <w:sz w:val="20"/>
          <w:szCs w:val="20"/>
        </w:rPr>
        <w:t xml:space="preserve">rt </w:t>
      </w:r>
      <w:r w:rsidR="00493D6C">
        <w:rPr>
          <w:rFonts w:asciiTheme="majorBidi" w:hAnsiTheme="majorBidi" w:cstheme="majorBidi"/>
          <w:sz w:val="20"/>
          <w:szCs w:val="20"/>
        </w:rPr>
        <w:t>carried out</w:t>
      </w:r>
      <w:r>
        <w:rPr>
          <w:rFonts w:asciiTheme="majorBidi" w:hAnsiTheme="majorBidi" w:cstheme="majorBidi"/>
          <w:sz w:val="20"/>
          <w:szCs w:val="20"/>
        </w:rPr>
        <w:t xml:space="preserve"> excavations </w:t>
      </w:r>
      <w:r w:rsidR="00493D6C">
        <w:rPr>
          <w:rFonts w:asciiTheme="majorBidi" w:hAnsiTheme="majorBidi" w:cstheme="majorBidi"/>
          <w:sz w:val="20"/>
          <w:szCs w:val="20"/>
        </w:rPr>
        <w:t>between 1961 and 1965</w:t>
      </w:r>
      <w:r>
        <w:rPr>
          <w:rFonts w:asciiTheme="majorBidi" w:hAnsiTheme="majorBidi" w:cstheme="majorBidi"/>
          <w:sz w:val="20"/>
          <w:szCs w:val="20"/>
        </w:rPr>
        <w:t xml:space="preserve"> (</w:t>
      </w:r>
      <w:r w:rsidRPr="00E07498">
        <w:rPr>
          <w:rFonts w:asciiTheme="majorBidi" w:hAnsiTheme="majorBidi" w:cstheme="majorBidi"/>
          <w:sz w:val="20"/>
          <w:szCs w:val="20"/>
        </w:rPr>
        <w:t>Hodder</w:t>
      </w:r>
      <w:r>
        <w:rPr>
          <w:rFonts w:asciiTheme="majorBidi" w:hAnsiTheme="majorBidi" w:cstheme="majorBidi"/>
          <w:sz w:val="20"/>
          <w:szCs w:val="20"/>
        </w:rPr>
        <w:t>,</w:t>
      </w:r>
      <w:r w:rsidRPr="00E07498">
        <w:rPr>
          <w:rFonts w:asciiTheme="majorBidi" w:hAnsiTheme="majorBidi" w:cstheme="majorBidi"/>
          <w:sz w:val="20"/>
          <w:szCs w:val="20"/>
        </w:rPr>
        <w:t xml:space="preserve"> 2006).</w:t>
      </w:r>
      <w:r>
        <w:rPr>
          <w:rFonts w:asciiTheme="majorBidi" w:hAnsiTheme="majorBidi" w:cstheme="majorBidi"/>
          <w:sz w:val="20"/>
          <w:szCs w:val="20"/>
        </w:rPr>
        <w:t xml:space="preserve"> </w:t>
      </w:r>
      <w:r w:rsidRPr="00E07498">
        <w:rPr>
          <w:rFonts w:asciiTheme="majorBidi" w:hAnsiTheme="majorBidi" w:cstheme="majorBidi"/>
          <w:sz w:val="20"/>
          <w:szCs w:val="20"/>
        </w:rPr>
        <w:t>The site became renowned for its unique houses with rooftop access, plastered wall reliefs, bucrania, and wall paintings (Figure</w:t>
      </w:r>
      <w:r>
        <w:rPr>
          <w:rFonts w:asciiTheme="majorBidi" w:hAnsiTheme="majorBidi" w:cstheme="majorBidi"/>
          <w:sz w:val="20"/>
          <w:szCs w:val="20"/>
        </w:rPr>
        <w:t>s 1 and 2</w:t>
      </w:r>
      <w:r w:rsidRPr="00E07498">
        <w:rPr>
          <w:rFonts w:asciiTheme="majorBidi" w:hAnsiTheme="majorBidi" w:cstheme="majorBidi"/>
          <w:sz w:val="20"/>
          <w:szCs w:val="20"/>
        </w:rPr>
        <w:t>). Additionally, over a thousand figurines have been unearthed</w:t>
      </w:r>
      <w:r>
        <w:rPr>
          <w:rFonts w:asciiTheme="majorBidi" w:hAnsiTheme="majorBidi" w:cstheme="majorBidi"/>
          <w:sz w:val="20"/>
          <w:szCs w:val="20"/>
        </w:rPr>
        <w:t>, and t</w:t>
      </w:r>
      <w:r w:rsidRPr="00E07498">
        <w:rPr>
          <w:rFonts w:asciiTheme="majorBidi" w:hAnsiTheme="majorBidi" w:cstheme="majorBidi"/>
          <w:sz w:val="20"/>
          <w:szCs w:val="20"/>
        </w:rPr>
        <w:t xml:space="preserve">he presence of </w:t>
      </w:r>
      <w:r>
        <w:rPr>
          <w:rFonts w:asciiTheme="majorBidi" w:hAnsiTheme="majorBidi" w:cstheme="majorBidi"/>
          <w:sz w:val="20"/>
          <w:szCs w:val="20"/>
        </w:rPr>
        <w:t xml:space="preserve">numerous </w:t>
      </w:r>
      <w:r w:rsidRPr="00E07498">
        <w:rPr>
          <w:rFonts w:asciiTheme="majorBidi" w:hAnsiTheme="majorBidi" w:cstheme="majorBidi"/>
          <w:sz w:val="20"/>
          <w:szCs w:val="20"/>
        </w:rPr>
        <w:t>large</w:t>
      </w:r>
      <w:r>
        <w:rPr>
          <w:rFonts w:asciiTheme="majorBidi" w:hAnsiTheme="majorBidi" w:cstheme="majorBidi"/>
          <w:sz w:val="20"/>
          <w:szCs w:val="20"/>
        </w:rPr>
        <w:t>-</w:t>
      </w:r>
      <w:r w:rsidRPr="00E07498">
        <w:rPr>
          <w:rFonts w:asciiTheme="majorBidi" w:hAnsiTheme="majorBidi" w:cstheme="majorBidi"/>
          <w:sz w:val="20"/>
          <w:szCs w:val="20"/>
        </w:rPr>
        <w:t>bodied figurines w</w:t>
      </w:r>
      <w:r>
        <w:rPr>
          <w:rFonts w:asciiTheme="majorBidi" w:hAnsiTheme="majorBidi" w:cstheme="majorBidi"/>
          <w:sz w:val="20"/>
          <w:szCs w:val="20"/>
        </w:rPr>
        <w:t>as</w:t>
      </w:r>
      <w:r w:rsidRPr="00E07498">
        <w:rPr>
          <w:rFonts w:asciiTheme="majorBidi" w:hAnsiTheme="majorBidi" w:cstheme="majorBidi"/>
          <w:sz w:val="20"/>
          <w:szCs w:val="20"/>
        </w:rPr>
        <w:t xml:space="preserve"> initially interpreted as indicating the existence of the Mother Goddess cult</w:t>
      </w:r>
      <w:r w:rsidRPr="00B1745C">
        <w:rPr>
          <w:rFonts w:ascii="TimesNewRomanPS" w:hAnsi="TimesNewRomanPS" w:cs="TimesNewRomanPS"/>
          <w:kern w:val="0"/>
          <w:sz w:val="20"/>
          <w:szCs w:val="20"/>
        </w:rPr>
        <w:t xml:space="preserve"> </w:t>
      </w:r>
      <w:r>
        <w:rPr>
          <w:rFonts w:ascii="TimesNewRomanPS" w:hAnsi="TimesNewRomanPS" w:cs="TimesNewRomanPS"/>
          <w:kern w:val="0"/>
          <w:sz w:val="20"/>
          <w:szCs w:val="20"/>
        </w:rPr>
        <w:t>(</w:t>
      </w:r>
      <w:r w:rsidRPr="00B1745C">
        <w:rPr>
          <w:rFonts w:asciiTheme="majorBidi" w:hAnsiTheme="majorBidi" w:cstheme="majorBidi"/>
          <w:sz w:val="20"/>
          <w:szCs w:val="20"/>
        </w:rPr>
        <w:t>Mel</w:t>
      </w:r>
      <w:r>
        <w:rPr>
          <w:rFonts w:asciiTheme="majorBidi" w:hAnsiTheme="majorBidi" w:cstheme="majorBidi"/>
          <w:sz w:val="20"/>
          <w:szCs w:val="20"/>
        </w:rPr>
        <w:t>l</w:t>
      </w:r>
      <w:r w:rsidRPr="00B1745C">
        <w:rPr>
          <w:rFonts w:asciiTheme="majorBidi" w:hAnsiTheme="majorBidi" w:cstheme="majorBidi"/>
          <w:sz w:val="20"/>
          <w:szCs w:val="20"/>
        </w:rPr>
        <w:t>a</w:t>
      </w:r>
      <w:r w:rsidR="005B0424">
        <w:rPr>
          <w:rFonts w:asciiTheme="majorBidi" w:hAnsiTheme="majorBidi" w:cstheme="majorBidi"/>
          <w:sz w:val="20"/>
          <w:szCs w:val="20"/>
        </w:rPr>
        <w:t>a</w:t>
      </w:r>
      <w:r w:rsidRPr="00B1745C">
        <w:rPr>
          <w:rFonts w:asciiTheme="majorBidi" w:hAnsiTheme="majorBidi" w:cstheme="majorBidi"/>
          <w:sz w:val="20"/>
          <w:szCs w:val="20"/>
        </w:rPr>
        <w:t>rt</w:t>
      </w:r>
      <w:r>
        <w:rPr>
          <w:rFonts w:asciiTheme="majorBidi" w:hAnsiTheme="majorBidi" w:cstheme="majorBidi"/>
          <w:sz w:val="20"/>
          <w:szCs w:val="20"/>
        </w:rPr>
        <w:t>,</w:t>
      </w:r>
      <w:r w:rsidRPr="00B1745C">
        <w:rPr>
          <w:rFonts w:asciiTheme="majorBidi" w:hAnsiTheme="majorBidi" w:cstheme="majorBidi"/>
          <w:sz w:val="20"/>
          <w:szCs w:val="20"/>
        </w:rPr>
        <w:t xml:space="preserve"> 196</w:t>
      </w:r>
      <w:r w:rsidR="003D74FD">
        <w:rPr>
          <w:rFonts w:asciiTheme="majorBidi" w:hAnsiTheme="majorBidi" w:cstheme="majorBidi"/>
          <w:sz w:val="20"/>
          <w:szCs w:val="20"/>
        </w:rPr>
        <w:t>2, 1964</w:t>
      </w:r>
      <w:r>
        <w:rPr>
          <w:rFonts w:asciiTheme="majorBidi" w:hAnsiTheme="majorBidi" w:cstheme="majorBidi"/>
          <w:sz w:val="20"/>
          <w:szCs w:val="20"/>
        </w:rPr>
        <w:t xml:space="preserve">; </w:t>
      </w:r>
      <w:r w:rsidRPr="001B512D">
        <w:rPr>
          <w:rFonts w:asciiTheme="majorBidi" w:hAnsiTheme="majorBidi" w:cstheme="majorBidi"/>
          <w:sz w:val="20"/>
          <w:szCs w:val="20"/>
        </w:rPr>
        <w:t>Nakamura and Meskell,</w:t>
      </w:r>
      <w:r>
        <w:rPr>
          <w:rFonts w:asciiTheme="majorBidi" w:hAnsiTheme="majorBidi" w:cstheme="majorBidi"/>
          <w:sz w:val="20"/>
          <w:szCs w:val="20"/>
        </w:rPr>
        <w:t xml:space="preserve"> </w:t>
      </w:r>
      <w:r w:rsidRPr="001B512D">
        <w:rPr>
          <w:rFonts w:asciiTheme="majorBidi" w:hAnsiTheme="majorBidi" w:cstheme="majorBidi"/>
          <w:sz w:val="20"/>
          <w:szCs w:val="20"/>
        </w:rPr>
        <w:t>2009</w:t>
      </w:r>
      <w:r>
        <w:rPr>
          <w:rFonts w:asciiTheme="majorBidi" w:hAnsiTheme="majorBidi" w:cstheme="majorBidi"/>
          <w:sz w:val="20"/>
          <w:szCs w:val="20"/>
        </w:rPr>
        <w:t>)</w:t>
      </w:r>
      <w:r w:rsidRPr="00E07498">
        <w:rPr>
          <w:rFonts w:asciiTheme="majorBidi" w:hAnsiTheme="majorBidi" w:cstheme="majorBidi"/>
          <w:sz w:val="20"/>
          <w:szCs w:val="20"/>
        </w:rPr>
        <w:t xml:space="preserve">. </w:t>
      </w:r>
      <w:r>
        <w:rPr>
          <w:rFonts w:asciiTheme="majorBidi" w:hAnsiTheme="majorBidi" w:cstheme="majorBidi"/>
          <w:sz w:val="20"/>
          <w:szCs w:val="20"/>
        </w:rPr>
        <w:t>Notably</w:t>
      </w:r>
      <w:r w:rsidRPr="00E07498">
        <w:rPr>
          <w:rFonts w:asciiTheme="majorBidi" w:hAnsiTheme="majorBidi" w:cstheme="majorBidi"/>
          <w:sz w:val="20"/>
          <w:szCs w:val="20"/>
        </w:rPr>
        <w:t>, many of M</w:t>
      </w:r>
      <w:r>
        <w:rPr>
          <w:rFonts w:asciiTheme="majorBidi" w:hAnsiTheme="majorBidi" w:cstheme="majorBidi"/>
          <w:sz w:val="20"/>
          <w:szCs w:val="20"/>
        </w:rPr>
        <w:t>e</w:t>
      </w:r>
      <w:r w:rsidRPr="00E07498">
        <w:rPr>
          <w:rFonts w:asciiTheme="majorBidi" w:hAnsiTheme="majorBidi" w:cstheme="majorBidi"/>
          <w:sz w:val="20"/>
          <w:szCs w:val="20"/>
        </w:rPr>
        <w:t>lla</w:t>
      </w:r>
      <w:r w:rsidR="005B0424">
        <w:rPr>
          <w:rFonts w:asciiTheme="majorBidi" w:hAnsiTheme="majorBidi" w:cstheme="majorBidi"/>
          <w:sz w:val="20"/>
          <w:szCs w:val="20"/>
        </w:rPr>
        <w:t>a</w:t>
      </w:r>
      <w:r w:rsidRPr="00E07498">
        <w:rPr>
          <w:rFonts w:asciiTheme="majorBidi" w:hAnsiTheme="majorBidi" w:cstheme="majorBidi"/>
          <w:sz w:val="20"/>
          <w:szCs w:val="20"/>
        </w:rPr>
        <w:t xml:space="preserve">rt’s conclusions were later called into doubt when Ian Hodder </w:t>
      </w:r>
      <w:r>
        <w:rPr>
          <w:rFonts w:asciiTheme="majorBidi" w:hAnsiTheme="majorBidi" w:cstheme="majorBidi"/>
          <w:sz w:val="20"/>
          <w:szCs w:val="20"/>
        </w:rPr>
        <w:t xml:space="preserve">took over the excavations </w:t>
      </w:r>
      <w:r w:rsidRPr="00E07498">
        <w:rPr>
          <w:rFonts w:asciiTheme="majorBidi" w:hAnsiTheme="majorBidi" w:cstheme="majorBidi"/>
          <w:sz w:val="20"/>
          <w:szCs w:val="20"/>
        </w:rPr>
        <w:t>in 199</w:t>
      </w:r>
      <w:r w:rsidR="00356FCE">
        <w:rPr>
          <w:rFonts w:asciiTheme="majorBidi" w:hAnsiTheme="majorBidi" w:cstheme="majorBidi"/>
          <w:sz w:val="20"/>
          <w:szCs w:val="20"/>
        </w:rPr>
        <w:t>3</w:t>
      </w:r>
      <w:r w:rsidR="00062B6D">
        <w:rPr>
          <w:rFonts w:asciiTheme="majorBidi" w:hAnsiTheme="majorBidi" w:cstheme="majorBidi"/>
          <w:sz w:val="20"/>
          <w:szCs w:val="20"/>
        </w:rPr>
        <w:t xml:space="preserve"> (</w:t>
      </w:r>
      <w:r w:rsidR="00062B6D" w:rsidRPr="00062B6D">
        <w:rPr>
          <w:rFonts w:asciiTheme="majorBidi" w:hAnsiTheme="majorBidi" w:cstheme="majorBidi"/>
          <w:sz w:val="20"/>
          <w:szCs w:val="20"/>
        </w:rPr>
        <w:t>Hodder, 1990; Meskell, 1995, 1998</w:t>
      </w:r>
      <w:r w:rsidR="00062B6D">
        <w:rPr>
          <w:rFonts w:asciiTheme="majorBidi" w:hAnsiTheme="majorBidi" w:cstheme="majorBidi"/>
          <w:sz w:val="20"/>
          <w:szCs w:val="20"/>
        </w:rPr>
        <w:t>)</w:t>
      </w:r>
      <w:r w:rsidRPr="00E07498">
        <w:rPr>
          <w:rFonts w:asciiTheme="majorBidi" w:hAnsiTheme="majorBidi" w:cstheme="majorBidi"/>
          <w:sz w:val="20"/>
          <w:szCs w:val="20"/>
        </w:rPr>
        <w:t>. Mella</w:t>
      </w:r>
      <w:r w:rsidR="005B0424">
        <w:rPr>
          <w:rFonts w:asciiTheme="majorBidi" w:hAnsiTheme="majorBidi" w:cstheme="majorBidi"/>
          <w:sz w:val="20"/>
          <w:szCs w:val="20"/>
        </w:rPr>
        <w:t>a</w:t>
      </w:r>
      <w:r w:rsidRPr="00E07498">
        <w:rPr>
          <w:rFonts w:asciiTheme="majorBidi" w:hAnsiTheme="majorBidi" w:cstheme="majorBidi"/>
          <w:sz w:val="20"/>
          <w:szCs w:val="20"/>
        </w:rPr>
        <w:t>rt had linked certain figurines to ritual spaces and thus interpreted them as cult objects</w:t>
      </w:r>
      <w:r>
        <w:rPr>
          <w:rFonts w:asciiTheme="majorBidi" w:hAnsiTheme="majorBidi" w:cstheme="majorBidi"/>
          <w:sz w:val="20"/>
          <w:szCs w:val="20"/>
        </w:rPr>
        <w:t xml:space="preserve"> (</w:t>
      </w:r>
      <w:r w:rsidRPr="00B1745C">
        <w:rPr>
          <w:rFonts w:asciiTheme="majorBidi" w:hAnsiTheme="majorBidi" w:cstheme="majorBidi"/>
          <w:sz w:val="20"/>
          <w:szCs w:val="20"/>
        </w:rPr>
        <w:t>Mel</w:t>
      </w:r>
      <w:r>
        <w:rPr>
          <w:rFonts w:asciiTheme="majorBidi" w:hAnsiTheme="majorBidi" w:cstheme="majorBidi"/>
          <w:sz w:val="20"/>
          <w:szCs w:val="20"/>
        </w:rPr>
        <w:t>l</w:t>
      </w:r>
      <w:r w:rsidRPr="00B1745C">
        <w:rPr>
          <w:rFonts w:asciiTheme="majorBidi" w:hAnsiTheme="majorBidi" w:cstheme="majorBidi"/>
          <w:sz w:val="20"/>
          <w:szCs w:val="20"/>
        </w:rPr>
        <w:t>a</w:t>
      </w:r>
      <w:r w:rsidR="005B0424">
        <w:rPr>
          <w:rFonts w:asciiTheme="majorBidi" w:hAnsiTheme="majorBidi" w:cstheme="majorBidi"/>
          <w:sz w:val="20"/>
          <w:szCs w:val="20"/>
        </w:rPr>
        <w:t>a</w:t>
      </w:r>
      <w:r w:rsidRPr="00B1745C">
        <w:rPr>
          <w:rFonts w:asciiTheme="majorBidi" w:hAnsiTheme="majorBidi" w:cstheme="majorBidi"/>
          <w:sz w:val="20"/>
          <w:szCs w:val="20"/>
        </w:rPr>
        <w:t>rt</w:t>
      </w:r>
      <w:r>
        <w:rPr>
          <w:rFonts w:asciiTheme="majorBidi" w:hAnsiTheme="majorBidi" w:cstheme="majorBidi"/>
          <w:sz w:val="20"/>
          <w:szCs w:val="20"/>
        </w:rPr>
        <w:t>,</w:t>
      </w:r>
      <w:r w:rsidRPr="00B1745C">
        <w:rPr>
          <w:rFonts w:asciiTheme="majorBidi" w:hAnsiTheme="majorBidi" w:cstheme="majorBidi"/>
          <w:sz w:val="20"/>
          <w:szCs w:val="20"/>
        </w:rPr>
        <w:t xml:space="preserve"> 196</w:t>
      </w:r>
      <w:r w:rsidR="007D7D48">
        <w:rPr>
          <w:rFonts w:asciiTheme="majorBidi" w:hAnsiTheme="majorBidi" w:cstheme="majorBidi"/>
          <w:sz w:val="20"/>
          <w:szCs w:val="20"/>
        </w:rPr>
        <w:t>4</w:t>
      </w:r>
      <w:r>
        <w:rPr>
          <w:rFonts w:asciiTheme="majorBidi" w:hAnsiTheme="majorBidi" w:cstheme="majorBidi"/>
          <w:sz w:val="20"/>
          <w:szCs w:val="20"/>
        </w:rPr>
        <w:t>)</w:t>
      </w:r>
      <w:r w:rsidRPr="00E07498">
        <w:rPr>
          <w:rFonts w:asciiTheme="majorBidi" w:hAnsiTheme="majorBidi" w:cstheme="majorBidi"/>
          <w:sz w:val="20"/>
          <w:szCs w:val="20"/>
        </w:rPr>
        <w:t>. However, in lieu of what Mella</w:t>
      </w:r>
      <w:r w:rsidR="005B0424">
        <w:rPr>
          <w:rFonts w:asciiTheme="majorBidi" w:hAnsiTheme="majorBidi" w:cstheme="majorBidi"/>
          <w:sz w:val="20"/>
          <w:szCs w:val="20"/>
        </w:rPr>
        <w:t>a</w:t>
      </w:r>
      <w:r w:rsidRPr="00E07498">
        <w:rPr>
          <w:rFonts w:asciiTheme="majorBidi" w:hAnsiTheme="majorBidi" w:cstheme="majorBidi"/>
          <w:sz w:val="20"/>
          <w:szCs w:val="20"/>
        </w:rPr>
        <w:t xml:space="preserve">rt referred to as </w:t>
      </w:r>
      <w:r w:rsidR="00D374B8">
        <w:rPr>
          <w:rFonts w:asciiTheme="majorBidi" w:hAnsiTheme="majorBidi" w:cstheme="majorBidi"/>
          <w:sz w:val="20"/>
          <w:szCs w:val="20"/>
        </w:rPr>
        <w:t>‘</w:t>
      </w:r>
      <w:r w:rsidRPr="00E07498">
        <w:rPr>
          <w:rFonts w:asciiTheme="majorBidi" w:hAnsiTheme="majorBidi" w:cstheme="majorBidi"/>
          <w:sz w:val="20"/>
          <w:szCs w:val="20"/>
        </w:rPr>
        <w:t>shrines,</w:t>
      </w:r>
      <w:r w:rsidR="00D374B8">
        <w:rPr>
          <w:rFonts w:asciiTheme="majorBidi" w:hAnsiTheme="majorBidi" w:cstheme="majorBidi"/>
          <w:sz w:val="20"/>
          <w:szCs w:val="20"/>
        </w:rPr>
        <w:t>’</w:t>
      </w:r>
      <w:r w:rsidRPr="00E07498">
        <w:rPr>
          <w:rFonts w:asciiTheme="majorBidi" w:hAnsiTheme="majorBidi" w:cstheme="majorBidi"/>
          <w:sz w:val="20"/>
          <w:szCs w:val="20"/>
        </w:rPr>
        <w:t xml:space="preserve"> </w:t>
      </w:r>
      <w:r>
        <w:rPr>
          <w:rFonts w:asciiTheme="majorBidi" w:hAnsiTheme="majorBidi" w:cstheme="majorBidi"/>
          <w:sz w:val="20"/>
          <w:szCs w:val="20"/>
        </w:rPr>
        <w:t>later</w:t>
      </w:r>
      <w:r w:rsidRPr="00E07498">
        <w:rPr>
          <w:rFonts w:asciiTheme="majorBidi" w:hAnsiTheme="majorBidi" w:cstheme="majorBidi"/>
          <w:sz w:val="20"/>
          <w:szCs w:val="20"/>
        </w:rPr>
        <w:t xml:space="preserve"> excavations have shown that figurines are </w:t>
      </w:r>
      <w:r>
        <w:rPr>
          <w:rFonts w:asciiTheme="majorBidi" w:hAnsiTheme="majorBidi" w:cstheme="majorBidi"/>
          <w:sz w:val="20"/>
          <w:szCs w:val="20"/>
        </w:rPr>
        <w:t>often</w:t>
      </w:r>
      <w:r w:rsidRPr="00E07498">
        <w:rPr>
          <w:rFonts w:asciiTheme="majorBidi" w:hAnsiTheme="majorBidi" w:cstheme="majorBidi"/>
          <w:sz w:val="20"/>
          <w:szCs w:val="20"/>
        </w:rPr>
        <w:t xml:space="preserve"> </w:t>
      </w:r>
      <w:r>
        <w:rPr>
          <w:rFonts w:asciiTheme="majorBidi" w:hAnsiTheme="majorBidi" w:cstheme="majorBidi"/>
          <w:sz w:val="20"/>
          <w:szCs w:val="20"/>
        </w:rPr>
        <w:t>found</w:t>
      </w:r>
      <w:r w:rsidRPr="00E07498">
        <w:rPr>
          <w:rFonts w:asciiTheme="majorBidi" w:hAnsiTheme="majorBidi" w:cstheme="majorBidi"/>
          <w:sz w:val="20"/>
          <w:szCs w:val="20"/>
        </w:rPr>
        <w:t xml:space="preserve"> in secondary deposits, that is, middens and fills </w:t>
      </w:r>
      <w:r>
        <w:rPr>
          <w:rFonts w:asciiTheme="majorBidi" w:hAnsiTheme="majorBidi" w:cstheme="majorBidi"/>
          <w:sz w:val="20"/>
          <w:szCs w:val="20"/>
        </w:rPr>
        <w:t xml:space="preserve">inside houses </w:t>
      </w:r>
      <w:r w:rsidRPr="00E07498">
        <w:rPr>
          <w:rFonts w:asciiTheme="majorBidi" w:hAnsiTheme="majorBidi" w:cstheme="majorBidi"/>
          <w:sz w:val="20"/>
          <w:szCs w:val="20"/>
        </w:rPr>
        <w:t xml:space="preserve">(Meskell </w:t>
      </w:r>
      <w:r w:rsidRPr="007A47A4">
        <w:rPr>
          <w:rFonts w:asciiTheme="majorBidi" w:hAnsiTheme="majorBidi" w:cstheme="majorBidi"/>
          <w:i/>
          <w:iCs/>
          <w:sz w:val="20"/>
          <w:szCs w:val="20"/>
        </w:rPr>
        <w:t>et al.</w:t>
      </w:r>
      <w:r w:rsidR="007A47A4" w:rsidRPr="007A47A4">
        <w:rPr>
          <w:rFonts w:asciiTheme="majorBidi" w:hAnsiTheme="majorBidi" w:cstheme="majorBidi"/>
          <w:i/>
          <w:iCs/>
          <w:sz w:val="20"/>
          <w:szCs w:val="20"/>
        </w:rPr>
        <w:t>,</w:t>
      </w:r>
      <w:r w:rsidRPr="00E07498">
        <w:rPr>
          <w:rFonts w:asciiTheme="majorBidi" w:hAnsiTheme="majorBidi" w:cstheme="majorBidi"/>
          <w:sz w:val="20"/>
          <w:szCs w:val="20"/>
        </w:rPr>
        <w:t xml:space="preserve"> 2008). </w:t>
      </w:r>
      <w:r>
        <w:rPr>
          <w:rFonts w:asciiTheme="majorBidi" w:hAnsiTheme="majorBidi" w:cstheme="majorBidi"/>
          <w:sz w:val="20"/>
          <w:szCs w:val="20"/>
        </w:rPr>
        <w:t>While this does not necessarily rule out their possible connection to rituals,</w:t>
      </w:r>
      <w:r w:rsidRPr="00F27BB0">
        <w:rPr>
          <w:rFonts w:ascii="Times New Roman" w:eastAsia="Times New Roman" w:hAnsi="Times New Roman" w:cs="Times New Roman"/>
          <w:kern w:val="0"/>
          <w:sz w:val="24"/>
          <w:szCs w:val="24"/>
          <w14:ligatures w14:val="none"/>
        </w:rPr>
        <w:t xml:space="preserve"> </w:t>
      </w:r>
      <w:r w:rsidRPr="00F27BB0">
        <w:rPr>
          <w:rFonts w:asciiTheme="majorBidi" w:hAnsiTheme="majorBidi" w:cstheme="majorBidi"/>
          <w:sz w:val="20"/>
          <w:szCs w:val="20"/>
        </w:rPr>
        <w:t>figurines seem to have less obvious</w:t>
      </w:r>
      <w:r>
        <w:rPr>
          <w:rFonts w:asciiTheme="majorBidi" w:hAnsiTheme="majorBidi" w:cstheme="majorBidi"/>
          <w:sz w:val="20"/>
          <w:szCs w:val="20"/>
        </w:rPr>
        <w:t xml:space="preserve"> ritual</w:t>
      </w:r>
      <w:r w:rsidRPr="00F27BB0">
        <w:rPr>
          <w:rFonts w:asciiTheme="majorBidi" w:hAnsiTheme="majorBidi" w:cstheme="majorBidi"/>
          <w:sz w:val="20"/>
          <w:szCs w:val="20"/>
        </w:rPr>
        <w:t xml:space="preserve"> framing </w:t>
      </w:r>
      <w:r w:rsidR="004C3962">
        <w:rPr>
          <w:rFonts w:asciiTheme="majorBidi" w:hAnsiTheme="majorBidi" w:cstheme="majorBidi"/>
          <w:sz w:val="20"/>
          <w:szCs w:val="20"/>
        </w:rPr>
        <w:t xml:space="preserve">as they </w:t>
      </w:r>
      <w:r w:rsidR="00B10827">
        <w:rPr>
          <w:rFonts w:asciiTheme="majorBidi" w:hAnsiTheme="majorBidi" w:cstheme="majorBidi"/>
          <w:sz w:val="20"/>
          <w:szCs w:val="20"/>
        </w:rPr>
        <w:t xml:space="preserve">were </w:t>
      </w:r>
      <w:r w:rsidR="00C35CD9">
        <w:rPr>
          <w:rFonts w:asciiTheme="majorBidi" w:hAnsiTheme="majorBidi" w:cstheme="majorBidi"/>
          <w:sz w:val="20"/>
          <w:szCs w:val="20"/>
        </w:rPr>
        <w:t>widely used and disposed of rather than treasured and passed down through the generations (Meskell, 2009).</w:t>
      </w:r>
    </w:p>
    <w:p w14:paraId="45A4776D" w14:textId="77777777" w:rsidR="00163C94" w:rsidRDefault="00163C94" w:rsidP="00DE5657">
      <w:pPr>
        <w:jc w:val="center"/>
        <w:rPr>
          <w:rFonts w:asciiTheme="majorBidi" w:hAnsiTheme="majorBidi" w:cstheme="majorBidi"/>
          <w:sz w:val="20"/>
          <w:szCs w:val="20"/>
        </w:rPr>
      </w:pPr>
      <w:r>
        <w:rPr>
          <w:rFonts w:asciiTheme="majorBidi" w:hAnsiTheme="majorBidi" w:cstheme="majorBidi"/>
          <w:noProof/>
          <w:sz w:val="20"/>
          <w:szCs w:val="20"/>
        </w:rPr>
        <w:drawing>
          <wp:inline distT="0" distB="0" distL="0" distR="0" wp14:anchorId="19E631E0" wp14:editId="0EBB9885">
            <wp:extent cx="4209263" cy="2790630"/>
            <wp:effectExtent l="0" t="0" r="1270" b="0"/>
            <wp:docPr id="2159278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927852" name="Picture 215927852"/>
                    <pic:cNvPicPr/>
                  </pic:nvPicPr>
                  <pic:blipFill>
                    <a:blip r:embed="rId4">
                      <a:extLst>
                        <a:ext uri="{28A0092B-C50C-407E-A947-70E740481C1C}">
                          <a14:useLocalDpi xmlns:a14="http://schemas.microsoft.com/office/drawing/2010/main" val="0"/>
                        </a:ext>
                      </a:extLst>
                    </a:blip>
                    <a:stretch>
                      <a:fillRect/>
                    </a:stretch>
                  </pic:blipFill>
                  <pic:spPr>
                    <a:xfrm>
                      <a:off x="0" y="0"/>
                      <a:ext cx="4223169" cy="2799849"/>
                    </a:xfrm>
                    <a:prstGeom prst="rect">
                      <a:avLst/>
                    </a:prstGeom>
                  </pic:spPr>
                </pic:pic>
              </a:graphicData>
            </a:graphic>
          </wp:inline>
        </w:drawing>
      </w:r>
    </w:p>
    <w:p w14:paraId="51867CF1" w14:textId="44F61541" w:rsidR="00163C94" w:rsidRDefault="00163C94" w:rsidP="00D07910">
      <w:pPr>
        <w:jc w:val="center"/>
        <w:rPr>
          <w:rFonts w:asciiTheme="majorBidi" w:hAnsiTheme="majorBidi" w:cstheme="majorBidi"/>
          <w:sz w:val="20"/>
          <w:szCs w:val="20"/>
        </w:rPr>
      </w:pPr>
      <w:r>
        <w:rPr>
          <w:rFonts w:asciiTheme="majorBidi" w:hAnsiTheme="majorBidi" w:cstheme="majorBidi"/>
          <w:sz w:val="20"/>
          <w:szCs w:val="20"/>
        </w:rPr>
        <w:lastRenderedPageBreak/>
        <w:t xml:space="preserve">Figure 1. Excavations at </w:t>
      </w:r>
      <w:r w:rsidRPr="006776E6">
        <w:rPr>
          <w:rFonts w:asciiTheme="majorBidi" w:hAnsiTheme="majorBidi" w:cstheme="majorBidi"/>
          <w:sz w:val="20"/>
          <w:szCs w:val="20"/>
        </w:rPr>
        <w:t>C̜atalhöyük (</w:t>
      </w:r>
      <w:r>
        <w:rPr>
          <w:rFonts w:asciiTheme="majorBidi" w:hAnsiTheme="majorBidi" w:cstheme="majorBidi"/>
          <w:sz w:val="20"/>
          <w:szCs w:val="20"/>
        </w:rPr>
        <w:t xml:space="preserve">Source: </w:t>
      </w:r>
      <w:r w:rsidRPr="001B0506">
        <w:rPr>
          <w:rFonts w:asciiTheme="majorBidi" w:hAnsiTheme="majorBidi" w:cstheme="majorBidi"/>
          <w:sz w:val="20"/>
          <w:szCs w:val="20"/>
        </w:rPr>
        <w:t>© </w:t>
      </w:r>
      <w:r w:rsidR="00D07910" w:rsidRPr="00D07910">
        <w:rPr>
          <w:rFonts w:asciiTheme="majorBidi" w:hAnsiTheme="majorBidi" w:cstheme="majorBidi"/>
          <w:sz w:val="20"/>
          <w:szCs w:val="20"/>
        </w:rPr>
        <w:t xml:space="preserve">C̜atalhöyük </w:t>
      </w:r>
      <w:r w:rsidRPr="001B0506">
        <w:rPr>
          <w:rFonts w:asciiTheme="majorBidi" w:hAnsiTheme="majorBidi" w:cstheme="majorBidi"/>
          <w:sz w:val="20"/>
          <w:szCs w:val="20"/>
        </w:rPr>
        <w:t>Research Project</w:t>
      </w:r>
      <w:r>
        <w:rPr>
          <w:rFonts w:asciiTheme="majorBidi" w:hAnsiTheme="majorBidi" w:cstheme="majorBidi"/>
          <w:sz w:val="20"/>
          <w:szCs w:val="20"/>
        </w:rPr>
        <w:t xml:space="preserve">; </w:t>
      </w:r>
      <w:r w:rsidRPr="001B0506">
        <w:rPr>
          <w:rFonts w:asciiTheme="majorBidi" w:hAnsiTheme="majorBidi" w:cstheme="majorBidi"/>
          <w:sz w:val="20"/>
          <w:szCs w:val="20"/>
        </w:rPr>
        <w:t>Author: Jason Quinlan</w:t>
      </w:r>
      <w:r w:rsidRPr="006776E6">
        <w:rPr>
          <w:rFonts w:asciiTheme="majorBidi" w:hAnsiTheme="majorBidi" w:cstheme="majorBidi"/>
          <w:sz w:val="20"/>
          <w:szCs w:val="20"/>
        </w:rPr>
        <w:t>)</w:t>
      </w:r>
    </w:p>
    <w:p w14:paraId="2F741C6B" w14:textId="77777777" w:rsidR="00163C94" w:rsidRDefault="00163C94" w:rsidP="00163C94">
      <w:pPr>
        <w:jc w:val="center"/>
        <w:rPr>
          <w:rFonts w:asciiTheme="majorBidi" w:hAnsiTheme="majorBidi" w:cstheme="majorBidi"/>
          <w:sz w:val="20"/>
          <w:szCs w:val="20"/>
        </w:rPr>
      </w:pPr>
      <w:r>
        <w:rPr>
          <w:rFonts w:asciiTheme="majorBidi" w:hAnsiTheme="majorBidi" w:cstheme="majorBidi"/>
          <w:noProof/>
          <w:sz w:val="20"/>
          <w:szCs w:val="20"/>
        </w:rPr>
        <w:drawing>
          <wp:inline distT="0" distB="0" distL="0" distR="0" wp14:anchorId="2FC14C96" wp14:editId="440782FB">
            <wp:extent cx="4247048" cy="2811917"/>
            <wp:effectExtent l="0" t="0" r="1270" b="7620"/>
            <wp:docPr id="164089219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892190" name="Picture 1640892190"/>
                    <pic:cNvPicPr/>
                  </pic:nvPicPr>
                  <pic:blipFill>
                    <a:blip r:embed="rId5">
                      <a:extLst>
                        <a:ext uri="{28A0092B-C50C-407E-A947-70E740481C1C}">
                          <a14:useLocalDpi xmlns:a14="http://schemas.microsoft.com/office/drawing/2010/main" val="0"/>
                        </a:ext>
                      </a:extLst>
                    </a:blip>
                    <a:stretch>
                      <a:fillRect/>
                    </a:stretch>
                  </pic:blipFill>
                  <pic:spPr>
                    <a:xfrm>
                      <a:off x="0" y="0"/>
                      <a:ext cx="4260428" cy="2820775"/>
                    </a:xfrm>
                    <a:prstGeom prst="rect">
                      <a:avLst/>
                    </a:prstGeom>
                  </pic:spPr>
                </pic:pic>
              </a:graphicData>
            </a:graphic>
          </wp:inline>
        </w:drawing>
      </w:r>
    </w:p>
    <w:p w14:paraId="1472F9CF" w14:textId="7334820F" w:rsidR="00163C94" w:rsidRPr="00F27BB0" w:rsidRDefault="00163C94" w:rsidP="00163C94">
      <w:pPr>
        <w:jc w:val="center"/>
        <w:rPr>
          <w:rFonts w:asciiTheme="majorBidi" w:hAnsiTheme="majorBidi" w:cstheme="majorBidi"/>
          <w:sz w:val="20"/>
          <w:szCs w:val="20"/>
        </w:rPr>
      </w:pPr>
      <w:r>
        <w:rPr>
          <w:rFonts w:asciiTheme="majorBidi" w:hAnsiTheme="majorBidi" w:cstheme="majorBidi"/>
          <w:sz w:val="20"/>
          <w:szCs w:val="20"/>
        </w:rPr>
        <w:t xml:space="preserve">Figure 2. </w:t>
      </w:r>
      <w:r w:rsidRPr="00292367">
        <w:rPr>
          <w:rFonts w:asciiTheme="majorBidi" w:hAnsiTheme="majorBidi" w:cstheme="majorBidi"/>
          <w:sz w:val="20"/>
          <w:szCs w:val="20"/>
        </w:rPr>
        <w:t xml:space="preserve">Wall </w:t>
      </w:r>
      <w:r>
        <w:rPr>
          <w:rFonts w:asciiTheme="majorBidi" w:hAnsiTheme="majorBidi" w:cstheme="majorBidi"/>
          <w:sz w:val="20"/>
          <w:szCs w:val="20"/>
        </w:rPr>
        <w:t>p</w:t>
      </w:r>
      <w:r w:rsidRPr="00292367">
        <w:rPr>
          <w:rFonts w:asciiTheme="majorBidi" w:hAnsiTheme="majorBidi" w:cstheme="majorBidi"/>
          <w:sz w:val="20"/>
          <w:szCs w:val="20"/>
        </w:rPr>
        <w:t xml:space="preserve">ainting </w:t>
      </w:r>
      <w:r w:rsidR="00D72E5E">
        <w:rPr>
          <w:rFonts w:asciiTheme="majorBidi" w:hAnsiTheme="majorBidi" w:cstheme="majorBidi"/>
          <w:sz w:val="20"/>
          <w:szCs w:val="20"/>
        </w:rPr>
        <w:t>on</w:t>
      </w:r>
      <w:r w:rsidRPr="00292367">
        <w:rPr>
          <w:rFonts w:asciiTheme="majorBidi" w:hAnsiTheme="majorBidi" w:cstheme="majorBidi"/>
          <w:sz w:val="20"/>
          <w:szCs w:val="20"/>
        </w:rPr>
        <w:t xml:space="preserve"> Building 80 (</w:t>
      </w:r>
      <w:r>
        <w:rPr>
          <w:rFonts w:asciiTheme="majorBidi" w:hAnsiTheme="majorBidi" w:cstheme="majorBidi"/>
          <w:sz w:val="20"/>
          <w:szCs w:val="20"/>
        </w:rPr>
        <w:t xml:space="preserve">Source: </w:t>
      </w:r>
      <w:r w:rsidRPr="0054132C">
        <w:rPr>
          <w:rFonts w:asciiTheme="majorBidi" w:hAnsiTheme="majorBidi" w:cstheme="majorBidi"/>
          <w:sz w:val="20"/>
          <w:szCs w:val="20"/>
        </w:rPr>
        <w:t>https://www.flickr.com/photos/catalhoyuk/6042191317/in/photostream/</w:t>
      </w:r>
      <w:r w:rsidRPr="00292367">
        <w:rPr>
          <w:rFonts w:asciiTheme="majorBidi" w:hAnsiTheme="majorBidi" w:cstheme="majorBidi"/>
          <w:sz w:val="20"/>
          <w:szCs w:val="20"/>
        </w:rPr>
        <w:t>)</w:t>
      </w:r>
    </w:p>
    <w:p w14:paraId="78D21A71" w14:textId="77777777" w:rsidR="00163C94" w:rsidRDefault="00163C94" w:rsidP="009B48FB">
      <w:pPr>
        <w:rPr>
          <w:rFonts w:asciiTheme="majorBidi" w:hAnsiTheme="majorBidi" w:cstheme="majorBidi"/>
          <w:sz w:val="20"/>
          <w:szCs w:val="20"/>
        </w:rPr>
      </w:pPr>
    </w:p>
    <w:p w14:paraId="4EFC086B" w14:textId="0F71E75F" w:rsidR="00B877A9" w:rsidRPr="00F50172" w:rsidRDefault="00B877A9" w:rsidP="00B877A9">
      <w:pPr>
        <w:jc w:val="both"/>
        <w:rPr>
          <w:rFonts w:asciiTheme="majorBidi" w:hAnsiTheme="majorBidi" w:cstheme="majorBidi"/>
          <w:b/>
          <w:bCs/>
          <w:i/>
          <w:iCs/>
          <w:sz w:val="20"/>
          <w:szCs w:val="20"/>
        </w:rPr>
      </w:pPr>
      <w:r w:rsidRPr="00F50172">
        <w:rPr>
          <w:rFonts w:asciiTheme="majorBidi" w:hAnsiTheme="majorBidi" w:cstheme="majorBidi"/>
          <w:b/>
          <w:bCs/>
          <w:i/>
          <w:iCs/>
          <w:sz w:val="20"/>
          <w:szCs w:val="20"/>
        </w:rPr>
        <w:t xml:space="preserve">Flesh as </w:t>
      </w:r>
      <w:r>
        <w:rPr>
          <w:rFonts w:asciiTheme="majorBidi" w:hAnsiTheme="majorBidi" w:cstheme="majorBidi"/>
          <w:b/>
          <w:bCs/>
          <w:i/>
          <w:iCs/>
          <w:sz w:val="20"/>
          <w:szCs w:val="20"/>
        </w:rPr>
        <w:t xml:space="preserve">Vital </w:t>
      </w:r>
      <w:r w:rsidRPr="00F50172">
        <w:rPr>
          <w:rFonts w:asciiTheme="majorBidi" w:hAnsiTheme="majorBidi" w:cstheme="majorBidi"/>
          <w:b/>
          <w:bCs/>
          <w:i/>
          <w:iCs/>
          <w:sz w:val="20"/>
          <w:szCs w:val="20"/>
        </w:rPr>
        <w:t>Material</w:t>
      </w:r>
    </w:p>
    <w:p w14:paraId="35AC3361" w14:textId="7B4B87E6" w:rsidR="001A34D0" w:rsidRDefault="00B877A9" w:rsidP="00B877A9">
      <w:pPr>
        <w:rPr>
          <w:rFonts w:asciiTheme="majorBidi" w:hAnsiTheme="majorBidi" w:cstheme="majorBidi"/>
          <w:sz w:val="20"/>
          <w:szCs w:val="20"/>
        </w:rPr>
      </w:pPr>
      <w:r>
        <w:rPr>
          <w:rFonts w:asciiTheme="majorBidi" w:hAnsiTheme="majorBidi" w:cstheme="majorBidi"/>
          <w:sz w:val="20"/>
          <w:szCs w:val="20"/>
        </w:rPr>
        <w:tab/>
      </w:r>
      <w:r w:rsidRPr="00A64246">
        <w:rPr>
          <w:rFonts w:asciiTheme="majorBidi" w:hAnsiTheme="majorBidi" w:cstheme="majorBidi"/>
          <w:sz w:val="20"/>
          <w:szCs w:val="20"/>
        </w:rPr>
        <w:t>The inhabitants at C̜atalhöyük practi</w:t>
      </w:r>
      <w:r w:rsidR="00B06E33">
        <w:rPr>
          <w:rFonts w:asciiTheme="majorBidi" w:hAnsiTheme="majorBidi" w:cstheme="majorBidi"/>
          <w:sz w:val="20"/>
          <w:szCs w:val="20"/>
        </w:rPr>
        <w:t>s</w:t>
      </w:r>
      <w:r w:rsidRPr="00A64246">
        <w:rPr>
          <w:rFonts w:asciiTheme="majorBidi" w:hAnsiTheme="majorBidi" w:cstheme="majorBidi"/>
          <w:sz w:val="20"/>
          <w:szCs w:val="20"/>
        </w:rPr>
        <w:t>ed a distinct form of intermural burials, in that they buried their dead not just beneath the floors of their homes but also in their foundations, walls, benches, infill, and middens</w:t>
      </w:r>
      <w:r w:rsidR="001D1D9F">
        <w:rPr>
          <w:rFonts w:asciiTheme="majorBidi" w:hAnsiTheme="majorBidi" w:cstheme="majorBidi"/>
          <w:sz w:val="20"/>
          <w:szCs w:val="20"/>
        </w:rPr>
        <w:t xml:space="preserve"> (Nakamura and Meskell, 2013)</w:t>
      </w:r>
      <w:r w:rsidRPr="00A64246">
        <w:rPr>
          <w:rFonts w:asciiTheme="majorBidi" w:hAnsiTheme="majorBidi" w:cstheme="majorBidi"/>
          <w:sz w:val="20"/>
          <w:szCs w:val="20"/>
        </w:rPr>
        <w:t>. Considering that they modified and circulated certain parts of their dead, they were familiar with dead bodies</w:t>
      </w:r>
      <w:r w:rsidR="00B06E33">
        <w:rPr>
          <w:rFonts w:asciiTheme="majorBidi" w:hAnsiTheme="majorBidi" w:cstheme="majorBidi"/>
          <w:sz w:val="20"/>
          <w:szCs w:val="20"/>
        </w:rPr>
        <w:t>,</w:t>
      </w:r>
      <w:r w:rsidRPr="00A64246">
        <w:rPr>
          <w:rFonts w:asciiTheme="majorBidi" w:hAnsiTheme="majorBidi" w:cstheme="majorBidi"/>
          <w:sz w:val="20"/>
          <w:szCs w:val="20"/>
        </w:rPr>
        <w:t xml:space="preserve"> especially in terms of decay and fragility of remains. To deal with these realities, plaster was used to enhance the dead. This was similar to the way their homes were repeatedly plastered in layers to create something like new skin</w:t>
      </w:r>
      <w:r w:rsidR="00A954C8">
        <w:rPr>
          <w:rFonts w:asciiTheme="majorBidi" w:hAnsiTheme="majorBidi" w:cstheme="majorBidi"/>
          <w:sz w:val="20"/>
          <w:szCs w:val="20"/>
        </w:rPr>
        <w:t xml:space="preserve"> (Pearson and Meskell, 201</w:t>
      </w:r>
      <w:r w:rsidR="00C050ED">
        <w:rPr>
          <w:rFonts w:asciiTheme="majorBidi" w:hAnsiTheme="majorBidi" w:cstheme="majorBidi"/>
          <w:sz w:val="20"/>
          <w:szCs w:val="20"/>
        </w:rPr>
        <w:t>4</w:t>
      </w:r>
      <w:r w:rsidR="00A954C8">
        <w:rPr>
          <w:rFonts w:asciiTheme="majorBidi" w:hAnsiTheme="majorBidi" w:cstheme="majorBidi"/>
          <w:sz w:val="20"/>
          <w:szCs w:val="20"/>
        </w:rPr>
        <w:t>)</w:t>
      </w:r>
      <w:r w:rsidRPr="00A64246">
        <w:rPr>
          <w:rFonts w:asciiTheme="majorBidi" w:hAnsiTheme="majorBidi" w:cstheme="majorBidi"/>
          <w:sz w:val="20"/>
          <w:szCs w:val="20"/>
        </w:rPr>
        <w:t xml:space="preserve">. An example of this is seen in Building 42 (Figure </w:t>
      </w:r>
      <w:r>
        <w:rPr>
          <w:rFonts w:asciiTheme="majorBidi" w:hAnsiTheme="majorBidi" w:cstheme="majorBidi"/>
          <w:sz w:val="20"/>
          <w:szCs w:val="20"/>
        </w:rPr>
        <w:t>3</w:t>
      </w:r>
      <w:r w:rsidRPr="00A64246">
        <w:rPr>
          <w:rFonts w:asciiTheme="majorBidi" w:hAnsiTheme="majorBidi" w:cstheme="majorBidi"/>
          <w:sz w:val="20"/>
          <w:szCs w:val="20"/>
        </w:rPr>
        <w:t xml:space="preserve">), where a skull has several layers of plaster, creating the illusion of being fleshed (Hodder, 2007). The multiple layers of plaster suggest that the skull was probably circulated for a long period of time. This fascination with flesh as living material extends to animals as well, with animal skulls and horns getting similar treatment (Figure </w:t>
      </w:r>
      <w:r>
        <w:rPr>
          <w:rFonts w:asciiTheme="majorBidi" w:hAnsiTheme="majorBidi" w:cstheme="majorBidi"/>
          <w:sz w:val="20"/>
          <w:szCs w:val="20"/>
        </w:rPr>
        <w:t>4</w:t>
      </w:r>
      <w:r w:rsidRPr="00A64246">
        <w:rPr>
          <w:rFonts w:asciiTheme="majorBidi" w:hAnsiTheme="majorBidi" w:cstheme="majorBidi"/>
          <w:sz w:val="20"/>
          <w:szCs w:val="20"/>
        </w:rPr>
        <w:t>). These practices related to the use of plaster underscore a desire to mediate the tension between skeletal and fleshed bodies and, perhaps, life and death.</w:t>
      </w:r>
    </w:p>
    <w:p w14:paraId="42FC94D3" w14:textId="77777777" w:rsidR="00EF19DD" w:rsidRDefault="00EF19DD" w:rsidP="00EF19DD">
      <w:pPr>
        <w:jc w:val="center"/>
        <w:rPr>
          <w:rFonts w:asciiTheme="majorBidi" w:hAnsiTheme="majorBidi" w:cstheme="majorBidi"/>
          <w:sz w:val="20"/>
          <w:szCs w:val="20"/>
        </w:rPr>
      </w:pPr>
      <w:r>
        <w:rPr>
          <w:rFonts w:asciiTheme="majorBidi" w:hAnsiTheme="majorBidi" w:cstheme="majorBidi"/>
          <w:noProof/>
          <w:sz w:val="20"/>
          <w:szCs w:val="20"/>
        </w:rPr>
        <w:drawing>
          <wp:inline distT="0" distB="0" distL="0" distR="0" wp14:anchorId="2C450210" wp14:editId="1CEDF9E3">
            <wp:extent cx="4496430" cy="2218325"/>
            <wp:effectExtent l="0" t="0" r="0" b="0"/>
            <wp:docPr id="206846784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467842" name="Picture 2068467842"/>
                    <pic:cNvPicPr/>
                  </pic:nvPicPr>
                  <pic:blipFill>
                    <a:blip r:embed="rId6">
                      <a:extLst>
                        <a:ext uri="{28A0092B-C50C-407E-A947-70E740481C1C}">
                          <a14:useLocalDpi xmlns:a14="http://schemas.microsoft.com/office/drawing/2010/main" val="0"/>
                        </a:ext>
                      </a:extLst>
                    </a:blip>
                    <a:stretch>
                      <a:fillRect/>
                    </a:stretch>
                  </pic:blipFill>
                  <pic:spPr>
                    <a:xfrm>
                      <a:off x="0" y="0"/>
                      <a:ext cx="4516501" cy="2228227"/>
                    </a:xfrm>
                    <a:prstGeom prst="rect">
                      <a:avLst/>
                    </a:prstGeom>
                  </pic:spPr>
                </pic:pic>
              </a:graphicData>
            </a:graphic>
          </wp:inline>
        </w:drawing>
      </w:r>
    </w:p>
    <w:p w14:paraId="6EE64568" w14:textId="77777777" w:rsidR="00EF19DD" w:rsidRDefault="00EF19DD" w:rsidP="00EF19DD">
      <w:pPr>
        <w:jc w:val="center"/>
        <w:rPr>
          <w:rFonts w:asciiTheme="majorBidi" w:hAnsiTheme="majorBidi" w:cstheme="majorBidi"/>
          <w:sz w:val="20"/>
          <w:szCs w:val="20"/>
        </w:rPr>
      </w:pPr>
      <w:r w:rsidRPr="00BC7374">
        <w:rPr>
          <w:rFonts w:asciiTheme="majorBidi" w:hAnsiTheme="majorBidi" w:cstheme="majorBidi"/>
          <w:sz w:val="20"/>
          <w:szCs w:val="20"/>
        </w:rPr>
        <w:t xml:space="preserve">Figure </w:t>
      </w:r>
      <w:r>
        <w:rPr>
          <w:rFonts w:asciiTheme="majorBidi" w:hAnsiTheme="majorBidi" w:cstheme="majorBidi"/>
          <w:sz w:val="20"/>
          <w:szCs w:val="20"/>
        </w:rPr>
        <w:t>3</w:t>
      </w:r>
      <w:r w:rsidRPr="00BC7374">
        <w:rPr>
          <w:rFonts w:asciiTheme="majorBidi" w:hAnsiTheme="majorBidi" w:cstheme="majorBidi"/>
          <w:sz w:val="20"/>
          <w:szCs w:val="20"/>
        </w:rPr>
        <w:t xml:space="preserve">. </w:t>
      </w:r>
      <w:r>
        <w:rPr>
          <w:rFonts w:asciiTheme="majorBidi" w:hAnsiTheme="majorBidi" w:cstheme="majorBidi"/>
          <w:sz w:val="20"/>
          <w:szCs w:val="20"/>
        </w:rPr>
        <w:t>P</w:t>
      </w:r>
      <w:r w:rsidRPr="00BC7374">
        <w:rPr>
          <w:rFonts w:asciiTheme="majorBidi" w:hAnsiTheme="majorBidi" w:cstheme="majorBidi"/>
          <w:sz w:val="20"/>
          <w:szCs w:val="20"/>
        </w:rPr>
        <w:t xml:space="preserve">lastered skull </w:t>
      </w:r>
      <w:r>
        <w:rPr>
          <w:rFonts w:asciiTheme="majorBidi" w:hAnsiTheme="majorBidi" w:cstheme="majorBidi"/>
          <w:sz w:val="20"/>
          <w:szCs w:val="20"/>
        </w:rPr>
        <w:t xml:space="preserve">in Building 42 </w:t>
      </w:r>
      <w:r w:rsidRPr="00BC7374">
        <w:rPr>
          <w:rFonts w:asciiTheme="majorBidi" w:hAnsiTheme="majorBidi" w:cstheme="majorBidi"/>
          <w:sz w:val="20"/>
          <w:szCs w:val="20"/>
        </w:rPr>
        <w:t>(</w:t>
      </w:r>
      <w:r>
        <w:rPr>
          <w:rFonts w:asciiTheme="majorBidi" w:hAnsiTheme="majorBidi" w:cstheme="majorBidi"/>
          <w:sz w:val="20"/>
          <w:szCs w:val="20"/>
        </w:rPr>
        <w:t>S</w:t>
      </w:r>
      <w:r w:rsidRPr="00BC7374">
        <w:rPr>
          <w:rFonts w:asciiTheme="majorBidi" w:hAnsiTheme="majorBidi" w:cstheme="majorBidi"/>
          <w:sz w:val="20"/>
          <w:szCs w:val="20"/>
        </w:rPr>
        <w:t>ource: Çatalhöyük Research Project)</w:t>
      </w:r>
    </w:p>
    <w:p w14:paraId="1301900F" w14:textId="77777777" w:rsidR="00EF19DD" w:rsidRDefault="00EF19DD" w:rsidP="00EF19DD">
      <w:pPr>
        <w:jc w:val="center"/>
        <w:rPr>
          <w:rFonts w:asciiTheme="majorBidi" w:hAnsiTheme="majorBidi" w:cstheme="majorBidi"/>
          <w:sz w:val="20"/>
          <w:szCs w:val="20"/>
        </w:rPr>
      </w:pPr>
      <w:r>
        <w:rPr>
          <w:rFonts w:asciiTheme="majorBidi" w:hAnsiTheme="majorBidi" w:cstheme="majorBidi"/>
          <w:noProof/>
          <w:sz w:val="20"/>
          <w:szCs w:val="20"/>
        </w:rPr>
        <w:lastRenderedPageBreak/>
        <w:drawing>
          <wp:inline distT="0" distB="0" distL="0" distR="0" wp14:anchorId="6367E7B8" wp14:editId="0A7A04F7">
            <wp:extent cx="3854083" cy="2777194"/>
            <wp:effectExtent l="0" t="0" r="0" b="4445"/>
            <wp:docPr id="113014295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142953" name="Picture 1130142953"/>
                    <pic:cNvPicPr/>
                  </pic:nvPicPr>
                  <pic:blipFill>
                    <a:blip r:embed="rId7">
                      <a:extLst>
                        <a:ext uri="{28A0092B-C50C-407E-A947-70E740481C1C}">
                          <a14:useLocalDpi xmlns:a14="http://schemas.microsoft.com/office/drawing/2010/main" val="0"/>
                        </a:ext>
                      </a:extLst>
                    </a:blip>
                    <a:stretch>
                      <a:fillRect/>
                    </a:stretch>
                  </pic:blipFill>
                  <pic:spPr>
                    <a:xfrm>
                      <a:off x="0" y="0"/>
                      <a:ext cx="3871313" cy="2789610"/>
                    </a:xfrm>
                    <a:prstGeom prst="rect">
                      <a:avLst/>
                    </a:prstGeom>
                  </pic:spPr>
                </pic:pic>
              </a:graphicData>
            </a:graphic>
          </wp:inline>
        </w:drawing>
      </w:r>
    </w:p>
    <w:p w14:paraId="09B01404" w14:textId="4BBA4DDF" w:rsidR="00EF19DD" w:rsidRDefault="00EF19DD" w:rsidP="00EF19DD">
      <w:pPr>
        <w:jc w:val="center"/>
        <w:rPr>
          <w:rFonts w:asciiTheme="majorBidi" w:hAnsiTheme="majorBidi" w:cstheme="majorBidi"/>
          <w:sz w:val="20"/>
          <w:szCs w:val="20"/>
        </w:rPr>
      </w:pPr>
      <w:r>
        <w:rPr>
          <w:rFonts w:asciiTheme="majorBidi" w:hAnsiTheme="majorBidi" w:cstheme="majorBidi"/>
          <w:sz w:val="20"/>
          <w:szCs w:val="20"/>
        </w:rPr>
        <w:t xml:space="preserve">Figure 4. Plastered bucrania in Building 77 at </w:t>
      </w:r>
      <w:r w:rsidR="00651BA3" w:rsidRPr="00A36188">
        <w:rPr>
          <w:rFonts w:asciiTheme="majorBidi" w:hAnsiTheme="majorBidi" w:cstheme="majorBidi"/>
          <w:sz w:val="20"/>
          <w:szCs w:val="20"/>
        </w:rPr>
        <w:t>C̜atalhöyük</w:t>
      </w:r>
      <w:r w:rsidRPr="004241FA">
        <w:rPr>
          <w:rFonts w:asciiTheme="majorBidi" w:hAnsiTheme="majorBidi" w:cstheme="majorBidi"/>
          <w:sz w:val="20"/>
          <w:szCs w:val="20"/>
        </w:rPr>
        <w:t xml:space="preserve"> </w:t>
      </w:r>
      <w:r>
        <w:rPr>
          <w:rFonts w:asciiTheme="majorBidi" w:hAnsiTheme="majorBidi" w:cstheme="majorBidi"/>
          <w:sz w:val="20"/>
          <w:szCs w:val="20"/>
        </w:rPr>
        <w:t>(</w:t>
      </w:r>
      <w:r w:rsidRPr="004241FA">
        <w:rPr>
          <w:rFonts w:asciiTheme="majorBidi" w:hAnsiTheme="majorBidi" w:cstheme="majorBidi"/>
          <w:sz w:val="20"/>
          <w:szCs w:val="20"/>
        </w:rPr>
        <w:t xml:space="preserve">Source: </w:t>
      </w:r>
      <w:r w:rsidR="00651BA3" w:rsidRPr="004241FA">
        <w:rPr>
          <w:rFonts w:asciiTheme="majorBidi" w:hAnsiTheme="majorBidi" w:cstheme="majorBidi"/>
          <w:sz w:val="20"/>
          <w:szCs w:val="20"/>
        </w:rPr>
        <w:t>C̜atalhöyük</w:t>
      </w:r>
      <w:r w:rsidRPr="004241FA">
        <w:rPr>
          <w:rFonts w:asciiTheme="majorBidi" w:hAnsiTheme="majorBidi" w:cstheme="majorBidi"/>
          <w:sz w:val="20"/>
          <w:szCs w:val="20"/>
        </w:rPr>
        <w:t xml:space="preserve"> Research Project</w:t>
      </w:r>
      <w:r>
        <w:rPr>
          <w:rFonts w:asciiTheme="majorBidi" w:hAnsiTheme="majorBidi" w:cstheme="majorBidi"/>
          <w:sz w:val="20"/>
          <w:szCs w:val="20"/>
        </w:rPr>
        <w:t>)</w:t>
      </w:r>
    </w:p>
    <w:p w14:paraId="2613CBFD" w14:textId="198D5708" w:rsidR="00E436DA" w:rsidRDefault="00E436DA" w:rsidP="00E436DA">
      <w:pPr>
        <w:rPr>
          <w:rFonts w:asciiTheme="majorBidi" w:hAnsiTheme="majorBidi" w:cstheme="majorBidi"/>
          <w:sz w:val="20"/>
          <w:szCs w:val="20"/>
        </w:rPr>
      </w:pPr>
      <w:r>
        <w:rPr>
          <w:rFonts w:asciiTheme="majorBidi" w:hAnsiTheme="majorBidi" w:cstheme="majorBidi"/>
          <w:sz w:val="20"/>
          <w:szCs w:val="20"/>
        </w:rPr>
        <w:tab/>
        <w:t>The lived and imaged bod</w:t>
      </w:r>
      <w:r w:rsidR="00D374B8">
        <w:rPr>
          <w:rFonts w:asciiTheme="majorBidi" w:hAnsiTheme="majorBidi" w:cstheme="majorBidi"/>
          <w:sz w:val="20"/>
          <w:szCs w:val="20"/>
        </w:rPr>
        <w:t>ies</w:t>
      </w:r>
      <w:r>
        <w:rPr>
          <w:rFonts w:asciiTheme="majorBidi" w:hAnsiTheme="majorBidi" w:cstheme="majorBidi"/>
          <w:sz w:val="20"/>
          <w:szCs w:val="20"/>
        </w:rPr>
        <w:t xml:space="preserve"> at </w:t>
      </w:r>
      <w:r w:rsidRPr="00067F73">
        <w:rPr>
          <w:rFonts w:asciiTheme="majorBidi" w:hAnsiTheme="majorBidi" w:cstheme="majorBidi"/>
          <w:sz w:val="20"/>
          <w:szCs w:val="20"/>
        </w:rPr>
        <w:t>C̜atalhöyük</w:t>
      </w:r>
      <w:r>
        <w:rPr>
          <w:rFonts w:asciiTheme="majorBidi" w:hAnsiTheme="majorBidi" w:cstheme="majorBidi"/>
          <w:sz w:val="20"/>
          <w:szCs w:val="20"/>
        </w:rPr>
        <w:t xml:space="preserve"> are comparable as they both deal with the vital substance of flesh, which is seen to have</w:t>
      </w:r>
      <w:r w:rsidRPr="0072305B">
        <w:rPr>
          <w:rFonts w:asciiTheme="majorBidi" w:hAnsiTheme="majorBidi" w:cstheme="majorBidi"/>
          <w:sz w:val="20"/>
          <w:szCs w:val="20"/>
        </w:rPr>
        <w:t xml:space="preserve"> been materialised by </w:t>
      </w:r>
      <w:r>
        <w:rPr>
          <w:rFonts w:asciiTheme="majorBidi" w:hAnsiTheme="majorBidi" w:cstheme="majorBidi"/>
          <w:sz w:val="20"/>
          <w:szCs w:val="20"/>
        </w:rPr>
        <w:t xml:space="preserve">the use of </w:t>
      </w:r>
      <w:r w:rsidRPr="0072305B">
        <w:rPr>
          <w:rFonts w:asciiTheme="majorBidi" w:hAnsiTheme="majorBidi" w:cstheme="majorBidi"/>
          <w:sz w:val="20"/>
          <w:szCs w:val="20"/>
        </w:rPr>
        <w:t xml:space="preserve">plaster and clay. </w:t>
      </w:r>
      <w:r w:rsidR="00F427B8">
        <w:rPr>
          <w:rFonts w:asciiTheme="majorBidi" w:hAnsiTheme="majorBidi" w:cstheme="majorBidi"/>
          <w:sz w:val="20"/>
          <w:szCs w:val="20"/>
        </w:rPr>
        <w:t>Just as p</w:t>
      </w:r>
      <w:r w:rsidR="00C25FD2">
        <w:rPr>
          <w:rFonts w:asciiTheme="majorBidi" w:hAnsiTheme="majorBidi" w:cstheme="majorBidi"/>
          <w:sz w:val="20"/>
          <w:szCs w:val="20"/>
        </w:rPr>
        <w:t>l</w:t>
      </w:r>
      <w:r w:rsidRPr="0072305B">
        <w:rPr>
          <w:rFonts w:asciiTheme="majorBidi" w:hAnsiTheme="majorBidi" w:cstheme="majorBidi"/>
          <w:sz w:val="20"/>
          <w:szCs w:val="20"/>
        </w:rPr>
        <w:t xml:space="preserve">aster </w:t>
      </w:r>
      <w:r>
        <w:rPr>
          <w:rFonts w:asciiTheme="majorBidi" w:hAnsiTheme="majorBidi" w:cstheme="majorBidi"/>
          <w:sz w:val="20"/>
          <w:szCs w:val="20"/>
        </w:rPr>
        <w:t>was</w:t>
      </w:r>
      <w:r w:rsidRPr="0072305B">
        <w:rPr>
          <w:rFonts w:asciiTheme="majorBidi" w:hAnsiTheme="majorBidi" w:cstheme="majorBidi"/>
          <w:sz w:val="20"/>
          <w:szCs w:val="20"/>
        </w:rPr>
        <w:t xml:space="preserve"> used to reflesh houses, as well as human and animal bodies, clay may have had a similar use with regard to figurines</w:t>
      </w:r>
      <w:r>
        <w:rPr>
          <w:rFonts w:asciiTheme="majorBidi" w:hAnsiTheme="majorBidi" w:cstheme="majorBidi"/>
          <w:sz w:val="20"/>
          <w:szCs w:val="20"/>
        </w:rPr>
        <w:t xml:space="preserve"> (Meskell, 2008)</w:t>
      </w:r>
      <w:r w:rsidRPr="0072305B">
        <w:rPr>
          <w:rFonts w:asciiTheme="majorBidi" w:hAnsiTheme="majorBidi" w:cstheme="majorBidi"/>
          <w:sz w:val="20"/>
          <w:szCs w:val="20"/>
        </w:rPr>
        <w:t xml:space="preserve">. </w:t>
      </w:r>
      <w:r w:rsidRPr="00DD7DE3">
        <w:rPr>
          <w:rFonts w:asciiTheme="majorBidi" w:hAnsiTheme="majorBidi" w:cstheme="majorBidi"/>
          <w:sz w:val="20"/>
          <w:szCs w:val="20"/>
        </w:rPr>
        <w:t xml:space="preserve">Notably, isotope analysis on remains </w:t>
      </w:r>
      <w:r>
        <w:rPr>
          <w:rFonts w:asciiTheme="majorBidi" w:hAnsiTheme="majorBidi" w:cstheme="majorBidi"/>
          <w:sz w:val="20"/>
          <w:szCs w:val="20"/>
        </w:rPr>
        <w:t xml:space="preserve">can </w:t>
      </w:r>
      <w:r w:rsidRPr="00DD7DE3">
        <w:rPr>
          <w:rFonts w:asciiTheme="majorBidi" w:hAnsiTheme="majorBidi" w:cstheme="majorBidi"/>
          <w:sz w:val="20"/>
          <w:szCs w:val="20"/>
        </w:rPr>
        <w:t xml:space="preserve">reveal which foods contributed to </w:t>
      </w:r>
      <w:r w:rsidR="00F427B8">
        <w:rPr>
          <w:rFonts w:asciiTheme="majorBidi" w:hAnsiTheme="majorBidi" w:cstheme="majorBidi"/>
          <w:sz w:val="20"/>
          <w:szCs w:val="20"/>
        </w:rPr>
        <w:t xml:space="preserve">corpulence or </w:t>
      </w:r>
      <w:r w:rsidR="00C43D92">
        <w:rPr>
          <w:rFonts w:asciiTheme="majorBidi" w:hAnsiTheme="majorBidi" w:cstheme="majorBidi"/>
          <w:sz w:val="20"/>
          <w:szCs w:val="20"/>
        </w:rPr>
        <w:t>flesh</w:t>
      </w:r>
      <w:r w:rsidR="008977D7">
        <w:rPr>
          <w:rFonts w:asciiTheme="majorBidi" w:hAnsiTheme="majorBidi" w:cstheme="majorBidi"/>
          <w:sz w:val="20"/>
          <w:szCs w:val="20"/>
        </w:rPr>
        <w:t>iness</w:t>
      </w:r>
      <w:r w:rsidRPr="00DD7DE3">
        <w:rPr>
          <w:rFonts w:asciiTheme="majorBidi" w:hAnsiTheme="majorBidi" w:cstheme="majorBidi"/>
          <w:sz w:val="20"/>
          <w:szCs w:val="20"/>
        </w:rPr>
        <w:t xml:space="preserve"> and helps us </w:t>
      </w:r>
      <w:r w:rsidR="00B06E33">
        <w:rPr>
          <w:rFonts w:asciiTheme="majorBidi" w:hAnsiTheme="majorBidi" w:cstheme="majorBidi"/>
          <w:sz w:val="20"/>
          <w:szCs w:val="20"/>
        </w:rPr>
        <w:t xml:space="preserve">also </w:t>
      </w:r>
      <w:r w:rsidRPr="00DD7DE3">
        <w:rPr>
          <w:rFonts w:asciiTheme="majorBidi" w:hAnsiTheme="majorBidi" w:cstheme="majorBidi"/>
          <w:sz w:val="20"/>
          <w:szCs w:val="20"/>
        </w:rPr>
        <w:t>understand whether diets may have differed based on socioeconomic status, sex, or age</w:t>
      </w:r>
      <w:r>
        <w:rPr>
          <w:rFonts w:asciiTheme="majorBidi" w:hAnsiTheme="majorBidi" w:cstheme="majorBidi"/>
          <w:sz w:val="20"/>
          <w:szCs w:val="20"/>
        </w:rPr>
        <w:t xml:space="preserve"> (Pearson and Meskell, 2014)</w:t>
      </w:r>
      <w:r w:rsidRPr="00DD7DE3">
        <w:rPr>
          <w:rFonts w:asciiTheme="majorBidi" w:hAnsiTheme="majorBidi" w:cstheme="majorBidi"/>
          <w:sz w:val="20"/>
          <w:szCs w:val="20"/>
        </w:rPr>
        <w:t xml:space="preserve">. </w:t>
      </w:r>
    </w:p>
    <w:p w14:paraId="2A3BD387" w14:textId="6B8B7816" w:rsidR="001A34D0" w:rsidRDefault="007C5CA5" w:rsidP="001A34D0">
      <w:pPr>
        <w:rPr>
          <w:rFonts w:asciiTheme="majorBidi" w:hAnsiTheme="majorBidi" w:cstheme="majorBidi"/>
          <w:sz w:val="20"/>
          <w:szCs w:val="20"/>
        </w:rPr>
      </w:pPr>
      <w:r>
        <w:rPr>
          <w:rFonts w:asciiTheme="majorBidi" w:hAnsiTheme="majorBidi" w:cstheme="majorBidi"/>
          <w:sz w:val="20"/>
          <w:szCs w:val="20"/>
        </w:rPr>
        <w:tab/>
      </w:r>
      <w:r w:rsidR="001A34D0" w:rsidRPr="00AE04F8">
        <w:rPr>
          <w:rFonts w:asciiTheme="majorBidi" w:hAnsiTheme="majorBidi" w:cstheme="majorBidi"/>
          <w:sz w:val="20"/>
          <w:szCs w:val="20"/>
        </w:rPr>
        <w:t xml:space="preserve">While there are studies that have been done that consider the material culture of physical bodies </w:t>
      </w:r>
      <w:r w:rsidR="001A34D0">
        <w:rPr>
          <w:rFonts w:asciiTheme="majorBidi" w:hAnsiTheme="majorBidi" w:cstheme="majorBidi"/>
          <w:sz w:val="20"/>
          <w:szCs w:val="20"/>
        </w:rPr>
        <w:t xml:space="preserve">(Fuller </w:t>
      </w:r>
      <w:r w:rsidR="001A34D0" w:rsidRPr="00FE3023">
        <w:rPr>
          <w:rFonts w:asciiTheme="majorBidi" w:hAnsiTheme="majorBidi" w:cstheme="majorBidi"/>
          <w:i/>
          <w:iCs/>
          <w:sz w:val="20"/>
          <w:szCs w:val="20"/>
        </w:rPr>
        <w:t>et al.,</w:t>
      </w:r>
      <w:r w:rsidR="001A34D0">
        <w:rPr>
          <w:rFonts w:asciiTheme="majorBidi" w:hAnsiTheme="majorBidi" w:cstheme="majorBidi"/>
          <w:sz w:val="20"/>
          <w:szCs w:val="20"/>
        </w:rPr>
        <w:t xml:space="preserve"> 2010; Molleson, 1994) </w:t>
      </w:r>
      <w:r w:rsidR="001A34D0" w:rsidRPr="00AE04F8">
        <w:rPr>
          <w:rFonts w:asciiTheme="majorBidi" w:hAnsiTheme="majorBidi" w:cstheme="majorBidi"/>
          <w:sz w:val="20"/>
          <w:szCs w:val="20"/>
        </w:rPr>
        <w:t>and those that are represented in media</w:t>
      </w:r>
      <w:r w:rsidR="001A34D0">
        <w:rPr>
          <w:rFonts w:asciiTheme="majorBidi" w:hAnsiTheme="majorBidi" w:cstheme="majorBidi"/>
          <w:sz w:val="20"/>
          <w:szCs w:val="20"/>
        </w:rPr>
        <w:t xml:space="preserve"> (Joyce, 2005; Nakamura, 2004; Meskell </w:t>
      </w:r>
      <w:r w:rsidR="001A34D0" w:rsidRPr="00FE3023">
        <w:rPr>
          <w:rFonts w:asciiTheme="majorBidi" w:hAnsiTheme="majorBidi" w:cstheme="majorBidi"/>
          <w:i/>
          <w:iCs/>
          <w:sz w:val="20"/>
          <w:szCs w:val="20"/>
        </w:rPr>
        <w:t>et al.,</w:t>
      </w:r>
      <w:r w:rsidR="001A34D0">
        <w:rPr>
          <w:rFonts w:asciiTheme="majorBidi" w:hAnsiTheme="majorBidi" w:cstheme="majorBidi"/>
          <w:sz w:val="20"/>
          <w:szCs w:val="20"/>
        </w:rPr>
        <w:t xml:space="preserve"> 2008)</w:t>
      </w:r>
      <w:r w:rsidR="001A34D0" w:rsidRPr="00AE04F8">
        <w:rPr>
          <w:rFonts w:asciiTheme="majorBidi" w:hAnsiTheme="majorBidi" w:cstheme="majorBidi"/>
          <w:sz w:val="20"/>
          <w:szCs w:val="20"/>
        </w:rPr>
        <w:t xml:space="preserve">, less work has focused on combining the insights from both of these perspectives. </w:t>
      </w:r>
      <w:r w:rsidR="001A34D0">
        <w:rPr>
          <w:rFonts w:asciiTheme="majorBidi" w:hAnsiTheme="majorBidi" w:cstheme="majorBidi"/>
          <w:sz w:val="20"/>
          <w:szCs w:val="20"/>
        </w:rPr>
        <w:t>Considering these two aspects together may provide us with a more</w:t>
      </w:r>
      <w:r w:rsidR="001A34D0" w:rsidRPr="0079076F">
        <w:rPr>
          <w:rFonts w:asciiTheme="majorBidi" w:hAnsiTheme="majorBidi" w:cstheme="majorBidi"/>
          <w:sz w:val="20"/>
          <w:szCs w:val="20"/>
        </w:rPr>
        <w:t xml:space="preserve"> comprehensive </w:t>
      </w:r>
      <w:r w:rsidR="001A34D0">
        <w:rPr>
          <w:rFonts w:asciiTheme="majorBidi" w:hAnsiTheme="majorBidi" w:cstheme="majorBidi"/>
          <w:sz w:val="20"/>
          <w:szCs w:val="20"/>
        </w:rPr>
        <w:t xml:space="preserve">understanding of how the environment affected bodies at </w:t>
      </w:r>
      <w:r w:rsidR="001A34D0" w:rsidRPr="00DA1CEE">
        <w:rPr>
          <w:rFonts w:asciiTheme="majorBidi" w:hAnsiTheme="majorBidi" w:cstheme="majorBidi"/>
          <w:sz w:val="20"/>
          <w:szCs w:val="20"/>
        </w:rPr>
        <w:t>C̜atalhöyük</w:t>
      </w:r>
      <w:r w:rsidR="001A34D0">
        <w:rPr>
          <w:rFonts w:asciiTheme="majorBidi" w:hAnsiTheme="majorBidi" w:cstheme="majorBidi"/>
          <w:sz w:val="20"/>
          <w:szCs w:val="20"/>
        </w:rPr>
        <w:t xml:space="preserve"> and vice versa. Therefore, this paper discusses how flesh in the imaged body is associated with flesh in the lived body. This is accomplished by looking at bodily representations through figurines, burial assemblage, plastering practices, and isotope analysis data.</w:t>
      </w:r>
    </w:p>
    <w:p w14:paraId="00916D1D" w14:textId="788D7B41" w:rsidR="006706EC" w:rsidRDefault="006706EC" w:rsidP="006706EC">
      <w:pPr>
        <w:jc w:val="center"/>
        <w:rPr>
          <w:rFonts w:asciiTheme="majorBidi" w:hAnsiTheme="majorBidi" w:cstheme="majorBidi"/>
          <w:b/>
          <w:bCs/>
          <w:sz w:val="20"/>
          <w:szCs w:val="20"/>
        </w:rPr>
      </w:pPr>
      <w:r w:rsidRPr="006706EC">
        <w:rPr>
          <w:rFonts w:asciiTheme="majorBidi" w:hAnsiTheme="majorBidi" w:cstheme="majorBidi"/>
          <w:b/>
          <w:bCs/>
          <w:sz w:val="20"/>
          <w:szCs w:val="20"/>
        </w:rPr>
        <w:t>The Imaged Body</w:t>
      </w:r>
    </w:p>
    <w:p w14:paraId="33F98D4F" w14:textId="2FDBF260" w:rsidR="006706EC" w:rsidRPr="00B37718" w:rsidRDefault="00B37718" w:rsidP="006706EC">
      <w:pPr>
        <w:rPr>
          <w:rFonts w:asciiTheme="majorBidi" w:hAnsiTheme="majorBidi" w:cstheme="majorBidi"/>
          <w:b/>
          <w:bCs/>
          <w:i/>
          <w:iCs/>
          <w:sz w:val="20"/>
          <w:szCs w:val="20"/>
        </w:rPr>
      </w:pPr>
      <w:r>
        <w:rPr>
          <w:rFonts w:asciiTheme="majorBidi" w:hAnsiTheme="majorBidi" w:cstheme="majorBidi"/>
          <w:b/>
          <w:bCs/>
          <w:i/>
          <w:iCs/>
          <w:sz w:val="20"/>
          <w:szCs w:val="20"/>
        </w:rPr>
        <w:t xml:space="preserve">Anthropomorphic </w:t>
      </w:r>
      <w:r w:rsidR="006706EC" w:rsidRPr="00B37718">
        <w:rPr>
          <w:rFonts w:asciiTheme="majorBidi" w:hAnsiTheme="majorBidi" w:cstheme="majorBidi"/>
          <w:b/>
          <w:bCs/>
          <w:i/>
          <w:iCs/>
          <w:sz w:val="20"/>
          <w:szCs w:val="20"/>
        </w:rPr>
        <w:t>Figurine</w:t>
      </w:r>
      <w:r w:rsidRPr="00B37718">
        <w:rPr>
          <w:rFonts w:asciiTheme="majorBidi" w:hAnsiTheme="majorBidi" w:cstheme="majorBidi"/>
          <w:b/>
          <w:bCs/>
          <w:i/>
          <w:iCs/>
          <w:sz w:val="20"/>
          <w:szCs w:val="20"/>
        </w:rPr>
        <w:t>s</w:t>
      </w:r>
    </w:p>
    <w:p w14:paraId="35CBA767" w14:textId="33AD8C2C" w:rsidR="006706EC" w:rsidRDefault="006706EC" w:rsidP="006706EC">
      <w:pPr>
        <w:rPr>
          <w:rFonts w:asciiTheme="majorBidi" w:hAnsiTheme="majorBidi" w:cstheme="majorBidi"/>
          <w:sz w:val="20"/>
          <w:szCs w:val="20"/>
        </w:rPr>
      </w:pPr>
      <w:r>
        <w:rPr>
          <w:rFonts w:asciiTheme="majorBidi" w:hAnsiTheme="majorBidi" w:cstheme="majorBidi"/>
          <w:sz w:val="20"/>
          <w:szCs w:val="20"/>
        </w:rPr>
        <w:tab/>
      </w:r>
      <w:r w:rsidRPr="000602F3">
        <w:rPr>
          <w:rFonts w:asciiTheme="majorBidi" w:hAnsiTheme="majorBidi" w:cstheme="majorBidi"/>
          <w:sz w:val="20"/>
          <w:szCs w:val="20"/>
        </w:rPr>
        <w:t>Anthropomorphic figurines are three-dimensional</w:t>
      </w:r>
      <w:r>
        <w:rPr>
          <w:rFonts w:asciiTheme="majorBidi" w:hAnsiTheme="majorBidi" w:cstheme="majorBidi"/>
          <w:sz w:val="20"/>
          <w:szCs w:val="20"/>
        </w:rPr>
        <w:t xml:space="preserve"> physical objects that</w:t>
      </w:r>
      <w:r w:rsidRPr="000602F3">
        <w:rPr>
          <w:rFonts w:asciiTheme="majorBidi" w:hAnsiTheme="majorBidi" w:cstheme="majorBidi"/>
          <w:sz w:val="20"/>
          <w:szCs w:val="20"/>
        </w:rPr>
        <w:t xml:space="preserve"> represent the human form</w:t>
      </w:r>
      <w:r w:rsidR="00F80811">
        <w:rPr>
          <w:rFonts w:asciiTheme="majorBidi" w:hAnsiTheme="majorBidi" w:cstheme="majorBidi"/>
          <w:sz w:val="20"/>
          <w:szCs w:val="20"/>
        </w:rPr>
        <w:t xml:space="preserve"> and</w:t>
      </w:r>
      <w:r w:rsidRPr="000602F3">
        <w:rPr>
          <w:rFonts w:asciiTheme="majorBidi" w:hAnsiTheme="majorBidi" w:cstheme="majorBidi"/>
          <w:sz w:val="20"/>
          <w:szCs w:val="20"/>
        </w:rPr>
        <w:t xml:space="preserve"> possess an extensive range of meanings that go beyond aspects of gesture, movement, and language. </w:t>
      </w:r>
      <w:r>
        <w:rPr>
          <w:rFonts w:asciiTheme="majorBidi" w:hAnsiTheme="majorBidi" w:cstheme="majorBidi"/>
          <w:sz w:val="20"/>
          <w:szCs w:val="20"/>
        </w:rPr>
        <w:t>Although</w:t>
      </w:r>
      <w:r w:rsidRPr="000602F3">
        <w:rPr>
          <w:rFonts w:asciiTheme="majorBidi" w:hAnsiTheme="majorBidi" w:cstheme="majorBidi"/>
          <w:sz w:val="20"/>
          <w:szCs w:val="20"/>
        </w:rPr>
        <w:t xml:space="preserve"> these figurines resemble humans, they are not precise in their representation of the human form. What is quite int</w:t>
      </w:r>
      <w:r>
        <w:rPr>
          <w:rFonts w:asciiTheme="majorBidi" w:hAnsiTheme="majorBidi" w:cstheme="majorBidi"/>
          <w:sz w:val="20"/>
          <w:szCs w:val="20"/>
        </w:rPr>
        <w:t>riguing</w:t>
      </w:r>
      <w:r w:rsidRPr="000602F3">
        <w:rPr>
          <w:rFonts w:asciiTheme="majorBidi" w:hAnsiTheme="majorBidi" w:cstheme="majorBidi"/>
          <w:sz w:val="20"/>
          <w:szCs w:val="20"/>
        </w:rPr>
        <w:t xml:space="preserve"> about figurines in their representations are the elements that are emphasised and those that are de-emphasised</w:t>
      </w:r>
      <w:r>
        <w:rPr>
          <w:rFonts w:asciiTheme="majorBidi" w:hAnsiTheme="majorBidi" w:cstheme="majorBidi"/>
          <w:sz w:val="20"/>
          <w:szCs w:val="20"/>
        </w:rPr>
        <w:t xml:space="preserve"> or even not present</w:t>
      </w:r>
      <w:r w:rsidRPr="000602F3">
        <w:rPr>
          <w:rFonts w:asciiTheme="majorBidi" w:hAnsiTheme="majorBidi" w:cstheme="majorBidi"/>
          <w:sz w:val="20"/>
          <w:szCs w:val="20"/>
        </w:rPr>
        <w:t xml:space="preserve"> (Joyce, 1993; Kujit and Chesson, 2004).</w:t>
      </w:r>
      <w:r>
        <w:rPr>
          <w:rFonts w:asciiTheme="majorBidi" w:hAnsiTheme="majorBidi" w:cstheme="majorBidi"/>
          <w:sz w:val="20"/>
          <w:szCs w:val="20"/>
        </w:rPr>
        <w:t xml:space="preserve"> Observing the presence and lack of certain traits can help us understand how the materiality of the physical body and social identities were perceived by a particular society.</w:t>
      </w:r>
    </w:p>
    <w:p w14:paraId="6436A8EB" w14:textId="4306752D" w:rsidR="00573816" w:rsidRDefault="00573816" w:rsidP="00573816">
      <w:pPr>
        <w:rPr>
          <w:rFonts w:asciiTheme="majorBidi" w:hAnsiTheme="majorBidi" w:cstheme="majorBidi"/>
          <w:sz w:val="20"/>
          <w:szCs w:val="20"/>
        </w:rPr>
      </w:pPr>
      <w:r>
        <w:rPr>
          <w:rFonts w:asciiTheme="majorBidi" w:hAnsiTheme="majorBidi" w:cstheme="majorBidi"/>
          <w:sz w:val="20"/>
          <w:szCs w:val="20"/>
        </w:rPr>
        <w:tab/>
        <w:t xml:space="preserve">In a study examining the 466 anthropomorphic and abbreviated figurines found at </w:t>
      </w:r>
      <w:r w:rsidRPr="009C243C">
        <w:rPr>
          <w:rFonts w:asciiTheme="majorBidi" w:hAnsiTheme="majorBidi" w:cstheme="majorBidi"/>
          <w:sz w:val="20"/>
          <w:szCs w:val="20"/>
        </w:rPr>
        <w:t>C̜atalhöyük</w:t>
      </w:r>
      <w:r>
        <w:rPr>
          <w:rFonts w:asciiTheme="majorBidi" w:hAnsiTheme="majorBidi" w:cstheme="majorBidi"/>
          <w:sz w:val="20"/>
          <w:szCs w:val="20"/>
        </w:rPr>
        <w:t>, Nakamura and Meskell (2009) found that the body parts that were most featured were the breasts, buttocks, and bellies (67%, 56%, and 40%, respectively). It was also observed that even though breasts were the most common, there was a noticeable inclination to exaggerate buttock</w:t>
      </w:r>
      <w:r w:rsidR="00BD7076">
        <w:rPr>
          <w:rFonts w:asciiTheme="majorBidi" w:hAnsiTheme="majorBidi" w:cstheme="majorBidi"/>
          <w:sz w:val="20"/>
          <w:szCs w:val="20"/>
        </w:rPr>
        <w:t>s</w:t>
      </w:r>
      <w:r>
        <w:rPr>
          <w:rFonts w:asciiTheme="majorBidi" w:hAnsiTheme="majorBidi" w:cstheme="majorBidi"/>
          <w:sz w:val="20"/>
          <w:szCs w:val="20"/>
        </w:rPr>
        <w:t xml:space="preserve"> and stomach</w:t>
      </w:r>
      <w:r w:rsidR="00BD7076">
        <w:rPr>
          <w:rFonts w:asciiTheme="majorBidi" w:hAnsiTheme="majorBidi" w:cstheme="majorBidi"/>
          <w:sz w:val="20"/>
          <w:szCs w:val="20"/>
        </w:rPr>
        <w:t>s</w:t>
      </w:r>
      <w:r>
        <w:rPr>
          <w:rFonts w:asciiTheme="majorBidi" w:hAnsiTheme="majorBidi" w:cstheme="majorBidi"/>
          <w:sz w:val="20"/>
          <w:szCs w:val="20"/>
        </w:rPr>
        <w:t xml:space="preserve"> in both non-gendered </w:t>
      </w:r>
      <w:r w:rsidR="006735C8">
        <w:rPr>
          <w:rFonts w:asciiTheme="majorBidi" w:hAnsiTheme="majorBidi" w:cstheme="majorBidi"/>
          <w:sz w:val="20"/>
          <w:szCs w:val="20"/>
        </w:rPr>
        <w:t xml:space="preserve">and female </w:t>
      </w:r>
      <w:r>
        <w:rPr>
          <w:rFonts w:asciiTheme="majorBidi" w:hAnsiTheme="majorBidi" w:cstheme="majorBidi"/>
          <w:sz w:val="20"/>
          <w:szCs w:val="20"/>
        </w:rPr>
        <w:t xml:space="preserve">figurines, sometimes at the cost of other physical parts such as limbs or even the breasts. This collective preference for breasts, buttocks, and bellies is what initially led many to regard these figurines as pregnant women, suggesting ideas of fertility (Meskell, 1995). However, several studies have now argued that the manner in which these bodily characteristics are emphasised points to maturity and excess rather than fertility (Meskell </w:t>
      </w:r>
      <w:r w:rsidRPr="005D1060">
        <w:rPr>
          <w:rFonts w:asciiTheme="majorBidi" w:hAnsiTheme="majorBidi" w:cstheme="majorBidi"/>
          <w:i/>
          <w:iCs/>
          <w:sz w:val="20"/>
          <w:szCs w:val="20"/>
        </w:rPr>
        <w:t>et al.,</w:t>
      </w:r>
      <w:r>
        <w:rPr>
          <w:rFonts w:asciiTheme="majorBidi" w:hAnsiTheme="majorBidi" w:cstheme="majorBidi"/>
          <w:sz w:val="20"/>
          <w:szCs w:val="20"/>
        </w:rPr>
        <w:t xml:space="preserve"> 2007; Voigt, 2007). </w:t>
      </w:r>
      <w:r w:rsidR="00A742B1">
        <w:rPr>
          <w:rFonts w:asciiTheme="majorBidi" w:hAnsiTheme="majorBidi" w:cstheme="majorBidi"/>
          <w:sz w:val="20"/>
          <w:szCs w:val="20"/>
        </w:rPr>
        <w:t xml:space="preserve">One </w:t>
      </w:r>
      <w:r w:rsidR="00131AE9">
        <w:rPr>
          <w:rFonts w:asciiTheme="majorBidi" w:hAnsiTheme="majorBidi" w:cstheme="majorBidi"/>
          <w:sz w:val="20"/>
          <w:szCs w:val="20"/>
        </w:rPr>
        <w:t>argument</w:t>
      </w:r>
      <w:r w:rsidR="00A742B1">
        <w:rPr>
          <w:rFonts w:asciiTheme="majorBidi" w:hAnsiTheme="majorBidi" w:cstheme="majorBidi"/>
          <w:sz w:val="20"/>
          <w:szCs w:val="20"/>
        </w:rPr>
        <w:t xml:space="preserve"> in </w:t>
      </w:r>
      <w:r w:rsidR="00131AE9">
        <w:rPr>
          <w:rFonts w:asciiTheme="majorBidi" w:hAnsiTheme="majorBidi" w:cstheme="majorBidi"/>
          <w:sz w:val="20"/>
          <w:szCs w:val="20"/>
        </w:rPr>
        <w:t>favour</w:t>
      </w:r>
      <w:r w:rsidR="00BF416F">
        <w:rPr>
          <w:rFonts w:asciiTheme="majorBidi" w:hAnsiTheme="majorBidi" w:cstheme="majorBidi"/>
          <w:sz w:val="20"/>
          <w:szCs w:val="20"/>
        </w:rPr>
        <w:t xml:space="preserve"> of t</w:t>
      </w:r>
      <w:r>
        <w:rPr>
          <w:rFonts w:asciiTheme="majorBidi" w:hAnsiTheme="majorBidi" w:cstheme="majorBidi"/>
          <w:sz w:val="20"/>
          <w:szCs w:val="20"/>
        </w:rPr>
        <w:t xml:space="preserve">his is the </w:t>
      </w:r>
      <w:r w:rsidR="005E1809">
        <w:rPr>
          <w:rFonts w:asciiTheme="majorBidi" w:hAnsiTheme="majorBidi" w:cstheme="majorBidi"/>
          <w:sz w:val="20"/>
          <w:szCs w:val="20"/>
        </w:rPr>
        <w:t>sporadic</w:t>
      </w:r>
      <w:r w:rsidR="00BF416F">
        <w:rPr>
          <w:rFonts w:asciiTheme="majorBidi" w:hAnsiTheme="majorBidi" w:cstheme="majorBidi"/>
          <w:sz w:val="20"/>
          <w:szCs w:val="20"/>
        </w:rPr>
        <w:t xml:space="preserve"> </w:t>
      </w:r>
      <w:r>
        <w:rPr>
          <w:rFonts w:asciiTheme="majorBidi" w:hAnsiTheme="majorBidi" w:cstheme="majorBidi"/>
          <w:sz w:val="20"/>
          <w:szCs w:val="20"/>
        </w:rPr>
        <w:t xml:space="preserve">depiction of primary reproductive traits, with only 10 figurines with these traits being found at </w:t>
      </w:r>
      <w:r w:rsidRPr="00A36188">
        <w:rPr>
          <w:rFonts w:asciiTheme="majorBidi" w:hAnsiTheme="majorBidi" w:cstheme="majorBidi"/>
          <w:sz w:val="20"/>
          <w:szCs w:val="20"/>
        </w:rPr>
        <w:t>C̜atalhöyük</w:t>
      </w:r>
      <w:r w:rsidR="00AA5858">
        <w:rPr>
          <w:rFonts w:asciiTheme="majorBidi" w:hAnsiTheme="majorBidi" w:cstheme="majorBidi"/>
          <w:sz w:val="20"/>
          <w:szCs w:val="20"/>
        </w:rPr>
        <w:t xml:space="preserve"> (Nakamura and Meskell</w:t>
      </w:r>
      <w:r w:rsidR="00C21E4E">
        <w:rPr>
          <w:rFonts w:asciiTheme="majorBidi" w:hAnsiTheme="majorBidi" w:cstheme="majorBidi"/>
          <w:sz w:val="20"/>
          <w:szCs w:val="20"/>
        </w:rPr>
        <w:t>,</w:t>
      </w:r>
      <w:r w:rsidR="00C6449A">
        <w:rPr>
          <w:rFonts w:asciiTheme="majorBidi" w:hAnsiTheme="majorBidi" w:cstheme="majorBidi"/>
          <w:sz w:val="20"/>
          <w:szCs w:val="20"/>
        </w:rPr>
        <w:t xml:space="preserve"> </w:t>
      </w:r>
      <w:r w:rsidR="00AA5858">
        <w:rPr>
          <w:rFonts w:asciiTheme="majorBidi" w:hAnsiTheme="majorBidi" w:cstheme="majorBidi"/>
          <w:sz w:val="20"/>
          <w:szCs w:val="20"/>
        </w:rPr>
        <w:t>2009)</w:t>
      </w:r>
      <w:r>
        <w:rPr>
          <w:rFonts w:asciiTheme="majorBidi" w:hAnsiTheme="majorBidi" w:cstheme="majorBidi"/>
          <w:sz w:val="20"/>
          <w:szCs w:val="20"/>
        </w:rPr>
        <w:t xml:space="preserve">. Breasts and bellies are only secondary reproductive characteristics, and these body parts, along with buttocks, are </w:t>
      </w:r>
      <w:r w:rsidR="00C21E4E">
        <w:rPr>
          <w:rFonts w:asciiTheme="majorBidi" w:hAnsiTheme="majorBidi" w:cstheme="majorBidi"/>
          <w:sz w:val="20"/>
          <w:szCs w:val="20"/>
        </w:rPr>
        <w:t>typic</w:t>
      </w:r>
      <w:r>
        <w:rPr>
          <w:rFonts w:asciiTheme="majorBidi" w:hAnsiTheme="majorBidi" w:cstheme="majorBidi"/>
          <w:sz w:val="20"/>
          <w:szCs w:val="20"/>
        </w:rPr>
        <w:t xml:space="preserve">ally </w:t>
      </w:r>
      <w:r>
        <w:rPr>
          <w:rFonts w:asciiTheme="majorBidi" w:hAnsiTheme="majorBidi" w:cstheme="majorBidi"/>
          <w:sz w:val="20"/>
          <w:szCs w:val="20"/>
        </w:rPr>
        <w:lastRenderedPageBreak/>
        <w:t>s</w:t>
      </w:r>
      <w:r w:rsidR="00C21E4E">
        <w:rPr>
          <w:rFonts w:asciiTheme="majorBidi" w:hAnsiTheme="majorBidi" w:cstheme="majorBidi"/>
          <w:sz w:val="20"/>
          <w:szCs w:val="20"/>
        </w:rPr>
        <w:t>hown as</w:t>
      </w:r>
      <w:r>
        <w:rPr>
          <w:rFonts w:asciiTheme="majorBidi" w:hAnsiTheme="majorBidi" w:cstheme="majorBidi"/>
          <w:sz w:val="20"/>
          <w:szCs w:val="20"/>
        </w:rPr>
        <w:t xml:space="preserve"> drooping or flat rather than round and protruding, as pregnant women generally are (Figure </w:t>
      </w:r>
      <w:r w:rsidR="00B06E33">
        <w:rPr>
          <w:rFonts w:asciiTheme="majorBidi" w:hAnsiTheme="majorBidi" w:cstheme="majorBidi"/>
          <w:sz w:val="20"/>
          <w:szCs w:val="20"/>
        </w:rPr>
        <w:t>5</w:t>
      </w:r>
      <w:r>
        <w:rPr>
          <w:rFonts w:asciiTheme="majorBidi" w:hAnsiTheme="majorBidi" w:cstheme="majorBidi"/>
          <w:sz w:val="20"/>
          <w:szCs w:val="20"/>
        </w:rPr>
        <w:t xml:space="preserve">). In discussing figurines at </w:t>
      </w:r>
      <w:r w:rsidRPr="007A064E">
        <w:rPr>
          <w:rFonts w:asciiTheme="majorBidi" w:hAnsiTheme="majorBidi" w:cstheme="majorBidi"/>
          <w:sz w:val="20"/>
          <w:szCs w:val="20"/>
        </w:rPr>
        <w:t>Hacılar</w:t>
      </w:r>
      <w:r>
        <w:rPr>
          <w:rFonts w:asciiTheme="majorBidi" w:hAnsiTheme="majorBidi" w:cstheme="majorBidi"/>
          <w:sz w:val="20"/>
          <w:szCs w:val="20"/>
        </w:rPr>
        <w:t xml:space="preserve">—a settlement in southwestern Turkey dated to </w:t>
      </w:r>
      <w:r w:rsidRPr="007A064E">
        <w:rPr>
          <w:rFonts w:asciiTheme="majorBidi" w:hAnsiTheme="majorBidi" w:cstheme="majorBidi"/>
          <w:sz w:val="20"/>
          <w:szCs w:val="20"/>
        </w:rPr>
        <w:t>6000 BC</w:t>
      </w:r>
      <w:r>
        <w:rPr>
          <w:rFonts w:asciiTheme="majorBidi" w:hAnsiTheme="majorBidi" w:cstheme="majorBidi"/>
          <w:sz w:val="20"/>
          <w:szCs w:val="20"/>
        </w:rPr>
        <w:t xml:space="preserve">—Voigt (2007) argues that these figurines seem to symbolise bodies </w:t>
      </w:r>
      <w:r w:rsidR="00CB6A6A">
        <w:rPr>
          <w:rFonts w:asciiTheme="majorBidi" w:hAnsiTheme="majorBidi" w:cstheme="majorBidi"/>
          <w:sz w:val="20"/>
          <w:szCs w:val="20"/>
        </w:rPr>
        <w:t>of women who</w:t>
      </w:r>
      <w:r>
        <w:rPr>
          <w:rFonts w:asciiTheme="majorBidi" w:hAnsiTheme="majorBidi" w:cstheme="majorBidi"/>
          <w:sz w:val="20"/>
          <w:szCs w:val="20"/>
        </w:rPr>
        <w:t xml:space="preserve"> have endured</w:t>
      </w:r>
      <w:r w:rsidRPr="00D922C2">
        <w:rPr>
          <w:rFonts w:asciiTheme="majorBidi" w:hAnsiTheme="majorBidi" w:cstheme="majorBidi"/>
          <w:sz w:val="20"/>
          <w:szCs w:val="20"/>
        </w:rPr>
        <w:t> </w:t>
      </w:r>
      <w:r>
        <w:rPr>
          <w:rFonts w:asciiTheme="majorBidi" w:hAnsiTheme="majorBidi" w:cstheme="majorBidi"/>
          <w:sz w:val="20"/>
          <w:szCs w:val="20"/>
        </w:rPr>
        <w:t xml:space="preserve">the toll </w:t>
      </w:r>
      <w:r w:rsidR="00CB6A6A">
        <w:rPr>
          <w:rFonts w:asciiTheme="majorBidi" w:hAnsiTheme="majorBidi" w:cstheme="majorBidi"/>
          <w:sz w:val="20"/>
          <w:szCs w:val="20"/>
        </w:rPr>
        <w:t xml:space="preserve">of </w:t>
      </w:r>
      <w:r>
        <w:rPr>
          <w:rFonts w:asciiTheme="majorBidi" w:hAnsiTheme="majorBidi" w:cstheme="majorBidi"/>
          <w:sz w:val="20"/>
          <w:szCs w:val="20"/>
        </w:rPr>
        <w:t>childbirth</w:t>
      </w:r>
      <w:r w:rsidR="00251ECF">
        <w:rPr>
          <w:rFonts w:asciiTheme="majorBidi" w:hAnsiTheme="majorBidi" w:cstheme="majorBidi"/>
          <w:sz w:val="20"/>
          <w:szCs w:val="20"/>
        </w:rPr>
        <w:t xml:space="preserve"> as well as physical labour </w:t>
      </w:r>
      <w:r w:rsidR="00CE23A7">
        <w:rPr>
          <w:rFonts w:asciiTheme="majorBidi" w:hAnsiTheme="majorBidi" w:cstheme="majorBidi"/>
          <w:sz w:val="20"/>
          <w:szCs w:val="20"/>
        </w:rPr>
        <w:t xml:space="preserve">and, thus, </w:t>
      </w:r>
      <w:r w:rsidR="00251ECF">
        <w:rPr>
          <w:rFonts w:asciiTheme="majorBidi" w:hAnsiTheme="majorBidi" w:cstheme="majorBidi"/>
          <w:sz w:val="20"/>
          <w:szCs w:val="20"/>
        </w:rPr>
        <w:t>exempl</w:t>
      </w:r>
      <w:r w:rsidR="00CE23A7">
        <w:rPr>
          <w:rFonts w:asciiTheme="majorBidi" w:hAnsiTheme="majorBidi" w:cstheme="majorBidi"/>
          <w:sz w:val="20"/>
          <w:szCs w:val="20"/>
        </w:rPr>
        <w:t>i</w:t>
      </w:r>
      <w:r w:rsidR="00251ECF">
        <w:rPr>
          <w:rFonts w:asciiTheme="majorBidi" w:hAnsiTheme="majorBidi" w:cstheme="majorBidi"/>
          <w:sz w:val="20"/>
          <w:szCs w:val="20"/>
        </w:rPr>
        <w:t>f</w:t>
      </w:r>
      <w:r w:rsidR="00CE23A7">
        <w:rPr>
          <w:rFonts w:asciiTheme="majorBidi" w:hAnsiTheme="majorBidi" w:cstheme="majorBidi"/>
          <w:sz w:val="20"/>
          <w:szCs w:val="20"/>
        </w:rPr>
        <w:t>ied</w:t>
      </w:r>
      <w:r>
        <w:rPr>
          <w:rFonts w:asciiTheme="majorBidi" w:hAnsiTheme="majorBidi" w:cstheme="majorBidi"/>
          <w:sz w:val="20"/>
          <w:szCs w:val="20"/>
        </w:rPr>
        <w:t xml:space="preserve"> societal expectations of adulthood.</w:t>
      </w:r>
    </w:p>
    <w:p w14:paraId="1033CC2A" w14:textId="708587E0" w:rsidR="00573816" w:rsidRDefault="00573816" w:rsidP="00573816">
      <w:pPr>
        <w:jc w:val="center"/>
        <w:rPr>
          <w:rFonts w:asciiTheme="majorBidi" w:hAnsiTheme="majorBidi" w:cstheme="majorBidi"/>
          <w:sz w:val="20"/>
          <w:szCs w:val="20"/>
        </w:rPr>
      </w:pPr>
      <w:r>
        <w:rPr>
          <w:rFonts w:asciiTheme="majorBidi" w:hAnsiTheme="majorBidi" w:cstheme="majorBidi"/>
          <w:noProof/>
          <w:sz w:val="20"/>
          <w:szCs w:val="20"/>
        </w:rPr>
        <w:drawing>
          <wp:inline distT="0" distB="0" distL="0" distR="0" wp14:anchorId="4DBA9097" wp14:editId="64354DD0">
            <wp:extent cx="3479800" cy="4690365"/>
            <wp:effectExtent l="0" t="0" r="6350" b="0"/>
            <wp:docPr id="526348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348473" name="Picture 526348473"/>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86025" cy="4698755"/>
                    </a:xfrm>
                    <a:prstGeom prst="rect">
                      <a:avLst/>
                    </a:prstGeom>
                  </pic:spPr>
                </pic:pic>
              </a:graphicData>
            </a:graphic>
          </wp:inline>
        </w:drawing>
      </w:r>
    </w:p>
    <w:p w14:paraId="100B9D56" w14:textId="4F9485F7" w:rsidR="00211919" w:rsidRDefault="00211919" w:rsidP="00211919">
      <w:pPr>
        <w:jc w:val="center"/>
        <w:rPr>
          <w:rFonts w:asciiTheme="majorBidi" w:hAnsiTheme="majorBidi" w:cstheme="majorBidi"/>
          <w:sz w:val="20"/>
          <w:szCs w:val="20"/>
        </w:rPr>
      </w:pPr>
      <w:r>
        <w:rPr>
          <w:rFonts w:asciiTheme="majorBidi" w:hAnsiTheme="majorBidi" w:cstheme="majorBidi"/>
          <w:sz w:val="20"/>
          <w:szCs w:val="20"/>
        </w:rPr>
        <w:t xml:space="preserve">Figure </w:t>
      </w:r>
      <w:r w:rsidR="00B06E33">
        <w:rPr>
          <w:rFonts w:asciiTheme="majorBidi" w:hAnsiTheme="majorBidi" w:cstheme="majorBidi"/>
          <w:sz w:val="20"/>
          <w:szCs w:val="20"/>
        </w:rPr>
        <w:t>5</w:t>
      </w:r>
      <w:r>
        <w:rPr>
          <w:rFonts w:asciiTheme="majorBidi" w:hAnsiTheme="majorBidi" w:cstheme="majorBidi"/>
          <w:sz w:val="20"/>
          <w:szCs w:val="20"/>
        </w:rPr>
        <w:t xml:space="preserve">. The seated woman of </w:t>
      </w:r>
      <w:r w:rsidRPr="00A36188">
        <w:rPr>
          <w:rFonts w:asciiTheme="majorBidi" w:hAnsiTheme="majorBidi" w:cstheme="majorBidi"/>
          <w:sz w:val="20"/>
          <w:szCs w:val="20"/>
        </w:rPr>
        <w:t>C̜atalhöyük</w:t>
      </w:r>
      <w:r>
        <w:rPr>
          <w:rFonts w:asciiTheme="majorBidi" w:hAnsiTheme="majorBidi" w:cstheme="majorBidi"/>
          <w:sz w:val="20"/>
          <w:szCs w:val="20"/>
        </w:rPr>
        <w:t xml:space="preserve"> (Source:</w:t>
      </w:r>
      <w:r>
        <w:t xml:space="preserve"> </w:t>
      </w:r>
      <w:r w:rsidRPr="00B774DA">
        <w:rPr>
          <w:rFonts w:asciiTheme="majorBidi" w:hAnsiTheme="majorBidi" w:cstheme="majorBidi"/>
          <w:sz w:val="20"/>
          <w:szCs w:val="20"/>
        </w:rPr>
        <w:t>https://www.arthistoryproject.com/timeline/prehistory/neolithic/seated-woman-of-catalhoyuk/</w:t>
      </w:r>
      <w:r>
        <w:rPr>
          <w:rFonts w:asciiTheme="majorBidi" w:hAnsiTheme="majorBidi" w:cstheme="majorBidi"/>
          <w:sz w:val="20"/>
          <w:szCs w:val="20"/>
        </w:rPr>
        <w:t xml:space="preserve">; Author: </w:t>
      </w:r>
      <w:r w:rsidRPr="00B774DA">
        <w:rPr>
          <w:rFonts w:asciiTheme="majorBidi" w:hAnsiTheme="majorBidi" w:cstheme="majorBidi"/>
          <w:sz w:val="20"/>
          <w:szCs w:val="20"/>
        </w:rPr>
        <w:t>© Nevit Dilmen</w:t>
      </w:r>
      <w:r w:rsidRPr="008F361C">
        <w:rPr>
          <w:rFonts w:asciiTheme="majorBidi" w:hAnsiTheme="majorBidi" w:cstheme="majorBidi"/>
          <w:sz w:val="20"/>
          <w:szCs w:val="20"/>
        </w:rPr>
        <w:t>)</w:t>
      </w:r>
    </w:p>
    <w:p w14:paraId="63C8064D" w14:textId="254CD2EA" w:rsidR="00896070" w:rsidRPr="00896070" w:rsidRDefault="00896070" w:rsidP="007D79F4">
      <w:pPr>
        <w:rPr>
          <w:rFonts w:asciiTheme="majorBidi" w:hAnsiTheme="majorBidi" w:cstheme="majorBidi"/>
          <w:sz w:val="20"/>
          <w:szCs w:val="20"/>
        </w:rPr>
      </w:pPr>
      <w:r>
        <w:rPr>
          <w:rFonts w:asciiTheme="majorBidi" w:hAnsiTheme="majorBidi" w:cstheme="majorBidi"/>
          <w:sz w:val="20"/>
          <w:szCs w:val="20"/>
        </w:rPr>
        <w:tab/>
      </w:r>
      <w:r w:rsidRPr="00896070">
        <w:rPr>
          <w:rFonts w:asciiTheme="majorBidi" w:hAnsiTheme="majorBidi" w:cstheme="majorBidi"/>
          <w:sz w:val="20"/>
          <w:szCs w:val="20"/>
        </w:rPr>
        <w:t>It is also crucial to take into account the deliberate omissions made by Neolithic craftspeople. For instance, the site lacks almost entirely any imagery depicting childbirth, women with infants, or the representation of children in both two or three dimensions</w:t>
      </w:r>
      <w:r w:rsidR="00F878D0" w:rsidRPr="00F878D0">
        <w:rPr>
          <w:rFonts w:asciiTheme="majorBidi" w:hAnsiTheme="majorBidi" w:cstheme="majorBidi"/>
          <w:lang w:val="en-IN"/>
        </w:rPr>
        <w:t xml:space="preserve"> </w:t>
      </w:r>
      <w:r w:rsidR="00F878D0">
        <w:rPr>
          <w:rFonts w:asciiTheme="majorBidi" w:hAnsiTheme="majorBidi" w:cstheme="majorBidi"/>
          <w:lang w:val="en-IN"/>
        </w:rPr>
        <w:t>(</w:t>
      </w:r>
      <w:r w:rsidR="00F878D0" w:rsidRPr="00F878D0">
        <w:rPr>
          <w:rFonts w:asciiTheme="majorBidi" w:hAnsiTheme="majorBidi" w:cstheme="majorBidi"/>
          <w:sz w:val="20"/>
          <w:szCs w:val="20"/>
          <w:lang w:val="en-IN"/>
        </w:rPr>
        <w:t>Kujit and Chesson, 2004</w:t>
      </w:r>
      <w:r w:rsidR="007D79F4">
        <w:rPr>
          <w:rFonts w:asciiTheme="majorBidi" w:hAnsiTheme="majorBidi" w:cstheme="majorBidi"/>
          <w:sz w:val="20"/>
          <w:szCs w:val="20"/>
          <w:lang w:val="en-IN"/>
        </w:rPr>
        <w:t>;</w:t>
      </w:r>
      <w:r w:rsidR="007D79F4" w:rsidRPr="007D79F4">
        <w:rPr>
          <w:rFonts w:asciiTheme="majorBidi" w:hAnsiTheme="majorBidi" w:cstheme="majorBidi"/>
          <w:sz w:val="20"/>
          <w:szCs w:val="20"/>
        </w:rPr>
        <w:t xml:space="preserve"> Pearson and Meskell, 2013</w:t>
      </w:r>
      <w:r w:rsidR="00F878D0">
        <w:rPr>
          <w:rFonts w:asciiTheme="majorBidi" w:hAnsiTheme="majorBidi" w:cstheme="majorBidi"/>
          <w:sz w:val="20"/>
          <w:szCs w:val="20"/>
          <w:lang w:val="en-IN"/>
        </w:rPr>
        <w:t>)</w:t>
      </w:r>
      <w:r w:rsidRPr="00896070">
        <w:rPr>
          <w:rFonts w:asciiTheme="majorBidi" w:hAnsiTheme="majorBidi" w:cstheme="majorBidi"/>
          <w:sz w:val="20"/>
          <w:szCs w:val="20"/>
        </w:rPr>
        <w:t xml:space="preserve">. If reproduction and fertility were the primary focus, it would be reasonable to anticipate a more prominent representation of the aforementioned listed </w:t>
      </w:r>
      <w:r w:rsidR="00C21E4E">
        <w:rPr>
          <w:rFonts w:asciiTheme="majorBidi" w:hAnsiTheme="majorBidi" w:cstheme="majorBidi"/>
          <w:sz w:val="20"/>
          <w:szCs w:val="20"/>
        </w:rPr>
        <w:t>aspects</w:t>
      </w:r>
      <w:r w:rsidRPr="00896070">
        <w:rPr>
          <w:rFonts w:asciiTheme="majorBidi" w:hAnsiTheme="majorBidi" w:cstheme="majorBidi"/>
          <w:sz w:val="20"/>
          <w:szCs w:val="20"/>
        </w:rPr>
        <w:t xml:space="preserve"> in the figurine corpus. However, while the figurine data indicate a focus on the body, it does not seem to suggest an emphasis on fertility.</w:t>
      </w:r>
    </w:p>
    <w:p w14:paraId="76C22FC3" w14:textId="77777777" w:rsidR="00B06E33" w:rsidRPr="00E35354" w:rsidRDefault="00B06E33" w:rsidP="00B06E33">
      <w:pPr>
        <w:rPr>
          <w:rFonts w:asciiTheme="majorBidi" w:hAnsiTheme="majorBidi" w:cstheme="majorBidi"/>
          <w:b/>
          <w:bCs/>
          <w:i/>
          <w:iCs/>
          <w:sz w:val="20"/>
          <w:szCs w:val="20"/>
        </w:rPr>
      </w:pPr>
      <w:r w:rsidRPr="00E35354">
        <w:rPr>
          <w:rFonts w:asciiTheme="majorBidi" w:hAnsiTheme="majorBidi" w:cstheme="majorBidi"/>
          <w:b/>
          <w:bCs/>
          <w:i/>
          <w:iCs/>
          <w:sz w:val="20"/>
          <w:szCs w:val="20"/>
        </w:rPr>
        <w:t>Burial</w:t>
      </w:r>
      <w:r>
        <w:rPr>
          <w:rFonts w:asciiTheme="majorBidi" w:hAnsiTheme="majorBidi" w:cstheme="majorBidi"/>
          <w:b/>
          <w:bCs/>
          <w:i/>
          <w:iCs/>
          <w:sz w:val="20"/>
          <w:szCs w:val="20"/>
        </w:rPr>
        <w:t xml:space="preserve"> Assemblage</w:t>
      </w:r>
    </w:p>
    <w:p w14:paraId="6921FDE2" w14:textId="5911A53C" w:rsidR="00B06E33" w:rsidRDefault="00B06E33" w:rsidP="009064BC">
      <w:pPr>
        <w:rPr>
          <w:rFonts w:asciiTheme="majorBidi" w:hAnsiTheme="majorBidi" w:cstheme="majorBidi"/>
          <w:sz w:val="20"/>
          <w:szCs w:val="20"/>
        </w:rPr>
      </w:pPr>
      <w:r>
        <w:rPr>
          <w:rFonts w:asciiTheme="majorBidi" w:hAnsiTheme="majorBidi" w:cstheme="majorBidi"/>
          <w:sz w:val="20"/>
          <w:szCs w:val="20"/>
        </w:rPr>
        <w:t xml:space="preserve">Excavations at </w:t>
      </w:r>
      <w:r w:rsidR="00D07910" w:rsidRPr="00A36188">
        <w:rPr>
          <w:rFonts w:asciiTheme="majorBidi" w:hAnsiTheme="majorBidi" w:cstheme="majorBidi"/>
          <w:sz w:val="20"/>
          <w:szCs w:val="20"/>
        </w:rPr>
        <w:t>C̜atalhöyük</w:t>
      </w:r>
      <w:r>
        <w:rPr>
          <w:rFonts w:asciiTheme="majorBidi" w:hAnsiTheme="majorBidi" w:cstheme="majorBidi"/>
          <w:sz w:val="20"/>
          <w:szCs w:val="20"/>
        </w:rPr>
        <w:t xml:space="preserve"> uncovered various burial objects and beads from 244 interments. The collection of artefacts comprises a variety of tools, ornaments and other objects such as plaster, bone, stone, clay, shell and so on (Nakamura and Meskell, 2013). Notably, a majority of those buried on the site did not receive burial goods. The data shows that burial objects included were not so concerned with being a collection of items intended explicitly for death or the afterlife but were selected from items used throughout their lifetime (</w:t>
      </w:r>
      <w:r w:rsidR="009064BC" w:rsidRPr="009064BC">
        <w:rPr>
          <w:rFonts w:asciiTheme="majorBidi" w:hAnsiTheme="majorBidi" w:cstheme="majorBidi"/>
          <w:sz w:val="20"/>
          <w:szCs w:val="20"/>
        </w:rPr>
        <w:t xml:space="preserve">Andrews </w:t>
      </w:r>
      <w:r w:rsidR="009064BC" w:rsidRPr="009064BC">
        <w:rPr>
          <w:rFonts w:asciiTheme="majorBidi" w:hAnsiTheme="majorBidi" w:cstheme="majorBidi"/>
          <w:i/>
          <w:iCs/>
          <w:sz w:val="20"/>
          <w:szCs w:val="20"/>
        </w:rPr>
        <w:t xml:space="preserve">et al., </w:t>
      </w:r>
      <w:r w:rsidR="009064BC" w:rsidRPr="009064BC">
        <w:rPr>
          <w:rFonts w:asciiTheme="majorBidi" w:hAnsiTheme="majorBidi" w:cstheme="majorBidi"/>
          <w:sz w:val="20"/>
          <w:szCs w:val="20"/>
        </w:rPr>
        <w:t xml:space="preserve">2005; </w:t>
      </w:r>
      <w:r>
        <w:rPr>
          <w:rFonts w:asciiTheme="majorBidi" w:hAnsiTheme="majorBidi" w:cstheme="majorBidi"/>
          <w:sz w:val="20"/>
          <w:szCs w:val="20"/>
        </w:rPr>
        <w:t>Hodder and Pels, 2010).</w:t>
      </w:r>
      <w:r w:rsidR="008246C4">
        <w:rPr>
          <w:rFonts w:asciiTheme="majorBidi" w:hAnsiTheme="majorBidi" w:cstheme="majorBidi"/>
          <w:sz w:val="20"/>
          <w:szCs w:val="20"/>
        </w:rPr>
        <w:t xml:space="preserve"> </w:t>
      </w:r>
      <w:r w:rsidRPr="009C243C">
        <w:rPr>
          <w:rFonts w:asciiTheme="majorBidi" w:hAnsiTheme="majorBidi" w:cstheme="majorBidi"/>
          <w:sz w:val="20"/>
          <w:szCs w:val="20"/>
        </w:rPr>
        <w:t xml:space="preserve">In the burial assemblage at </w:t>
      </w:r>
      <w:r w:rsidR="00D07910" w:rsidRPr="009C243C">
        <w:rPr>
          <w:rFonts w:asciiTheme="majorBidi" w:hAnsiTheme="majorBidi" w:cstheme="majorBidi"/>
          <w:sz w:val="20"/>
          <w:szCs w:val="20"/>
        </w:rPr>
        <w:t>C̜atalhöyük</w:t>
      </w:r>
      <w:r w:rsidRPr="009C243C">
        <w:rPr>
          <w:rFonts w:asciiTheme="majorBidi" w:hAnsiTheme="majorBidi" w:cstheme="majorBidi"/>
          <w:sz w:val="20"/>
          <w:szCs w:val="20"/>
        </w:rPr>
        <w:t xml:space="preserve">, </w:t>
      </w:r>
      <w:r>
        <w:rPr>
          <w:rFonts w:asciiTheme="majorBidi" w:hAnsiTheme="majorBidi" w:cstheme="majorBidi"/>
          <w:sz w:val="20"/>
          <w:szCs w:val="20"/>
        </w:rPr>
        <w:t>sex</w:t>
      </w:r>
      <w:r w:rsidRPr="009C243C">
        <w:rPr>
          <w:rFonts w:asciiTheme="majorBidi" w:hAnsiTheme="majorBidi" w:cstheme="majorBidi"/>
          <w:sz w:val="20"/>
          <w:szCs w:val="20"/>
        </w:rPr>
        <w:t xml:space="preserve"> di</w:t>
      </w:r>
      <w:r>
        <w:rPr>
          <w:rFonts w:asciiTheme="majorBidi" w:hAnsiTheme="majorBidi" w:cstheme="majorBidi"/>
          <w:sz w:val="20"/>
          <w:szCs w:val="20"/>
        </w:rPr>
        <w:t>fferentiation</w:t>
      </w:r>
      <w:r w:rsidRPr="009C243C">
        <w:rPr>
          <w:rFonts w:asciiTheme="majorBidi" w:hAnsiTheme="majorBidi" w:cstheme="majorBidi"/>
          <w:sz w:val="20"/>
          <w:szCs w:val="20"/>
        </w:rPr>
        <w:t xml:space="preserve"> was not prominently evident</w:t>
      </w:r>
      <w:r>
        <w:rPr>
          <w:rFonts w:asciiTheme="majorBidi" w:hAnsiTheme="majorBidi" w:cstheme="majorBidi"/>
          <w:sz w:val="20"/>
          <w:szCs w:val="20"/>
        </w:rPr>
        <w:t>.</w:t>
      </w:r>
      <w:r w:rsidRPr="009C243C">
        <w:rPr>
          <w:rFonts w:asciiTheme="majorBidi" w:hAnsiTheme="majorBidi" w:cstheme="majorBidi"/>
          <w:sz w:val="20"/>
          <w:szCs w:val="20"/>
        </w:rPr>
        <w:t xml:space="preserve"> Both male and female</w:t>
      </w:r>
      <w:r>
        <w:rPr>
          <w:rFonts w:asciiTheme="majorBidi" w:hAnsiTheme="majorBidi" w:cstheme="majorBidi"/>
          <w:sz w:val="20"/>
          <w:szCs w:val="20"/>
        </w:rPr>
        <w:t xml:space="preserve"> burials </w:t>
      </w:r>
      <w:r w:rsidRPr="009C243C">
        <w:rPr>
          <w:rFonts w:asciiTheme="majorBidi" w:hAnsiTheme="majorBidi" w:cstheme="majorBidi"/>
          <w:sz w:val="20"/>
          <w:szCs w:val="20"/>
        </w:rPr>
        <w:t>possess around 30 distinct kinds of art</w:t>
      </w:r>
      <w:r>
        <w:rPr>
          <w:rFonts w:asciiTheme="majorBidi" w:hAnsiTheme="majorBidi" w:cstheme="majorBidi"/>
          <w:sz w:val="20"/>
          <w:szCs w:val="20"/>
        </w:rPr>
        <w:t>e</w:t>
      </w:r>
      <w:r w:rsidRPr="009C243C">
        <w:rPr>
          <w:rFonts w:asciiTheme="majorBidi" w:hAnsiTheme="majorBidi" w:cstheme="majorBidi"/>
          <w:sz w:val="20"/>
          <w:szCs w:val="20"/>
        </w:rPr>
        <w:t>facts</w:t>
      </w:r>
      <w:r w:rsidR="00AE1D83">
        <w:rPr>
          <w:rFonts w:asciiTheme="majorBidi" w:hAnsiTheme="majorBidi" w:cstheme="majorBidi"/>
          <w:sz w:val="20"/>
          <w:szCs w:val="20"/>
        </w:rPr>
        <w:t>, such as pigments, beads, and bone,</w:t>
      </w:r>
      <w:r w:rsidRPr="009C243C">
        <w:rPr>
          <w:rFonts w:asciiTheme="majorBidi" w:hAnsiTheme="majorBidi" w:cstheme="majorBidi"/>
          <w:sz w:val="20"/>
          <w:szCs w:val="20"/>
        </w:rPr>
        <w:t xml:space="preserve"> that are directly or indirectly linked to the body</w:t>
      </w:r>
      <w:r w:rsidRPr="0064206E">
        <w:rPr>
          <w:rFonts w:asciiTheme="majorBidi" w:hAnsiTheme="majorBidi" w:cstheme="majorBidi"/>
          <w:sz w:val="20"/>
          <w:szCs w:val="20"/>
        </w:rPr>
        <w:t xml:space="preserve"> </w:t>
      </w:r>
      <w:r>
        <w:rPr>
          <w:rFonts w:asciiTheme="majorBidi" w:hAnsiTheme="majorBidi" w:cstheme="majorBidi"/>
          <w:sz w:val="20"/>
          <w:szCs w:val="20"/>
        </w:rPr>
        <w:t>(</w:t>
      </w:r>
      <w:r w:rsidRPr="0064206E">
        <w:rPr>
          <w:rFonts w:asciiTheme="majorBidi" w:hAnsiTheme="majorBidi" w:cstheme="majorBidi"/>
          <w:sz w:val="20"/>
          <w:szCs w:val="20"/>
        </w:rPr>
        <w:t>Nakamura and Meskell, 2013</w:t>
      </w:r>
      <w:r w:rsidR="00AE1D83">
        <w:rPr>
          <w:rFonts w:asciiTheme="majorBidi" w:hAnsiTheme="majorBidi" w:cstheme="majorBidi"/>
          <w:sz w:val="20"/>
          <w:szCs w:val="20"/>
        </w:rPr>
        <w:t>, 2014</w:t>
      </w:r>
      <w:r>
        <w:rPr>
          <w:rFonts w:asciiTheme="majorBidi" w:hAnsiTheme="majorBidi" w:cstheme="majorBidi"/>
          <w:sz w:val="20"/>
          <w:szCs w:val="20"/>
        </w:rPr>
        <w:t>)</w:t>
      </w:r>
      <w:r w:rsidRPr="009C243C">
        <w:rPr>
          <w:rFonts w:asciiTheme="majorBidi" w:hAnsiTheme="majorBidi" w:cstheme="majorBidi"/>
          <w:sz w:val="20"/>
          <w:szCs w:val="20"/>
        </w:rPr>
        <w:t>.</w:t>
      </w:r>
    </w:p>
    <w:p w14:paraId="5815B326" w14:textId="2153C018" w:rsidR="00B06E33" w:rsidRDefault="00B06E33" w:rsidP="00B06E33">
      <w:pPr>
        <w:rPr>
          <w:rFonts w:asciiTheme="majorBidi" w:hAnsiTheme="majorBidi" w:cstheme="majorBidi"/>
          <w:sz w:val="20"/>
          <w:szCs w:val="20"/>
        </w:rPr>
      </w:pPr>
      <w:r>
        <w:rPr>
          <w:rFonts w:asciiTheme="majorBidi" w:hAnsiTheme="majorBidi" w:cstheme="majorBidi"/>
          <w:sz w:val="20"/>
          <w:szCs w:val="20"/>
        </w:rPr>
        <w:lastRenderedPageBreak/>
        <w:tab/>
      </w:r>
      <w:r w:rsidRPr="00CD598C">
        <w:rPr>
          <w:rFonts w:asciiTheme="majorBidi" w:hAnsiTheme="majorBidi" w:cstheme="majorBidi"/>
          <w:sz w:val="20"/>
          <w:szCs w:val="20"/>
        </w:rPr>
        <w:t xml:space="preserve">Infants and newborns were buried </w:t>
      </w:r>
      <w:r>
        <w:rPr>
          <w:rFonts w:asciiTheme="majorBidi" w:hAnsiTheme="majorBidi" w:cstheme="majorBidi"/>
          <w:sz w:val="20"/>
          <w:szCs w:val="20"/>
        </w:rPr>
        <w:t>with specific goods such as baskets; these were similar to what was placed with older adults</w:t>
      </w:r>
      <w:r w:rsidRPr="00CD598C">
        <w:rPr>
          <w:rFonts w:asciiTheme="majorBidi" w:hAnsiTheme="majorBidi" w:cstheme="majorBidi"/>
          <w:sz w:val="20"/>
          <w:szCs w:val="20"/>
        </w:rPr>
        <w:t xml:space="preserve">. Contrarily, adolescents seldom </w:t>
      </w:r>
      <w:r>
        <w:rPr>
          <w:rFonts w:asciiTheme="majorBidi" w:hAnsiTheme="majorBidi" w:cstheme="majorBidi"/>
          <w:sz w:val="20"/>
          <w:szCs w:val="20"/>
        </w:rPr>
        <w:t>received</w:t>
      </w:r>
      <w:r w:rsidRPr="00CD598C">
        <w:rPr>
          <w:rFonts w:asciiTheme="majorBidi" w:hAnsiTheme="majorBidi" w:cstheme="majorBidi"/>
          <w:sz w:val="20"/>
          <w:szCs w:val="20"/>
        </w:rPr>
        <w:t xml:space="preserve"> </w:t>
      </w:r>
      <w:r>
        <w:rPr>
          <w:rFonts w:asciiTheme="majorBidi" w:hAnsiTheme="majorBidi" w:cstheme="majorBidi"/>
          <w:sz w:val="20"/>
          <w:szCs w:val="20"/>
        </w:rPr>
        <w:t>burial items</w:t>
      </w:r>
      <w:r w:rsidRPr="00CD598C">
        <w:rPr>
          <w:rFonts w:asciiTheme="majorBidi" w:hAnsiTheme="majorBidi" w:cstheme="majorBidi"/>
          <w:sz w:val="20"/>
          <w:szCs w:val="20"/>
        </w:rPr>
        <w:t>, and if they were, it was limited to pins</w:t>
      </w:r>
      <w:r>
        <w:rPr>
          <w:rFonts w:asciiTheme="majorBidi" w:hAnsiTheme="majorBidi" w:cstheme="majorBidi"/>
          <w:sz w:val="20"/>
          <w:szCs w:val="20"/>
        </w:rPr>
        <w:t xml:space="preserve"> and beads</w:t>
      </w:r>
      <w:r w:rsidRPr="00CD598C">
        <w:rPr>
          <w:rFonts w:asciiTheme="majorBidi" w:hAnsiTheme="majorBidi" w:cstheme="majorBidi"/>
          <w:sz w:val="20"/>
          <w:szCs w:val="20"/>
        </w:rPr>
        <w:t xml:space="preserve">. </w:t>
      </w:r>
      <w:r>
        <w:rPr>
          <w:rFonts w:asciiTheme="majorBidi" w:hAnsiTheme="majorBidi" w:cstheme="majorBidi"/>
          <w:sz w:val="20"/>
          <w:szCs w:val="20"/>
        </w:rPr>
        <w:t>Notably, t</w:t>
      </w:r>
      <w:r w:rsidRPr="00CD598C">
        <w:rPr>
          <w:rFonts w:asciiTheme="majorBidi" w:hAnsiTheme="majorBidi" w:cstheme="majorBidi"/>
          <w:sz w:val="20"/>
          <w:szCs w:val="20"/>
        </w:rPr>
        <w:t xml:space="preserve">he persons </w:t>
      </w:r>
      <w:r>
        <w:rPr>
          <w:rFonts w:asciiTheme="majorBidi" w:hAnsiTheme="majorBidi" w:cstheme="majorBidi"/>
          <w:sz w:val="20"/>
          <w:szCs w:val="20"/>
        </w:rPr>
        <w:t>who</w:t>
      </w:r>
      <w:r w:rsidRPr="00CD598C">
        <w:rPr>
          <w:rFonts w:asciiTheme="majorBidi" w:hAnsiTheme="majorBidi" w:cstheme="majorBidi"/>
          <w:sz w:val="20"/>
          <w:szCs w:val="20"/>
        </w:rPr>
        <w:t xml:space="preserve"> obtained the most detailed </w:t>
      </w:r>
      <w:r>
        <w:rPr>
          <w:rFonts w:asciiTheme="majorBidi" w:hAnsiTheme="majorBidi" w:cstheme="majorBidi"/>
          <w:sz w:val="20"/>
          <w:szCs w:val="20"/>
        </w:rPr>
        <w:t>burial goods</w:t>
      </w:r>
      <w:r w:rsidRPr="00CD598C">
        <w:rPr>
          <w:rFonts w:asciiTheme="majorBidi" w:hAnsiTheme="majorBidi" w:cstheme="majorBidi"/>
          <w:sz w:val="20"/>
          <w:szCs w:val="20"/>
        </w:rPr>
        <w:t xml:space="preserve"> were </w:t>
      </w:r>
      <w:r>
        <w:rPr>
          <w:rFonts w:asciiTheme="majorBidi" w:hAnsiTheme="majorBidi" w:cstheme="majorBidi"/>
          <w:sz w:val="20"/>
          <w:szCs w:val="20"/>
        </w:rPr>
        <w:t xml:space="preserve">older </w:t>
      </w:r>
      <w:r w:rsidRPr="00CD598C">
        <w:rPr>
          <w:rFonts w:asciiTheme="majorBidi" w:hAnsiTheme="majorBidi" w:cstheme="majorBidi"/>
          <w:sz w:val="20"/>
          <w:szCs w:val="20"/>
        </w:rPr>
        <w:t>adult</w:t>
      </w:r>
      <w:r>
        <w:rPr>
          <w:rFonts w:asciiTheme="majorBidi" w:hAnsiTheme="majorBidi" w:cstheme="majorBidi"/>
          <w:sz w:val="20"/>
          <w:szCs w:val="20"/>
        </w:rPr>
        <w:t xml:space="preserve">s and this may be reflective of their individual biographies </w:t>
      </w:r>
      <w:r w:rsidRPr="00CD598C">
        <w:rPr>
          <w:rFonts w:asciiTheme="majorBidi" w:hAnsiTheme="majorBidi" w:cstheme="majorBidi"/>
          <w:sz w:val="20"/>
          <w:szCs w:val="20"/>
        </w:rPr>
        <w:t>(Nakamura and Meskell</w:t>
      </w:r>
      <w:r>
        <w:rPr>
          <w:rFonts w:asciiTheme="majorBidi" w:hAnsiTheme="majorBidi" w:cstheme="majorBidi"/>
          <w:sz w:val="20"/>
          <w:szCs w:val="20"/>
        </w:rPr>
        <w:t>,</w:t>
      </w:r>
      <w:r w:rsidRPr="00CD598C">
        <w:rPr>
          <w:rFonts w:asciiTheme="majorBidi" w:hAnsiTheme="majorBidi" w:cstheme="majorBidi"/>
          <w:sz w:val="20"/>
          <w:szCs w:val="20"/>
        </w:rPr>
        <w:t xml:space="preserve"> 2013). </w:t>
      </w:r>
      <w:r>
        <w:rPr>
          <w:rFonts w:asciiTheme="majorBidi" w:hAnsiTheme="majorBidi" w:cstheme="majorBidi"/>
          <w:sz w:val="20"/>
          <w:szCs w:val="20"/>
        </w:rPr>
        <w:t xml:space="preserve">Hodder and Pels (2010) state that the burials were windows into the lives of those buried, ensuring that their distinct lives were remembered by the inhabitants of </w:t>
      </w:r>
      <w:r w:rsidR="00D07910" w:rsidRPr="001A267E">
        <w:rPr>
          <w:rFonts w:asciiTheme="majorBidi" w:hAnsiTheme="majorBidi" w:cstheme="majorBidi"/>
          <w:sz w:val="20"/>
          <w:szCs w:val="20"/>
        </w:rPr>
        <w:t>C̜atalhöyük</w:t>
      </w:r>
      <w:r>
        <w:rPr>
          <w:rFonts w:asciiTheme="majorBidi" w:hAnsiTheme="majorBidi" w:cstheme="majorBidi"/>
          <w:sz w:val="20"/>
          <w:szCs w:val="20"/>
        </w:rPr>
        <w:t>. One noteworthy burial is that of a woman over the age of 50, postured to hold a plastered skull of an older adult woman (mentioned earlier), roughly around the same age (Figure</w:t>
      </w:r>
      <w:r w:rsidR="002A22D9">
        <w:rPr>
          <w:rFonts w:asciiTheme="majorBidi" w:hAnsiTheme="majorBidi" w:cstheme="majorBidi"/>
          <w:sz w:val="20"/>
          <w:szCs w:val="20"/>
        </w:rPr>
        <w:t>s</w:t>
      </w:r>
      <w:r>
        <w:rPr>
          <w:rFonts w:asciiTheme="majorBidi" w:hAnsiTheme="majorBidi" w:cstheme="majorBidi"/>
          <w:sz w:val="20"/>
          <w:szCs w:val="20"/>
        </w:rPr>
        <w:t xml:space="preserve"> 5</w:t>
      </w:r>
      <w:r w:rsidR="002A22D9">
        <w:rPr>
          <w:rFonts w:asciiTheme="majorBidi" w:hAnsiTheme="majorBidi" w:cstheme="majorBidi"/>
          <w:sz w:val="20"/>
          <w:szCs w:val="20"/>
        </w:rPr>
        <w:t xml:space="preserve"> and 6</w:t>
      </w:r>
      <w:r>
        <w:rPr>
          <w:rFonts w:asciiTheme="majorBidi" w:hAnsiTheme="majorBidi" w:cstheme="majorBidi"/>
          <w:sz w:val="20"/>
          <w:szCs w:val="20"/>
        </w:rPr>
        <w:t>). The skull had been plastered at least three times, suggesting that it was valued and circulated, gathering layers of meaning (Hodder, 2006). According to Meskell (2008), plastering creates or enhances lifelikeness and perhaps helps to preserve the memories of the individual across time. The older woman buried with the skull had a few remarkable items, such as a bracelet composed of stone, turquoise, fish vertebra, and a leopard’s claw (</w:t>
      </w:r>
      <w:r w:rsidRPr="00CD598C">
        <w:rPr>
          <w:rFonts w:asciiTheme="majorBidi" w:hAnsiTheme="majorBidi" w:cstheme="majorBidi"/>
          <w:sz w:val="20"/>
          <w:szCs w:val="20"/>
        </w:rPr>
        <w:t>Nakamura and Meskell</w:t>
      </w:r>
      <w:r>
        <w:rPr>
          <w:rFonts w:asciiTheme="majorBidi" w:hAnsiTheme="majorBidi" w:cstheme="majorBidi"/>
          <w:sz w:val="20"/>
          <w:szCs w:val="20"/>
        </w:rPr>
        <w:t>,</w:t>
      </w:r>
      <w:r w:rsidRPr="00CD598C">
        <w:rPr>
          <w:rFonts w:asciiTheme="majorBidi" w:hAnsiTheme="majorBidi" w:cstheme="majorBidi"/>
          <w:sz w:val="20"/>
          <w:szCs w:val="20"/>
        </w:rPr>
        <w:t xml:space="preserve"> 2013</w:t>
      </w:r>
      <w:r>
        <w:rPr>
          <w:rFonts w:asciiTheme="majorBidi" w:hAnsiTheme="majorBidi" w:cstheme="majorBidi"/>
          <w:sz w:val="20"/>
          <w:szCs w:val="20"/>
        </w:rPr>
        <w:t xml:space="preserve">). Interestingly, this is the only instance where an actual leopard part has been found on the site. The woman’s body was positioned such that it seemed as if she were affectionately cradling the skull and may have been specifically chosen based on her age, social standing, skill, or all three. In another building, an older man was buried with </w:t>
      </w:r>
      <w:r w:rsidR="004012D6">
        <w:rPr>
          <w:rFonts w:asciiTheme="majorBidi" w:hAnsiTheme="majorBidi" w:cstheme="majorBidi"/>
          <w:sz w:val="20"/>
          <w:szCs w:val="20"/>
        </w:rPr>
        <w:t>several</w:t>
      </w:r>
      <w:r>
        <w:rPr>
          <w:rFonts w:asciiTheme="majorBidi" w:hAnsiTheme="majorBidi" w:cstheme="majorBidi"/>
          <w:sz w:val="20"/>
          <w:szCs w:val="20"/>
        </w:rPr>
        <w:t xml:space="preserve"> </w:t>
      </w:r>
      <w:r w:rsidR="000B0426">
        <w:rPr>
          <w:rFonts w:asciiTheme="majorBidi" w:hAnsiTheme="majorBidi" w:cstheme="majorBidi"/>
          <w:sz w:val="20"/>
          <w:szCs w:val="20"/>
        </w:rPr>
        <w:t>items</w:t>
      </w:r>
      <w:r>
        <w:rPr>
          <w:rFonts w:asciiTheme="majorBidi" w:hAnsiTheme="majorBidi" w:cstheme="majorBidi"/>
          <w:sz w:val="20"/>
          <w:szCs w:val="20"/>
        </w:rPr>
        <w:t xml:space="preserve">, such as flint tools and a hook made by shaping </w:t>
      </w:r>
      <w:r w:rsidR="000B0426">
        <w:rPr>
          <w:rFonts w:asciiTheme="majorBidi" w:hAnsiTheme="majorBidi" w:cstheme="majorBidi"/>
          <w:sz w:val="20"/>
          <w:szCs w:val="20"/>
        </w:rPr>
        <w:t xml:space="preserve">an auroch’s </w:t>
      </w:r>
      <w:r w:rsidRPr="001B135F">
        <w:rPr>
          <w:rFonts w:asciiTheme="majorBidi" w:hAnsiTheme="majorBidi" w:cstheme="majorBidi"/>
          <w:sz w:val="20"/>
          <w:szCs w:val="20"/>
        </w:rPr>
        <w:t>premaxillary bone</w:t>
      </w:r>
      <w:r w:rsidRPr="001731AA">
        <w:rPr>
          <w:rFonts w:asciiTheme="majorBidi" w:hAnsiTheme="majorBidi" w:cstheme="majorBidi"/>
          <w:sz w:val="20"/>
          <w:szCs w:val="20"/>
        </w:rPr>
        <w:t xml:space="preserve"> </w:t>
      </w:r>
      <w:r>
        <w:rPr>
          <w:rFonts w:asciiTheme="majorBidi" w:hAnsiTheme="majorBidi" w:cstheme="majorBidi"/>
          <w:sz w:val="20"/>
          <w:szCs w:val="20"/>
        </w:rPr>
        <w:t>(</w:t>
      </w:r>
      <w:r w:rsidRPr="001731AA">
        <w:rPr>
          <w:rFonts w:asciiTheme="majorBidi" w:hAnsiTheme="majorBidi" w:cstheme="majorBidi"/>
          <w:sz w:val="20"/>
          <w:szCs w:val="20"/>
        </w:rPr>
        <w:t>Nakamura and Meskell, 2013</w:t>
      </w:r>
      <w:r>
        <w:rPr>
          <w:rFonts w:asciiTheme="majorBidi" w:hAnsiTheme="majorBidi" w:cstheme="majorBidi"/>
          <w:sz w:val="20"/>
          <w:szCs w:val="20"/>
        </w:rPr>
        <w:t xml:space="preserve">). Considering these, it is likely that these items indicate the skills and activities of the </w:t>
      </w:r>
      <w:r w:rsidR="0075410A">
        <w:rPr>
          <w:rFonts w:asciiTheme="majorBidi" w:hAnsiTheme="majorBidi" w:cstheme="majorBidi"/>
          <w:sz w:val="20"/>
          <w:szCs w:val="20"/>
        </w:rPr>
        <w:t xml:space="preserve">woman and </w:t>
      </w:r>
      <w:r>
        <w:rPr>
          <w:rFonts w:asciiTheme="majorBidi" w:hAnsiTheme="majorBidi" w:cstheme="majorBidi"/>
          <w:sz w:val="20"/>
          <w:szCs w:val="20"/>
        </w:rPr>
        <w:t>man. Therefore, contrary to what Mella</w:t>
      </w:r>
      <w:r w:rsidR="005B0424">
        <w:rPr>
          <w:rFonts w:asciiTheme="majorBidi" w:hAnsiTheme="majorBidi" w:cstheme="majorBidi"/>
          <w:sz w:val="20"/>
          <w:szCs w:val="20"/>
        </w:rPr>
        <w:t>a</w:t>
      </w:r>
      <w:r>
        <w:rPr>
          <w:rFonts w:asciiTheme="majorBidi" w:hAnsiTheme="majorBidi" w:cstheme="majorBidi"/>
          <w:sz w:val="20"/>
          <w:szCs w:val="20"/>
        </w:rPr>
        <w:t>rt (196</w:t>
      </w:r>
      <w:r w:rsidR="007D7D48">
        <w:rPr>
          <w:rFonts w:asciiTheme="majorBidi" w:hAnsiTheme="majorBidi" w:cstheme="majorBidi"/>
          <w:sz w:val="20"/>
          <w:szCs w:val="20"/>
        </w:rPr>
        <w:t>4</w:t>
      </w:r>
      <w:r>
        <w:rPr>
          <w:rFonts w:asciiTheme="majorBidi" w:hAnsiTheme="majorBidi" w:cstheme="majorBidi"/>
          <w:sz w:val="20"/>
          <w:szCs w:val="20"/>
        </w:rPr>
        <w:t>) posited, it seems that the burial artefacts are not distinguished on the basis of sex but rather in terms of longevity and skill that come with age.</w:t>
      </w:r>
    </w:p>
    <w:p w14:paraId="53868FCC" w14:textId="77777777" w:rsidR="00B06E33" w:rsidRDefault="00B06E33" w:rsidP="00B06E33">
      <w:pPr>
        <w:jc w:val="center"/>
        <w:rPr>
          <w:rFonts w:asciiTheme="majorBidi" w:hAnsiTheme="majorBidi" w:cstheme="majorBidi"/>
          <w:sz w:val="20"/>
          <w:szCs w:val="20"/>
        </w:rPr>
      </w:pPr>
      <w:r>
        <w:rPr>
          <w:rFonts w:asciiTheme="majorBidi" w:hAnsiTheme="majorBidi" w:cstheme="majorBidi"/>
          <w:noProof/>
          <w:sz w:val="20"/>
          <w:szCs w:val="20"/>
        </w:rPr>
        <w:drawing>
          <wp:inline distT="0" distB="0" distL="0" distR="0" wp14:anchorId="19755242" wp14:editId="52F8D495">
            <wp:extent cx="4587114" cy="3050283"/>
            <wp:effectExtent l="0" t="0" r="4445" b="0"/>
            <wp:docPr id="14200625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062525" name="Picture 1420062525"/>
                    <pic:cNvPicPr/>
                  </pic:nvPicPr>
                  <pic:blipFill>
                    <a:blip r:embed="rId9">
                      <a:extLst>
                        <a:ext uri="{28A0092B-C50C-407E-A947-70E740481C1C}">
                          <a14:useLocalDpi xmlns:a14="http://schemas.microsoft.com/office/drawing/2010/main" val="0"/>
                        </a:ext>
                      </a:extLst>
                    </a:blip>
                    <a:stretch>
                      <a:fillRect/>
                    </a:stretch>
                  </pic:blipFill>
                  <pic:spPr>
                    <a:xfrm>
                      <a:off x="0" y="0"/>
                      <a:ext cx="4601969" cy="3060161"/>
                    </a:xfrm>
                    <a:prstGeom prst="rect">
                      <a:avLst/>
                    </a:prstGeom>
                  </pic:spPr>
                </pic:pic>
              </a:graphicData>
            </a:graphic>
          </wp:inline>
        </w:drawing>
      </w:r>
    </w:p>
    <w:p w14:paraId="6C475A86" w14:textId="77777777" w:rsidR="00B06E33" w:rsidRDefault="00B06E33" w:rsidP="00B06E33">
      <w:pPr>
        <w:jc w:val="center"/>
        <w:rPr>
          <w:rFonts w:asciiTheme="majorBidi" w:hAnsiTheme="majorBidi" w:cstheme="majorBidi"/>
          <w:sz w:val="20"/>
          <w:szCs w:val="20"/>
        </w:rPr>
      </w:pPr>
      <w:r w:rsidRPr="00BC7374">
        <w:rPr>
          <w:rFonts w:asciiTheme="majorBidi" w:hAnsiTheme="majorBidi" w:cstheme="majorBidi"/>
          <w:sz w:val="20"/>
          <w:szCs w:val="20"/>
        </w:rPr>
        <w:t xml:space="preserve">Figure </w:t>
      </w:r>
      <w:r>
        <w:rPr>
          <w:rFonts w:asciiTheme="majorBidi" w:hAnsiTheme="majorBidi" w:cstheme="majorBidi"/>
          <w:sz w:val="20"/>
          <w:szCs w:val="20"/>
        </w:rPr>
        <w:t>5</w:t>
      </w:r>
      <w:r w:rsidRPr="00BC7374">
        <w:rPr>
          <w:rFonts w:asciiTheme="majorBidi" w:hAnsiTheme="majorBidi" w:cstheme="majorBidi"/>
          <w:sz w:val="20"/>
          <w:szCs w:val="20"/>
        </w:rPr>
        <w:t xml:space="preserve">. </w:t>
      </w:r>
      <w:r>
        <w:rPr>
          <w:rFonts w:asciiTheme="majorBidi" w:hAnsiTheme="majorBidi" w:cstheme="majorBidi"/>
          <w:sz w:val="20"/>
          <w:szCs w:val="20"/>
        </w:rPr>
        <w:t>Older adult woman buried with a p</w:t>
      </w:r>
      <w:r w:rsidRPr="00BC7374">
        <w:rPr>
          <w:rFonts w:asciiTheme="majorBidi" w:hAnsiTheme="majorBidi" w:cstheme="majorBidi"/>
          <w:sz w:val="20"/>
          <w:szCs w:val="20"/>
        </w:rPr>
        <w:t xml:space="preserve">lastered skull </w:t>
      </w:r>
      <w:r>
        <w:rPr>
          <w:rFonts w:asciiTheme="majorBidi" w:hAnsiTheme="majorBidi" w:cstheme="majorBidi"/>
          <w:sz w:val="20"/>
          <w:szCs w:val="20"/>
        </w:rPr>
        <w:t xml:space="preserve">in Building 42 </w:t>
      </w:r>
      <w:r w:rsidRPr="00BC7374">
        <w:rPr>
          <w:rFonts w:asciiTheme="majorBidi" w:hAnsiTheme="majorBidi" w:cstheme="majorBidi"/>
          <w:sz w:val="20"/>
          <w:szCs w:val="20"/>
        </w:rPr>
        <w:t>(</w:t>
      </w:r>
      <w:r>
        <w:rPr>
          <w:rFonts w:asciiTheme="majorBidi" w:hAnsiTheme="majorBidi" w:cstheme="majorBidi"/>
          <w:sz w:val="20"/>
          <w:szCs w:val="20"/>
        </w:rPr>
        <w:t>S</w:t>
      </w:r>
      <w:r w:rsidRPr="00BC7374">
        <w:rPr>
          <w:rFonts w:asciiTheme="majorBidi" w:hAnsiTheme="majorBidi" w:cstheme="majorBidi"/>
          <w:sz w:val="20"/>
          <w:szCs w:val="20"/>
        </w:rPr>
        <w:t>ource: Çatalhöyük Research Project</w:t>
      </w:r>
      <w:r>
        <w:rPr>
          <w:rFonts w:asciiTheme="majorBidi" w:hAnsiTheme="majorBidi" w:cstheme="majorBidi"/>
          <w:sz w:val="20"/>
          <w:szCs w:val="20"/>
        </w:rPr>
        <w:t>)</w:t>
      </w:r>
    </w:p>
    <w:p w14:paraId="0868C995" w14:textId="77777777" w:rsidR="00B06E33" w:rsidRPr="006814E4" w:rsidRDefault="00B06E33" w:rsidP="00B06E33">
      <w:pPr>
        <w:jc w:val="center"/>
        <w:rPr>
          <w:rFonts w:asciiTheme="majorBidi" w:hAnsiTheme="majorBidi" w:cstheme="majorBidi"/>
          <w:sz w:val="20"/>
          <w:szCs w:val="20"/>
        </w:rPr>
      </w:pPr>
      <w:r>
        <w:rPr>
          <w:rFonts w:asciiTheme="majorBidi" w:hAnsiTheme="majorBidi" w:cstheme="majorBidi"/>
          <w:noProof/>
          <w:sz w:val="20"/>
          <w:szCs w:val="20"/>
        </w:rPr>
        <w:lastRenderedPageBreak/>
        <w:drawing>
          <wp:inline distT="0" distB="0" distL="0" distR="0" wp14:anchorId="150E34B2" wp14:editId="0FF86077">
            <wp:extent cx="4496429" cy="3189745"/>
            <wp:effectExtent l="0" t="0" r="0" b="0"/>
            <wp:docPr id="74072369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723692" name="Picture 740723692"/>
                    <pic:cNvPicPr/>
                  </pic:nvPicPr>
                  <pic:blipFill>
                    <a:blip r:embed="rId10">
                      <a:extLst>
                        <a:ext uri="{28A0092B-C50C-407E-A947-70E740481C1C}">
                          <a14:useLocalDpi xmlns:a14="http://schemas.microsoft.com/office/drawing/2010/main" val="0"/>
                        </a:ext>
                      </a:extLst>
                    </a:blip>
                    <a:stretch>
                      <a:fillRect/>
                    </a:stretch>
                  </pic:blipFill>
                  <pic:spPr>
                    <a:xfrm>
                      <a:off x="0" y="0"/>
                      <a:ext cx="4513425" cy="3201802"/>
                    </a:xfrm>
                    <a:prstGeom prst="rect">
                      <a:avLst/>
                    </a:prstGeom>
                  </pic:spPr>
                </pic:pic>
              </a:graphicData>
            </a:graphic>
          </wp:inline>
        </w:drawing>
      </w:r>
    </w:p>
    <w:p w14:paraId="370A1932" w14:textId="77777777" w:rsidR="00B06E33" w:rsidRDefault="00B06E33" w:rsidP="00B06E33">
      <w:pPr>
        <w:jc w:val="center"/>
        <w:rPr>
          <w:rFonts w:asciiTheme="majorBidi" w:hAnsiTheme="majorBidi" w:cstheme="majorBidi"/>
          <w:sz w:val="20"/>
          <w:szCs w:val="20"/>
        </w:rPr>
      </w:pPr>
      <w:r w:rsidRPr="00BC7374">
        <w:rPr>
          <w:rFonts w:asciiTheme="majorBidi" w:hAnsiTheme="majorBidi" w:cstheme="majorBidi"/>
          <w:sz w:val="20"/>
          <w:szCs w:val="20"/>
        </w:rPr>
        <w:t xml:space="preserve">Figure </w:t>
      </w:r>
      <w:r>
        <w:rPr>
          <w:rFonts w:asciiTheme="majorBidi" w:hAnsiTheme="majorBidi" w:cstheme="majorBidi"/>
          <w:sz w:val="20"/>
          <w:szCs w:val="20"/>
        </w:rPr>
        <w:t>6</w:t>
      </w:r>
      <w:r w:rsidRPr="00BC7374">
        <w:rPr>
          <w:rFonts w:asciiTheme="majorBidi" w:hAnsiTheme="majorBidi" w:cstheme="majorBidi"/>
          <w:sz w:val="20"/>
          <w:szCs w:val="20"/>
        </w:rPr>
        <w:t xml:space="preserve">. </w:t>
      </w:r>
      <w:r>
        <w:rPr>
          <w:rFonts w:asciiTheme="majorBidi" w:hAnsiTheme="majorBidi" w:cstheme="majorBidi"/>
          <w:sz w:val="20"/>
          <w:szCs w:val="20"/>
        </w:rPr>
        <w:t>Reconstruction of the above image</w:t>
      </w:r>
      <w:r w:rsidRPr="008B7773">
        <w:rPr>
          <w:rFonts w:asciiTheme="majorBidi" w:hAnsiTheme="majorBidi" w:cstheme="majorBidi"/>
          <w:sz w:val="20"/>
          <w:szCs w:val="20"/>
        </w:rPr>
        <w:t xml:space="preserve"> </w:t>
      </w:r>
      <w:r w:rsidRPr="00BC7374">
        <w:rPr>
          <w:rFonts w:asciiTheme="majorBidi" w:hAnsiTheme="majorBidi" w:cstheme="majorBidi"/>
          <w:sz w:val="20"/>
          <w:szCs w:val="20"/>
        </w:rPr>
        <w:t>(</w:t>
      </w:r>
      <w:r>
        <w:rPr>
          <w:rFonts w:asciiTheme="majorBidi" w:hAnsiTheme="majorBidi" w:cstheme="majorBidi"/>
          <w:sz w:val="20"/>
          <w:szCs w:val="20"/>
        </w:rPr>
        <w:t>S</w:t>
      </w:r>
      <w:r w:rsidRPr="00BC7374">
        <w:rPr>
          <w:rFonts w:asciiTheme="majorBidi" w:hAnsiTheme="majorBidi" w:cstheme="majorBidi"/>
          <w:sz w:val="20"/>
          <w:szCs w:val="20"/>
        </w:rPr>
        <w:t>ource: Çatalhöyük Research Project</w:t>
      </w:r>
      <w:r>
        <w:rPr>
          <w:rFonts w:asciiTheme="majorBidi" w:hAnsiTheme="majorBidi" w:cstheme="majorBidi"/>
          <w:sz w:val="20"/>
          <w:szCs w:val="20"/>
        </w:rPr>
        <w:t>; R</w:t>
      </w:r>
      <w:r w:rsidRPr="00BC7374">
        <w:rPr>
          <w:rFonts w:asciiTheme="majorBidi" w:hAnsiTheme="majorBidi" w:cstheme="majorBidi"/>
          <w:sz w:val="20"/>
          <w:szCs w:val="20"/>
        </w:rPr>
        <w:t>econstruction</w:t>
      </w:r>
      <w:r>
        <w:rPr>
          <w:rFonts w:asciiTheme="majorBidi" w:hAnsiTheme="majorBidi" w:cstheme="majorBidi"/>
          <w:sz w:val="20"/>
          <w:szCs w:val="20"/>
        </w:rPr>
        <w:t xml:space="preserve"> art:</w:t>
      </w:r>
      <w:r w:rsidRPr="00BC7374">
        <w:rPr>
          <w:rFonts w:asciiTheme="majorBidi" w:hAnsiTheme="majorBidi" w:cstheme="majorBidi"/>
          <w:sz w:val="20"/>
          <w:szCs w:val="20"/>
        </w:rPr>
        <w:t xml:space="preserve"> Kathryn Killackey)</w:t>
      </w:r>
    </w:p>
    <w:p w14:paraId="7080B339" w14:textId="77777777" w:rsidR="00E71FA3" w:rsidRPr="00E71FA3" w:rsidRDefault="00E71FA3" w:rsidP="00E71FA3">
      <w:pPr>
        <w:jc w:val="center"/>
        <w:rPr>
          <w:rFonts w:asciiTheme="majorBidi" w:hAnsiTheme="majorBidi" w:cstheme="majorBidi"/>
          <w:sz w:val="20"/>
          <w:szCs w:val="20"/>
        </w:rPr>
      </w:pPr>
      <w:r w:rsidRPr="00E71FA3">
        <w:rPr>
          <w:rFonts w:asciiTheme="majorBidi" w:hAnsiTheme="majorBidi" w:cstheme="majorBidi"/>
          <w:b/>
          <w:bCs/>
          <w:sz w:val="20"/>
          <w:szCs w:val="20"/>
        </w:rPr>
        <w:t>The Lived Body</w:t>
      </w:r>
    </w:p>
    <w:p w14:paraId="14687BBC" w14:textId="77777777" w:rsidR="00E71FA3" w:rsidRPr="00E71FA3" w:rsidRDefault="00E71FA3" w:rsidP="00E71FA3">
      <w:pPr>
        <w:rPr>
          <w:rFonts w:asciiTheme="majorBidi" w:hAnsiTheme="majorBidi" w:cstheme="majorBidi"/>
          <w:b/>
          <w:bCs/>
          <w:i/>
          <w:iCs/>
          <w:sz w:val="20"/>
          <w:szCs w:val="20"/>
        </w:rPr>
      </w:pPr>
      <w:r w:rsidRPr="00E71FA3">
        <w:rPr>
          <w:rFonts w:asciiTheme="majorBidi" w:hAnsiTheme="majorBidi" w:cstheme="majorBidi"/>
          <w:b/>
          <w:bCs/>
          <w:i/>
          <w:iCs/>
          <w:sz w:val="20"/>
          <w:szCs w:val="20"/>
        </w:rPr>
        <w:t>Skeletal data</w:t>
      </w:r>
    </w:p>
    <w:p w14:paraId="075F8FAD" w14:textId="073508F7" w:rsidR="00E71FA3" w:rsidRPr="00E71FA3" w:rsidRDefault="00E71FA3" w:rsidP="00E71FA3">
      <w:pPr>
        <w:rPr>
          <w:rFonts w:asciiTheme="majorBidi" w:hAnsiTheme="majorBidi" w:cstheme="majorBidi"/>
          <w:sz w:val="20"/>
          <w:szCs w:val="20"/>
        </w:rPr>
      </w:pPr>
      <w:r>
        <w:rPr>
          <w:rFonts w:asciiTheme="majorBidi" w:hAnsiTheme="majorBidi" w:cstheme="majorBidi"/>
          <w:sz w:val="20"/>
          <w:szCs w:val="20"/>
        </w:rPr>
        <w:tab/>
      </w:r>
      <w:r w:rsidRPr="00E71FA3">
        <w:rPr>
          <w:rFonts w:asciiTheme="majorBidi" w:hAnsiTheme="majorBidi" w:cstheme="majorBidi"/>
          <w:sz w:val="20"/>
          <w:szCs w:val="20"/>
        </w:rPr>
        <w:t xml:space="preserve">The behaviours related to the consumption of food are socially constructed embodied habitus (Bourdieu, 1998). Although eating is fundamental to our existence, Barthes (1997) states that the decisions about what kinds of meat or vegetables to consume, how to prepare them, and how to divide them among a community are part of a system of communication. Studies on stable isotope analysis of human bones provide insight into these social processes as they reveal consistent dietary patterns, such as everyday meals, rather than one-off feasting events (White, 2005). This is done by testing the intake of protein, carbohydrates, and lipids present in human remains. Protein builds proteinaceous tissue such as bones, muscles and nails, whereas carbohydrates and lipids are processed for energy. When the energy received from meals exceeds the energy expended, adipose fat tissue accumulates in the body (Pearson </w:t>
      </w:r>
      <w:r w:rsidRPr="00000681">
        <w:rPr>
          <w:rFonts w:asciiTheme="majorBidi" w:hAnsiTheme="majorBidi" w:cstheme="majorBidi"/>
          <w:i/>
          <w:iCs/>
          <w:sz w:val="20"/>
          <w:szCs w:val="20"/>
        </w:rPr>
        <w:t>et al.,</w:t>
      </w:r>
      <w:r w:rsidRPr="00E71FA3">
        <w:rPr>
          <w:rFonts w:asciiTheme="majorBidi" w:hAnsiTheme="majorBidi" w:cstheme="majorBidi"/>
          <w:sz w:val="20"/>
          <w:szCs w:val="20"/>
        </w:rPr>
        <w:t xml:space="preserve"> 2013). Thus, the consumption of certain foods and the amount of activity play a role in the constitution of corporeality. Therefore, analysing isotope data helps understand whether diets differed by age, sex, and social structure and whether the imaged body depicted the lived body, and if so, in what way.</w:t>
      </w:r>
    </w:p>
    <w:p w14:paraId="7817920C" w14:textId="12EA1CB1" w:rsidR="00E71FA3" w:rsidRDefault="00E71FA3" w:rsidP="00E71FA3">
      <w:pPr>
        <w:rPr>
          <w:rFonts w:asciiTheme="majorBidi" w:hAnsiTheme="majorBidi" w:cstheme="majorBidi"/>
          <w:sz w:val="20"/>
          <w:szCs w:val="20"/>
        </w:rPr>
      </w:pPr>
      <w:r>
        <w:rPr>
          <w:rFonts w:asciiTheme="majorBidi" w:hAnsiTheme="majorBidi" w:cstheme="majorBidi"/>
          <w:sz w:val="20"/>
          <w:szCs w:val="20"/>
        </w:rPr>
        <w:tab/>
      </w:r>
      <w:r w:rsidRPr="00E71FA3">
        <w:rPr>
          <w:rFonts w:asciiTheme="majorBidi" w:hAnsiTheme="majorBidi" w:cstheme="majorBidi"/>
          <w:sz w:val="20"/>
          <w:szCs w:val="20"/>
        </w:rPr>
        <w:t>Results from isotope analysis studies have indicated that lower nitrogen isotope levels—such as when consuming predominantly plants and domesticated cattle—were found in middle-aged and older adults at C̜atalhöyük. Alternatively, young adults exhibited higher nitrogen isotope levels, implying</w:t>
      </w:r>
      <w:r w:rsidR="0061768B">
        <w:rPr>
          <w:rFonts w:asciiTheme="majorBidi" w:hAnsiTheme="majorBidi" w:cstheme="majorBidi"/>
          <w:sz w:val="20"/>
          <w:szCs w:val="20"/>
        </w:rPr>
        <w:t xml:space="preserve"> that they ate </w:t>
      </w:r>
      <w:r w:rsidRPr="00E71FA3">
        <w:rPr>
          <w:rFonts w:asciiTheme="majorBidi" w:hAnsiTheme="majorBidi" w:cstheme="majorBidi"/>
          <w:sz w:val="20"/>
          <w:szCs w:val="20"/>
        </w:rPr>
        <w:t>higher trophic-level foods</w:t>
      </w:r>
      <w:r w:rsidR="0061768B">
        <w:rPr>
          <w:rFonts w:asciiTheme="majorBidi" w:hAnsiTheme="majorBidi" w:cstheme="majorBidi"/>
          <w:sz w:val="20"/>
          <w:szCs w:val="20"/>
        </w:rPr>
        <w:t>,</w:t>
      </w:r>
      <w:r w:rsidR="00E840CD">
        <w:rPr>
          <w:rFonts w:asciiTheme="majorBidi" w:hAnsiTheme="majorBidi" w:cstheme="majorBidi"/>
          <w:sz w:val="20"/>
          <w:szCs w:val="20"/>
        </w:rPr>
        <w:t xml:space="preserve"> that is,</w:t>
      </w:r>
      <w:r w:rsidRPr="00E71FA3">
        <w:rPr>
          <w:rFonts w:asciiTheme="majorBidi" w:hAnsiTheme="majorBidi" w:cstheme="majorBidi"/>
          <w:sz w:val="20"/>
          <w:szCs w:val="20"/>
        </w:rPr>
        <w:t xml:space="preserve"> wild animals </w:t>
      </w:r>
      <w:r w:rsidR="004A4A86">
        <w:rPr>
          <w:rFonts w:asciiTheme="majorBidi" w:hAnsiTheme="majorBidi" w:cstheme="majorBidi"/>
          <w:sz w:val="20"/>
          <w:szCs w:val="20"/>
        </w:rPr>
        <w:t>like</w:t>
      </w:r>
      <w:r w:rsidRPr="00E71FA3">
        <w:rPr>
          <w:rFonts w:asciiTheme="majorBidi" w:hAnsiTheme="majorBidi" w:cstheme="majorBidi"/>
          <w:sz w:val="20"/>
          <w:szCs w:val="20"/>
        </w:rPr>
        <w:t xml:space="preserve"> boar and equids (Pearson and Meskell, 2014). Additionally, data from dental pathology revealed that older adults consumed increased amounts of sugar as they got older</w:t>
      </w:r>
      <w:r w:rsidR="003872B8">
        <w:rPr>
          <w:rFonts w:asciiTheme="majorBidi" w:hAnsiTheme="majorBidi" w:cstheme="majorBidi"/>
          <w:sz w:val="20"/>
          <w:szCs w:val="20"/>
        </w:rPr>
        <w:t xml:space="preserve"> </w:t>
      </w:r>
      <w:r w:rsidR="00697BBA">
        <w:rPr>
          <w:rFonts w:asciiTheme="majorBidi" w:hAnsiTheme="majorBidi" w:cstheme="majorBidi"/>
          <w:sz w:val="20"/>
          <w:szCs w:val="20"/>
        </w:rPr>
        <w:t xml:space="preserve">(Hillson </w:t>
      </w:r>
      <w:r w:rsidR="00697BBA" w:rsidRPr="00697BBA">
        <w:rPr>
          <w:rFonts w:asciiTheme="majorBidi" w:hAnsiTheme="majorBidi" w:cstheme="majorBidi"/>
          <w:i/>
          <w:iCs/>
          <w:sz w:val="20"/>
          <w:szCs w:val="20"/>
        </w:rPr>
        <w:t>et al.,</w:t>
      </w:r>
      <w:r w:rsidR="00697BBA">
        <w:rPr>
          <w:rFonts w:asciiTheme="majorBidi" w:hAnsiTheme="majorBidi" w:cstheme="majorBidi"/>
          <w:sz w:val="20"/>
          <w:szCs w:val="20"/>
        </w:rPr>
        <w:t xml:space="preserve"> 2013)</w:t>
      </w:r>
      <w:r w:rsidRPr="00E71FA3">
        <w:rPr>
          <w:rFonts w:asciiTheme="majorBidi" w:hAnsiTheme="majorBidi" w:cstheme="majorBidi"/>
          <w:sz w:val="20"/>
          <w:szCs w:val="20"/>
        </w:rPr>
        <w:t xml:space="preserve">. Older adults were also found to have an increased amount of soot in their lungs, implying that they became increasingly sedentary and home-bound with age (Hodder, 2006). Considering this, it is suggested that middle-aged and older adults, regardless of their sex, may have had larger bodies owing to diet and limited activity (Larsen </w:t>
      </w:r>
      <w:r w:rsidRPr="004267FC">
        <w:rPr>
          <w:rFonts w:asciiTheme="majorBidi" w:hAnsiTheme="majorBidi" w:cstheme="majorBidi"/>
          <w:i/>
          <w:iCs/>
          <w:sz w:val="20"/>
          <w:szCs w:val="20"/>
        </w:rPr>
        <w:t>et al.,</w:t>
      </w:r>
      <w:r w:rsidRPr="00E71FA3">
        <w:rPr>
          <w:rFonts w:asciiTheme="majorBidi" w:hAnsiTheme="majorBidi" w:cstheme="majorBidi"/>
          <w:sz w:val="20"/>
          <w:szCs w:val="20"/>
        </w:rPr>
        <w:t xml:space="preserve"> 2013). This is confirmed by studies that found similarities in overall physical development and health as well as non-isotope markers of nutrition among sexes: both sexes were usually equally active and became increasingly sedentary as they aged (Hillson </w:t>
      </w:r>
      <w:r w:rsidRPr="004267FC">
        <w:rPr>
          <w:rFonts w:asciiTheme="majorBidi" w:hAnsiTheme="majorBidi" w:cstheme="majorBidi"/>
          <w:i/>
          <w:iCs/>
          <w:sz w:val="20"/>
          <w:szCs w:val="20"/>
        </w:rPr>
        <w:t>et al.,</w:t>
      </w:r>
      <w:r w:rsidRPr="00E71FA3">
        <w:rPr>
          <w:rFonts w:asciiTheme="majorBidi" w:hAnsiTheme="majorBidi" w:cstheme="majorBidi"/>
          <w:i/>
          <w:iCs/>
          <w:sz w:val="20"/>
          <w:szCs w:val="20"/>
        </w:rPr>
        <w:t xml:space="preserve"> </w:t>
      </w:r>
      <w:r w:rsidRPr="00E71FA3">
        <w:rPr>
          <w:rFonts w:asciiTheme="majorBidi" w:hAnsiTheme="majorBidi" w:cstheme="majorBidi"/>
          <w:sz w:val="20"/>
          <w:szCs w:val="20"/>
        </w:rPr>
        <w:t>2013).</w:t>
      </w:r>
    </w:p>
    <w:p w14:paraId="5B9D3DF8" w14:textId="77777777" w:rsidR="00E71FA3" w:rsidRPr="00E255D3" w:rsidRDefault="00E71FA3" w:rsidP="00E71FA3">
      <w:pPr>
        <w:jc w:val="center"/>
        <w:rPr>
          <w:rFonts w:asciiTheme="majorBidi" w:hAnsiTheme="majorBidi" w:cstheme="majorBidi"/>
          <w:b/>
          <w:bCs/>
          <w:sz w:val="20"/>
          <w:szCs w:val="20"/>
        </w:rPr>
      </w:pPr>
      <w:r w:rsidRPr="00E255D3">
        <w:rPr>
          <w:rFonts w:asciiTheme="majorBidi" w:hAnsiTheme="majorBidi" w:cstheme="majorBidi"/>
          <w:b/>
          <w:bCs/>
          <w:sz w:val="20"/>
          <w:szCs w:val="20"/>
        </w:rPr>
        <w:t>Discussion</w:t>
      </w:r>
    </w:p>
    <w:p w14:paraId="3A5F492E" w14:textId="197E79E5" w:rsidR="00E71FA3" w:rsidRDefault="00E71FA3" w:rsidP="00E71FA3">
      <w:pPr>
        <w:rPr>
          <w:rFonts w:asciiTheme="majorBidi" w:hAnsiTheme="majorBidi" w:cstheme="majorBidi"/>
          <w:sz w:val="20"/>
          <w:szCs w:val="20"/>
        </w:rPr>
      </w:pPr>
      <w:r>
        <w:rPr>
          <w:rFonts w:asciiTheme="majorBidi" w:hAnsiTheme="majorBidi" w:cstheme="majorBidi"/>
          <w:sz w:val="20"/>
          <w:szCs w:val="20"/>
        </w:rPr>
        <w:tab/>
        <w:t xml:space="preserve">The exaggerated aspects of the anthropomorphic figurines may represent pregnant bodies; however, excess fatty tissue or “flesh” is typically also found in those zones of the body and can imply notions of abundance, excess, and maturity. Considering the figurine corpus, as well as other media at C̜atalhöyük, </w:t>
      </w:r>
      <w:r>
        <w:rPr>
          <w:rFonts w:asciiTheme="majorBidi" w:hAnsiTheme="majorBidi" w:cstheme="majorBidi"/>
          <w:sz w:val="20"/>
          <w:szCs w:val="20"/>
        </w:rPr>
        <w:lastRenderedPageBreak/>
        <w:t>childbearing does not appear to be a defining attribute. Moreover, the breasts and stomachs of figurines are shown to be asymmetrical, sagging, or have sharp angles rather than being round and curvy. Likewise, the stomachs are large but are evocative of maturity and obesity rather than pregnancy. While</w:t>
      </w:r>
      <w:r w:rsidRPr="001D2E05">
        <w:rPr>
          <w:rFonts w:asciiTheme="majorBidi" w:hAnsiTheme="majorBidi" w:cstheme="majorBidi"/>
          <w:sz w:val="20"/>
          <w:szCs w:val="20"/>
        </w:rPr>
        <w:t xml:space="preserve"> Mellaart </w:t>
      </w:r>
      <w:r>
        <w:rPr>
          <w:rFonts w:asciiTheme="majorBidi" w:hAnsiTheme="majorBidi" w:cstheme="majorBidi"/>
          <w:sz w:val="20"/>
          <w:szCs w:val="20"/>
        </w:rPr>
        <w:t xml:space="preserve">(1962) </w:t>
      </w:r>
      <w:r w:rsidRPr="001D2E05">
        <w:rPr>
          <w:rFonts w:asciiTheme="majorBidi" w:hAnsiTheme="majorBidi" w:cstheme="majorBidi"/>
          <w:sz w:val="20"/>
          <w:szCs w:val="20"/>
        </w:rPr>
        <w:t>mainly focus</w:t>
      </w:r>
      <w:r>
        <w:rPr>
          <w:rFonts w:asciiTheme="majorBidi" w:hAnsiTheme="majorBidi" w:cstheme="majorBidi"/>
          <w:sz w:val="20"/>
          <w:szCs w:val="20"/>
        </w:rPr>
        <w:t>ed</w:t>
      </w:r>
      <w:r w:rsidRPr="001D2E05">
        <w:rPr>
          <w:rFonts w:asciiTheme="majorBidi" w:hAnsiTheme="majorBidi" w:cstheme="majorBidi"/>
          <w:sz w:val="20"/>
          <w:szCs w:val="20"/>
        </w:rPr>
        <w:t xml:space="preserve"> on </w:t>
      </w:r>
      <w:r>
        <w:rPr>
          <w:rFonts w:asciiTheme="majorBidi" w:hAnsiTheme="majorBidi" w:cstheme="majorBidi"/>
          <w:sz w:val="20"/>
          <w:szCs w:val="20"/>
        </w:rPr>
        <w:t>fertility</w:t>
      </w:r>
      <w:r w:rsidRPr="001D2E05">
        <w:rPr>
          <w:rFonts w:asciiTheme="majorBidi" w:hAnsiTheme="majorBidi" w:cstheme="majorBidi"/>
          <w:sz w:val="20"/>
          <w:szCs w:val="20"/>
        </w:rPr>
        <w:t xml:space="preserve"> and </w:t>
      </w:r>
      <w:r>
        <w:rPr>
          <w:rFonts w:asciiTheme="majorBidi" w:hAnsiTheme="majorBidi" w:cstheme="majorBidi"/>
          <w:sz w:val="20"/>
          <w:szCs w:val="20"/>
        </w:rPr>
        <w:t xml:space="preserve">childbirth, Voigt </w:t>
      </w:r>
      <w:r w:rsidR="003F5D8A">
        <w:rPr>
          <w:rFonts w:asciiTheme="majorBidi" w:hAnsiTheme="majorBidi" w:cstheme="majorBidi"/>
          <w:sz w:val="20"/>
          <w:szCs w:val="20"/>
        </w:rPr>
        <w:t xml:space="preserve">(2007) </w:t>
      </w:r>
      <w:r>
        <w:rPr>
          <w:rFonts w:asciiTheme="majorBidi" w:hAnsiTheme="majorBidi" w:cstheme="majorBidi"/>
          <w:sz w:val="20"/>
          <w:szCs w:val="20"/>
        </w:rPr>
        <w:t>emphasises mature female sexuality</w:t>
      </w:r>
      <w:r w:rsidRPr="001D2E05">
        <w:rPr>
          <w:rFonts w:asciiTheme="majorBidi" w:hAnsiTheme="majorBidi" w:cstheme="majorBidi"/>
          <w:sz w:val="20"/>
          <w:szCs w:val="20"/>
        </w:rPr>
        <w:t>.</w:t>
      </w:r>
      <w:r>
        <w:rPr>
          <w:rFonts w:asciiTheme="majorBidi" w:hAnsiTheme="majorBidi" w:cstheme="majorBidi"/>
          <w:sz w:val="20"/>
          <w:szCs w:val="20"/>
        </w:rPr>
        <w:t xml:space="preserve"> </w:t>
      </w:r>
      <w:r w:rsidR="00F4464B">
        <w:rPr>
          <w:rFonts w:asciiTheme="majorBidi" w:hAnsiTheme="majorBidi" w:cstheme="majorBidi"/>
          <w:sz w:val="20"/>
          <w:szCs w:val="20"/>
        </w:rPr>
        <w:t>She</w:t>
      </w:r>
      <w:r>
        <w:rPr>
          <w:rFonts w:asciiTheme="majorBidi" w:hAnsiTheme="majorBidi" w:cstheme="majorBidi"/>
          <w:sz w:val="20"/>
          <w:szCs w:val="20"/>
        </w:rPr>
        <w:t xml:space="preserve"> associates this representation of women with initiation rites where older women acted as models for showcasing societal responsibilities. Similarly, </w:t>
      </w:r>
      <w:r w:rsidRPr="000854AF">
        <w:rPr>
          <w:rFonts w:asciiTheme="majorBidi" w:hAnsiTheme="majorBidi" w:cstheme="majorBidi"/>
          <w:sz w:val="20"/>
          <w:szCs w:val="20"/>
        </w:rPr>
        <w:t xml:space="preserve">Hamilton (1996) </w:t>
      </w:r>
      <w:r>
        <w:rPr>
          <w:rFonts w:asciiTheme="majorBidi" w:hAnsiTheme="majorBidi" w:cstheme="majorBidi"/>
          <w:sz w:val="20"/>
          <w:szCs w:val="20"/>
        </w:rPr>
        <w:t>contended that there was</w:t>
      </w:r>
      <w:r w:rsidRPr="000854AF">
        <w:rPr>
          <w:rFonts w:asciiTheme="majorBidi" w:hAnsiTheme="majorBidi" w:cstheme="majorBidi"/>
          <w:sz w:val="20"/>
          <w:szCs w:val="20"/>
        </w:rPr>
        <w:t xml:space="preserve"> a growing concern for women</w:t>
      </w:r>
      <w:r>
        <w:rPr>
          <w:rFonts w:asciiTheme="majorBidi" w:hAnsiTheme="majorBidi" w:cstheme="majorBidi"/>
          <w:sz w:val="20"/>
          <w:szCs w:val="20"/>
        </w:rPr>
        <w:t>’</w:t>
      </w:r>
      <w:r w:rsidRPr="000854AF">
        <w:rPr>
          <w:rFonts w:asciiTheme="majorBidi" w:hAnsiTheme="majorBidi" w:cstheme="majorBidi"/>
          <w:sz w:val="20"/>
          <w:szCs w:val="20"/>
        </w:rPr>
        <w:t>s social responsibilities</w:t>
      </w:r>
      <w:r>
        <w:rPr>
          <w:rFonts w:asciiTheme="majorBidi" w:hAnsiTheme="majorBidi" w:cstheme="majorBidi"/>
          <w:sz w:val="20"/>
          <w:szCs w:val="20"/>
        </w:rPr>
        <w:t xml:space="preserve">, considering how figurines were more explicitly sexed in later phases at </w:t>
      </w:r>
      <w:r w:rsidR="001F1F10" w:rsidRPr="001A267E">
        <w:rPr>
          <w:rFonts w:asciiTheme="majorBidi" w:hAnsiTheme="majorBidi" w:cstheme="majorBidi"/>
          <w:sz w:val="20"/>
          <w:szCs w:val="20"/>
        </w:rPr>
        <w:t>C̜atalhöyük</w:t>
      </w:r>
      <w:r>
        <w:rPr>
          <w:rFonts w:asciiTheme="majorBidi" w:hAnsiTheme="majorBidi" w:cstheme="majorBidi"/>
          <w:sz w:val="20"/>
          <w:szCs w:val="20"/>
        </w:rPr>
        <w:t>. Nakamura and Meskell (2009) note that a significant number of anthropomorphic figurines are non-gendered, and there is a clear focus on physical traits that are not related to reproduction or genitalia. This is especially true for the seated figurines that portray corpulent individuals who seem to represent elderly and inactive gender-neutral bodies.</w:t>
      </w:r>
    </w:p>
    <w:p w14:paraId="74874DBD" w14:textId="5A20BA18" w:rsidR="00E71FA3" w:rsidRPr="000854AF" w:rsidRDefault="00E71FA3" w:rsidP="00E71FA3">
      <w:pPr>
        <w:rPr>
          <w:rFonts w:asciiTheme="majorBidi" w:hAnsiTheme="majorBidi" w:cstheme="majorBidi"/>
          <w:sz w:val="20"/>
          <w:szCs w:val="20"/>
        </w:rPr>
      </w:pPr>
      <w:r>
        <w:rPr>
          <w:rFonts w:asciiTheme="majorBidi" w:hAnsiTheme="majorBidi" w:cstheme="majorBidi"/>
          <w:sz w:val="20"/>
          <w:szCs w:val="20"/>
        </w:rPr>
        <w:tab/>
        <w:t xml:space="preserve">This paper has not focused on the representation of bodies on wall art at </w:t>
      </w:r>
      <w:r w:rsidRPr="00357B35">
        <w:rPr>
          <w:rFonts w:asciiTheme="majorBidi" w:hAnsiTheme="majorBidi" w:cstheme="majorBidi"/>
          <w:sz w:val="20"/>
          <w:szCs w:val="20"/>
        </w:rPr>
        <w:t>C̜atalhöyük</w:t>
      </w:r>
      <w:r>
        <w:rPr>
          <w:rFonts w:asciiTheme="majorBidi" w:hAnsiTheme="majorBidi" w:cstheme="majorBidi"/>
          <w:sz w:val="20"/>
          <w:szCs w:val="20"/>
        </w:rPr>
        <w:t>. However, it is worth mentioning that on wall paintings, humans are generally depicted in movement, engaged in activities such as hunting and dancing, and are thin and active, and some of these figures are clearly identified as male. This contrasts the way seated figurines are depicted with corpulent bodies. These representations align with isotope data that indicates that younger adults ate hunted animals and lived a more active lifestyle.</w:t>
      </w:r>
    </w:p>
    <w:p w14:paraId="3BE68519" w14:textId="3B14A625" w:rsidR="00272E93" w:rsidRDefault="00E71FA3" w:rsidP="00272E93">
      <w:pPr>
        <w:rPr>
          <w:rFonts w:asciiTheme="majorBidi" w:hAnsiTheme="majorBidi" w:cstheme="majorBidi"/>
          <w:sz w:val="20"/>
          <w:szCs w:val="20"/>
        </w:rPr>
      </w:pPr>
      <w:r>
        <w:rPr>
          <w:rFonts w:asciiTheme="majorBidi" w:hAnsiTheme="majorBidi" w:cstheme="majorBidi"/>
          <w:sz w:val="20"/>
          <w:szCs w:val="20"/>
        </w:rPr>
        <w:tab/>
      </w:r>
      <w:r w:rsidRPr="00F95480">
        <w:rPr>
          <w:rFonts w:asciiTheme="majorBidi" w:hAnsiTheme="majorBidi" w:cstheme="majorBidi"/>
          <w:sz w:val="20"/>
          <w:szCs w:val="20"/>
        </w:rPr>
        <w:t>The notion that the corpulent and exaggerated figurine</w:t>
      </w:r>
      <w:r>
        <w:rPr>
          <w:rFonts w:asciiTheme="majorBidi" w:hAnsiTheme="majorBidi" w:cstheme="majorBidi"/>
          <w:sz w:val="20"/>
          <w:szCs w:val="20"/>
        </w:rPr>
        <w:t>s</w:t>
      </w:r>
      <w:r w:rsidRPr="00F95480">
        <w:rPr>
          <w:rFonts w:asciiTheme="majorBidi" w:hAnsiTheme="majorBidi" w:cstheme="majorBidi"/>
          <w:sz w:val="20"/>
          <w:szCs w:val="20"/>
        </w:rPr>
        <w:t xml:space="preserve"> at C̜atalhöyük represent broade</w:t>
      </w:r>
      <w:r>
        <w:rPr>
          <w:rFonts w:asciiTheme="majorBidi" w:hAnsiTheme="majorBidi" w:cstheme="majorBidi"/>
          <w:sz w:val="20"/>
          <w:szCs w:val="20"/>
        </w:rPr>
        <w:t>r ideas</w:t>
      </w:r>
      <w:r w:rsidRPr="00F95480">
        <w:rPr>
          <w:rFonts w:asciiTheme="majorBidi" w:hAnsiTheme="majorBidi" w:cstheme="majorBidi"/>
          <w:sz w:val="20"/>
          <w:szCs w:val="20"/>
        </w:rPr>
        <w:t xml:space="preserve"> of abundance and maturity aligns closely with the </w:t>
      </w:r>
      <w:r>
        <w:rPr>
          <w:rFonts w:asciiTheme="majorBidi" w:hAnsiTheme="majorBidi" w:cstheme="majorBidi"/>
          <w:sz w:val="20"/>
          <w:szCs w:val="20"/>
        </w:rPr>
        <w:t xml:space="preserve">other </w:t>
      </w:r>
      <w:r w:rsidRPr="00F95480">
        <w:rPr>
          <w:rFonts w:asciiTheme="majorBidi" w:hAnsiTheme="majorBidi" w:cstheme="majorBidi"/>
          <w:sz w:val="20"/>
          <w:szCs w:val="20"/>
        </w:rPr>
        <w:t>practices found at the site.</w:t>
      </w:r>
      <w:r>
        <w:rPr>
          <w:rFonts w:asciiTheme="majorBidi" w:hAnsiTheme="majorBidi" w:cstheme="majorBidi"/>
          <w:sz w:val="20"/>
          <w:szCs w:val="20"/>
        </w:rPr>
        <w:t xml:space="preserve"> </w:t>
      </w:r>
      <w:r w:rsidRPr="00703F32">
        <w:rPr>
          <w:rFonts w:asciiTheme="majorBidi" w:hAnsiTheme="majorBidi" w:cstheme="majorBidi"/>
          <w:sz w:val="20"/>
          <w:szCs w:val="20"/>
        </w:rPr>
        <w:t xml:space="preserve">In terms of burial assemblage, although there is a continuity in the goods provided to the dead throughout the settlement’s history, there is also notable diversity and uniqueness. The burial goods seem to have been drawn from various personal experiences and daily activities and perhaps were a form of self-expression. Notably, as the aforementioned examples suggest, the assemblages of older adults show such expression more explicitly, as they have the most complex burials, providing a chance to express diverse identities and social connections through the choice of burial goods. </w:t>
      </w:r>
      <w:r>
        <w:rPr>
          <w:rFonts w:asciiTheme="majorBidi" w:hAnsiTheme="majorBidi" w:cstheme="majorBidi"/>
          <w:sz w:val="20"/>
          <w:szCs w:val="20"/>
        </w:rPr>
        <w:t>Thus,</w:t>
      </w:r>
      <w:r w:rsidRPr="008D1EAE">
        <w:rPr>
          <w:rFonts w:asciiTheme="majorBidi" w:hAnsiTheme="majorBidi" w:cstheme="majorBidi"/>
          <w:sz w:val="20"/>
          <w:szCs w:val="20"/>
        </w:rPr>
        <w:t xml:space="preserve"> longevity and survival may be seen as indicators of social standing.</w:t>
      </w:r>
      <w:r>
        <w:rPr>
          <w:rFonts w:asciiTheme="majorBidi" w:hAnsiTheme="majorBidi" w:cstheme="majorBidi"/>
          <w:sz w:val="20"/>
          <w:szCs w:val="20"/>
        </w:rPr>
        <w:t xml:space="preserve"> The concern for longevity and perhaps generational continuity is also seen in what Hodder and Pels (20</w:t>
      </w:r>
      <w:r w:rsidR="00272E93">
        <w:rPr>
          <w:rFonts w:asciiTheme="majorBidi" w:hAnsiTheme="majorBidi" w:cstheme="majorBidi"/>
          <w:sz w:val="20"/>
          <w:szCs w:val="20"/>
        </w:rPr>
        <w:t>10</w:t>
      </w:r>
      <w:r>
        <w:rPr>
          <w:rFonts w:asciiTheme="majorBidi" w:hAnsiTheme="majorBidi" w:cstheme="majorBidi"/>
          <w:sz w:val="20"/>
          <w:szCs w:val="20"/>
        </w:rPr>
        <w:t>) refer to as “history houses</w:t>
      </w:r>
      <w:r w:rsidR="00876F59">
        <w:rPr>
          <w:rFonts w:asciiTheme="majorBidi" w:hAnsiTheme="majorBidi" w:cstheme="majorBidi"/>
          <w:sz w:val="20"/>
          <w:szCs w:val="20"/>
        </w:rPr>
        <w:t>,</w:t>
      </w:r>
      <w:r>
        <w:rPr>
          <w:rFonts w:asciiTheme="majorBidi" w:hAnsiTheme="majorBidi" w:cstheme="majorBidi"/>
          <w:sz w:val="20"/>
          <w:szCs w:val="20"/>
        </w:rPr>
        <w:t>”</w:t>
      </w:r>
      <w:r w:rsidR="00876F59">
        <w:rPr>
          <w:rFonts w:asciiTheme="majorBidi" w:hAnsiTheme="majorBidi" w:cstheme="majorBidi"/>
          <w:sz w:val="20"/>
          <w:szCs w:val="20"/>
        </w:rPr>
        <w:t xml:space="preserve"> which</w:t>
      </w:r>
      <w:r>
        <w:rPr>
          <w:rFonts w:asciiTheme="majorBidi" w:hAnsiTheme="majorBidi" w:cstheme="majorBidi"/>
          <w:sz w:val="20"/>
          <w:szCs w:val="20"/>
        </w:rPr>
        <w:t xml:space="preserve"> </w:t>
      </w:r>
      <w:r w:rsidR="002A54FC" w:rsidRPr="002A54FC">
        <w:rPr>
          <w:rFonts w:asciiTheme="majorBidi" w:hAnsiTheme="majorBidi" w:cstheme="majorBidi"/>
          <w:sz w:val="20"/>
          <w:szCs w:val="20"/>
        </w:rPr>
        <w:t>were thought to h</w:t>
      </w:r>
      <w:r w:rsidR="00272E93">
        <w:rPr>
          <w:rFonts w:asciiTheme="majorBidi" w:hAnsiTheme="majorBidi" w:cstheme="majorBidi"/>
          <w:sz w:val="20"/>
          <w:szCs w:val="20"/>
        </w:rPr>
        <w:t>old</w:t>
      </w:r>
      <w:r w:rsidR="002A54FC" w:rsidRPr="002A54FC">
        <w:rPr>
          <w:rFonts w:asciiTheme="majorBidi" w:hAnsiTheme="majorBidi" w:cstheme="majorBidi"/>
          <w:sz w:val="20"/>
          <w:szCs w:val="20"/>
        </w:rPr>
        <w:t xml:space="preserve"> enormous symbolic value since they underwent numerous reconstruction</w:t>
      </w:r>
      <w:r w:rsidR="00272E93">
        <w:rPr>
          <w:rFonts w:asciiTheme="majorBidi" w:hAnsiTheme="majorBidi" w:cstheme="majorBidi"/>
          <w:sz w:val="20"/>
          <w:szCs w:val="20"/>
        </w:rPr>
        <w:t xml:space="preserve"> phases</w:t>
      </w:r>
      <w:r w:rsidR="002A54FC" w:rsidRPr="002A54FC">
        <w:rPr>
          <w:rFonts w:asciiTheme="majorBidi" w:hAnsiTheme="majorBidi" w:cstheme="majorBidi"/>
          <w:sz w:val="20"/>
          <w:szCs w:val="20"/>
        </w:rPr>
        <w:t xml:space="preserve"> and included </w:t>
      </w:r>
      <w:r w:rsidR="00272E93" w:rsidRPr="002A54FC">
        <w:rPr>
          <w:rFonts w:asciiTheme="majorBidi" w:hAnsiTheme="majorBidi" w:cstheme="majorBidi"/>
          <w:sz w:val="20"/>
          <w:szCs w:val="20"/>
        </w:rPr>
        <w:t>many</w:t>
      </w:r>
      <w:r w:rsidR="002A54FC" w:rsidRPr="002A54FC">
        <w:rPr>
          <w:rFonts w:asciiTheme="majorBidi" w:hAnsiTheme="majorBidi" w:cstheme="majorBidi"/>
          <w:sz w:val="20"/>
          <w:szCs w:val="20"/>
        </w:rPr>
        <w:t xml:space="preserve"> inter</w:t>
      </w:r>
      <w:r w:rsidR="007F2143">
        <w:rPr>
          <w:rFonts w:asciiTheme="majorBidi" w:hAnsiTheme="majorBidi" w:cstheme="majorBidi"/>
          <w:sz w:val="20"/>
          <w:szCs w:val="20"/>
        </w:rPr>
        <w:t>mural burials</w:t>
      </w:r>
      <w:r w:rsidR="002A54FC" w:rsidRPr="002A54FC">
        <w:rPr>
          <w:rFonts w:asciiTheme="majorBidi" w:hAnsiTheme="majorBidi" w:cstheme="majorBidi"/>
          <w:sz w:val="20"/>
          <w:szCs w:val="20"/>
        </w:rPr>
        <w:t xml:space="preserve">. </w:t>
      </w:r>
    </w:p>
    <w:p w14:paraId="6D82F0DC" w14:textId="010BA22A" w:rsidR="00E71FA3" w:rsidRPr="00272E93" w:rsidRDefault="00E71FA3" w:rsidP="00272E93">
      <w:pPr>
        <w:rPr>
          <w:rFonts w:asciiTheme="majorBidi" w:hAnsiTheme="majorBidi" w:cstheme="majorBidi"/>
          <w:sz w:val="20"/>
          <w:szCs w:val="20"/>
        </w:rPr>
      </w:pPr>
      <w:r>
        <w:rPr>
          <w:rFonts w:asciiTheme="majorBidi" w:hAnsiTheme="majorBidi" w:cstheme="majorBidi"/>
          <w:sz w:val="20"/>
          <w:szCs w:val="20"/>
          <w:lang w:val="en-IN"/>
        </w:rPr>
        <w:tab/>
        <w:t xml:space="preserve">The treatment of dead bodies, in terms of retrieval and plastering of skulls, as well as plastered walls and bucrania in these houses, suggest that plaster, like clay, represented flesh. Clay was used to enflesh figurines, while plaster was used to reflesh and revive houses, humans, and animals. Considering the properties of plaster to cover and strengthen the underlying structure, </w:t>
      </w:r>
      <w:r w:rsidRPr="0086281A">
        <w:rPr>
          <w:rFonts w:asciiTheme="majorBidi" w:hAnsiTheme="majorBidi" w:cstheme="majorBidi"/>
          <w:sz w:val="20"/>
          <w:szCs w:val="20"/>
        </w:rPr>
        <w:t>these practices may demonstrate a desire to preserve ancestors by improving on the limitations of flesh.</w:t>
      </w:r>
      <w:r>
        <w:rPr>
          <w:rFonts w:asciiTheme="majorBidi" w:hAnsiTheme="majorBidi" w:cstheme="majorBidi"/>
          <w:sz w:val="20"/>
          <w:szCs w:val="20"/>
          <w:lang w:val="en-IN"/>
        </w:rPr>
        <w:t xml:space="preserve"> This ties into the idea that older</w:t>
      </w:r>
      <w:r>
        <w:rPr>
          <w:rFonts w:asciiTheme="majorBidi" w:hAnsiTheme="majorBidi" w:cstheme="majorBidi"/>
          <w:sz w:val="20"/>
          <w:szCs w:val="20"/>
        </w:rPr>
        <w:t xml:space="preserve"> </w:t>
      </w:r>
      <w:r w:rsidRPr="00B51B88">
        <w:rPr>
          <w:rFonts w:asciiTheme="majorBidi" w:hAnsiTheme="majorBidi" w:cstheme="majorBidi"/>
          <w:sz w:val="20"/>
          <w:szCs w:val="20"/>
          <w:lang w:val="en-IN"/>
        </w:rPr>
        <w:t>adults were likely in charge of transmitting economic and social skills to subsequent generations, thus controlling and negotiating social memory</w:t>
      </w:r>
      <w:r w:rsidR="005C0F05">
        <w:rPr>
          <w:rFonts w:asciiTheme="majorBidi" w:hAnsiTheme="majorBidi" w:cstheme="majorBidi"/>
          <w:sz w:val="20"/>
          <w:szCs w:val="20"/>
          <w:lang w:val="en-IN"/>
        </w:rPr>
        <w:t xml:space="preserve"> (Hodder and Pels, 2010)</w:t>
      </w:r>
      <w:r w:rsidRPr="00B51B88">
        <w:rPr>
          <w:rFonts w:asciiTheme="majorBidi" w:hAnsiTheme="majorBidi" w:cstheme="majorBidi"/>
          <w:sz w:val="20"/>
          <w:szCs w:val="20"/>
          <w:lang w:val="en-IN"/>
        </w:rPr>
        <w:t>.</w:t>
      </w:r>
    </w:p>
    <w:p w14:paraId="010F6DEE" w14:textId="2311923E" w:rsidR="00E71FA3" w:rsidRPr="006814E4" w:rsidRDefault="00E71FA3" w:rsidP="00BB7235">
      <w:pPr>
        <w:rPr>
          <w:rFonts w:asciiTheme="majorBidi" w:hAnsiTheme="majorBidi" w:cstheme="majorBidi"/>
          <w:sz w:val="20"/>
          <w:szCs w:val="20"/>
        </w:rPr>
      </w:pPr>
      <w:r>
        <w:rPr>
          <w:rFonts w:asciiTheme="majorBidi" w:hAnsiTheme="majorBidi" w:cstheme="majorBidi"/>
          <w:sz w:val="20"/>
          <w:szCs w:val="20"/>
        </w:rPr>
        <w:tab/>
        <w:t>Considering all these bodily practices</w:t>
      </w:r>
      <w:r w:rsidR="009B398A">
        <w:rPr>
          <w:rFonts w:asciiTheme="majorBidi" w:hAnsiTheme="majorBidi" w:cstheme="majorBidi"/>
          <w:sz w:val="20"/>
          <w:szCs w:val="20"/>
        </w:rPr>
        <w:t>,</w:t>
      </w:r>
      <w:r>
        <w:rPr>
          <w:rFonts w:asciiTheme="majorBidi" w:hAnsiTheme="majorBidi" w:cstheme="majorBidi"/>
          <w:sz w:val="20"/>
          <w:szCs w:val="20"/>
        </w:rPr>
        <w:t xml:space="preserve"> along with figurine representations, it is evident that corpulence and abundance may have been idealised rather than </w:t>
      </w:r>
      <w:r w:rsidR="00777823">
        <w:rPr>
          <w:rFonts w:asciiTheme="majorBidi" w:hAnsiTheme="majorBidi" w:cstheme="majorBidi"/>
          <w:sz w:val="20"/>
          <w:szCs w:val="20"/>
        </w:rPr>
        <w:t xml:space="preserve">being </w:t>
      </w:r>
      <w:r>
        <w:rPr>
          <w:rFonts w:asciiTheme="majorBidi" w:hAnsiTheme="majorBidi" w:cstheme="majorBidi"/>
          <w:sz w:val="20"/>
          <w:szCs w:val="20"/>
        </w:rPr>
        <w:t>a true reflection of the</w:t>
      </w:r>
      <w:r w:rsidR="00876907">
        <w:rPr>
          <w:rFonts w:asciiTheme="majorBidi" w:hAnsiTheme="majorBidi" w:cstheme="majorBidi"/>
          <w:sz w:val="20"/>
          <w:szCs w:val="20"/>
        </w:rPr>
        <w:t xml:space="preserve"> bodies of the</w:t>
      </w:r>
      <w:r>
        <w:rPr>
          <w:rFonts w:asciiTheme="majorBidi" w:hAnsiTheme="majorBidi" w:cstheme="majorBidi"/>
          <w:sz w:val="20"/>
          <w:szCs w:val="20"/>
        </w:rPr>
        <w:t xml:space="preserve"> majority of </w:t>
      </w:r>
      <w:r w:rsidR="00D07910" w:rsidRPr="00C65C99">
        <w:rPr>
          <w:rFonts w:asciiTheme="majorBidi" w:hAnsiTheme="majorBidi" w:cstheme="majorBidi"/>
          <w:sz w:val="20"/>
          <w:szCs w:val="20"/>
        </w:rPr>
        <w:t>C̜atalhöyük</w:t>
      </w:r>
      <w:r w:rsidR="00876907">
        <w:rPr>
          <w:rFonts w:asciiTheme="majorBidi" w:hAnsiTheme="majorBidi" w:cstheme="majorBidi"/>
          <w:sz w:val="20"/>
          <w:szCs w:val="20"/>
        </w:rPr>
        <w:t>’s inhabitants</w:t>
      </w:r>
      <w:r>
        <w:rPr>
          <w:rFonts w:asciiTheme="majorBidi" w:hAnsiTheme="majorBidi" w:cstheme="majorBidi"/>
          <w:sz w:val="20"/>
          <w:szCs w:val="20"/>
        </w:rPr>
        <w:t>.</w:t>
      </w:r>
      <w:r>
        <w:rPr>
          <w:rFonts w:ascii="Times New Roman" w:eastAsia="Times New Roman" w:hAnsi="Times New Roman" w:cs="Times New Roman"/>
          <w:kern w:val="0"/>
          <w:sz w:val="24"/>
          <w:szCs w:val="24"/>
          <w14:ligatures w14:val="none"/>
        </w:rPr>
        <w:t xml:space="preserve"> </w:t>
      </w:r>
      <w:r w:rsidRPr="00146062">
        <w:rPr>
          <w:rFonts w:ascii="Times New Roman" w:eastAsia="Times New Roman" w:hAnsi="Times New Roman" w:cs="Times New Roman"/>
          <w:kern w:val="0"/>
          <w:sz w:val="24"/>
          <w:szCs w:val="24"/>
          <w14:ligatures w14:val="none"/>
        </w:rPr>
        <w:t>I</w:t>
      </w:r>
      <w:r w:rsidRPr="00E7360A">
        <w:rPr>
          <w:rFonts w:asciiTheme="majorBidi" w:hAnsiTheme="majorBidi" w:cstheme="majorBidi"/>
          <w:sz w:val="20"/>
          <w:szCs w:val="20"/>
        </w:rPr>
        <w:t xml:space="preserve">sotope data reveals that </w:t>
      </w:r>
      <w:r>
        <w:rPr>
          <w:rFonts w:asciiTheme="majorBidi" w:hAnsiTheme="majorBidi" w:cstheme="majorBidi"/>
          <w:sz w:val="20"/>
          <w:szCs w:val="20"/>
        </w:rPr>
        <w:t>there was no distinction in diet between</w:t>
      </w:r>
      <w:r w:rsidRPr="00E7360A">
        <w:rPr>
          <w:rFonts w:asciiTheme="majorBidi" w:hAnsiTheme="majorBidi" w:cstheme="majorBidi"/>
          <w:sz w:val="20"/>
          <w:szCs w:val="20"/>
        </w:rPr>
        <w:t xml:space="preserve"> men and </w:t>
      </w:r>
      <w:r>
        <w:rPr>
          <w:rFonts w:asciiTheme="majorBidi" w:hAnsiTheme="majorBidi" w:cstheme="majorBidi"/>
          <w:sz w:val="20"/>
          <w:szCs w:val="20"/>
        </w:rPr>
        <w:t>women</w:t>
      </w:r>
      <w:r w:rsidR="00820E0F">
        <w:rPr>
          <w:rFonts w:asciiTheme="majorBidi" w:hAnsiTheme="majorBidi" w:cstheme="majorBidi"/>
          <w:sz w:val="20"/>
          <w:szCs w:val="20"/>
        </w:rPr>
        <w:t>,</w:t>
      </w:r>
      <w:r w:rsidRPr="00E7360A">
        <w:rPr>
          <w:rFonts w:asciiTheme="majorBidi" w:hAnsiTheme="majorBidi" w:cstheme="majorBidi"/>
          <w:sz w:val="20"/>
          <w:szCs w:val="20"/>
        </w:rPr>
        <w:t xml:space="preserve"> and </w:t>
      </w:r>
      <w:r>
        <w:rPr>
          <w:rFonts w:asciiTheme="majorBidi" w:hAnsiTheme="majorBidi" w:cstheme="majorBidi"/>
          <w:sz w:val="20"/>
          <w:szCs w:val="20"/>
        </w:rPr>
        <w:t>both had the same amount of physical</w:t>
      </w:r>
      <w:r w:rsidRPr="00E7360A">
        <w:rPr>
          <w:rFonts w:asciiTheme="majorBidi" w:hAnsiTheme="majorBidi" w:cstheme="majorBidi"/>
          <w:sz w:val="20"/>
          <w:szCs w:val="20"/>
        </w:rPr>
        <w:t xml:space="preserve"> activ</w:t>
      </w:r>
      <w:r>
        <w:rPr>
          <w:rFonts w:asciiTheme="majorBidi" w:hAnsiTheme="majorBidi" w:cstheme="majorBidi"/>
          <w:sz w:val="20"/>
          <w:szCs w:val="20"/>
        </w:rPr>
        <w:t>ity</w:t>
      </w:r>
      <w:r w:rsidRPr="00E7360A">
        <w:rPr>
          <w:rFonts w:asciiTheme="majorBidi" w:hAnsiTheme="majorBidi" w:cstheme="majorBidi"/>
          <w:sz w:val="20"/>
          <w:szCs w:val="20"/>
        </w:rPr>
        <w:t>, engag</w:t>
      </w:r>
      <w:r>
        <w:rPr>
          <w:rFonts w:asciiTheme="majorBidi" w:hAnsiTheme="majorBidi" w:cstheme="majorBidi"/>
          <w:sz w:val="20"/>
          <w:szCs w:val="20"/>
        </w:rPr>
        <w:t>ed</w:t>
      </w:r>
      <w:r w:rsidRPr="00E7360A">
        <w:rPr>
          <w:rFonts w:asciiTheme="majorBidi" w:hAnsiTheme="majorBidi" w:cstheme="majorBidi"/>
          <w:sz w:val="20"/>
          <w:szCs w:val="20"/>
        </w:rPr>
        <w:t xml:space="preserve"> in similar activities</w:t>
      </w:r>
      <w:r>
        <w:rPr>
          <w:rFonts w:asciiTheme="majorBidi" w:hAnsiTheme="majorBidi" w:cstheme="majorBidi"/>
          <w:sz w:val="20"/>
          <w:szCs w:val="20"/>
        </w:rPr>
        <w:t>,</w:t>
      </w:r>
      <w:r w:rsidRPr="00E7360A">
        <w:rPr>
          <w:rFonts w:asciiTheme="majorBidi" w:hAnsiTheme="majorBidi" w:cstheme="majorBidi"/>
          <w:sz w:val="20"/>
          <w:szCs w:val="20"/>
        </w:rPr>
        <w:t xml:space="preserve"> and exhibit</w:t>
      </w:r>
      <w:r>
        <w:rPr>
          <w:rFonts w:asciiTheme="majorBidi" w:hAnsiTheme="majorBidi" w:cstheme="majorBidi"/>
          <w:sz w:val="20"/>
          <w:szCs w:val="20"/>
        </w:rPr>
        <w:t>ed</w:t>
      </w:r>
      <w:r w:rsidRPr="00E7360A">
        <w:rPr>
          <w:rFonts w:asciiTheme="majorBidi" w:hAnsiTheme="majorBidi" w:cstheme="majorBidi"/>
          <w:sz w:val="20"/>
          <w:szCs w:val="20"/>
        </w:rPr>
        <w:t xml:space="preserve"> similar signs of stress, injury, and disease</w:t>
      </w:r>
      <w:r w:rsidR="00BB7235" w:rsidRPr="00BB7235">
        <w:rPr>
          <w:rFonts w:ascii="Times New Roman" w:hAnsi="Times New Roman" w:cs="Times New Roman"/>
          <w:color w:val="000000"/>
          <w:kern w:val="0"/>
        </w:rPr>
        <w:t xml:space="preserve"> </w:t>
      </w:r>
      <w:r w:rsidR="00BB7235">
        <w:rPr>
          <w:rFonts w:ascii="Times New Roman" w:hAnsi="Times New Roman" w:cs="Times New Roman"/>
          <w:color w:val="000000"/>
          <w:kern w:val="0"/>
        </w:rPr>
        <w:t>(</w:t>
      </w:r>
      <w:r w:rsidR="00BB7235" w:rsidRPr="00BB7235">
        <w:rPr>
          <w:rFonts w:asciiTheme="majorBidi" w:hAnsiTheme="majorBidi" w:cstheme="majorBidi"/>
          <w:sz w:val="20"/>
          <w:szCs w:val="20"/>
        </w:rPr>
        <w:t xml:space="preserve">Boz </w:t>
      </w:r>
      <w:r w:rsidR="00BB7235" w:rsidRPr="00BB7235">
        <w:rPr>
          <w:rFonts w:asciiTheme="majorBidi" w:hAnsiTheme="majorBidi" w:cstheme="majorBidi"/>
          <w:i/>
          <w:iCs/>
          <w:sz w:val="20"/>
          <w:szCs w:val="20"/>
        </w:rPr>
        <w:t>et al.</w:t>
      </w:r>
      <w:r w:rsidR="00BB7235">
        <w:rPr>
          <w:rFonts w:asciiTheme="majorBidi" w:hAnsiTheme="majorBidi" w:cstheme="majorBidi"/>
          <w:i/>
          <w:iCs/>
          <w:sz w:val="20"/>
          <w:szCs w:val="20"/>
        </w:rPr>
        <w:t>,</w:t>
      </w:r>
      <w:r w:rsidR="00BB7235" w:rsidRPr="00BB7235">
        <w:rPr>
          <w:rFonts w:asciiTheme="majorBidi" w:hAnsiTheme="majorBidi" w:cstheme="majorBidi"/>
          <w:i/>
          <w:iCs/>
          <w:sz w:val="20"/>
          <w:szCs w:val="20"/>
        </w:rPr>
        <w:t xml:space="preserve"> </w:t>
      </w:r>
      <w:r w:rsidR="00BB7235" w:rsidRPr="00BB7235">
        <w:rPr>
          <w:rFonts w:asciiTheme="majorBidi" w:hAnsiTheme="majorBidi" w:cstheme="majorBidi"/>
          <w:sz w:val="20"/>
          <w:szCs w:val="20"/>
        </w:rPr>
        <w:t>2006)</w:t>
      </w:r>
      <w:r w:rsidRPr="00E7360A">
        <w:rPr>
          <w:rFonts w:asciiTheme="majorBidi" w:hAnsiTheme="majorBidi" w:cstheme="majorBidi"/>
          <w:sz w:val="20"/>
          <w:szCs w:val="20"/>
        </w:rPr>
        <w:t xml:space="preserve">. </w:t>
      </w:r>
      <w:r w:rsidRPr="0073332B">
        <w:rPr>
          <w:rFonts w:asciiTheme="majorBidi" w:hAnsiTheme="majorBidi" w:cstheme="majorBidi"/>
          <w:sz w:val="20"/>
          <w:szCs w:val="20"/>
        </w:rPr>
        <w:t xml:space="preserve">However, these </w:t>
      </w:r>
      <w:r>
        <w:rPr>
          <w:rFonts w:asciiTheme="majorBidi" w:hAnsiTheme="majorBidi" w:cstheme="majorBidi"/>
          <w:sz w:val="20"/>
          <w:szCs w:val="20"/>
        </w:rPr>
        <w:t>findings</w:t>
      </w:r>
      <w:r w:rsidRPr="0073332B">
        <w:rPr>
          <w:rFonts w:asciiTheme="majorBidi" w:hAnsiTheme="majorBidi" w:cstheme="majorBidi"/>
          <w:sz w:val="20"/>
          <w:szCs w:val="20"/>
        </w:rPr>
        <w:t xml:space="preserve"> suggest that there is a significant emphasis placed on </w:t>
      </w:r>
      <w:r>
        <w:rPr>
          <w:rFonts w:asciiTheme="majorBidi" w:hAnsiTheme="majorBidi" w:cstheme="majorBidi"/>
          <w:sz w:val="20"/>
          <w:szCs w:val="20"/>
        </w:rPr>
        <w:t>flesh</w:t>
      </w:r>
      <w:r w:rsidRPr="0073332B">
        <w:rPr>
          <w:rFonts w:asciiTheme="majorBidi" w:hAnsiTheme="majorBidi" w:cstheme="majorBidi"/>
          <w:sz w:val="20"/>
          <w:szCs w:val="20"/>
        </w:rPr>
        <w:t xml:space="preserve">, which seems to be linked to age or the overall accumulation of experiences over </w:t>
      </w:r>
      <w:r>
        <w:rPr>
          <w:rFonts w:asciiTheme="majorBidi" w:hAnsiTheme="majorBidi" w:cstheme="majorBidi"/>
          <w:sz w:val="20"/>
          <w:szCs w:val="20"/>
        </w:rPr>
        <w:t>an individual’s</w:t>
      </w:r>
      <w:r w:rsidRPr="0073332B">
        <w:rPr>
          <w:rFonts w:asciiTheme="majorBidi" w:hAnsiTheme="majorBidi" w:cstheme="majorBidi"/>
          <w:sz w:val="20"/>
          <w:szCs w:val="20"/>
        </w:rPr>
        <w:t xml:space="preserve"> life rather </w:t>
      </w:r>
      <w:r>
        <w:rPr>
          <w:rFonts w:asciiTheme="majorBidi" w:hAnsiTheme="majorBidi" w:cstheme="majorBidi"/>
          <w:sz w:val="20"/>
          <w:szCs w:val="20"/>
        </w:rPr>
        <w:t xml:space="preserve">than </w:t>
      </w:r>
      <w:r w:rsidRPr="0073332B">
        <w:rPr>
          <w:rFonts w:asciiTheme="majorBidi" w:hAnsiTheme="majorBidi" w:cstheme="majorBidi"/>
          <w:sz w:val="20"/>
          <w:szCs w:val="20"/>
        </w:rPr>
        <w:t>being specifically related to fertility.</w:t>
      </w:r>
      <w:r w:rsidRPr="00131A56">
        <w:rPr>
          <w:rFonts w:asciiTheme="majorBidi" w:hAnsiTheme="majorBidi" w:cstheme="majorBidi"/>
          <w:sz w:val="20"/>
          <w:szCs w:val="20"/>
        </w:rPr>
        <w:t xml:space="preserve"> Thus, flesh may symbolise health, long life, access to food, and a sedentary life.</w:t>
      </w:r>
      <w:r>
        <w:rPr>
          <w:rFonts w:asciiTheme="majorBidi" w:hAnsiTheme="majorBidi" w:cstheme="majorBidi"/>
          <w:sz w:val="20"/>
          <w:szCs w:val="20"/>
        </w:rPr>
        <w:t xml:space="preserve"> Therefore, age, rather than sex, seems to be a distinguishing factor, reflecting the lived social experience of the inhabitants of </w:t>
      </w:r>
      <w:r w:rsidR="00D07910" w:rsidRPr="009C243C">
        <w:rPr>
          <w:rFonts w:asciiTheme="majorBidi" w:hAnsiTheme="majorBidi" w:cstheme="majorBidi"/>
          <w:sz w:val="20"/>
          <w:szCs w:val="20"/>
        </w:rPr>
        <w:t>C̜atalhöyük</w:t>
      </w:r>
      <w:r>
        <w:rPr>
          <w:rFonts w:asciiTheme="majorBidi" w:hAnsiTheme="majorBidi" w:cstheme="majorBidi"/>
          <w:sz w:val="20"/>
          <w:szCs w:val="20"/>
        </w:rPr>
        <w:t>.</w:t>
      </w:r>
    </w:p>
    <w:p w14:paraId="47F8F5F6" w14:textId="77777777" w:rsidR="00E71FA3" w:rsidRPr="009748E0" w:rsidRDefault="00E71FA3" w:rsidP="00E71FA3">
      <w:pPr>
        <w:jc w:val="center"/>
        <w:rPr>
          <w:rFonts w:asciiTheme="majorBidi" w:hAnsiTheme="majorBidi" w:cstheme="majorBidi"/>
          <w:b/>
          <w:bCs/>
          <w:sz w:val="20"/>
          <w:szCs w:val="20"/>
        </w:rPr>
      </w:pPr>
      <w:r w:rsidRPr="009748E0">
        <w:rPr>
          <w:rFonts w:asciiTheme="majorBidi" w:hAnsiTheme="majorBidi" w:cstheme="majorBidi"/>
          <w:b/>
          <w:bCs/>
          <w:sz w:val="20"/>
          <w:szCs w:val="20"/>
        </w:rPr>
        <w:t>Conclusion</w:t>
      </w:r>
    </w:p>
    <w:p w14:paraId="3500C88B" w14:textId="6CF25A4A" w:rsidR="00E71FA3" w:rsidRPr="00C65F91" w:rsidRDefault="00E71FA3" w:rsidP="00E71FA3">
      <w:pPr>
        <w:rPr>
          <w:rFonts w:asciiTheme="majorBidi" w:hAnsiTheme="majorBidi" w:cstheme="majorBidi"/>
          <w:sz w:val="20"/>
          <w:szCs w:val="20"/>
        </w:rPr>
      </w:pPr>
      <w:r>
        <w:rPr>
          <w:rFonts w:asciiTheme="majorBidi" w:hAnsiTheme="majorBidi" w:cstheme="majorBidi"/>
          <w:sz w:val="20"/>
          <w:szCs w:val="20"/>
        </w:rPr>
        <w:tab/>
      </w:r>
      <w:r w:rsidRPr="00A664DA">
        <w:rPr>
          <w:rFonts w:asciiTheme="majorBidi" w:hAnsiTheme="majorBidi" w:cstheme="majorBidi"/>
          <w:sz w:val="20"/>
          <w:szCs w:val="20"/>
        </w:rPr>
        <w:t>The lived and imaged bod</w:t>
      </w:r>
      <w:r>
        <w:rPr>
          <w:rFonts w:asciiTheme="majorBidi" w:hAnsiTheme="majorBidi" w:cstheme="majorBidi"/>
          <w:sz w:val="20"/>
          <w:szCs w:val="20"/>
        </w:rPr>
        <w:t>ies</w:t>
      </w:r>
      <w:r w:rsidRPr="00A664DA">
        <w:rPr>
          <w:rFonts w:asciiTheme="majorBidi" w:hAnsiTheme="majorBidi" w:cstheme="majorBidi"/>
          <w:sz w:val="20"/>
          <w:szCs w:val="20"/>
        </w:rPr>
        <w:t xml:space="preserve"> constitute different </w:t>
      </w:r>
      <w:r>
        <w:rPr>
          <w:rFonts w:asciiTheme="majorBidi" w:hAnsiTheme="majorBidi" w:cstheme="majorBidi"/>
          <w:sz w:val="20"/>
          <w:szCs w:val="20"/>
        </w:rPr>
        <w:t>realms</w:t>
      </w:r>
      <w:r w:rsidRPr="00A664DA">
        <w:rPr>
          <w:rFonts w:asciiTheme="majorBidi" w:hAnsiTheme="majorBidi" w:cstheme="majorBidi"/>
          <w:sz w:val="20"/>
          <w:szCs w:val="20"/>
        </w:rPr>
        <w:t xml:space="preserve"> that are experienced and materialised in different ways. Prior research has traditionally focused on understanding ancient bodies along with concepts of embodiment and self through art historical analysis. While this is necessary, a more comprehensive understanding can be achieved by integrating multi-d</w:t>
      </w:r>
      <w:r>
        <w:rPr>
          <w:rFonts w:asciiTheme="majorBidi" w:hAnsiTheme="majorBidi" w:cstheme="majorBidi"/>
          <w:sz w:val="20"/>
          <w:szCs w:val="20"/>
        </w:rPr>
        <w:t>i</w:t>
      </w:r>
      <w:r w:rsidRPr="00A664DA">
        <w:rPr>
          <w:rFonts w:asciiTheme="majorBidi" w:hAnsiTheme="majorBidi" w:cstheme="majorBidi"/>
          <w:sz w:val="20"/>
          <w:szCs w:val="20"/>
        </w:rPr>
        <w:t>sciplinary data</w:t>
      </w:r>
      <w:r>
        <w:rPr>
          <w:rFonts w:asciiTheme="majorBidi" w:hAnsiTheme="majorBidi" w:cstheme="majorBidi"/>
          <w:sz w:val="20"/>
          <w:szCs w:val="20"/>
        </w:rPr>
        <w:t xml:space="preserve">. This is evident at </w:t>
      </w:r>
      <w:r w:rsidR="00D07910" w:rsidRPr="00BB35AE">
        <w:rPr>
          <w:rFonts w:asciiTheme="majorBidi" w:hAnsiTheme="majorBidi" w:cstheme="majorBidi"/>
          <w:sz w:val="20"/>
          <w:szCs w:val="20"/>
        </w:rPr>
        <w:t>C̜atalhöyük</w:t>
      </w:r>
      <w:r>
        <w:rPr>
          <w:rFonts w:asciiTheme="majorBidi" w:hAnsiTheme="majorBidi" w:cstheme="majorBidi"/>
          <w:sz w:val="20"/>
          <w:szCs w:val="20"/>
        </w:rPr>
        <w:t xml:space="preserve">, where the figurine corpus, burial assemblage, human remains, as well as plastering practices indicate a preoccupation with flesh that represents concepts of longevity and maturity. It is only by examining these diverse practices together that we can recognise recurring patterns in representation and behaviour. </w:t>
      </w:r>
      <w:r w:rsidRPr="00C65F91">
        <w:rPr>
          <w:rFonts w:asciiTheme="majorBidi" w:hAnsiTheme="majorBidi" w:cstheme="majorBidi"/>
          <w:sz w:val="20"/>
          <w:szCs w:val="20"/>
        </w:rPr>
        <w:t xml:space="preserve">One notable limitation of this </w:t>
      </w:r>
      <w:r>
        <w:rPr>
          <w:rFonts w:asciiTheme="majorBidi" w:hAnsiTheme="majorBidi" w:cstheme="majorBidi"/>
          <w:sz w:val="20"/>
          <w:szCs w:val="20"/>
        </w:rPr>
        <w:t>paper</w:t>
      </w:r>
      <w:r w:rsidRPr="00C65F91">
        <w:rPr>
          <w:rFonts w:asciiTheme="majorBidi" w:hAnsiTheme="majorBidi" w:cstheme="majorBidi"/>
          <w:sz w:val="20"/>
          <w:szCs w:val="20"/>
        </w:rPr>
        <w:t xml:space="preserve"> is its exclusive focus on figurines found at </w:t>
      </w:r>
      <w:r w:rsidR="001F1F10" w:rsidRPr="00C65F91">
        <w:rPr>
          <w:rFonts w:asciiTheme="majorBidi" w:hAnsiTheme="majorBidi" w:cstheme="majorBidi"/>
          <w:sz w:val="20"/>
          <w:szCs w:val="20"/>
        </w:rPr>
        <w:t>C̜atalhöyük</w:t>
      </w:r>
      <w:r w:rsidRPr="00C65F91">
        <w:rPr>
          <w:rFonts w:asciiTheme="majorBidi" w:hAnsiTheme="majorBidi" w:cstheme="majorBidi"/>
          <w:sz w:val="20"/>
          <w:szCs w:val="20"/>
        </w:rPr>
        <w:t>, excluding other types of media</w:t>
      </w:r>
      <w:r>
        <w:rPr>
          <w:rFonts w:asciiTheme="majorBidi" w:hAnsiTheme="majorBidi" w:cstheme="majorBidi"/>
          <w:sz w:val="20"/>
          <w:szCs w:val="20"/>
        </w:rPr>
        <w:t>,</w:t>
      </w:r>
      <w:r w:rsidRPr="00C65F91">
        <w:rPr>
          <w:rFonts w:asciiTheme="majorBidi" w:hAnsiTheme="majorBidi" w:cstheme="majorBidi"/>
          <w:sz w:val="20"/>
          <w:szCs w:val="20"/>
        </w:rPr>
        <w:t xml:space="preserve"> including wall murals, </w:t>
      </w:r>
      <w:r w:rsidRPr="00C65F91">
        <w:rPr>
          <w:rFonts w:asciiTheme="majorBidi" w:hAnsiTheme="majorBidi" w:cstheme="majorBidi"/>
          <w:sz w:val="20"/>
          <w:szCs w:val="20"/>
        </w:rPr>
        <w:lastRenderedPageBreak/>
        <w:t>seals, and installations.</w:t>
      </w:r>
      <w:r>
        <w:rPr>
          <w:rFonts w:asciiTheme="majorBidi" w:hAnsiTheme="majorBidi" w:cstheme="majorBidi"/>
          <w:sz w:val="20"/>
          <w:szCs w:val="20"/>
        </w:rPr>
        <w:t xml:space="preserve"> Undoubtedly, incorporating other media with interdisciplinary research can bring new perspectives on bodily representation practices.</w:t>
      </w:r>
    </w:p>
    <w:p w14:paraId="6640B644" w14:textId="77777777" w:rsidR="00E71FA3" w:rsidRPr="00E71FA3" w:rsidRDefault="00E71FA3" w:rsidP="00E71FA3">
      <w:pPr>
        <w:rPr>
          <w:rFonts w:asciiTheme="majorBidi" w:hAnsiTheme="majorBidi" w:cstheme="majorBidi"/>
          <w:sz w:val="20"/>
          <w:szCs w:val="20"/>
        </w:rPr>
      </w:pPr>
    </w:p>
    <w:p w14:paraId="558DE5CA" w14:textId="77777777" w:rsidR="00B416D9" w:rsidRPr="00B416D9" w:rsidRDefault="00B416D9" w:rsidP="00F349D2">
      <w:pPr>
        <w:jc w:val="center"/>
        <w:rPr>
          <w:rFonts w:asciiTheme="majorBidi" w:hAnsiTheme="majorBidi" w:cstheme="majorBidi"/>
          <w:b/>
          <w:bCs/>
          <w:sz w:val="20"/>
          <w:szCs w:val="20"/>
        </w:rPr>
      </w:pPr>
      <w:r w:rsidRPr="00B416D9">
        <w:rPr>
          <w:rFonts w:asciiTheme="majorBidi" w:hAnsiTheme="majorBidi" w:cstheme="majorBidi"/>
          <w:b/>
          <w:bCs/>
          <w:sz w:val="20"/>
          <w:szCs w:val="20"/>
        </w:rPr>
        <w:t>References</w:t>
      </w:r>
    </w:p>
    <w:p w14:paraId="62C5690C" w14:textId="35221BC6" w:rsidR="00F3708D" w:rsidRDefault="00F3708D" w:rsidP="00F3708D">
      <w:pPr>
        <w:ind w:left="720" w:hanging="720"/>
        <w:rPr>
          <w:rFonts w:asciiTheme="majorBidi" w:hAnsiTheme="majorBidi" w:cstheme="majorBidi"/>
          <w:sz w:val="20"/>
          <w:szCs w:val="20"/>
        </w:rPr>
      </w:pPr>
      <w:r w:rsidRPr="00F3708D">
        <w:rPr>
          <w:rFonts w:asciiTheme="majorBidi" w:hAnsiTheme="majorBidi" w:cstheme="majorBidi"/>
          <w:sz w:val="20"/>
          <w:szCs w:val="20"/>
        </w:rPr>
        <w:t xml:space="preserve">Andrews P., Molleson T. and Boz, B. (2005) ‘The human burials at Çatalhöyük’, in Hodder, I. (ed.) </w:t>
      </w:r>
      <w:r w:rsidRPr="00F3708D">
        <w:rPr>
          <w:rFonts w:asciiTheme="majorBidi" w:hAnsiTheme="majorBidi" w:cstheme="majorBidi"/>
          <w:i/>
          <w:iCs/>
          <w:sz w:val="20"/>
          <w:szCs w:val="20"/>
        </w:rPr>
        <w:t>Inhabiting Çatalhöyük: Reports from the 1995-99 season</w:t>
      </w:r>
      <w:r w:rsidRPr="00F3708D">
        <w:rPr>
          <w:rFonts w:asciiTheme="majorBidi" w:hAnsiTheme="majorBidi" w:cstheme="majorBidi"/>
          <w:sz w:val="20"/>
          <w:szCs w:val="20"/>
        </w:rPr>
        <w:t>, Cambridge: McDonald Institute for Archaeological Research &amp; British Institute of Archaeology at Ankara Monograph, pp. 261–278</w:t>
      </w:r>
      <w:r>
        <w:rPr>
          <w:rFonts w:asciiTheme="majorBidi" w:hAnsiTheme="majorBidi" w:cstheme="majorBidi"/>
          <w:sz w:val="20"/>
          <w:szCs w:val="20"/>
        </w:rPr>
        <w:t>.</w:t>
      </w:r>
    </w:p>
    <w:p w14:paraId="0714C91F" w14:textId="27CF9CF7" w:rsidR="000235A3" w:rsidRPr="00B416D9" w:rsidRDefault="000235A3" w:rsidP="002C5587">
      <w:pPr>
        <w:ind w:left="720" w:hanging="720"/>
        <w:rPr>
          <w:rFonts w:asciiTheme="majorBidi" w:hAnsiTheme="majorBidi" w:cstheme="majorBidi"/>
          <w:sz w:val="20"/>
          <w:szCs w:val="20"/>
        </w:rPr>
      </w:pPr>
      <w:r w:rsidRPr="00B416D9">
        <w:rPr>
          <w:rFonts w:asciiTheme="majorBidi" w:hAnsiTheme="majorBidi" w:cstheme="majorBidi"/>
          <w:sz w:val="20"/>
          <w:szCs w:val="20"/>
        </w:rPr>
        <w:t xml:space="preserve">Barthes, R. </w:t>
      </w:r>
      <w:r w:rsidR="002C5587">
        <w:rPr>
          <w:rFonts w:asciiTheme="majorBidi" w:hAnsiTheme="majorBidi" w:cstheme="majorBidi"/>
          <w:sz w:val="20"/>
          <w:szCs w:val="20"/>
        </w:rPr>
        <w:t>(</w:t>
      </w:r>
      <w:r w:rsidRPr="00B416D9">
        <w:rPr>
          <w:rFonts w:asciiTheme="majorBidi" w:hAnsiTheme="majorBidi" w:cstheme="majorBidi"/>
          <w:sz w:val="20"/>
          <w:szCs w:val="20"/>
        </w:rPr>
        <w:t>1997</w:t>
      </w:r>
      <w:r w:rsidR="002C5587">
        <w:rPr>
          <w:rFonts w:asciiTheme="majorBidi" w:hAnsiTheme="majorBidi" w:cstheme="majorBidi"/>
          <w:sz w:val="20"/>
          <w:szCs w:val="20"/>
        </w:rPr>
        <w:t>)</w:t>
      </w:r>
      <w:r w:rsidRPr="00B416D9">
        <w:rPr>
          <w:rFonts w:asciiTheme="majorBidi" w:hAnsiTheme="majorBidi" w:cstheme="majorBidi"/>
          <w:sz w:val="20"/>
          <w:szCs w:val="20"/>
        </w:rPr>
        <w:t xml:space="preserve"> </w:t>
      </w:r>
      <w:r w:rsidR="002C5587">
        <w:rPr>
          <w:rFonts w:asciiTheme="majorBidi" w:hAnsiTheme="majorBidi" w:cstheme="majorBidi"/>
          <w:sz w:val="20"/>
          <w:szCs w:val="20"/>
        </w:rPr>
        <w:t>‘</w:t>
      </w:r>
      <w:r w:rsidRPr="00B416D9">
        <w:rPr>
          <w:rFonts w:asciiTheme="majorBidi" w:hAnsiTheme="majorBidi" w:cstheme="majorBidi"/>
          <w:sz w:val="20"/>
          <w:szCs w:val="20"/>
        </w:rPr>
        <w:t>Toward a psychosociology of contemporary food consumption</w:t>
      </w:r>
      <w:r w:rsidR="002C5587">
        <w:rPr>
          <w:rFonts w:asciiTheme="majorBidi" w:hAnsiTheme="majorBidi" w:cstheme="majorBidi"/>
          <w:sz w:val="20"/>
          <w:szCs w:val="20"/>
        </w:rPr>
        <w:t>’,</w:t>
      </w:r>
      <w:r w:rsidRPr="00B416D9">
        <w:rPr>
          <w:rFonts w:asciiTheme="majorBidi" w:hAnsiTheme="majorBidi" w:cstheme="majorBidi"/>
          <w:sz w:val="20"/>
          <w:szCs w:val="20"/>
        </w:rPr>
        <w:t xml:space="preserve"> </w:t>
      </w:r>
      <w:r w:rsidR="002C5587">
        <w:rPr>
          <w:rFonts w:asciiTheme="majorBidi" w:hAnsiTheme="majorBidi" w:cstheme="majorBidi"/>
          <w:sz w:val="20"/>
          <w:szCs w:val="20"/>
        </w:rPr>
        <w:t>i</w:t>
      </w:r>
      <w:r w:rsidRPr="00B416D9">
        <w:rPr>
          <w:rFonts w:asciiTheme="majorBidi" w:hAnsiTheme="majorBidi" w:cstheme="majorBidi"/>
          <w:sz w:val="20"/>
          <w:szCs w:val="20"/>
        </w:rPr>
        <w:t>n Counihan</w:t>
      </w:r>
      <w:r w:rsidR="002C5587">
        <w:rPr>
          <w:rFonts w:asciiTheme="majorBidi" w:hAnsiTheme="majorBidi" w:cstheme="majorBidi"/>
          <w:sz w:val="20"/>
          <w:szCs w:val="20"/>
        </w:rPr>
        <w:t>, C.</w:t>
      </w:r>
      <w:r w:rsidRPr="00B416D9">
        <w:rPr>
          <w:rFonts w:asciiTheme="majorBidi" w:hAnsiTheme="majorBidi" w:cstheme="majorBidi"/>
          <w:sz w:val="20"/>
          <w:szCs w:val="20"/>
        </w:rPr>
        <w:t xml:space="preserve"> and Van Esterik</w:t>
      </w:r>
      <w:r w:rsidR="002C5587">
        <w:rPr>
          <w:rFonts w:asciiTheme="majorBidi" w:hAnsiTheme="majorBidi" w:cstheme="majorBidi"/>
          <w:sz w:val="20"/>
          <w:szCs w:val="20"/>
        </w:rPr>
        <w:t>, P.</w:t>
      </w:r>
      <w:r w:rsidRPr="00B416D9">
        <w:rPr>
          <w:rFonts w:asciiTheme="majorBidi" w:hAnsiTheme="majorBidi" w:cstheme="majorBidi"/>
          <w:sz w:val="20"/>
          <w:szCs w:val="20"/>
        </w:rPr>
        <w:t xml:space="preserve"> (eds) </w:t>
      </w:r>
      <w:r w:rsidRPr="00B416D9">
        <w:rPr>
          <w:rFonts w:asciiTheme="majorBidi" w:hAnsiTheme="majorBidi" w:cstheme="majorBidi"/>
          <w:i/>
          <w:iCs/>
          <w:sz w:val="20"/>
          <w:szCs w:val="20"/>
        </w:rPr>
        <w:t xml:space="preserve">Food and culture: </w:t>
      </w:r>
      <w:r w:rsidR="002C5587">
        <w:rPr>
          <w:rFonts w:asciiTheme="majorBidi" w:hAnsiTheme="majorBidi" w:cstheme="majorBidi"/>
          <w:i/>
          <w:iCs/>
          <w:sz w:val="20"/>
          <w:szCs w:val="20"/>
        </w:rPr>
        <w:t>A</w:t>
      </w:r>
      <w:r w:rsidRPr="00B416D9">
        <w:rPr>
          <w:rFonts w:asciiTheme="majorBidi" w:hAnsiTheme="majorBidi" w:cstheme="majorBidi"/>
          <w:i/>
          <w:iCs/>
          <w:sz w:val="20"/>
          <w:szCs w:val="20"/>
        </w:rPr>
        <w:t xml:space="preserve"> reader</w:t>
      </w:r>
      <w:r w:rsidR="002C5587">
        <w:rPr>
          <w:rFonts w:asciiTheme="majorBidi" w:hAnsiTheme="majorBidi" w:cstheme="majorBidi"/>
          <w:sz w:val="20"/>
          <w:szCs w:val="20"/>
        </w:rPr>
        <w:t>.</w:t>
      </w:r>
      <w:r w:rsidRPr="00B416D9">
        <w:rPr>
          <w:rFonts w:asciiTheme="majorBidi" w:hAnsiTheme="majorBidi" w:cstheme="majorBidi"/>
          <w:sz w:val="20"/>
          <w:szCs w:val="20"/>
        </w:rPr>
        <w:t xml:space="preserve"> London: Routledge.</w:t>
      </w:r>
      <w:r w:rsidR="002C5587" w:rsidRPr="002C5587">
        <w:rPr>
          <w:rFonts w:asciiTheme="majorBidi" w:hAnsiTheme="majorBidi" w:cstheme="majorBidi"/>
          <w:sz w:val="20"/>
          <w:szCs w:val="20"/>
        </w:rPr>
        <w:t xml:space="preserve"> </w:t>
      </w:r>
      <w:r w:rsidR="002C5587">
        <w:rPr>
          <w:rFonts w:asciiTheme="majorBidi" w:hAnsiTheme="majorBidi" w:cstheme="majorBidi"/>
          <w:sz w:val="20"/>
          <w:szCs w:val="20"/>
        </w:rPr>
        <w:t xml:space="preserve">pp. </w:t>
      </w:r>
      <w:r w:rsidR="002C5587" w:rsidRPr="002C5587">
        <w:rPr>
          <w:rFonts w:asciiTheme="majorBidi" w:hAnsiTheme="majorBidi" w:cstheme="majorBidi"/>
          <w:sz w:val="20"/>
          <w:szCs w:val="20"/>
        </w:rPr>
        <w:t>20–</w:t>
      </w:r>
      <w:r w:rsidR="002C5587">
        <w:rPr>
          <w:rFonts w:asciiTheme="majorBidi" w:hAnsiTheme="majorBidi" w:cstheme="majorBidi"/>
          <w:sz w:val="20"/>
          <w:szCs w:val="20"/>
        </w:rPr>
        <w:t>2</w:t>
      </w:r>
      <w:r w:rsidR="002C5587" w:rsidRPr="002C5587">
        <w:rPr>
          <w:rFonts w:asciiTheme="majorBidi" w:hAnsiTheme="majorBidi" w:cstheme="majorBidi"/>
          <w:sz w:val="20"/>
          <w:szCs w:val="20"/>
        </w:rPr>
        <w:t>7.</w:t>
      </w:r>
    </w:p>
    <w:p w14:paraId="43744C47" w14:textId="14456E1D" w:rsidR="000235A3"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 xml:space="preserve">Bourdieu, P. </w:t>
      </w:r>
      <w:r w:rsidR="002C5587">
        <w:rPr>
          <w:rFonts w:asciiTheme="majorBidi" w:hAnsiTheme="majorBidi" w:cstheme="majorBidi"/>
          <w:sz w:val="20"/>
          <w:szCs w:val="20"/>
        </w:rPr>
        <w:t>(</w:t>
      </w:r>
      <w:r w:rsidRPr="00B416D9">
        <w:rPr>
          <w:rFonts w:asciiTheme="majorBidi" w:hAnsiTheme="majorBidi" w:cstheme="majorBidi"/>
          <w:sz w:val="20"/>
          <w:szCs w:val="20"/>
        </w:rPr>
        <w:t>1998</w:t>
      </w:r>
      <w:r w:rsidR="002C5587">
        <w:rPr>
          <w:rFonts w:asciiTheme="majorBidi" w:hAnsiTheme="majorBidi" w:cstheme="majorBidi"/>
          <w:sz w:val="20"/>
          <w:szCs w:val="20"/>
        </w:rPr>
        <w:t>)</w:t>
      </w:r>
      <w:r w:rsidRPr="00B416D9">
        <w:rPr>
          <w:rFonts w:asciiTheme="majorBidi" w:hAnsiTheme="majorBidi" w:cstheme="majorBidi"/>
          <w:sz w:val="20"/>
          <w:szCs w:val="20"/>
        </w:rPr>
        <w:t xml:space="preserve"> </w:t>
      </w:r>
      <w:r w:rsidRPr="00B416D9">
        <w:rPr>
          <w:rFonts w:asciiTheme="majorBidi" w:hAnsiTheme="majorBidi" w:cstheme="majorBidi"/>
          <w:i/>
          <w:iCs/>
          <w:sz w:val="20"/>
          <w:szCs w:val="20"/>
        </w:rPr>
        <w:t xml:space="preserve">Distinction: </w:t>
      </w:r>
      <w:r>
        <w:rPr>
          <w:rFonts w:asciiTheme="majorBidi" w:hAnsiTheme="majorBidi" w:cstheme="majorBidi"/>
          <w:i/>
          <w:iCs/>
          <w:sz w:val="20"/>
          <w:szCs w:val="20"/>
        </w:rPr>
        <w:t>A</w:t>
      </w:r>
      <w:r w:rsidRPr="00B416D9">
        <w:rPr>
          <w:rFonts w:asciiTheme="majorBidi" w:hAnsiTheme="majorBidi" w:cstheme="majorBidi"/>
          <w:i/>
          <w:iCs/>
          <w:sz w:val="20"/>
          <w:szCs w:val="20"/>
        </w:rPr>
        <w:t xml:space="preserve"> social critique of the judgement of taste. </w:t>
      </w:r>
      <w:r w:rsidRPr="00B416D9">
        <w:rPr>
          <w:rFonts w:asciiTheme="majorBidi" w:hAnsiTheme="majorBidi" w:cstheme="majorBidi"/>
          <w:sz w:val="20"/>
          <w:szCs w:val="20"/>
        </w:rPr>
        <w:t>London: Routledge (Introduction Chapter)</w:t>
      </w:r>
      <w:r w:rsidR="002C5587">
        <w:rPr>
          <w:rFonts w:asciiTheme="majorBidi" w:hAnsiTheme="majorBidi" w:cstheme="majorBidi"/>
          <w:sz w:val="20"/>
          <w:szCs w:val="20"/>
        </w:rPr>
        <w:t>.</w:t>
      </w:r>
      <w:r w:rsidRPr="00B416D9">
        <w:rPr>
          <w:rFonts w:asciiTheme="majorBidi" w:hAnsiTheme="majorBidi" w:cstheme="majorBidi"/>
          <w:sz w:val="20"/>
          <w:szCs w:val="20"/>
        </w:rPr>
        <w:t xml:space="preserve"> </w:t>
      </w:r>
    </w:p>
    <w:p w14:paraId="244E2B4F" w14:textId="196824EA" w:rsidR="006D0126" w:rsidRPr="00B416D9" w:rsidRDefault="006D0126" w:rsidP="006D0126">
      <w:pPr>
        <w:ind w:left="720" w:hanging="720"/>
        <w:rPr>
          <w:rFonts w:asciiTheme="majorBidi" w:hAnsiTheme="majorBidi" w:cstheme="majorBidi"/>
          <w:sz w:val="20"/>
          <w:szCs w:val="20"/>
        </w:rPr>
      </w:pPr>
      <w:r w:rsidRPr="006D0126">
        <w:rPr>
          <w:rFonts w:asciiTheme="majorBidi" w:hAnsiTheme="majorBidi" w:cstheme="majorBidi"/>
          <w:sz w:val="20"/>
          <w:szCs w:val="20"/>
        </w:rPr>
        <w:t>Boz, B., Hager, L. D., Haddow, S., with contributions by S. Hillson, C.S. Larsen, C. Ruff, M. Pilloud, S. Agarwal, P. Beauchesne, B. Glencross et al. (2006) ‘Human remains. Archive report on the Catalhöyük season 2006’</w:t>
      </w:r>
      <w:r w:rsidR="00777823">
        <w:rPr>
          <w:rFonts w:asciiTheme="majorBidi" w:hAnsiTheme="majorBidi" w:cstheme="majorBidi"/>
          <w:sz w:val="20"/>
          <w:szCs w:val="20"/>
        </w:rPr>
        <w:t>.</w:t>
      </w:r>
    </w:p>
    <w:p w14:paraId="5F9F2B77" w14:textId="4B142966"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 xml:space="preserve">Douglas, M. </w:t>
      </w:r>
      <w:r w:rsidR="00C25928">
        <w:rPr>
          <w:rFonts w:asciiTheme="majorBidi" w:hAnsiTheme="majorBidi" w:cstheme="majorBidi"/>
          <w:sz w:val="20"/>
          <w:szCs w:val="20"/>
        </w:rPr>
        <w:t>(</w:t>
      </w:r>
      <w:r w:rsidRPr="00B416D9">
        <w:rPr>
          <w:rFonts w:asciiTheme="majorBidi" w:hAnsiTheme="majorBidi" w:cstheme="majorBidi"/>
          <w:sz w:val="20"/>
          <w:szCs w:val="20"/>
        </w:rPr>
        <w:t>1978</w:t>
      </w:r>
      <w:r w:rsidR="00C25928">
        <w:rPr>
          <w:rFonts w:asciiTheme="majorBidi" w:hAnsiTheme="majorBidi" w:cstheme="majorBidi"/>
          <w:sz w:val="20"/>
          <w:szCs w:val="20"/>
        </w:rPr>
        <w:t>)</w:t>
      </w:r>
      <w:r w:rsidRPr="00B416D9">
        <w:rPr>
          <w:rFonts w:asciiTheme="majorBidi" w:hAnsiTheme="majorBidi" w:cstheme="majorBidi"/>
          <w:sz w:val="20"/>
          <w:szCs w:val="20"/>
        </w:rPr>
        <w:t xml:space="preserve"> </w:t>
      </w:r>
      <w:r w:rsidRPr="00B416D9">
        <w:rPr>
          <w:rFonts w:asciiTheme="majorBidi" w:hAnsiTheme="majorBidi" w:cstheme="majorBidi"/>
          <w:i/>
          <w:iCs/>
          <w:sz w:val="20"/>
          <w:szCs w:val="20"/>
        </w:rPr>
        <w:t xml:space="preserve">Natural symbols. </w:t>
      </w:r>
      <w:r w:rsidRPr="00B416D9">
        <w:rPr>
          <w:rFonts w:asciiTheme="majorBidi" w:hAnsiTheme="majorBidi" w:cstheme="majorBidi"/>
          <w:sz w:val="20"/>
          <w:szCs w:val="20"/>
        </w:rPr>
        <w:t>New York: Praeger.</w:t>
      </w:r>
    </w:p>
    <w:p w14:paraId="78534EBE" w14:textId="3F12156E"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 xml:space="preserve">Fuller, B. T., Marquez-Grant, N., </w:t>
      </w:r>
      <w:r w:rsidR="00C25928">
        <w:rPr>
          <w:rFonts w:asciiTheme="majorBidi" w:hAnsiTheme="majorBidi" w:cstheme="majorBidi"/>
          <w:sz w:val="20"/>
          <w:szCs w:val="20"/>
        </w:rPr>
        <w:t>and</w:t>
      </w:r>
      <w:r w:rsidRPr="00B416D9">
        <w:rPr>
          <w:rFonts w:asciiTheme="majorBidi" w:hAnsiTheme="majorBidi" w:cstheme="majorBidi"/>
          <w:sz w:val="20"/>
          <w:szCs w:val="20"/>
        </w:rPr>
        <w:t xml:space="preserve"> Richards, M. P. (2010) </w:t>
      </w:r>
      <w:r w:rsidR="00C25928">
        <w:rPr>
          <w:rFonts w:asciiTheme="majorBidi" w:hAnsiTheme="majorBidi" w:cstheme="majorBidi"/>
          <w:sz w:val="20"/>
          <w:szCs w:val="20"/>
        </w:rPr>
        <w:t>‘</w:t>
      </w:r>
      <w:r w:rsidRPr="00B416D9">
        <w:rPr>
          <w:rFonts w:asciiTheme="majorBidi" w:hAnsiTheme="majorBidi" w:cstheme="majorBidi"/>
          <w:sz w:val="20"/>
          <w:szCs w:val="20"/>
        </w:rPr>
        <w:t>Investigation of diachronic dietary patterns on</w:t>
      </w:r>
      <w:r>
        <w:rPr>
          <w:rFonts w:asciiTheme="majorBidi" w:hAnsiTheme="majorBidi" w:cstheme="majorBidi"/>
          <w:sz w:val="20"/>
          <w:szCs w:val="20"/>
        </w:rPr>
        <w:t xml:space="preserve"> </w:t>
      </w:r>
      <w:r w:rsidRPr="00B416D9">
        <w:rPr>
          <w:rFonts w:asciiTheme="majorBidi" w:hAnsiTheme="majorBidi" w:cstheme="majorBidi"/>
          <w:sz w:val="20"/>
          <w:szCs w:val="20"/>
        </w:rPr>
        <w:t>the islands of Ibiza and Formentera, Spain: Evidence from carbon and nitrogen stable isotope ratio</w:t>
      </w:r>
      <w:r>
        <w:rPr>
          <w:rFonts w:asciiTheme="majorBidi" w:hAnsiTheme="majorBidi" w:cstheme="majorBidi"/>
          <w:sz w:val="20"/>
          <w:szCs w:val="20"/>
        </w:rPr>
        <w:t xml:space="preserve"> </w:t>
      </w:r>
      <w:r w:rsidRPr="00B416D9">
        <w:rPr>
          <w:rFonts w:asciiTheme="majorBidi" w:hAnsiTheme="majorBidi" w:cstheme="majorBidi"/>
          <w:sz w:val="20"/>
          <w:szCs w:val="20"/>
        </w:rPr>
        <w:t>analysis</w:t>
      </w:r>
      <w:r w:rsidR="00C25928">
        <w:rPr>
          <w:rFonts w:asciiTheme="majorBidi" w:hAnsiTheme="majorBidi" w:cstheme="majorBidi"/>
          <w:sz w:val="20"/>
          <w:szCs w:val="20"/>
        </w:rPr>
        <w:t>’,</w:t>
      </w:r>
      <w:r w:rsidRPr="00B416D9">
        <w:rPr>
          <w:rFonts w:asciiTheme="majorBidi" w:hAnsiTheme="majorBidi" w:cstheme="majorBidi"/>
          <w:sz w:val="20"/>
          <w:szCs w:val="20"/>
        </w:rPr>
        <w:t xml:space="preserve"> </w:t>
      </w:r>
      <w:r w:rsidRPr="00C25928">
        <w:rPr>
          <w:rFonts w:asciiTheme="majorBidi" w:hAnsiTheme="majorBidi" w:cstheme="majorBidi"/>
          <w:i/>
          <w:iCs/>
          <w:sz w:val="20"/>
          <w:szCs w:val="20"/>
        </w:rPr>
        <w:t>American Journal of Physical Anthropology</w:t>
      </w:r>
      <w:r w:rsidRPr="00B416D9">
        <w:rPr>
          <w:rFonts w:asciiTheme="majorBidi" w:hAnsiTheme="majorBidi" w:cstheme="majorBidi"/>
          <w:sz w:val="20"/>
          <w:szCs w:val="20"/>
        </w:rPr>
        <w:t xml:space="preserve">, 143, </w:t>
      </w:r>
      <w:r w:rsidR="00BB5363">
        <w:rPr>
          <w:rFonts w:asciiTheme="majorBidi" w:hAnsiTheme="majorBidi" w:cstheme="majorBidi"/>
          <w:sz w:val="20"/>
          <w:szCs w:val="20"/>
        </w:rPr>
        <w:t xml:space="preserve">pp. </w:t>
      </w:r>
      <w:r w:rsidRPr="00B416D9">
        <w:rPr>
          <w:rFonts w:asciiTheme="majorBidi" w:hAnsiTheme="majorBidi" w:cstheme="majorBidi"/>
          <w:sz w:val="20"/>
          <w:szCs w:val="20"/>
        </w:rPr>
        <w:t>512–522.</w:t>
      </w:r>
    </w:p>
    <w:p w14:paraId="2F00B90C" w14:textId="1F7CDF97" w:rsidR="000235A3" w:rsidRPr="00B416D9" w:rsidRDefault="000235A3" w:rsidP="00BB5363">
      <w:pPr>
        <w:ind w:left="720" w:hanging="720"/>
        <w:rPr>
          <w:rFonts w:asciiTheme="majorBidi" w:hAnsiTheme="majorBidi" w:cstheme="majorBidi"/>
          <w:sz w:val="20"/>
          <w:szCs w:val="20"/>
        </w:rPr>
      </w:pPr>
      <w:r w:rsidRPr="00B416D9">
        <w:rPr>
          <w:rFonts w:asciiTheme="majorBidi" w:hAnsiTheme="majorBidi" w:cstheme="majorBidi"/>
          <w:sz w:val="20"/>
          <w:szCs w:val="20"/>
        </w:rPr>
        <w:t xml:space="preserve">Hamilton, N. (1996) </w:t>
      </w:r>
      <w:r w:rsidR="00FB0BC5">
        <w:rPr>
          <w:rFonts w:asciiTheme="majorBidi" w:hAnsiTheme="majorBidi" w:cstheme="majorBidi"/>
          <w:sz w:val="20"/>
          <w:szCs w:val="20"/>
        </w:rPr>
        <w:t>‘</w:t>
      </w:r>
      <w:r w:rsidRPr="00B416D9">
        <w:rPr>
          <w:rFonts w:asciiTheme="majorBidi" w:hAnsiTheme="majorBidi" w:cstheme="majorBidi"/>
          <w:sz w:val="20"/>
          <w:szCs w:val="20"/>
        </w:rPr>
        <w:t>Figurines, clay balls, small finds and burials</w:t>
      </w:r>
      <w:r w:rsidR="00FB0BC5">
        <w:rPr>
          <w:rFonts w:asciiTheme="majorBidi" w:hAnsiTheme="majorBidi" w:cstheme="majorBidi"/>
          <w:sz w:val="20"/>
          <w:szCs w:val="20"/>
        </w:rPr>
        <w:t>’,</w:t>
      </w:r>
      <w:r w:rsidRPr="00B416D9">
        <w:rPr>
          <w:rFonts w:asciiTheme="majorBidi" w:hAnsiTheme="majorBidi" w:cstheme="majorBidi"/>
          <w:sz w:val="20"/>
          <w:szCs w:val="20"/>
        </w:rPr>
        <w:t xml:space="preserve"> </w:t>
      </w:r>
      <w:r w:rsidR="00FB0BC5">
        <w:rPr>
          <w:rFonts w:asciiTheme="majorBidi" w:hAnsiTheme="majorBidi" w:cstheme="majorBidi"/>
          <w:sz w:val="20"/>
          <w:szCs w:val="20"/>
        </w:rPr>
        <w:t>i</w:t>
      </w:r>
      <w:r w:rsidRPr="00B416D9">
        <w:rPr>
          <w:rFonts w:asciiTheme="majorBidi" w:hAnsiTheme="majorBidi" w:cstheme="majorBidi"/>
          <w:sz w:val="20"/>
          <w:szCs w:val="20"/>
        </w:rPr>
        <w:t>n Hodder</w:t>
      </w:r>
      <w:r w:rsidR="00FB0BC5">
        <w:rPr>
          <w:rFonts w:asciiTheme="majorBidi" w:hAnsiTheme="majorBidi" w:cstheme="majorBidi"/>
          <w:sz w:val="20"/>
          <w:szCs w:val="20"/>
        </w:rPr>
        <w:t>,</w:t>
      </w:r>
      <w:r w:rsidRPr="00B416D9">
        <w:rPr>
          <w:rFonts w:asciiTheme="majorBidi" w:hAnsiTheme="majorBidi" w:cstheme="majorBidi"/>
          <w:sz w:val="20"/>
          <w:szCs w:val="20"/>
        </w:rPr>
        <w:t xml:space="preserve"> </w:t>
      </w:r>
      <w:r w:rsidR="00FB0BC5">
        <w:rPr>
          <w:rFonts w:asciiTheme="majorBidi" w:hAnsiTheme="majorBidi" w:cstheme="majorBidi"/>
          <w:sz w:val="20"/>
          <w:szCs w:val="20"/>
        </w:rPr>
        <w:t xml:space="preserve">I. </w:t>
      </w:r>
      <w:r w:rsidRPr="00B416D9">
        <w:rPr>
          <w:rFonts w:asciiTheme="majorBidi" w:hAnsiTheme="majorBidi" w:cstheme="majorBidi"/>
          <w:sz w:val="20"/>
          <w:szCs w:val="20"/>
        </w:rPr>
        <w:t>(</w:t>
      </w:r>
      <w:r w:rsidR="00FB0BC5">
        <w:rPr>
          <w:rFonts w:asciiTheme="majorBidi" w:hAnsiTheme="majorBidi" w:cstheme="majorBidi"/>
          <w:sz w:val="20"/>
          <w:szCs w:val="20"/>
        </w:rPr>
        <w:t>e</w:t>
      </w:r>
      <w:r w:rsidRPr="00B416D9">
        <w:rPr>
          <w:rFonts w:asciiTheme="majorBidi" w:hAnsiTheme="majorBidi" w:cstheme="majorBidi"/>
          <w:sz w:val="20"/>
          <w:szCs w:val="20"/>
        </w:rPr>
        <w:t xml:space="preserve">d.) </w:t>
      </w:r>
      <w:r w:rsidRPr="00BB5363">
        <w:rPr>
          <w:rFonts w:asciiTheme="majorBidi" w:hAnsiTheme="majorBidi" w:cstheme="majorBidi"/>
          <w:i/>
          <w:iCs/>
          <w:sz w:val="20"/>
          <w:szCs w:val="20"/>
        </w:rPr>
        <w:t>On the surface: Çatalhöyük 1993–1995</w:t>
      </w:r>
      <w:r w:rsidRPr="00B416D9">
        <w:rPr>
          <w:rFonts w:asciiTheme="majorBidi" w:hAnsiTheme="majorBidi" w:cstheme="majorBidi"/>
          <w:sz w:val="20"/>
          <w:szCs w:val="20"/>
        </w:rPr>
        <w:t>. Cambridge: McDonald Institute.</w:t>
      </w:r>
      <w:r w:rsidR="00BB5363" w:rsidRPr="00BB5363">
        <w:rPr>
          <w:rFonts w:asciiTheme="majorBidi" w:hAnsiTheme="majorBidi" w:cstheme="majorBidi"/>
          <w:sz w:val="20"/>
          <w:szCs w:val="20"/>
        </w:rPr>
        <w:t xml:space="preserve"> pp. 215–263</w:t>
      </w:r>
      <w:r w:rsidR="00BB5363">
        <w:rPr>
          <w:rFonts w:asciiTheme="majorBidi" w:hAnsiTheme="majorBidi" w:cstheme="majorBidi"/>
          <w:sz w:val="20"/>
          <w:szCs w:val="20"/>
        </w:rPr>
        <w:t>.</w:t>
      </w:r>
    </w:p>
    <w:p w14:paraId="49C7DC19" w14:textId="39B873E1" w:rsidR="000235A3" w:rsidRPr="00B416D9" w:rsidRDefault="000235A3" w:rsidP="006111D3">
      <w:pPr>
        <w:ind w:left="720" w:hanging="720"/>
        <w:rPr>
          <w:rFonts w:asciiTheme="majorBidi" w:hAnsiTheme="majorBidi" w:cstheme="majorBidi"/>
          <w:sz w:val="20"/>
          <w:szCs w:val="20"/>
        </w:rPr>
      </w:pPr>
      <w:r w:rsidRPr="00B416D9">
        <w:rPr>
          <w:rFonts w:asciiTheme="majorBidi" w:hAnsiTheme="majorBidi" w:cstheme="majorBidi"/>
          <w:sz w:val="20"/>
          <w:szCs w:val="20"/>
        </w:rPr>
        <w:t>Hillson, S.</w:t>
      </w:r>
      <w:r w:rsidR="00C568CF">
        <w:rPr>
          <w:rFonts w:asciiTheme="majorBidi" w:hAnsiTheme="majorBidi" w:cstheme="majorBidi"/>
          <w:sz w:val="20"/>
          <w:szCs w:val="20"/>
        </w:rPr>
        <w:t xml:space="preserve"> </w:t>
      </w:r>
      <w:r w:rsidRPr="00B416D9">
        <w:rPr>
          <w:rFonts w:asciiTheme="majorBidi" w:hAnsiTheme="majorBidi" w:cstheme="majorBidi"/>
          <w:sz w:val="20"/>
          <w:szCs w:val="20"/>
        </w:rPr>
        <w:t>W., Larsen, C.</w:t>
      </w:r>
      <w:r w:rsidR="00C568CF">
        <w:rPr>
          <w:rFonts w:asciiTheme="majorBidi" w:hAnsiTheme="majorBidi" w:cstheme="majorBidi"/>
          <w:sz w:val="20"/>
          <w:szCs w:val="20"/>
        </w:rPr>
        <w:t xml:space="preserve"> </w:t>
      </w:r>
      <w:r w:rsidRPr="00B416D9">
        <w:rPr>
          <w:rFonts w:asciiTheme="majorBidi" w:hAnsiTheme="majorBidi" w:cstheme="majorBidi"/>
          <w:sz w:val="20"/>
          <w:szCs w:val="20"/>
        </w:rPr>
        <w:t>S., Boz, B., Pilloud, M.</w:t>
      </w:r>
      <w:r w:rsidR="00C568CF">
        <w:rPr>
          <w:rFonts w:asciiTheme="majorBidi" w:hAnsiTheme="majorBidi" w:cstheme="majorBidi"/>
          <w:sz w:val="20"/>
          <w:szCs w:val="20"/>
        </w:rPr>
        <w:t xml:space="preserve"> </w:t>
      </w:r>
      <w:r w:rsidRPr="00B416D9">
        <w:rPr>
          <w:rFonts w:asciiTheme="majorBidi" w:hAnsiTheme="majorBidi" w:cstheme="majorBidi"/>
          <w:sz w:val="20"/>
          <w:szCs w:val="20"/>
        </w:rPr>
        <w:t>A., Sadvari, J.</w:t>
      </w:r>
      <w:r w:rsidR="00C568CF">
        <w:rPr>
          <w:rFonts w:asciiTheme="majorBidi" w:hAnsiTheme="majorBidi" w:cstheme="majorBidi"/>
          <w:sz w:val="20"/>
          <w:szCs w:val="20"/>
        </w:rPr>
        <w:t xml:space="preserve"> </w:t>
      </w:r>
      <w:r w:rsidRPr="00B416D9">
        <w:rPr>
          <w:rFonts w:asciiTheme="majorBidi" w:hAnsiTheme="majorBidi" w:cstheme="majorBidi"/>
          <w:sz w:val="20"/>
          <w:szCs w:val="20"/>
        </w:rPr>
        <w:t>W., Agarwal, S.</w:t>
      </w:r>
      <w:r w:rsidR="00C568CF">
        <w:rPr>
          <w:rFonts w:asciiTheme="majorBidi" w:hAnsiTheme="majorBidi" w:cstheme="majorBidi"/>
          <w:sz w:val="20"/>
          <w:szCs w:val="20"/>
        </w:rPr>
        <w:t xml:space="preserve"> </w:t>
      </w:r>
      <w:r w:rsidRPr="00B416D9">
        <w:rPr>
          <w:rFonts w:asciiTheme="majorBidi" w:hAnsiTheme="majorBidi" w:cstheme="majorBidi"/>
          <w:sz w:val="20"/>
          <w:szCs w:val="20"/>
        </w:rPr>
        <w:t>C., Glencross,</w:t>
      </w:r>
      <w:r>
        <w:rPr>
          <w:rFonts w:asciiTheme="majorBidi" w:hAnsiTheme="majorBidi" w:cstheme="majorBidi"/>
          <w:sz w:val="20"/>
          <w:szCs w:val="20"/>
        </w:rPr>
        <w:t xml:space="preserve"> </w:t>
      </w:r>
      <w:r w:rsidRPr="00B416D9">
        <w:rPr>
          <w:rFonts w:asciiTheme="majorBidi" w:hAnsiTheme="majorBidi" w:cstheme="majorBidi"/>
          <w:sz w:val="20"/>
          <w:szCs w:val="20"/>
        </w:rPr>
        <w:t>B., Beauchesne, P., Pearson, J.</w:t>
      </w:r>
      <w:r w:rsidR="00C568CF">
        <w:rPr>
          <w:rFonts w:asciiTheme="majorBidi" w:hAnsiTheme="majorBidi" w:cstheme="majorBidi"/>
          <w:sz w:val="20"/>
          <w:szCs w:val="20"/>
        </w:rPr>
        <w:t xml:space="preserve"> </w:t>
      </w:r>
      <w:r w:rsidRPr="00B416D9">
        <w:rPr>
          <w:rFonts w:asciiTheme="majorBidi" w:hAnsiTheme="majorBidi" w:cstheme="majorBidi"/>
          <w:sz w:val="20"/>
          <w:szCs w:val="20"/>
        </w:rPr>
        <w:t>A., Ruff, C.</w:t>
      </w:r>
      <w:r w:rsidR="00C568CF">
        <w:rPr>
          <w:rFonts w:asciiTheme="majorBidi" w:hAnsiTheme="majorBidi" w:cstheme="majorBidi"/>
          <w:sz w:val="20"/>
          <w:szCs w:val="20"/>
        </w:rPr>
        <w:t xml:space="preserve"> </w:t>
      </w:r>
      <w:r w:rsidRPr="00B416D9">
        <w:rPr>
          <w:rFonts w:asciiTheme="majorBidi" w:hAnsiTheme="majorBidi" w:cstheme="majorBidi"/>
          <w:sz w:val="20"/>
          <w:szCs w:val="20"/>
        </w:rPr>
        <w:t>B., Garofalo, E.</w:t>
      </w:r>
      <w:r w:rsidR="00C568CF">
        <w:rPr>
          <w:rFonts w:asciiTheme="majorBidi" w:hAnsiTheme="majorBidi" w:cstheme="majorBidi"/>
          <w:sz w:val="20"/>
          <w:szCs w:val="20"/>
        </w:rPr>
        <w:t xml:space="preserve"> </w:t>
      </w:r>
      <w:r w:rsidRPr="00B416D9">
        <w:rPr>
          <w:rFonts w:asciiTheme="majorBidi" w:hAnsiTheme="majorBidi" w:cstheme="majorBidi"/>
          <w:sz w:val="20"/>
          <w:szCs w:val="20"/>
        </w:rPr>
        <w:t>M., Hager, L.</w:t>
      </w:r>
      <w:r w:rsidR="00C568CF">
        <w:rPr>
          <w:rFonts w:asciiTheme="majorBidi" w:hAnsiTheme="majorBidi" w:cstheme="majorBidi"/>
          <w:sz w:val="20"/>
          <w:szCs w:val="20"/>
        </w:rPr>
        <w:t xml:space="preserve"> </w:t>
      </w:r>
      <w:r w:rsidRPr="00B416D9">
        <w:rPr>
          <w:rFonts w:asciiTheme="majorBidi" w:hAnsiTheme="majorBidi" w:cstheme="majorBidi"/>
          <w:sz w:val="20"/>
          <w:szCs w:val="20"/>
        </w:rPr>
        <w:t>D. and Haddow,</w:t>
      </w:r>
      <w:r>
        <w:rPr>
          <w:rFonts w:asciiTheme="majorBidi" w:hAnsiTheme="majorBidi" w:cstheme="majorBidi"/>
          <w:sz w:val="20"/>
          <w:szCs w:val="20"/>
        </w:rPr>
        <w:t xml:space="preserve"> </w:t>
      </w:r>
      <w:r w:rsidRPr="00B416D9">
        <w:rPr>
          <w:rFonts w:asciiTheme="majorBidi" w:hAnsiTheme="majorBidi" w:cstheme="majorBidi"/>
          <w:sz w:val="20"/>
          <w:szCs w:val="20"/>
        </w:rPr>
        <w:t>S.</w:t>
      </w:r>
      <w:r w:rsidR="00C568CF">
        <w:rPr>
          <w:rFonts w:asciiTheme="majorBidi" w:hAnsiTheme="majorBidi" w:cstheme="majorBidi"/>
          <w:sz w:val="20"/>
          <w:szCs w:val="20"/>
        </w:rPr>
        <w:t xml:space="preserve"> </w:t>
      </w:r>
      <w:r w:rsidRPr="00B416D9">
        <w:rPr>
          <w:rFonts w:asciiTheme="majorBidi" w:hAnsiTheme="majorBidi" w:cstheme="majorBidi"/>
          <w:sz w:val="20"/>
          <w:szCs w:val="20"/>
        </w:rPr>
        <w:t xml:space="preserve">D. </w:t>
      </w:r>
      <w:r w:rsidR="00C568CF">
        <w:rPr>
          <w:rFonts w:asciiTheme="majorBidi" w:hAnsiTheme="majorBidi" w:cstheme="majorBidi"/>
          <w:sz w:val="20"/>
          <w:szCs w:val="20"/>
        </w:rPr>
        <w:t>(</w:t>
      </w:r>
      <w:r w:rsidRPr="00B416D9">
        <w:rPr>
          <w:rFonts w:asciiTheme="majorBidi" w:hAnsiTheme="majorBidi" w:cstheme="majorBidi"/>
          <w:sz w:val="20"/>
          <w:szCs w:val="20"/>
        </w:rPr>
        <w:t>2013</w:t>
      </w:r>
      <w:r w:rsidR="00C568CF">
        <w:rPr>
          <w:rFonts w:asciiTheme="majorBidi" w:hAnsiTheme="majorBidi" w:cstheme="majorBidi"/>
          <w:sz w:val="20"/>
          <w:szCs w:val="20"/>
        </w:rPr>
        <w:t>)</w:t>
      </w:r>
      <w:r w:rsidRPr="00B416D9">
        <w:rPr>
          <w:rFonts w:asciiTheme="majorBidi" w:hAnsiTheme="majorBidi" w:cstheme="majorBidi"/>
          <w:sz w:val="20"/>
          <w:szCs w:val="20"/>
        </w:rPr>
        <w:t xml:space="preserve"> </w:t>
      </w:r>
      <w:r w:rsidR="006111D3">
        <w:rPr>
          <w:rFonts w:asciiTheme="majorBidi" w:hAnsiTheme="majorBidi" w:cstheme="majorBidi"/>
          <w:sz w:val="20"/>
          <w:szCs w:val="20"/>
        </w:rPr>
        <w:t>‘</w:t>
      </w:r>
      <w:r w:rsidRPr="00B416D9">
        <w:rPr>
          <w:rFonts w:asciiTheme="majorBidi" w:hAnsiTheme="majorBidi" w:cstheme="majorBidi"/>
          <w:sz w:val="20"/>
          <w:szCs w:val="20"/>
        </w:rPr>
        <w:t xml:space="preserve">The human remains I: </w:t>
      </w:r>
      <w:r w:rsidR="006111D3">
        <w:rPr>
          <w:rFonts w:asciiTheme="majorBidi" w:hAnsiTheme="majorBidi" w:cstheme="majorBidi"/>
          <w:sz w:val="20"/>
          <w:szCs w:val="20"/>
        </w:rPr>
        <w:t>I</w:t>
      </w:r>
      <w:r w:rsidRPr="00B416D9">
        <w:rPr>
          <w:rFonts w:asciiTheme="majorBidi" w:hAnsiTheme="majorBidi" w:cstheme="majorBidi"/>
          <w:sz w:val="20"/>
          <w:szCs w:val="20"/>
        </w:rPr>
        <w:t>nterpreting community structure, health, and diet in</w:t>
      </w:r>
      <w:r>
        <w:rPr>
          <w:rFonts w:asciiTheme="majorBidi" w:hAnsiTheme="majorBidi" w:cstheme="majorBidi"/>
          <w:sz w:val="20"/>
          <w:szCs w:val="20"/>
        </w:rPr>
        <w:t xml:space="preserve"> </w:t>
      </w:r>
      <w:r w:rsidRPr="00B416D9">
        <w:rPr>
          <w:rFonts w:asciiTheme="majorBidi" w:hAnsiTheme="majorBidi" w:cstheme="majorBidi"/>
          <w:sz w:val="20"/>
          <w:szCs w:val="20"/>
        </w:rPr>
        <w:t>Neolithic Çatalhöyük</w:t>
      </w:r>
      <w:r w:rsidR="006111D3">
        <w:rPr>
          <w:rFonts w:asciiTheme="majorBidi" w:hAnsiTheme="majorBidi" w:cstheme="majorBidi"/>
          <w:sz w:val="20"/>
          <w:szCs w:val="20"/>
        </w:rPr>
        <w:t>’,</w:t>
      </w:r>
      <w:r w:rsidRPr="00B416D9">
        <w:rPr>
          <w:rFonts w:asciiTheme="majorBidi" w:hAnsiTheme="majorBidi" w:cstheme="majorBidi"/>
          <w:sz w:val="20"/>
          <w:szCs w:val="20"/>
        </w:rPr>
        <w:t xml:space="preserve"> </w:t>
      </w:r>
      <w:r w:rsidR="006111D3">
        <w:rPr>
          <w:rFonts w:asciiTheme="majorBidi" w:hAnsiTheme="majorBidi" w:cstheme="majorBidi"/>
          <w:sz w:val="20"/>
          <w:szCs w:val="20"/>
        </w:rPr>
        <w:t>i</w:t>
      </w:r>
      <w:r w:rsidRPr="00B416D9">
        <w:rPr>
          <w:rFonts w:asciiTheme="majorBidi" w:hAnsiTheme="majorBidi" w:cstheme="majorBidi"/>
          <w:sz w:val="20"/>
          <w:szCs w:val="20"/>
        </w:rPr>
        <w:t>n Hodder</w:t>
      </w:r>
      <w:r w:rsidR="006111D3">
        <w:rPr>
          <w:rFonts w:asciiTheme="majorBidi" w:hAnsiTheme="majorBidi" w:cstheme="majorBidi"/>
          <w:sz w:val="20"/>
          <w:szCs w:val="20"/>
        </w:rPr>
        <w:t>, I.</w:t>
      </w:r>
      <w:r w:rsidRPr="00B416D9">
        <w:rPr>
          <w:rFonts w:asciiTheme="majorBidi" w:hAnsiTheme="majorBidi" w:cstheme="majorBidi"/>
          <w:sz w:val="20"/>
          <w:szCs w:val="20"/>
        </w:rPr>
        <w:t xml:space="preserve"> (ed.) </w:t>
      </w:r>
      <w:r w:rsidRPr="00B416D9">
        <w:rPr>
          <w:rFonts w:asciiTheme="majorBidi" w:hAnsiTheme="majorBidi" w:cstheme="majorBidi"/>
          <w:i/>
          <w:iCs/>
          <w:sz w:val="20"/>
          <w:szCs w:val="20"/>
        </w:rPr>
        <w:t xml:space="preserve">Humans and </w:t>
      </w:r>
      <w:r w:rsidR="006111D3">
        <w:rPr>
          <w:rFonts w:asciiTheme="majorBidi" w:hAnsiTheme="majorBidi" w:cstheme="majorBidi"/>
          <w:i/>
          <w:iCs/>
          <w:sz w:val="20"/>
          <w:szCs w:val="20"/>
        </w:rPr>
        <w:t>l</w:t>
      </w:r>
      <w:r w:rsidRPr="00B416D9">
        <w:rPr>
          <w:rFonts w:asciiTheme="majorBidi" w:hAnsiTheme="majorBidi" w:cstheme="majorBidi"/>
          <w:i/>
          <w:iCs/>
          <w:sz w:val="20"/>
          <w:szCs w:val="20"/>
        </w:rPr>
        <w:t>andscapes of Çatalhöyük</w:t>
      </w:r>
      <w:r w:rsidRPr="00B416D9">
        <w:rPr>
          <w:rFonts w:asciiTheme="majorBidi" w:hAnsiTheme="majorBidi" w:cstheme="majorBidi"/>
          <w:sz w:val="20"/>
          <w:szCs w:val="20"/>
        </w:rPr>
        <w:t xml:space="preserve">: </w:t>
      </w:r>
      <w:r w:rsidRPr="00B416D9">
        <w:rPr>
          <w:rFonts w:asciiTheme="majorBidi" w:hAnsiTheme="majorBidi" w:cstheme="majorBidi"/>
          <w:i/>
          <w:iCs/>
          <w:sz w:val="20"/>
          <w:szCs w:val="20"/>
        </w:rPr>
        <w:t>Reports</w:t>
      </w:r>
      <w:r>
        <w:rPr>
          <w:rFonts w:asciiTheme="majorBidi" w:hAnsiTheme="majorBidi" w:cstheme="majorBidi"/>
          <w:sz w:val="20"/>
          <w:szCs w:val="20"/>
        </w:rPr>
        <w:t xml:space="preserve"> </w:t>
      </w:r>
      <w:r w:rsidRPr="00B416D9">
        <w:rPr>
          <w:rFonts w:asciiTheme="majorBidi" w:hAnsiTheme="majorBidi" w:cstheme="majorBidi"/>
          <w:i/>
          <w:iCs/>
          <w:sz w:val="20"/>
          <w:szCs w:val="20"/>
        </w:rPr>
        <w:t xml:space="preserve">from the 2000-2008 </w:t>
      </w:r>
      <w:r w:rsidR="006111D3">
        <w:rPr>
          <w:rFonts w:asciiTheme="majorBidi" w:hAnsiTheme="majorBidi" w:cstheme="majorBidi"/>
          <w:i/>
          <w:iCs/>
          <w:sz w:val="20"/>
          <w:szCs w:val="20"/>
        </w:rPr>
        <w:t>s</w:t>
      </w:r>
      <w:r w:rsidRPr="00B416D9">
        <w:rPr>
          <w:rFonts w:asciiTheme="majorBidi" w:hAnsiTheme="majorBidi" w:cstheme="majorBidi"/>
          <w:i/>
          <w:iCs/>
          <w:sz w:val="20"/>
          <w:szCs w:val="20"/>
        </w:rPr>
        <w:t>easons</w:t>
      </w:r>
      <w:r w:rsidRPr="00B416D9">
        <w:rPr>
          <w:rFonts w:asciiTheme="majorBidi" w:hAnsiTheme="majorBidi" w:cstheme="majorBidi"/>
          <w:sz w:val="20"/>
          <w:szCs w:val="20"/>
        </w:rPr>
        <w:t xml:space="preserve">. Los Angeles: Cotsen Institute. </w:t>
      </w:r>
      <w:r w:rsidR="006111D3">
        <w:rPr>
          <w:rFonts w:asciiTheme="majorBidi" w:hAnsiTheme="majorBidi" w:cstheme="majorBidi"/>
          <w:sz w:val="20"/>
          <w:szCs w:val="20"/>
        </w:rPr>
        <w:t>pp.</w:t>
      </w:r>
      <w:r w:rsidR="006111D3" w:rsidRPr="006111D3">
        <w:rPr>
          <w:rFonts w:asciiTheme="majorBidi" w:hAnsiTheme="majorBidi" w:cstheme="majorBidi"/>
          <w:sz w:val="20"/>
          <w:szCs w:val="20"/>
        </w:rPr>
        <w:t xml:space="preserve"> 339–</w:t>
      </w:r>
      <w:r w:rsidR="006111D3">
        <w:rPr>
          <w:rFonts w:asciiTheme="majorBidi" w:hAnsiTheme="majorBidi" w:cstheme="majorBidi"/>
          <w:sz w:val="20"/>
          <w:szCs w:val="20"/>
        </w:rPr>
        <w:t>3</w:t>
      </w:r>
      <w:r w:rsidR="006111D3" w:rsidRPr="006111D3">
        <w:rPr>
          <w:rFonts w:asciiTheme="majorBidi" w:hAnsiTheme="majorBidi" w:cstheme="majorBidi"/>
          <w:sz w:val="20"/>
          <w:szCs w:val="20"/>
        </w:rPr>
        <w:t>96</w:t>
      </w:r>
      <w:r w:rsidR="006111D3">
        <w:rPr>
          <w:rFonts w:asciiTheme="majorBidi" w:hAnsiTheme="majorBidi" w:cstheme="majorBidi"/>
          <w:sz w:val="20"/>
          <w:szCs w:val="20"/>
        </w:rPr>
        <w:t>.</w:t>
      </w:r>
    </w:p>
    <w:p w14:paraId="135383A6" w14:textId="77777777"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 xml:space="preserve">Hodder, I. (1990) </w:t>
      </w:r>
      <w:r w:rsidRPr="00B416D9">
        <w:rPr>
          <w:rFonts w:asciiTheme="majorBidi" w:hAnsiTheme="majorBidi" w:cstheme="majorBidi"/>
          <w:i/>
          <w:iCs/>
          <w:sz w:val="20"/>
          <w:szCs w:val="20"/>
        </w:rPr>
        <w:t>The domestication of Europe: Structure and contingency in Neolithic societies.</w:t>
      </w:r>
      <w:r w:rsidRPr="00B416D9">
        <w:rPr>
          <w:rFonts w:asciiTheme="majorBidi" w:hAnsiTheme="majorBidi" w:cstheme="majorBidi"/>
          <w:sz w:val="20"/>
          <w:szCs w:val="20"/>
        </w:rPr>
        <w:t xml:space="preserve"> Oxford: Basil Blackwell. </w:t>
      </w:r>
    </w:p>
    <w:p w14:paraId="05EE459C" w14:textId="037B3E8C"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 xml:space="preserve">Hodder, I. (2006) </w:t>
      </w:r>
      <w:r w:rsidRPr="00C568CF">
        <w:rPr>
          <w:rFonts w:asciiTheme="majorBidi" w:hAnsiTheme="majorBidi" w:cstheme="majorBidi"/>
          <w:i/>
          <w:iCs/>
          <w:sz w:val="20"/>
          <w:szCs w:val="20"/>
        </w:rPr>
        <w:t>The Leopard’s tale: Revealing the mysteries of Çatalhöyük</w:t>
      </w:r>
      <w:r w:rsidR="00C568CF" w:rsidRPr="00C568CF">
        <w:rPr>
          <w:rFonts w:asciiTheme="majorBidi" w:hAnsiTheme="majorBidi" w:cstheme="majorBidi"/>
          <w:i/>
          <w:iCs/>
          <w:sz w:val="20"/>
          <w:szCs w:val="20"/>
        </w:rPr>
        <w:t>.</w:t>
      </w:r>
      <w:r w:rsidRPr="00B416D9">
        <w:rPr>
          <w:rFonts w:asciiTheme="majorBidi" w:hAnsiTheme="majorBidi" w:cstheme="majorBidi"/>
          <w:sz w:val="20"/>
          <w:szCs w:val="20"/>
        </w:rPr>
        <w:t xml:space="preserve"> </w:t>
      </w:r>
      <w:r w:rsidRPr="00C568CF">
        <w:rPr>
          <w:rFonts w:asciiTheme="majorBidi" w:hAnsiTheme="majorBidi" w:cstheme="majorBidi"/>
          <w:sz w:val="20"/>
          <w:szCs w:val="20"/>
        </w:rPr>
        <w:t>Thames &amp; Hudson</w:t>
      </w:r>
      <w:r w:rsidRPr="00B416D9">
        <w:rPr>
          <w:rFonts w:asciiTheme="majorBidi" w:hAnsiTheme="majorBidi" w:cstheme="majorBidi"/>
          <w:sz w:val="20"/>
          <w:szCs w:val="20"/>
        </w:rPr>
        <w:t>.</w:t>
      </w:r>
      <w:bookmarkStart w:id="0" w:name="_Hlk166160166"/>
    </w:p>
    <w:p w14:paraId="20F11E08" w14:textId="2DB8D16F" w:rsidR="000235A3" w:rsidRPr="00B416D9" w:rsidRDefault="000235A3" w:rsidP="000235A3">
      <w:pPr>
        <w:ind w:left="720" w:hanging="720"/>
        <w:rPr>
          <w:rFonts w:asciiTheme="majorBidi" w:hAnsiTheme="majorBidi" w:cstheme="majorBidi"/>
          <w:i/>
          <w:iCs/>
          <w:sz w:val="20"/>
          <w:szCs w:val="20"/>
        </w:rPr>
      </w:pPr>
      <w:r w:rsidRPr="00B416D9">
        <w:rPr>
          <w:rFonts w:asciiTheme="majorBidi" w:hAnsiTheme="majorBidi" w:cstheme="majorBidi"/>
          <w:sz w:val="20"/>
          <w:szCs w:val="20"/>
        </w:rPr>
        <w:t xml:space="preserve">Hodder, I. </w:t>
      </w:r>
      <w:r w:rsidR="002715DA">
        <w:rPr>
          <w:rFonts w:asciiTheme="majorBidi" w:hAnsiTheme="majorBidi" w:cstheme="majorBidi"/>
          <w:sz w:val="20"/>
          <w:szCs w:val="20"/>
        </w:rPr>
        <w:t>(</w:t>
      </w:r>
      <w:r w:rsidRPr="00B416D9">
        <w:rPr>
          <w:rFonts w:asciiTheme="majorBidi" w:hAnsiTheme="majorBidi" w:cstheme="majorBidi"/>
          <w:sz w:val="20"/>
          <w:szCs w:val="20"/>
        </w:rPr>
        <w:t>2007</w:t>
      </w:r>
      <w:r w:rsidR="002715DA">
        <w:rPr>
          <w:rFonts w:asciiTheme="majorBidi" w:hAnsiTheme="majorBidi" w:cstheme="majorBidi"/>
          <w:sz w:val="20"/>
          <w:szCs w:val="20"/>
        </w:rPr>
        <w:t>)</w:t>
      </w:r>
      <w:r w:rsidRPr="00B416D9">
        <w:rPr>
          <w:rFonts w:asciiTheme="majorBidi" w:hAnsiTheme="majorBidi" w:cstheme="majorBidi"/>
          <w:sz w:val="20"/>
          <w:szCs w:val="20"/>
        </w:rPr>
        <w:t xml:space="preserve"> </w:t>
      </w:r>
      <w:r w:rsidR="002715DA">
        <w:rPr>
          <w:rFonts w:asciiTheme="majorBidi" w:hAnsiTheme="majorBidi" w:cstheme="majorBidi"/>
          <w:sz w:val="20"/>
          <w:szCs w:val="20"/>
        </w:rPr>
        <w:t>‘</w:t>
      </w:r>
      <w:r w:rsidRPr="00B416D9">
        <w:rPr>
          <w:rFonts w:asciiTheme="majorBidi" w:hAnsiTheme="majorBidi" w:cstheme="majorBidi"/>
          <w:sz w:val="20"/>
          <w:szCs w:val="20"/>
        </w:rPr>
        <w:t>Çatalhöyük in the context of the Middle East Neolithic</w:t>
      </w:r>
      <w:r w:rsidR="002715DA">
        <w:rPr>
          <w:rFonts w:asciiTheme="majorBidi" w:hAnsiTheme="majorBidi" w:cstheme="majorBidi"/>
          <w:sz w:val="20"/>
          <w:szCs w:val="20"/>
        </w:rPr>
        <w:t>’,</w:t>
      </w:r>
      <w:r w:rsidRPr="00B416D9">
        <w:rPr>
          <w:rFonts w:asciiTheme="majorBidi" w:hAnsiTheme="majorBidi" w:cstheme="majorBidi"/>
          <w:sz w:val="20"/>
          <w:szCs w:val="20"/>
        </w:rPr>
        <w:t xml:space="preserve"> </w:t>
      </w:r>
      <w:r w:rsidRPr="00B416D9">
        <w:rPr>
          <w:rFonts w:asciiTheme="majorBidi" w:hAnsiTheme="majorBidi" w:cstheme="majorBidi"/>
          <w:i/>
          <w:iCs/>
          <w:sz w:val="20"/>
          <w:szCs w:val="20"/>
        </w:rPr>
        <w:t>Annual Review of</w:t>
      </w:r>
      <w:r>
        <w:rPr>
          <w:rFonts w:asciiTheme="majorBidi" w:hAnsiTheme="majorBidi" w:cstheme="majorBidi"/>
          <w:i/>
          <w:iCs/>
          <w:sz w:val="20"/>
          <w:szCs w:val="20"/>
        </w:rPr>
        <w:t xml:space="preserve"> </w:t>
      </w:r>
      <w:r w:rsidRPr="00B416D9">
        <w:rPr>
          <w:rFonts w:asciiTheme="majorBidi" w:hAnsiTheme="majorBidi" w:cstheme="majorBidi"/>
          <w:i/>
          <w:iCs/>
          <w:sz w:val="20"/>
          <w:szCs w:val="20"/>
        </w:rPr>
        <w:t>Anthropology</w:t>
      </w:r>
      <w:r w:rsidR="002715DA">
        <w:rPr>
          <w:rFonts w:asciiTheme="majorBidi" w:hAnsiTheme="majorBidi" w:cstheme="majorBidi"/>
          <w:i/>
          <w:iCs/>
          <w:sz w:val="20"/>
          <w:szCs w:val="20"/>
        </w:rPr>
        <w:t>,</w:t>
      </w:r>
      <w:r w:rsidRPr="00B416D9">
        <w:rPr>
          <w:rFonts w:asciiTheme="majorBidi" w:hAnsiTheme="majorBidi" w:cstheme="majorBidi"/>
          <w:i/>
          <w:iCs/>
          <w:sz w:val="20"/>
          <w:szCs w:val="20"/>
        </w:rPr>
        <w:t xml:space="preserve"> </w:t>
      </w:r>
      <w:r w:rsidRPr="00B416D9">
        <w:rPr>
          <w:rFonts w:asciiTheme="majorBidi" w:hAnsiTheme="majorBidi" w:cstheme="majorBidi"/>
          <w:sz w:val="20"/>
          <w:szCs w:val="20"/>
        </w:rPr>
        <w:t xml:space="preserve">36, </w:t>
      </w:r>
      <w:r w:rsidR="002715DA">
        <w:rPr>
          <w:rFonts w:asciiTheme="majorBidi" w:hAnsiTheme="majorBidi" w:cstheme="majorBidi"/>
          <w:sz w:val="20"/>
          <w:szCs w:val="20"/>
        </w:rPr>
        <w:t xml:space="preserve">pp. </w:t>
      </w:r>
      <w:r w:rsidRPr="00B416D9">
        <w:rPr>
          <w:rFonts w:asciiTheme="majorBidi" w:hAnsiTheme="majorBidi" w:cstheme="majorBidi"/>
          <w:sz w:val="20"/>
          <w:szCs w:val="20"/>
        </w:rPr>
        <w:t>105–20.</w:t>
      </w:r>
    </w:p>
    <w:p w14:paraId="5D19E0C3" w14:textId="116AE8EE"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 xml:space="preserve">Hodder, I. and Pels, P. (2010) </w:t>
      </w:r>
      <w:r w:rsidRPr="002715DA">
        <w:rPr>
          <w:rFonts w:asciiTheme="majorBidi" w:hAnsiTheme="majorBidi" w:cstheme="majorBidi"/>
          <w:i/>
          <w:iCs/>
          <w:sz w:val="20"/>
          <w:szCs w:val="20"/>
        </w:rPr>
        <w:t>History houses</w:t>
      </w:r>
      <w:r w:rsidR="002715DA">
        <w:rPr>
          <w:rFonts w:asciiTheme="majorBidi" w:hAnsiTheme="majorBidi" w:cstheme="majorBidi"/>
          <w:sz w:val="20"/>
          <w:szCs w:val="20"/>
        </w:rPr>
        <w:t xml:space="preserve">. </w:t>
      </w:r>
      <w:r w:rsidRPr="00D1642C">
        <w:rPr>
          <w:rFonts w:asciiTheme="majorBidi" w:hAnsiTheme="majorBidi" w:cstheme="majorBidi"/>
          <w:sz w:val="20"/>
          <w:szCs w:val="20"/>
        </w:rPr>
        <w:t>Cambridge University Press eBooks,</w:t>
      </w:r>
      <w:r w:rsidRPr="00B416D9">
        <w:rPr>
          <w:rFonts w:asciiTheme="majorBidi" w:hAnsiTheme="majorBidi" w:cstheme="majorBidi"/>
          <w:sz w:val="20"/>
          <w:szCs w:val="20"/>
        </w:rPr>
        <w:t xml:space="preserve"> pp. 163–186. </w:t>
      </w:r>
    </w:p>
    <w:bookmarkEnd w:id="0"/>
    <w:p w14:paraId="44D07A19" w14:textId="277B29A2"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Joyce, R. A. (1993) ‘Women’s work: Images of production and reproduction in Pre-Hispanic Southern Central America</w:t>
      </w:r>
      <w:r w:rsidR="009568DE">
        <w:rPr>
          <w:rFonts w:asciiTheme="majorBidi" w:hAnsiTheme="majorBidi" w:cstheme="majorBidi"/>
          <w:sz w:val="20"/>
          <w:szCs w:val="20"/>
        </w:rPr>
        <w:t>’,</w:t>
      </w:r>
      <w:r w:rsidRPr="00B416D9">
        <w:rPr>
          <w:rFonts w:asciiTheme="majorBidi" w:hAnsiTheme="majorBidi" w:cstheme="majorBidi"/>
          <w:sz w:val="20"/>
          <w:szCs w:val="20"/>
        </w:rPr>
        <w:t xml:space="preserve"> </w:t>
      </w:r>
      <w:r w:rsidRPr="00B416D9">
        <w:rPr>
          <w:rFonts w:asciiTheme="majorBidi" w:hAnsiTheme="majorBidi" w:cstheme="majorBidi"/>
          <w:i/>
          <w:iCs/>
          <w:sz w:val="20"/>
          <w:szCs w:val="20"/>
        </w:rPr>
        <w:t>Current Anthropology,</w:t>
      </w:r>
      <w:r w:rsidRPr="00B416D9">
        <w:rPr>
          <w:rFonts w:asciiTheme="majorBidi" w:hAnsiTheme="majorBidi" w:cstheme="majorBidi"/>
          <w:sz w:val="20"/>
          <w:szCs w:val="20"/>
        </w:rPr>
        <w:t xml:space="preserve"> 34, pp. 255</w:t>
      </w:r>
      <w:r w:rsidRPr="00B416D9">
        <w:rPr>
          <w:rFonts w:asciiTheme="majorBidi" w:hAnsiTheme="majorBidi" w:cstheme="majorBidi"/>
          <w:sz w:val="20"/>
          <w:szCs w:val="20"/>
          <w:lang w:val="en-IN"/>
        </w:rPr>
        <w:t>–</w:t>
      </w:r>
      <w:r w:rsidRPr="00B416D9">
        <w:rPr>
          <w:rFonts w:asciiTheme="majorBidi" w:hAnsiTheme="majorBidi" w:cstheme="majorBidi"/>
          <w:sz w:val="20"/>
          <w:szCs w:val="20"/>
        </w:rPr>
        <w:t>74.</w:t>
      </w:r>
    </w:p>
    <w:p w14:paraId="0CE8E215" w14:textId="54C27E8C"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Joyce, R. A. (2005)</w:t>
      </w:r>
      <w:r w:rsidR="009568DE">
        <w:rPr>
          <w:rFonts w:asciiTheme="majorBidi" w:hAnsiTheme="majorBidi" w:cstheme="majorBidi"/>
          <w:sz w:val="20"/>
          <w:szCs w:val="20"/>
        </w:rPr>
        <w:t xml:space="preserve"> ‘</w:t>
      </w:r>
      <w:r w:rsidRPr="00B416D9">
        <w:rPr>
          <w:rFonts w:asciiTheme="majorBidi" w:hAnsiTheme="majorBidi" w:cstheme="majorBidi"/>
          <w:sz w:val="20"/>
          <w:szCs w:val="20"/>
        </w:rPr>
        <w:t>Archaeology of the body</w:t>
      </w:r>
      <w:r w:rsidR="009568DE">
        <w:rPr>
          <w:rFonts w:asciiTheme="majorBidi" w:hAnsiTheme="majorBidi" w:cstheme="majorBidi"/>
          <w:sz w:val="20"/>
          <w:szCs w:val="20"/>
        </w:rPr>
        <w:t>’,</w:t>
      </w:r>
      <w:r w:rsidRPr="00B416D9">
        <w:rPr>
          <w:rFonts w:asciiTheme="majorBidi" w:hAnsiTheme="majorBidi" w:cstheme="majorBidi"/>
          <w:sz w:val="20"/>
          <w:szCs w:val="20"/>
        </w:rPr>
        <w:t xml:space="preserve"> </w:t>
      </w:r>
      <w:r w:rsidRPr="009568DE">
        <w:rPr>
          <w:rFonts w:asciiTheme="majorBidi" w:hAnsiTheme="majorBidi" w:cstheme="majorBidi"/>
          <w:i/>
          <w:iCs/>
          <w:sz w:val="20"/>
          <w:szCs w:val="20"/>
        </w:rPr>
        <w:t>Annual Review of Anthropology</w:t>
      </w:r>
      <w:r w:rsidRPr="00B416D9">
        <w:rPr>
          <w:rFonts w:asciiTheme="majorBidi" w:hAnsiTheme="majorBidi" w:cstheme="majorBidi"/>
          <w:sz w:val="20"/>
          <w:szCs w:val="20"/>
        </w:rPr>
        <w:t xml:space="preserve">, 34, </w:t>
      </w:r>
      <w:r w:rsidR="009568DE">
        <w:rPr>
          <w:rFonts w:asciiTheme="majorBidi" w:hAnsiTheme="majorBidi" w:cstheme="majorBidi"/>
          <w:sz w:val="20"/>
          <w:szCs w:val="20"/>
        </w:rPr>
        <w:t xml:space="preserve">pp. </w:t>
      </w:r>
      <w:r w:rsidRPr="00B416D9">
        <w:rPr>
          <w:rFonts w:asciiTheme="majorBidi" w:hAnsiTheme="majorBidi" w:cstheme="majorBidi"/>
          <w:sz w:val="20"/>
          <w:szCs w:val="20"/>
        </w:rPr>
        <w:t>139–158.</w:t>
      </w:r>
    </w:p>
    <w:p w14:paraId="5D3600AA" w14:textId="77777777"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 xml:space="preserve">Knapp, A. B. and Meskell, L. (1997) ‘Bodies of evidence on Prehistoric Cyprus’, </w:t>
      </w:r>
      <w:r w:rsidRPr="00B416D9">
        <w:rPr>
          <w:rFonts w:asciiTheme="majorBidi" w:hAnsiTheme="majorBidi" w:cstheme="majorBidi"/>
          <w:i/>
          <w:iCs/>
          <w:sz w:val="20"/>
          <w:szCs w:val="20"/>
        </w:rPr>
        <w:t xml:space="preserve">Cambridge Archaeological Journal, </w:t>
      </w:r>
      <w:r w:rsidRPr="00B416D9">
        <w:rPr>
          <w:rFonts w:asciiTheme="majorBidi" w:hAnsiTheme="majorBidi" w:cstheme="majorBidi"/>
          <w:sz w:val="20"/>
          <w:szCs w:val="20"/>
        </w:rPr>
        <w:t>7(2), pp. 183</w:t>
      </w:r>
      <w:r w:rsidRPr="00B416D9">
        <w:rPr>
          <w:rFonts w:asciiTheme="majorBidi" w:hAnsiTheme="majorBidi" w:cstheme="majorBidi"/>
          <w:sz w:val="20"/>
          <w:szCs w:val="20"/>
          <w:lang w:val="en-IN"/>
        </w:rPr>
        <w:t>–</w:t>
      </w:r>
      <w:r w:rsidRPr="00B416D9">
        <w:rPr>
          <w:rFonts w:asciiTheme="majorBidi" w:hAnsiTheme="majorBidi" w:cstheme="majorBidi"/>
          <w:sz w:val="20"/>
          <w:szCs w:val="20"/>
        </w:rPr>
        <w:t>204.</w:t>
      </w:r>
    </w:p>
    <w:p w14:paraId="7BC46D12" w14:textId="32CE93AD"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 xml:space="preserve">Kujit, I. and Chesson, M. (2004) ‘Lumps of clay and pieces of stone: Ambiguity, bodies, and identity as portrayed in Neolithic figurines’, </w:t>
      </w:r>
      <w:r w:rsidRPr="00B416D9">
        <w:rPr>
          <w:rFonts w:asciiTheme="majorBidi" w:hAnsiTheme="majorBidi" w:cstheme="majorBidi"/>
          <w:i/>
          <w:iCs/>
          <w:sz w:val="20"/>
          <w:szCs w:val="20"/>
        </w:rPr>
        <w:t>Archaeologies of the Middle East: Critical Perspectives</w:t>
      </w:r>
      <w:r w:rsidRPr="00B416D9">
        <w:rPr>
          <w:rFonts w:asciiTheme="majorBidi" w:hAnsiTheme="majorBidi" w:cstheme="majorBidi"/>
          <w:sz w:val="20"/>
          <w:szCs w:val="20"/>
        </w:rPr>
        <w:t>, pp. 152</w:t>
      </w:r>
      <w:r w:rsidRPr="00B416D9">
        <w:rPr>
          <w:rFonts w:asciiTheme="majorBidi" w:hAnsiTheme="majorBidi" w:cstheme="majorBidi"/>
          <w:sz w:val="20"/>
          <w:szCs w:val="20"/>
          <w:lang w:val="en-IN"/>
        </w:rPr>
        <w:t>–</w:t>
      </w:r>
      <w:r w:rsidRPr="00B416D9">
        <w:rPr>
          <w:rFonts w:asciiTheme="majorBidi" w:hAnsiTheme="majorBidi" w:cstheme="majorBidi"/>
          <w:sz w:val="20"/>
          <w:szCs w:val="20"/>
        </w:rPr>
        <w:t>183.</w:t>
      </w:r>
    </w:p>
    <w:p w14:paraId="39993A49" w14:textId="3BAA6A63" w:rsidR="000235A3" w:rsidRPr="00B416D9" w:rsidRDefault="000235A3" w:rsidP="005B67D6">
      <w:pPr>
        <w:ind w:left="720" w:hanging="720"/>
        <w:rPr>
          <w:rFonts w:asciiTheme="majorBidi" w:hAnsiTheme="majorBidi" w:cstheme="majorBidi"/>
          <w:sz w:val="20"/>
          <w:szCs w:val="20"/>
        </w:rPr>
      </w:pPr>
      <w:r w:rsidRPr="00B416D9">
        <w:rPr>
          <w:rFonts w:asciiTheme="majorBidi" w:hAnsiTheme="majorBidi" w:cstheme="majorBidi"/>
          <w:sz w:val="20"/>
          <w:szCs w:val="20"/>
        </w:rPr>
        <w:t>Larsen, C.</w:t>
      </w:r>
      <w:r w:rsidR="009568DE">
        <w:rPr>
          <w:rFonts w:asciiTheme="majorBidi" w:hAnsiTheme="majorBidi" w:cstheme="majorBidi"/>
          <w:sz w:val="20"/>
          <w:szCs w:val="20"/>
        </w:rPr>
        <w:t xml:space="preserve"> </w:t>
      </w:r>
      <w:r w:rsidRPr="00B416D9">
        <w:rPr>
          <w:rFonts w:asciiTheme="majorBidi" w:hAnsiTheme="majorBidi" w:cstheme="majorBidi"/>
          <w:sz w:val="20"/>
          <w:szCs w:val="20"/>
        </w:rPr>
        <w:t>S., Hillson, S.</w:t>
      </w:r>
      <w:r w:rsidR="009568DE">
        <w:rPr>
          <w:rFonts w:asciiTheme="majorBidi" w:hAnsiTheme="majorBidi" w:cstheme="majorBidi"/>
          <w:sz w:val="20"/>
          <w:szCs w:val="20"/>
        </w:rPr>
        <w:t xml:space="preserve"> </w:t>
      </w:r>
      <w:r w:rsidRPr="00B416D9">
        <w:rPr>
          <w:rFonts w:asciiTheme="majorBidi" w:hAnsiTheme="majorBidi" w:cstheme="majorBidi"/>
          <w:sz w:val="20"/>
          <w:szCs w:val="20"/>
        </w:rPr>
        <w:t>W., Ruff, C.</w:t>
      </w:r>
      <w:r w:rsidR="009568DE">
        <w:rPr>
          <w:rFonts w:asciiTheme="majorBidi" w:hAnsiTheme="majorBidi" w:cstheme="majorBidi"/>
          <w:sz w:val="20"/>
          <w:szCs w:val="20"/>
        </w:rPr>
        <w:t xml:space="preserve"> </w:t>
      </w:r>
      <w:r w:rsidRPr="00B416D9">
        <w:rPr>
          <w:rFonts w:asciiTheme="majorBidi" w:hAnsiTheme="majorBidi" w:cstheme="majorBidi"/>
          <w:sz w:val="20"/>
          <w:szCs w:val="20"/>
        </w:rPr>
        <w:t>B., Sadvari, J.</w:t>
      </w:r>
      <w:r w:rsidR="00B3689E">
        <w:rPr>
          <w:rFonts w:asciiTheme="majorBidi" w:hAnsiTheme="majorBidi" w:cstheme="majorBidi"/>
          <w:sz w:val="20"/>
          <w:szCs w:val="20"/>
        </w:rPr>
        <w:t xml:space="preserve"> </w:t>
      </w:r>
      <w:r w:rsidRPr="00B416D9">
        <w:rPr>
          <w:rFonts w:asciiTheme="majorBidi" w:hAnsiTheme="majorBidi" w:cstheme="majorBidi"/>
          <w:sz w:val="20"/>
          <w:szCs w:val="20"/>
        </w:rPr>
        <w:t>W.</w:t>
      </w:r>
      <w:r w:rsidR="00B3689E">
        <w:rPr>
          <w:rFonts w:asciiTheme="majorBidi" w:hAnsiTheme="majorBidi" w:cstheme="majorBidi"/>
          <w:sz w:val="20"/>
          <w:szCs w:val="20"/>
        </w:rPr>
        <w:t>,</w:t>
      </w:r>
      <w:r w:rsidRPr="00B416D9">
        <w:rPr>
          <w:rFonts w:asciiTheme="majorBidi" w:hAnsiTheme="majorBidi" w:cstheme="majorBidi"/>
          <w:sz w:val="20"/>
          <w:szCs w:val="20"/>
        </w:rPr>
        <w:t xml:space="preserve"> and Garofalo, E.</w:t>
      </w:r>
      <w:r w:rsidR="00B3689E">
        <w:rPr>
          <w:rFonts w:asciiTheme="majorBidi" w:hAnsiTheme="majorBidi" w:cstheme="majorBidi"/>
          <w:sz w:val="20"/>
          <w:szCs w:val="20"/>
        </w:rPr>
        <w:t xml:space="preserve"> </w:t>
      </w:r>
      <w:r w:rsidRPr="00B416D9">
        <w:rPr>
          <w:rFonts w:asciiTheme="majorBidi" w:hAnsiTheme="majorBidi" w:cstheme="majorBidi"/>
          <w:sz w:val="20"/>
          <w:szCs w:val="20"/>
        </w:rPr>
        <w:t xml:space="preserve">M. </w:t>
      </w:r>
      <w:r w:rsidR="00B3689E">
        <w:rPr>
          <w:rFonts w:asciiTheme="majorBidi" w:hAnsiTheme="majorBidi" w:cstheme="majorBidi"/>
          <w:sz w:val="20"/>
          <w:szCs w:val="20"/>
        </w:rPr>
        <w:t>(</w:t>
      </w:r>
      <w:r w:rsidRPr="00B416D9">
        <w:rPr>
          <w:rFonts w:asciiTheme="majorBidi" w:hAnsiTheme="majorBidi" w:cstheme="majorBidi"/>
          <w:sz w:val="20"/>
          <w:szCs w:val="20"/>
        </w:rPr>
        <w:t>2013</w:t>
      </w:r>
      <w:r w:rsidR="00B3689E">
        <w:rPr>
          <w:rFonts w:asciiTheme="majorBidi" w:hAnsiTheme="majorBidi" w:cstheme="majorBidi"/>
          <w:sz w:val="20"/>
          <w:szCs w:val="20"/>
        </w:rPr>
        <w:t>)</w:t>
      </w:r>
      <w:r w:rsidRPr="00B416D9">
        <w:rPr>
          <w:rFonts w:asciiTheme="majorBidi" w:hAnsiTheme="majorBidi" w:cstheme="majorBidi"/>
          <w:sz w:val="20"/>
          <w:szCs w:val="20"/>
        </w:rPr>
        <w:t xml:space="preserve"> </w:t>
      </w:r>
      <w:r w:rsidR="00B3689E">
        <w:rPr>
          <w:rFonts w:asciiTheme="majorBidi" w:hAnsiTheme="majorBidi" w:cstheme="majorBidi"/>
          <w:sz w:val="20"/>
          <w:szCs w:val="20"/>
        </w:rPr>
        <w:t>‘</w:t>
      </w:r>
      <w:r w:rsidRPr="00B416D9">
        <w:rPr>
          <w:rFonts w:asciiTheme="majorBidi" w:hAnsiTheme="majorBidi" w:cstheme="majorBidi"/>
          <w:sz w:val="20"/>
          <w:szCs w:val="20"/>
        </w:rPr>
        <w:t>The human</w:t>
      </w:r>
      <w:r>
        <w:rPr>
          <w:rFonts w:asciiTheme="majorBidi" w:hAnsiTheme="majorBidi" w:cstheme="majorBidi"/>
          <w:sz w:val="20"/>
          <w:szCs w:val="20"/>
        </w:rPr>
        <w:t xml:space="preserve"> </w:t>
      </w:r>
      <w:r w:rsidRPr="00B416D9">
        <w:rPr>
          <w:rFonts w:asciiTheme="majorBidi" w:hAnsiTheme="majorBidi" w:cstheme="majorBidi"/>
          <w:sz w:val="20"/>
          <w:szCs w:val="20"/>
        </w:rPr>
        <w:t xml:space="preserve">remains II: interpreting lifestyle and activity in Neolithic </w:t>
      </w:r>
      <w:r w:rsidR="00B3689E" w:rsidRPr="00B416D9">
        <w:rPr>
          <w:rFonts w:asciiTheme="majorBidi" w:hAnsiTheme="majorBidi" w:cstheme="majorBidi"/>
          <w:sz w:val="20"/>
          <w:szCs w:val="20"/>
        </w:rPr>
        <w:t>C̜atalhöyük</w:t>
      </w:r>
      <w:r w:rsidR="00B3689E">
        <w:rPr>
          <w:rFonts w:asciiTheme="majorBidi" w:hAnsiTheme="majorBidi" w:cstheme="majorBidi"/>
          <w:sz w:val="20"/>
          <w:szCs w:val="20"/>
        </w:rPr>
        <w:t>’,</w:t>
      </w:r>
      <w:r w:rsidRPr="00B416D9">
        <w:rPr>
          <w:rFonts w:asciiTheme="majorBidi" w:hAnsiTheme="majorBidi" w:cstheme="majorBidi"/>
          <w:sz w:val="20"/>
          <w:szCs w:val="20"/>
        </w:rPr>
        <w:t xml:space="preserve"> Hodder </w:t>
      </w:r>
      <w:r w:rsidR="00B3689E">
        <w:rPr>
          <w:rFonts w:asciiTheme="majorBidi" w:hAnsiTheme="majorBidi" w:cstheme="majorBidi"/>
          <w:sz w:val="20"/>
          <w:szCs w:val="20"/>
        </w:rPr>
        <w:t xml:space="preserve">I. </w:t>
      </w:r>
      <w:r w:rsidRPr="00B416D9">
        <w:rPr>
          <w:rFonts w:asciiTheme="majorBidi" w:hAnsiTheme="majorBidi" w:cstheme="majorBidi"/>
          <w:sz w:val="20"/>
          <w:szCs w:val="20"/>
        </w:rPr>
        <w:t>(ed.)</w:t>
      </w:r>
      <w:r>
        <w:rPr>
          <w:rFonts w:asciiTheme="majorBidi" w:hAnsiTheme="majorBidi" w:cstheme="majorBidi"/>
          <w:sz w:val="20"/>
          <w:szCs w:val="20"/>
        </w:rPr>
        <w:t xml:space="preserve"> </w:t>
      </w:r>
      <w:r w:rsidRPr="00B416D9">
        <w:rPr>
          <w:rFonts w:asciiTheme="majorBidi" w:hAnsiTheme="majorBidi" w:cstheme="majorBidi"/>
          <w:i/>
          <w:iCs/>
          <w:sz w:val="20"/>
          <w:szCs w:val="20"/>
        </w:rPr>
        <w:t xml:space="preserve">Humans and landscapes of </w:t>
      </w:r>
      <w:r w:rsidR="00B3689E" w:rsidRPr="00B416D9">
        <w:rPr>
          <w:rFonts w:asciiTheme="majorBidi" w:hAnsiTheme="majorBidi" w:cstheme="majorBidi"/>
          <w:i/>
          <w:iCs/>
          <w:sz w:val="20"/>
          <w:szCs w:val="20"/>
        </w:rPr>
        <w:t>C̜atalhöyük</w:t>
      </w:r>
      <w:r w:rsidRPr="00B416D9">
        <w:rPr>
          <w:rFonts w:asciiTheme="majorBidi" w:hAnsiTheme="majorBidi" w:cstheme="majorBidi"/>
          <w:i/>
          <w:iCs/>
          <w:sz w:val="20"/>
          <w:szCs w:val="20"/>
        </w:rPr>
        <w:t xml:space="preserve">: </w:t>
      </w:r>
      <w:r w:rsidR="005B67D6">
        <w:rPr>
          <w:rFonts w:asciiTheme="majorBidi" w:hAnsiTheme="majorBidi" w:cstheme="majorBidi"/>
          <w:i/>
          <w:iCs/>
          <w:sz w:val="20"/>
          <w:szCs w:val="20"/>
        </w:rPr>
        <w:t>R</w:t>
      </w:r>
      <w:r w:rsidRPr="00B416D9">
        <w:rPr>
          <w:rFonts w:asciiTheme="majorBidi" w:hAnsiTheme="majorBidi" w:cstheme="majorBidi"/>
          <w:i/>
          <w:iCs/>
          <w:sz w:val="20"/>
          <w:szCs w:val="20"/>
        </w:rPr>
        <w:t>eports from the 2000–2008 seasons</w:t>
      </w:r>
      <w:r w:rsidR="005B67D6">
        <w:rPr>
          <w:rFonts w:asciiTheme="majorBidi" w:hAnsiTheme="majorBidi" w:cstheme="majorBidi"/>
          <w:sz w:val="20"/>
          <w:szCs w:val="20"/>
        </w:rPr>
        <w:t>.</w:t>
      </w:r>
      <w:r w:rsidRPr="00B416D9">
        <w:rPr>
          <w:rFonts w:asciiTheme="majorBidi" w:hAnsiTheme="majorBidi" w:cstheme="majorBidi"/>
          <w:sz w:val="20"/>
          <w:szCs w:val="20"/>
        </w:rPr>
        <w:t xml:space="preserve"> Los Angeles: Cotsen Institute. </w:t>
      </w:r>
      <w:r w:rsidR="005B67D6">
        <w:rPr>
          <w:rFonts w:asciiTheme="majorBidi" w:hAnsiTheme="majorBidi" w:cstheme="majorBidi"/>
          <w:sz w:val="20"/>
          <w:szCs w:val="20"/>
        </w:rPr>
        <w:t xml:space="preserve">pp. </w:t>
      </w:r>
      <w:r w:rsidR="005B67D6" w:rsidRPr="005B67D6">
        <w:rPr>
          <w:rFonts w:asciiTheme="majorBidi" w:hAnsiTheme="majorBidi" w:cstheme="majorBidi"/>
          <w:sz w:val="20"/>
          <w:szCs w:val="20"/>
        </w:rPr>
        <w:t>397–412.</w:t>
      </w:r>
    </w:p>
    <w:p w14:paraId="465DC7FA" w14:textId="6281CA76"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lastRenderedPageBreak/>
        <w:t xml:space="preserve">Mellaart, J. (1962) ‘Excavations at Çatal Hüyük: First </w:t>
      </w:r>
      <w:r w:rsidR="00D1642C">
        <w:rPr>
          <w:rFonts w:asciiTheme="majorBidi" w:hAnsiTheme="majorBidi" w:cstheme="majorBidi"/>
          <w:sz w:val="20"/>
          <w:szCs w:val="20"/>
        </w:rPr>
        <w:t>p</w:t>
      </w:r>
      <w:r w:rsidRPr="00B416D9">
        <w:rPr>
          <w:rFonts w:asciiTheme="majorBidi" w:hAnsiTheme="majorBidi" w:cstheme="majorBidi"/>
          <w:sz w:val="20"/>
          <w:szCs w:val="20"/>
        </w:rPr>
        <w:t xml:space="preserve">reliminary </w:t>
      </w:r>
      <w:r w:rsidR="00D1642C">
        <w:rPr>
          <w:rFonts w:asciiTheme="majorBidi" w:hAnsiTheme="majorBidi" w:cstheme="majorBidi"/>
          <w:sz w:val="20"/>
          <w:szCs w:val="20"/>
        </w:rPr>
        <w:t>r</w:t>
      </w:r>
      <w:r w:rsidRPr="00B416D9">
        <w:rPr>
          <w:rFonts w:asciiTheme="majorBidi" w:hAnsiTheme="majorBidi" w:cstheme="majorBidi"/>
          <w:sz w:val="20"/>
          <w:szCs w:val="20"/>
        </w:rPr>
        <w:t>eport, 1961’, </w:t>
      </w:r>
      <w:r w:rsidRPr="00B416D9">
        <w:rPr>
          <w:rFonts w:asciiTheme="majorBidi" w:hAnsiTheme="majorBidi" w:cstheme="majorBidi"/>
          <w:i/>
          <w:iCs/>
          <w:sz w:val="20"/>
          <w:szCs w:val="20"/>
        </w:rPr>
        <w:t>Anatolian Studies</w:t>
      </w:r>
      <w:r w:rsidRPr="00B416D9">
        <w:rPr>
          <w:rFonts w:asciiTheme="majorBidi" w:hAnsiTheme="majorBidi" w:cstheme="majorBidi"/>
          <w:sz w:val="20"/>
          <w:szCs w:val="20"/>
        </w:rPr>
        <w:t>, 12, pp. 41–65.</w:t>
      </w:r>
    </w:p>
    <w:p w14:paraId="16CDAA46" w14:textId="50E475FE"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 xml:space="preserve">Mellaart, J. (1964) ‘Excavations at Çatal Hüyük, 1963: Third </w:t>
      </w:r>
      <w:r w:rsidR="00D1642C">
        <w:rPr>
          <w:rFonts w:asciiTheme="majorBidi" w:hAnsiTheme="majorBidi" w:cstheme="majorBidi"/>
          <w:sz w:val="20"/>
          <w:szCs w:val="20"/>
        </w:rPr>
        <w:t>p</w:t>
      </w:r>
      <w:r w:rsidRPr="00B416D9">
        <w:rPr>
          <w:rFonts w:asciiTheme="majorBidi" w:hAnsiTheme="majorBidi" w:cstheme="majorBidi"/>
          <w:sz w:val="20"/>
          <w:szCs w:val="20"/>
        </w:rPr>
        <w:t xml:space="preserve">reliminary </w:t>
      </w:r>
      <w:r w:rsidR="00D1642C">
        <w:rPr>
          <w:rFonts w:asciiTheme="majorBidi" w:hAnsiTheme="majorBidi" w:cstheme="majorBidi"/>
          <w:sz w:val="20"/>
          <w:szCs w:val="20"/>
        </w:rPr>
        <w:t>r</w:t>
      </w:r>
      <w:r w:rsidRPr="00B416D9">
        <w:rPr>
          <w:rFonts w:asciiTheme="majorBidi" w:hAnsiTheme="majorBidi" w:cstheme="majorBidi"/>
          <w:sz w:val="20"/>
          <w:szCs w:val="20"/>
        </w:rPr>
        <w:t>eport’, </w:t>
      </w:r>
      <w:r w:rsidRPr="00B416D9">
        <w:rPr>
          <w:rFonts w:asciiTheme="majorBidi" w:hAnsiTheme="majorBidi" w:cstheme="majorBidi"/>
          <w:i/>
          <w:iCs/>
          <w:sz w:val="20"/>
          <w:szCs w:val="20"/>
        </w:rPr>
        <w:t>Anatolian Studies</w:t>
      </w:r>
      <w:r w:rsidRPr="00B416D9">
        <w:rPr>
          <w:rFonts w:asciiTheme="majorBidi" w:hAnsiTheme="majorBidi" w:cstheme="majorBidi"/>
          <w:sz w:val="20"/>
          <w:szCs w:val="20"/>
        </w:rPr>
        <w:t>, 14, pp. 39–119.</w:t>
      </w:r>
    </w:p>
    <w:p w14:paraId="6B09FAD8" w14:textId="77777777"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Meskell, L. (1998) ‘Twin peaks: The archaeologies of Çatalhöyük’, in Goodison, L. and Christine Morris, C. (eds.) </w:t>
      </w:r>
      <w:r w:rsidRPr="00B416D9">
        <w:rPr>
          <w:rFonts w:asciiTheme="majorBidi" w:hAnsiTheme="majorBidi" w:cstheme="majorBidi"/>
          <w:i/>
          <w:iCs/>
          <w:sz w:val="20"/>
          <w:szCs w:val="20"/>
        </w:rPr>
        <w:t>Ancient goddesses: The myths and the evidence</w:t>
      </w:r>
      <w:r w:rsidRPr="00B416D9">
        <w:rPr>
          <w:rFonts w:asciiTheme="majorBidi" w:hAnsiTheme="majorBidi" w:cstheme="majorBidi"/>
          <w:sz w:val="20"/>
          <w:szCs w:val="20"/>
        </w:rPr>
        <w:t>. London: British Museum Press, pp. 46–62.</w:t>
      </w:r>
    </w:p>
    <w:p w14:paraId="78E9323E" w14:textId="1D1EBA04"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 xml:space="preserve">Meskell, L. (1995) ‘Goddesses, Gimbutas, and </w:t>
      </w:r>
      <w:r w:rsidR="00DF24D7">
        <w:rPr>
          <w:rFonts w:asciiTheme="majorBidi" w:hAnsiTheme="majorBidi" w:cstheme="majorBidi"/>
          <w:sz w:val="20"/>
          <w:szCs w:val="20"/>
        </w:rPr>
        <w:t>‘</w:t>
      </w:r>
      <w:r w:rsidRPr="00B416D9">
        <w:rPr>
          <w:rFonts w:asciiTheme="majorBidi" w:hAnsiTheme="majorBidi" w:cstheme="majorBidi"/>
          <w:sz w:val="20"/>
          <w:szCs w:val="20"/>
        </w:rPr>
        <w:t>new age</w:t>
      </w:r>
      <w:r w:rsidR="00DF24D7">
        <w:rPr>
          <w:rFonts w:asciiTheme="majorBidi" w:hAnsiTheme="majorBidi" w:cstheme="majorBidi"/>
          <w:sz w:val="20"/>
          <w:szCs w:val="20"/>
        </w:rPr>
        <w:t>’</w:t>
      </w:r>
      <w:r w:rsidRPr="00B416D9">
        <w:rPr>
          <w:rFonts w:asciiTheme="majorBidi" w:hAnsiTheme="majorBidi" w:cstheme="majorBidi"/>
          <w:sz w:val="20"/>
          <w:szCs w:val="20"/>
        </w:rPr>
        <w:t xml:space="preserve"> archaeology’, </w:t>
      </w:r>
      <w:r w:rsidRPr="00B416D9">
        <w:rPr>
          <w:rFonts w:asciiTheme="majorBidi" w:hAnsiTheme="majorBidi" w:cstheme="majorBidi"/>
          <w:i/>
          <w:iCs/>
          <w:sz w:val="20"/>
          <w:szCs w:val="20"/>
        </w:rPr>
        <w:t>Antiquity</w:t>
      </w:r>
      <w:r w:rsidRPr="00703FF8">
        <w:rPr>
          <w:rFonts w:asciiTheme="majorBidi" w:hAnsiTheme="majorBidi" w:cstheme="majorBidi"/>
          <w:sz w:val="20"/>
          <w:szCs w:val="20"/>
        </w:rPr>
        <w:t>,</w:t>
      </w:r>
      <w:r w:rsidRPr="00B416D9">
        <w:rPr>
          <w:rFonts w:asciiTheme="majorBidi" w:hAnsiTheme="majorBidi" w:cstheme="majorBidi"/>
          <w:i/>
          <w:iCs/>
          <w:sz w:val="20"/>
          <w:szCs w:val="20"/>
        </w:rPr>
        <w:t xml:space="preserve"> </w:t>
      </w:r>
      <w:r w:rsidRPr="00B416D9">
        <w:rPr>
          <w:rFonts w:asciiTheme="majorBidi" w:hAnsiTheme="majorBidi" w:cstheme="majorBidi"/>
          <w:sz w:val="20"/>
          <w:szCs w:val="20"/>
        </w:rPr>
        <w:t>69,</w:t>
      </w:r>
      <w:r w:rsidRPr="00B416D9">
        <w:rPr>
          <w:rFonts w:asciiTheme="majorBidi" w:hAnsiTheme="majorBidi" w:cstheme="majorBidi"/>
          <w:i/>
          <w:iCs/>
          <w:sz w:val="20"/>
          <w:szCs w:val="20"/>
        </w:rPr>
        <w:t xml:space="preserve"> </w:t>
      </w:r>
      <w:r w:rsidRPr="00B416D9">
        <w:rPr>
          <w:rFonts w:asciiTheme="majorBidi" w:hAnsiTheme="majorBidi" w:cstheme="majorBidi"/>
          <w:sz w:val="20"/>
          <w:szCs w:val="20"/>
        </w:rPr>
        <w:t>pp. 79–86.</w:t>
      </w:r>
    </w:p>
    <w:p w14:paraId="25396571" w14:textId="02E92029"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 xml:space="preserve">Meskell, L. (2007) ‘Refiguring the corpus at Çatalhöyük’, in Renfrew, A. C. and Morley, I. (eds.) </w:t>
      </w:r>
      <w:r w:rsidRPr="00B416D9">
        <w:rPr>
          <w:rFonts w:asciiTheme="majorBidi" w:hAnsiTheme="majorBidi" w:cstheme="majorBidi"/>
          <w:i/>
          <w:iCs/>
          <w:sz w:val="20"/>
          <w:szCs w:val="20"/>
        </w:rPr>
        <w:t>Material beginnings: A global prehistory of figurative representation.</w:t>
      </w:r>
      <w:r w:rsidRPr="00B416D9">
        <w:rPr>
          <w:rFonts w:asciiTheme="majorBidi" w:hAnsiTheme="majorBidi" w:cstheme="majorBidi"/>
          <w:sz w:val="20"/>
          <w:szCs w:val="20"/>
        </w:rPr>
        <w:t xml:space="preserve"> Cambridge: McDonald Institute Monographs.</w:t>
      </w:r>
    </w:p>
    <w:p w14:paraId="25F56FB4" w14:textId="7B509A12"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 xml:space="preserve">Meskell, L. (2008) ‘The nature of the beast: Curating animals and ancestors at Çatalhöyük’, </w:t>
      </w:r>
      <w:r w:rsidRPr="00B416D9">
        <w:rPr>
          <w:rFonts w:asciiTheme="majorBidi" w:hAnsiTheme="majorBidi" w:cstheme="majorBidi"/>
          <w:i/>
          <w:iCs/>
          <w:sz w:val="20"/>
          <w:szCs w:val="20"/>
        </w:rPr>
        <w:t>World Archaeology</w:t>
      </w:r>
      <w:r w:rsidRPr="00B416D9">
        <w:rPr>
          <w:rFonts w:asciiTheme="majorBidi" w:hAnsiTheme="majorBidi" w:cstheme="majorBidi"/>
          <w:sz w:val="20"/>
          <w:szCs w:val="20"/>
        </w:rPr>
        <w:t>, 40(3), pp. 373–389.</w:t>
      </w:r>
    </w:p>
    <w:p w14:paraId="2E4253C3" w14:textId="00913E81"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Meskell, L., Nakamura, C., King, R. and Farid, S. (2008) ‘Figured lifeworlds and depositional practices at Çatalhöyük’, </w:t>
      </w:r>
      <w:r w:rsidRPr="00B416D9">
        <w:rPr>
          <w:rFonts w:asciiTheme="majorBidi" w:hAnsiTheme="majorBidi" w:cstheme="majorBidi"/>
          <w:i/>
          <w:iCs/>
          <w:sz w:val="20"/>
          <w:szCs w:val="20"/>
        </w:rPr>
        <w:t>Cambridge Archaeological Journal</w:t>
      </w:r>
      <w:r w:rsidRPr="00B416D9">
        <w:rPr>
          <w:rFonts w:asciiTheme="majorBidi" w:hAnsiTheme="majorBidi" w:cstheme="majorBidi"/>
          <w:sz w:val="20"/>
          <w:szCs w:val="20"/>
        </w:rPr>
        <w:t>, 18, pp. 139–161.</w:t>
      </w:r>
    </w:p>
    <w:p w14:paraId="4194217A" w14:textId="040955DB"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 xml:space="preserve">Molleson, T. I. (1994) </w:t>
      </w:r>
      <w:r w:rsidR="00297E78">
        <w:rPr>
          <w:rFonts w:asciiTheme="majorBidi" w:hAnsiTheme="majorBidi" w:cstheme="majorBidi"/>
          <w:sz w:val="20"/>
          <w:szCs w:val="20"/>
        </w:rPr>
        <w:t>‘</w:t>
      </w:r>
      <w:r w:rsidRPr="00B416D9">
        <w:rPr>
          <w:rFonts w:asciiTheme="majorBidi" w:hAnsiTheme="majorBidi" w:cstheme="majorBidi"/>
          <w:sz w:val="20"/>
          <w:szCs w:val="20"/>
        </w:rPr>
        <w:t>The eloquent bones of Abu Hureyra</w:t>
      </w:r>
      <w:r w:rsidR="00352D94">
        <w:rPr>
          <w:rFonts w:asciiTheme="majorBidi" w:hAnsiTheme="majorBidi" w:cstheme="majorBidi"/>
          <w:sz w:val="20"/>
          <w:szCs w:val="20"/>
        </w:rPr>
        <w:t>’,</w:t>
      </w:r>
      <w:r w:rsidRPr="00B416D9">
        <w:rPr>
          <w:rFonts w:asciiTheme="majorBidi" w:hAnsiTheme="majorBidi" w:cstheme="majorBidi"/>
          <w:sz w:val="20"/>
          <w:szCs w:val="20"/>
        </w:rPr>
        <w:t xml:space="preserve"> </w:t>
      </w:r>
      <w:r w:rsidRPr="00297E78">
        <w:rPr>
          <w:rFonts w:asciiTheme="majorBidi" w:hAnsiTheme="majorBidi" w:cstheme="majorBidi"/>
          <w:i/>
          <w:iCs/>
          <w:sz w:val="20"/>
          <w:szCs w:val="20"/>
        </w:rPr>
        <w:t>Scientific American</w:t>
      </w:r>
      <w:r w:rsidRPr="00B416D9">
        <w:rPr>
          <w:rFonts w:asciiTheme="majorBidi" w:hAnsiTheme="majorBidi" w:cstheme="majorBidi"/>
          <w:sz w:val="20"/>
          <w:szCs w:val="20"/>
        </w:rPr>
        <w:t xml:space="preserve">, 271(2), </w:t>
      </w:r>
      <w:r w:rsidR="00352D94">
        <w:rPr>
          <w:rFonts w:asciiTheme="majorBidi" w:hAnsiTheme="majorBidi" w:cstheme="majorBidi"/>
          <w:sz w:val="20"/>
          <w:szCs w:val="20"/>
        </w:rPr>
        <w:t xml:space="preserve">pp. </w:t>
      </w:r>
      <w:r w:rsidRPr="00B416D9">
        <w:rPr>
          <w:rFonts w:asciiTheme="majorBidi" w:hAnsiTheme="majorBidi" w:cstheme="majorBidi"/>
          <w:sz w:val="20"/>
          <w:szCs w:val="20"/>
        </w:rPr>
        <w:t>70–75.</w:t>
      </w:r>
    </w:p>
    <w:p w14:paraId="6AD523A7" w14:textId="289344C5"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 xml:space="preserve">Nakamura, C. (2004) </w:t>
      </w:r>
      <w:r w:rsidR="00352D94">
        <w:rPr>
          <w:rFonts w:asciiTheme="majorBidi" w:hAnsiTheme="majorBidi" w:cstheme="majorBidi"/>
          <w:sz w:val="20"/>
          <w:szCs w:val="20"/>
        </w:rPr>
        <w:t>‘</w:t>
      </w:r>
      <w:r w:rsidRPr="00B416D9">
        <w:rPr>
          <w:rFonts w:asciiTheme="majorBidi" w:hAnsiTheme="majorBidi" w:cstheme="majorBidi"/>
          <w:sz w:val="20"/>
          <w:szCs w:val="20"/>
        </w:rPr>
        <w:t>Dedicating magic: Neo-Assyrian apotropaic figurines and the protection of Assur</w:t>
      </w:r>
      <w:r w:rsidR="00352D94">
        <w:rPr>
          <w:rFonts w:asciiTheme="majorBidi" w:hAnsiTheme="majorBidi" w:cstheme="majorBidi"/>
          <w:sz w:val="20"/>
          <w:szCs w:val="20"/>
        </w:rPr>
        <w:t>’,</w:t>
      </w:r>
      <w:r>
        <w:rPr>
          <w:rFonts w:asciiTheme="majorBidi" w:hAnsiTheme="majorBidi" w:cstheme="majorBidi"/>
          <w:sz w:val="20"/>
          <w:szCs w:val="20"/>
        </w:rPr>
        <w:t xml:space="preserve"> </w:t>
      </w:r>
      <w:r w:rsidRPr="00352D94">
        <w:rPr>
          <w:rFonts w:asciiTheme="majorBidi" w:hAnsiTheme="majorBidi" w:cstheme="majorBidi"/>
          <w:i/>
          <w:iCs/>
          <w:sz w:val="20"/>
          <w:szCs w:val="20"/>
        </w:rPr>
        <w:t>World Archaeology</w:t>
      </w:r>
      <w:r w:rsidRPr="00B416D9">
        <w:rPr>
          <w:rFonts w:asciiTheme="majorBidi" w:hAnsiTheme="majorBidi" w:cstheme="majorBidi"/>
          <w:sz w:val="20"/>
          <w:szCs w:val="20"/>
        </w:rPr>
        <w:t xml:space="preserve">, 36(1), </w:t>
      </w:r>
      <w:r w:rsidR="00352D94">
        <w:rPr>
          <w:rFonts w:asciiTheme="majorBidi" w:hAnsiTheme="majorBidi" w:cstheme="majorBidi"/>
          <w:sz w:val="20"/>
          <w:szCs w:val="20"/>
        </w:rPr>
        <w:t xml:space="preserve">pp. </w:t>
      </w:r>
      <w:r w:rsidRPr="00B416D9">
        <w:rPr>
          <w:rFonts w:asciiTheme="majorBidi" w:hAnsiTheme="majorBidi" w:cstheme="majorBidi"/>
          <w:sz w:val="20"/>
          <w:szCs w:val="20"/>
        </w:rPr>
        <w:t>11–25.</w:t>
      </w:r>
    </w:p>
    <w:p w14:paraId="0DC5B1CF" w14:textId="77777777"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 xml:space="preserve">Nakamura, C. and Meskell, L. (2009) ‘Articulate bodies: Forms and figures at Çatalhöyük’, </w:t>
      </w:r>
      <w:r w:rsidRPr="00B416D9">
        <w:rPr>
          <w:rFonts w:asciiTheme="majorBidi" w:hAnsiTheme="majorBidi" w:cstheme="majorBidi"/>
          <w:i/>
          <w:iCs/>
          <w:sz w:val="20"/>
          <w:szCs w:val="20"/>
        </w:rPr>
        <w:t xml:space="preserve">Journal of Archaeological Method and Theory, </w:t>
      </w:r>
      <w:r w:rsidRPr="00B416D9">
        <w:rPr>
          <w:rFonts w:asciiTheme="majorBidi" w:hAnsiTheme="majorBidi" w:cstheme="majorBidi"/>
          <w:sz w:val="20"/>
          <w:szCs w:val="20"/>
        </w:rPr>
        <w:t>16,</w:t>
      </w:r>
      <w:r w:rsidRPr="00B416D9">
        <w:rPr>
          <w:rFonts w:asciiTheme="majorBidi" w:hAnsiTheme="majorBidi" w:cstheme="majorBidi"/>
          <w:i/>
          <w:iCs/>
          <w:sz w:val="20"/>
          <w:szCs w:val="20"/>
        </w:rPr>
        <w:t xml:space="preserve"> </w:t>
      </w:r>
      <w:r w:rsidRPr="00B416D9">
        <w:rPr>
          <w:rFonts w:asciiTheme="majorBidi" w:hAnsiTheme="majorBidi" w:cstheme="majorBidi"/>
          <w:sz w:val="20"/>
          <w:szCs w:val="20"/>
        </w:rPr>
        <w:t>pp. 205</w:t>
      </w:r>
      <w:r w:rsidRPr="00B416D9">
        <w:rPr>
          <w:rFonts w:asciiTheme="majorBidi" w:hAnsiTheme="majorBidi" w:cstheme="majorBidi"/>
          <w:sz w:val="20"/>
          <w:szCs w:val="20"/>
          <w:lang w:val="en-IN"/>
        </w:rPr>
        <w:t>–</w:t>
      </w:r>
      <w:r w:rsidRPr="00B416D9">
        <w:rPr>
          <w:rFonts w:asciiTheme="majorBidi" w:hAnsiTheme="majorBidi" w:cstheme="majorBidi"/>
          <w:sz w:val="20"/>
          <w:szCs w:val="20"/>
        </w:rPr>
        <w:t>230.</w:t>
      </w:r>
    </w:p>
    <w:p w14:paraId="74431AA7" w14:textId="0C2AAFDE"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Nakamura, C</w:t>
      </w:r>
      <w:r w:rsidR="008F4303">
        <w:rPr>
          <w:rFonts w:asciiTheme="majorBidi" w:hAnsiTheme="majorBidi" w:cstheme="majorBidi"/>
          <w:sz w:val="20"/>
          <w:szCs w:val="20"/>
        </w:rPr>
        <w:t>.</w:t>
      </w:r>
      <w:r w:rsidRPr="00B416D9">
        <w:rPr>
          <w:rFonts w:asciiTheme="majorBidi" w:hAnsiTheme="majorBidi" w:cstheme="majorBidi"/>
          <w:sz w:val="20"/>
          <w:szCs w:val="20"/>
        </w:rPr>
        <w:t xml:space="preserve"> </w:t>
      </w:r>
      <w:r w:rsidR="008F4303">
        <w:rPr>
          <w:rFonts w:asciiTheme="majorBidi" w:hAnsiTheme="majorBidi" w:cstheme="majorBidi"/>
          <w:sz w:val="20"/>
          <w:szCs w:val="20"/>
        </w:rPr>
        <w:t>and</w:t>
      </w:r>
      <w:r w:rsidRPr="00B416D9">
        <w:rPr>
          <w:rFonts w:asciiTheme="majorBidi" w:hAnsiTheme="majorBidi" w:cstheme="majorBidi"/>
          <w:sz w:val="20"/>
          <w:szCs w:val="20"/>
        </w:rPr>
        <w:t xml:space="preserve"> Meskell, L. (2013) </w:t>
      </w:r>
      <w:r w:rsidR="008F4303">
        <w:rPr>
          <w:rFonts w:asciiTheme="majorBidi" w:hAnsiTheme="majorBidi" w:cstheme="majorBidi"/>
          <w:sz w:val="20"/>
          <w:szCs w:val="20"/>
        </w:rPr>
        <w:t>‘</w:t>
      </w:r>
      <w:r w:rsidRPr="00B416D9">
        <w:rPr>
          <w:rFonts w:asciiTheme="majorBidi" w:hAnsiTheme="majorBidi" w:cstheme="majorBidi"/>
          <w:sz w:val="20"/>
          <w:szCs w:val="20"/>
        </w:rPr>
        <w:t>The Çatalhöyük burial assemblage</w:t>
      </w:r>
      <w:r w:rsidR="005B2E33">
        <w:rPr>
          <w:rFonts w:asciiTheme="majorBidi" w:hAnsiTheme="majorBidi" w:cstheme="majorBidi"/>
          <w:sz w:val="20"/>
          <w:szCs w:val="20"/>
        </w:rPr>
        <w:t>’,</w:t>
      </w:r>
      <w:r w:rsidRPr="00B416D9">
        <w:rPr>
          <w:rFonts w:asciiTheme="majorBidi" w:hAnsiTheme="majorBidi" w:cstheme="majorBidi"/>
          <w:sz w:val="20"/>
          <w:szCs w:val="20"/>
        </w:rPr>
        <w:t xml:space="preserve"> Humans and </w:t>
      </w:r>
      <w:r w:rsidR="008F4303">
        <w:rPr>
          <w:rFonts w:asciiTheme="majorBidi" w:hAnsiTheme="majorBidi" w:cstheme="majorBidi"/>
          <w:sz w:val="20"/>
          <w:szCs w:val="20"/>
        </w:rPr>
        <w:t>l</w:t>
      </w:r>
      <w:r w:rsidRPr="00B416D9">
        <w:rPr>
          <w:rFonts w:asciiTheme="majorBidi" w:hAnsiTheme="majorBidi" w:cstheme="majorBidi"/>
          <w:sz w:val="20"/>
          <w:szCs w:val="20"/>
        </w:rPr>
        <w:t xml:space="preserve">andscapes of Çatalhöyük: Reports from the 2000-2008 Seasons. </w:t>
      </w:r>
      <w:r w:rsidR="00352D94">
        <w:rPr>
          <w:rFonts w:asciiTheme="majorBidi" w:hAnsiTheme="majorBidi" w:cstheme="majorBidi"/>
          <w:sz w:val="20"/>
          <w:szCs w:val="20"/>
        </w:rPr>
        <w:t xml:space="preserve">pp. </w:t>
      </w:r>
      <w:r w:rsidRPr="00B416D9">
        <w:rPr>
          <w:rFonts w:asciiTheme="majorBidi" w:hAnsiTheme="majorBidi" w:cstheme="majorBidi"/>
          <w:sz w:val="20"/>
          <w:szCs w:val="20"/>
        </w:rPr>
        <w:t>441</w:t>
      </w:r>
      <w:r w:rsidR="00352D94" w:rsidRPr="00B416D9">
        <w:rPr>
          <w:rFonts w:asciiTheme="majorBidi" w:hAnsiTheme="majorBidi" w:cstheme="majorBidi"/>
          <w:sz w:val="20"/>
          <w:szCs w:val="20"/>
          <w:lang w:val="en-IN"/>
        </w:rPr>
        <w:t>–</w:t>
      </w:r>
      <w:r w:rsidRPr="00B416D9">
        <w:rPr>
          <w:rFonts w:asciiTheme="majorBidi" w:hAnsiTheme="majorBidi" w:cstheme="majorBidi"/>
          <w:sz w:val="20"/>
          <w:szCs w:val="20"/>
        </w:rPr>
        <w:t>466.</w:t>
      </w:r>
    </w:p>
    <w:p w14:paraId="4D626B4F" w14:textId="30BC6A1A"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 xml:space="preserve">Pearson, J. and Meskell, L. </w:t>
      </w:r>
      <w:r w:rsidR="001F3D7B">
        <w:rPr>
          <w:rFonts w:asciiTheme="majorBidi" w:hAnsiTheme="majorBidi" w:cstheme="majorBidi"/>
          <w:sz w:val="20"/>
          <w:szCs w:val="20"/>
        </w:rPr>
        <w:t>(</w:t>
      </w:r>
      <w:r w:rsidRPr="00B416D9">
        <w:rPr>
          <w:rFonts w:asciiTheme="majorBidi" w:hAnsiTheme="majorBidi" w:cstheme="majorBidi"/>
          <w:sz w:val="20"/>
          <w:szCs w:val="20"/>
        </w:rPr>
        <w:t>2014</w:t>
      </w:r>
      <w:r w:rsidR="001F3D7B">
        <w:rPr>
          <w:rFonts w:asciiTheme="majorBidi" w:hAnsiTheme="majorBidi" w:cstheme="majorBidi"/>
          <w:sz w:val="20"/>
          <w:szCs w:val="20"/>
        </w:rPr>
        <w:t>)</w:t>
      </w:r>
      <w:r w:rsidRPr="00B416D9">
        <w:rPr>
          <w:rFonts w:asciiTheme="majorBidi" w:hAnsiTheme="majorBidi" w:cstheme="majorBidi"/>
          <w:sz w:val="20"/>
          <w:szCs w:val="20"/>
        </w:rPr>
        <w:t xml:space="preserve"> </w:t>
      </w:r>
      <w:r w:rsidR="00992E7B">
        <w:rPr>
          <w:rFonts w:asciiTheme="majorBidi" w:hAnsiTheme="majorBidi" w:cstheme="majorBidi"/>
          <w:sz w:val="20"/>
          <w:szCs w:val="20"/>
        </w:rPr>
        <w:t>‘</w:t>
      </w:r>
      <w:r w:rsidRPr="00B416D9">
        <w:rPr>
          <w:rFonts w:asciiTheme="majorBidi" w:hAnsiTheme="majorBidi" w:cstheme="majorBidi"/>
          <w:sz w:val="20"/>
          <w:szCs w:val="20"/>
        </w:rPr>
        <w:t xml:space="preserve">Biographical bodies: </w:t>
      </w:r>
      <w:r w:rsidR="009F724A">
        <w:rPr>
          <w:rFonts w:asciiTheme="majorBidi" w:hAnsiTheme="majorBidi" w:cstheme="majorBidi"/>
          <w:sz w:val="20"/>
          <w:szCs w:val="20"/>
        </w:rPr>
        <w:t>F</w:t>
      </w:r>
      <w:r w:rsidRPr="00B416D9">
        <w:rPr>
          <w:rFonts w:asciiTheme="majorBidi" w:hAnsiTheme="majorBidi" w:cstheme="majorBidi"/>
          <w:sz w:val="20"/>
          <w:szCs w:val="20"/>
        </w:rPr>
        <w:t>lesh and food at Çatalhöyük</w:t>
      </w:r>
      <w:r w:rsidR="00992E7B">
        <w:rPr>
          <w:rFonts w:asciiTheme="majorBidi" w:hAnsiTheme="majorBidi" w:cstheme="majorBidi"/>
          <w:sz w:val="20"/>
          <w:szCs w:val="20"/>
        </w:rPr>
        <w:t>’, in</w:t>
      </w:r>
      <w:r w:rsidRPr="00B416D9">
        <w:rPr>
          <w:rFonts w:asciiTheme="majorBidi" w:hAnsiTheme="majorBidi" w:cstheme="majorBidi"/>
          <w:sz w:val="20"/>
          <w:szCs w:val="20"/>
        </w:rPr>
        <w:t xml:space="preserve"> Whittle</w:t>
      </w:r>
      <w:r w:rsidR="00703FF8">
        <w:rPr>
          <w:rFonts w:asciiTheme="majorBidi" w:hAnsiTheme="majorBidi" w:cstheme="majorBidi"/>
          <w:sz w:val="20"/>
          <w:szCs w:val="20"/>
        </w:rPr>
        <w:t>, A.</w:t>
      </w:r>
      <w:r w:rsidRPr="00B416D9">
        <w:rPr>
          <w:rFonts w:asciiTheme="majorBidi" w:hAnsiTheme="majorBidi" w:cstheme="majorBidi"/>
          <w:sz w:val="20"/>
          <w:szCs w:val="20"/>
        </w:rPr>
        <w:t xml:space="preserve"> (</w:t>
      </w:r>
      <w:r w:rsidR="00567A76">
        <w:rPr>
          <w:rFonts w:asciiTheme="majorBidi" w:hAnsiTheme="majorBidi" w:cstheme="majorBidi"/>
          <w:sz w:val="20"/>
          <w:szCs w:val="20"/>
        </w:rPr>
        <w:t>e</w:t>
      </w:r>
      <w:r w:rsidRPr="00B416D9">
        <w:rPr>
          <w:rFonts w:asciiTheme="majorBidi" w:hAnsiTheme="majorBidi" w:cstheme="majorBidi"/>
          <w:sz w:val="20"/>
          <w:szCs w:val="20"/>
        </w:rPr>
        <w:t xml:space="preserve">d.) </w:t>
      </w:r>
      <w:r w:rsidRPr="00567A76">
        <w:rPr>
          <w:rFonts w:asciiTheme="majorBidi" w:hAnsiTheme="majorBidi" w:cstheme="majorBidi"/>
          <w:i/>
          <w:iCs/>
          <w:sz w:val="20"/>
          <w:szCs w:val="20"/>
        </w:rPr>
        <w:t xml:space="preserve">Early </w:t>
      </w:r>
      <w:r w:rsidR="00567A76" w:rsidRPr="00567A76">
        <w:rPr>
          <w:rFonts w:asciiTheme="majorBidi" w:hAnsiTheme="majorBidi" w:cstheme="majorBidi"/>
          <w:i/>
          <w:iCs/>
          <w:sz w:val="20"/>
          <w:szCs w:val="20"/>
        </w:rPr>
        <w:t>f</w:t>
      </w:r>
      <w:r w:rsidRPr="00567A76">
        <w:rPr>
          <w:rFonts w:asciiTheme="majorBidi" w:hAnsiTheme="majorBidi" w:cstheme="majorBidi"/>
          <w:i/>
          <w:iCs/>
          <w:sz w:val="20"/>
          <w:szCs w:val="20"/>
        </w:rPr>
        <w:t>armers</w:t>
      </w:r>
      <w:r w:rsidR="00567A76">
        <w:rPr>
          <w:rFonts w:asciiTheme="majorBidi" w:hAnsiTheme="majorBidi" w:cstheme="majorBidi"/>
          <w:i/>
          <w:iCs/>
          <w:sz w:val="20"/>
          <w:szCs w:val="20"/>
        </w:rPr>
        <w:t>.</w:t>
      </w:r>
      <w:r w:rsidRPr="00B416D9">
        <w:rPr>
          <w:rFonts w:asciiTheme="majorBidi" w:hAnsiTheme="majorBidi" w:cstheme="majorBidi"/>
          <w:sz w:val="20"/>
          <w:szCs w:val="20"/>
        </w:rPr>
        <w:t xml:space="preserve"> London: British Academy, pp. 233–</w:t>
      </w:r>
      <w:r w:rsidR="00567A76">
        <w:rPr>
          <w:rFonts w:asciiTheme="majorBidi" w:hAnsiTheme="majorBidi" w:cstheme="majorBidi"/>
          <w:sz w:val="20"/>
          <w:szCs w:val="20"/>
        </w:rPr>
        <w:t>2</w:t>
      </w:r>
      <w:r w:rsidRPr="00B416D9">
        <w:rPr>
          <w:rFonts w:asciiTheme="majorBidi" w:hAnsiTheme="majorBidi" w:cstheme="majorBidi"/>
          <w:sz w:val="20"/>
          <w:szCs w:val="20"/>
        </w:rPr>
        <w:t>50.</w:t>
      </w:r>
    </w:p>
    <w:p w14:paraId="53BB8C3E" w14:textId="3A7A110C"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 xml:space="preserve">Pearson, J. and Meskell, L. (2013) </w:t>
      </w:r>
      <w:r w:rsidR="008F4303">
        <w:rPr>
          <w:rFonts w:asciiTheme="majorBidi" w:hAnsiTheme="majorBidi" w:cstheme="majorBidi"/>
          <w:sz w:val="20"/>
          <w:szCs w:val="20"/>
        </w:rPr>
        <w:t>‘</w:t>
      </w:r>
      <w:r w:rsidRPr="00B416D9">
        <w:rPr>
          <w:rFonts w:asciiTheme="majorBidi" w:hAnsiTheme="majorBidi" w:cstheme="majorBidi"/>
          <w:sz w:val="20"/>
          <w:szCs w:val="20"/>
        </w:rPr>
        <w:t xml:space="preserve">Isotopes and </w:t>
      </w:r>
      <w:r w:rsidR="00397F19">
        <w:rPr>
          <w:rFonts w:asciiTheme="majorBidi" w:hAnsiTheme="majorBidi" w:cstheme="majorBidi"/>
          <w:sz w:val="20"/>
          <w:szCs w:val="20"/>
        </w:rPr>
        <w:t>i</w:t>
      </w:r>
      <w:r w:rsidRPr="00B416D9">
        <w:rPr>
          <w:rFonts w:asciiTheme="majorBidi" w:hAnsiTheme="majorBidi" w:cstheme="majorBidi"/>
          <w:sz w:val="20"/>
          <w:szCs w:val="20"/>
        </w:rPr>
        <w:t xml:space="preserve">mages: Fleshing out </w:t>
      </w:r>
      <w:r w:rsidR="00397F19">
        <w:rPr>
          <w:rFonts w:asciiTheme="majorBidi" w:hAnsiTheme="majorBidi" w:cstheme="majorBidi"/>
          <w:sz w:val="20"/>
          <w:szCs w:val="20"/>
        </w:rPr>
        <w:t>b</w:t>
      </w:r>
      <w:r w:rsidRPr="00B416D9">
        <w:rPr>
          <w:rFonts w:asciiTheme="majorBidi" w:hAnsiTheme="majorBidi" w:cstheme="majorBidi"/>
          <w:sz w:val="20"/>
          <w:szCs w:val="20"/>
        </w:rPr>
        <w:t>odies at Çatalhöyük,</w:t>
      </w:r>
      <w:r w:rsidR="008F4303">
        <w:rPr>
          <w:rFonts w:asciiTheme="majorBidi" w:hAnsiTheme="majorBidi" w:cstheme="majorBidi"/>
          <w:sz w:val="20"/>
          <w:szCs w:val="20"/>
        </w:rPr>
        <w:t>’</w:t>
      </w:r>
      <w:r w:rsidRPr="00B416D9">
        <w:rPr>
          <w:rFonts w:asciiTheme="majorBidi" w:hAnsiTheme="majorBidi" w:cstheme="majorBidi"/>
          <w:sz w:val="20"/>
          <w:szCs w:val="20"/>
        </w:rPr>
        <w:t xml:space="preserve"> </w:t>
      </w:r>
      <w:r w:rsidRPr="00B416D9">
        <w:rPr>
          <w:rFonts w:asciiTheme="majorBidi" w:hAnsiTheme="majorBidi" w:cstheme="majorBidi"/>
          <w:i/>
          <w:iCs/>
          <w:sz w:val="20"/>
          <w:szCs w:val="20"/>
        </w:rPr>
        <w:t>Journal of Archaeological Method and Theory</w:t>
      </w:r>
      <w:r w:rsidRPr="00B416D9">
        <w:rPr>
          <w:rFonts w:asciiTheme="majorBidi" w:hAnsiTheme="majorBidi" w:cstheme="majorBidi"/>
          <w:sz w:val="20"/>
          <w:szCs w:val="20"/>
        </w:rPr>
        <w:t xml:space="preserve">, 22(2), pp. 461–482. </w:t>
      </w:r>
    </w:p>
    <w:p w14:paraId="5CFFF87E" w14:textId="6836E5A7" w:rsidR="000235A3" w:rsidRPr="00B416D9" w:rsidRDefault="000235A3" w:rsidP="00493752">
      <w:pPr>
        <w:ind w:left="720" w:hanging="720"/>
        <w:rPr>
          <w:rFonts w:asciiTheme="majorBidi" w:hAnsiTheme="majorBidi" w:cstheme="majorBidi"/>
          <w:sz w:val="20"/>
          <w:szCs w:val="20"/>
        </w:rPr>
      </w:pPr>
      <w:r w:rsidRPr="00B416D9">
        <w:rPr>
          <w:rFonts w:asciiTheme="majorBidi" w:hAnsiTheme="majorBidi" w:cstheme="majorBidi"/>
          <w:sz w:val="20"/>
          <w:szCs w:val="20"/>
        </w:rPr>
        <w:t>Pearson, J.</w:t>
      </w:r>
      <w:r w:rsidR="009568DE">
        <w:rPr>
          <w:rFonts w:asciiTheme="majorBidi" w:hAnsiTheme="majorBidi" w:cstheme="majorBidi"/>
          <w:sz w:val="20"/>
          <w:szCs w:val="20"/>
        </w:rPr>
        <w:t xml:space="preserve"> </w:t>
      </w:r>
      <w:r w:rsidRPr="00B416D9">
        <w:rPr>
          <w:rFonts w:asciiTheme="majorBidi" w:hAnsiTheme="majorBidi" w:cstheme="majorBidi"/>
          <w:sz w:val="20"/>
          <w:szCs w:val="20"/>
        </w:rPr>
        <w:t xml:space="preserve">A., Grove, M., Özbek, M. and Hongo, H. </w:t>
      </w:r>
      <w:r w:rsidR="00614646">
        <w:rPr>
          <w:rFonts w:asciiTheme="majorBidi" w:hAnsiTheme="majorBidi" w:cstheme="majorBidi"/>
          <w:sz w:val="20"/>
          <w:szCs w:val="20"/>
        </w:rPr>
        <w:t>(</w:t>
      </w:r>
      <w:r w:rsidRPr="00B416D9">
        <w:rPr>
          <w:rFonts w:asciiTheme="majorBidi" w:hAnsiTheme="majorBidi" w:cstheme="majorBidi"/>
          <w:sz w:val="20"/>
          <w:szCs w:val="20"/>
        </w:rPr>
        <w:t>2013</w:t>
      </w:r>
      <w:r w:rsidR="00614646">
        <w:rPr>
          <w:rFonts w:asciiTheme="majorBidi" w:hAnsiTheme="majorBidi" w:cstheme="majorBidi"/>
          <w:sz w:val="20"/>
          <w:szCs w:val="20"/>
        </w:rPr>
        <w:t>)</w:t>
      </w:r>
      <w:r w:rsidRPr="00B416D9">
        <w:rPr>
          <w:rFonts w:asciiTheme="majorBidi" w:hAnsiTheme="majorBidi" w:cstheme="majorBidi"/>
          <w:sz w:val="20"/>
          <w:szCs w:val="20"/>
        </w:rPr>
        <w:t xml:space="preserve"> </w:t>
      </w:r>
      <w:r w:rsidR="00614646">
        <w:rPr>
          <w:rFonts w:asciiTheme="majorBidi" w:hAnsiTheme="majorBidi" w:cstheme="majorBidi"/>
          <w:sz w:val="20"/>
          <w:szCs w:val="20"/>
        </w:rPr>
        <w:t>‘</w:t>
      </w:r>
      <w:r w:rsidRPr="00B416D9">
        <w:rPr>
          <w:rFonts w:asciiTheme="majorBidi" w:hAnsiTheme="majorBidi" w:cstheme="majorBidi"/>
          <w:sz w:val="20"/>
          <w:szCs w:val="20"/>
        </w:rPr>
        <w:t>Food and social complexity at Çayönü Tepesi, southeastern Anatolia: Stable isotope evidence of differentiation in diet according to burial practice and sex in the early Neolithic</w:t>
      </w:r>
      <w:r w:rsidR="00614646">
        <w:rPr>
          <w:rFonts w:asciiTheme="majorBidi" w:hAnsiTheme="majorBidi" w:cstheme="majorBidi"/>
          <w:sz w:val="20"/>
          <w:szCs w:val="20"/>
        </w:rPr>
        <w:t>’,</w:t>
      </w:r>
      <w:r w:rsidRPr="00B416D9">
        <w:rPr>
          <w:rFonts w:asciiTheme="majorBidi" w:hAnsiTheme="majorBidi" w:cstheme="majorBidi"/>
          <w:sz w:val="20"/>
          <w:szCs w:val="20"/>
        </w:rPr>
        <w:t xml:space="preserve"> </w:t>
      </w:r>
      <w:r w:rsidRPr="00B416D9">
        <w:rPr>
          <w:rFonts w:asciiTheme="majorBidi" w:hAnsiTheme="majorBidi" w:cstheme="majorBidi"/>
          <w:i/>
          <w:iCs/>
          <w:sz w:val="20"/>
          <w:szCs w:val="20"/>
        </w:rPr>
        <w:t>Journal of Anthropological</w:t>
      </w:r>
      <w:r w:rsidRPr="00B416D9">
        <w:rPr>
          <w:rFonts w:asciiTheme="majorBidi" w:hAnsiTheme="majorBidi" w:cstheme="majorBidi"/>
          <w:sz w:val="20"/>
          <w:szCs w:val="20"/>
        </w:rPr>
        <w:t xml:space="preserve"> </w:t>
      </w:r>
      <w:r w:rsidRPr="00B416D9">
        <w:rPr>
          <w:rFonts w:asciiTheme="majorBidi" w:hAnsiTheme="majorBidi" w:cstheme="majorBidi"/>
          <w:i/>
          <w:iCs/>
          <w:sz w:val="20"/>
          <w:szCs w:val="20"/>
        </w:rPr>
        <w:t>Archaeology</w:t>
      </w:r>
      <w:r w:rsidR="00493752" w:rsidRPr="00493752">
        <w:rPr>
          <w:rFonts w:asciiTheme="majorBidi" w:hAnsiTheme="majorBidi" w:cstheme="majorBidi"/>
          <w:sz w:val="20"/>
          <w:szCs w:val="20"/>
        </w:rPr>
        <w:t>, 32(2), pp</w:t>
      </w:r>
      <w:r w:rsidR="00493752">
        <w:rPr>
          <w:rFonts w:asciiTheme="majorBidi" w:hAnsiTheme="majorBidi" w:cstheme="majorBidi"/>
          <w:sz w:val="20"/>
          <w:szCs w:val="20"/>
        </w:rPr>
        <w:t xml:space="preserve">. </w:t>
      </w:r>
      <w:r w:rsidR="00437BAA">
        <w:rPr>
          <w:rFonts w:asciiTheme="majorBidi" w:hAnsiTheme="majorBidi" w:cstheme="majorBidi"/>
          <w:sz w:val="20"/>
          <w:szCs w:val="20"/>
        </w:rPr>
        <w:t>180</w:t>
      </w:r>
      <w:r w:rsidR="00437BAA" w:rsidRPr="00B416D9">
        <w:rPr>
          <w:rFonts w:asciiTheme="majorBidi" w:hAnsiTheme="majorBidi" w:cstheme="majorBidi"/>
          <w:sz w:val="20"/>
          <w:szCs w:val="20"/>
        </w:rPr>
        <w:t>–</w:t>
      </w:r>
      <w:r w:rsidR="00437BAA">
        <w:rPr>
          <w:rFonts w:asciiTheme="majorBidi" w:hAnsiTheme="majorBidi" w:cstheme="majorBidi"/>
          <w:sz w:val="20"/>
          <w:szCs w:val="20"/>
        </w:rPr>
        <w:t>189.</w:t>
      </w:r>
    </w:p>
    <w:p w14:paraId="369B1060" w14:textId="3861F2F9"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 xml:space="preserve">Turner, B. S. (2008). </w:t>
      </w:r>
      <w:r w:rsidRPr="00B416D9">
        <w:rPr>
          <w:rFonts w:asciiTheme="majorBidi" w:hAnsiTheme="majorBidi" w:cstheme="majorBidi"/>
          <w:i/>
          <w:iCs/>
          <w:sz w:val="20"/>
          <w:szCs w:val="20"/>
        </w:rPr>
        <w:t xml:space="preserve">The </w:t>
      </w:r>
      <w:r w:rsidR="00610A60">
        <w:rPr>
          <w:rFonts w:asciiTheme="majorBidi" w:hAnsiTheme="majorBidi" w:cstheme="majorBidi"/>
          <w:i/>
          <w:iCs/>
          <w:sz w:val="20"/>
          <w:szCs w:val="20"/>
        </w:rPr>
        <w:t>b</w:t>
      </w:r>
      <w:r w:rsidRPr="00B416D9">
        <w:rPr>
          <w:rFonts w:asciiTheme="majorBidi" w:hAnsiTheme="majorBidi" w:cstheme="majorBidi"/>
          <w:i/>
          <w:iCs/>
          <w:sz w:val="20"/>
          <w:szCs w:val="20"/>
        </w:rPr>
        <w:t xml:space="preserve">ody and </w:t>
      </w:r>
      <w:r w:rsidR="00610A60">
        <w:rPr>
          <w:rFonts w:asciiTheme="majorBidi" w:hAnsiTheme="majorBidi" w:cstheme="majorBidi"/>
          <w:i/>
          <w:iCs/>
          <w:sz w:val="20"/>
          <w:szCs w:val="20"/>
        </w:rPr>
        <w:t>s</w:t>
      </w:r>
      <w:r w:rsidRPr="00B416D9">
        <w:rPr>
          <w:rFonts w:asciiTheme="majorBidi" w:hAnsiTheme="majorBidi" w:cstheme="majorBidi"/>
          <w:i/>
          <w:iCs/>
          <w:sz w:val="20"/>
          <w:szCs w:val="20"/>
        </w:rPr>
        <w:t xml:space="preserve">ociety: Explorations in </w:t>
      </w:r>
      <w:r w:rsidR="00610A60">
        <w:rPr>
          <w:rFonts w:asciiTheme="majorBidi" w:hAnsiTheme="majorBidi" w:cstheme="majorBidi"/>
          <w:i/>
          <w:iCs/>
          <w:sz w:val="20"/>
          <w:szCs w:val="20"/>
        </w:rPr>
        <w:t>s</w:t>
      </w:r>
      <w:r w:rsidRPr="00B416D9">
        <w:rPr>
          <w:rFonts w:asciiTheme="majorBidi" w:hAnsiTheme="majorBidi" w:cstheme="majorBidi"/>
          <w:i/>
          <w:iCs/>
          <w:sz w:val="20"/>
          <w:szCs w:val="20"/>
        </w:rPr>
        <w:t>ocial</w:t>
      </w:r>
      <w:r w:rsidRPr="00B416D9">
        <w:rPr>
          <w:rFonts w:asciiTheme="majorBidi" w:hAnsiTheme="majorBidi" w:cstheme="majorBidi"/>
          <w:sz w:val="20"/>
          <w:szCs w:val="20"/>
        </w:rPr>
        <w:t xml:space="preserve"> </w:t>
      </w:r>
      <w:r w:rsidR="00610A60">
        <w:rPr>
          <w:rFonts w:asciiTheme="majorBidi" w:hAnsiTheme="majorBidi" w:cstheme="majorBidi"/>
          <w:i/>
          <w:iCs/>
          <w:sz w:val="20"/>
          <w:szCs w:val="20"/>
        </w:rPr>
        <w:t>t</w:t>
      </w:r>
      <w:r w:rsidRPr="00B416D9">
        <w:rPr>
          <w:rFonts w:asciiTheme="majorBidi" w:hAnsiTheme="majorBidi" w:cstheme="majorBidi"/>
          <w:i/>
          <w:iCs/>
          <w:sz w:val="20"/>
          <w:szCs w:val="20"/>
        </w:rPr>
        <w:t>heory</w:t>
      </w:r>
      <w:r w:rsidR="00610A60">
        <w:rPr>
          <w:rFonts w:asciiTheme="majorBidi" w:hAnsiTheme="majorBidi" w:cstheme="majorBidi"/>
          <w:i/>
          <w:iCs/>
          <w:sz w:val="20"/>
          <w:szCs w:val="20"/>
        </w:rPr>
        <w:t>.</w:t>
      </w:r>
      <w:r w:rsidRPr="00B416D9">
        <w:rPr>
          <w:rFonts w:asciiTheme="majorBidi" w:hAnsiTheme="majorBidi" w:cstheme="majorBidi"/>
          <w:sz w:val="20"/>
          <w:szCs w:val="20"/>
        </w:rPr>
        <w:t xml:space="preserve"> 3rd ed</w:t>
      </w:r>
      <w:r w:rsidR="00610A60">
        <w:rPr>
          <w:rFonts w:asciiTheme="majorBidi" w:hAnsiTheme="majorBidi" w:cstheme="majorBidi"/>
          <w:sz w:val="20"/>
          <w:szCs w:val="20"/>
        </w:rPr>
        <w:t>n</w:t>
      </w:r>
      <w:r w:rsidRPr="00B416D9">
        <w:rPr>
          <w:rFonts w:asciiTheme="majorBidi" w:hAnsiTheme="majorBidi" w:cstheme="majorBidi"/>
          <w:sz w:val="20"/>
          <w:szCs w:val="20"/>
        </w:rPr>
        <w:t>. London: Sage.</w:t>
      </w:r>
    </w:p>
    <w:p w14:paraId="75D00020" w14:textId="1B8CEB09" w:rsidR="000235A3" w:rsidRPr="00B416D9" w:rsidRDefault="000235A3" w:rsidP="000235A3">
      <w:pPr>
        <w:ind w:left="720" w:hanging="720"/>
        <w:rPr>
          <w:rFonts w:asciiTheme="majorBidi" w:hAnsiTheme="majorBidi" w:cstheme="majorBidi"/>
          <w:i/>
          <w:iCs/>
          <w:sz w:val="20"/>
          <w:szCs w:val="20"/>
        </w:rPr>
      </w:pPr>
      <w:r w:rsidRPr="00B416D9">
        <w:rPr>
          <w:rFonts w:asciiTheme="majorBidi" w:hAnsiTheme="majorBidi" w:cstheme="majorBidi"/>
          <w:sz w:val="20"/>
          <w:szCs w:val="20"/>
        </w:rPr>
        <w:t xml:space="preserve">Van Wolputte, S. </w:t>
      </w:r>
      <w:r w:rsidR="006F5DE4">
        <w:rPr>
          <w:rFonts w:asciiTheme="majorBidi" w:hAnsiTheme="majorBidi" w:cstheme="majorBidi"/>
          <w:sz w:val="20"/>
          <w:szCs w:val="20"/>
        </w:rPr>
        <w:t>(</w:t>
      </w:r>
      <w:r w:rsidRPr="00B416D9">
        <w:rPr>
          <w:rFonts w:asciiTheme="majorBidi" w:hAnsiTheme="majorBidi" w:cstheme="majorBidi"/>
          <w:sz w:val="20"/>
          <w:szCs w:val="20"/>
        </w:rPr>
        <w:t>2004</w:t>
      </w:r>
      <w:r w:rsidR="006F5DE4">
        <w:rPr>
          <w:rFonts w:asciiTheme="majorBidi" w:hAnsiTheme="majorBidi" w:cstheme="majorBidi"/>
          <w:sz w:val="20"/>
          <w:szCs w:val="20"/>
        </w:rPr>
        <w:t>)</w:t>
      </w:r>
      <w:r w:rsidRPr="00B416D9">
        <w:rPr>
          <w:rFonts w:asciiTheme="majorBidi" w:hAnsiTheme="majorBidi" w:cstheme="majorBidi"/>
          <w:sz w:val="20"/>
          <w:szCs w:val="20"/>
        </w:rPr>
        <w:t xml:space="preserve"> </w:t>
      </w:r>
      <w:r w:rsidR="006F5DE4">
        <w:rPr>
          <w:rFonts w:asciiTheme="majorBidi" w:hAnsiTheme="majorBidi" w:cstheme="majorBidi"/>
          <w:sz w:val="20"/>
          <w:szCs w:val="20"/>
        </w:rPr>
        <w:t>‘</w:t>
      </w:r>
      <w:r w:rsidRPr="00B416D9">
        <w:rPr>
          <w:rFonts w:asciiTheme="majorBidi" w:hAnsiTheme="majorBidi" w:cstheme="majorBidi"/>
          <w:sz w:val="20"/>
          <w:szCs w:val="20"/>
        </w:rPr>
        <w:t xml:space="preserve">Hang onto yourselves: </w:t>
      </w:r>
      <w:r w:rsidR="006F5DE4">
        <w:rPr>
          <w:rFonts w:asciiTheme="majorBidi" w:hAnsiTheme="majorBidi" w:cstheme="majorBidi"/>
          <w:sz w:val="20"/>
          <w:szCs w:val="20"/>
        </w:rPr>
        <w:t>O</w:t>
      </w:r>
      <w:r w:rsidRPr="00B416D9">
        <w:rPr>
          <w:rFonts w:asciiTheme="majorBidi" w:hAnsiTheme="majorBidi" w:cstheme="majorBidi"/>
          <w:sz w:val="20"/>
          <w:szCs w:val="20"/>
        </w:rPr>
        <w:t>f bodies, embodiment, and selves</w:t>
      </w:r>
      <w:r w:rsidR="006F5DE4">
        <w:rPr>
          <w:rFonts w:asciiTheme="majorBidi" w:hAnsiTheme="majorBidi" w:cstheme="majorBidi"/>
          <w:sz w:val="20"/>
          <w:szCs w:val="20"/>
        </w:rPr>
        <w:t>’,</w:t>
      </w:r>
      <w:r w:rsidRPr="00B416D9">
        <w:rPr>
          <w:rFonts w:asciiTheme="majorBidi" w:hAnsiTheme="majorBidi" w:cstheme="majorBidi"/>
          <w:sz w:val="20"/>
          <w:szCs w:val="20"/>
        </w:rPr>
        <w:t xml:space="preserve"> </w:t>
      </w:r>
      <w:r w:rsidRPr="00B416D9">
        <w:rPr>
          <w:rFonts w:asciiTheme="majorBidi" w:hAnsiTheme="majorBidi" w:cstheme="majorBidi"/>
          <w:i/>
          <w:iCs/>
          <w:sz w:val="20"/>
          <w:szCs w:val="20"/>
        </w:rPr>
        <w:t>Annual</w:t>
      </w:r>
      <w:r w:rsidRPr="000235A3">
        <w:rPr>
          <w:rFonts w:asciiTheme="majorBidi" w:hAnsiTheme="majorBidi" w:cstheme="majorBidi"/>
          <w:i/>
          <w:iCs/>
          <w:sz w:val="20"/>
          <w:szCs w:val="20"/>
        </w:rPr>
        <w:t xml:space="preserve"> </w:t>
      </w:r>
      <w:r w:rsidRPr="00B416D9">
        <w:rPr>
          <w:rFonts w:asciiTheme="majorBidi" w:hAnsiTheme="majorBidi" w:cstheme="majorBidi"/>
          <w:i/>
          <w:iCs/>
          <w:sz w:val="20"/>
          <w:szCs w:val="20"/>
        </w:rPr>
        <w:t>Review of Anthropology</w:t>
      </w:r>
      <w:r w:rsidR="006F5DE4" w:rsidRPr="006F5DE4">
        <w:rPr>
          <w:rFonts w:asciiTheme="majorBidi" w:hAnsiTheme="majorBidi" w:cstheme="majorBidi"/>
          <w:sz w:val="20"/>
          <w:szCs w:val="20"/>
        </w:rPr>
        <w:t>,</w:t>
      </w:r>
      <w:r w:rsidRPr="006F5DE4">
        <w:rPr>
          <w:rFonts w:asciiTheme="majorBidi" w:hAnsiTheme="majorBidi" w:cstheme="majorBidi"/>
          <w:sz w:val="20"/>
          <w:szCs w:val="20"/>
        </w:rPr>
        <w:t xml:space="preserve"> 33, </w:t>
      </w:r>
      <w:r w:rsidR="006F5DE4">
        <w:rPr>
          <w:rFonts w:asciiTheme="majorBidi" w:hAnsiTheme="majorBidi" w:cstheme="majorBidi"/>
          <w:sz w:val="20"/>
          <w:szCs w:val="20"/>
        </w:rPr>
        <w:t xml:space="preserve">pp. </w:t>
      </w:r>
      <w:r w:rsidRPr="006F5DE4">
        <w:rPr>
          <w:rFonts w:asciiTheme="majorBidi" w:hAnsiTheme="majorBidi" w:cstheme="majorBidi"/>
          <w:sz w:val="20"/>
          <w:szCs w:val="20"/>
        </w:rPr>
        <w:t>251–69.</w:t>
      </w:r>
    </w:p>
    <w:p w14:paraId="47A1AFE1" w14:textId="473F25C9" w:rsidR="000235A3" w:rsidRPr="00B416D9" w:rsidRDefault="000235A3" w:rsidP="00B50817">
      <w:pPr>
        <w:ind w:left="720" w:hanging="720"/>
        <w:rPr>
          <w:rFonts w:asciiTheme="majorBidi" w:hAnsiTheme="majorBidi" w:cstheme="majorBidi"/>
          <w:sz w:val="20"/>
          <w:szCs w:val="20"/>
        </w:rPr>
      </w:pPr>
      <w:r w:rsidRPr="00B416D9">
        <w:rPr>
          <w:rFonts w:asciiTheme="majorBidi" w:hAnsiTheme="majorBidi" w:cstheme="majorBidi"/>
          <w:sz w:val="20"/>
          <w:szCs w:val="20"/>
        </w:rPr>
        <w:t xml:space="preserve">Voigt, M. (2007) </w:t>
      </w:r>
      <w:r w:rsidR="00883A0E">
        <w:rPr>
          <w:rFonts w:asciiTheme="majorBidi" w:hAnsiTheme="majorBidi" w:cstheme="majorBidi"/>
          <w:sz w:val="20"/>
          <w:szCs w:val="20"/>
        </w:rPr>
        <w:t>‘</w:t>
      </w:r>
      <w:r w:rsidRPr="00B416D9">
        <w:rPr>
          <w:rFonts w:asciiTheme="majorBidi" w:hAnsiTheme="majorBidi" w:cstheme="majorBidi"/>
          <w:sz w:val="20"/>
          <w:szCs w:val="20"/>
        </w:rPr>
        <w:t>The splendour of women: Late Neolithic images from Central Anatolia</w:t>
      </w:r>
      <w:r w:rsidR="00883A0E">
        <w:rPr>
          <w:rFonts w:asciiTheme="majorBidi" w:hAnsiTheme="majorBidi" w:cstheme="majorBidi"/>
          <w:sz w:val="20"/>
          <w:szCs w:val="20"/>
        </w:rPr>
        <w:t>’,</w:t>
      </w:r>
      <w:r w:rsidRPr="00B416D9">
        <w:rPr>
          <w:rFonts w:asciiTheme="majorBidi" w:hAnsiTheme="majorBidi" w:cstheme="majorBidi"/>
          <w:sz w:val="20"/>
          <w:szCs w:val="20"/>
        </w:rPr>
        <w:t xml:space="preserve"> </w:t>
      </w:r>
      <w:r w:rsidR="00883A0E">
        <w:rPr>
          <w:rFonts w:asciiTheme="majorBidi" w:hAnsiTheme="majorBidi" w:cstheme="majorBidi"/>
          <w:sz w:val="20"/>
          <w:szCs w:val="20"/>
        </w:rPr>
        <w:t>i</w:t>
      </w:r>
      <w:r w:rsidRPr="00B416D9">
        <w:rPr>
          <w:rFonts w:asciiTheme="majorBidi" w:hAnsiTheme="majorBidi" w:cstheme="majorBidi"/>
          <w:sz w:val="20"/>
          <w:szCs w:val="20"/>
        </w:rPr>
        <w:t>n Renfrew</w:t>
      </w:r>
      <w:r w:rsidR="00883A0E">
        <w:rPr>
          <w:rFonts w:asciiTheme="majorBidi" w:hAnsiTheme="majorBidi" w:cstheme="majorBidi"/>
          <w:sz w:val="20"/>
          <w:szCs w:val="20"/>
        </w:rPr>
        <w:t xml:space="preserve"> A. C.</w:t>
      </w:r>
      <w:r w:rsidR="00257F18">
        <w:rPr>
          <w:rFonts w:asciiTheme="majorBidi" w:hAnsiTheme="majorBidi" w:cstheme="majorBidi"/>
          <w:sz w:val="20"/>
          <w:szCs w:val="20"/>
        </w:rPr>
        <w:t xml:space="preserve"> </w:t>
      </w:r>
      <w:r w:rsidR="006C2167">
        <w:rPr>
          <w:rFonts w:asciiTheme="majorBidi" w:hAnsiTheme="majorBidi" w:cstheme="majorBidi"/>
          <w:sz w:val="20"/>
          <w:szCs w:val="20"/>
        </w:rPr>
        <w:t>and</w:t>
      </w:r>
      <w:r w:rsidRPr="00B416D9">
        <w:rPr>
          <w:rFonts w:asciiTheme="majorBidi" w:hAnsiTheme="majorBidi" w:cstheme="majorBidi"/>
          <w:sz w:val="20"/>
          <w:szCs w:val="20"/>
        </w:rPr>
        <w:t xml:space="preserve"> Morley</w:t>
      </w:r>
      <w:r w:rsidR="006C2167">
        <w:rPr>
          <w:rFonts w:asciiTheme="majorBidi" w:hAnsiTheme="majorBidi" w:cstheme="majorBidi"/>
          <w:sz w:val="20"/>
          <w:szCs w:val="20"/>
        </w:rPr>
        <w:t xml:space="preserve">, I. </w:t>
      </w:r>
      <w:r w:rsidRPr="00B416D9">
        <w:rPr>
          <w:rFonts w:asciiTheme="majorBidi" w:hAnsiTheme="majorBidi" w:cstheme="majorBidi"/>
          <w:sz w:val="20"/>
          <w:szCs w:val="20"/>
        </w:rPr>
        <w:t>(</w:t>
      </w:r>
      <w:r w:rsidR="006B326C">
        <w:rPr>
          <w:rFonts w:asciiTheme="majorBidi" w:hAnsiTheme="majorBidi" w:cstheme="majorBidi"/>
          <w:sz w:val="20"/>
          <w:szCs w:val="20"/>
        </w:rPr>
        <w:t>ed</w:t>
      </w:r>
      <w:r w:rsidRPr="00B416D9">
        <w:rPr>
          <w:rFonts w:asciiTheme="majorBidi" w:hAnsiTheme="majorBidi" w:cstheme="majorBidi"/>
          <w:sz w:val="20"/>
          <w:szCs w:val="20"/>
        </w:rPr>
        <w:t xml:space="preserve">s.) </w:t>
      </w:r>
      <w:r w:rsidRPr="006C2167">
        <w:rPr>
          <w:rFonts w:asciiTheme="majorBidi" w:hAnsiTheme="majorBidi" w:cstheme="majorBidi"/>
          <w:i/>
          <w:iCs/>
          <w:sz w:val="20"/>
          <w:szCs w:val="20"/>
        </w:rPr>
        <w:t xml:space="preserve">Material </w:t>
      </w:r>
      <w:r w:rsidR="00B50817">
        <w:rPr>
          <w:rFonts w:asciiTheme="majorBidi" w:hAnsiTheme="majorBidi" w:cstheme="majorBidi"/>
          <w:i/>
          <w:iCs/>
          <w:sz w:val="20"/>
          <w:szCs w:val="20"/>
        </w:rPr>
        <w:t>b</w:t>
      </w:r>
      <w:r w:rsidRPr="006C2167">
        <w:rPr>
          <w:rFonts w:asciiTheme="majorBidi" w:hAnsiTheme="majorBidi" w:cstheme="majorBidi"/>
          <w:i/>
          <w:iCs/>
          <w:sz w:val="20"/>
          <w:szCs w:val="20"/>
        </w:rPr>
        <w:t xml:space="preserve">eginnings: A </w:t>
      </w:r>
      <w:r w:rsidR="00B50817">
        <w:rPr>
          <w:rFonts w:asciiTheme="majorBidi" w:hAnsiTheme="majorBidi" w:cstheme="majorBidi"/>
          <w:i/>
          <w:iCs/>
          <w:sz w:val="20"/>
          <w:szCs w:val="20"/>
        </w:rPr>
        <w:t>g</w:t>
      </w:r>
      <w:r w:rsidRPr="006C2167">
        <w:rPr>
          <w:rFonts w:asciiTheme="majorBidi" w:hAnsiTheme="majorBidi" w:cstheme="majorBidi"/>
          <w:i/>
          <w:iCs/>
          <w:sz w:val="20"/>
          <w:szCs w:val="20"/>
        </w:rPr>
        <w:t xml:space="preserve">lobal </w:t>
      </w:r>
      <w:r w:rsidR="00B50817">
        <w:rPr>
          <w:rFonts w:asciiTheme="majorBidi" w:hAnsiTheme="majorBidi" w:cstheme="majorBidi"/>
          <w:i/>
          <w:iCs/>
          <w:sz w:val="20"/>
          <w:szCs w:val="20"/>
        </w:rPr>
        <w:t>p</w:t>
      </w:r>
      <w:r w:rsidRPr="006C2167">
        <w:rPr>
          <w:rFonts w:asciiTheme="majorBidi" w:hAnsiTheme="majorBidi" w:cstheme="majorBidi"/>
          <w:i/>
          <w:iCs/>
          <w:sz w:val="20"/>
          <w:szCs w:val="20"/>
        </w:rPr>
        <w:t xml:space="preserve">rehistory of </w:t>
      </w:r>
      <w:r w:rsidR="00B50817">
        <w:rPr>
          <w:rFonts w:asciiTheme="majorBidi" w:hAnsiTheme="majorBidi" w:cstheme="majorBidi"/>
          <w:i/>
          <w:iCs/>
          <w:sz w:val="20"/>
          <w:szCs w:val="20"/>
        </w:rPr>
        <w:t>f</w:t>
      </w:r>
      <w:r w:rsidRPr="006C2167">
        <w:rPr>
          <w:rFonts w:asciiTheme="majorBidi" w:hAnsiTheme="majorBidi" w:cstheme="majorBidi"/>
          <w:i/>
          <w:iCs/>
          <w:sz w:val="20"/>
          <w:szCs w:val="20"/>
        </w:rPr>
        <w:t xml:space="preserve">igurative </w:t>
      </w:r>
      <w:r w:rsidR="00B50817">
        <w:rPr>
          <w:rFonts w:asciiTheme="majorBidi" w:hAnsiTheme="majorBidi" w:cstheme="majorBidi"/>
          <w:i/>
          <w:iCs/>
          <w:sz w:val="20"/>
          <w:szCs w:val="20"/>
        </w:rPr>
        <w:t>r</w:t>
      </w:r>
      <w:r w:rsidRPr="006C2167">
        <w:rPr>
          <w:rFonts w:asciiTheme="majorBidi" w:hAnsiTheme="majorBidi" w:cstheme="majorBidi"/>
          <w:i/>
          <w:iCs/>
          <w:sz w:val="20"/>
          <w:szCs w:val="20"/>
        </w:rPr>
        <w:t>epresentation</w:t>
      </w:r>
      <w:r w:rsidRPr="00B416D9">
        <w:rPr>
          <w:rFonts w:asciiTheme="majorBidi" w:hAnsiTheme="majorBidi" w:cstheme="majorBidi"/>
          <w:sz w:val="20"/>
          <w:szCs w:val="20"/>
        </w:rPr>
        <w:t>. Cambridge: McDonald Institute Monographs.</w:t>
      </w:r>
      <w:r w:rsidR="00B50817">
        <w:rPr>
          <w:rFonts w:asciiTheme="majorBidi" w:hAnsiTheme="majorBidi" w:cstheme="majorBidi"/>
          <w:sz w:val="20"/>
          <w:szCs w:val="20"/>
        </w:rPr>
        <w:t xml:space="preserve"> pp. 151</w:t>
      </w:r>
      <w:r w:rsidR="00B50817" w:rsidRPr="00B50817">
        <w:rPr>
          <w:rFonts w:asciiTheme="majorBidi" w:hAnsiTheme="majorBidi" w:cstheme="majorBidi"/>
          <w:sz w:val="20"/>
          <w:szCs w:val="20"/>
        </w:rPr>
        <w:t>–169</w:t>
      </w:r>
      <w:r w:rsidR="00B50817">
        <w:rPr>
          <w:rFonts w:asciiTheme="majorBidi" w:hAnsiTheme="majorBidi" w:cstheme="majorBidi"/>
          <w:sz w:val="20"/>
          <w:szCs w:val="20"/>
        </w:rPr>
        <w:t>.</w:t>
      </w:r>
    </w:p>
    <w:p w14:paraId="20E52614" w14:textId="1A23B778" w:rsidR="000235A3" w:rsidRPr="00B416D9" w:rsidRDefault="000235A3" w:rsidP="000235A3">
      <w:pPr>
        <w:ind w:left="720" w:hanging="720"/>
        <w:rPr>
          <w:rFonts w:asciiTheme="majorBidi" w:hAnsiTheme="majorBidi" w:cstheme="majorBidi"/>
          <w:sz w:val="20"/>
          <w:szCs w:val="20"/>
        </w:rPr>
      </w:pPr>
      <w:r w:rsidRPr="00B416D9">
        <w:rPr>
          <w:rFonts w:asciiTheme="majorBidi" w:hAnsiTheme="majorBidi" w:cstheme="majorBidi"/>
          <w:sz w:val="20"/>
          <w:szCs w:val="20"/>
        </w:rPr>
        <w:t>White, C.</w:t>
      </w:r>
      <w:r w:rsidR="006B326C">
        <w:rPr>
          <w:rFonts w:asciiTheme="majorBidi" w:hAnsiTheme="majorBidi" w:cstheme="majorBidi"/>
          <w:sz w:val="20"/>
          <w:szCs w:val="20"/>
        </w:rPr>
        <w:t xml:space="preserve"> </w:t>
      </w:r>
      <w:r w:rsidRPr="00B416D9">
        <w:rPr>
          <w:rFonts w:asciiTheme="majorBidi" w:hAnsiTheme="majorBidi" w:cstheme="majorBidi"/>
          <w:sz w:val="20"/>
          <w:szCs w:val="20"/>
        </w:rPr>
        <w:t xml:space="preserve">D. </w:t>
      </w:r>
      <w:r w:rsidR="006B326C">
        <w:rPr>
          <w:rFonts w:asciiTheme="majorBidi" w:hAnsiTheme="majorBidi" w:cstheme="majorBidi"/>
          <w:sz w:val="20"/>
          <w:szCs w:val="20"/>
        </w:rPr>
        <w:t>(</w:t>
      </w:r>
      <w:r w:rsidRPr="00B416D9">
        <w:rPr>
          <w:rFonts w:asciiTheme="majorBidi" w:hAnsiTheme="majorBidi" w:cstheme="majorBidi"/>
          <w:sz w:val="20"/>
          <w:szCs w:val="20"/>
        </w:rPr>
        <w:t>2005</w:t>
      </w:r>
      <w:r w:rsidR="006B326C">
        <w:rPr>
          <w:rFonts w:asciiTheme="majorBidi" w:hAnsiTheme="majorBidi" w:cstheme="majorBidi"/>
          <w:sz w:val="20"/>
          <w:szCs w:val="20"/>
        </w:rPr>
        <w:t>)</w:t>
      </w:r>
      <w:r w:rsidRPr="00B416D9">
        <w:rPr>
          <w:rFonts w:asciiTheme="majorBidi" w:hAnsiTheme="majorBidi" w:cstheme="majorBidi"/>
          <w:sz w:val="20"/>
          <w:szCs w:val="20"/>
        </w:rPr>
        <w:t xml:space="preserve"> </w:t>
      </w:r>
      <w:r w:rsidR="006B326C">
        <w:rPr>
          <w:rFonts w:asciiTheme="majorBidi" w:hAnsiTheme="majorBidi" w:cstheme="majorBidi"/>
          <w:sz w:val="20"/>
          <w:szCs w:val="20"/>
        </w:rPr>
        <w:t>‘</w:t>
      </w:r>
      <w:r w:rsidRPr="00B416D9">
        <w:rPr>
          <w:rFonts w:asciiTheme="majorBidi" w:hAnsiTheme="majorBidi" w:cstheme="majorBidi"/>
          <w:sz w:val="20"/>
          <w:szCs w:val="20"/>
        </w:rPr>
        <w:t xml:space="preserve">Gendered food behaviour among the Maya: </w:t>
      </w:r>
      <w:r w:rsidR="00860F26">
        <w:rPr>
          <w:rFonts w:asciiTheme="majorBidi" w:hAnsiTheme="majorBidi" w:cstheme="majorBidi"/>
          <w:sz w:val="20"/>
          <w:szCs w:val="20"/>
        </w:rPr>
        <w:t>T</w:t>
      </w:r>
      <w:r w:rsidRPr="00B416D9">
        <w:rPr>
          <w:rFonts w:asciiTheme="majorBidi" w:hAnsiTheme="majorBidi" w:cstheme="majorBidi"/>
          <w:sz w:val="20"/>
          <w:szCs w:val="20"/>
        </w:rPr>
        <w:t>ime, place, status and ritual</w:t>
      </w:r>
      <w:r w:rsidR="006B326C">
        <w:rPr>
          <w:rFonts w:asciiTheme="majorBidi" w:hAnsiTheme="majorBidi" w:cstheme="majorBidi"/>
          <w:sz w:val="20"/>
          <w:szCs w:val="20"/>
        </w:rPr>
        <w:t>’,</w:t>
      </w:r>
      <w:r>
        <w:rPr>
          <w:rFonts w:asciiTheme="majorBidi" w:hAnsiTheme="majorBidi" w:cstheme="majorBidi"/>
          <w:sz w:val="20"/>
          <w:szCs w:val="20"/>
        </w:rPr>
        <w:t xml:space="preserve"> </w:t>
      </w:r>
      <w:r w:rsidRPr="00B416D9">
        <w:rPr>
          <w:rFonts w:asciiTheme="majorBidi" w:hAnsiTheme="majorBidi" w:cstheme="majorBidi"/>
          <w:i/>
          <w:iCs/>
          <w:sz w:val="20"/>
          <w:szCs w:val="20"/>
        </w:rPr>
        <w:t>Journal of Social Archaeology</w:t>
      </w:r>
      <w:r w:rsidR="006B326C" w:rsidRPr="006B326C">
        <w:rPr>
          <w:rFonts w:asciiTheme="majorBidi" w:hAnsiTheme="majorBidi" w:cstheme="majorBidi"/>
          <w:sz w:val="20"/>
          <w:szCs w:val="20"/>
        </w:rPr>
        <w:t>,</w:t>
      </w:r>
      <w:r w:rsidRPr="006B326C">
        <w:rPr>
          <w:rFonts w:asciiTheme="majorBidi" w:hAnsiTheme="majorBidi" w:cstheme="majorBidi"/>
          <w:sz w:val="20"/>
          <w:szCs w:val="20"/>
        </w:rPr>
        <w:t xml:space="preserve"> </w:t>
      </w:r>
      <w:r w:rsidRPr="00B416D9">
        <w:rPr>
          <w:rFonts w:asciiTheme="majorBidi" w:hAnsiTheme="majorBidi" w:cstheme="majorBidi"/>
          <w:sz w:val="20"/>
          <w:szCs w:val="20"/>
        </w:rPr>
        <w:t xml:space="preserve">5, </w:t>
      </w:r>
      <w:r w:rsidR="006B326C">
        <w:rPr>
          <w:rFonts w:asciiTheme="majorBidi" w:hAnsiTheme="majorBidi" w:cstheme="majorBidi"/>
          <w:sz w:val="20"/>
          <w:szCs w:val="20"/>
        </w:rPr>
        <w:t xml:space="preserve">pp. </w:t>
      </w:r>
      <w:r w:rsidRPr="00B416D9">
        <w:rPr>
          <w:rFonts w:asciiTheme="majorBidi" w:hAnsiTheme="majorBidi" w:cstheme="majorBidi"/>
          <w:sz w:val="20"/>
          <w:szCs w:val="20"/>
        </w:rPr>
        <w:t xml:space="preserve">356–82. </w:t>
      </w:r>
    </w:p>
    <w:p w14:paraId="77AFB13D" w14:textId="77777777" w:rsidR="00B37718" w:rsidRDefault="00B37718" w:rsidP="006706EC">
      <w:pPr>
        <w:rPr>
          <w:rFonts w:asciiTheme="majorBidi" w:hAnsiTheme="majorBidi" w:cstheme="majorBidi"/>
          <w:sz w:val="20"/>
          <w:szCs w:val="20"/>
        </w:rPr>
      </w:pPr>
    </w:p>
    <w:p w14:paraId="53E116FA" w14:textId="77777777" w:rsidR="00163C94" w:rsidRDefault="00163C94" w:rsidP="009B48FB">
      <w:pPr>
        <w:rPr>
          <w:rFonts w:asciiTheme="majorBidi" w:hAnsiTheme="majorBidi" w:cstheme="majorBidi"/>
          <w:sz w:val="20"/>
          <w:szCs w:val="20"/>
        </w:rPr>
      </w:pPr>
    </w:p>
    <w:p w14:paraId="242FD41B" w14:textId="77777777" w:rsidR="009B48FB" w:rsidRDefault="009B48FB" w:rsidP="009B48FB">
      <w:pPr>
        <w:rPr>
          <w:rFonts w:asciiTheme="majorBidi" w:hAnsiTheme="majorBidi" w:cstheme="majorBidi"/>
          <w:sz w:val="20"/>
          <w:szCs w:val="20"/>
        </w:rPr>
      </w:pPr>
    </w:p>
    <w:p w14:paraId="7D3FDC65" w14:textId="77777777" w:rsidR="00C63B64" w:rsidRPr="00AB2652" w:rsidRDefault="00C63B64" w:rsidP="00C63B64">
      <w:pPr>
        <w:spacing w:line="360" w:lineRule="auto"/>
        <w:rPr>
          <w:rFonts w:asciiTheme="majorBidi" w:hAnsiTheme="majorBidi" w:cstheme="majorBidi"/>
          <w:lang w:val="en-IN"/>
        </w:rPr>
      </w:pPr>
    </w:p>
    <w:p w14:paraId="41A84560" w14:textId="77777777" w:rsidR="00E142F6" w:rsidRDefault="00E142F6"/>
    <w:sectPr w:rsidR="00E142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NewRomanPS">
    <w:altName w:val="Times New Roman"/>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Q3NDEzszAzNDcyMjFX0lEKTi0uzszPAykwqwUAEUVpViwAAAA="/>
  </w:docVars>
  <w:rsids>
    <w:rsidRoot w:val="00793F4C"/>
    <w:rsid w:val="00000681"/>
    <w:rsid w:val="000235A3"/>
    <w:rsid w:val="00062B6D"/>
    <w:rsid w:val="000747BF"/>
    <w:rsid w:val="000B0426"/>
    <w:rsid w:val="000E2128"/>
    <w:rsid w:val="000F049E"/>
    <w:rsid w:val="00131AE9"/>
    <w:rsid w:val="00163C94"/>
    <w:rsid w:val="0017043A"/>
    <w:rsid w:val="0017681A"/>
    <w:rsid w:val="001A34D0"/>
    <w:rsid w:val="001D1D9F"/>
    <w:rsid w:val="001F1F10"/>
    <w:rsid w:val="001F3D7B"/>
    <w:rsid w:val="00211919"/>
    <w:rsid w:val="00251ECF"/>
    <w:rsid w:val="00256EA4"/>
    <w:rsid w:val="00257F18"/>
    <w:rsid w:val="0026060B"/>
    <w:rsid w:val="002715DA"/>
    <w:rsid w:val="00272E93"/>
    <w:rsid w:val="00297E78"/>
    <w:rsid w:val="002A22D9"/>
    <w:rsid w:val="002A54FC"/>
    <w:rsid w:val="002B376B"/>
    <w:rsid w:val="002C5587"/>
    <w:rsid w:val="003059E8"/>
    <w:rsid w:val="00352D94"/>
    <w:rsid w:val="0035489A"/>
    <w:rsid w:val="00356FCE"/>
    <w:rsid w:val="003872B8"/>
    <w:rsid w:val="00397F19"/>
    <w:rsid w:val="003C4F28"/>
    <w:rsid w:val="003D74FD"/>
    <w:rsid w:val="003F5D8A"/>
    <w:rsid w:val="004012D6"/>
    <w:rsid w:val="00404944"/>
    <w:rsid w:val="004258AD"/>
    <w:rsid w:val="004267FC"/>
    <w:rsid w:val="00437BAA"/>
    <w:rsid w:val="00483BB7"/>
    <w:rsid w:val="00493752"/>
    <w:rsid w:val="00493D6C"/>
    <w:rsid w:val="004A4A86"/>
    <w:rsid w:val="004C27DD"/>
    <w:rsid w:val="004C3962"/>
    <w:rsid w:val="0051179C"/>
    <w:rsid w:val="00537ED1"/>
    <w:rsid w:val="00567A76"/>
    <w:rsid w:val="00567FCF"/>
    <w:rsid w:val="00573816"/>
    <w:rsid w:val="005B0424"/>
    <w:rsid w:val="005B2E33"/>
    <w:rsid w:val="005B67D6"/>
    <w:rsid w:val="005C0F05"/>
    <w:rsid w:val="005D1060"/>
    <w:rsid w:val="005E1809"/>
    <w:rsid w:val="00610A60"/>
    <w:rsid w:val="006111D3"/>
    <w:rsid w:val="00614646"/>
    <w:rsid w:val="0061768B"/>
    <w:rsid w:val="00617A00"/>
    <w:rsid w:val="00637740"/>
    <w:rsid w:val="00645D11"/>
    <w:rsid w:val="00651BA3"/>
    <w:rsid w:val="006706EC"/>
    <w:rsid w:val="006735C8"/>
    <w:rsid w:val="00697BBA"/>
    <w:rsid w:val="006B326C"/>
    <w:rsid w:val="006C0791"/>
    <w:rsid w:val="006C2167"/>
    <w:rsid w:val="006D0126"/>
    <w:rsid w:val="006F5DE4"/>
    <w:rsid w:val="00703FF8"/>
    <w:rsid w:val="0074042E"/>
    <w:rsid w:val="0075410A"/>
    <w:rsid w:val="00777823"/>
    <w:rsid w:val="00793F4C"/>
    <w:rsid w:val="007A47A4"/>
    <w:rsid w:val="007B16D1"/>
    <w:rsid w:val="007C5CA5"/>
    <w:rsid w:val="007D79F4"/>
    <w:rsid w:val="007D7D48"/>
    <w:rsid w:val="007E4973"/>
    <w:rsid w:val="007F2143"/>
    <w:rsid w:val="00820DD8"/>
    <w:rsid w:val="00820E0F"/>
    <w:rsid w:val="008246C4"/>
    <w:rsid w:val="0084287B"/>
    <w:rsid w:val="00857222"/>
    <w:rsid w:val="00860F26"/>
    <w:rsid w:val="00876907"/>
    <w:rsid w:val="00876F59"/>
    <w:rsid w:val="00883A0E"/>
    <w:rsid w:val="00896070"/>
    <w:rsid w:val="008977D7"/>
    <w:rsid w:val="008F4303"/>
    <w:rsid w:val="008F4A7B"/>
    <w:rsid w:val="008F7C97"/>
    <w:rsid w:val="009064BC"/>
    <w:rsid w:val="00925358"/>
    <w:rsid w:val="009504FC"/>
    <w:rsid w:val="009568DE"/>
    <w:rsid w:val="00992E7B"/>
    <w:rsid w:val="009B398A"/>
    <w:rsid w:val="009B48FB"/>
    <w:rsid w:val="009B50E1"/>
    <w:rsid w:val="009C450D"/>
    <w:rsid w:val="009F724A"/>
    <w:rsid w:val="00A01293"/>
    <w:rsid w:val="00A742B1"/>
    <w:rsid w:val="00A954C8"/>
    <w:rsid w:val="00A96CB7"/>
    <w:rsid w:val="00AA5858"/>
    <w:rsid w:val="00AB731F"/>
    <w:rsid w:val="00AC0B54"/>
    <w:rsid w:val="00AC2DE9"/>
    <w:rsid w:val="00AE1D83"/>
    <w:rsid w:val="00B02626"/>
    <w:rsid w:val="00B06E33"/>
    <w:rsid w:val="00B10827"/>
    <w:rsid w:val="00B3689E"/>
    <w:rsid w:val="00B37718"/>
    <w:rsid w:val="00B416D9"/>
    <w:rsid w:val="00B50817"/>
    <w:rsid w:val="00B877A9"/>
    <w:rsid w:val="00BB5363"/>
    <w:rsid w:val="00BB6D68"/>
    <w:rsid w:val="00BB7235"/>
    <w:rsid w:val="00BD7076"/>
    <w:rsid w:val="00BF416F"/>
    <w:rsid w:val="00C050ED"/>
    <w:rsid w:val="00C05F5E"/>
    <w:rsid w:val="00C21E4E"/>
    <w:rsid w:val="00C25928"/>
    <w:rsid w:val="00C25FD2"/>
    <w:rsid w:val="00C30061"/>
    <w:rsid w:val="00C35CD9"/>
    <w:rsid w:val="00C43D92"/>
    <w:rsid w:val="00C568CF"/>
    <w:rsid w:val="00C63B64"/>
    <w:rsid w:val="00C6449A"/>
    <w:rsid w:val="00C81A08"/>
    <w:rsid w:val="00CB6A6A"/>
    <w:rsid w:val="00CE23A7"/>
    <w:rsid w:val="00D07910"/>
    <w:rsid w:val="00D1642C"/>
    <w:rsid w:val="00D374B8"/>
    <w:rsid w:val="00D72E5E"/>
    <w:rsid w:val="00DA1EF1"/>
    <w:rsid w:val="00DE5657"/>
    <w:rsid w:val="00DF24D7"/>
    <w:rsid w:val="00E142F6"/>
    <w:rsid w:val="00E436DA"/>
    <w:rsid w:val="00E71FA3"/>
    <w:rsid w:val="00E72C1E"/>
    <w:rsid w:val="00E840CD"/>
    <w:rsid w:val="00EA27DA"/>
    <w:rsid w:val="00EF19DD"/>
    <w:rsid w:val="00F349D2"/>
    <w:rsid w:val="00F3708D"/>
    <w:rsid w:val="00F427B8"/>
    <w:rsid w:val="00F4464B"/>
    <w:rsid w:val="00F80811"/>
    <w:rsid w:val="00F878D0"/>
    <w:rsid w:val="00F91EC5"/>
    <w:rsid w:val="00FB0BC5"/>
    <w:rsid w:val="00FC0253"/>
    <w:rsid w:val="00FE3023"/>
    <w:rsid w:val="00FF2946"/>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EB7D85"/>
  <w15:chartTrackingRefBased/>
  <w15:docId w15:val="{2D93819A-82AC-4778-8AE2-6939A0679D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3B64"/>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C63B64"/>
    <w:rPr>
      <w:sz w:val="16"/>
      <w:szCs w:val="16"/>
    </w:rPr>
  </w:style>
  <w:style w:type="paragraph" w:styleId="CommentText">
    <w:name w:val="annotation text"/>
    <w:basedOn w:val="Normal"/>
    <w:link w:val="CommentTextChar"/>
    <w:uiPriority w:val="99"/>
    <w:unhideWhenUsed/>
    <w:rsid w:val="00C63B64"/>
    <w:pPr>
      <w:spacing w:line="240" w:lineRule="auto"/>
    </w:pPr>
    <w:rPr>
      <w:sz w:val="20"/>
      <w:szCs w:val="20"/>
    </w:rPr>
  </w:style>
  <w:style w:type="character" w:customStyle="1" w:styleId="CommentTextChar">
    <w:name w:val="Comment Text Char"/>
    <w:basedOn w:val="DefaultParagraphFont"/>
    <w:link w:val="CommentText"/>
    <w:uiPriority w:val="99"/>
    <w:rsid w:val="00C63B64"/>
    <w:rPr>
      <w:sz w:val="20"/>
      <w:szCs w:val="20"/>
      <w:lang w:val="en-US"/>
    </w:rPr>
  </w:style>
  <w:style w:type="character" w:styleId="Hyperlink">
    <w:name w:val="Hyperlink"/>
    <w:basedOn w:val="DefaultParagraphFont"/>
    <w:uiPriority w:val="99"/>
    <w:unhideWhenUsed/>
    <w:rsid w:val="00493752"/>
    <w:rPr>
      <w:color w:val="0563C1" w:themeColor="hyperlink"/>
      <w:u w:val="single"/>
    </w:rPr>
  </w:style>
  <w:style w:type="character" w:styleId="UnresolvedMention">
    <w:name w:val="Unresolved Mention"/>
    <w:basedOn w:val="DefaultParagraphFont"/>
    <w:uiPriority w:val="99"/>
    <w:semiHidden/>
    <w:unhideWhenUsed/>
    <w:rsid w:val="00493752"/>
    <w:rPr>
      <w:color w:val="605E5C"/>
      <w:shd w:val="clear" w:color="auto" w:fill="E1DFDD"/>
    </w:rPr>
  </w:style>
  <w:style w:type="paragraph" w:styleId="CommentSubject">
    <w:name w:val="annotation subject"/>
    <w:basedOn w:val="CommentText"/>
    <w:next w:val="CommentText"/>
    <w:link w:val="CommentSubjectChar"/>
    <w:uiPriority w:val="99"/>
    <w:semiHidden/>
    <w:unhideWhenUsed/>
    <w:rsid w:val="004267FC"/>
    <w:rPr>
      <w:b/>
      <w:bCs/>
    </w:rPr>
  </w:style>
  <w:style w:type="character" w:customStyle="1" w:styleId="CommentSubjectChar">
    <w:name w:val="Comment Subject Char"/>
    <w:basedOn w:val="CommentTextChar"/>
    <w:link w:val="CommentSubject"/>
    <w:uiPriority w:val="99"/>
    <w:semiHidden/>
    <w:rsid w:val="004267FC"/>
    <w:rPr>
      <w:b/>
      <w:bCs/>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9926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3" Type="http://schemas.openxmlformats.org/officeDocument/2006/relationships/webSettings" Target="webSettings.xml"/><Relationship Id="rId7" Type="http://schemas.openxmlformats.org/officeDocument/2006/relationships/image" Target="media/image4.jp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image" Target="media/image7.jpg"/><Relationship Id="rId4" Type="http://schemas.openxmlformats.org/officeDocument/2006/relationships/image" Target="media/image1.jpg"/><Relationship Id="rId9"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397</TotalTime>
  <Pages>10</Pages>
  <Words>3964</Words>
  <Characters>22599</Characters>
  <Application>Microsoft Office Word</Application>
  <DocSecurity>0</DocSecurity>
  <Lines>188</Lines>
  <Paragraphs>53</Paragraphs>
  <ScaleCrop>false</ScaleCrop>
  <Company/>
  <LinksUpToDate>false</LinksUpToDate>
  <CharactersWithSpaces>26510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167</cp:revision>
  <dcterms:created xsi:type="dcterms:W3CDTF">2024-05-09T07:51:00Z</dcterms:created>
  <dcterms:modified xsi:type="dcterms:W3CDTF">2024-05-10T14:45:00Z</dcterms:modified>
</cp:coreProperties>
</file>